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3D" w:rsidRPr="00323CC6" w:rsidRDefault="00FD7D3D" w:rsidP="00FD7D3D">
      <w:pPr>
        <w:tabs>
          <w:tab w:val="clear" w:pos="-1440"/>
        </w:tabs>
        <w:spacing w:line="240" w:lineRule="auto"/>
        <w:ind w:left="5760" w:firstLine="0"/>
        <w:rPr>
          <w:rFonts w:eastAsia="Calibri"/>
          <w:b/>
        </w:rPr>
      </w:pPr>
      <w:r w:rsidRPr="00323CC6">
        <w:rPr>
          <w:rFonts w:eastAsia="Calibri"/>
          <w:b/>
        </w:rPr>
        <w:t>Exhibit No. ___T (</w:t>
      </w:r>
      <w:r w:rsidR="002D5F96" w:rsidRPr="00323CC6">
        <w:rPr>
          <w:rFonts w:eastAsia="Calibri"/>
          <w:b/>
        </w:rPr>
        <w:t>DJR-1</w:t>
      </w:r>
      <w:r w:rsidRPr="00323CC6">
        <w:rPr>
          <w:rFonts w:eastAsia="Calibri"/>
          <w:b/>
        </w:rPr>
        <w:t>T)</w:t>
      </w:r>
    </w:p>
    <w:p w:rsidR="00FD7D3D" w:rsidRPr="00323CC6" w:rsidRDefault="00F7714F" w:rsidP="00FD7D3D">
      <w:pPr>
        <w:tabs>
          <w:tab w:val="clear" w:pos="-1440"/>
        </w:tabs>
        <w:spacing w:line="240" w:lineRule="auto"/>
        <w:ind w:left="5760" w:firstLine="0"/>
        <w:rPr>
          <w:rFonts w:eastAsia="Calibri"/>
          <w:b/>
        </w:rPr>
      </w:pPr>
      <w:r w:rsidRPr="00323CC6">
        <w:rPr>
          <w:rFonts w:eastAsia="Calibri"/>
          <w:b/>
        </w:rPr>
        <w:t>Docket UE-130043</w:t>
      </w:r>
    </w:p>
    <w:p w:rsidR="00FD7D3D" w:rsidRPr="00323CC6" w:rsidRDefault="00FD7D3D" w:rsidP="00FD7D3D">
      <w:pPr>
        <w:tabs>
          <w:tab w:val="clear" w:pos="-1440"/>
        </w:tabs>
        <w:spacing w:line="240" w:lineRule="auto"/>
        <w:ind w:left="5760" w:firstLine="0"/>
        <w:rPr>
          <w:rFonts w:eastAsia="Calibri"/>
          <w:b/>
        </w:rPr>
      </w:pPr>
      <w:r w:rsidRPr="00323CC6">
        <w:rPr>
          <w:rFonts w:eastAsia="Calibri"/>
          <w:b/>
        </w:rPr>
        <w:t xml:space="preserve">Witness:  </w:t>
      </w:r>
      <w:r w:rsidR="008B3C99" w:rsidRPr="00323CC6">
        <w:rPr>
          <w:rFonts w:eastAsia="Calibri"/>
          <w:b/>
        </w:rPr>
        <w:t xml:space="preserve">Deborah J. Reynolds </w:t>
      </w:r>
      <w:r w:rsidRPr="00323CC6">
        <w:rPr>
          <w:rFonts w:eastAsia="Calibri"/>
          <w:b/>
        </w:rPr>
        <w:t xml:space="preserve"> </w:t>
      </w:r>
    </w:p>
    <w:p w:rsidR="00FD7D3D"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C5501E" w:rsidRPr="00323CC6" w:rsidRDefault="00C5501E"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323CC6" w:rsidRDefault="00FD7D3D" w:rsidP="00FD7D3D">
      <w:pPr>
        <w:widowControl w:val="0"/>
        <w:tabs>
          <w:tab w:val="clear" w:pos="-1440"/>
          <w:tab w:val="center" w:pos="4680"/>
        </w:tabs>
        <w:autoSpaceDE w:val="0"/>
        <w:autoSpaceDN w:val="0"/>
        <w:adjustRightInd w:val="0"/>
        <w:spacing w:line="240" w:lineRule="auto"/>
        <w:ind w:left="0" w:right="-108" w:hanging="180"/>
        <w:jc w:val="both"/>
        <w:rPr>
          <w:b/>
        </w:rPr>
      </w:pPr>
    </w:p>
    <w:p w:rsidR="00FD7D3D" w:rsidRPr="00323CC6" w:rsidRDefault="00FD7D3D" w:rsidP="00FD7D3D">
      <w:pPr>
        <w:pStyle w:val="Header"/>
        <w:rPr>
          <w:b/>
        </w:rPr>
      </w:pPr>
      <w:r w:rsidRPr="00323CC6">
        <w:rPr>
          <w:b/>
        </w:rPr>
        <w:t>BEFORE THE WASHINGTON UTILITIES AND TRANSPORTATION COMMISSION</w:t>
      </w:r>
    </w:p>
    <w:p w:rsidR="00FD7D3D" w:rsidRPr="00323CC6" w:rsidRDefault="00FD7D3D" w:rsidP="00FD7D3D">
      <w:pPr>
        <w:pStyle w:val="Header"/>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D7D3D" w:rsidRPr="00323CC6" w:rsidTr="00F7714F">
        <w:tc>
          <w:tcPr>
            <w:tcW w:w="4590" w:type="dxa"/>
            <w:tcBorders>
              <w:top w:val="single" w:sz="6" w:space="0" w:color="FFFFFF"/>
              <w:left w:val="single" w:sz="6" w:space="0" w:color="FFFFFF"/>
              <w:bottom w:val="single" w:sz="7" w:space="0" w:color="000000"/>
              <w:right w:val="single" w:sz="6" w:space="0" w:color="FFFFFF"/>
            </w:tcBorders>
          </w:tcPr>
          <w:p w:rsidR="00F7714F" w:rsidRPr="00323CC6" w:rsidRDefault="00F7714F" w:rsidP="00F7714F">
            <w:pPr>
              <w:pStyle w:val="Header"/>
              <w:ind w:left="0" w:firstLine="0"/>
              <w:rPr>
                <w:b/>
              </w:rPr>
            </w:pPr>
            <w:r w:rsidRPr="00323CC6">
              <w:rPr>
                <w:b/>
              </w:rPr>
              <w:t>WASHINGTON UTILITIES AND TRANSPORTATION COMMISSION,</w:t>
            </w:r>
          </w:p>
          <w:p w:rsidR="00F7714F" w:rsidRPr="00323CC6" w:rsidRDefault="00F7714F" w:rsidP="00F7714F">
            <w:pPr>
              <w:pStyle w:val="Header"/>
              <w:ind w:left="0" w:firstLine="0"/>
              <w:rPr>
                <w:b/>
              </w:rPr>
            </w:pPr>
          </w:p>
          <w:p w:rsidR="00F7714F" w:rsidRPr="00323CC6" w:rsidRDefault="00F7714F" w:rsidP="00F7714F">
            <w:pPr>
              <w:pStyle w:val="Header"/>
              <w:ind w:left="2160" w:firstLine="0"/>
              <w:rPr>
                <w:b/>
              </w:rPr>
            </w:pPr>
            <w:r w:rsidRPr="00323CC6">
              <w:rPr>
                <w:b/>
              </w:rPr>
              <w:t>Complainant,</w:t>
            </w:r>
          </w:p>
          <w:p w:rsidR="00F7714F" w:rsidRPr="00323CC6" w:rsidRDefault="00F7714F" w:rsidP="00F7714F">
            <w:pPr>
              <w:pStyle w:val="Header"/>
              <w:ind w:left="0" w:firstLine="0"/>
              <w:rPr>
                <w:b/>
              </w:rPr>
            </w:pPr>
          </w:p>
          <w:p w:rsidR="00F7714F" w:rsidRPr="00323CC6" w:rsidRDefault="00F7714F" w:rsidP="00F7714F">
            <w:pPr>
              <w:pStyle w:val="Header"/>
              <w:ind w:left="0" w:firstLine="0"/>
              <w:rPr>
                <w:b/>
              </w:rPr>
            </w:pPr>
            <w:r w:rsidRPr="00323CC6">
              <w:rPr>
                <w:b/>
              </w:rPr>
              <w:t>v.</w:t>
            </w:r>
          </w:p>
          <w:p w:rsidR="00F7714F" w:rsidRPr="00323CC6" w:rsidRDefault="00F7714F" w:rsidP="00F7714F">
            <w:pPr>
              <w:pStyle w:val="Header"/>
              <w:ind w:left="0" w:firstLine="0"/>
              <w:rPr>
                <w:b/>
              </w:rPr>
            </w:pPr>
          </w:p>
          <w:p w:rsidR="00F7714F" w:rsidRPr="00323CC6" w:rsidRDefault="00F7714F" w:rsidP="00F7714F">
            <w:pPr>
              <w:pStyle w:val="Header"/>
              <w:ind w:left="0" w:firstLine="0"/>
              <w:rPr>
                <w:b/>
              </w:rPr>
            </w:pPr>
            <w:r w:rsidRPr="00323CC6">
              <w:rPr>
                <w:b/>
              </w:rPr>
              <w:t>PACIFICORP D/B/A PACIFIC POWER &amp; LIGHT COMPANY,</w:t>
            </w:r>
          </w:p>
          <w:p w:rsidR="00F7714F" w:rsidRPr="00323CC6" w:rsidRDefault="00F7714F" w:rsidP="00F7714F">
            <w:pPr>
              <w:pStyle w:val="Header"/>
              <w:ind w:left="0" w:firstLine="0"/>
              <w:rPr>
                <w:b/>
              </w:rPr>
            </w:pPr>
          </w:p>
          <w:p w:rsidR="00FD7D3D" w:rsidRPr="00323CC6" w:rsidRDefault="00F7714F" w:rsidP="00F7714F">
            <w:pPr>
              <w:pStyle w:val="Header"/>
              <w:ind w:left="2160" w:firstLine="0"/>
              <w:rPr>
                <w:b/>
              </w:rPr>
            </w:pPr>
            <w:r w:rsidRPr="00323CC6">
              <w:rPr>
                <w:b/>
              </w:rPr>
              <w:t>Respondent.</w:t>
            </w:r>
          </w:p>
        </w:tc>
        <w:tc>
          <w:tcPr>
            <w:tcW w:w="4590" w:type="dxa"/>
            <w:tcBorders>
              <w:top w:val="single" w:sz="6" w:space="0" w:color="FFFFFF"/>
              <w:left w:val="single" w:sz="7" w:space="0" w:color="000000"/>
              <w:bottom w:val="single" w:sz="6" w:space="0" w:color="FFFFFF"/>
              <w:right w:val="single" w:sz="6" w:space="0" w:color="FFFFFF"/>
            </w:tcBorders>
          </w:tcPr>
          <w:p w:rsidR="00FD7D3D" w:rsidRPr="00323CC6" w:rsidRDefault="00FD7D3D" w:rsidP="00FD7D3D">
            <w:pPr>
              <w:pStyle w:val="Header"/>
              <w:ind w:left="416" w:firstLine="0"/>
              <w:rPr>
                <w:b/>
              </w:rPr>
            </w:pPr>
            <w:r w:rsidRPr="00323CC6">
              <w:rPr>
                <w:b/>
              </w:rPr>
              <w:t>DOCKET UE-</w:t>
            </w:r>
            <w:r w:rsidR="00F7714F" w:rsidRPr="00323CC6">
              <w:rPr>
                <w:b/>
              </w:rPr>
              <w:t>130043</w:t>
            </w:r>
          </w:p>
          <w:p w:rsidR="00FD7D3D" w:rsidRPr="00323CC6" w:rsidRDefault="00FD7D3D" w:rsidP="00FD7D3D">
            <w:pPr>
              <w:pStyle w:val="Header"/>
              <w:ind w:left="416" w:firstLine="0"/>
              <w:rPr>
                <w:b/>
              </w:rPr>
            </w:pPr>
          </w:p>
          <w:p w:rsidR="00FD7D3D" w:rsidRPr="00323CC6" w:rsidRDefault="00FD7D3D" w:rsidP="00FD7D3D">
            <w:pPr>
              <w:pStyle w:val="BodyTextIndent2"/>
              <w:spacing w:after="0" w:line="240" w:lineRule="auto"/>
              <w:ind w:left="416" w:firstLine="0"/>
              <w:rPr>
                <w:b/>
              </w:rPr>
            </w:pPr>
          </w:p>
        </w:tc>
      </w:tr>
    </w:tbl>
    <w:p w:rsidR="00FD7D3D" w:rsidRPr="00323CC6" w:rsidRDefault="00FD7D3D" w:rsidP="00FD7D3D">
      <w:pPr>
        <w:pStyle w:val="Header"/>
        <w:rPr>
          <w:b/>
        </w:rPr>
      </w:pPr>
    </w:p>
    <w:p w:rsidR="00FD7D3D" w:rsidRPr="00323CC6" w:rsidRDefault="00FD7D3D" w:rsidP="00FD7D3D">
      <w:pPr>
        <w:widowControl w:val="0"/>
        <w:tabs>
          <w:tab w:val="clear" w:pos="-1440"/>
        </w:tabs>
        <w:autoSpaceDE w:val="0"/>
        <w:autoSpaceDN w:val="0"/>
        <w:adjustRightInd w:val="0"/>
        <w:spacing w:line="240" w:lineRule="auto"/>
        <w:ind w:left="0" w:firstLine="0"/>
        <w:jc w:val="both"/>
        <w:rPr>
          <w:b/>
        </w:rPr>
      </w:pPr>
    </w:p>
    <w:p w:rsidR="0057414C" w:rsidRPr="00323CC6" w:rsidRDefault="0057414C" w:rsidP="00FD7D3D">
      <w:pPr>
        <w:widowControl w:val="0"/>
        <w:tabs>
          <w:tab w:val="clear" w:pos="-1440"/>
        </w:tabs>
        <w:autoSpaceDE w:val="0"/>
        <w:autoSpaceDN w:val="0"/>
        <w:adjustRightInd w:val="0"/>
        <w:spacing w:line="240" w:lineRule="auto"/>
        <w:ind w:left="0" w:firstLine="0"/>
        <w:jc w:val="both"/>
        <w:rPr>
          <w:b/>
        </w:rPr>
      </w:pPr>
    </w:p>
    <w:p w:rsidR="00FD7D3D" w:rsidRPr="00323CC6" w:rsidRDefault="00FD7D3D" w:rsidP="00FD7D3D">
      <w:pPr>
        <w:tabs>
          <w:tab w:val="clear" w:pos="-1440"/>
          <w:tab w:val="center" w:pos="4680"/>
        </w:tabs>
        <w:spacing w:line="240" w:lineRule="auto"/>
        <w:ind w:left="0" w:firstLine="0"/>
        <w:jc w:val="center"/>
        <w:rPr>
          <w:rFonts w:eastAsia="Calibri"/>
          <w:b/>
          <w:bCs/>
        </w:rPr>
      </w:pPr>
      <w:r w:rsidRPr="00323CC6">
        <w:rPr>
          <w:rFonts w:eastAsia="Calibri"/>
          <w:b/>
          <w:bCs/>
        </w:rPr>
        <w:t>TESTIMONY OF</w:t>
      </w:r>
    </w:p>
    <w:p w:rsidR="00FD7D3D" w:rsidRPr="00323CC6" w:rsidRDefault="00FD7D3D" w:rsidP="00FD7D3D">
      <w:pPr>
        <w:tabs>
          <w:tab w:val="clear" w:pos="-1440"/>
        </w:tabs>
        <w:spacing w:line="240" w:lineRule="auto"/>
        <w:ind w:left="0" w:firstLine="0"/>
        <w:jc w:val="center"/>
        <w:rPr>
          <w:rFonts w:eastAsia="Calibri"/>
          <w:b/>
          <w:bCs/>
        </w:rPr>
      </w:pPr>
    </w:p>
    <w:p w:rsidR="00FD7D3D" w:rsidRPr="00323CC6" w:rsidRDefault="00FD7D3D" w:rsidP="00FD7D3D">
      <w:pPr>
        <w:tabs>
          <w:tab w:val="clear" w:pos="-1440"/>
          <w:tab w:val="center" w:pos="4680"/>
        </w:tabs>
        <w:spacing w:line="240" w:lineRule="auto"/>
        <w:ind w:left="0" w:firstLine="0"/>
        <w:jc w:val="center"/>
        <w:rPr>
          <w:rFonts w:eastAsia="Calibri"/>
          <w:b/>
          <w:bCs/>
        </w:rPr>
      </w:pPr>
      <w:r w:rsidRPr="00323CC6">
        <w:rPr>
          <w:rFonts w:eastAsia="Calibri"/>
          <w:b/>
          <w:bCs/>
        </w:rPr>
        <w:t xml:space="preserve">Deborah J. Reynolds </w:t>
      </w:r>
    </w:p>
    <w:p w:rsidR="00FD7D3D" w:rsidRPr="00323CC6" w:rsidRDefault="00FD7D3D" w:rsidP="00FD7D3D">
      <w:pPr>
        <w:tabs>
          <w:tab w:val="clear" w:pos="-1440"/>
          <w:tab w:val="center" w:pos="4680"/>
        </w:tabs>
        <w:spacing w:line="240" w:lineRule="auto"/>
        <w:ind w:left="0" w:firstLine="0"/>
        <w:jc w:val="center"/>
        <w:rPr>
          <w:rFonts w:eastAsia="Calibri"/>
          <w:b/>
          <w:bCs/>
        </w:rPr>
      </w:pPr>
    </w:p>
    <w:p w:rsidR="00FD7D3D" w:rsidRPr="00323CC6" w:rsidRDefault="00FD7D3D" w:rsidP="00FD7D3D">
      <w:pPr>
        <w:tabs>
          <w:tab w:val="clear" w:pos="-1440"/>
          <w:tab w:val="center" w:pos="4680"/>
        </w:tabs>
        <w:spacing w:line="240" w:lineRule="auto"/>
        <w:ind w:left="0" w:firstLine="0"/>
        <w:jc w:val="center"/>
        <w:rPr>
          <w:rFonts w:eastAsia="Calibri"/>
          <w:b/>
          <w:bCs/>
        </w:rPr>
      </w:pPr>
      <w:r w:rsidRPr="00323CC6">
        <w:rPr>
          <w:rFonts w:eastAsia="Calibri"/>
          <w:b/>
          <w:bCs/>
        </w:rPr>
        <w:t>STAFF OF</w:t>
      </w:r>
    </w:p>
    <w:p w:rsidR="00FD7D3D" w:rsidRPr="00323CC6" w:rsidRDefault="00FD7D3D" w:rsidP="00FD7D3D">
      <w:pPr>
        <w:tabs>
          <w:tab w:val="clear" w:pos="-1440"/>
          <w:tab w:val="center" w:pos="4680"/>
        </w:tabs>
        <w:spacing w:line="240" w:lineRule="auto"/>
        <w:ind w:left="0" w:firstLine="0"/>
        <w:jc w:val="center"/>
        <w:rPr>
          <w:rFonts w:eastAsia="Calibri"/>
          <w:b/>
          <w:bCs/>
        </w:rPr>
      </w:pPr>
      <w:smartTag w:uri="urn:schemas-microsoft-com:office:smarttags" w:element="place">
        <w:smartTag w:uri="urn:schemas-microsoft-com:office:smarttags" w:element="State">
          <w:r w:rsidRPr="00323CC6">
            <w:rPr>
              <w:rFonts w:eastAsia="Calibri"/>
              <w:b/>
              <w:bCs/>
            </w:rPr>
            <w:t>WASHINGTON</w:t>
          </w:r>
        </w:smartTag>
      </w:smartTag>
      <w:r w:rsidRPr="00323CC6">
        <w:rPr>
          <w:rFonts w:eastAsia="Calibri"/>
          <w:b/>
          <w:bCs/>
        </w:rPr>
        <w:t xml:space="preserve"> UTILITIES AND</w:t>
      </w:r>
    </w:p>
    <w:p w:rsidR="00FD7D3D" w:rsidRPr="00323CC6" w:rsidRDefault="00FD7D3D" w:rsidP="00FD7D3D">
      <w:pPr>
        <w:tabs>
          <w:tab w:val="clear" w:pos="-1440"/>
          <w:tab w:val="center" w:pos="4680"/>
        </w:tabs>
        <w:spacing w:line="240" w:lineRule="auto"/>
        <w:ind w:left="0" w:firstLine="0"/>
        <w:jc w:val="center"/>
        <w:rPr>
          <w:rFonts w:eastAsia="Calibri"/>
          <w:b/>
          <w:bCs/>
        </w:rPr>
      </w:pPr>
      <w:r w:rsidRPr="00323CC6">
        <w:rPr>
          <w:rFonts w:eastAsia="Calibri"/>
          <w:b/>
          <w:bCs/>
        </w:rPr>
        <w:t>TRANSPORTATION COMMISSION</w:t>
      </w:r>
    </w:p>
    <w:p w:rsidR="00FD7D3D" w:rsidRPr="00323CC6" w:rsidRDefault="00FD7D3D" w:rsidP="00FD7D3D">
      <w:pPr>
        <w:tabs>
          <w:tab w:val="clear" w:pos="-1440"/>
        </w:tabs>
        <w:spacing w:line="240" w:lineRule="auto"/>
        <w:ind w:left="0" w:firstLine="0"/>
        <w:jc w:val="center"/>
        <w:rPr>
          <w:rFonts w:eastAsia="Calibri"/>
          <w:b/>
          <w:bCs/>
        </w:rPr>
      </w:pPr>
    </w:p>
    <w:p w:rsidR="0057414C" w:rsidRPr="00323CC6" w:rsidRDefault="0057414C" w:rsidP="00FD7D3D">
      <w:pPr>
        <w:tabs>
          <w:tab w:val="clear" w:pos="-1440"/>
        </w:tabs>
        <w:spacing w:line="240" w:lineRule="auto"/>
        <w:ind w:left="0" w:firstLine="0"/>
        <w:jc w:val="center"/>
        <w:rPr>
          <w:rFonts w:eastAsia="Calibri"/>
          <w:b/>
          <w:bCs/>
        </w:rPr>
      </w:pPr>
    </w:p>
    <w:p w:rsidR="0057414C" w:rsidRPr="00323CC6" w:rsidRDefault="0057414C" w:rsidP="00FD7D3D">
      <w:pPr>
        <w:tabs>
          <w:tab w:val="clear" w:pos="-1440"/>
        </w:tabs>
        <w:spacing w:line="240" w:lineRule="auto"/>
        <w:ind w:left="0" w:firstLine="0"/>
        <w:jc w:val="center"/>
        <w:rPr>
          <w:rFonts w:eastAsia="Calibri"/>
          <w:b/>
          <w:bCs/>
        </w:rPr>
      </w:pPr>
    </w:p>
    <w:p w:rsidR="00F7714F" w:rsidRPr="00323CC6" w:rsidRDefault="00F7714F" w:rsidP="00F7714F">
      <w:pPr>
        <w:jc w:val="center"/>
        <w:rPr>
          <w:b/>
          <w:bCs/>
          <w:i/>
        </w:rPr>
      </w:pPr>
      <w:r w:rsidRPr="00323CC6">
        <w:rPr>
          <w:b/>
          <w:bCs/>
          <w:i/>
        </w:rPr>
        <w:t xml:space="preserve">Policy and General Overview </w:t>
      </w:r>
    </w:p>
    <w:p w:rsidR="00FD7D3D" w:rsidRPr="00323CC6" w:rsidRDefault="00FD7D3D" w:rsidP="00F7714F">
      <w:pPr>
        <w:tabs>
          <w:tab w:val="clear" w:pos="-1440"/>
        </w:tabs>
        <w:spacing w:line="240" w:lineRule="auto"/>
        <w:ind w:left="0" w:firstLine="0"/>
        <w:jc w:val="center"/>
        <w:rPr>
          <w:rFonts w:eastAsia="Calibri"/>
          <w:b/>
          <w:bCs/>
        </w:rPr>
      </w:pPr>
    </w:p>
    <w:p w:rsidR="00FD7D3D" w:rsidRPr="00323CC6" w:rsidRDefault="00FD7D3D" w:rsidP="00FD7D3D">
      <w:pPr>
        <w:tabs>
          <w:tab w:val="clear" w:pos="-1440"/>
        </w:tabs>
        <w:spacing w:line="240" w:lineRule="auto"/>
        <w:ind w:left="0" w:firstLine="0"/>
        <w:rPr>
          <w:rFonts w:eastAsia="Calibri"/>
          <w:b/>
          <w:bCs/>
        </w:rPr>
      </w:pPr>
    </w:p>
    <w:p w:rsidR="00FD7D3D" w:rsidRPr="00323CC6" w:rsidRDefault="00F7714F" w:rsidP="00FD7D3D">
      <w:pPr>
        <w:tabs>
          <w:tab w:val="clear" w:pos="-1440"/>
        </w:tabs>
        <w:spacing w:line="240" w:lineRule="auto"/>
        <w:ind w:left="0" w:firstLine="0"/>
        <w:jc w:val="center"/>
        <w:rPr>
          <w:rFonts w:eastAsia="Calibri"/>
          <w:b/>
          <w:bCs/>
        </w:rPr>
      </w:pPr>
      <w:r w:rsidRPr="00323CC6">
        <w:rPr>
          <w:rFonts w:eastAsia="Calibri"/>
          <w:b/>
          <w:bCs/>
        </w:rPr>
        <w:t>June 21</w:t>
      </w:r>
      <w:r w:rsidR="00FD7D3D" w:rsidRPr="00323CC6">
        <w:rPr>
          <w:rFonts w:eastAsia="Calibri"/>
          <w:b/>
          <w:bCs/>
        </w:rPr>
        <w:t>, 2013</w:t>
      </w:r>
    </w:p>
    <w:p w:rsidR="00FD7D3D" w:rsidRPr="00323CC6" w:rsidRDefault="00FD7D3D" w:rsidP="00FD7D3D">
      <w:pPr>
        <w:tabs>
          <w:tab w:val="clear" w:pos="-1440"/>
        </w:tabs>
        <w:spacing w:line="240" w:lineRule="auto"/>
        <w:ind w:left="0" w:firstLine="0"/>
        <w:rPr>
          <w:rFonts w:eastAsia="Calibri"/>
        </w:rPr>
      </w:pPr>
    </w:p>
    <w:p w:rsidR="00FD7D3D" w:rsidRPr="00323CC6" w:rsidRDefault="00FD7D3D" w:rsidP="00FD7D3D">
      <w:pPr>
        <w:pStyle w:val="TOC1"/>
        <w:ind w:firstLine="0"/>
        <w:jc w:val="left"/>
      </w:pPr>
    </w:p>
    <w:p w:rsidR="00FD7D3D" w:rsidRPr="00323CC6" w:rsidRDefault="00FD7D3D" w:rsidP="00FD7D3D"/>
    <w:p w:rsidR="00FD7D3D" w:rsidRPr="00323CC6" w:rsidRDefault="00FD7D3D" w:rsidP="00FD7D3D">
      <w:pPr>
        <w:sectPr w:rsidR="00FD7D3D" w:rsidRPr="00323CC6" w:rsidSect="0075094D">
          <w:footerReference w:type="default" r:id="rId10"/>
          <w:pgSz w:w="12240" w:h="15840"/>
          <w:pgMar w:top="1440" w:right="1440" w:bottom="1440" w:left="1872" w:header="720" w:footer="720" w:gutter="0"/>
          <w:cols w:space="720"/>
          <w:titlePg/>
          <w:docGrid w:linePitch="360"/>
        </w:sectPr>
      </w:pPr>
    </w:p>
    <w:p w:rsidR="00E64E47" w:rsidRDefault="00E64E47" w:rsidP="00C5501E">
      <w:pPr>
        <w:tabs>
          <w:tab w:val="left" w:pos="630"/>
        </w:tabs>
        <w:spacing w:line="240" w:lineRule="auto"/>
        <w:ind w:left="634" w:hanging="634"/>
        <w:jc w:val="center"/>
      </w:pPr>
      <w:r>
        <w:rPr>
          <w:b/>
        </w:rPr>
        <w:lastRenderedPageBreak/>
        <w:t>TABLE OF CONTENTS</w:t>
      </w:r>
    </w:p>
    <w:p w:rsidR="00E64E47" w:rsidRDefault="00E64E47" w:rsidP="00E64E47">
      <w:pPr>
        <w:tabs>
          <w:tab w:val="left" w:pos="630"/>
        </w:tabs>
        <w:spacing w:line="240" w:lineRule="auto"/>
        <w:ind w:left="634" w:hanging="634"/>
      </w:pPr>
    </w:p>
    <w:p w:rsidR="00E64E47" w:rsidRPr="00E64E47" w:rsidRDefault="00E64E47" w:rsidP="00E64E47">
      <w:pPr>
        <w:tabs>
          <w:tab w:val="left" w:pos="630"/>
        </w:tabs>
        <w:spacing w:line="240" w:lineRule="auto"/>
        <w:ind w:left="634" w:hanging="634"/>
      </w:pPr>
    </w:p>
    <w:p w:rsidR="00E64E47" w:rsidRDefault="00E64E47" w:rsidP="00E64E47">
      <w:pPr>
        <w:tabs>
          <w:tab w:val="left" w:pos="720"/>
          <w:tab w:val="left" w:pos="1440"/>
          <w:tab w:val="left" w:pos="2160"/>
          <w:tab w:val="right" w:leader="dot" w:pos="9000"/>
        </w:tabs>
      </w:pPr>
      <w:r>
        <w:t>I.</w:t>
      </w:r>
      <w:r>
        <w:tab/>
        <w:t xml:space="preserve">INTRODUCTION </w:t>
      </w:r>
      <w:r>
        <w:tab/>
        <w:t>1</w:t>
      </w:r>
    </w:p>
    <w:p w:rsidR="00E64E47" w:rsidRDefault="00E64E47" w:rsidP="00E64E47">
      <w:pPr>
        <w:tabs>
          <w:tab w:val="left" w:pos="720"/>
          <w:tab w:val="left" w:pos="1440"/>
          <w:tab w:val="left" w:pos="2160"/>
          <w:tab w:val="left" w:pos="2880"/>
          <w:tab w:val="left" w:pos="3600"/>
          <w:tab w:val="right" w:leader="dot" w:pos="9000"/>
        </w:tabs>
      </w:pPr>
      <w:r>
        <w:t>II.</w:t>
      </w:r>
      <w:r>
        <w:tab/>
        <w:t>SCOPE AND SUMMARY OF TESTIMONY</w:t>
      </w:r>
      <w:r>
        <w:tab/>
        <w:t>3</w:t>
      </w:r>
    </w:p>
    <w:p w:rsidR="00E64E47" w:rsidRDefault="00E64E47" w:rsidP="00E64E47">
      <w:pPr>
        <w:tabs>
          <w:tab w:val="left" w:pos="720"/>
          <w:tab w:val="left" w:pos="1440"/>
          <w:tab w:val="right" w:leader="dot" w:pos="9000"/>
        </w:tabs>
      </w:pPr>
      <w:r>
        <w:t>III.</w:t>
      </w:r>
      <w:r>
        <w:tab/>
        <w:t xml:space="preserve">DISCUSSION </w:t>
      </w:r>
      <w:r>
        <w:tab/>
        <w:t>4</w:t>
      </w:r>
    </w:p>
    <w:p w:rsidR="00E64E47" w:rsidRDefault="00E64E47" w:rsidP="00E64E47">
      <w:pPr>
        <w:tabs>
          <w:tab w:val="left" w:pos="720"/>
          <w:tab w:val="left" w:pos="1440"/>
          <w:tab w:val="left" w:pos="2160"/>
          <w:tab w:val="right" w:leader="dot" w:pos="9000"/>
        </w:tabs>
      </w:pPr>
      <w:r>
        <w:t>IV.</w:t>
      </w:r>
      <w:r>
        <w:tab/>
        <w:t xml:space="preserve">STAFF WITNESSES </w:t>
      </w:r>
      <w:r>
        <w:tab/>
        <w:t>7</w:t>
      </w:r>
    </w:p>
    <w:p w:rsidR="00E64E47" w:rsidRDefault="00E64E47" w:rsidP="00E64E47">
      <w:pPr>
        <w:tabs>
          <w:tab w:val="left" w:pos="720"/>
          <w:tab w:val="left" w:pos="1440"/>
          <w:tab w:val="left" w:pos="2160"/>
          <w:tab w:val="left" w:pos="2880"/>
          <w:tab w:val="left" w:pos="3600"/>
          <w:tab w:val="right" w:leader="dot" w:pos="9000"/>
        </w:tabs>
      </w:pPr>
      <w:r>
        <w:t>V.</w:t>
      </w:r>
      <w:r>
        <w:tab/>
        <w:t xml:space="preserve">EXPEDITED RATE FILING </w:t>
      </w:r>
      <w:r>
        <w:tab/>
        <w:t>10</w:t>
      </w:r>
    </w:p>
    <w:p w:rsidR="00E64E47" w:rsidRDefault="00E64E47" w:rsidP="00E64E47">
      <w:pPr>
        <w:tabs>
          <w:tab w:val="left" w:pos="630"/>
        </w:tabs>
        <w:spacing w:line="240" w:lineRule="auto"/>
        <w:ind w:left="634" w:hanging="634"/>
      </w:pPr>
    </w:p>
    <w:p w:rsidR="00E64E47" w:rsidRDefault="00E64E47" w:rsidP="00C5501E">
      <w:pPr>
        <w:tabs>
          <w:tab w:val="left" w:pos="630"/>
        </w:tabs>
        <w:spacing w:line="240" w:lineRule="auto"/>
        <w:ind w:left="634" w:hanging="634"/>
        <w:jc w:val="center"/>
      </w:pPr>
    </w:p>
    <w:p w:rsidR="00E64E47" w:rsidRDefault="00E64E47" w:rsidP="00C5501E">
      <w:pPr>
        <w:tabs>
          <w:tab w:val="left" w:pos="630"/>
        </w:tabs>
        <w:spacing w:line="240" w:lineRule="auto"/>
        <w:ind w:left="634" w:hanging="634"/>
        <w:jc w:val="center"/>
      </w:pPr>
    </w:p>
    <w:p w:rsidR="000704BF" w:rsidRDefault="00C5501E" w:rsidP="00C5501E">
      <w:pPr>
        <w:tabs>
          <w:tab w:val="left" w:pos="630"/>
        </w:tabs>
        <w:spacing w:line="240" w:lineRule="auto"/>
        <w:ind w:left="634" w:hanging="634"/>
        <w:jc w:val="center"/>
      </w:pPr>
      <w:r>
        <w:rPr>
          <w:b/>
        </w:rPr>
        <w:t>LIST OF EXHIBITS</w:t>
      </w:r>
    </w:p>
    <w:p w:rsidR="00C5501E" w:rsidRDefault="00C5501E" w:rsidP="00C5501E">
      <w:pPr>
        <w:tabs>
          <w:tab w:val="left" w:pos="630"/>
        </w:tabs>
        <w:spacing w:line="240" w:lineRule="auto"/>
        <w:ind w:left="634" w:hanging="634"/>
      </w:pPr>
    </w:p>
    <w:p w:rsidR="00C5501E" w:rsidRPr="00607396" w:rsidRDefault="00607396" w:rsidP="00607396">
      <w:pPr>
        <w:tabs>
          <w:tab w:val="left" w:pos="720"/>
        </w:tabs>
        <w:spacing w:line="240" w:lineRule="auto"/>
        <w:ind w:left="3240" w:hanging="3240"/>
      </w:pPr>
      <w:r>
        <w:tab/>
      </w:r>
      <w:r w:rsidR="00C5501E">
        <w:t xml:space="preserve">Exhibit No. ___ (DJR-2), </w:t>
      </w:r>
      <w:r w:rsidRPr="00607396">
        <w:rPr>
          <w:bCs/>
        </w:rPr>
        <w:t>Letter from Governor Gregoire to Chairman Goltz dated January 4, 2013</w:t>
      </w:r>
      <w:r>
        <w:rPr>
          <w:bCs/>
        </w:rPr>
        <w:t>,</w:t>
      </w:r>
      <w:r w:rsidRPr="00607396">
        <w:rPr>
          <w:bCs/>
        </w:rPr>
        <w:t xml:space="preserve"> and Response Letter from Chairman Goltz dated January 15, 2013</w:t>
      </w:r>
    </w:p>
    <w:p w:rsidR="00C5501E" w:rsidRDefault="00C5501E" w:rsidP="00C5501E">
      <w:pPr>
        <w:tabs>
          <w:tab w:val="left" w:pos="630"/>
        </w:tabs>
        <w:spacing w:line="240" w:lineRule="auto"/>
        <w:ind w:left="634" w:hanging="634"/>
      </w:pPr>
    </w:p>
    <w:p w:rsidR="00C5501E" w:rsidRPr="00C5501E" w:rsidRDefault="00C5501E" w:rsidP="00C5501E">
      <w:pPr>
        <w:tabs>
          <w:tab w:val="left" w:pos="630"/>
        </w:tabs>
        <w:spacing w:line="240" w:lineRule="auto"/>
        <w:ind w:left="0" w:firstLine="0"/>
      </w:pPr>
      <w:r>
        <w:tab/>
        <w:t>Exhibit No. ___ (DJR-3</w:t>
      </w:r>
      <w:r w:rsidRPr="007C1A44">
        <w:t xml:space="preserve">), </w:t>
      </w:r>
      <w:r w:rsidR="007C1A44" w:rsidRPr="007C1A44">
        <w:rPr>
          <w:bCs/>
        </w:rPr>
        <w:t>Enhanced Commission Basis Report</w:t>
      </w:r>
    </w:p>
    <w:p w:rsidR="00C5501E" w:rsidRDefault="00C5501E" w:rsidP="00607396">
      <w:pPr>
        <w:tabs>
          <w:tab w:val="left" w:pos="630"/>
        </w:tabs>
        <w:spacing w:line="240" w:lineRule="auto"/>
        <w:ind w:left="634" w:hanging="634"/>
      </w:pPr>
    </w:p>
    <w:p w:rsidR="00C5501E" w:rsidRDefault="00C5501E" w:rsidP="00607396">
      <w:pPr>
        <w:tabs>
          <w:tab w:val="left" w:pos="630"/>
        </w:tabs>
        <w:spacing w:line="240" w:lineRule="auto"/>
        <w:ind w:left="634" w:hanging="634"/>
      </w:pPr>
    </w:p>
    <w:p w:rsidR="00C5501E" w:rsidRDefault="00C5501E" w:rsidP="00607396">
      <w:pPr>
        <w:tabs>
          <w:tab w:val="left" w:pos="630"/>
        </w:tabs>
        <w:spacing w:line="240" w:lineRule="auto"/>
        <w:ind w:left="634" w:hanging="634"/>
      </w:pPr>
    </w:p>
    <w:p w:rsidR="00C5501E" w:rsidRDefault="00C5501E" w:rsidP="00607396">
      <w:pPr>
        <w:tabs>
          <w:tab w:val="left" w:pos="630"/>
        </w:tabs>
        <w:spacing w:line="240" w:lineRule="auto"/>
        <w:ind w:left="634" w:hanging="634"/>
      </w:pPr>
    </w:p>
    <w:p w:rsidR="00C5501E" w:rsidRPr="00323CC6" w:rsidRDefault="00C5501E" w:rsidP="00FD7D3D">
      <w:pPr>
        <w:tabs>
          <w:tab w:val="left" w:pos="630"/>
        </w:tabs>
        <w:spacing w:after="240" w:line="240" w:lineRule="auto"/>
        <w:ind w:left="634" w:hanging="634"/>
        <w:jc w:val="center"/>
      </w:pPr>
    </w:p>
    <w:p w:rsidR="00FD7D3D" w:rsidRPr="00323CC6" w:rsidRDefault="00FD7D3D" w:rsidP="000704BF">
      <w:pPr>
        <w:sectPr w:rsidR="00FD7D3D" w:rsidRPr="00323CC6" w:rsidSect="0075094D">
          <w:footerReference w:type="default" r:id="rId11"/>
          <w:pgSz w:w="12240" w:h="15840"/>
          <w:pgMar w:top="1440" w:right="1440" w:bottom="1440" w:left="1872" w:header="720" w:footer="720" w:gutter="0"/>
          <w:pgNumType w:fmt="lowerRoman" w:start="1"/>
          <w:cols w:space="720"/>
          <w:docGrid w:linePitch="360"/>
        </w:sectPr>
      </w:pPr>
    </w:p>
    <w:p w:rsidR="00CD54E2" w:rsidRPr="00323CC6" w:rsidRDefault="00CD54E2" w:rsidP="00EE2EF5">
      <w:pPr>
        <w:pStyle w:val="Heading1"/>
      </w:pPr>
      <w:bookmarkStart w:id="0" w:name="_Toc359311579"/>
      <w:bookmarkStart w:id="1" w:name="_Toc349055634"/>
      <w:bookmarkStart w:id="2" w:name="_Toc358548266"/>
      <w:r w:rsidRPr="00323CC6">
        <w:lastRenderedPageBreak/>
        <w:t>INTRODUCTION</w:t>
      </w:r>
      <w:bookmarkEnd w:id="0"/>
      <w:bookmarkEnd w:id="1"/>
      <w:bookmarkEnd w:id="2"/>
    </w:p>
    <w:p w:rsidR="002F09C6" w:rsidRPr="00323CC6" w:rsidRDefault="002F09C6" w:rsidP="002F09C6"/>
    <w:p w:rsidR="00CD54E2" w:rsidRPr="00323CC6" w:rsidRDefault="00CD54E2" w:rsidP="0057414C">
      <w:pPr>
        <w:pStyle w:val="Question-Testimony"/>
      </w:pPr>
      <w:r w:rsidRPr="00323CC6">
        <w:t>Q.</w:t>
      </w:r>
      <w:r w:rsidRPr="00323CC6">
        <w:tab/>
        <w:t>Please state your name</w:t>
      </w:r>
      <w:r w:rsidR="00D71236" w:rsidRPr="00323CC6">
        <w:t xml:space="preserve"> and</w:t>
      </w:r>
      <w:r w:rsidRPr="00323CC6">
        <w:t xml:space="preserve"> business address.</w:t>
      </w:r>
    </w:p>
    <w:p w:rsidR="00CD54E2" w:rsidRPr="00323CC6" w:rsidRDefault="00CD54E2" w:rsidP="00CD54E2">
      <w:r w:rsidRPr="00323CC6">
        <w:t>A.</w:t>
      </w:r>
      <w:r w:rsidRPr="00323CC6">
        <w:tab/>
        <w:t xml:space="preserve">My name is Deborah </w:t>
      </w:r>
      <w:r w:rsidR="00EC45FD" w:rsidRPr="00323CC6">
        <w:t>J</w:t>
      </w:r>
      <w:r w:rsidRPr="00323CC6">
        <w:t xml:space="preserve">. Reynolds.  My business address is the Richard Hemstad Building, 1300 S. Evergreen Park Dr. </w:t>
      </w:r>
      <w:r w:rsidR="00D71236" w:rsidRPr="00323CC6">
        <w:t>SW, Olympia, Washington 98504.</w:t>
      </w:r>
    </w:p>
    <w:p w:rsidR="00CD54E2" w:rsidRPr="00323CC6" w:rsidRDefault="00CD54E2" w:rsidP="00CD54E2"/>
    <w:p w:rsidR="00225BAA" w:rsidRPr="00323CC6" w:rsidRDefault="00225BAA" w:rsidP="0057414C">
      <w:pPr>
        <w:pStyle w:val="Question-Testimony"/>
      </w:pPr>
      <w:r w:rsidRPr="00323CC6">
        <w:t>Q.</w:t>
      </w:r>
      <w:r w:rsidRPr="00323CC6">
        <w:tab/>
        <w:t>By whom are you employed and in what capacity?</w:t>
      </w:r>
    </w:p>
    <w:p w:rsidR="00225BAA" w:rsidRPr="00323CC6" w:rsidRDefault="00225BAA" w:rsidP="00225BAA">
      <w:r w:rsidRPr="00323CC6">
        <w:t>A.</w:t>
      </w:r>
      <w:r w:rsidRPr="00323CC6">
        <w:tab/>
        <w:t xml:space="preserve">I am employed by the Washington Utilities and Transportation Commission (“Commission”) as </w:t>
      </w:r>
      <w:r w:rsidR="00D71236" w:rsidRPr="00323CC6">
        <w:t>the Assistant Director of Conservation and Energy Planning in</w:t>
      </w:r>
      <w:r w:rsidRPr="00323CC6">
        <w:t xml:space="preserve"> the Regulatory Services Division.  My employment at the Commission began in 1999.</w:t>
      </w:r>
    </w:p>
    <w:p w:rsidR="00225BAA" w:rsidRPr="00323CC6" w:rsidRDefault="00225BAA" w:rsidP="00225BAA"/>
    <w:p w:rsidR="00225BAA" w:rsidRPr="00323CC6" w:rsidRDefault="00225BAA" w:rsidP="0057414C">
      <w:pPr>
        <w:pStyle w:val="Question-Testimony"/>
      </w:pPr>
      <w:r w:rsidRPr="00323CC6">
        <w:t>Q.</w:t>
      </w:r>
      <w:r w:rsidRPr="00323CC6">
        <w:tab/>
        <w:t>Please describe your education and your professional qualifications</w:t>
      </w:r>
      <w:r w:rsidR="00C06F24" w:rsidRPr="00323CC6">
        <w:t>.</w:t>
      </w:r>
    </w:p>
    <w:p w:rsidR="00225BAA" w:rsidRPr="00323CC6" w:rsidRDefault="00225BAA" w:rsidP="00225BAA">
      <w:r w:rsidRPr="00323CC6">
        <w:t>A.</w:t>
      </w:r>
      <w:r w:rsidRPr="00323CC6">
        <w:tab/>
        <w:t xml:space="preserve">I </w:t>
      </w:r>
      <w:r w:rsidR="00B923F8" w:rsidRPr="00323CC6">
        <w:t>graduated from the Washington State University, receiving a</w:t>
      </w:r>
      <w:r w:rsidRPr="00323CC6">
        <w:t xml:space="preserve"> Bachelor of Science degree in General Studies and a Master of Regional Planning degree.  I </w:t>
      </w:r>
      <w:r w:rsidR="00B923F8" w:rsidRPr="00323CC6">
        <w:t xml:space="preserve">have </w:t>
      </w:r>
      <w:r w:rsidRPr="00323CC6">
        <w:t xml:space="preserve">attended </w:t>
      </w:r>
      <w:r w:rsidR="00B923F8" w:rsidRPr="00323CC6">
        <w:t xml:space="preserve">several regulatory courses, including </w:t>
      </w:r>
      <w:r w:rsidRPr="00323CC6">
        <w:t xml:space="preserve">the </w:t>
      </w:r>
      <w:r w:rsidR="00F26C3C" w:rsidRPr="004B404C">
        <w:t>46</w:t>
      </w:r>
      <w:r w:rsidR="00B923F8" w:rsidRPr="004B404C">
        <w:t xml:space="preserve">th </w:t>
      </w:r>
      <w:r w:rsidR="00B923F8" w:rsidRPr="00323CC6">
        <w:t xml:space="preserve">Annual </w:t>
      </w:r>
      <w:r w:rsidRPr="00323CC6">
        <w:t xml:space="preserve">National Association of Regulatory Utility Commissioners Regulatory Studies Program, </w:t>
      </w:r>
      <w:r w:rsidR="00B923F8" w:rsidRPr="00323CC6">
        <w:t>“The Basics: Regulatory Principles Training” seminar presented by</w:t>
      </w:r>
      <w:r w:rsidR="004123CF">
        <w:t xml:space="preserve"> the</w:t>
      </w:r>
      <w:r w:rsidR="00B923F8" w:rsidRPr="00323CC6">
        <w:t xml:space="preserve"> Center for Public Utilities and the National Association of Regulatory </w:t>
      </w:r>
      <w:r w:rsidR="004123CF" w:rsidRPr="00323CC6">
        <w:t>Utilit</w:t>
      </w:r>
      <w:r w:rsidR="004123CF">
        <w:t>y</w:t>
      </w:r>
      <w:r w:rsidR="004123CF" w:rsidRPr="00323CC6">
        <w:t xml:space="preserve"> </w:t>
      </w:r>
      <w:r w:rsidR="00B923F8" w:rsidRPr="00323CC6">
        <w:t>Commissioners</w:t>
      </w:r>
      <w:r w:rsidR="004123CF">
        <w:t>;</w:t>
      </w:r>
      <w:r w:rsidR="004123CF" w:rsidRPr="00323CC6">
        <w:t xml:space="preserve"> </w:t>
      </w:r>
      <w:r w:rsidR="00961A36" w:rsidRPr="00323CC6">
        <w:t xml:space="preserve">the </w:t>
      </w:r>
      <w:r w:rsidRPr="00323CC6">
        <w:t>Electric Utility Consultants, Inc.’s cost of service and rate design workshops</w:t>
      </w:r>
      <w:r w:rsidR="00961A36" w:rsidRPr="00323CC6">
        <w:t>;</w:t>
      </w:r>
      <w:r w:rsidRPr="00323CC6">
        <w:t xml:space="preserve"> </w:t>
      </w:r>
      <w:r w:rsidR="00495E87" w:rsidRPr="00323CC6">
        <w:t xml:space="preserve">and </w:t>
      </w:r>
      <w:r w:rsidRPr="00323CC6">
        <w:t>the International Energy Program Evaluation Conference, as well as a number of other utility</w:t>
      </w:r>
      <w:r w:rsidR="003E0149" w:rsidRPr="00323CC6">
        <w:t>-</w:t>
      </w:r>
      <w:r w:rsidRPr="00323CC6">
        <w:t>related seminars, conferences, and training opportunities.</w:t>
      </w:r>
    </w:p>
    <w:p w:rsidR="00495E87" w:rsidRPr="00323CC6" w:rsidRDefault="00225BAA" w:rsidP="00AB62A8">
      <w:r w:rsidRPr="00323CC6">
        <w:lastRenderedPageBreak/>
        <w:tab/>
      </w:r>
      <w:r w:rsidRPr="00323CC6">
        <w:tab/>
        <w:t xml:space="preserve">I am responsible primarily for </w:t>
      </w:r>
      <w:r w:rsidR="00513CE9" w:rsidRPr="00323CC6">
        <w:t xml:space="preserve">the oversight of </w:t>
      </w:r>
      <w:r w:rsidR="00D2160C" w:rsidRPr="00323CC6">
        <w:t>Commission</w:t>
      </w:r>
      <w:r w:rsidR="00513CE9" w:rsidRPr="00323CC6">
        <w:t xml:space="preserve"> </w:t>
      </w:r>
      <w:r w:rsidR="00D2160C" w:rsidRPr="00323CC6">
        <w:t>Staff</w:t>
      </w:r>
      <w:r w:rsidR="00513CE9" w:rsidRPr="00323CC6">
        <w:t xml:space="preserve"> members </w:t>
      </w:r>
      <w:r w:rsidR="003E0149" w:rsidRPr="00323CC6">
        <w:t xml:space="preserve">who </w:t>
      </w:r>
      <w:r w:rsidRPr="00323CC6">
        <w:t>review and evaluat</w:t>
      </w:r>
      <w:r w:rsidR="003E0149" w:rsidRPr="00323CC6">
        <w:t>e</w:t>
      </w:r>
      <w:r w:rsidRPr="00323CC6">
        <w:t xml:space="preserve"> conservation programs, </w:t>
      </w:r>
      <w:r w:rsidR="00513CE9" w:rsidRPr="00323CC6">
        <w:t>participat</w:t>
      </w:r>
      <w:r w:rsidR="003E0149" w:rsidRPr="00323CC6">
        <w:t>e</w:t>
      </w:r>
      <w:r w:rsidR="00513CE9" w:rsidRPr="00323CC6">
        <w:t xml:space="preserve"> in </w:t>
      </w:r>
      <w:r w:rsidRPr="00323CC6">
        <w:t>conservation</w:t>
      </w:r>
      <w:r w:rsidR="00513CE9" w:rsidRPr="00323CC6">
        <w:t xml:space="preserve"> and</w:t>
      </w:r>
      <w:r w:rsidRPr="00323CC6">
        <w:t xml:space="preserve"> resource planning, </w:t>
      </w:r>
      <w:r w:rsidR="00513CE9" w:rsidRPr="00323CC6">
        <w:t xml:space="preserve">and </w:t>
      </w:r>
      <w:r w:rsidR="003E0149" w:rsidRPr="00323CC6">
        <w:t xml:space="preserve">analyze </w:t>
      </w:r>
      <w:r w:rsidR="00513CE9" w:rsidRPr="00323CC6">
        <w:t xml:space="preserve">issues </w:t>
      </w:r>
      <w:r w:rsidR="003E0149" w:rsidRPr="00323CC6">
        <w:t>such as</w:t>
      </w:r>
      <w:r w:rsidR="00513CE9" w:rsidRPr="00323CC6">
        <w:t xml:space="preserve"> </w:t>
      </w:r>
      <w:r w:rsidRPr="00323CC6">
        <w:t xml:space="preserve">decoupling, reliability, service quality, low-income, and other </w:t>
      </w:r>
      <w:r w:rsidR="003E0149" w:rsidRPr="00323CC6">
        <w:t>issues</w:t>
      </w:r>
      <w:r w:rsidRPr="00323CC6">
        <w:t xml:space="preserve"> in general rate case</w:t>
      </w:r>
      <w:r w:rsidR="00115111" w:rsidRPr="00323CC6">
        <w:t xml:space="preserve"> (“GRC”)</w:t>
      </w:r>
      <w:r w:rsidRPr="00323CC6">
        <w:t xml:space="preserve"> and </w:t>
      </w:r>
      <w:r w:rsidR="00961A36" w:rsidRPr="00323CC6">
        <w:t xml:space="preserve">other </w:t>
      </w:r>
      <w:r w:rsidRPr="00323CC6">
        <w:t xml:space="preserve">tariff filings of </w:t>
      </w:r>
      <w:r w:rsidR="004B404C">
        <w:t xml:space="preserve">the </w:t>
      </w:r>
      <w:r w:rsidRPr="00323CC6">
        <w:t>electric and natural gas utilities regulated by the Commission.</w:t>
      </w:r>
      <w:r w:rsidR="00951C98" w:rsidRPr="00323CC6">
        <w:t xml:space="preserve"> </w:t>
      </w:r>
    </w:p>
    <w:p w:rsidR="003E0149" w:rsidRPr="00323CC6" w:rsidRDefault="00495E87" w:rsidP="00951C98">
      <w:r w:rsidRPr="00323CC6">
        <w:tab/>
      </w:r>
      <w:r w:rsidRPr="00323CC6">
        <w:tab/>
      </w:r>
      <w:r w:rsidR="00225BAA" w:rsidRPr="00323CC6">
        <w:t>I provide technical assistance to companies on energy regulatory matters</w:t>
      </w:r>
      <w:r w:rsidR="00AB62A8" w:rsidRPr="00323CC6">
        <w:t>,</w:t>
      </w:r>
      <w:r w:rsidR="00225BAA" w:rsidRPr="00323CC6">
        <w:t xml:space="preserve"> participate in the development of Commission rules</w:t>
      </w:r>
      <w:r w:rsidR="00AB62A8" w:rsidRPr="00323CC6">
        <w:t>,</w:t>
      </w:r>
      <w:r w:rsidR="00225BAA" w:rsidRPr="00323CC6">
        <w:t xml:space="preserve"> and examine utility reports for compliance with Commission regulations.  I </w:t>
      </w:r>
      <w:r w:rsidRPr="00323CC6">
        <w:t xml:space="preserve">have </w:t>
      </w:r>
      <w:r w:rsidR="00225BAA" w:rsidRPr="00323CC6">
        <w:t>also present</w:t>
      </w:r>
      <w:r w:rsidRPr="00323CC6">
        <w:t>ed</w:t>
      </w:r>
      <w:r w:rsidR="00225BAA" w:rsidRPr="00323CC6">
        <w:t xml:space="preserve"> Staff recommendations at </w:t>
      </w:r>
      <w:r w:rsidRPr="00323CC6">
        <w:t xml:space="preserve">numerous </w:t>
      </w:r>
      <w:r w:rsidR="00225BAA" w:rsidRPr="00323CC6">
        <w:t>open public meetings.</w:t>
      </w:r>
    </w:p>
    <w:p w:rsidR="00F26C3C" w:rsidRPr="00323CC6" w:rsidRDefault="00F26C3C" w:rsidP="00951C98"/>
    <w:p w:rsidR="00F26C3C" w:rsidRPr="00323CC6" w:rsidRDefault="00F26C3C" w:rsidP="00F26C3C">
      <w:pPr>
        <w:pStyle w:val="Question-Testimony"/>
      </w:pPr>
      <w:r w:rsidRPr="00323CC6">
        <w:t>Q.</w:t>
      </w:r>
      <w:r w:rsidRPr="00323CC6">
        <w:tab/>
        <w:t>Have you testified before the Commission?</w:t>
      </w:r>
    </w:p>
    <w:p w:rsidR="00961A36" w:rsidRPr="00323CC6" w:rsidRDefault="00F26C3C" w:rsidP="00225BAA">
      <w:r w:rsidRPr="00323CC6">
        <w:t>A.</w:t>
      </w:r>
      <w:r w:rsidR="003E0149" w:rsidRPr="00323CC6">
        <w:tab/>
      </w:r>
      <w:r w:rsidRPr="00323CC6">
        <w:t xml:space="preserve">Yes.  </w:t>
      </w:r>
      <w:r w:rsidR="0088354B" w:rsidRPr="00323CC6">
        <w:t xml:space="preserve">I testified on decoupling and other policy-related issues in </w:t>
      </w:r>
      <w:r w:rsidR="00115111" w:rsidRPr="00323CC6">
        <w:t>GRCs</w:t>
      </w:r>
      <w:r w:rsidR="0088354B" w:rsidRPr="00323CC6">
        <w:t xml:space="preserve"> </w:t>
      </w:r>
      <w:r w:rsidR="00961A36" w:rsidRPr="00323CC6">
        <w:t>of</w:t>
      </w:r>
      <w:r w:rsidR="0088354B" w:rsidRPr="00323CC6">
        <w:t xml:space="preserve"> Avista Corporation (“Avista”) in Dockets UE-090134/UG-090135/UG-060518 and Dockets UE-110876/UG-110877/UE-120436/UG-120437</w:t>
      </w:r>
      <w:r w:rsidR="00961A36" w:rsidRPr="00323CC6">
        <w:t xml:space="preserve">; </w:t>
      </w:r>
      <w:r w:rsidR="0088354B" w:rsidRPr="00323CC6">
        <w:t>Puget Sound Energy, Inc. (“PSE”) in Dockets UE-111048/UG-111049</w:t>
      </w:r>
      <w:r w:rsidR="00961A36" w:rsidRPr="00323CC6">
        <w:t>;</w:t>
      </w:r>
      <w:r w:rsidR="0088354B" w:rsidRPr="00323CC6">
        <w:t xml:space="preserve"> and PacifiCorp d/b/a Pacific Power &amp; Light Company </w:t>
      </w:r>
      <w:r w:rsidR="004123CF" w:rsidRPr="00323CC6">
        <w:t>(“</w:t>
      </w:r>
      <w:r w:rsidR="004123CF">
        <w:t>PacifiCorp</w:t>
      </w:r>
      <w:r w:rsidR="004123CF" w:rsidRPr="00323CC6">
        <w:t>”</w:t>
      </w:r>
      <w:r w:rsidR="004B404C">
        <w:t xml:space="preserve"> or “Company”</w:t>
      </w:r>
      <w:r w:rsidR="004123CF" w:rsidRPr="00323CC6">
        <w:t xml:space="preserve">) </w:t>
      </w:r>
      <w:r w:rsidR="0088354B" w:rsidRPr="00323CC6">
        <w:t xml:space="preserve">in Docket UE-111190.  </w:t>
      </w:r>
    </w:p>
    <w:p w:rsidR="00225BAA" w:rsidRPr="00323CC6" w:rsidRDefault="00961A36" w:rsidP="00225BAA">
      <w:r w:rsidRPr="00323CC6">
        <w:tab/>
      </w:r>
      <w:r w:rsidRPr="00323CC6">
        <w:tab/>
      </w:r>
      <w:r w:rsidR="00513CE9" w:rsidRPr="00323CC6">
        <w:t xml:space="preserve">I </w:t>
      </w:r>
      <w:r w:rsidRPr="00323CC6">
        <w:t xml:space="preserve">also </w:t>
      </w:r>
      <w:r w:rsidR="00951C98" w:rsidRPr="00323CC6">
        <w:t>prepared and presented the formal Staff comments on the initial</w:t>
      </w:r>
      <w:r w:rsidR="00495E87" w:rsidRPr="00323CC6">
        <w:t xml:space="preserve"> </w:t>
      </w:r>
      <w:r w:rsidR="00513CE9" w:rsidRPr="00323CC6">
        <w:t>conservation target filings in Dockets UE-100170</w:t>
      </w:r>
      <w:r w:rsidR="008C3DD8" w:rsidRPr="00323CC6">
        <w:t xml:space="preserve"> </w:t>
      </w:r>
      <w:r w:rsidR="00AB62A8" w:rsidRPr="00323CC6">
        <w:t>(P</w:t>
      </w:r>
      <w:r w:rsidR="0088354B" w:rsidRPr="00323CC6">
        <w:t>acifiCorp</w:t>
      </w:r>
      <w:r w:rsidR="00AB62A8" w:rsidRPr="00323CC6">
        <w:t>),</w:t>
      </w:r>
      <w:r w:rsidR="00AB62A8" w:rsidRPr="00323CC6" w:rsidDel="00AB62A8">
        <w:t xml:space="preserve"> </w:t>
      </w:r>
      <w:r w:rsidR="00513CE9" w:rsidRPr="00323CC6">
        <w:t>UE-100176</w:t>
      </w:r>
      <w:r w:rsidR="00AB62A8" w:rsidRPr="00323CC6">
        <w:t xml:space="preserve"> (Avista),</w:t>
      </w:r>
      <w:r w:rsidR="008C3DD8" w:rsidRPr="00323CC6">
        <w:t xml:space="preserve"> and </w:t>
      </w:r>
      <w:r w:rsidR="00513CE9" w:rsidRPr="00323CC6">
        <w:t>UE-100177</w:t>
      </w:r>
      <w:r w:rsidR="008C3DD8" w:rsidRPr="00323CC6">
        <w:t xml:space="preserve"> (PSE)</w:t>
      </w:r>
      <w:r w:rsidR="00AB62A8" w:rsidRPr="00323CC6">
        <w:t>.</w:t>
      </w:r>
      <w:r w:rsidR="00756F2C" w:rsidRPr="00323CC6">
        <w:t xml:space="preserve">  </w:t>
      </w:r>
      <w:r w:rsidR="00513CE9" w:rsidRPr="00323CC6">
        <w:t xml:space="preserve">I </w:t>
      </w:r>
      <w:r w:rsidRPr="00323CC6">
        <w:t xml:space="preserve">prepared </w:t>
      </w:r>
      <w:r w:rsidR="00513CE9" w:rsidRPr="00323CC6">
        <w:t xml:space="preserve">the </w:t>
      </w:r>
      <w:r w:rsidR="00C37187" w:rsidRPr="00323CC6">
        <w:t xml:space="preserve">Staff </w:t>
      </w:r>
      <w:r w:rsidR="00513CE9" w:rsidRPr="00323CC6">
        <w:t>response to the Commission’s bench request</w:t>
      </w:r>
      <w:r w:rsidR="00C37187" w:rsidRPr="00323CC6">
        <w:t>s</w:t>
      </w:r>
      <w:r w:rsidR="00513CE9" w:rsidRPr="00323CC6">
        <w:t xml:space="preserve"> on decoupling </w:t>
      </w:r>
      <w:r w:rsidRPr="00323CC6">
        <w:t>in</w:t>
      </w:r>
      <w:r w:rsidR="00513CE9" w:rsidRPr="00323CC6">
        <w:t xml:space="preserve"> Avista </w:t>
      </w:r>
      <w:r w:rsidR="00CD7141" w:rsidRPr="00323CC6">
        <w:t xml:space="preserve">Dockets UE-110876/UG-110877/UE-120436/UG-120437 and </w:t>
      </w:r>
      <w:r w:rsidRPr="00323CC6">
        <w:t xml:space="preserve">in </w:t>
      </w:r>
      <w:r w:rsidR="00C37187" w:rsidRPr="00323CC6">
        <w:t xml:space="preserve">PSE </w:t>
      </w:r>
      <w:r w:rsidR="00CD7141" w:rsidRPr="00323CC6">
        <w:t>Dockets UE-111048/UG-111049</w:t>
      </w:r>
      <w:r w:rsidR="00513CE9" w:rsidRPr="00323CC6">
        <w:t>.</w:t>
      </w:r>
      <w:r w:rsidR="00CD7141" w:rsidRPr="00323CC6">
        <w:t xml:space="preserve"> </w:t>
      </w:r>
      <w:r w:rsidR="00513CE9" w:rsidRPr="00323CC6">
        <w:t xml:space="preserve"> </w:t>
      </w:r>
      <w:r w:rsidR="00F7714F" w:rsidRPr="00323CC6">
        <w:t xml:space="preserve">I </w:t>
      </w:r>
      <w:r w:rsidR="00C37187" w:rsidRPr="00323CC6">
        <w:t xml:space="preserve">filed testimony on decoupling in </w:t>
      </w:r>
      <w:r w:rsidR="00F7714F" w:rsidRPr="00323CC6">
        <w:t xml:space="preserve">PSE Dockets UE-121697/UG-121705 and </w:t>
      </w:r>
      <w:r w:rsidR="00C37187" w:rsidRPr="00323CC6">
        <w:t xml:space="preserve">appeared </w:t>
      </w:r>
      <w:r w:rsidRPr="00323CC6">
        <w:t xml:space="preserve">recently </w:t>
      </w:r>
      <w:r w:rsidR="00C37187" w:rsidRPr="00323CC6">
        <w:t xml:space="preserve">on the settlement panel </w:t>
      </w:r>
      <w:r w:rsidR="007474F4" w:rsidRPr="00323CC6">
        <w:t>in</w:t>
      </w:r>
      <w:r w:rsidR="00C37187" w:rsidRPr="00323CC6">
        <w:t xml:space="preserve"> those dockets and </w:t>
      </w:r>
      <w:r w:rsidR="00F7714F" w:rsidRPr="00323CC6">
        <w:t>Dockets UE-130137/UG-130138.</w:t>
      </w:r>
      <w:r w:rsidR="004D0467">
        <w:t xml:space="preserve">  </w:t>
      </w:r>
    </w:p>
    <w:p w:rsidR="00225BAA" w:rsidRPr="00323CC6" w:rsidRDefault="00225BAA" w:rsidP="00225BAA"/>
    <w:p w:rsidR="0057414C" w:rsidRPr="00323CC6" w:rsidRDefault="0057414C" w:rsidP="0057414C">
      <w:pPr>
        <w:pStyle w:val="Heading1"/>
      </w:pPr>
      <w:bookmarkStart w:id="3" w:name="_Toc359311580"/>
      <w:r w:rsidRPr="00323CC6">
        <w:t>SCOPE AND SUMMARY OF TESTIMONY</w:t>
      </w:r>
      <w:bookmarkEnd w:id="3"/>
    </w:p>
    <w:p w:rsidR="0057414C" w:rsidRPr="00323CC6" w:rsidRDefault="0057414C" w:rsidP="00225BAA"/>
    <w:p w:rsidR="00CD54E2" w:rsidRPr="00323CC6" w:rsidRDefault="00CD54E2" w:rsidP="0057414C">
      <w:pPr>
        <w:pStyle w:val="Question-Testimony"/>
      </w:pPr>
      <w:r w:rsidRPr="00323CC6">
        <w:t>Q.</w:t>
      </w:r>
      <w:r w:rsidRPr="00323CC6">
        <w:tab/>
        <w:t>What is the purpose of your testimony?</w:t>
      </w:r>
    </w:p>
    <w:p w:rsidR="00D0316D" w:rsidRPr="00323CC6" w:rsidRDefault="00CD54E2" w:rsidP="00D0316D">
      <w:r w:rsidRPr="00323CC6">
        <w:t>A.</w:t>
      </w:r>
      <w:r w:rsidRPr="00323CC6">
        <w:tab/>
      </w:r>
      <w:r w:rsidR="004E03BD" w:rsidRPr="00323CC6">
        <w:t xml:space="preserve">I present </w:t>
      </w:r>
      <w:r w:rsidR="00C37187" w:rsidRPr="00323CC6">
        <w:t>an overview of</w:t>
      </w:r>
      <w:r w:rsidR="00BA37F8" w:rsidRPr="00323CC6">
        <w:t xml:space="preserve"> </w:t>
      </w:r>
      <w:r w:rsidR="00CD7141" w:rsidRPr="00323CC6">
        <w:t>Staff</w:t>
      </w:r>
      <w:r w:rsidR="00C37187" w:rsidRPr="00323CC6">
        <w:t>’s</w:t>
      </w:r>
      <w:r w:rsidR="00CD7141" w:rsidRPr="00323CC6">
        <w:t xml:space="preserve"> </w:t>
      </w:r>
      <w:r w:rsidR="00C37187" w:rsidRPr="00323CC6">
        <w:t xml:space="preserve">recommendation </w:t>
      </w:r>
      <w:r w:rsidR="00D0316D" w:rsidRPr="00323CC6">
        <w:t xml:space="preserve">for an increase in annual revenues of approximately $14.6 million (4.8 percent) for </w:t>
      </w:r>
      <w:r w:rsidR="00C37187" w:rsidRPr="00323CC6">
        <w:t>PacifiCorp</w:t>
      </w:r>
      <w:r w:rsidR="006E4206" w:rsidRPr="00323CC6">
        <w:t>.</w:t>
      </w:r>
      <w:r w:rsidR="003C641F" w:rsidRPr="00323CC6">
        <w:t xml:space="preserve">  This </w:t>
      </w:r>
      <w:r w:rsidR="00B62B18" w:rsidRPr="00323CC6">
        <w:t>compares to the Company’s proposal</w:t>
      </w:r>
      <w:r w:rsidR="00D0316D" w:rsidRPr="00323CC6">
        <w:t>, filed January 11, 2013,</w:t>
      </w:r>
      <w:r w:rsidR="00B62B18" w:rsidRPr="00323CC6">
        <w:t xml:space="preserve"> to increase revenues by approximately $</w:t>
      </w:r>
      <w:r w:rsidR="00C123F9" w:rsidRPr="00323CC6">
        <w:t>42.8</w:t>
      </w:r>
      <w:r w:rsidR="00B62B18" w:rsidRPr="00323CC6">
        <w:t xml:space="preserve"> million (</w:t>
      </w:r>
      <w:r w:rsidR="004C32E2" w:rsidRPr="00323CC6">
        <w:t>14.1</w:t>
      </w:r>
      <w:r w:rsidR="00B62B18" w:rsidRPr="00323CC6">
        <w:t xml:space="preserve"> percent).</w:t>
      </w:r>
      <w:r w:rsidR="00D0316D" w:rsidRPr="00323CC6">
        <w:t xml:space="preserve">  </w:t>
      </w:r>
      <w:r w:rsidR="001541A8" w:rsidRPr="00323CC6">
        <w:t>Specifically</w:t>
      </w:r>
      <w:r w:rsidR="00D0316D" w:rsidRPr="00323CC6">
        <w:t>, my testimony:</w:t>
      </w:r>
    </w:p>
    <w:p w:rsidR="00F21ECB" w:rsidRPr="00323CC6" w:rsidRDefault="00B923F8" w:rsidP="00F21ECB">
      <w:pPr>
        <w:pStyle w:val="Answer-Testimony"/>
        <w:numPr>
          <w:ilvl w:val="0"/>
          <w:numId w:val="16"/>
        </w:numPr>
      </w:pPr>
      <w:r w:rsidRPr="00323CC6">
        <w:t>S</w:t>
      </w:r>
      <w:r w:rsidR="00B62B18" w:rsidRPr="00323CC6">
        <w:t>ummarize</w:t>
      </w:r>
      <w:r w:rsidR="007474F4" w:rsidRPr="00323CC6">
        <w:t>s</w:t>
      </w:r>
      <w:r w:rsidR="00B62B18" w:rsidRPr="00323CC6">
        <w:t xml:space="preserve"> the key difference</w:t>
      </w:r>
      <w:r w:rsidR="00AB62A8" w:rsidRPr="00323CC6">
        <w:t>s</w:t>
      </w:r>
      <w:r w:rsidR="00B62B18" w:rsidRPr="00323CC6">
        <w:t xml:space="preserve"> between Staff and PacifiCorp</w:t>
      </w:r>
      <w:r w:rsidRPr="00323CC6">
        <w:t>’s case</w:t>
      </w:r>
      <w:r w:rsidR="00B62B18" w:rsidRPr="00323CC6">
        <w:t>.</w:t>
      </w:r>
    </w:p>
    <w:p w:rsidR="00B923F8" w:rsidRPr="00323CC6" w:rsidRDefault="00B923F8" w:rsidP="00F21ECB">
      <w:pPr>
        <w:pStyle w:val="Answer-Testimony"/>
        <w:numPr>
          <w:ilvl w:val="0"/>
          <w:numId w:val="16"/>
        </w:numPr>
      </w:pPr>
      <w:r w:rsidRPr="00323CC6">
        <w:t>I</w:t>
      </w:r>
      <w:r w:rsidR="00C37187" w:rsidRPr="00323CC6">
        <w:t>ntroduce</w:t>
      </w:r>
      <w:r w:rsidR="007474F4" w:rsidRPr="00323CC6">
        <w:t>s</w:t>
      </w:r>
      <w:r w:rsidR="00C37187" w:rsidRPr="00323CC6">
        <w:t xml:space="preserve"> the witnesses that provide testimony in this proceeding on behalf of Commission Staff.</w:t>
      </w:r>
    </w:p>
    <w:p w:rsidR="00CD54E2" w:rsidRDefault="00D0316D" w:rsidP="00F21ECB">
      <w:pPr>
        <w:pStyle w:val="Answer-Testimony"/>
        <w:numPr>
          <w:ilvl w:val="0"/>
          <w:numId w:val="16"/>
        </w:numPr>
      </w:pPr>
      <w:r w:rsidRPr="00323CC6">
        <w:t>E</w:t>
      </w:r>
      <w:r w:rsidR="00B62B18" w:rsidRPr="00323CC6">
        <w:t>xplain</w:t>
      </w:r>
      <w:r w:rsidR="007474F4" w:rsidRPr="00323CC6">
        <w:t>s</w:t>
      </w:r>
      <w:r w:rsidR="00B62B18" w:rsidRPr="00323CC6">
        <w:t xml:space="preserve"> Staff’s proposal for an expedited rate filing</w:t>
      </w:r>
      <w:r w:rsidR="00B923F8" w:rsidRPr="00323CC6">
        <w:t xml:space="preserve"> (“ERF”)</w:t>
      </w:r>
      <w:r w:rsidR="00B62B18" w:rsidRPr="00323CC6">
        <w:t xml:space="preserve"> that will provide timely rate relief for the Company in 2014 to address more recent capital investment and other non-controversial items.</w:t>
      </w:r>
    </w:p>
    <w:p w:rsidR="00CE56CB" w:rsidRDefault="00CE56CB" w:rsidP="00CE56CB">
      <w:pPr>
        <w:pStyle w:val="Answer-Testimony"/>
      </w:pPr>
    </w:p>
    <w:p w:rsidR="00CE56CB" w:rsidRPr="00654647" w:rsidRDefault="00CE56CB" w:rsidP="00CE56CB">
      <w:pPr>
        <w:pStyle w:val="Answer-Testimony"/>
        <w:rPr>
          <w:b/>
        </w:rPr>
      </w:pPr>
      <w:r w:rsidRPr="00654647">
        <w:rPr>
          <w:b/>
        </w:rPr>
        <w:t>Q.</w:t>
      </w:r>
      <w:r w:rsidRPr="00654647">
        <w:rPr>
          <w:b/>
        </w:rPr>
        <w:tab/>
        <w:t>Have you prepared any exhibits in support of your testimony?</w:t>
      </w:r>
    </w:p>
    <w:p w:rsidR="00CE56CB" w:rsidRDefault="00CE56CB" w:rsidP="00CE56CB">
      <w:pPr>
        <w:pStyle w:val="Answer-Testimony"/>
      </w:pPr>
      <w:r>
        <w:t>A.</w:t>
      </w:r>
      <w:r>
        <w:tab/>
        <w:t>Yes, I have prepared the following exhibits:</w:t>
      </w:r>
    </w:p>
    <w:p w:rsidR="00CE56CB" w:rsidRDefault="00CE56CB" w:rsidP="00CE56CB">
      <w:pPr>
        <w:pStyle w:val="Answer-Testimony"/>
        <w:numPr>
          <w:ilvl w:val="0"/>
          <w:numId w:val="17"/>
        </w:numPr>
      </w:pPr>
      <w:r>
        <w:t>Exhibit No. __ (DJR-2), January 4, 2013</w:t>
      </w:r>
      <w:r w:rsidR="00CA0199">
        <w:t>,</w:t>
      </w:r>
      <w:r>
        <w:t xml:space="preserve"> letter from Governor Christine</w:t>
      </w:r>
      <w:r w:rsidR="00654647">
        <w:t xml:space="preserve"> O. Gregoire and January 15, 2013</w:t>
      </w:r>
      <w:r w:rsidR="00CA0199">
        <w:t>,</w:t>
      </w:r>
      <w:r w:rsidR="00654647">
        <w:t xml:space="preserve"> response from Commission Chair Jeffrey D. Goltz</w:t>
      </w:r>
      <w:r w:rsidR="00CA0199">
        <w:t>.</w:t>
      </w:r>
    </w:p>
    <w:p w:rsidR="00654647" w:rsidRPr="00323CC6" w:rsidRDefault="00654647" w:rsidP="00CE56CB">
      <w:pPr>
        <w:pStyle w:val="Answer-Testimony"/>
        <w:numPr>
          <w:ilvl w:val="0"/>
          <w:numId w:val="17"/>
        </w:numPr>
      </w:pPr>
      <w:r>
        <w:t>Exhibit No. __ (DJR-3), Description of Enhanced Commission Basis Report</w:t>
      </w:r>
      <w:r w:rsidR="00CA0199">
        <w:t>.</w:t>
      </w:r>
    </w:p>
    <w:p w:rsidR="008E585B" w:rsidRPr="00323CC6" w:rsidRDefault="008E585B" w:rsidP="00CD54E2"/>
    <w:p w:rsidR="00B62B18" w:rsidRPr="00323CC6" w:rsidRDefault="00B62B18" w:rsidP="00AB0977">
      <w:pPr>
        <w:pStyle w:val="Heading1"/>
        <w:keepNext/>
      </w:pPr>
      <w:bookmarkStart w:id="4" w:name="_Toc359311581"/>
      <w:r w:rsidRPr="00323CC6">
        <w:lastRenderedPageBreak/>
        <w:t>DISCUSSION</w:t>
      </w:r>
      <w:bookmarkEnd w:id="4"/>
    </w:p>
    <w:p w:rsidR="00B62B18" w:rsidRPr="00323CC6" w:rsidRDefault="00B62B18" w:rsidP="00753DEB"/>
    <w:p w:rsidR="00B62B18" w:rsidRPr="00323CC6" w:rsidRDefault="00B62B18" w:rsidP="003C641F">
      <w:pPr>
        <w:pStyle w:val="Question-Testimony"/>
      </w:pPr>
      <w:r w:rsidRPr="00323CC6">
        <w:t>Q.</w:t>
      </w:r>
      <w:r w:rsidRPr="00323CC6">
        <w:tab/>
        <w:t>Please briefly describe the Company’s scope of operations</w:t>
      </w:r>
      <w:r w:rsidR="008933BC" w:rsidRPr="00323CC6">
        <w:t>.</w:t>
      </w:r>
    </w:p>
    <w:p w:rsidR="008933BC" w:rsidRPr="00323CC6" w:rsidRDefault="00B62B18" w:rsidP="00B62B18">
      <w:r w:rsidRPr="00323CC6">
        <w:t xml:space="preserve">A. </w:t>
      </w:r>
      <w:r w:rsidRPr="00323CC6">
        <w:tab/>
      </w:r>
      <w:r w:rsidR="008933BC" w:rsidRPr="00323CC6">
        <w:t>PacifiCorp is a regulated electric company that provides service</w:t>
      </w:r>
      <w:r w:rsidRPr="00323CC6">
        <w:t xml:space="preserve"> in Washington, Oregon, and California</w:t>
      </w:r>
      <w:r w:rsidR="008933BC" w:rsidRPr="00323CC6">
        <w:t xml:space="preserve"> under the trade name Pacific Power &amp; Light Company.</w:t>
      </w:r>
      <w:r w:rsidRPr="00323CC6">
        <w:t xml:space="preserve">  </w:t>
      </w:r>
      <w:r w:rsidR="008933BC" w:rsidRPr="00323CC6">
        <w:t>PacifiCorp provides service in Utah, Wyoming and Idaho under the trade name Rocky Mountain Power &amp; Light Company.</w:t>
      </w:r>
      <w:r w:rsidRPr="00323CC6">
        <w:rPr>
          <w:rStyle w:val="FootnoteReference"/>
        </w:rPr>
        <w:footnoteReference w:id="2"/>
      </w:r>
      <w:r w:rsidRPr="00323CC6">
        <w:t xml:space="preserve">  Washington comprises only 7 percent of the Company’s customers, annual revenue, and energy sales.</w:t>
      </w:r>
      <w:r w:rsidRPr="00323CC6">
        <w:rPr>
          <w:rStyle w:val="FootnoteReference"/>
        </w:rPr>
        <w:footnoteReference w:id="3"/>
      </w:r>
      <w:r w:rsidR="008933BC" w:rsidRPr="00323CC6">
        <w:t xml:space="preserve">  </w:t>
      </w:r>
    </w:p>
    <w:p w:rsidR="008933BC" w:rsidRPr="00323CC6" w:rsidRDefault="008933BC" w:rsidP="00B62B18"/>
    <w:p w:rsidR="008933BC" w:rsidRPr="00323CC6" w:rsidRDefault="008933BC" w:rsidP="003C641F">
      <w:pPr>
        <w:pStyle w:val="Question-Testimony"/>
      </w:pPr>
      <w:r w:rsidRPr="00323CC6">
        <w:t>Q.</w:t>
      </w:r>
      <w:r w:rsidRPr="00323CC6">
        <w:tab/>
        <w:t>Please describe the Company’s request for an increase in rates in this docket.</w:t>
      </w:r>
    </w:p>
    <w:p w:rsidR="003C641F" w:rsidRPr="00323CC6" w:rsidRDefault="008933BC" w:rsidP="00B62B18">
      <w:r w:rsidRPr="00323CC6">
        <w:t>A.</w:t>
      </w:r>
      <w:r w:rsidRPr="00323CC6">
        <w:tab/>
        <w:t xml:space="preserve">On January 11, 2013, PacifiCorp filed a </w:t>
      </w:r>
      <w:r w:rsidR="007C4062" w:rsidRPr="00323CC6">
        <w:t>GRC</w:t>
      </w:r>
      <w:r w:rsidRPr="00323CC6">
        <w:t xml:space="preserve"> with the Commission seeking an increase </w:t>
      </w:r>
      <w:r w:rsidR="00AA2D54" w:rsidRPr="00323CC6">
        <w:t>in</w:t>
      </w:r>
      <w:r w:rsidRPr="00323CC6">
        <w:t xml:space="preserve"> annual revenues of approximately </w:t>
      </w:r>
      <w:r w:rsidR="00D62CCC" w:rsidRPr="00323CC6">
        <w:t>$</w:t>
      </w:r>
      <w:r w:rsidR="00C123F9" w:rsidRPr="00323CC6">
        <w:t>42.8</w:t>
      </w:r>
      <w:r w:rsidRPr="00323CC6">
        <w:t xml:space="preserve"> million, or </w:t>
      </w:r>
      <w:r w:rsidR="004C32E2" w:rsidRPr="00323CC6">
        <w:t xml:space="preserve">14.1 </w:t>
      </w:r>
      <w:r w:rsidRPr="00323CC6">
        <w:t xml:space="preserve">percent.  The Company names three primary factors </w:t>
      </w:r>
      <w:r w:rsidR="00D0316D" w:rsidRPr="00323CC6">
        <w:t>for</w:t>
      </w:r>
      <w:r w:rsidRPr="00323CC6">
        <w:t xml:space="preserve"> its </w:t>
      </w:r>
      <w:r w:rsidR="007C4062" w:rsidRPr="00323CC6">
        <w:t xml:space="preserve">revenue </w:t>
      </w:r>
      <w:r w:rsidRPr="00323CC6">
        <w:t>request:  (1) increases in the allocation of net power costs to Washington; (2) increases in investment in the system; and (3) declining demand.</w:t>
      </w:r>
      <w:r w:rsidRPr="00323CC6">
        <w:rPr>
          <w:rStyle w:val="FootnoteReference"/>
        </w:rPr>
        <w:footnoteReference w:id="4"/>
      </w:r>
    </w:p>
    <w:p w:rsidR="008A5406" w:rsidRPr="00323CC6" w:rsidRDefault="008A5406" w:rsidP="003C641F">
      <w:pPr>
        <w:rPr>
          <w:b/>
          <w:bCs/>
        </w:rPr>
      </w:pPr>
    </w:p>
    <w:p w:rsidR="008933BC" w:rsidRPr="00323CC6" w:rsidRDefault="008933BC" w:rsidP="003C641F">
      <w:pPr>
        <w:pStyle w:val="Question-Testimony"/>
      </w:pPr>
      <w:r w:rsidRPr="00323CC6">
        <w:t>Q.</w:t>
      </w:r>
      <w:r w:rsidRPr="00323CC6">
        <w:tab/>
        <w:t>Please summarize the revenue requirement increase recommended by Staff for the Company’s Washington operations</w:t>
      </w:r>
      <w:r w:rsidR="00AA2D54" w:rsidRPr="00323CC6">
        <w:t>.</w:t>
      </w:r>
    </w:p>
    <w:p w:rsidR="008933BC" w:rsidRPr="00323CC6" w:rsidRDefault="008933BC" w:rsidP="008933BC">
      <w:r w:rsidRPr="00323CC6">
        <w:t>A.</w:t>
      </w:r>
      <w:r w:rsidRPr="00323CC6">
        <w:tab/>
        <w:t>Staff recommends that the Commission allow the Company to increase its annual revenues for electricity service by $</w:t>
      </w:r>
      <w:r w:rsidR="00F26C3C" w:rsidRPr="00323CC6">
        <w:t>14.6</w:t>
      </w:r>
      <w:r w:rsidRPr="00323CC6">
        <w:t xml:space="preserve"> million</w:t>
      </w:r>
      <w:r w:rsidR="007C4062" w:rsidRPr="00323CC6">
        <w:t xml:space="preserve">, </w:t>
      </w:r>
      <w:r w:rsidR="00D142B0">
        <w:t xml:space="preserve">or </w:t>
      </w:r>
      <w:r w:rsidR="00C123F9" w:rsidRPr="00323CC6">
        <w:t>4.8</w:t>
      </w:r>
      <w:r w:rsidRPr="00323CC6">
        <w:t xml:space="preserve"> percent.  This recommendation is based on an historical test year ending June 30, 2012, with </w:t>
      </w:r>
      <w:r w:rsidRPr="00323CC6">
        <w:lastRenderedPageBreak/>
        <w:t>appropriate restating and pro forma adjustments that satisfy the “matching principle” of historical test</w:t>
      </w:r>
      <w:r w:rsidR="007C4062" w:rsidRPr="00323CC6">
        <w:t>-</w:t>
      </w:r>
      <w:r w:rsidRPr="00323CC6">
        <w:t xml:space="preserve">period ratemaking.  </w:t>
      </w:r>
      <w:r w:rsidR="00B01BDA" w:rsidRPr="00323CC6">
        <w:t xml:space="preserve">Staff’s recommended </w:t>
      </w:r>
      <w:r w:rsidR="004C32E2" w:rsidRPr="00323CC6">
        <w:t>increase</w:t>
      </w:r>
      <w:r w:rsidRPr="00323CC6">
        <w:t xml:space="preserve"> is </w:t>
      </w:r>
      <w:r w:rsidR="00B01BDA" w:rsidRPr="00323CC6">
        <w:t>roughly</w:t>
      </w:r>
      <w:r w:rsidRPr="00323CC6">
        <w:t xml:space="preserve"> one-third of the Company’s request</w:t>
      </w:r>
      <w:r w:rsidR="007C4062" w:rsidRPr="00323CC6">
        <w:t>ed revenue increase</w:t>
      </w:r>
      <w:r w:rsidRPr="00323CC6">
        <w:t>.</w:t>
      </w:r>
    </w:p>
    <w:p w:rsidR="008A5406" w:rsidRPr="00323CC6" w:rsidRDefault="008A5406" w:rsidP="00753DEB"/>
    <w:p w:rsidR="00D62CCC" w:rsidRPr="00323CC6" w:rsidRDefault="00D62CCC" w:rsidP="003C641F">
      <w:pPr>
        <w:pStyle w:val="Question-Testimony"/>
      </w:pPr>
      <w:r w:rsidRPr="00323CC6">
        <w:t>Q.</w:t>
      </w:r>
      <w:r w:rsidRPr="00323CC6">
        <w:tab/>
        <w:t xml:space="preserve">What are the </w:t>
      </w:r>
      <w:r w:rsidR="007C4062" w:rsidRPr="00323CC6">
        <w:t xml:space="preserve">primary </w:t>
      </w:r>
      <w:r w:rsidR="00D0316D" w:rsidRPr="00323CC6">
        <w:t>reasons for</w:t>
      </w:r>
      <w:r w:rsidR="004C32E2" w:rsidRPr="00323CC6">
        <w:t xml:space="preserve"> the </w:t>
      </w:r>
      <w:r w:rsidRPr="00323CC6">
        <w:t>$28</w:t>
      </w:r>
      <w:r w:rsidR="00FC64DA" w:rsidRPr="00323CC6">
        <w:t>.2</w:t>
      </w:r>
      <w:r w:rsidRPr="00323CC6">
        <w:t xml:space="preserve"> million difference between</w:t>
      </w:r>
      <w:r w:rsidR="004C32E2" w:rsidRPr="00323CC6">
        <w:t xml:space="preserve"> the revenue requirement </w:t>
      </w:r>
      <w:r w:rsidR="00D0316D" w:rsidRPr="00323CC6">
        <w:t xml:space="preserve">proposals </w:t>
      </w:r>
      <w:r w:rsidR="004C32E2" w:rsidRPr="00323CC6">
        <w:t>of</w:t>
      </w:r>
      <w:r w:rsidRPr="00323CC6">
        <w:t xml:space="preserve"> Staff ($</w:t>
      </w:r>
      <w:r w:rsidR="004C32E2" w:rsidRPr="00323CC6">
        <w:t xml:space="preserve">14.6 </w:t>
      </w:r>
      <w:r w:rsidRPr="00323CC6">
        <w:t>million) and the Company ($</w:t>
      </w:r>
      <w:r w:rsidR="00C123F9" w:rsidRPr="00323CC6">
        <w:t>42.8</w:t>
      </w:r>
      <w:r w:rsidRPr="00323CC6">
        <w:t xml:space="preserve"> million)?</w:t>
      </w:r>
    </w:p>
    <w:p w:rsidR="00D62CCC" w:rsidRPr="00323CC6" w:rsidRDefault="00D62CCC" w:rsidP="00D62CCC">
      <w:r w:rsidRPr="00323CC6">
        <w:t>A.</w:t>
      </w:r>
      <w:r w:rsidRPr="00323CC6">
        <w:tab/>
      </w:r>
      <w:r w:rsidR="00555F2F">
        <w:t xml:space="preserve">This difference between Company and Staff </w:t>
      </w:r>
      <w:r w:rsidR="00596D04">
        <w:t xml:space="preserve">revenue requirement </w:t>
      </w:r>
      <w:r w:rsidR="00555F2F">
        <w:t>cases</w:t>
      </w:r>
      <w:r w:rsidR="00A34B09">
        <w:t>, as shown on Staff witness Joanna Huang’s Exhibit No. ___ (JH-2), page 5,</w:t>
      </w:r>
      <w:r w:rsidR="00555F2F">
        <w:t xml:space="preserve"> is attributable largely to three issues:</w:t>
      </w:r>
      <w:r w:rsidRPr="00323CC6">
        <w:t xml:space="preserve">  (1) a $13.</w:t>
      </w:r>
      <w:r w:rsidR="000C09E8">
        <w:t>7</w:t>
      </w:r>
      <w:r w:rsidRPr="00323CC6">
        <w:t xml:space="preserve"> million decrease </w:t>
      </w:r>
      <w:r w:rsidR="00CA0199">
        <w:t>resulting mainly from</w:t>
      </w:r>
      <w:r w:rsidR="00CA0199" w:rsidRPr="00323CC6">
        <w:t xml:space="preserve"> </w:t>
      </w:r>
      <w:r w:rsidR="00CA0199">
        <w:t xml:space="preserve">corrections to </w:t>
      </w:r>
      <w:r w:rsidRPr="00323CC6">
        <w:t xml:space="preserve">the allocation of net power costs to Washington presented by Staff witness David C. Gomez; (2) </w:t>
      </w:r>
      <w:r w:rsidR="008F48F5">
        <w:t xml:space="preserve">a </w:t>
      </w:r>
      <w:r w:rsidR="008B5173">
        <w:t>cost of capital</w:t>
      </w:r>
      <w:r w:rsidR="008F48F5">
        <w:t xml:space="preserve"> reduction, </w:t>
      </w:r>
      <w:r w:rsidR="000C09E8" w:rsidRPr="00323CC6">
        <w:t>presented by Staff witness Kenneth L. Elgin</w:t>
      </w:r>
      <w:r w:rsidR="008F48F5">
        <w:t xml:space="preserve">, resulting in </w:t>
      </w:r>
      <w:r w:rsidR="008F48F5" w:rsidRPr="00323CC6">
        <w:t>a $</w:t>
      </w:r>
      <w:r w:rsidR="008F48F5">
        <w:t>10.2</w:t>
      </w:r>
      <w:r w:rsidR="008F48F5" w:rsidRPr="00323CC6">
        <w:t xml:space="preserve"> million </w:t>
      </w:r>
      <w:r w:rsidR="008F48F5">
        <w:t>decrease</w:t>
      </w:r>
      <w:r w:rsidRPr="00323CC6">
        <w:t>; and (3)</w:t>
      </w:r>
      <w:r w:rsidR="007318E7" w:rsidRPr="007318E7">
        <w:t xml:space="preserve"> </w:t>
      </w:r>
      <w:r w:rsidR="005F72F4">
        <w:t xml:space="preserve">a cut-off date for capital investments resulting in a </w:t>
      </w:r>
      <w:r w:rsidR="005F72F4" w:rsidRPr="00323CC6">
        <w:t>$</w:t>
      </w:r>
      <w:r w:rsidR="005F72F4">
        <w:t>3.2</w:t>
      </w:r>
      <w:r w:rsidR="005F72F4" w:rsidRPr="00323CC6">
        <w:t xml:space="preserve"> million</w:t>
      </w:r>
      <w:r w:rsidR="005F72F4">
        <w:t xml:space="preserve"> decrease</w:t>
      </w:r>
      <w:r w:rsidR="005F72F4" w:rsidRPr="00323CC6">
        <w:t xml:space="preserve"> presented by Staff witness Chris R. McGuire</w:t>
      </w:r>
      <w:r w:rsidRPr="00323CC6">
        <w:t>.</w:t>
      </w:r>
      <w:r w:rsidRPr="00323CC6">
        <w:rPr>
          <w:rStyle w:val="FootnoteReference"/>
        </w:rPr>
        <w:footnoteReference w:id="5"/>
      </w:r>
      <w:r w:rsidRPr="00323CC6">
        <w:rPr>
          <w:vertAlign w:val="superscript"/>
        </w:rPr>
        <w:t>,</w:t>
      </w:r>
      <w:r w:rsidRPr="00323CC6">
        <w:rPr>
          <w:rStyle w:val="FootnoteReference"/>
        </w:rPr>
        <w:footnoteReference w:id="6"/>
      </w:r>
      <w:r w:rsidRPr="00323CC6">
        <w:rPr>
          <w:vertAlign w:val="superscript"/>
        </w:rPr>
        <w:t>,</w:t>
      </w:r>
      <w:r w:rsidRPr="00323CC6">
        <w:rPr>
          <w:rStyle w:val="FootnoteReference"/>
        </w:rPr>
        <w:footnoteReference w:id="7"/>
      </w:r>
      <w:r w:rsidR="005F72F4">
        <w:t xml:space="preserve">  Staff’s rejection of </w:t>
      </w:r>
      <w:r w:rsidR="004B404C">
        <w:t xml:space="preserve">other </w:t>
      </w:r>
      <w:r w:rsidR="005F72F4">
        <w:t>inadequately supported accounting adjustments make</w:t>
      </w:r>
      <w:r w:rsidR="004B404C">
        <w:t>s</w:t>
      </w:r>
      <w:r w:rsidR="005F72F4">
        <w:t xml:space="preserve"> up the remaining</w:t>
      </w:r>
      <w:r w:rsidR="005F72F4" w:rsidRPr="00323CC6">
        <w:t xml:space="preserve"> $</w:t>
      </w:r>
      <w:r w:rsidR="005F72F4">
        <w:t>1.1</w:t>
      </w:r>
      <w:r w:rsidR="005F72F4" w:rsidRPr="00323CC6">
        <w:t xml:space="preserve"> million </w:t>
      </w:r>
      <w:r w:rsidR="00596D04">
        <w:t>difference between Staff and the Company.</w:t>
      </w:r>
      <w:r w:rsidR="00D0316D" w:rsidRPr="00323CC6">
        <w:rPr>
          <w:vertAlign w:val="superscript"/>
        </w:rPr>
        <w:t xml:space="preserve"> </w:t>
      </w:r>
    </w:p>
    <w:p w:rsidR="00D62CCC" w:rsidRPr="00323CC6" w:rsidRDefault="00D62CCC" w:rsidP="00D62CCC">
      <w:pPr>
        <w:rPr>
          <w:b/>
          <w:bCs/>
        </w:rPr>
      </w:pPr>
    </w:p>
    <w:p w:rsidR="00D62CCC" w:rsidRPr="00323CC6" w:rsidRDefault="00D62CCC" w:rsidP="00AE79B0">
      <w:pPr>
        <w:pStyle w:val="Question-Testimony"/>
      </w:pPr>
      <w:r w:rsidRPr="00323CC6">
        <w:t>Q.</w:t>
      </w:r>
      <w:r w:rsidRPr="00323CC6">
        <w:tab/>
      </w:r>
      <w:r w:rsidR="00D142B0">
        <w:t>You mention Staff witness Gomez’s net power cost adjustment.  How else did allocation factor issues affect Staff’s case</w:t>
      </w:r>
      <w:r w:rsidRPr="00323CC6">
        <w:t>?</w:t>
      </w:r>
    </w:p>
    <w:p w:rsidR="00365164" w:rsidRDefault="00D62CCC" w:rsidP="007F72E0">
      <w:r w:rsidRPr="00323CC6">
        <w:lastRenderedPageBreak/>
        <w:t>A.</w:t>
      </w:r>
      <w:r w:rsidRPr="00323CC6">
        <w:tab/>
      </w:r>
      <w:r w:rsidR="00E83010" w:rsidRPr="00323CC6">
        <w:t xml:space="preserve">PacifiCorp </w:t>
      </w:r>
      <w:r w:rsidR="00D0316D" w:rsidRPr="00323CC6">
        <w:t xml:space="preserve">is proposing selective revisions to the existing </w:t>
      </w:r>
      <w:r w:rsidR="00E906BD" w:rsidRPr="00323CC6">
        <w:t>jurisdictional</w:t>
      </w:r>
      <w:r w:rsidR="00D0316D" w:rsidRPr="00323CC6">
        <w:t xml:space="preserve"> cost allocation methodology</w:t>
      </w:r>
      <w:r w:rsidR="00F571B4" w:rsidRPr="00323CC6">
        <w:t xml:space="preserve"> that increase the revenue requirement for Washington customers by approximately $800,000.</w:t>
      </w:r>
      <w:r w:rsidR="000C09E8">
        <w:rPr>
          <w:rStyle w:val="FootnoteReference"/>
        </w:rPr>
        <w:footnoteReference w:id="8"/>
      </w:r>
      <w:r w:rsidR="00F571B4" w:rsidRPr="00323CC6">
        <w:t xml:space="preserve">  </w:t>
      </w:r>
      <w:r w:rsidR="007F72E0">
        <w:t>While that</w:t>
      </w:r>
      <w:r w:rsidR="00E83010" w:rsidRPr="00323CC6">
        <w:t xml:space="preserve"> </w:t>
      </w:r>
      <w:r w:rsidR="00F571B4" w:rsidRPr="00323CC6">
        <w:t>increase</w:t>
      </w:r>
      <w:r w:rsidR="00E83010" w:rsidRPr="00323CC6">
        <w:t xml:space="preserve"> is not necessarily problematic</w:t>
      </w:r>
      <w:r w:rsidR="00CD6681" w:rsidRPr="00323CC6">
        <w:t xml:space="preserve">, the Company has not presented </w:t>
      </w:r>
      <w:r w:rsidR="007F72E0">
        <w:t>the</w:t>
      </w:r>
      <w:r w:rsidR="00CD6681" w:rsidRPr="00323CC6">
        <w:t xml:space="preserve"> comprehensive review of cost allocation</w:t>
      </w:r>
      <w:r w:rsidR="00E906BD" w:rsidRPr="00323CC6">
        <w:t>s</w:t>
      </w:r>
      <w:r w:rsidR="00CD6681" w:rsidRPr="00323CC6">
        <w:t xml:space="preserve"> </w:t>
      </w:r>
      <w:r w:rsidR="00E906BD" w:rsidRPr="00323CC6">
        <w:t xml:space="preserve">necessary to </w:t>
      </w:r>
      <w:r w:rsidR="00CD6681" w:rsidRPr="00323CC6">
        <w:t>assure the Commission that the Company’s proposals do not over</w:t>
      </w:r>
      <w:r w:rsidR="00E83010" w:rsidRPr="00323CC6">
        <w:t>-allocat</w:t>
      </w:r>
      <w:r w:rsidR="00CD6681" w:rsidRPr="00323CC6">
        <w:t>e</w:t>
      </w:r>
      <w:r w:rsidR="00E83010" w:rsidRPr="00323CC6">
        <w:t xml:space="preserve"> costs to Washington</w:t>
      </w:r>
      <w:r w:rsidR="00F571B4" w:rsidRPr="00323CC6">
        <w:t xml:space="preserve">.  </w:t>
      </w:r>
      <w:r w:rsidR="00365164">
        <w:t xml:space="preserve">This is particularly troublesome because, </w:t>
      </w:r>
      <w:r w:rsidR="007F72E0">
        <w:t xml:space="preserve">as I mentioned earlier, annual report data shows that </w:t>
      </w:r>
      <w:r w:rsidR="00365164">
        <w:t xml:space="preserve">Washington </w:t>
      </w:r>
      <w:r w:rsidR="007F72E0">
        <w:t xml:space="preserve">sales, revenue, and customers are </w:t>
      </w:r>
      <w:r w:rsidR="007D271C">
        <w:t xml:space="preserve">each </w:t>
      </w:r>
      <w:r w:rsidR="00365164">
        <w:t>only</w:t>
      </w:r>
      <w:r w:rsidR="007F72E0">
        <w:t xml:space="preserve"> 7 percent of the total </w:t>
      </w:r>
      <w:r w:rsidR="00D142B0">
        <w:t>C</w:t>
      </w:r>
      <w:r w:rsidR="007F72E0">
        <w:t>ompany operation</w:t>
      </w:r>
      <w:r w:rsidR="00365164">
        <w:t>s</w:t>
      </w:r>
      <w:r w:rsidR="007F72E0">
        <w:t xml:space="preserve">.  </w:t>
      </w:r>
    </w:p>
    <w:p w:rsidR="00E83010" w:rsidRPr="00323CC6" w:rsidRDefault="007D271C" w:rsidP="007F72E0">
      <w:r>
        <w:tab/>
      </w:r>
      <w:r>
        <w:tab/>
      </w:r>
      <w:bookmarkStart w:id="5" w:name="_GoBack"/>
      <w:bookmarkEnd w:id="5"/>
      <w:r w:rsidR="00115111" w:rsidRPr="00323CC6">
        <w:t>Staff</w:t>
      </w:r>
      <w:r w:rsidR="00CD6681" w:rsidRPr="00323CC6">
        <w:t xml:space="preserve"> rejects the Company’s cost allocation proposals and</w:t>
      </w:r>
      <w:r w:rsidR="00115111" w:rsidRPr="00323CC6">
        <w:t xml:space="preserve"> </w:t>
      </w:r>
      <w:r w:rsidR="007E4EDC" w:rsidRPr="00323CC6">
        <w:t>retains the</w:t>
      </w:r>
      <w:r w:rsidR="00115111" w:rsidRPr="00323CC6">
        <w:t xml:space="preserve"> existing </w:t>
      </w:r>
      <w:r w:rsidR="00E906BD" w:rsidRPr="00323CC6">
        <w:t>jurisdictional</w:t>
      </w:r>
      <w:r w:rsidR="00115111" w:rsidRPr="00323CC6">
        <w:t xml:space="preserve"> cost</w:t>
      </w:r>
      <w:r w:rsidR="00E906BD" w:rsidRPr="00323CC6">
        <w:t xml:space="preserve"> </w:t>
      </w:r>
      <w:r w:rsidR="00115111" w:rsidRPr="00323CC6">
        <w:t>allocation</w:t>
      </w:r>
      <w:r w:rsidR="007F72E0">
        <w:t xml:space="preserve"> </w:t>
      </w:r>
      <w:r w:rsidR="00CD6681" w:rsidRPr="00323CC6">
        <w:t>methodology.</w:t>
      </w:r>
      <w:r w:rsidR="00D142B0">
        <w:rPr>
          <w:rStyle w:val="FootnoteReference"/>
        </w:rPr>
        <w:footnoteReference w:id="9"/>
      </w:r>
      <w:r w:rsidR="00CD6681" w:rsidRPr="00323CC6">
        <w:t xml:space="preserve">  </w:t>
      </w:r>
      <w:r w:rsidR="00B01BDA" w:rsidRPr="00323CC6">
        <w:t xml:space="preserve">Given the importance of </w:t>
      </w:r>
      <w:r w:rsidR="00E906BD" w:rsidRPr="00323CC6">
        <w:t xml:space="preserve"> this issue </w:t>
      </w:r>
      <w:r w:rsidR="00B01BDA" w:rsidRPr="00323CC6">
        <w:t xml:space="preserve">to both the Company and Washington customers, we </w:t>
      </w:r>
      <w:r w:rsidR="00F571B4" w:rsidRPr="00323CC6">
        <w:t xml:space="preserve">also </w:t>
      </w:r>
      <w:r w:rsidR="00B01BDA" w:rsidRPr="00323CC6">
        <w:t xml:space="preserve">recommend a </w:t>
      </w:r>
      <w:r w:rsidR="00F571B4" w:rsidRPr="00323CC6">
        <w:t xml:space="preserve">report </w:t>
      </w:r>
      <w:r w:rsidR="00B01BDA" w:rsidRPr="00323CC6">
        <w:t xml:space="preserve">on allocation factors </w:t>
      </w:r>
      <w:r w:rsidR="00CD6681" w:rsidRPr="00323CC6">
        <w:t xml:space="preserve">to be filed </w:t>
      </w:r>
      <w:r w:rsidR="007F72E0">
        <w:t>before</w:t>
      </w:r>
      <w:r w:rsidR="00F571B4" w:rsidRPr="00323CC6">
        <w:t xml:space="preserve"> the Company’s next full general rate case. </w:t>
      </w:r>
      <w:r w:rsidR="00575264" w:rsidRPr="00323CC6">
        <w:t xml:space="preserve"> </w:t>
      </w:r>
      <w:r w:rsidR="00CD6681" w:rsidRPr="00323CC6">
        <w:t xml:space="preserve">This report will facilitate the comprehensive review that PacifiCorp’s filing did not permit.  </w:t>
      </w:r>
      <w:r w:rsidR="00115111" w:rsidRPr="00323CC6">
        <w:t>Staff witness Kendra A. White</w:t>
      </w:r>
      <w:r w:rsidR="00CD6681" w:rsidRPr="00323CC6">
        <w:t xml:space="preserve"> addresses these issues in detail in her testimony</w:t>
      </w:r>
      <w:r w:rsidR="00115111" w:rsidRPr="00323CC6">
        <w:t>.</w:t>
      </w:r>
    </w:p>
    <w:p w:rsidR="00D142B0" w:rsidRDefault="00D142B0" w:rsidP="00D142B0">
      <w:pPr>
        <w:pStyle w:val="Question-Testimony"/>
      </w:pPr>
    </w:p>
    <w:p w:rsidR="00D142B0" w:rsidRPr="00323CC6" w:rsidRDefault="00D142B0" w:rsidP="00D142B0">
      <w:pPr>
        <w:pStyle w:val="Question-Testimony"/>
      </w:pPr>
      <w:r w:rsidRPr="00323CC6">
        <w:t>Q.</w:t>
      </w:r>
      <w:r w:rsidRPr="00323CC6">
        <w:tab/>
        <w:t>Are there any other areas of controversy between Staff and the Company?</w:t>
      </w:r>
    </w:p>
    <w:p w:rsidR="00D62CCC" w:rsidRDefault="00D142B0" w:rsidP="00D62CCC">
      <w:r>
        <w:t>A.</w:t>
      </w:r>
      <w:r w:rsidR="00E83010" w:rsidRPr="00323CC6">
        <w:tab/>
      </w:r>
      <w:r>
        <w:t>Yes.</w:t>
      </w:r>
      <w:r w:rsidR="00517310" w:rsidRPr="00323CC6">
        <w:t xml:space="preserve"> </w:t>
      </w:r>
      <w:r>
        <w:t xml:space="preserve"> </w:t>
      </w:r>
      <w:r w:rsidR="00D62CCC" w:rsidRPr="00323CC6">
        <w:t xml:space="preserve">Staff </w:t>
      </w:r>
      <w:r w:rsidR="00115111" w:rsidRPr="00323CC6">
        <w:t xml:space="preserve">applied </w:t>
      </w:r>
      <w:r w:rsidR="00D62CCC" w:rsidRPr="00323CC6">
        <w:t>average of monthly averages balances for rate base</w:t>
      </w:r>
      <w:r w:rsidR="00115111" w:rsidRPr="00323CC6">
        <w:t xml:space="preserve"> and related expenses</w:t>
      </w:r>
      <w:r w:rsidR="00A5385F" w:rsidRPr="00323CC6">
        <w:t xml:space="preserve">, which is </w:t>
      </w:r>
      <w:r w:rsidR="00E906BD" w:rsidRPr="00323CC6">
        <w:t xml:space="preserve">the </w:t>
      </w:r>
      <w:r w:rsidR="00A5385F" w:rsidRPr="00323CC6">
        <w:t xml:space="preserve">favored </w:t>
      </w:r>
      <w:r w:rsidR="00E906BD" w:rsidRPr="00323CC6">
        <w:t xml:space="preserve">approach of </w:t>
      </w:r>
      <w:r w:rsidR="00A5385F" w:rsidRPr="00323CC6">
        <w:t>the Commission</w:t>
      </w:r>
      <w:r w:rsidR="00D62CCC" w:rsidRPr="00323CC6">
        <w:t xml:space="preserve"> </w:t>
      </w:r>
      <w:r w:rsidR="00086678" w:rsidRPr="00323CC6">
        <w:t>in accordance with the matching principle of historical test-period ratemaking.  T</w:t>
      </w:r>
      <w:r w:rsidR="00D62CCC" w:rsidRPr="00323CC6">
        <w:t xml:space="preserve">he Company’s </w:t>
      </w:r>
      <w:r>
        <w:t>request for</w:t>
      </w:r>
      <w:r w:rsidR="00A5385F" w:rsidRPr="00323CC6">
        <w:t xml:space="preserve"> </w:t>
      </w:r>
      <w:r w:rsidR="00D62CCC" w:rsidRPr="00323CC6">
        <w:t xml:space="preserve">end-of-period rate base is not properly supported.  </w:t>
      </w:r>
      <w:r w:rsidR="00115111" w:rsidRPr="00323CC6">
        <w:t xml:space="preserve">This issue is addressed by </w:t>
      </w:r>
      <w:r w:rsidR="00D62CCC" w:rsidRPr="00323CC6">
        <w:t>Staff witness Betty A. Erdahl.</w:t>
      </w:r>
    </w:p>
    <w:p w:rsidR="00DA339F" w:rsidRPr="00323CC6" w:rsidRDefault="00DA339F" w:rsidP="00D62CCC">
      <w:r>
        <w:lastRenderedPageBreak/>
        <w:tab/>
      </w:r>
      <w:r>
        <w:tab/>
        <w:t>Staff is also recommending adjustments to rate design and cost of service, which are intended to improve the conservation signals in rates and to address the impacts of renewable resources on the Company’s cost of service.  These issues are addressed by Staff witness Christopher T. Mickelson.</w:t>
      </w:r>
    </w:p>
    <w:p w:rsidR="00FC64DA" w:rsidRPr="00323CC6" w:rsidRDefault="00FC64DA" w:rsidP="00D62CCC"/>
    <w:p w:rsidR="00FC64DA" w:rsidRPr="00323CC6" w:rsidRDefault="00FC64DA" w:rsidP="00FC64DA">
      <w:pPr>
        <w:pStyle w:val="Heading1"/>
      </w:pPr>
      <w:r w:rsidRPr="00323CC6">
        <w:t>STAFF WITNESSES</w:t>
      </w:r>
    </w:p>
    <w:p w:rsidR="004E03BD" w:rsidRPr="00323CC6" w:rsidRDefault="004E03BD" w:rsidP="003C641F">
      <w:pPr>
        <w:rPr>
          <w:b/>
          <w:bCs/>
        </w:rPr>
      </w:pPr>
    </w:p>
    <w:p w:rsidR="003C60C5" w:rsidRPr="00323CC6" w:rsidRDefault="003C60C5" w:rsidP="00AE79B0">
      <w:pPr>
        <w:pStyle w:val="Question-Testimony"/>
      </w:pPr>
      <w:r w:rsidRPr="00323CC6">
        <w:t>Q.</w:t>
      </w:r>
      <w:r w:rsidRPr="00323CC6">
        <w:tab/>
        <w:t>Please introduce the Staff witnesses testifying in this proceeding and the</w:t>
      </w:r>
      <w:r w:rsidR="00E906BD" w:rsidRPr="00323CC6">
        <w:t xml:space="preserve"> </w:t>
      </w:r>
      <w:r w:rsidRPr="00323CC6">
        <w:t>subject</w:t>
      </w:r>
      <w:r w:rsidR="00115111" w:rsidRPr="00323CC6">
        <w:t xml:space="preserve"> matter</w:t>
      </w:r>
      <w:r w:rsidR="00E906BD" w:rsidRPr="00323CC6">
        <w:t xml:space="preserve"> of their testimony</w:t>
      </w:r>
      <w:r w:rsidRPr="00323CC6">
        <w:t>.</w:t>
      </w:r>
    </w:p>
    <w:p w:rsidR="003C60C5" w:rsidRPr="00323CC6" w:rsidRDefault="003C60C5" w:rsidP="003C60C5">
      <w:r w:rsidRPr="00323CC6">
        <w:t>A.</w:t>
      </w:r>
      <w:r w:rsidRPr="00323CC6">
        <w:tab/>
        <w:t>The following witnesses present testimony and exhibits for Staff:</w:t>
      </w:r>
    </w:p>
    <w:p w:rsidR="003C60C5" w:rsidRPr="00323CC6" w:rsidRDefault="003C60C5" w:rsidP="00DA339F">
      <w:pPr>
        <w:pStyle w:val="ListParagraph"/>
        <w:numPr>
          <w:ilvl w:val="0"/>
          <w:numId w:val="15"/>
        </w:numPr>
        <w:spacing w:after="0" w:line="480" w:lineRule="auto"/>
        <w:ind w:left="1080"/>
      </w:pPr>
      <w:r w:rsidRPr="00323CC6">
        <w:t xml:space="preserve">Ms. Kendra A. White recommends that rates be set in this case using the existing West Control Area interstate cost allocation factors, given the Company’s failure to present a comprehensive </w:t>
      </w:r>
      <w:r w:rsidR="00FD4A46" w:rsidRPr="00323CC6">
        <w:t xml:space="preserve">alternative </w:t>
      </w:r>
      <w:r w:rsidRPr="00323CC6">
        <w:t xml:space="preserve">case on that subject matter.  She also recommends </w:t>
      </w:r>
      <w:r w:rsidR="008D29BC" w:rsidRPr="00323CC6">
        <w:t>the</w:t>
      </w:r>
      <w:r w:rsidRPr="00323CC6">
        <w:t xml:space="preserve"> Commission order</w:t>
      </w:r>
      <w:r w:rsidR="008D29BC" w:rsidRPr="00323CC6">
        <w:t xml:space="preserve"> PacifiCorp to submit</w:t>
      </w:r>
      <w:r w:rsidRPr="00323CC6">
        <w:t xml:space="preserve"> a </w:t>
      </w:r>
      <w:r w:rsidR="00365164">
        <w:t>report</w:t>
      </w:r>
      <w:r w:rsidRPr="00323CC6">
        <w:t xml:space="preserve"> on interstate cost-allocation factors </w:t>
      </w:r>
      <w:r w:rsidR="00365164">
        <w:t xml:space="preserve">to be </w:t>
      </w:r>
      <w:r w:rsidRPr="00323CC6">
        <w:t>use</w:t>
      </w:r>
      <w:r w:rsidR="00365164">
        <w:t>d</w:t>
      </w:r>
      <w:r w:rsidRPr="00323CC6">
        <w:t xml:space="preserve"> in the Company’s next general rate case.  Her testimony </w:t>
      </w:r>
      <w:r w:rsidR="00276855">
        <w:t xml:space="preserve">on cost allocation </w:t>
      </w:r>
      <w:r w:rsidRPr="00323CC6">
        <w:t>responds to the presentation of Company witness R. Bryce Dalley.</w:t>
      </w:r>
      <w:r w:rsidR="00C767F7" w:rsidRPr="00323CC6">
        <w:t xml:space="preserve">  </w:t>
      </w:r>
      <w:r w:rsidRPr="00323CC6">
        <w:t xml:space="preserve">She also </w:t>
      </w:r>
      <w:r w:rsidR="00C767F7" w:rsidRPr="00323CC6">
        <w:t>accepts</w:t>
      </w:r>
      <w:r w:rsidRPr="00323CC6">
        <w:t xml:space="preserve"> the temperature normalization and load forecasting methodologies presented by Company witness</w:t>
      </w:r>
      <w:r w:rsidR="00C767F7" w:rsidRPr="00323CC6">
        <w:t xml:space="preserve"> Kelcey A.</w:t>
      </w:r>
      <w:r w:rsidRPr="00323CC6">
        <w:t xml:space="preserve"> Brown.</w:t>
      </w:r>
    </w:p>
    <w:p w:rsidR="00DA339F" w:rsidRPr="00323CC6" w:rsidRDefault="00DA339F" w:rsidP="00DA339F">
      <w:pPr>
        <w:pStyle w:val="ListParagraph"/>
        <w:numPr>
          <w:ilvl w:val="0"/>
          <w:numId w:val="15"/>
        </w:numPr>
        <w:spacing w:after="0" w:line="480" w:lineRule="auto"/>
        <w:ind w:left="1080"/>
      </w:pPr>
      <w:r w:rsidRPr="00323CC6">
        <w:t xml:space="preserve">Mr. David C. Gomez presents recommendations on the treatment of net power costs including an adjustment to disallow allocation of the cost of purchased power from Qualifying Facilities located in California and Oregon.  He also recommends that the Commission reject the Company’s proposal for a Power Cost Adjustment Mechanism because that proposal does not contain a dead-band </w:t>
      </w:r>
      <w:r w:rsidRPr="00323CC6">
        <w:lastRenderedPageBreak/>
        <w:t xml:space="preserve">and sharing bands, contrary to Commission precedent.  His testimony on these subjects responds to Company witness Gregory N. Duvall.  </w:t>
      </w:r>
    </w:p>
    <w:p w:rsidR="00323CC6" w:rsidRPr="00323CC6" w:rsidRDefault="00323CC6" w:rsidP="00323CC6">
      <w:pPr>
        <w:pStyle w:val="ListParagraph"/>
        <w:numPr>
          <w:ilvl w:val="0"/>
          <w:numId w:val="15"/>
        </w:numPr>
        <w:spacing w:after="0" w:line="480" w:lineRule="auto"/>
        <w:ind w:left="1080"/>
      </w:pPr>
      <w:r w:rsidRPr="00323CC6">
        <w:t xml:space="preserve">Mr. Kenneth L. Elgin recommends </w:t>
      </w:r>
      <w:r w:rsidR="00B746AD">
        <w:t>a lower</w:t>
      </w:r>
      <w:r w:rsidRPr="00323CC6">
        <w:t xml:space="preserve"> overall cost of capital of 7.03 percent, which includes a return on equity of 9.00 percent, and a capital structure containing 46 percent equity and 4 percent short-term debt.  He responds to the Company’s witnesses on cost of capital:  Mr. Samuel C. Hadaway </w:t>
      </w:r>
      <w:r w:rsidR="00365164">
        <w:t xml:space="preserve">who recommends a 10 percent </w:t>
      </w:r>
      <w:r w:rsidRPr="00323CC6">
        <w:t>return on equity</w:t>
      </w:r>
      <w:r w:rsidR="00365164">
        <w:t xml:space="preserve"> </w:t>
      </w:r>
      <w:r w:rsidRPr="00323CC6">
        <w:t xml:space="preserve">and Mr. Bruce N. Williams </w:t>
      </w:r>
      <w:r w:rsidR="00365164">
        <w:t xml:space="preserve">who recommends a </w:t>
      </w:r>
      <w:r w:rsidRPr="00323CC6">
        <w:t>capital structure</w:t>
      </w:r>
      <w:r w:rsidR="00365164">
        <w:t xml:space="preserve"> with 52.51 percent equity and no short-term debt.</w:t>
      </w:r>
    </w:p>
    <w:p w:rsidR="003C60C5" w:rsidRPr="00323CC6" w:rsidRDefault="003C60C5" w:rsidP="003C60C5">
      <w:pPr>
        <w:pStyle w:val="ListParagraph"/>
        <w:numPr>
          <w:ilvl w:val="0"/>
          <w:numId w:val="15"/>
        </w:numPr>
        <w:spacing w:after="0" w:line="480" w:lineRule="auto"/>
        <w:ind w:left="1080"/>
      </w:pPr>
      <w:r w:rsidRPr="00323CC6">
        <w:t xml:space="preserve">Mr. Chris </w:t>
      </w:r>
      <w:r w:rsidR="00C01C71" w:rsidRPr="00323CC6">
        <w:t xml:space="preserve">R. </w:t>
      </w:r>
      <w:r w:rsidRPr="00323CC6">
        <w:t xml:space="preserve">McGuire presents the recommended </w:t>
      </w:r>
      <w:r w:rsidR="00FD4A46" w:rsidRPr="00323CC6">
        <w:t xml:space="preserve">ratemaking </w:t>
      </w:r>
      <w:r w:rsidRPr="00323CC6">
        <w:t>treatment for</w:t>
      </w:r>
      <w:r w:rsidR="00323CC6" w:rsidRPr="00323CC6">
        <w:t xml:space="preserve"> the</w:t>
      </w:r>
      <w:r w:rsidR="00B746AD">
        <w:t xml:space="preserve"> Merwin Fish Collector,</w:t>
      </w:r>
      <w:r w:rsidR="00323CC6" w:rsidRPr="00323CC6">
        <w:t xml:space="preserve"> </w:t>
      </w:r>
      <w:r w:rsidR="00323CC6" w:rsidRPr="00323CC6">
        <w:rPr>
          <w:szCs w:val="24"/>
        </w:rPr>
        <w:t>Swift Fish Collector, Soda Springs Fish Passage, and Prospect In-Stream Flow/Automation</w:t>
      </w:r>
      <w:r w:rsidRPr="00323CC6">
        <w:t xml:space="preserve"> hydroelectric project improvements </w:t>
      </w:r>
      <w:r w:rsidR="00276855">
        <w:t xml:space="preserve">discussed by </w:t>
      </w:r>
      <w:r w:rsidRPr="00323CC6">
        <w:t xml:space="preserve">Company witness </w:t>
      </w:r>
      <w:r w:rsidR="00323CC6">
        <w:t xml:space="preserve">Mark R. </w:t>
      </w:r>
      <w:proofErr w:type="gramStart"/>
      <w:r w:rsidRPr="00323CC6">
        <w:t>Tallman,</w:t>
      </w:r>
      <w:proofErr w:type="gramEnd"/>
      <w:r w:rsidRPr="00323CC6">
        <w:t xml:space="preserve"> and for </w:t>
      </w:r>
      <w:r w:rsidR="00FD4A46" w:rsidRPr="00323CC6">
        <w:t>a</w:t>
      </w:r>
      <w:r w:rsidR="0040646C" w:rsidRPr="00323CC6">
        <w:t xml:space="preserve"> turbine upgrade to the </w:t>
      </w:r>
      <w:r w:rsidRPr="00323CC6">
        <w:t xml:space="preserve">Jim Bridger Unit 2 </w:t>
      </w:r>
      <w:r w:rsidR="00276855">
        <w:t xml:space="preserve">discussed by </w:t>
      </w:r>
      <w:r w:rsidRPr="00323CC6">
        <w:t xml:space="preserve">Company witness </w:t>
      </w:r>
      <w:r w:rsidR="0040646C" w:rsidRPr="00323CC6">
        <w:t xml:space="preserve">Dana M. </w:t>
      </w:r>
      <w:r w:rsidRPr="00323CC6">
        <w:t>Ralston.  Based on a proper application of the concept of a pro forma adjustment, he recommends a cut-off date of January 11, 2013, the day the Company filed this case, for allowance of these capital additions and related expenses</w:t>
      </w:r>
      <w:r w:rsidR="00827099" w:rsidRPr="00323CC6">
        <w:t xml:space="preserve"> in rates</w:t>
      </w:r>
      <w:r w:rsidRPr="00323CC6">
        <w:t>.</w:t>
      </w:r>
      <w:r w:rsidR="00FD4A46" w:rsidRPr="00323CC6">
        <w:t xml:space="preserve">  </w:t>
      </w:r>
      <w:r w:rsidR="00827099" w:rsidRPr="00323CC6">
        <w:t>Based on that cut-off date, t</w:t>
      </w:r>
      <w:r w:rsidR="00FD4A46" w:rsidRPr="00323CC6">
        <w:t xml:space="preserve">he Jim Bridger upgrade and Merwin Fish Collector </w:t>
      </w:r>
      <w:r w:rsidR="00827099" w:rsidRPr="00323CC6">
        <w:t xml:space="preserve">are disallowed </w:t>
      </w:r>
      <w:r w:rsidR="00FD4A46" w:rsidRPr="00323CC6">
        <w:t xml:space="preserve">because these projects were not </w:t>
      </w:r>
      <w:r w:rsidR="00827099" w:rsidRPr="00323CC6">
        <w:t xml:space="preserve">then </w:t>
      </w:r>
      <w:r w:rsidR="00FD4A46" w:rsidRPr="00323CC6">
        <w:t>in service.</w:t>
      </w:r>
    </w:p>
    <w:p w:rsidR="00323CC6" w:rsidRPr="00323CC6" w:rsidRDefault="00323CC6" w:rsidP="00323CC6">
      <w:pPr>
        <w:pStyle w:val="ListParagraph"/>
        <w:numPr>
          <w:ilvl w:val="0"/>
          <w:numId w:val="15"/>
        </w:numPr>
        <w:spacing w:after="0" w:line="480" w:lineRule="auto"/>
        <w:ind w:left="1080"/>
      </w:pPr>
      <w:r w:rsidRPr="00323CC6">
        <w:t>Ms. Juliana M. Williams presents testimony supporting the prudence of the</w:t>
      </w:r>
      <w:r w:rsidR="00DF6F81">
        <w:t xml:space="preserve"> same</w:t>
      </w:r>
      <w:r w:rsidR="00DF6F81">
        <w:rPr>
          <w:szCs w:val="24"/>
        </w:rPr>
        <w:t xml:space="preserve"> </w:t>
      </w:r>
      <w:r w:rsidRPr="00323CC6">
        <w:t>hydroelectric project improvements</w:t>
      </w:r>
      <w:r w:rsidR="00DF6F81">
        <w:t xml:space="preserve"> other than the Merwin Fish Col</w:t>
      </w:r>
      <w:r w:rsidR="00F3665D">
        <w:t>l</w:t>
      </w:r>
      <w:r w:rsidR="00DF6F81">
        <w:t>ector</w:t>
      </w:r>
      <w:r w:rsidRPr="00323CC6">
        <w:t xml:space="preserve">, in response to Company witness Tallman.  </w:t>
      </w:r>
      <w:r w:rsidR="00DF6F81">
        <w:t>She excluded the Merwin Fish Collector from her review b</w:t>
      </w:r>
      <w:r w:rsidRPr="00323CC6">
        <w:t xml:space="preserve">ased on Staff witness McGuire’s recommendation.  Ms. </w:t>
      </w:r>
      <w:r w:rsidRPr="00323CC6">
        <w:lastRenderedPageBreak/>
        <w:t>Williams also responds to the Company’s implementation of the five year Low Income Bill Assistance plan presented by Company witness Joelle R. Steward.</w:t>
      </w:r>
    </w:p>
    <w:p w:rsidR="00323CC6" w:rsidRDefault="00323CC6" w:rsidP="00323CC6">
      <w:pPr>
        <w:pStyle w:val="ListParagraph"/>
        <w:numPr>
          <w:ilvl w:val="0"/>
          <w:numId w:val="15"/>
        </w:numPr>
        <w:spacing w:after="0" w:line="480" w:lineRule="auto"/>
        <w:ind w:left="1080"/>
      </w:pPr>
      <w:r w:rsidRPr="00323CC6">
        <w:t xml:space="preserve">Ms. Betty A. Erdahl presents testimony concerning the appropriate ratemaking treatment for property taxes.  </w:t>
      </w:r>
      <w:r w:rsidR="00276855">
        <w:t xml:space="preserve">Staff rejects the Company pro forma adjustment, thereby, keeping property tax expense at the accrual level that was booked during the test year.  </w:t>
      </w:r>
      <w:r w:rsidRPr="00323CC6">
        <w:t>She also addresses Staff’s overall recommendation to use average of monthly average balances for allowed pro forma rate base adjustments.  Her testimony responds to Company witness McDougal.</w:t>
      </w:r>
    </w:p>
    <w:p w:rsidR="00C6032E" w:rsidRPr="00323CC6" w:rsidRDefault="00C6032E" w:rsidP="00C6032E">
      <w:pPr>
        <w:pStyle w:val="ListParagraph"/>
        <w:numPr>
          <w:ilvl w:val="0"/>
          <w:numId w:val="15"/>
        </w:numPr>
        <w:spacing w:after="0" w:line="480" w:lineRule="auto"/>
        <w:ind w:left="1080"/>
      </w:pPr>
      <w:r w:rsidRPr="00323CC6">
        <w:t xml:space="preserve">Ms. Joanna Huang presents the Staff electric revenue requirement model in response to Company witness Steven R. McDougal.  She also </w:t>
      </w:r>
      <w:r>
        <w:t>presents an adjustment that removes</w:t>
      </w:r>
      <w:r w:rsidRPr="00323CC6">
        <w:t xml:space="preserve"> </w:t>
      </w:r>
      <w:r>
        <w:t xml:space="preserve">incentive pay </w:t>
      </w:r>
      <w:r w:rsidRPr="00323CC6">
        <w:t xml:space="preserve">compensation </w:t>
      </w:r>
      <w:r>
        <w:t>in response to</w:t>
      </w:r>
      <w:r w:rsidRPr="00323CC6">
        <w:t xml:space="preserve"> Company witness Erich D. Wilson.</w:t>
      </w:r>
    </w:p>
    <w:p w:rsidR="00323CC6" w:rsidRPr="00323CC6" w:rsidRDefault="00323CC6" w:rsidP="00323CC6">
      <w:pPr>
        <w:pStyle w:val="ListParagraph"/>
        <w:numPr>
          <w:ilvl w:val="0"/>
          <w:numId w:val="15"/>
        </w:numPr>
        <w:spacing w:after="0" w:line="480" w:lineRule="auto"/>
        <w:ind w:left="1080"/>
      </w:pPr>
      <w:r w:rsidRPr="00323CC6">
        <w:t xml:space="preserve">Mr. David Nightingale presents testimony </w:t>
      </w:r>
      <w:r w:rsidR="00DF6F81">
        <w:t xml:space="preserve">concluding that it was prudent for the Company to enter the </w:t>
      </w:r>
      <w:r w:rsidRPr="00323CC6">
        <w:t>Klamath Hydroelectric Settlement Agreement</w:t>
      </w:r>
      <w:r w:rsidR="00DF6F81">
        <w:t>, based on the evidence presented by Company witness Andrea L. Kelly and other documentation.  He also concurs with her proposal</w:t>
      </w:r>
      <w:r w:rsidR="00276855">
        <w:t>s</w:t>
      </w:r>
      <w:r w:rsidRPr="00323CC6">
        <w:t xml:space="preserve"> </w:t>
      </w:r>
      <w:r w:rsidR="00DF6F81">
        <w:t xml:space="preserve">to </w:t>
      </w:r>
      <w:r w:rsidRPr="00323CC6">
        <w:t>adop</w:t>
      </w:r>
      <w:r w:rsidR="00DF6F81">
        <w:t xml:space="preserve">t </w:t>
      </w:r>
      <w:r w:rsidRPr="00323CC6">
        <w:t xml:space="preserve">shorter depreciation lives for the Klamath Hydroelectric Project </w:t>
      </w:r>
      <w:r w:rsidR="00276855">
        <w:t xml:space="preserve">that </w:t>
      </w:r>
      <w:r w:rsidR="00A15CDC">
        <w:t xml:space="preserve">coincide with </w:t>
      </w:r>
      <w:r w:rsidR="00276855">
        <w:t>decommissio</w:t>
      </w:r>
      <w:r w:rsidR="00A15CDC">
        <w:t xml:space="preserve">ning and removal </w:t>
      </w:r>
      <w:r w:rsidR="00276855">
        <w:t>and to a</w:t>
      </w:r>
      <w:r w:rsidR="00276855">
        <w:rPr>
          <w:szCs w:val="24"/>
        </w:rPr>
        <w:t>llow a full year of amortization of the relicensing and settlement process costs associated with the Klamath Project</w:t>
      </w:r>
      <w:r w:rsidRPr="00323CC6">
        <w:t xml:space="preserve">.  </w:t>
      </w:r>
    </w:p>
    <w:p w:rsidR="00F3665D" w:rsidRDefault="003C60C5" w:rsidP="003C60C5">
      <w:pPr>
        <w:pStyle w:val="ListParagraph"/>
        <w:numPr>
          <w:ilvl w:val="0"/>
          <w:numId w:val="15"/>
        </w:numPr>
        <w:spacing w:after="0" w:line="480" w:lineRule="auto"/>
        <w:ind w:left="1080"/>
      </w:pPr>
      <w:r w:rsidRPr="00323CC6">
        <w:t>Mr. Tim</w:t>
      </w:r>
      <w:r w:rsidR="00C01C71" w:rsidRPr="00323CC6">
        <w:t>othy W.</w:t>
      </w:r>
      <w:r w:rsidRPr="00323CC6">
        <w:t xml:space="preserve"> Zawislak accepts revisions to the Investor Supplied Working Capital calculation presented by Company witness </w:t>
      </w:r>
      <w:r w:rsidR="0040646C" w:rsidRPr="00323CC6">
        <w:t xml:space="preserve">Douglas K. </w:t>
      </w:r>
      <w:r w:rsidRPr="00323CC6">
        <w:t>Stuver regarding derivatives and post-retirement benefits.</w:t>
      </w:r>
    </w:p>
    <w:p w:rsidR="00517310" w:rsidRDefault="003C60C5" w:rsidP="00F3665D">
      <w:pPr>
        <w:pStyle w:val="ListParagraph"/>
        <w:numPr>
          <w:ilvl w:val="0"/>
          <w:numId w:val="15"/>
        </w:numPr>
        <w:spacing w:after="0" w:line="480" w:lineRule="auto"/>
        <w:ind w:left="1080"/>
      </w:pPr>
      <w:r w:rsidRPr="00323CC6">
        <w:lastRenderedPageBreak/>
        <w:t>Mr. Christopher</w:t>
      </w:r>
      <w:r w:rsidR="00C01C71" w:rsidRPr="00323CC6">
        <w:t xml:space="preserve"> T.</w:t>
      </w:r>
      <w:r w:rsidRPr="00323CC6">
        <w:t xml:space="preserve"> Mickelson presents recommendations on the cost of service study, revenue allocation and rate design in response to Company witnesses </w:t>
      </w:r>
      <w:r w:rsidR="00705486" w:rsidRPr="00323CC6">
        <w:t xml:space="preserve">C. Craig </w:t>
      </w:r>
      <w:r w:rsidRPr="00323CC6">
        <w:t xml:space="preserve">Paice and </w:t>
      </w:r>
      <w:r w:rsidR="00705486" w:rsidRPr="00323CC6">
        <w:t xml:space="preserve">Joelle R. </w:t>
      </w:r>
      <w:r w:rsidRPr="00323CC6">
        <w:t xml:space="preserve">Steward.  </w:t>
      </w:r>
      <w:r w:rsidR="009E76EB" w:rsidRPr="00323CC6">
        <w:t>His testimony explains three improvements to the Company’s cost of service study that should be included in the next general rate case</w:t>
      </w:r>
      <w:r w:rsidR="00D71FC6">
        <w:t>, and recommends improvements to the Company’s rate design</w:t>
      </w:r>
      <w:r w:rsidR="009E76EB" w:rsidRPr="00323CC6">
        <w:t xml:space="preserve">.  </w:t>
      </w:r>
      <w:r w:rsidRPr="00323CC6">
        <w:t xml:space="preserve">Mr. Mickelson also presents recommendations on certain </w:t>
      </w:r>
      <w:r w:rsidR="00FD4A46" w:rsidRPr="00323CC6">
        <w:t xml:space="preserve">ratemaking </w:t>
      </w:r>
      <w:r w:rsidRPr="00323CC6">
        <w:t xml:space="preserve">adjustments and the net-to-gross conversion factor in response to Company witness McDougal, and the proposed tariff changes to Rule 6 and Schedule 300 in response to Company witness </w:t>
      </w:r>
      <w:r w:rsidR="000F493B" w:rsidRPr="00323CC6">
        <w:t xml:space="preserve">Barbara A. </w:t>
      </w:r>
      <w:r w:rsidRPr="00323CC6">
        <w:t xml:space="preserve">Coughlin.  </w:t>
      </w:r>
    </w:p>
    <w:p w:rsidR="00F3665D" w:rsidRPr="00323CC6" w:rsidRDefault="00F3665D" w:rsidP="00F3665D"/>
    <w:p w:rsidR="00517310" w:rsidRPr="00323CC6" w:rsidRDefault="00517310" w:rsidP="00517310">
      <w:pPr>
        <w:pStyle w:val="Heading1"/>
      </w:pPr>
      <w:bookmarkStart w:id="6" w:name="_Toc359311583"/>
      <w:r w:rsidRPr="00323CC6">
        <w:t>EXPEDITED RATE FILING</w:t>
      </w:r>
      <w:bookmarkEnd w:id="6"/>
    </w:p>
    <w:p w:rsidR="00517310" w:rsidRPr="00323CC6" w:rsidRDefault="00517310" w:rsidP="00AE79B0"/>
    <w:p w:rsidR="00517310" w:rsidRPr="00323CC6" w:rsidRDefault="00517310" w:rsidP="00517310">
      <w:pPr>
        <w:pStyle w:val="Question-Testimony"/>
      </w:pPr>
      <w:r w:rsidRPr="00323CC6">
        <w:t>Q.</w:t>
      </w:r>
      <w:r w:rsidRPr="00323CC6">
        <w:tab/>
        <w:t>Staff witness McGuire recommends excluding capital plant additions that were not in service when the Company’s case was filed on January 11, 2013.  Does this proposal disadvantage the Company?</w:t>
      </w:r>
    </w:p>
    <w:p w:rsidR="00B117C3" w:rsidRDefault="00517310" w:rsidP="00517310">
      <w:r w:rsidRPr="00323CC6">
        <w:t xml:space="preserve">A. </w:t>
      </w:r>
      <w:r w:rsidRPr="00323CC6">
        <w:tab/>
        <w:t>No.  In Dockets UE-111048 and UG-111049, PSE’s most recent GRC, the Commission responded positively to a Staff recommendation for an</w:t>
      </w:r>
      <w:r w:rsidRPr="00323CC6">
        <w:rPr>
          <w:bCs/>
        </w:rPr>
        <w:t xml:space="preserve"> E</w:t>
      </w:r>
      <w:r w:rsidR="00D71FC6">
        <w:rPr>
          <w:bCs/>
        </w:rPr>
        <w:t xml:space="preserve">xpedited </w:t>
      </w:r>
      <w:r w:rsidRPr="00323CC6">
        <w:rPr>
          <w:bCs/>
        </w:rPr>
        <w:t>R</w:t>
      </w:r>
      <w:r w:rsidR="00D71FC6">
        <w:rPr>
          <w:bCs/>
        </w:rPr>
        <w:t xml:space="preserve">ate </w:t>
      </w:r>
      <w:r w:rsidRPr="00323CC6">
        <w:rPr>
          <w:bCs/>
        </w:rPr>
        <w:t>F</w:t>
      </w:r>
      <w:r w:rsidR="00D71FC6">
        <w:rPr>
          <w:bCs/>
        </w:rPr>
        <w:t>iling (“ERF”)</w:t>
      </w:r>
      <w:r w:rsidRPr="00323CC6">
        <w:rPr>
          <w:bCs/>
        </w:rPr>
        <w:t>.  The Commission noted particularly that there was no specific</w:t>
      </w:r>
      <w:r w:rsidRPr="00323CC6">
        <w:t xml:space="preserve"> proposal, so it could not reach a decision.</w:t>
      </w:r>
      <w:r w:rsidRPr="00323CC6">
        <w:rPr>
          <w:rStyle w:val="FootnoteReference"/>
        </w:rPr>
        <w:footnoteReference w:id="10"/>
      </w:r>
      <w:r w:rsidRPr="00323CC6">
        <w:t xml:space="preserve">  </w:t>
      </w:r>
    </w:p>
    <w:p w:rsidR="00517310" w:rsidRDefault="00B117C3" w:rsidP="00517310">
      <w:r>
        <w:tab/>
      </w:r>
      <w:r>
        <w:tab/>
      </w:r>
      <w:r w:rsidR="00D71FC6">
        <w:t xml:space="preserve">In response, </w:t>
      </w:r>
      <w:r w:rsidR="00517310" w:rsidRPr="00323CC6">
        <w:t xml:space="preserve">Staff </w:t>
      </w:r>
      <w:r w:rsidR="00D71FC6">
        <w:t xml:space="preserve">proposes </w:t>
      </w:r>
      <w:r w:rsidR="00A15CDC">
        <w:t>an expedited rate filing for PacifiCorp that</w:t>
      </w:r>
      <w:r w:rsidR="00D71FC6">
        <w:t xml:space="preserve"> </w:t>
      </w:r>
      <w:r w:rsidR="007E4EDC" w:rsidRPr="00323CC6">
        <w:t xml:space="preserve">could </w:t>
      </w:r>
      <w:r w:rsidR="00517310" w:rsidRPr="00323CC6">
        <w:t xml:space="preserve">be particularly </w:t>
      </w:r>
      <w:r w:rsidR="007E4EDC" w:rsidRPr="00323CC6">
        <w:t xml:space="preserve">useful </w:t>
      </w:r>
      <w:r w:rsidR="00517310" w:rsidRPr="00323CC6">
        <w:t xml:space="preserve">for </w:t>
      </w:r>
      <w:r w:rsidR="00A15CDC">
        <w:t>the Company because i</w:t>
      </w:r>
      <w:r w:rsidR="00931D84">
        <w:t>t will</w:t>
      </w:r>
      <w:r w:rsidR="007E4EDC" w:rsidRPr="00323CC6">
        <w:t xml:space="preserve"> capture </w:t>
      </w:r>
      <w:r w:rsidR="00517310" w:rsidRPr="00323CC6">
        <w:t>the Company</w:t>
      </w:r>
      <w:r w:rsidR="007E4EDC" w:rsidRPr="00323CC6">
        <w:t>’s</w:t>
      </w:r>
      <w:r w:rsidR="00517310" w:rsidRPr="00323CC6">
        <w:t xml:space="preserve"> capital additions placed into service later in 2013</w:t>
      </w:r>
      <w:r w:rsidR="00A15CDC">
        <w:t xml:space="preserve"> </w:t>
      </w:r>
      <w:r w:rsidR="00517310" w:rsidRPr="00323CC6">
        <w:t xml:space="preserve">and </w:t>
      </w:r>
      <w:r w:rsidR="00931D84">
        <w:t xml:space="preserve">will </w:t>
      </w:r>
      <w:r w:rsidR="007E4EDC" w:rsidRPr="00323CC6">
        <w:t xml:space="preserve">reduce regulatory lag by using </w:t>
      </w:r>
      <w:r w:rsidR="007E4EDC" w:rsidRPr="00323CC6">
        <w:lastRenderedPageBreak/>
        <w:t>more recent data on power costs, load and other cost changes</w:t>
      </w:r>
      <w:r>
        <w:t>.  As such, the ERF proposed by Staff is consistent with recommendations of the Governor for the Commission to consider approaches that will accelerate existing rate-setting practices and timelines, particularly through updates to test period information on investment, revenue and expenses with rate of return held constant.</w:t>
      </w:r>
      <w:r w:rsidR="00807EF4">
        <w:rPr>
          <w:rStyle w:val="FootnoteReference"/>
        </w:rPr>
        <w:footnoteReference w:id="11"/>
      </w:r>
      <w:r w:rsidR="00517310" w:rsidRPr="00323CC6">
        <w:t xml:space="preserve">  </w:t>
      </w:r>
    </w:p>
    <w:p w:rsidR="00807EF4" w:rsidRPr="00323CC6" w:rsidRDefault="00807EF4" w:rsidP="00517310"/>
    <w:p w:rsidR="00983F9A" w:rsidRDefault="00807EF4" w:rsidP="00983F9A">
      <w:pPr>
        <w:pStyle w:val="Question-Testimony"/>
      </w:pPr>
      <w:r w:rsidRPr="00323CC6">
        <w:t>Q.</w:t>
      </w:r>
      <w:r w:rsidRPr="00323CC6">
        <w:tab/>
      </w:r>
      <w:r>
        <w:t>The Governor’s letter urged a rulemaking</w:t>
      </w:r>
      <w:r w:rsidR="00983F9A">
        <w:t xml:space="preserve"> on expedited rate-setting procedures, while you are recommending a </w:t>
      </w:r>
      <w:r w:rsidR="00DC42D5">
        <w:t>PacifiCorp-</w:t>
      </w:r>
      <w:r w:rsidR="00983F9A">
        <w:t xml:space="preserve">specific approach outside a rulemaking.  Is </w:t>
      </w:r>
      <w:r w:rsidR="00A15CDC">
        <w:t>your ERF proposal p</w:t>
      </w:r>
      <w:r w:rsidR="000B032C">
        <w:t>r</w:t>
      </w:r>
      <w:r w:rsidR="00A15CDC">
        <w:t>emature</w:t>
      </w:r>
      <w:r w:rsidR="00983F9A">
        <w:t>?</w:t>
      </w:r>
    </w:p>
    <w:p w:rsidR="00517310" w:rsidRPr="00983F9A" w:rsidRDefault="00807EF4" w:rsidP="00983F9A">
      <w:pPr>
        <w:pStyle w:val="Question-Testimony"/>
        <w:rPr>
          <w:b w:val="0"/>
        </w:rPr>
      </w:pPr>
      <w:r w:rsidRPr="00983F9A">
        <w:rPr>
          <w:b w:val="0"/>
        </w:rPr>
        <w:t>A.</w:t>
      </w:r>
      <w:r w:rsidRPr="00983F9A">
        <w:rPr>
          <w:b w:val="0"/>
        </w:rPr>
        <w:tab/>
      </w:r>
      <w:r w:rsidR="00983F9A" w:rsidRPr="00983F9A">
        <w:rPr>
          <w:b w:val="0"/>
        </w:rPr>
        <w:t xml:space="preserve">No.  </w:t>
      </w:r>
      <w:r w:rsidRPr="00983F9A">
        <w:rPr>
          <w:b w:val="0"/>
        </w:rPr>
        <w:t xml:space="preserve">The Commission has routinely experimented with new approaches before incorporating them into administrative rules.  It </w:t>
      </w:r>
      <w:r w:rsidR="00A15CDC">
        <w:rPr>
          <w:b w:val="0"/>
        </w:rPr>
        <w:t>may be</w:t>
      </w:r>
      <w:r w:rsidRPr="00983F9A">
        <w:rPr>
          <w:b w:val="0"/>
        </w:rPr>
        <w:t xml:space="preserve"> quite difficult to get all the details just right in a rule without some practical application.  </w:t>
      </w:r>
      <w:r w:rsidR="00A15CDC">
        <w:rPr>
          <w:b w:val="0"/>
        </w:rPr>
        <w:t>For d</w:t>
      </w:r>
      <w:r w:rsidR="006A705D" w:rsidRPr="00983F9A">
        <w:rPr>
          <w:b w:val="0"/>
        </w:rPr>
        <w:t xml:space="preserve">ecoupling, </w:t>
      </w:r>
      <w:r w:rsidR="005D10A7">
        <w:rPr>
          <w:b w:val="0"/>
        </w:rPr>
        <w:t>which is one</w:t>
      </w:r>
      <w:r w:rsidR="005D10A7" w:rsidRPr="00983F9A">
        <w:rPr>
          <w:b w:val="0"/>
        </w:rPr>
        <w:t xml:space="preserve"> </w:t>
      </w:r>
      <w:r w:rsidR="006A705D" w:rsidRPr="00983F9A">
        <w:rPr>
          <w:b w:val="0"/>
        </w:rPr>
        <w:t>example</w:t>
      </w:r>
      <w:r w:rsidR="005D10A7">
        <w:rPr>
          <w:b w:val="0"/>
        </w:rPr>
        <w:t xml:space="preserve"> mentioned by the Governor’s letter</w:t>
      </w:r>
      <w:r w:rsidR="006A705D" w:rsidRPr="00983F9A">
        <w:rPr>
          <w:b w:val="0"/>
        </w:rPr>
        <w:t xml:space="preserve">, </w:t>
      </w:r>
      <w:r w:rsidR="00A15CDC">
        <w:rPr>
          <w:b w:val="0"/>
        </w:rPr>
        <w:t xml:space="preserve">the Commission </w:t>
      </w:r>
      <w:r w:rsidR="006A705D" w:rsidRPr="00983F9A">
        <w:rPr>
          <w:b w:val="0"/>
        </w:rPr>
        <w:t>implemented pilot projects, adjusted the pilots, allowed mechanisms to become permanent on a case-by-</w:t>
      </w:r>
      <w:r w:rsidR="0096766A">
        <w:rPr>
          <w:b w:val="0"/>
        </w:rPr>
        <w:t>c</w:t>
      </w:r>
      <w:r w:rsidR="006A705D" w:rsidRPr="00983F9A">
        <w:rPr>
          <w:b w:val="0"/>
        </w:rPr>
        <w:t>ase basis</w:t>
      </w:r>
      <w:r w:rsidR="000B032C">
        <w:rPr>
          <w:b w:val="0"/>
        </w:rPr>
        <w:t xml:space="preserve">, </w:t>
      </w:r>
      <w:r w:rsidR="002C02C7">
        <w:rPr>
          <w:b w:val="0"/>
        </w:rPr>
        <w:t xml:space="preserve">held workshops, </w:t>
      </w:r>
      <w:r w:rsidR="000B032C">
        <w:rPr>
          <w:b w:val="0"/>
        </w:rPr>
        <w:t xml:space="preserve">and then developed a </w:t>
      </w:r>
      <w:r w:rsidR="002C02C7">
        <w:rPr>
          <w:b w:val="0"/>
        </w:rPr>
        <w:t>Decoupling Policy Statement</w:t>
      </w:r>
      <w:r w:rsidR="006A705D" w:rsidRPr="00983F9A">
        <w:rPr>
          <w:b w:val="0"/>
        </w:rPr>
        <w:t>.</w:t>
      </w:r>
      <w:r w:rsidR="00983F9A">
        <w:rPr>
          <w:rStyle w:val="FootnoteReference"/>
          <w:b w:val="0"/>
        </w:rPr>
        <w:footnoteReference w:id="12"/>
      </w:r>
      <w:r w:rsidR="006A705D" w:rsidRPr="00983F9A">
        <w:rPr>
          <w:b w:val="0"/>
        </w:rPr>
        <w:t xml:space="preserve">  The </w:t>
      </w:r>
      <w:r w:rsidR="00BA7E41">
        <w:rPr>
          <w:b w:val="0"/>
        </w:rPr>
        <w:t>Energy Independence Act</w:t>
      </w:r>
      <w:r w:rsidR="006A705D" w:rsidRPr="00983F9A">
        <w:rPr>
          <w:b w:val="0"/>
        </w:rPr>
        <w:t xml:space="preserve"> require</w:t>
      </w:r>
      <w:r w:rsidR="00983F9A">
        <w:rPr>
          <w:b w:val="0"/>
        </w:rPr>
        <w:t>d</w:t>
      </w:r>
      <w:r w:rsidR="006A705D" w:rsidRPr="00983F9A">
        <w:rPr>
          <w:b w:val="0"/>
        </w:rPr>
        <w:t xml:space="preserve"> the Commission to develop administrative rules before the </w:t>
      </w:r>
      <w:r w:rsidR="00BA7E41">
        <w:rPr>
          <w:b w:val="0"/>
        </w:rPr>
        <w:t>implementation of the Renewable Portfolio Standard</w:t>
      </w:r>
      <w:r w:rsidR="00410F95">
        <w:rPr>
          <w:b w:val="0"/>
        </w:rPr>
        <w:t xml:space="preserve"> (</w:t>
      </w:r>
      <w:r w:rsidR="00A15CDC">
        <w:rPr>
          <w:b w:val="0"/>
        </w:rPr>
        <w:t>“</w:t>
      </w:r>
      <w:r w:rsidR="00410F95">
        <w:rPr>
          <w:b w:val="0"/>
        </w:rPr>
        <w:t>RPS</w:t>
      </w:r>
      <w:r w:rsidR="00A15CDC">
        <w:rPr>
          <w:b w:val="0"/>
        </w:rPr>
        <w:t>”</w:t>
      </w:r>
      <w:r w:rsidR="00410F95">
        <w:rPr>
          <w:b w:val="0"/>
        </w:rPr>
        <w:t>)</w:t>
      </w:r>
      <w:r w:rsidR="00BA7E41">
        <w:rPr>
          <w:b w:val="0"/>
        </w:rPr>
        <w:t xml:space="preserve"> four years later</w:t>
      </w:r>
      <w:r w:rsidR="006A705D" w:rsidRPr="00983F9A">
        <w:rPr>
          <w:b w:val="0"/>
        </w:rPr>
        <w:t>.</w:t>
      </w:r>
      <w:r w:rsidR="0096766A">
        <w:rPr>
          <w:rStyle w:val="FootnoteReference"/>
          <w:b w:val="0"/>
        </w:rPr>
        <w:footnoteReference w:id="13"/>
      </w:r>
      <w:r w:rsidR="006A705D" w:rsidRPr="00983F9A">
        <w:rPr>
          <w:b w:val="0"/>
        </w:rPr>
        <w:t xml:space="preserve">  Once the </w:t>
      </w:r>
      <w:r w:rsidR="00410F95">
        <w:rPr>
          <w:b w:val="0"/>
        </w:rPr>
        <w:t>RPS</w:t>
      </w:r>
      <w:r w:rsidR="00410F95" w:rsidRPr="00983F9A">
        <w:rPr>
          <w:b w:val="0"/>
        </w:rPr>
        <w:t xml:space="preserve"> </w:t>
      </w:r>
      <w:r w:rsidR="006A705D" w:rsidRPr="00983F9A">
        <w:rPr>
          <w:b w:val="0"/>
        </w:rPr>
        <w:t xml:space="preserve">went into effect, </w:t>
      </w:r>
      <w:r w:rsidR="00A15CDC">
        <w:rPr>
          <w:b w:val="0"/>
        </w:rPr>
        <w:t>S</w:t>
      </w:r>
      <w:r w:rsidR="00410F95">
        <w:rPr>
          <w:b w:val="0"/>
        </w:rPr>
        <w:t xml:space="preserve">taff discovered that the annual reporting requirement for a single report was not actually consistent with the RPS design, which allows companies to bank </w:t>
      </w:r>
      <w:r w:rsidR="00222AC2">
        <w:rPr>
          <w:b w:val="0"/>
        </w:rPr>
        <w:t>renewable energy credits</w:t>
      </w:r>
      <w:r w:rsidR="00410F95">
        <w:rPr>
          <w:b w:val="0"/>
        </w:rPr>
        <w:t xml:space="preserve"> across </w:t>
      </w:r>
      <w:r w:rsidR="00410F95">
        <w:rPr>
          <w:b w:val="0"/>
        </w:rPr>
        <w:lastRenderedPageBreak/>
        <w:t>multiple years</w:t>
      </w:r>
      <w:r w:rsidR="006A705D" w:rsidRPr="00983F9A">
        <w:rPr>
          <w:b w:val="0"/>
        </w:rPr>
        <w:t xml:space="preserve">.  Given these experiences, Staff strongly believes it is </w:t>
      </w:r>
      <w:r w:rsidR="00A15CDC">
        <w:rPr>
          <w:b w:val="0"/>
        </w:rPr>
        <w:t>advisable</w:t>
      </w:r>
      <w:r w:rsidR="006A705D" w:rsidRPr="00983F9A">
        <w:rPr>
          <w:b w:val="0"/>
        </w:rPr>
        <w:t xml:space="preserve"> for the Commission to </w:t>
      </w:r>
      <w:r w:rsidR="0096766A">
        <w:rPr>
          <w:b w:val="0"/>
        </w:rPr>
        <w:t>utilize</w:t>
      </w:r>
      <w:r w:rsidR="006A705D" w:rsidRPr="00983F9A">
        <w:rPr>
          <w:b w:val="0"/>
        </w:rPr>
        <w:t xml:space="preserve"> expedited rate filings before establishing a rule</w:t>
      </w:r>
      <w:r w:rsidR="00983F9A">
        <w:rPr>
          <w:b w:val="0"/>
        </w:rPr>
        <w:t xml:space="preserve"> or even in absence of a rule</w:t>
      </w:r>
      <w:r w:rsidR="006A705D" w:rsidRPr="00983F9A">
        <w:rPr>
          <w:b w:val="0"/>
        </w:rPr>
        <w:t>.</w:t>
      </w:r>
    </w:p>
    <w:p w:rsidR="00807EF4" w:rsidRPr="00323CC6" w:rsidRDefault="00807EF4" w:rsidP="00807EF4"/>
    <w:p w:rsidR="00FD4A46" w:rsidRPr="00323CC6" w:rsidRDefault="00FD4A46" w:rsidP="003C641F">
      <w:pPr>
        <w:pStyle w:val="Question-Testimony"/>
      </w:pPr>
      <w:r w:rsidRPr="00323CC6">
        <w:t>Q.</w:t>
      </w:r>
      <w:r w:rsidRPr="00323CC6">
        <w:tab/>
      </w:r>
      <w:r w:rsidR="00B46A11" w:rsidRPr="00323CC6">
        <w:t>P</w:t>
      </w:r>
      <w:r w:rsidRPr="00323CC6">
        <w:t>lease describe Staff</w:t>
      </w:r>
      <w:r w:rsidR="00B46A11" w:rsidRPr="00323CC6">
        <w:t>’s</w:t>
      </w:r>
      <w:r w:rsidRPr="00323CC6">
        <w:t xml:space="preserve"> </w:t>
      </w:r>
      <w:r w:rsidR="00B46A11" w:rsidRPr="00323CC6">
        <w:t>proposed</w:t>
      </w:r>
      <w:r w:rsidRPr="00323CC6">
        <w:t xml:space="preserve"> </w:t>
      </w:r>
      <w:r w:rsidR="00517310" w:rsidRPr="00323CC6">
        <w:t>ERF</w:t>
      </w:r>
      <w:r w:rsidR="0096766A">
        <w:t xml:space="preserve"> for PacifiCorp</w:t>
      </w:r>
      <w:r w:rsidR="00B746AD">
        <w:t>.</w:t>
      </w:r>
    </w:p>
    <w:p w:rsidR="0085663B" w:rsidRPr="00323CC6" w:rsidRDefault="00FD4A46" w:rsidP="003C60C5">
      <w:r w:rsidRPr="00323CC6">
        <w:t>A.</w:t>
      </w:r>
      <w:r w:rsidRPr="00323CC6">
        <w:tab/>
        <w:t>Staff proposes that the Company be allowed to</w:t>
      </w:r>
      <w:r w:rsidR="0085663B" w:rsidRPr="00323CC6">
        <w:t xml:space="preserve"> submit</w:t>
      </w:r>
      <w:r w:rsidRPr="00323CC6">
        <w:t xml:space="preserve"> an ERF in 2014 within two months of the filing of its standard Commission-basis report (“CBR”).  The ERF will be based on an enhanced CBR (“ECBR”) </w:t>
      </w:r>
      <w:r w:rsidR="00B46A11" w:rsidRPr="00323CC6">
        <w:t>using</w:t>
      </w:r>
      <w:r w:rsidRPr="00323CC6">
        <w:t xml:space="preserve"> the same </w:t>
      </w:r>
      <w:r w:rsidR="00B46A11" w:rsidRPr="00323CC6">
        <w:t xml:space="preserve">fiscal period </w:t>
      </w:r>
      <w:r w:rsidR="000F493B" w:rsidRPr="00323CC6">
        <w:t xml:space="preserve">as the </w:t>
      </w:r>
      <w:r w:rsidR="0072214F" w:rsidRPr="00323CC6">
        <w:t>CBR</w:t>
      </w:r>
      <w:r w:rsidRPr="00323CC6">
        <w:t xml:space="preserve"> and using the authorized rate of return</w:t>
      </w:r>
      <w:r w:rsidR="00A73CEF">
        <w:t>, revenue allocations, and rate design</w:t>
      </w:r>
      <w:r w:rsidRPr="00323CC6">
        <w:t xml:space="preserve"> from this general rate case.  </w:t>
      </w:r>
    </w:p>
    <w:p w:rsidR="00A251FE" w:rsidRPr="00323CC6" w:rsidRDefault="0085663B" w:rsidP="003C60C5">
      <w:r w:rsidRPr="00323CC6">
        <w:tab/>
      </w:r>
      <w:r w:rsidRPr="00323CC6">
        <w:tab/>
      </w:r>
      <w:r w:rsidR="00B46A11" w:rsidRPr="00323CC6">
        <w:t xml:space="preserve">Staff recognizes the </w:t>
      </w:r>
      <w:r w:rsidR="00FD4A46" w:rsidRPr="00323CC6">
        <w:t xml:space="preserve">CBR </w:t>
      </w:r>
      <w:r w:rsidR="00B46A11" w:rsidRPr="00323CC6">
        <w:t>is not designed as a ratemaking tool and</w:t>
      </w:r>
      <w:r w:rsidR="00A251FE" w:rsidRPr="00323CC6">
        <w:t xml:space="preserve">, therefore, the </w:t>
      </w:r>
      <w:r w:rsidR="00B46A11" w:rsidRPr="00323CC6">
        <w:t xml:space="preserve">enhancements </w:t>
      </w:r>
      <w:r w:rsidR="00A251FE" w:rsidRPr="00323CC6">
        <w:t xml:space="preserve">we propose are designed to make </w:t>
      </w:r>
      <w:r w:rsidR="00B46A11" w:rsidRPr="00323CC6">
        <w:t>the CBR use</w:t>
      </w:r>
      <w:r w:rsidR="0096766A">
        <w:t>able</w:t>
      </w:r>
      <w:r w:rsidR="00B46A11" w:rsidRPr="00323CC6">
        <w:t xml:space="preserve"> for developing rates.</w:t>
      </w:r>
      <w:r w:rsidR="00A251FE" w:rsidRPr="00323CC6">
        <w:t xml:space="preserve">  M</w:t>
      </w:r>
      <w:r w:rsidR="004917D7" w:rsidRPr="00323CC6">
        <w:t>y Exhibit No. ___ (DJR-</w:t>
      </w:r>
      <w:r w:rsidR="0096766A">
        <w:t>3</w:t>
      </w:r>
      <w:r w:rsidR="004917D7" w:rsidRPr="00323CC6">
        <w:t>)</w:t>
      </w:r>
      <w:r w:rsidR="00B46A11" w:rsidRPr="00323CC6">
        <w:t xml:space="preserve"> </w:t>
      </w:r>
      <w:r w:rsidR="00A251FE" w:rsidRPr="00323CC6">
        <w:t>provides a detailed description of these enhancements.</w:t>
      </w:r>
      <w:r w:rsidR="00FD4A46" w:rsidRPr="00323CC6">
        <w:t xml:space="preserve">  </w:t>
      </w:r>
      <w:r w:rsidR="00A251FE" w:rsidRPr="00323CC6">
        <w:t>If</w:t>
      </w:r>
      <w:r w:rsidRPr="00323CC6">
        <w:t xml:space="preserve"> a properly filed ERF </w:t>
      </w:r>
      <w:r w:rsidR="0096766A">
        <w:t xml:space="preserve">from the Company </w:t>
      </w:r>
      <w:r w:rsidRPr="00323CC6">
        <w:t xml:space="preserve">exceeds a </w:t>
      </w:r>
      <w:r w:rsidR="00A251FE" w:rsidRPr="00323CC6">
        <w:t xml:space="preserve">3 percent increase in revenues, Staff’s proposal would not require the Company to comply with </w:t>
      </w:r>
      <w:r w:rsidR="00931D84" w:rsidRPr="00323CC6">
        <w:t>the entire</w:t>
      </w:r>
      <w:r w:rsidR="00931D84">
        <w:t xml:space="preserve"> set of</w:t>
      </w:r>
      <w:r w:rsidR="00A251FE" w:rsidRPr="00323CC6">
        <w:t xml:space="preserve"> document filing requirements </w:t>
      </w:r>
      <w:r w:rsidR="00931D84">
        <w:t>in</w:t>
      </w:r>
      <w:r w:rsidR="00A251FE" w:rsidRPr="00323CC6">
        <w:t xml:space="preserve"> WAC 480-07-510 that would otherwise apply to a general rate case.</w:t>
      </w:r>
    </w:p>
    <w:p w:rsidR="003C60C5" w:rsidRPr="00323CC6" w:rsidRDefault="00A251FE" w:rsidP="003C60C5">
      <w:r w:rsidRPr="00323CC6">
        <w:tab/>
      </w:r>
      <w:r w:rsidRPr="00323CC6">
        <w:tab/>
      </w:r>
      <w:r w:rsidR="00FD4A46" w:rsidRPr="00323CC6">
        <w:t xml:space="preserve">Once the ERF, </w:t>
      </w:r>
      <w:r w:rsidR="00931D84">
        <w:t>its</w:t>
      </w:r>
      <w:r w:rsidR="000F493B" w:rsidRPr="00323CC6">
        <w:t xml:space="preserve"> </w:t>
      </w:r>
      <w:r w:rsidR="00FD4A46" w:rsidRPr="00323CC6">
        <w:t xml:space="preserve">accompanying work papers and </w:t>
      </w:r>
      <w:r w:rsidR="000F493B" w:rsidRPr="00323CC6">
        <w:t xml:space="preserve">the </w:t>
      </w:r>
      <w:r w:rsidR="00FD4A46" w:rsidRPr="00323CC6">
        <w:t>supporting testimony is filed, Staff will review it on an expedited basis</w:t>
      </w:r>
      <w:r w:rsidR="00B46A11" w:rsidRPr="00323CC6">
        <w:t xml:space="preserve"> with the </w:t>
      </w:r>
      <w:r w:rsidRPr="00323CC6">
        <w:t>goal</w:t>
      </w:r>
      <w:r w:rsidR="00B46A11" w:rsidRPr="00323CC6">
        <w:t xml:space="preserve"> of rates </w:t>
      </w:r>
      <w:r w:rsidRPr="00323CC6">
        <w:t xml:space="preserve">becoming </w:t>
      </w:r>
      <w:r w:rsidR="00B46A11" w:rsidRPr="00323CC6">
        <w:t xml:space="preserve">effective </w:t>
      </w:r>
      <w:r w:rsidR="000F493B" w:rsidRPr="00323CC6">
        <w:t>with</w:t>
      </w:r>
      <w:r w:rsidR="00FD4A46" w:rsidRPr="00323CC6">
        <w:t xml:space="preserve">in 4 to 6 months.  The </w:t>
      </w:r>
      <w:r w:rsidR="00722FFB" w:rsidRPr="00323CC6">
        <w:t xml:space="preserve">goal of a </w:t>
      </w:r>
      <w:r w:rsidR="00FD4A46" w:rsidRPr="00323CC6">
        <w:t xml:space="preserve">2014 ERF </w:t>
      </w:r>
      <w:r w:rsidR="00722FFB" w:rsidRPr="00323CC6">
        <w:t>is to</w:t>
      </w:r>
      <w:r w:rsidR="00FD4A46" w:rsidRPr="00323CC6">
        <w:t xml:space="preserve"> bring 2013 capital additions </w:t>
      </w:r>
      <w:r w:rsidR="00722FFB" w:rsidRPr="00323CC6">
        <w:t xml:space="preserve">and other cost changes </w:t>
      </w:r>
      <w:r w:rsidR="00FD4A46" w:rsidRPr="00323CC6">
        <w:t>into rates</w:t>
      </w:r>
      <w:r w:rsidR="00722FFB" w:rsidRPr="00323CC6">
        <w:t>.  By holding certain controversial elements constant</w:t>
      </w:r>
      <w:r w:rsidR="0096766A">
        <w:t>,</w:t>
      </w:r>
      <w:r w:rsidR="00722FFB" w:rsidRPr="00323CC6">
        <w:t xml:space="preserve"> such as rate of return, revenue allocations and rate design, </w:t>
      </w:r>
      <w:r w:rsidR="00FD4A46" w:rsidRPr="00323CC6">
        <w:t xml:space="preserve">Staff </w:t>
      </w:r>
      <w:r w:rsidR="00A15CDC">
        <w:t>should</w:t>
      </w:r>
      <w:r w:rsidR="00FD4A46" w:rsidRPr="00323CC6">
        <w:t xml:space="preserve"> </w:t>
      </w:r>
      <w:r w:rsidR="00722FFB" w:rsidRPr="00323CC6">
        <w:t xml:space="preserve">be able to conduct its </w:t>
      </w:r>
      <w:r w:rsidR="00FD4A46" w:rsidRPr="00323CC6">
        <w:t>review on an expedited basis.</w:t>
      </w:r>
    </w:p>
    <w:p w:rsidR="00995F5F" w:rsidRPr="00323CC6" w:rsidRDefault="00995F5F" w:rsidP="003C60C5"/>
    <w:p w:rsidR="00995F5F" w:rsidRPr="00323CC6" w:rsidRDefault="00995F5F" w:rsidP="003C60C5">
      <w:pPr>
        <w:rPr>
          <w:b/>
        </w:rPr>
      </w:pPr>
      <w:r w:rsidRPr="00323CC6">
        <w:rPr>
          <w:b/>
        </w:rPr>
        <w:t>Q.</w:t>
      </w:r>
      <w:r w:rsidRPr="00323CC6">
        <w:rPr>
          <w:b/>
        </w:rPr>
        <w:tab/>
        <w:t>Do you have any final comments on this general rate case?</w:t>
      </w:r>
    </w:p>
    <w:p w:rsidR="002461D9" w:rsidRDefault="00995F5F" w:rsidP="003C60C5">
      <w:r w:rsidRPr="00323CC6">
        <w:t>A.</w:t>
      </w:r>
      <w:r w:rsidRPr="00323CC6">
        <w:tab/>
        <w:t xml:space="preserve">Yes.  </w:t>
      </w:r>
      <w:r w:rsidR="00931D84">
        <w:t xml:space="preserve">As urged by the Governor’s </w:t>
      </w:r>
      <w:r w:rsidR="00123BC9">
        <w:t>January 4, 2013,</w:t>
      </w:r>
      <w:r w:rsidR="00931D84">
        <w:t xml:space="preserve"> letter to the Commission, </w:t>
      </w:r>
      <w:r w:rsidRPr="00323CC6">
        <w:t>Staff is supportive of progressive ideas in ratemaking</w:t>
      </w:r>
      <w:r w:rsidR="0096766A">
        <w:t xml:space="preserve">.  </w:t>
      </w:r>
      <w:r w:rsidR="002461D9">
        <w:t>Indeed, the ERF we propose for PacifiCorp is offered in that light.</w:t>
      </w:r>
      <w:r w:rsidR="005D10A7">
        <w:t xml:space="preserve">  We look forward to participa</w:t>
      </w:r>
      <w:r w:rsidR="00A15CDC">
        <w:t>ting</w:t>
      </w:r>
      <w:r w:rsidR="005D10A7">
        <w:t xml:space="preserve"> in the conversation about these kinds of issues.</w:t>
      </w:r>
    </w:p>
    <w:p w:rsidR="00FD4A46" w:rsidRPr="00323CC6" w:rsidRDefault="00FD4A46" w:rsidP="003C60C5"/>
    <w:p w:rsidR="003C60C5" w:rsidRPr="00323CC6" w:rsidRDefault="003C60C5" w:rsidP="003C641F">
      <w:pPr>
        <w:pStyle w:val="Question-Testimony"/>
      </w:pPr>
      <w:r w:rsidRPr="00323CC6">
        <w:t>Q.</w:t>
      </w:r>
      <w:r w:rsidRPr="00323CC6">
        <w:tab/>
        <w:t>Does this conclude your testimony?</w:t>
      </w:r>
    </w:p>
    <w:p w:rsidR="003C60C5" w:rsidRDefault="003C60C5" w:rsidP="003C60C5">
      <w:r w:rsidRPr="00323CC6">
        <w:t>A.</w:t>
      </w:r>
      <w:r w:rsidRPr="00323CC6">
        <w:tab/>
        <w:t>Yes.</w:t>
      </w:r>
    </w:p>
    <w:p w:rsidR="009E549A" w:rsidRDefault="009E549A" w:rsidP="00F33615"/>
    <w:sectPr w:rsidR="009E549A" w:rsidSect="0075094D">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E3" w:rsidRDefault="00A665E3" w:rsidP="00A84518">
      <w:pPr>
        <w:spacing w:line="240" w:lineRule="auto"/>
      </w:pPr>
      <w:r>
        <w:separator/>
      </w:r>
    </w:p>
  </w:endnote>
  <w:endnote w:type="continuationSeparator" w:id="0">
    <w:p w:rsidR="00A665E3" w:rsidRDefault="00A665E3" w:rsidP="00A84518">
      <w:pPr>
        <w:spacing w:line="240" w:lineRule="auto"/>
      </w:pPr>
      <w:r>
        <w:continuationSeparator/>
      </w:r>
    </w:p>
  </w:endnote>
  <w:endnote w:type="continuationNotice" w:id="1">
    <w:p w:rsidR="00A665E3" w:rsidRDefault="00A665E3" w:rsidP="00A84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2C" w:rsidRDefault="000B032C" w:rsidP="00FD7D3D">
    <w:pPr>
      <w:pStyle w:val="Footer"/>
    </w:pPr>
  </w:p>
  <w:p w:rsidR="000B032C" w:rsidRPr="00732550" w:rsidRDefault="000B032C" w:rsidP="00FD7D3D">
    <w:pPr>
      <w:pStyle w:val="Footer"/>
    </w:pPr>
    <w:r>
      <w:t>T</w:t>
    </w:r>
    <w:r w:rsidRPr="00732550">
      <w:t xml:space="preserve">ESTIMONY OF DEBORAH </w:t>
    </w:r>
    <w:r>
      <w:t xml:space="preserve">J. </w:t>
    </w:r>
    <w:r w:rsidRPr="00732550">
      <w:t>REYNOLDS</w:t>
    </w:r>
    <w:r>
      <w:tab/>
    </w:r>
    <w:r>
      <w:tab/>
    </w:r>
    <w:r w:rsidRPr="00732550">
      <w:t>Exhibit No. ___ T (DJR-</w:t>
    </w:r>
    <w:r>
      <w:t>1</w:t>
    </w:r>
    <w:r w:rsidRPr="00732550">
      <w:t>T)</w:t>
    </w:r>
  </w:p>
  <w:p w:rsidR="000B032C" w:rsidRPr="00FD7D3D" w:rsidRDefault="000B032C" w:rsidP="00FD7D3D">
    <w:pPr>
      <w:tabs>
        <w:tab w:val="right" w:pos="9360"/>
      </w:tabs>
      <w:spacing w:line="240" w:lineRule="auto"/>
      <w:ind w:left="0" w:firstLine="0"/>
      <w:rPr>
        <w:lang w:val="fr-FR"/>
      </w:rPr>
    </w:pPr>
    <w:r>
      <w:t>Docket UE-130043</w:t>
    </w:r>
    <w:r w:rsidRPr="00732550">
      <w:rPr>
        <w:lang w:val="fr-FR"/>
      </w:rPr>
      <w:tab/>
      <w:t xml:space="preserve">Page </w:t>
    </w:r>
    <w:r w:rsidRPr="00732550">
      <w:rPr>
        <w:rStyle w:val="PageNumber"/>
        <w:sz w:val="22"/>
        <w:szCs w:val="22"/>
      </w:rPr>
      <w:fldChar w:fldCharType="begin"/>
    </w:r>
    <w:r w:rsidRPr="00732550">
      <w:rPr>
        <w:rStyle w:val="PageNumber"/>
        <w:sz w:val="22"/>
        <w:szCs w:val="22"/>
        <w:lang w:val="fr-FR"/>
      </w:rPr>
      <w:instrText xml:space="preserve"> PAGE </w:instrText>
    </w:r>
    <w:r w:rsidRPr="00732550">
      <w:rPr>
        <w:rStyle w:val="PageNumber"/>
        <w:sz w:val="22"/>
        <w:szCs w:val="22"/>
      </w:rPr>
      <w:fldChar w:fldCharType="separate"/>
    </w:r>
    <w:r>
      <w:rPr>
        <w:rStyle w:val="PageNumber"/>
        <w:noProof/>
        <w:sz w:val="22"/>
        <w:szCs w:val="22"/>
        <w:lang w:val="fr-FR"/>
      </w:rPr>
      <w:t>2</w:t>
    </w:r>
    <w:r w:rsidRPr="00732550">
      <w:rPr>
        <w:rStyle w:val="PageNumbe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2C" w:rsidRPr="0075094D" w:rsidRDefault="000B032C" w:rsidP="00FD7D3D">
    <w:pPr>
      <w:pStyle w:val="Footer"/>
      <w:rPr>
        <w:sz w:val="20"/>
        <w:szCs w:val="20"/>
      </w:rPr>
    </w:pPr>
  </w:p>
  <w:p w:rsidR="000B032C" w:rsidRPr="0075094D" w:rsidRDefault="000B032C" w:rsidP="00FD7D3D">
    <w:pPr>
      <w:pStyle w:val="Footer"/>
      <w:rPr>
        <w:sz w:val="20"/>
        <w:szCs w:val="20"/>
      </w:rPr>
    </w:pPr>
    <w:r w:rsidRPr="0075094D">
      <w:rPr>
        <w:sz w:val="20"/>
        <w:szCs w:val="20"/>
      </w:rPr>
      <w:t>TESTIMONY OF DEBORAH J. REYNOLDS</w:t>
    </w:r>
    <w:r w:rsidRPr="0075094D">
      <w:rPr>
        <w:sz w:val="20"/>
        <w:szCs w:val="20"/>
      </w:rPr>
      <w:tab/>
    </w:r>
    <w:r w:rsidRPr="0075094D">
      <w:rPr>
        <w:sz w:val="20"/>
        <w:szCs w:val="20"/>
      </w:rPr>
      <w:tab/>
      <w:t>Exhibit No. ___ T (DJR-1T)</w:t>
    </w:r>
  </w:p>
  <w:p w:rsidR="000B032C" w:rsidRPr="0075094D" w:rsidRDefault="000B032C" w:rsidP="00FD7D3D">
    <w:pPr>
      <w:tabs>
        <w:tab w:val="right" w:pos="9360"/>
      </w:tabs>
      <w:spacing w:line="240" w:lineRule="auto"/>
      <w:ind w:left="0" w:firstLine="0"/>
      <w:rPr>
        <w:sz w:val="20"/>
        <w:szCs w:val="20"/>
        <w:lang w:val="fr-FR"/>
      </w:rPr>
    </w:pPr>
    <w:r w:rsidRPr="0075094D">
      <w:rPr>
        <w:sz w:val="20"/>
        <w:szCs w:val="20"/>
      </w:rPr>
      <w:t>Docket UE-130043</w:t>
    </w:r>
    <w:r w:rsidRPr="0075094D">
      <w:rPr>
        <w:sz w:val="20"/>
        <w:szCs w:val="20"/>
        <w:lang w:val="fr-FR"/>
      </w:rPr>
      <w:tab/>
      <w:t xml:space="preserve">Page </w:t>
    </w:r>
    <w:r w:rsidRPr="0075094D">
      <w:rPr>
        <w:rStyle w:val="PageNumber"/>
        <w:sz w:val="20"/>
        <w:szCs w:val="20"/>
      </w:rPr>
      <w:fldChar w:fldCharType="begin"/>
    </w:r>
    <w:r w:rsidRPr="0075094D">
      <w:rPr>
        <w:rStyle w:val="PageNumber"/>
        <w:sz w:val="20"/>
        <w:szCs w:val="20"/>
        <w:lang w:val="fr-FR"/>
      </w:rPr>
      <w:instrText xml:space="preserve"> PAGE </w:instrText>
    </w:r>
    <w:r w:rsidRPr="0075094D">
      <w:rPr>
        <w:rStyle w:val="PageNumber"/>
        <w:sz w:val="20"/>
        <w:szCs w:val="20"/>
      </w:rPr>
      <w:fldChar w:fldCharType="separate"/>
    </w:r>
    <w:r w:rsidR="007D271C">
      <w:rPr>
        <w:rStyle w:val="PageNumber"/>
        <w:noProof/>
        <w:sz w:val="20"/>
        <w:szCs w:val="20"/>
        <w:lang w:val="fr-FR"/>
      </w:rPr>
      <w:t>6</w:t>
    </w:r>
    <w:r w:rsidRPr="0075094D">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E3" w:rsidRDefault="00A665E3" w:rsidP="00A84518">
      <w:pPr>
        <w:spacing w:line="240" w:lineRule="auto"/>
      </w:pPr>
      <w:r>
        <w:separator/>
      </w:r>
    </w:p>
  </w:footnote>
  <w:footnote w:type="continuationSeparator" w:id="0">
    <w:p w:rsidR="00A665E3" w:rsidRDefault="00A665E3" w:rsidP="00A84518">
      <w:pPr>
        <w:spacing w:line="240" w:lineRule="auto"/>
      </w:pPr>
      <w:r>
        <w:continuationSeparator/>
      </w:r>
    </w:p>
  </w:footnote>
  <w:footnote w:type="continuationNotice" w:id="1">
    <w:p w:rsidR="00A665E3" w:rsidRDefault="00A665E3" w:rsidP="00A84518">
      <w:pPr>
        <w:spacing w:line="240" w:lineRule="auto"/>
      </w:pPr>
    </w:p>
  </w:footnote>
  <w:footnote w:id="2">
    <w:p w:rsidR="000B032C" w:rsidRDefault="000B032C" w:rsidP="00B62B18">
      <w:pPr>
        <w:pStyle w:val="FootnoteText"/>
      </w:pPr>
      <w:r>
        <w:rPr>
          <w:rStyle w:val="FootnoteReference"/>
        </w:rPr>
        <w:footnoteRef/>
      </w:r>
      <w:r>
        <w:t xml:space="preserve"> Reiten, Exhibit No. ___ (RPR-1T) at 2.</w:t>
      </w:r>
    </w:p>
  </w:footnote>
  <w:footnote w:id="3">
    <w:p w:rsidR="000B032C" w:rsidRDefault="000B032C" w:rsidP="00B62B18">
      <w:pPr>
        <w:pStyle w:val="FootnoteText"/>
      </w:pPr>
      <w:r>
        <w:rPr>
          <w:rStyle w:val="FootnoteReference"/>
        </w:rPr>
        <w:footnoteRef/>
      </w:r>
      <w:r>
        <w:t xml:space="preserve"> Company’s Annual Report, Washington Supplement, at 13 (June 4, 2013).</w:t>
      </w:r>
    </w:p>
  </w:footnote>
  <w:footnote w:id="4">
    <w:p w:rsidR="000B032C" w:rsidRDefault="000B032C" w:rsidP="008933BC">
      <w:pPr>
        <w:pStyle w:val="FootnoteText"/>
      </w:pPr>
      <w:r>
        <w:rPr>
          <w:rStyle w:val="FootnoteReference"/>
        </w:rPr>
        <w:footnoteRef/>
      </w:r>
      <w:r>
        <w:t xml:space="preserve"> Reiten, Exhibit No. ___ (RPR-1T) at 3-4.</w:t>
      </w:r>
    </w:p>
  </w:footnote>
  <w:footnote w:id="5">
    <w:p w:rsidR="000B032C" w:rsidRDefault="000B032C" w:rsidP="00D62CCC">
      <w:pPr>
        <w:pStyle w:val="FootnoteText"/>
      </w:pPr>
      <w:r>
        <w:rPr>
          <w:rStyle w:val="FootnoteReference"/>
        </w:rPr>
        <w:footnoteRef/>
      </w:r>
      <w:r>
        <w:t xml:space="preserve"> Huang, Exhibit No. ___ (JH-2), page 5, column J, row 32.  This page of the exhibit removes the embedded effects of the cost of capital reduction and change in conversion factor from each individual adjustment to enable a better comparison between the Staff and Company cases.</w:t>
      </w:r>
    </w:p>
  </w:footnote>
  <w:footnote w:id="6">
    <w:p w:rsidR="000B032C" w:rsidRDefault="000B032C" w:rsidP="00D62CCC">
      <w:pPr>
        <w:pStyle w:val="FootnoteText"/>
      </w:pPr>
      <w:r>
        <w:rPr>
          <w:rStyle w:val="FootnoteReference"/>
        </w:rPr>
        <w:footnoteRef/>
      </w:r>
      <w:r>
        <w:t xml:space="preserve"> Huang, Exhibit No. ___ (JH-2), page 5, column J, row 75.</w:t>
      </w:r>
    </w:p>
  </w:footnote>
  <w:footnote w:id="7">
    <w:p w:rsidR="000B032C" w:rsidRDefault="000B032C" w:rsidP="00D62CCC">
      <w:pPr>
        <w:pStyle w:val="FootnoteText"/>
      </w:pPr>
      <w:r>
        <w:rPr>
          <w:rStyle w:val="FootnoteReference"/>
        </w:rPr>
        <w:footnoteRef/>
      </w:r>
      <w:r>
        <w:t xml:space="preserve"> Huang, Exhibit No. ___ (JH-2), page 5, column J, row 59.</w:t>
      </w:r>
    </w:p>
  </w:footnote>
  <w:footnote w:id="8">
    <w:p w:rsidR="000B032C" w:rsidRDefault="000B032C">
      <w:pPr>
        <w:pStyle w:val="FootnoteText"/>
      </w:pPr>
      <w:r>
        <w:rPr>
          <w:rStyle w:val="FootnoteReference"/>
        </w:rPr>
        <w:footnoteRef/>
      </w:r>
      <w:r>
        <w:t xml:space="preserve"> White, Exhibit No. ___ (KAW-1CT) at 10:7.</w:t>
      </w:r>
    </w:p>
  </w:footnote>
  <w:footnote w:id="9">
    <w:p w:rsidR="000B032C" w:rsidRDefault="000B032C">
      <w:pPr>
        <w:pStyle w:val="FootnoteText"/>
      </w:pPr>
      <w:r>
        <w:rPr>
          <w:rStyle w:val="FootnoteReference"/>
        </w:rPr>
        <w:footnoteRef/>
      </w:r>
      <w:r>
        <w:t xml:space="preserve"> Huang, Exhibit No. ___ (JH-2), page 91.</w:t>
      </w:r>
    </w:p>
  </w:footnote>
  <w:footnote w:id="10">
    <w:p w:rsidR="000B032C" w:rsidRDefault="000B032C" w:rsidP="00517310">
      <w:pPr>
        <w:pStyle w:val="FootnoteText"/>
      </w:pPr>
      <w:r>
        <w:rPr>
          <w:rStyle w:val="FootnoteReference"/>
        </w:rPr>
        <w:footnoteRef/>
      </w:r>
      <w:r>
        <w:t xml:space="preserve"> </w:t>
      </w:r>
      <w:r w:rsidRPr="009E76EB">
        <w:rPr>
          <w:i/>
        </w:rPr>
        <w:t>WUTC v. Puget Sound Energy, Inc</w:t>
      </w:r>
      <w:r>
        <w:t>., Dockets UE-111048 and UG-111049, Order 08 at ¶507 (May 7, 2012).</w:t>
      </w:r>
    </w:p>
  </w:footnote>
  <w:footnote w:id="11">
    <w:p w:rsidR="000B032C" w:rsidRDefault="000B032C">
      <w:pPr>
        <w:pStyle w:val="FootnoteText"/>
      </w:pPr>
      <w:r>
        <w:rPr>
          <w:rStyle w:val="FootnoteReference"/>
        </w:rPr>
        <w:footnoteRef/>
      </w:r>
      <w:r>
        <w:t xml:space="preserve"> Exhibit No. ___ (DJR-2) at 3 (“Governor’s letter”). </w:t>
      </w:r>
    </w:p>
  </w:footnote>
  <w:footnote w:id="12">
    <w:p w:rsidR="000B032C" w:rsidRDefault="000B032C">
      <w:pPr>
        <w:pStyle w:val="FootnoteText"/>
      </w:pPr>
      <w:r>
        <w:rPr>
          <w:rStyle w:val="FootnoteReference"/>
        </w:rPr>
        <w:footnoteRef/>
      </w:r>
      <w:r>
        <w:t xml:space="preserve"> Pilot decoupling mechanisms were authorized in Docket UG-060256 for Cascade Natural Gas Corporation and in Docket UG-060518 for Avista in 2006.  </w:t>
      </w:r>
      <w:r w:rsidR="002C02C7">
        <w:t xml:space="preserve">Avista’s decoupling mechanism was allowed to become permanent in Docket UG-090135.  </w:t>
      </w:r>
      <w:r>
        <w:t xml:space="preserve">Workshops were held in Docket U-100522 as part of the development of the Commission’s Decoupling Policy Statement in 2010.  </w:t>
      </w:r>
    </w:p>
  </w:footnote>
  <w:footnote w:id="13">
    <w:p w:rsidR="000B032C" w:rsidRDefault="000B032C">
      <w:pPr>
        <w:pStyle w:val="FootnoteText"/>
      </w:pPr>
      <w:r>
        <w:rPr>
          <w:rStyle w:val="FootnoteReference"/>
        </w:rPr>
        <w:footnoteRef/>
      </w:r>
      <w:r>
        <w:t xml:space="preserve"> RCW 19.285 was passed in 2006, and required development of rules within 6 months.  The Renewable Portfolio Standard contained in the statute did not become effective until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D64"/>
    <w:multiLevelType w:val="hybridMultilevel"/>
    <w:tmpl w:val="7496F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13657A"/>
    <w:multiLevelType w:val="hybridMultilevel"/>
    <w:tmpl w:val="A66E6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DB153E"/>
    <w:multiLevelType w:val="hybridMultilevel"/>
    <w:tmpl w:val="7870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82F64"/>
    <w:multiLevelType w:val="hybridMultilevel"/>
    <w:tmpl w:val="506CA69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283084"/>
    <w:multiLevelType w:val="hybridMultilevel"/>
    <w:tmpl w:val="2D464F9C"/>
    <w:lvl w:ilvl="0" w:tplc="85EACE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D7F030B"/>
    <w:multiLevelType w:val="hybridMultilevel"/>
    <w:tmpl w:val="F4202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124C83"/>
    <w:multiLevelType w:val="hybridMultilevel"/>
    <w:tmpl w:val="3322E906"/>
    <w:lvl w:ilvl="0" w:tplc="64FC6CD2">
      <w:start w:val="4"/>
      <w:numFmt w:val="upperLetter"/>
      <w:pStyle w:val="Heading2"/>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5AA6066"/>
    <w:multiLevelType w:val="hybridMultilevel"/>
    <w:tmpl w:val="DFEC0F30"/>
    <w:lvl w:ilvl="0" w:tplc="249AA9EE">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B5CFE"/>
    <w:multiLevelType w:val="hybridMultilevel"/>
    <w:tmpl w:val="2464929E"/>
    <w:lvl w:ilvl="0" w:tplc="B1D4AB7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A203ADC"/>
    <w:multiLevelType w:val="hybridMultilevel"/>
    <w:tmpl w:val="A5B80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EF637C"/>
    <w:multiLevelType w:val="hybridMultilevel"/>
    <w:tmpl w:val="CFA8F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632AB6"/>
    <w:multiLevelType w:val="hybridMultilevel"/>
    <w:tmpl w:val="80EEC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7377219"/>
    <w:multiLevelType w:val="hybridMultilevel"/>
    <w:tmpl w:val="0BA66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BE7E11"/>
    <w:multiLevelType w:val="hybridMultilevel"/>
    <w:tmpl w:val="534CE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5"/>
  </w:num>
  <w:num w:numId="6">
    <w:abstractNumId w:val="7"/>
    <w:lvlOverride w:ilvl="0">
      <w:startOverride w:val="1"/>
    </w:lvlOverride>
  </w:num>
  <w:num w:numId="7">
    <w:abstractNumId w:val="0"/>
  </w:num>
  <w:num w:numId="8">
    <w:abstractNumId w:val="12"/>
  </w:num>
  <w:num w:numId="9">
    <w:abstractNumId w:val="7"/>
  </w:num>
  <w:num w:numId="10">
    <w:abstractNumId w:val="11"/>
  </w:num>
  <w:num w:numId="11">
    <w:abstractNumId w:val="14"/>
  </w:num>
  <w:num w:numId="12">
    <w:abstractNumId w:val="10"/>
  </w:num>
  <w:num w:numId="13">
    <w:abstractNumId w:val="6"/>
  </w:num>
  <w:num w:numId="14">
    <w:abstractNumId w:val="9"/>
  </w:num>
  <w:num w:numId="15">
    <w:abstractNumId w:val="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B7"/>
    <w:rsid w:val="00001741"/>
    <w:rsid w:val="00001E00"/>
    <w:rsid w:val="00012CB6"/>
    <w:rsid w:val="00013F2A"/>
    <w:rsid w:val="000172FF"/>
    <w:rsid w:val="000248D0"/>
    <w:rsid w:val="00027E52"/>
    <w:rsid w:val="00037020"/>
    <w:rsid w:val="00040EE5"/>
    <w:rsid w:val="000463A0"/>
    <w:rsid w:val="0005228D"/>
    <w:rsid w:val="000547EC"/>
    <w:rsid w:val="000549A3"/>
    <w:rsid w:val="00054A44"/>
    <w:rsid w:val="00055E82"/>
    <w:rsid w:val="0006130D"/>
    <w:rsid w:val="000679D6"/>
    <w:rsid w:val="0007020D"/>
    <w:rsid w:val="000704BF"/>
    <w:rsid w:val="00081BA2"/>
    <w:rsid w:val="0008628D"/>
    <w:rsid w:val="00086678"/>
    <w:rsid w:val="0009032E"/>
    <w:rsid w:val="000935EF"/>
    <w:rsid w:val="00094CA0"/>
    <w:rsid w:val="000A5963"/>
    <w:rsid w:val="000B032C"/>
    <w:rsid w:val="000C09E8"/>
    <w:rsid w:val="000D2537"/>
    <w:rsid w:val="000D4851"/>
    <w:rsid w:val="000D6770"/>
    <w:rsid w:val="000E1B39"/>
    <w:rsid w:val="000E640C"/>
    <w:rsid w:val="000F3CE1"/>
    <w:rsid w:val="000F4265"/>
    <w:rsid w:val="000F493B"/>
    <w:rsid w:val="000F5581"/>
    <w:rsid w:val="000F700D"/>
    <w:rsid w:val="00107D73"/>
    <w:rsid w:val="00111BFB"/>
    <w:rsid w:val="00112861"/>
    <w:rsid w:val="00112E75"/>
    <w:rsid w:val="00113E2D"/>
    <w:rsid w:val="00114697"/>
    <w:rsid w:val="00114823"/>
    <w:rsid w:val="00114F78"/>
    <w:rsid w:val="00115111"/>
    <w:rsid w:val="001206C9"/>
    <w:rsid w:val="001212B6"/>
    <w:rsid w:val="00123BC9"/>
    <w:rsid w:val="00126D51"/>
    <w:rsid w:val="00130D68"/>
    <w:rsid w:val="00136BB7"/>
    <w:rsid w:val="00141CBD"/>
    <w:rsid w:val="00147272"/>
    <w:rsid w:val="001541A8"/>
    <w:rsid w:val="00156116"/>
    <w:rsid w:val="001603F9"/>
    <w:rsid w:val="0016191E"/>
    <w:rsid w:val="001636DB"/>
    <w:rsid w:val="00167359"/>
    <w:rsid w:val="0017202C"/>
    <w:rsid w:val="001762C1"/>
    <w:rsid w:val="00177F6E"/>
    <w:rsid w:val="00181989"/>
    <w:rsid w:val="00187C1A"/>
    <w:rsid w:val="00187CDB"/>
    <w:rsid w:val="00192C82"/>
    <w:rsid w:val="0019670C"/>
    <w:rsid w:val="00196BBF"/>
    <w:rsid w:val="00196E8B"/>
    <w:rsid w:val="001A5508"/>
    <w:rsid w:val="001A6E46"/>
    <w:rsid w:val="001A7E9C"/>
    <w:rsid w:val="001B3F5A"/>
    <w:rsid w:val="001B53CA"/>
    <w:rsid w:val="001B74C3"/>
    <w:rsid w:val="001C17DB"/>
    <w:rsid w:val="001C1BDC"/>
    <w:rsid w:val="001C1CB0"/>
    <w:rsid w:val="001C59A2"/>
    <w:rsid w:val="001C5AB1"/>
    <w:rsid w:val="001D475C"/>
    <w:rsid w:val="001D766B"/>
    <w:rsid w:val="001E1D7A"/>
    <w:rsid w:val="001E2290"/>
    <w:rsid w:val="001E2B14"/>
    <w:rsid w:val="001E65DD"/>
    <w:rsid w:val="001F3E9D"/>
    <w:rsid w:val="001F688A"/>
    <w:rsid w:val="002027C7"/>
    <w:rsid w:val="002060C4"/>
    <w:rsid w:val="0021376B"/>
    <w:rsid w:val="00213C95"/>
    <w:rsid w:val="00222AC2"/>
    <w:rsid w:val="00222B75"/>
    <w:rsid w:val="00225257"/>
    <w:rsid w:val="00225BAA"/>
    <w:rsid w:val="0023063E"/>
    <w:rsid w:val="002353CA"/>
    <w:rsid w:val="002366EF"/>
    <w:rsid w:val="002458E7"/>
    <w:rsid w:val="002461D9"/>
    <w:rsid w:val="00246AAB"/>
    <w:rsid w:val="00253DD0"/>
    <w:rsid w:val="00253ED0"/>
    <w:rsid w:val="002540E1"/>
    <w:rsid w:val="00254970"/>
    <w:rsid w:val="00257A4C"/>
    <w:rsid w:val="0026175E"/>
    <w:rsid w:val="002646D5"/>
    <w:rsid w:val="00271191"/>
    <w:rsid w:val="00276855"/>
    <w:rsid w:val="00284257"/>
    <w:rsid w:val="00290B02"/>
    <w:rsid w:val="00291A68"/>
    <w:rsid w:val="00292EAA"/>
    <w:rsid w:val="00293C80"/>
    <w:rsid w:val="00296766"/>
    <w:rsid w:val="00297341"/>
    <w:rsid w:val="002A516F"/>
    <w:rsid w:val="002A6A88"/>
    <w:rsid w:val="002B0EC4"/>
    <w:rsid w:val="002B0F6A"/>
    <w:rsid w:val="002B2E41"/>
    <w:rsid w:val="002B7A76"/>
    <w:rsid w:val="002C02C7"/>
    <w:rsid w:val="002C039A"/>
    <w:rsid w:val="002C438D"/>
    <w:rsid w:val="002C67E3"/>
    <w:rsid w:val="002C7EB3"/>
    <w:rsid w:val="002D1E41"/>
    <w:rsid w:val="002D495E"/>
    <w:rsid w:val="002D5F96"/>
    <w:rsid w:val="002F0871"/>
    <w:rsid w:val="002F09C6"/>
    <w:rsid w:val="002F0B4E"/>
    <w:rsid w:val="002F2479"/>
    <w:rsid w:val="002F42C2"/>
    <w:rsid w:val="002F725A"/>
    <w:rsid w:val="0030124D"/>
    <w:rsid w:val="003038D6"/>
    <w:rsid w:val="00311974"/>
    <w:rsid w:val="00315C94"/>
    <w:rsid w:val="00323CC6"/>
    <w:rsid w:val="00324C26"/>
    <w:rsid w:val="00325302"/>
    <w:rsid w:val="00330F9D"/>
    <w:rsid w:val="00332A0C"/>
    <w:rsid w:val="00343D20"/>
    <w:rsid w:val="00344870"/>
    <w:rsid w:val="00351C7E"/>
    <w:rsid w:val="003551C0"/>
    <w:rsid w:val="0036307D"/>
    <w:rsid w:val="00365164"/>
    <w:rsid w:val="0036550A"/>
    <w:rsid w:val="003666D3"/>
    <w:rsid w:val="00371C9A"/>
    <w:rsid w:val="003831EB"/>
    <w:rsid w:val="00391BE3"/>
    <w:rsid w:val="00396C94"/>
    <w:rsid w:val="00396F9D"/>
    <w:rsid w:val="003A2633"/>
    <w:rsid w:val="003A2DBF"/>
    <w:rsid w:val="003A4B39"/>
    <w:rsid w:val="003B01D4"/>
    <w:rsid w:val="003B07DA"/>
    <w:rsid w:val="003B3D07"/>
    <w:rsid w:val="003C4E16"/>
    <w:rsid w:val="003C5737"/>
    <w:rsid w:val="003C58AA"/>
    <w:rsid w:val="003C60C5"/>
    <w:rsid w:val="003C641F"/>
    <w:rsid w:val="003D2DB2"/>
    <w:rsid w:val="003D4879"/>
    <w:rsid w:val="003E0149"/>
    <w:rsid w:val="003E0487"/>
    <w:rsid w:val="003E2908"/>
    <w:rsid w:val="003E4611"/>
    <w:rsid w:val="003E66C9"/>
    <w:rsid w:val="003E66ED"/>
    <w:rsid w:val="003F678D"/>
    <w:rsid w:val="00405372"/>
    <w:rsid w:val="0040646C"/>
    <w:rsid w:val="004066FA"/>
    <w:rsid w:val="00410F95"/>
    <w:rsid w:val="004123CF"/>
    <w:rsid w:val="00415995"/>
    <w:rsid w:val="004161DE"/>
    <w:rsid w:val="00416AD3"/>
    <w:rsid w:val="004224D8"/>
    <w:rsid w:val="00425CED"/>
    <w:rsid w:val="00426D12"/>
    <w:rsid w:val="00440769"/>
    <w:rsid w:val="00441CE5"/>
    <w:rsid w:val="00441E00"/>
    <w:rsid w:val="00446C14"/>
    <w:rsid w:val="00446C77"/>
    <w:rsid w:val="00452CA2"/>
    <w:rsid w:val="0045451E"/>
    <w:rsid w:val="00457394"/>
    <w:rsid w:val="00464600"/>
    <w:rsid w:val="00465115"/>
    <w:rsid w:val="004700DB"/>
    <w:rsid w:val="00471765"/>
    <w:rsid w:val="00471AFC"/>
    <w:rsid w:val="00473B72"/>
    <w:rsid w:val="00474436"/>
    <w:rsid w:val="004764D7"/>
    <w:rsid w:val="00476BF9"/>
    <w:rsid w:val="00481316"/>
    <w:rsid w:val="00482268"/>
    <w:rsid w:val="00487230"/>
    <w:rsid w:val="004917D7"/>
    <w:rsid w:val="00495E87"/>
    <w:rsid w:val="004971F8"/>
    <w:rsid w:val="004A44B6"/>
    <w:rsid w:val="004A70F2"/>
    <w:rsid w:val="004B404C"/>
    <w:rsid w:val="004C32E2"/>
    <w:rsid w:val="004C46D9"/>
    <w:rsid w:val="004C506A"/>
    <w:rsid w:val="004C7876"/>
    <w:rsid w:val="004D0467"/>
    <w:rsid w:val="004D055B"/>
    <w:rsid w:val="004D1E64"/>
    <w:rsid w:val="004D3301"/>
    <w:rsid w:val="004D41B8"/>
    <w:rsid w:val="004D4224"/>
    <w:rsid w:val="004D6132"/>
    <w:rsid w:val="004D6AC8"/>
    <w:rsid w:val="004E03BD"/>
    <w:rsid w:val="004F46F8"/>
    <w:rsid w:val="00501046"/>
    <w:rsid w:val="0050325B"/>
    <w:rsid w:val="00507D91"/>
    <w:rsid w:val="00510E81"/>
    <w:rsid w:val="00511C97"/>
    <w:rsid w:val="00513CE9"/>
    <w:rsid w:val="00516C71"/>
    <w:rsid w:val="00516E1D"/>
    <w:rsid w:val="00517310"/>
    <w:rsid w:val="00525670"/>
    <w:rsid w:val="005275C7"/>
    <w:rsid w:val="00530B98"/>
    <w:rsid w:val="00531284"/>
    <w:rsid w:val="00532B11"/>
    <w:rsid w:val="005336C3"/>
    <w:rsid w:val="00533B70"/>
    <w:rsid w:val="005341E4"/>
    <w:rsid w:val="00547916"/>
    <w:rsid w:val="00551BF6"/>
    <w:rsid w:val="00552600"/>
    <w:rsid w:val="005551BC"/>
    <w:rsid w:val="00555F2F"/>
    <w:rsid w:val="005608A5"/>
    <w:rsid w:val="00570BAF"/>
    <w:rsid w:val="00571B26"/>
    <w:rsid w:val="0057414C"/>
    <w:rsid w:val="00575264"/>
    <w:rsid w:val="005779A8"/>
    <w:rsid w:val="0058735E"/>
    <w:rsid w:val="00592218"/>
    <w:rsid w:val="005936D4"/>
    <w:rsid w:val="005946ED"/>
    <w:rsid w:val="00596CB9"/>
    <w:rsid w:val="00596D04"/>
    <w:rsid w:val="005A01C5"/>
    <w:rsid w:val="005A6C74"/>
    <w:rsid w:val="005B0F7A"/>
    <w:rsid w:val="005B37A2"/>
    <w:rsid w:val="005B46D0"/>
    <w:rsid w:val="005B5FD6"/>
    <w:rsid w:val="005B773B"/>
    <w:rsid w:val="005C03E5"/>
    <w:rsid w:val="005C3CE3"/>
    <w:rsid w:val="005D10A7"/>
    <w:rsid w:val="005D2B05"/>
    <w:rsid w:val="005E01AE"/>
    <w:rsid w:val="005E13D4"/>
    <w:rsid w:val="005E1C96"/>
    <w:rsid w:val="005E2422"/>
    <w:rsid w:val="005E5511"/>
    <w:rsid w:val="005E769A"/>
    <w:rsid w:val="005F3312"/>
    <w:rsid w:val="005F3497"/>
    <w:rsid w:val="005F4A3A"/>
    <w:rsid w:val="005F4E66"/>
    <w:rsid w:val="005F72F4"/>
    <w:rsid w:val="006008EB"/>
    <w:rsid w:val="00600925"/>
    <w:rsid w:val="00607396"/>
    <w:rsid w:val="00610A23"/>
    <w:rsid w:val="00611563"/>
    <w:rsid w:val="00617FB7"/>
    <w:rsid w:val="00623DEA"/>
    <w:rsid w:val="00636D17"/>
    <w:rsid w:val="006373D7"/>
    <w:rsid w:val="00640822"/>
    <w:rsid w:val="006472B4"/>
    <w:rsid w:val="00654647"/>
    <w:rsid w:val="00655C73"/>
    <w:rsid w:val="00663DCD"/>
    <w:rsid w:val="00672F7B"/>
    <w:rsid w:val="00673AF0"/>
    <w:rsid w:val="006741D6"/>
    <w:rsid w:val="00681AC0"/>
    <w:rsid w:val="00687864"/>
    <w:rsid w:val="006911E2"/>
    <w:rsid w:val="00696FCF"/>
    <w:rsid w:val="006A122C"/>
    <w:rsid w:val="006A19AB"/>
    <w:rsid w:val="006A41EE"/>
    <w:rsid w:val="006A44AD"/>
    <w:rsid w:val="006A705D"/>
    <w:rsid w:val="006B0CC6"/>
    <w:rsid w:val="006B1D9D"/>
    <w:rsid w:val="006B3E43"/>
    <w:rsid w:val="006C1D8C"/>
    <w:rsid w:val="006C29D0"/>
    <w:rsid w:val="006C325C"/>
    <w:rsid w:val="006C43F4"/>
    <w:rsid w:val="006C5379"/>
    <w:rsid w:val="006C6715"/>
    <w:rsid w:val="006C789B"/>
    <w:rsid w:val="006D3D80"/>
    <w:rsid w:val="006D7286"/>
    <w:rsid w:val="006E3A91"/>
    <w:rsid w:val="006E4206"/>
    <w:rsid w:val="006E4A04"/>
    <w:rsid w:val="006F41CA"/>
    <w:rsid w:val="006F4C0E"/>
    <w:rsid w:val="006F6866"/>
    <w:rsid w:val="007027F0"/>
    <w:rsid w:val="00705486"/>
    <w:rsid w:val="00707411"/>
    <w:rsid w:val="00710447"/>
    <w:rsid w:val="0072214F"/>
    <w:rsid w:val="00722FFB"/>
    <w:rsid w:val="00727973"/>
    <w:rsid w:val="00731383"/>
    <w:rsid w:val="007318E7"/>
    <w:rsid w:val="00732F9C"/>
    <w:rsid w:val="00733FAF"/>
    <w:rsid w:val="00734091"/>
    <w:rsid w:val="00734E71"/>
    <w:rsid w:val="007354A3"/>
    <w:rsid w:val="00735B87"/>
    <w:rsid w:val="00736791"/>
    <w:rsid w:val="007374E0"/>
    <w:rsid w:val="00737EB6"/>
    <w:rsid w:val="0074020D"/>
    <w:rsid w:val="007474F4"/>
    <w:rsid w:val="00750051"/>
    <w:rsid w:val="0075094D"/>
    <w:rsid w:val="00753CE8"/>
    <w:rsid w:val="00753DEB"/>
    <w:rsid w:val="00756A21"/>
    <w:rsid w:val="00756F2C"/>
    <w:rsid w:val="0076172D"/>
    <w:rsid w:val="007713F7"/>
    <w:rsid w:val="00783A39"/>
    <w:rsid w:val="00786B8D"/>
    <w:rsid w:val="007B02E0"/>
    <w:rsid w:val="007B39D9"/>
    <w:rsid w:val="007B520C"/>
    <w:rsid w:val="007B79E1"/>
    <w:rsid w:val="007C1A44"/>
    <w:rsid w:val="007C3BFB"/>
    <w:rsid w:val="007C4062"/>
    <w:rsid w:val="007D0003"/>
    <w:rsid w:val="007D271C"/>
    <w:rsid w:val="007D3A17"/>
    <w:rsid w:val="007D3C3A"/>
    <w:rsid w:val="007D66BC"/>
    <w:rsid w:val="007E150E"/>
    <w:rsid w:val="007E4EDC"/>
    <w:rsid w:val="007E634F"/>
    <w:rsid w:val="007F129F"/>
    <w:rsid w:val="007F3527"/>
    <w:rsid w:val="007F5FF2"/>
    <w:rsid w:val="007F60F1"/>
    <w:rsid w:val="007F62BD"/>
    <w:rsid w:val="007F72E0"/>
    <w:rsid w:val="00802773"/>
    <w:rsid w:val="00807EF4"/>
    <w:rsid w:val="00811DF2"/>
    <w:rsid w:val="00812039"/>
    <w:rsid w:val="00815DD5"/>
    <w:rsid w:val="008218CB"/>
    <w:rsid w:val="00821F50"/>
    <w:rsid w:val="008221D6"/>
    <w:rsid w:val="0082286A"/>
    <w:rsid w:val="00827099"/>
    <w:rsid w:val="008308F1"/>
    <w:rsid w:val="00831ECF"/>
    <w:rsid w:val="008324B6"/>
    <w:rsid w:val="00835C85"/>
    <w:rsid w:val="00845205"/>
    <w:rsid w:val="00853261"/>
    <w:rsid w:val="00854D9F"/>
    <w:rsid w:val="0085663B"/>
    <w:rsid w:val="00857518"/>
    <w:rsid w:val="00864D9E"/>
    <w:rsid w:val="00880CD3"/>
    <w:rsid w:val="0088354B"/>
    <w:rsid w:val="00890A3A"/>
    <w:rsid w:val="0089190E"/>
    <w:rsid w:val="008933BC"/>
    <w:rsid w:val="008938E1"/>
    <w:rsid w:val="00894FA5"/>
    <w:rsid w:val="008A2F38"/>
    <w:rsid w:val="008A3975"/>
    <w:rsid w:val="008A5406"/>
    <w:rsid w:val="008A797D"/>
    <w:rsid w:val="008B100D"/>
    <w:rsid w:val="008B1933"/>
    <w:rsid w:val="008B3C99"/>
    <w:rsid w:val="008B5173"/>
    <w:rsid w:val="008B66AC"/>
    <w:rsid w:val="008C304F"/>
    <w:rsid w:val="008C3DD8"/>
    <w:rsid w:val="008C3E2A"/>
    <w:rsid w:val="008C4406"/>
    <w:rsid w:val="008C60B2"/>
    <w:rsid w:val="008D10DA"/>
    <w:rsid w:val="008D29BC"/>
    <w:rsid w:val="008D6153"/>
    <w:rsid w:val="008E1C62"/>
    <w:rsid w:val="008E2200"/>
    <w:rsid w:val="008E2346"/>
    <w:rsid w:val="008E585B"/>
    <w:rsid w:val="008E5ACA"/>
    <w:rsid w:val="008E73F2"/>
    <w:rsid w:val="008E7D71"/>
    <w:rsid w:val="008F0786"/>
    <w:rsid w:val="008F305C"/>
    <w:rsid w:val="008F48F5"/>
    <w:rsid w:val="00902FD4"/>
    <w:rsid w:val="00914414"/>
    <w:rsid w:val="0091684B"/>
    <w:rsid w:val="00920E1C"/>
    <w:rsid w:val="00922906"/>
    <w:rsid w:val="00927963"/>
    <w:rsid w:val="00930A6A"/>
    <w:rsid w:val="00931D84"/>
    <w:rsid w:val="00944B28"/>
    <w:rsid w:val="00944D95"/>
    <w:rsid w:val="00945865"/>
    <w:rsid w:val="00947F33"/>
    <w:rsid w:val="0095015C"/>
    <w:rsid w:val="00951C98"/>
    <w:rsid w:val="00954FFD"/>
    <w:rsid w:val="00955740"/>
    <w:rsid w:val="00961A36"/>
    <w:rsid w:val="00963632"/>
    <w:rsid w:val="00963DA8"/>
    <w:rsid w:val="0096766A"/>
    <w:rsid w:val="00972A4A"/>
    <w:rsid w:val="0097377D"/>
    <w:rsid w:val="00973824"/>
    <w:rsid w:val="00973ADF"/>
    <w:rsid w:val="00981154"/>
    <w:rsid w:val="00983628"/>
    <w:rsid w:val="00983F9A"/>
    <w:rsid w:val="0098401F"/>
    <w:rsid w:val="00984EA0"/>
    <w:rsid w:val="00987BA7"/>
    <w:rsid w:val="009958A9"/>
    <w:rsid w:val="00995F5F"/>
    <w:rsid w:val="009B19EF"/>
    <w:rsid w:val="009B77DE"/>
    <w:rsid w:val="009C19C7"/>
    <w:rsid w:val="009D4454"/>
    <w:rsid w:val="009E549A"/>
    <w:rsid w:val="009E76EB"/>
    <w:rsid w:val="00A149D4"/>
    <w:rsid w:val="00A15CDC"/>
    <w:rsid w:val="00A176E8"/>
    <w:rsid w:val="00A20CE0"/>
    <w:rsid w:val="00A251FE"/>
    <w:rsid w:val="00A27966"/>
    <w:rsid w:val="00A27A3A"/>
    <w:rsid w:val="00A3019D"/>
    <w:rsid w:val="00A306AD"/>
    <w:rsid w:val="00A30810"/>
    <w:rsid w:val="00A30BEE"/>
    <w:rsid w:val="00A34B09"/>
    <w:rsid w:val="00A351DF"/>
    <w:rsid w:val="00A44D71"/>
    <w:rsid w:val="00A45996"/>
    <w:rsid w:val="00A5385F"/>
    <w:rsid w:val="00A653E9"/>
    <w:rsid w:val="00A665E3"/>
    <w:rsid w:val="00A722EF"/>
    <w:rsid w:val="00A73A32"/>
    <w:rsid w:val="00A73CEF"/>
    <w:rsid w:val="00A7685A"/>
    <w:rsid w:val="00A831B7"/>
    <w:rsid w:val="00A83653"/>
    <w:rsid w:val="00A84518"/>
    <w:rsid w:val="00A84C2A"/>
    <w:rsid w:val="00A94537"/>
    <w:rsid w:val="00A967EC"/>
    <w:rsid w:val="00A979BD"/>
    <w:rsid w:val="00AA0A52"/>
    <w:rsid w:val="00AA1434"/>
    <w:rsid w:val="00AA2D54"/>
    <w:rsid w:val="00AA2F25"/>
    <w:rsid w:val="00AA640D"/>
    <w:rsid w:val="00AB0977"/>
    <w:rsid w:val="00AB1D9E"/>
    <w:rsid w:val="00AB23D7"/>
    <w:rsid w:val="00AB30F9"/>
    <w:rsid w:val="00AB62A8"/>
    <w:rsid w:val="00AC1C21"/>
    <w:rsid w:val="00AC7CF0"/>
    <w:rsid w:val="00AD040E"/>
    <w:rsid w:val="00AD059E"/>
    <w:rsid w:val="00AD1DF5"/>
    <w:rsid w:val="00AD3312"/>
    <w:rsid w:val="00AE21E3"/>
    <w:rsid w:val="00AE273E"/>
    <w:rsid w:val="00AE3B2F"/>
    <w:rsid w:val="00AE5C80"/>
    <w:rsid w:val="00AE79B0"/>
    <w:rsid w:val="00AF1E66"/>
    <w:rsid w:val="00AF3BE5"/>
    <w:rsid w:val="00AF5D13"/>
    <w:rsid w:val="00B010C0"/>
    <w:rsid w:val="00B010CD"/>
    <w:rsid w:val="00B01A11"/>
    <w:rsid w:val="00B01BDA"/>
    <w:rsid w:val="00B117C3"/>
    <w:rsid w:val="00B11B64"/>
    <w:rsid w:val="00B13041"/>
    <w:rsid w:val="00B134B6"/>
    <w:rsid w:val="00B138B7"/>
    <w:rsid w:val="00B1407F"/>
    <w:rsid w:val="00B2591D"/>
    <w:rsid w:val="00B30A97"/>
    <w:rsid w:val="00B31F5C"/>
    <w:rsid w:val="00B33C04"/>
    <w:rsid w:val="00B349FB"/>
    <w:rsid w:val="00B428F8"/>
    <w:rsid w:val="00B46A11"/>
    <w:rsid w:val="00B46C8F"/>
    <w:rsid w:val="00B50FCE"/>
    <w:rsid w:val="00B5420A"/>
    <w:rsid w:val="00B56842"/>
    <w:rsid w:val="00B56D43"/>
    <w:rsid w:val="00B62B18"/>
    <w:rsid w:val="00B65840"/>
    <w:rsid w:val="00B6797E"/>
    <w:rsid w:val="00B73B9D"/>
    <w:rsid w:val="00B746AD"/>
    <w:rsid w:val="00B831CD"/>
    <w:rsid w:val="00B83B6C"/>
    <w:rsid w:val="00B84182"/>
    <w:rsid w:val="00B86021"/>
    <w:rsid w:val="00B8726E"/>
    <w:rsid w:val="00B91784"/>
    <w:rsid w:val="00B923F8"/>
    <w:rsid w:val="00BA007D"/>
    <w:rsid w:val="00BA18A7"/>
    <w:rsid w:val="00BA358C"/>
    <w:rsid w:val="00BA37F8"/>
    <w:rsid w:val="00BA73EA"/>
    <w:rsid w:val="00BA7E41"/>
    <w:rsid w:val="00BB0E7F"/>
    <w:rsid w:val="00BB0E8F"/>
    <w:rsid w:val="00BC0C12"/>
    <w:rsid w:val="00BC21CB"/>
    <w:rsid w:val="00BC74E9"/>
    <w:rsid w:val="00BD501B"/>
    <w:rsid w:val="00BD70F7"/>
    <w:rsid w:val="00BE53CA"/>
    <w:rsid w:val="00BE656D"/>
    <w:rsid w:val="00BE7CDC"/>
    <w:rsid w:val="00BE7E8D"/>
    <w:rsid w:val="00BF2B0C"/>
    <w:rsid w:val="00BF620B"/>
    <w:rsid w:val="00BF7468"/>
    <w:rsid w:val="00C00C9F"/>
    <w:rsid w:val="00C01C71"/>
    <w:rsid w:val="00C0216E"/>
    <w:rsid w:val="00C04283"/>
    <w:rsid w:val="00C06F24"/>
    <w:rsid w:val="00C123F9"/>
    <w:rsid w:val="00C155DA"/>
    <w:rsid w:val="00C16130"/>
    <w:rsid w:val="00C20D16"/>
    <w:rsid w:val="00C310AE"/>
    <w:rsid w:val="00C31919"/>
    <w:rsid w:val="00C328C8"/>
    <w:rsid w:val="00C37187"/>
    <w:rsid w:val="00C40062"/>
    <w:rsid w:val="00C410B2"/>
    <w:rsid w:val="00C411A1"/>
    <w:rsid w:val="00C463B0"/>
    <w:rsid w:val="00C5501E"/>
    <w:rsid w:val="00C6032E"/>
    <w:rsid w:val="00C61705"/>
    <w:rsid w:val="00C6599B"/>
    <w:rsid w:val="00C672E7"/>
    <w:rsid w:val="00C67A22"/>
    <w:rsid w:val="00C709D5"/>
    <w:rsid w:val="00C767F7"/>
    <w:rsid w:val="00C80204"/>
    <w:rsid w:val="00CA0199"/>
    <w:rsid w:val="00CA0B87"/>
    <w:rsid w:val="00CA4D90"/>
    <w:rsid w:val="00CB0EB4"/>
    <w:rsid w:val="00CB1C41"/>
    <w:rsid w:val="00CB2203"/>
    <w:rsid w:val="00CB3C19"/>
    <w:rsid w:val="00CB6A63"/>
    <w:rsid w:val="00CB7FAC"/>
    <w:rsid w:val="00CC141D"/>
    <w:rsid w:val="00CC5995"/>
    <w:rsid w:val="00CC6A60"/>
    <w:rsid w:val="00CD54E2"/>
    <w:rsid w:val="00CD65BB"/>
    <w:rsid w:val="00CD6681"/>
    <w:rsid w:val="00CD6EEA"/>
    <w:rsid w:val="00CD7141"/>
    <w:rsid w:val="00CE1914"/>
    <w:rsid w:val="00CE278E"/>
    <w:rsid w:val="00CE3576"/>
    <w:rsid w:val="00CE56CB"/>
    <w:rsid w:val="00CE798F"/>
    <w:rsid w:val="00CF1504"/>
    <w:rsid w:val="00CF357C"/>
    <w:rsid w:val="00CF5817"/>
    <w:rsid w:val="00D03083"/>
    <w:rsid w:val="00D0316D"/>
    <w:rsid w:val="00D04702"/>
    <w:rsid w:val="00D058C3"/>
    <w:rsid w:val="00D05A20"/>
    <w:rsid w:val="00D142B0"/>
    <w:rsid w:val="00D1596A"/>
    <w:rsid w:val="00D15C6B"/>
    <w:rsid w:val="00D2160C"/>
    <w:rsid w:val="00D2342B"/>
    <w:rsid w:val="00D236A2"/>
    <w:rsid w:val="00D31489"/>
    <w:rsid w:val="00D31A6A"/>
    <w:rsid w:val="00D40025"/>
    <w:rsid w:val="00D436E5"/>
    <w:rsid w:val="00D438A6"/>
    <w:rsid w:val="00D466FE"/>
    <w:rsid w:val="00D537A1"/>
    <w:rsid w:val="00D539BE"/>
    <w:rsid w:val="00D551D4"/>
    <w:rsid w:val="00D55F86"/>
    <w:rsid w:val="00D60AF0"/>
    <w:rsid w:val="00D629C2"/>
    <w:rsid w:val="00D62CCC"/>
    <w:rsid w:val="00D639BF"/>
    <w:rsid w:val="00D65A16"/>
    <w:rsid w:val="00D71236"/>
    <w:rsid w:val="00D71FC6"/>
    <w:rsid w:val="00D725EC"/>
    <w:rsid w:val="00D741C3"/>
    <w:rsid w:val="00D81441"/>
    <w:rsid w:val="00D919B4"/>
    <w:rsid w:val="00D93D67"/>
    <w:rsid w:val="00D97FED"/>
    <w:rsid w:val="00DA0D11"/>
    <w:rsid w:val="00DA1B86"/>
    <w:rsid w:val="00DA2A67"/>
    <w:rsid w:val="00DA339F"/>
    <w:rsid w:val="00DA626E"/>
    <w:rsid w:val="00DB63A0"/>
    <w:rsid w:val="00DB7104"/>
    <w:rsid w:val="00DC42D5"/>
    <w:rsid w:val="00DC5950"/>
    <w:rsid w:val="00DD2A47"/>
    <w:rsid w:val="00DD6479"/>
    <w:rsid w:val="00DD7C06"/>
    <w:rsid w:val="00DD7EE8"/>
    <w:rsid w:val="00DE227A"/>
    <w:rsid w:val="00DE2556"/>
    <w:rsid w:val="00DE51DB"/>
    <w:rsid w:val="00DE6604"/>
    <w:rsid w:val="00DE66D2"/>
    <w:rsid w:val="00DF34FA"/>
    <w:rsid w:val="00DF4483"/>
    <w:rsid w:val="00DF4B26"/>
    <w:rsid w:val="00DF5D03"/>
    <w:rsid w:val="00DF6F81"/>
    <w:rsid w:val="00E00CDD"/>
    <w:rsid w:val="00E07C71"/>
    <w:rsid w:val="00E10504"/>
    <w:rsid w:val="00E108D6"/>
    <w:rsid w:val="00E15D15"/>
    <w:rsid w:val="00E175DD"/>
    <w:rsid w:val="00E176D7"/>
    <w:rsid w:val="00E23D8D"/>
    <w:rsid w:val="00E3238D"/>
    <w:rsid w:val="00E347E0"/>
    <w:rsid w:val="00E36EA2"/>
    <w:rsid w:val="00E441EE"/>
    <w:rsid w:val="00E45A13"/>
    <w:rsid w:val="00E462B2"/>
    <w:rsid w:val="00E47B62"/>
    <w:rsid w:val="00E52753"/>
    <w:rsid w:val="00E56E17"/>
    <w:rsid w:val="00E621CC"/>
    <w:rsid w:val="00E6410E"/>
    <w:rsid w:val="00E64E47"/>
    <w:rsid w:val="00E65070"/>
    <w:rsid w:val="00E6599B"/>
    <w:rsid w:val="00E700F5"/>
    <w:rsid w:val="00E71A77"/>
    <w:rsid w:val="00E770AA"/>
    <w:rsid w:val="00E8185A"/>
    <w:rsid w:val="00E83010"/>
    <w:rsid w:val="00E8428A"/>
    <w:rsid w:val="00E84BCE"/>
    <w:rsid w:val="00E857A4"/>
    <w:rsid w:val="00E8671B"/>
    <w:rsid w:val="00E86D10"/>
    <w:rsid w:val="00E87338"/>
    <w:rsid w:val="00E906BD"/>
    <w:rsid w:val="00EA035F"/>
    <w:rsid w:val="00EA610F"/>
    <w:rsid w:val="00EA7939"/>
    <w:rsid w:val="00EC125F"/>
    <w:rsid w:val="00EC1326"/>
    <w:rsid w:val="00EC1433"/>
    <w:rsid w:val="00EC45FD"/>
    <w:rsid w:val="00ED1DE0"/>
    <w:rsid w:val="00ED2025"/>
    <w:rsid w:val="00ED7FC4"/>
    <w:rsid w:val="00EE161F"/>
    <w:rsid w:val="00EE2EF5"/>
    <w:rsid w:val="00EE69B4"/>
    <w:rsid w:val="00EF0C1F"/>
    <w:rsid w:val="00EF46EB"/>
    <w:rsid w:val="00EF60DE"/>
    <w:rsid w:val="00F06485"/>
    <w:rsid w:val="00F10BE1"/>
    <w:rsid w:val="00F11231"/>
    <w:rsid w:val="00F11412"/>
    <w:rsid w:val="00F13642"/>
    <w:rsid w:val="00F21B68"/>
    <w:rsid w:val="00F21ECB"/>
    <w:rsid w:val="00F25ED2"/>
    <w:rsid w:val="00F26464"/>
    <w:rsid w:val="00F26C3C"/>
    <w:rsid w:val="00F33615"/>
    <w:rsid w:val="00F339FC"/>
    <w:rsid w:val="00F33F4B"/>
    <w:rsid w:val="00F343AD"/>
    <w:rsid w:val="00F3577F"/>
    <w:rsid w:val="00F3665D"/>
    <w:rsid w:val="00F4662A"/>
    <w:rsid w:val="00F46D6D"/>
    <w:rsid w:val="00F5062B"/>
    <w:rsid w:val="00F51B60"/>
    <w:rsid w:val="00F528B4"/>
    <w:rsid w:val="00F53422"/>
    <w:rsid w:val="00F571B4"/>
    <w:rsid w:val="00F65613"/>
    <w:rsid w:val="00F71908"/>
    <w:rsid w:val="00F7714F"/>
    <w:rsid w:val="00F83AD8"/>
    <w:rsid w:val="00F86E60"/>
    <w:rsid w:val="00F87EBC"/>
    <w:rsid w:val="00F94EB8"/>
    <w:rsid w:val="00FA7058"/>
    <w:rsid w:val="00FB2784"/>
    <w:rsid w:val="00FC56B2"/>
    <w:rsid w:val="00FC64DA"/>
    <w:rsid w:val="00FC6AB2"/>
    <w:rsid w:val="00FD2C45"/>
    <w:rsid w:val="00FD4A46"/>
    <w:rsid w:val="00FD6AD8"/>
    <w:rsid w:val="00FD7D3D"/>
    <w:rsid w:val="00FE0988"/>
    <w:rsid w:val="00FE0A2C"/>
    <w:rsid w:val="00FE7E3B"/>
    <w:rsid w:val="00FF31AD"/>
    <w:rsid w:val="00FF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 w:type="paragraph" w:customStyle="1" w:styleId="Question-Testimony">
    <w:name w:val="Question - Testimony"/>
    <w:basedOn w:val="Heading3"/>
    <w:link w:val="Question-TestimonyChar"/>
    <w:qFormat/>
    <w:rsid w:val="00AE79B0"/>
    <w:rPr>
      <w:bCs w:val="0"/>
    </w:rPr>
  </w:style>
  <w:style w:type="character" w:customStyle="1" w:styleId="Question-TestimonyChar">
    <w:name w:val="Question - Testimony Char"/>
    <w:basedOn w:val="DefaultParagraphFont"/>
    <w:link w:val="Question-Testimony"/>
    <w:rsid w:val="00AE79B0"/>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57414C"/>
    <w:pPr>
      <w:keepNext/>
      <w:keepLines/>
      <w:numPr>
        <w:numId w:val="0"/>
      </w:numPr>
      <w:spacing w:before="480"/>
      <w:ind w:left="720" w:hanging="720"/>
      <w:jc w:val="left"/>
      <w:outlineLvl w:val="9"/>
    </w:pPr>
    <w:rPr>
      <w:rFonts w:asciiTheme="majorHAnsi" w:hAnsiTheme="majorHAnsi" w:cstheme="majorBidi"/>
      <w:color w:val="365F91" w:themeColor="accent1" w:themeShade="BF"/>
      <w:sz w:val="28"/>
      <w:szCs w:val="28"/>
    </w:rPr>
  </w:style>
  <w:style w:type="paragraph" w:styleId="TOC3">
    <w:name w:val="toc 3"/>
    <w:basedOn w:val="Normal"/>
    <w:next w:val="Normal"/>
    <w:autoRedefine/>
    <w:uiPriority w:val="39"/>
    <w:unhideWhenUsed/>
    <w:rsid w:val="0057414C"/>
    <w:pPr>
      <w:tabs>
        <w:tab w:val="clear" w:pos="-1440"/>
      </w:tabs>
      <w:spacing w:after="100"/>
      <w:ind w:left="480"/>
    </w:pPr>
  </w:style>
  <w:style w:type="paragraph" w:styleId="TOC6">
    <w:name w:val="toc 6"/>
    <w:basedOn w:val="Normal"/>
    <w:next w:val="Normal"/>
    <w:autoRedefine/>
    <w:uiPriority w:val="39"/>
    <w:semiHidden/>
    <w:unhideWhenUsed/>
    <w:rsid w:val="0057414C"/>
    <w:pPr>
      <w:tabs>
        <w:tab w:val="clear" w:pos="-1440"/>
      </w:tabs>
      <w:spacing w:after="100"/>
      <w:ind w:left="1200"/>
    </w:pPr>
  </w:style>
  <w:style w:type="paragraph" w:customStyle="1" w:styleId="Answer-Testimony">
    <w:name w:val="Answer - Testimony"/>
    <w:basedOn w:val="Normal"/>
    <w:link w:val="Answer-TestimonyChar"/>
    <w:qFormat/>
    <w:rsid w:val="00F21ECB"/>
    <w:pPr>
      <w:tabs>
        <w:tab w:val="clear" w:pos="-1440"/>
      </w:tabs>
    </w:pPr>
  </w:style>
  <w:style w:type="character" w:customStyle="1" w:styleId="Answer-TestimonyChar">
    <w:name w:val="Answer - Testimony Char"/>
    <w:basedOn w:val="DefaultParagraphFont"/>
    <w:link w:val="Answer-Testimony"/>
    <w:rsid w:val="00F21E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EA"/>
    <w:pPr>
      <w:tabs>
        <w:tab w:val="left" w:pos="-1440"/>
      </w:tabs>
      <w:spacing w:after="0" w:line="480" w:lineRule="auto"/>
      <w:ind w:left="720" w:hanging="72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EF5"/>
    <w:pPr>
      <w:numPr>
        <w:numId w:val="1"/>
      </w:numPr>
      <w:ind w:left="0" w:firstLine="0"/>
      <w:jc w:val="center"/>
      <w:outlineLvl w:val="0"/>
    </w:pPr>
    <w:rPr>
      <w:rFonts w:eastAsiaTheme="majorEastAsia"/>
      <w:b/>
      <w:bCs/>
    </w:rPr>
  </w:style>
  <w:style w:type="paragraph" w:styleId="Heading2">
    <w:name w:val="heading 2"/>
    <w:basedOn w:val="Normal"/>
    <w:next w:val="Normal"/>
    <w:link w:val="Heading2Char"/>
    <w:uiPriority w:val="9"/>
    <w:qFormat/>
    <w:rsid w:val="00516E1D"/>
    <w:pPr>
      <w:keepNext/>
      <w:numPr>
        <w:numId w:val="2"/>
      </w:numPr>
      <w:spacing w:line="240" w:lineRule="auto"/>
      <w:jc w:val="center"/>
      <w:outlineLvl w:val="1"/>
    </w:pPr>
    <w:rPr>
      <w:b/>
    </w:rPr>
  </w:style>
  <w:style w:type="paragraph" w:styleId="Heading3">
    <w:name w:val="heading 3"/>
    <w:basedOn w:val="Normal"/>
    <w:next w:val="Normal"/>
    <w:link w:val="Heading3Char"/>
    <w:qFormat/>
    <w:rsid w:val="00617FB7"/>
    <w:pPr>
      <w:outlineLvl w:val="2"/>
    </w:pPr>
    <w:rPr>
      <w:b/>
      <w:bCs/>
    </w:rPr>
  </w:style>
  <w:style w:type="paragraph" w:styleId="Heading4">
    <w:name w:val="heading 4"/>
    <w:basedOn w:val="Normal"/>
    <w:next w:val="Normal"/>
    <w:link w:val="Heading4Char"/>
    <w:uiPriority w:val="9"/>
    <w:unhideWhenUsed/>
    <w:qFormat/>
    <w:rsid w:val="00663DCD"/>
    <w:pPr>
      <w:keepNext/>
      <w:keepLines/>
      <w:spacing w:before="200"/>
      <w:jc w:val="center"/>
      <w:outlineLvl w:val="3"/>
    </w:pPr>
    <w:rPr>
      <w:rFonts w:eastAsiaTheme="majorEastAsi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F5"/>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516E1D"/>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17FB7"/>
    <w:rPr>
      <w:rFonts w:ascii="Times New Roman" w:eastAsia="Times New Roman" w:hAnsi="Times New Roman" w:cs="Times New Roman"/>
      <w:b/>
      <w:bCs/>
      <w:sz w:val="24"/>
      <w:szCs w:val="24"/>
    </w:rPr>
  </w:style>
  <w:style w:type="paragraph" w:styleId="Footer">
    <w:name w:val="footer"/>
    <w:basedOn w:val="Normal"/>
    <w:link w:val="FooterChar"/>
    <w:rsid w:val="00617FB7"/>
    <w:pPr>
      <w:tabs>
        <w:tab w:val="center" w:pos="4320"/>
        <w:tab w:val="right" w:pos="9360"/>
      </w:tabs>
      <w:spacing w:line="240" w:lineRule="auto"/>
    </w:pPr>
    <w:rPr>
      <w:sz w:val="22"/>
      <w:szCs w:val="22"/>
    </w:rPr>
  </w:style>
  <w:style w:type="character" w:customStyle="1" w:styleId="FooterChar">
    <w:name w:val="Footer Char"/>
    <w:basedOn w:val="DefaultParagraphFont"/>
    <w:link w:val="Footer"/>
    <w:rsid w:val="00617FB7"/>
    <w:rPr>
      <w:rFonts w:ascii="Times New Roman" w:eastAsia="Times New Roman" w:hAnsi="Times New Roman" w:cs="Times New Roman"/>
    </w:rPr>
  </w:style>
  <w:style w:type="paragraph" w:styleId="BodyTextIndent">
    <w:name w:val="Body Text Indent"/>
    <w:basedOn w:val="Normal"/>
    <w:link w:val="BodyTextIndentChar"/>
    <w:rsid w:val="00617FB7"/>
    <w:pPr>
      <w:tabs>
        <w:tab w:val="num" w:pos="0"/>
      </w:tabs>
      <w:ind w:firstLine="360"/>
    </w:pPr>
  </w:style>
  <w:style w:type="character" w:customStyle="1" w:styleId="BodyTextIndentChar">
    <w:name w:val="Body Text Indent Char"/>
    <w:basedOn w:val="DefaultParagraphFont"/>
    <w:link w:val="BodyTextIndent"/>
    <w:rsid w:val="00617FB7"/>
    <w:rPr>
      <w:rFonts w:ascii="Times New Roman" w:eastAsia="Times New Roman" w:hAnsi="Times New Roman" w:cs="Times New Roman"/>
      <w:sz w:val="24"/>
      <w:szCs w:val="24"/>
    </w:rPr>
  </w:style>
  <w:style w:type="character" w:styleId="PageNumber">
    <w:name w:val="page number"/>
    <w:basedOn w:val="DefaultParagraphFont"/>
    <w:rsid w:val="00617FB7"/>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autoRedefine/>
    <w:qFormat/>
    <w:rsid w:val="00CD6EEA"/>
    <w:pPr>
      <w:spacing w:line="240" w:lineRule="auto"/>
      <w:ind w:left="0" w:firstLine="0"/>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D6EEA"/>
    <w:rPr>
      <w:rFonts w:ascii="Times New Roman" w:eastAsia="Times New Roman" w:hAnsi="Times New Roman" w:cs="Times New Roman"/>
      <w:sz w:val="20"/>
      <w:szCs w:val="20"/>
    </w:rPr>
  </w:style>
  <w:style w:type="character" w:styleId="FootnoteReference">
    <w:name w:val="footnote reference"/>
    <w:basedOn w:val="DefaultParagraphFont"/>
    <w:rsid w:val="00A84518"/>
    <w:rPr>
      <w:vertAlign w:val="superscript"/>
    </w:rPr>
  </w:style>
  <w:style w:type="character" w:styleId="LineNumber">
    <w:name w:val="line number"/>
    <w:basedOn w:val="DefaultParagraphFont"/>
    <w:uiPriority w:val="99"/>
    <w:semiHidden/>
    <w:unhideWhenUsed/>
    <w:rsid w:val="00617FB7"/>
  </w:style>
  <w:style w:type="paragraph" w:styleId="ListParagraph">
    <w:name w:val="List Paragraph"/>
    <w:basedOn w:val="Normal"/>
    <w:uiPriority w:val="34"/>
    <w:qFormat/>
    <w:rsid w:val="00A84518"/>
    <w:pPr>
      <w:tabs>
        <w:tab w:val="clear" w:pos="-1440"/>
      </w:tabs>
      <w:spacing w:after="200" w:line="276" w:lineRule="auto"/>
      <w:ind w:firstLine="0"/>
      <w:contextualSpacing/>
    </w:pPr>
    <w:rPr>
      <w:rFonts w:eastAsiaTheme="minorHAnsi" w:cs="Calibri"/>
      <w:szCs w:val="22"/>
    </w:rPr>
  </w:style>
  <w:style w:type="paragraph" w:styleId="BalloonText">
    <w:name w:val="Balloon Text"/>
    <w:basedOn w:val="Normal"/>
    <w:link w:val="BalloonTextChar"/>
    <w:uiPriority w:val="99"/>
    <w:semiHidden/>
    <w:unhideWhenUsed/>
    <w:rsid w:val="00A84518"/>
    <w:pPr>
      <w:tabs>
        <w:tab w:val="clear" w:pos="-1440"/>
      </w:tabs>
      <w:spacing w:line="240" w:lineRule="auto"/>
      <w:ind w:left="0" w:firstLine="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84518"/>
    <w:rPr>
      <w:rFonts w:ascii="Tahoma" w:hAnsi="Tahoma" w:cs="Tahoma"/>
      <w:sz w:val="16"/>
      <w:szCs w:val="16"/>
    </w:rPr>
  </w:style>
  <w:style w:type="character" w:styleId="CommentReference">
    <w:name w:val="annotation reference"/>
    <w:basedOn w:val="DefaultParagraphFont"/>
    <w:uiPriority w:val="99"/>
    <w:semiHidden/>
    <w:unhideWhenUsed/>
    <w:rsid w:val="00A84518"/>
    <w:rPr>
      <w:sz w:val="16"/>
      <w:szCs w:val="16"/>
    </w:rPr>
  </w:style>
  <w:style w:type="paragraph" w:styleId="CommentText">
    <w:name w:val="annotation text"/>
    <w:basedOn w:val="Normal"/>
    <w:link w:val="CommentTextChar"/>
    <w:uiPriority w:val="99"/>
    <w:semiHidden/>
    <w:unhideWhenUsed/>
    <w:rsid w:val="00A84518"/>
    <w:pPr>
      <w:tabs>
        <w:tab w:val="clear" w:pos="-1440"/>
      </w:tabs>
      <w:spacing w:after="200" w:line="240" w:lineRule="auto"/>
      <w:ind w:left="0" w:firstLine="0"/>
    </w:pPr>
    <w:rPr>
      <w:rFonts w:eastAsiaTheme="minorHAnsi" w:cs="Calibri"/>
      <w:sz w:val="20"/>
      <w:szCs w:val="20"/>
    </w:rPr>
  </w:style>
  <w:style w:type="character" w:customStyle="1" w:styleId="CommentTextChar">
    <w:name w:val="Comment Text Char"/>
    <w:basedOn w:val="DefaultParagraphFont"/>
    <w:link w:val="CommentText"/>
    <w:uiPriority w:val="99"/>
    <w:semiHidden/>
    <w:rsid w:val="00A84518"/>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84518"/>
    <w:rPr>
      <w:b/>
      <w:bCs/>
    </w:rPr>
  </w:style>
  <w:style w:type="character" w:customStyle="1" w:styleId="CommentSubjectChar">
    <w:name w:val="Comment Subject Char"/>
    <w:basedOn w:val="CommentTextChar"/>
    <w:link w:val="CommentSubject"/>
    <w:uiPriority w:val="99"/>
    <w:semiHidden/>
    <w:rsid w:val="00A84518"/>
    <w:rPr>
      <w:rFonts w:ascii="Times New Roman" w:hAnsi="Times New Roman" w:cs="Calibri"/>
      <w:b/>
      <w:bCs/>
      <w:sz w:val="20"/>
      <w:szCs w:val="20"/>
    </w:rPr>
  </w:style>
  <w:style w:type="paragraph" w:styleId="Header">
    <w:name w:val="header"/>
    <w:basedOn w:val="Normal"/>
    <w:link w:val="HeaderChar"/>
    <w:unhideWhenUsed/>
    <w:rsid w:val="00A84518"/>
    <w:pPr>
      <w:tabs>
        <w:tab w:val="clear" w:pos="-1440"/>
        <w:tab w:val="center" w:pos="4680"/>
        <w:tab w:val="right" w:pos="9360"/>
      </w:tabs>
      <w:spacing w:line="240" w:lineRule="auto"/>
    </w:pPr>
  </w:style>
  <w:style w:type="character" w:customStyle="1" w:styleId="HeaderChar">
    <w:name w:val="Header Char"/>
    <w:basedOn w:val="DefaultParagraphFont"/>
    <w:link w:val="Header"/>
    <w:rsid w:val="00A8451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63DCD"/>
    <w:rPr>
      <w:rFonts w:ascii="Times New Roman" w:eastAsiaTheme="majorEastAsia" w:hAnsi="Times New Roman" w:cs="Times New Roman"/>
      <w:b/>
      <w:bCs/>
      <w:i/>
      <w:iCs/>
      <w:sz w:val="24"/>
      <w:szCs w:val="24"/>
      <w:u w:val="single"/>
    </w:rPr>
  </w:style>
  <w:style w:type="paragraph" w:styleId="Revision">
    <w:name w:val="Revision"/>
    <w:hidden/>
    <w:uiPriority w:val="99"/>
    <w:semiHidden/>
    <w:rsid w:val="009E54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7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0704BF"/>
    <w:pPr>
      <w:tabs>
        <w:tab w:val="clear" w:pos="-1440"/>
        <w:tab w:val="left" w:pos="440"/>
        <w:tab w:val="right" w:leader="dot" w:pos="9350"/>
      </w:tabs>
      <w:spacing w:after="100"/>
      <w:ind w:left="0"/>
      <w:jc w:val="center"/>
    </w:pPr>
  </w:style>
  <w:style w:type="paragraph" w:styleId="TOC2">
    <w:name w:val="toc 2"/>
    <w:basedOn w:val="Normal"/>
    <w:next w:val="Normal"/>
    <w:autoRedefine/>
    <w:uiPriority w:val="39"/>
    <w:unhideWhenUsed/>
    <w:rsid w:val="00D65A16"/>
    <w:pPr>
      <w:tabs>
        <w:tab w:val="clear" w:pos="-1440"/>
        <w:tab w:val="left" w:pos="630"/>
        <w:tab w:val="right" w:leader="dot" w:pos="9350"/>
      </w:tabs>
      <w:spacing w:after="240" w:line="240" w:lineRule="auto"/>
      <w:ind w:left="634" w:hanging="634"/>
    </w:pPr>
  </w:style>
  <w:style w:type="character" w:styleId="Hyperlink">
    <w:name w:val="Hyperlink"/>
    <w:basedOn w:val="DefaultParagraphFont"/>
    <w:uiPriority w:val="99"/>
    <w:unhideWhenUsed/>
    <w:rsid w:val="000704BF"/>
    <w:rPr>
      <w:color w:val="0000FF" w:themeColor="hyperlink"/>
      <w:u w:val="single"/>
    </w:rPr>
  </w:style>
  <w:style w:type="paragraph" w:styleId="BodyTextIndent2">
    <w:name w:val="Body Text Indent 2"/>
    <w:basedOn w:val="Normal"/>
    <w:link w:val="BodyTextIndent2Char"/>
    <w:uiPriority w:val="99"/>
    <w:semiHidden/>
    <w:unhideWhenUsed/>
    <w:rsid w:val="00FD7D3D"/>
    <w:pPr>
      <w:spacing w:after="120"/>
      <w:ind w:left="360"/>
    </w:pPr>
  </w:style>
  <w:style w:type="character" w:customStyle="1" w:styleId="BodyTextIndent2Char">
    <w:name w:val="Body Text Indent 2 Char"/>
    <w:basedOn w:val="DefaultParagraphFont"/>
    <w:link w:val="BodyTextIndent2"/>
    <w:uiPriority w:val="99"/>
    <w:semiHidden/>
    <w:rsid w:val="00FD7D3D"/>
    <w:rPr>
      <w:rFonts w:ascii="Times New Roman" w:eastAsia="Times New Roman" w:hAnsi="Times New Roman" w:cs="Times New Roman"/>
      <w:sz w:val="24"/>
      <w:szCs w:val="24"/>
    </w:rPr>
  </w:style>
  <w:style w:type="paragraph" w:customStyle="1" w:styleId="Question-Testimony">
    <w:name w:val="Question - Testimony"/>
    <w:basedOn w:val="Heading3"/>
    <w:link w:val="Question-TestimonyChar"/>
    <w:qFormat/>
    <w:rsid w:val="00AE79B0"/>
    <w:rPr>
      <w:bCs w:val="0"/>
    </w:rPr>
  </w:style>
  <w:style w:type="character" w:customStyle="1" w:styleId="Question-TestimonyChar">
    <w:name w:val="Question - Testimony Char"/>
    <w:basedOn w:val="DefaultParagraphFont"/>
    <w:link w:val="Question-Testimony"/>
    <w:rsid w:val="00AE79B0"/>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57414C"/>
    <w:pPr>
      <w:keepNext/>
      <w:keepLines/>
      <w:numPr>
        <w:numId w:val="0"/>
      </w:numPr>
      <w:spacing w:before="480"/>
      <w:ind w:left="720" w:hanging="720"/>
      <w:jc w:val="left"/>
      <w:outlineLvl w:val="9"/>
    </w:pPr>
    <w:rPr>
      <w:rFonts w:asciiTheme="majorHAnsi" w:hAnsiTheme="majorHAnsi" w:cstheme="majorBidi"/>
      <w:color w:val="365F91" w:themeColor="accent1" w:themeShade="BF"/>
      <w:sz w:val="28"/>
      <w:szCs w:val="28"/>
    </w:rPr>
  </w:style>
  <w:style w:type="paragraph" w:styleId="TOC3">
    <w:name w:val="toc 3"/>
    <w:basedOn w:val="Normal"/>
    <w:next w:val="Normal"/>
    <w:autoRedefine/>
    <w:uiPriority w:val="39"/>
    <w:unhideWhenUsed/>
    <w:rsid w:val="0057414C"/>
    <w:pPr>
      <w:tabs>
        <w:tab w:val="clear" w:pos="-1440"/>
      </w:tabs>
      <w:spacing w:after="100"/>
      <w:ind w:left="480"/>
    </w:pPr>
  </w:style>
  <w:style w:type="paragraph" w:styleId="TOC6">
    <w:name w:val="toc 6"/>
    <w:basedOn w:val="Normal"/>
    <w:next w:val="Normal"/>
    <w:autoRedefine/>
    <w:uiPriority w:val="39"/>
    <w:semiHidden/>
    <w:unhideWhenUsed/>
    <w:rsid w:val="0057414C"/>
    <w:pPr>
      <w:tabs>
        <w:tab w:val="clear" w:pos="-1440"/>
      </w:tabs>
      <w:spacing w:after="100"/>
      <w:ind w:left="1200"/>
    </w:pPr>
  </w:style>
  <w:style w:type="paragraph" w:customStyle="1" w:styleId="Answer-Testimony">
    <w:name w:val="Answer - Testimony"/>
    <w:basedOn w:val="Normal"/>
    <w:link w:val="Answer-TestimonyChar"/>
    <w:qFormat/>
    <w:rsid w:val="00F21ECB"/>
    <w:pPr>
      <w:tabs>
        <w:tab w:val="clear" w:pos="-1440"/>
      </w:tabs>
    </w:pPr>
  </w:style>
  <w:style w:type="character" w:customStyle="1" w:styleId="Answer-TestimonyChar">
    <w:name w:val="Answer - Testimony Char"/>
    <w:basedOn w:val="DefaultParagraphFont"/>
    <w:link w:val="Answer-Testimony"/>
    <w:rsid w:val="00F21E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6616498D7811449987485091DF42B7" ma:contentTypeVersion="135" ma:contentTypeDescription="" ma:contentTypeScope="" ma:versionID="ea582effef2760cff9dab7cbb939c4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Appealed</CaseStatus>
    <OpenedDate xmlns="dc463f71-b30c-4ab2-9473-d307f9d35888">2013-01-11T08:00:00+00:00</OpenedDate>
    <Date1 xmlns="dc463f71-b30c-4ab2-9473-d307f9d35888">2013-06-21T07:00:00+00:00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130043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D49B58B-FA30-4D2D-B622-2C5E8E85DF8F}"/>
</file>

<file path=customXml/itemProps2.xml><?xml version="1.0" encoding="utf-8"?>
<ds:datastoreItem xmlns:ds="http://schemas.openxmlformats.org/officeDocument/2006/customXml" ds:itemID="{97CF872F-163C-4989-B90E-4CC07707E9B0}"/>
</file>

<file path=customXml/itemProps3.xml><?xml version="1.0" encoding="utf-8"?>
<ds:datastoreItem xmlns:ds="http://schemas.openxmlformats.org/officeDocument/2006/customXml" ds:itemID="{B8DA2A77-5E02-40B1-896C-77F339CDAF32}"/>
</file>

<file path=customXml/itemProps4.xml><?xml version="1.0" encoding="utf-8"?>
<ds:datastoreItem xmlns:ds="http://schemas.openxmlformats.org/officeDocument/2006/customXml" ds:itemID="{A65F5F94-7A32-440C-A2EB-490C0454A2B9}"/>
</file>

<file path=customXml/itemProps5.xml><?xml version="1.0" encoding="utf-8"?>
<ds:datastoreItem xmlns:ds="http://schemas.openxmlformats.org/officeDocument/2006/customXml" ds:itemID="{97D602F1-237A-4DA3-B11B-7D7C8E5ACA30}"/>
</file>

<file path=customXml/itemProps6.xml><?xml version="1.0" encoding="utf-8"?>
<ds:datastoreItem xmlns:ds="http://schemas.openxmlformats.org/officeDocument/2006/customXml" ds:itemID="{45F0EC0F-027C-40E1-B329-70BBDD539B2C}"/>
</file>

<file path=docProps/app.xml><?xml version="1.0" encoding="utf-8"?>
<Properties xmlns="http://schemas.openxmlformats.org/officeDocument/2006/extended-properties" xmlns:vt="http://schemas.openxmlformats.org/officeDocument/2006/docPropsVTypes">
  <Template>Normal</Template>
  <TotalTime>15</TotalTime>
  <Pages>15</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Reynolds</dc:creator>
  <cp:lastModifiedBy>Cedarbaum, Bob (UTC)</cp:lastModifiedBy>
  <cp:revision>13</cp:revision>
  <cp:lastPrinted>2013-06-21T15:51:00Z</cp:lastPrinted>
  <dcterms:created xsi:type="dcterms:W3CDTF">2013-06-21T15:28:00Z</dcterms:created>
  <dcterms:modified xsi:type="dcterms:W3CDTF">2013-06-21T16:50:00Z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0x0101006E56B4D1795A2E4DB2F0B01679ED314A00A76616498D7811449987485091DF42B7</vt:lpwstr>
  </property>
  <property fmtid="{D5CDD505-2E9C-101B-9397-08002B2CF9AE}" pid="3" name="_docset_NoMedatataSyncRequired">
    <vt:lpwstr>False</vt:lpwstr>
  </property>
</Properties>
</file>