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Default="00591B87">
      <w:pPr>
        <w:tabs>
          <w:tab w:val="left" w:pos="1260"/>
        </w:tabs>
        <w:spacing w:line="480" w:lineRule="auto"/>
        <w:ind w:firstLine="720"/>
        <w:jc w:val="center"/>
      </w:pPr>
    </w:p>
    <w:p w:rsidR="006D4E13" w:rsidRPr="0001114C" w:rsidRDefault="006D4E13">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rStyle w:val="LineNumber"/>
        </w:rPr>
      </w:pPr>
    </w:p>
    <w:p w:rsidR="00591B87" w:rsidRPr="0001114C" w:rsidRDefault="00591B87" w:rsidP="00FD14B3">
      <w:pPr>
        <w:spacing w:line="480" w:lineRule="auto"/>
        <w:ind w:left="0" w:right="0"/>
        <w:jc w:val="center"/>
      </w:pPr>
      <w:r w:rsidRPr="0001114C">
        <w:t>BEFORE THE WASHINGTON UTILITIES AND TRANSPORTATION COMMISSION</w:t>
      </w:r>
    </w:p>
    <w:p w:rsidR="00591B87" w:rsidRPr="0001114C" w:rsidRDefault="00591B87" w:rsidP="007F7D62">
      <w:pPr>
        <w:tabs>
          <w:tab w:val="left" w:pos="1260"/>
        </w:tabs>
        <w:spacing w:line="480" w:lineRule="auto"/>
        <w:ind w:firstLine="720"/>
        <w:jc w:val="center"/>
      </w:pPr>
    </w:p>
    <w:p w:rsidR="00591B87" w:rsidRPr="0028679B" w:rsidRDefault="00591B87">
      <w:pPr>
        <w:tabs>
          <w:tab w:val="left" w:pos="1260"/>
        </w:tabs>
        <w:spacing w:line="480" w:lineRule="auto"/>
        <w:jc w:val="center"/>
      </w:pPr>
      <w:r w:rsidRPr="0028679B">
        <w:t xml:space="preserve">DOCKET NO. </w:t>
      </w:r>
      <w:r w:rsidR="00103216" w:rsidRPr="0028679B">
        <w:t>UE-</w:t>
      </w:r>
      <w:r w:rsidR="004808C0" w:rsidRPr="0028679B">
        <w:t>16</w:t>
      </w:r>
      <w:r w:rsidRPr="0028679B">
        <w:t>________</w:t>
      </w:r>
    </w:p>
    <w:p w:rsidR="00591B87" w:rsidRPr="0001114C" w:rsidRDefault="007C67C5" w:rsidP="007C67C5">
      <w:pPr>
        <w:tabs>
          <w:tab w:val="left" w:pos="1260"/>
        </w:tabs>
        <w:spacing w:line="480" w:lineRule="auto"/>
        <w:jc w:val="center"/>
      </w:pPr>
      <w:r w:rsidRPr="0028679B">
        <w:t>DOCKET NO. U</w:t>
      </w:r>
      <w:r w:rsidR="0001114C" w:rsidRPr="0028679B">
        <w:t>G</w:t>
      </w:r>
      <w:r w:rsidR="00103216" w:rsidRPr="0028679B">
        <w:t>-</w:t>
      </w:r>
      <w:r w:rsidR="004808C0" w:rsidRPr="0028679B">
        <w:t>16</w:t>
      </w:r>
      <w:r w:rsidRPr="0028679B">
        <w:t>________</w:t>
      </w:r>
    </w:p>
    <w:p w:rsidR="007C67C5" w:rsidRPr="0001114C" w:rsidRDefault="007C67C5" w:rsidP="007F7D62">
      <w:pPr>
        <w:tabs>
          <w:tab w:val="left" w:pos="1260"/>
        </w:tabs>
        <w:spacing w:line="480" w:lineRule="auto"/>
        <w:ind w:firstLine="720"/>
        <w:jc w:val="center"/>
      </w:pPr>
    </w:p>
    <w:p w:rsidR="00591B87" w:rsidRPr="0001114C" w:rsidRDefault="00591B87">
      <w:pPr>
        <w:tabs>
          <w:tab w:val="left" w:pos="1260"/>
        </w:tabs>
        <w:spacing w:line="480" w:lineRule="auto"/>
        <w:jc w:val="center"/>
      </w:pPr>
      <w:r w:rsidRPr="0001114C">
        <w:t xml:space="preserve">DIRECT TESTIMONY OF </w:t>
      </w:r>
    </w:p>
    <w:p w:rsidR="00591B87" w:rsidRPr="0001114C" w:rsidRDefault="00103216">
      <w:pPr>
        <w:tabs>
          <w:tab w:val="left" w:pos="1260"/>
        </w:tabs>
        <w:spacing w:line="480" w:lineRule="auto"/>
        <w:jc w:val="center"/>
      </w:pPr>
      <w:r>
        <w:t>MARK T. THIES</w:t>
      </w:r>
    </w:p>
    <w:p w:rsidR="00591B87" w:rsidRPr="0001114C" w:rsidRDefault="00591B87">
      <w:pPr>
        <w:tabs>
          <w:tab w:val="left" w:pos="1260"/>
        </w:tabs>
        <w:spacing w:line="480" w:lineRule="auto"/>
        <w:jc w:val="center"/>
      </w:pPr>
      <w:r w:rsidRPr="0001114C">
        <w:t>REPRESENTING AVISTA CORPORATION</w:t>
      </w: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pPr>
    </w:p>
    <w:p w:rsidR="00591B87" w:rsidRPr="0001114C" w:rsidRDefault="00591B87">
      <w:pPr>
        <w:tabs>
          <w:tab w:val="left" w:pos="1260"/>
        </w:tabs>
        <w:spacing w:line="480" w:lineRule="auto"/>
        <w:ind w:firstLine="720"/>
        <w:sectPr w:rsidR="00591B87" w:rsidRPr="0001114C" w:rsidSect="00533F1B">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F73D87" w:rsidRDefault="00C50C02" w:rsidP="0024525E">
      <w:pPr>
        <w:pStyle w:val="Heading1"/>
        <w:tabs>
          <w:tab w:val="clear" w:pos="720"/>
          <w:tab w:val="clear" w:pos="5040"/>
          <w:tab w:val="clear" w:pos="6480"/>
          <w:tab w:val="clear" w:pos="7920"/>
        </w:tabs>
        <w:spacing w:before="0" w:after="0"/>
        <w:ind w:left="0" w:right="0"/>
        <w:jc w:val="center"/>
        <w:rPr>
          <w:rStyle w:val="PageNumber"/>
          <w:u w:val="single"/>
        </w:rPr>
      </w:pPr>
      <w:bookmarkStart w:id="0" w:name="_Toc289931768"/>
      <w:r w:rsidRPr="00F73D87">
        <w:rPr>
          <w:rStyle w:val="PageNumber"/>
          <w:u w:val="single"/>
        </w:rPr>
        <w:lastRenderedPageBreak/>
        <w:t xml:space="preserve">I. </w:t>
      </w:r>
      <w:r w:rsidR="00DF2F7D">
        <w:rPr>
          <w:rStyle w:val="PageNumber"/>
          <w:u w:val="single"/>
        </w:rPr>
        <w:t xml:space="preserve"> </w:t>
      </w:r>
      <w:r w:rsidRPr="00F73D87">
        <w:rPr>
          <w:rStyle w:val="PageNumber"/>
          <w:u w:val="single"/>
        </w:rPr>
        <w:t>INTRODUCTION</w:t>
      </w:r>
      <w:bookmarkEnd w:id="0"/>
    </w:p>
    <w:p w:rsidR="00C50C02" w:rsidRPr="00C50C02" w:rsidRDefault="00C50C02" w:rsidP="003312AA">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00327636">
        <w:rPr>
          <w:rFonts w:ascii="Times New Roman" w:hAnsi="Times New Roman" w:cs="Times New Roman"/>
          <w:b/>
          <w:bCs/>
        </w:rPr>
        <w:tab/>
      </w:r>
      <w:r w:rsidRPr="00C50C02">
        <w:rPr>
          <w:rFonts w:ascii="Times New Roman" w:hAnsi="Times New Roman" w:cs="Times New Roman"/>
          <w:b/>
          <w:bCs/>
        </w:rPr>
        <w:t>Please state your name, business address, and present position with Avista Corp</w:t>
      </w:r>
      <w:r w:rsidR="002A4467">
        <w:rPr>
          <w:rFonts w:ascii="Times New Roman" w:hAnsi="Times New Roman" w:cs="Times New Roman"/>
          <w:b/>
          <w:bCs/>
        </w:rPr>
        <w:t>oration</w:t>
      </w:r>
      <w:r w:rsidRPr="00C50C02">
        <w:rPr>
          <w:rFonts w:ascii="Times New Roman" w:hAnsi="Times New Roman" w:cs="Times New Roman"/>
          <w:b/>
          <w:bCs/>
        </w:rPr>
        <w:t>.</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00314A0E">
        <w:rPr>
          <w:rFonts w:ascii="Times New Roman" w:hAnsi="Times New Roman" w:cs="Times New Roman"/>
        </w:rPr>
        <w:tab/>
      </w:r>
      <w:r w:rsidRPr="00C50C02">
        <w:rPr>
          <w:rFonts w:ascii="Times New Roman" w:hAnsi="Times New Roman" w:cs="Times New Roman"/>
        </w:rPr>
        <w:t xml:space="preserve">My name is Mark </w:t>
      </w:r>
      <w:r w:rsidR="002A4467">
        <w:rPr>
          <w:rFonts w:ascii="Times New Roman" w:hAnsi="Times New Roman" w:cs="Times New Roman"/>
        </w:rPr>
        <w:t xml:space="preserve">T. </w:t>
      </w:r>
      <w:r w:rsidRPr="00C50C02">
        <w:rPr>
          <w:rFonts w:ascii="Times New Roman" w:hAnsi="Times New Roman" w:cs="Times New Roman"/>
        </w:rPr>
        <w:t xml:space="preserve">Thies. </w:t>
      </w:r>
      <w:r w:rsidR="002D231B">
        <w:rPr>
          <w:rFonts w:ascii="Times New Roman" w:hAnsi="Times New Roman" w:cs="Times New Roman"/>
        </w:rPr>
        <w:t xml:space="preserve"> </w:t>
      </w:r>
      <w:r w:rsidRPr="00C50C02">
        <w:rPr>
          <w:rFonts w:ascii="Times New Roman" w:hAnsi="Times New Roman" w:cs="Times New Roman"/>
        </w:rPr>
        <w:t xml:space="preserve">My business address is 1411 East Mission Avenue, Spokane, Washington. </w:t>
      </w:r>
      <w:r w:rsidR="00176B8B">
        <w:rPr>
          <w:rFonts w:ascii="Times New Roman" w:hAnsi="Times New Roman" w:cs="Times New Roman"/>
        </w:rPr>
        <w:t xml:space="preserve"> </w:t>
      </w:r>
      <w:r w:rsidRPr="00C50C02">
        <w:rPr>
          <w:rFonts w:ascii="Times New Roman" w:hAnsi="Times New Roman" w:cs="Times New Roman"/>
        </w:rPr>
        <w:t>I am employed by Avista Corporation as Senior Vice President</w:t>
      </w:r>
      <w:r w:rsidR="00FB7B5E">
        <w:rPr>
          <w:rFonts w:ascii="Times New Roman" w:hAnsi="Times New Roman" w:cs="Times New Roman"/>
        </w:rPr>
        <w:t>,</w:t>
      </w:r>
      <w:r w:rsidRPr="00C50C02">
        <w:rPr>
          <w:rFonts w:ascii="Times New Roman" w:hAnsi="Times New Roman" w:cs="Times New Roman"/>
        </w:rPr>
        <w:t xml:space="preserve"> Chief Financial Officer</w:t>
      </w:r>
      <w:r w:rsidR="00FB7B5E">
        <w:rPr>
          <w:rFonts w:ascii="Times New Roman" w:hAnsi="Times New Roman" w:cs="Times New Roman"/>
        </w:rPr>
        <w:t xml:space="preserve"> and Treasurer</w:t>
      </w:r>
      <w:r w:rsidRPr="00C50C02">
        <w:rPr>
          <w:rFonts w:ascii="Times New Roman" w:hAnsi="Times New Roman" w:cs="Times New Roman"/>
        </w:rPr>
        <w:t>.</w:t>
      </w:r>
    </w:p>
    <w:p w:rsidR="00963C3D" w:rsidRPr="000623D1" w:rsidRDefault="00C50C02" w:rsidP="000623D1">
      <w:pPr>
        <w:pStyle w:val="BodyText2"/>
        <w:tabs>
          <w:tab w:val="clear" w:pos="720"/>
        </w:tabs>
        <w:spacing w:before="0" w:after="0"/>
        <w:ind w:left="0" w:right="0" w:firstLine="720"/>
        <w:rPr>
          <w:rFonts w:ascii="Times New Roman" w:hAnsi="Times New Roman" w:cs="Times New Roman"/>
          <w:b/>
          <w:bCs/>
        </w:rPr>
      </w:pPr>
      <w:r w:rsidRPr="000623D1">
        <w:rPr>
          <w:rFonts w:ascii="Times New Roman" w:hAnsi="Times New Roman" w:cs="Times New Roman"/>
          <w:b/>
          <w:bCs/>
        </w:rPr>
        <w:t>Q.</w:t>
      </w:r>
      <w:r w:rsidRPr="000623D1">
        <w:rPr>
          <w:rFonts w:ascii="Times New Roman" w:hAnsi="Times New Roman" w:cs="Times New Roman"/>
          <w:b/>
          <w:bCs/>
        </w:rPr>
        <w:tab/>
        <w:t>Would you please describe your education and business experience?</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w:t>
      </w:r>
      <w:r w:rsidRPr="00EC242A">
        <w:rPr>
          <w:rFonts w:ascii="Times New Roman" w:hAnsi="Times New Roman" w:cs="Times New Roman"/>
        </w:rPr>
        <w:t>Certified Public Accountant in 1987.</w:t>
      </w:r>
      <w:r w:rsidR="00176B8B" w:rsidRPr="00EC242A">
        <w:rPr>
          <w:rFonts w:ascii="Times New Roman" w:hAnsi="Times New Roman" w:cs="Times New Roman"/>
        </w:rPr>
        <w:t xml:space="preserve"> </w:t>
      </w:r>
      <w:r w:rsidRPr="00EC242A">
        <w:rPr>
          <w:rFonts w:ascii="Times New Roman" w:hAnsi="Times New Roman" w:cs="Times New Roman"/>
        </w:rPr>
        <w:t xml:space="preserve"> I have extensive experience in finance, risk management, accounting and administration within the utility sector.</w:t>
      </w:r>
    </w:p>
    <w:p w:rsidR="00E62F3B" w:rsidRPr="00FD14B3" w:rsidRDefault="00C50C02" w:rsidP="00FD14B3">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 xml:space="preserve">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w:t>
      </w:r>
      <w:r w:rsidR="002D231B">
        <w:rPr>
          <w:rFonts w:ascii="Times New Roman" w:hAnsi="Times New Roman" w:cs="Times New Roman"/>
        </w:rPr>
        <w:t xml:space="preserve"> </w:t>
      </w:r>
      <w:r w:rsidRPr="00C50C02">
        <w:rPr>
          <w:rFonts w:ascii="Times New Roman" w:hAnsi="Times New Roman" w:cs="Times New Roman"/>
        </w:rPr>
        <w:t xml:space="preserve">I joined Black Hills Corporation in 1997 upon leaving InterCoast Energy Company in Des Moines, Iowa, where I was the manager of accounting. </w:t>
      </w:r>
      <w:r w:rsidR="002D231B">
        <w:rPr>
          <w:rFonts w:ascii="Times New Roman" w:hAnsi="Times New Roman" w:cs="Times New Roman"/>
        </w:rPr>
        <w:t xml:space="preserve"> </w:t>
      </w:r>
      <w:r w:rsidRPr="00C50C02">
        <w:rPr>
          <w:rFonts w:ascii="Times New Roman" w:hAnsi="Times New Roman" w:cs="Times New Roman"/>
        </w:rPr>
        <w:t>Previous to that I was a senior auditor for Arthur Anderson &amp; Co. in Chicago, Illinois.</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is the scope of your testimony in this proceeding?</w:t>
      </w:r>
    </w:p>
    <w:p w:rsidR="00D47648" w:rsidRPr="005A53A4"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D47648" w:rsidRPr="005A53A4">
        <w:rPr>
          <w:rFonts w:ascii="Times New Roman" w:hAnsi="Times New Roman" w:cs="Times New Roman"/>
        </w:rPr>
        <w:t xml:space="preserve">I will provide a financial overview of </w:t>
      </w:r>
      <w:r w:rsidR="007676DB">
        <w:rPr>
          <w:rFonts w:ascii="Times New Roman" w:hAnsi="Times New Roman" w:cs="Times New Roman"/>
        </w:rPr>
        <w:t xml:space="preserve">Avista </w:t>
      </w:r>
      <w:r w:rsidR="007676DB" w:rsidRPr="00EC242A">
        <w:rPr>
          <w:rFonts w:ascii="Times New Roman" w:hAnsi="Times New Roman" w:cs="Times New Roman"/>
        </w:rPr>
        <w:t>Corporation</w:t>
      </w:r>
      <w:r w:rsidR="00D47648" w:rsidRPr="00EC242A">
        <w:rPr>
          <w:rFonts w:ascii="Times New Roman" w:hAnsi="Times New Roman" w:cs="Times New Roman"/>
        </w:rPr>
        <w:t xml:space="preserve"> as well as explain the proposed capital structure, overall rate of return, </w:t>
      </w:r>
      <w:r w:rsidR="00454C46" w:rsidRPr="00EC242A">
        <w:rPr>
          <w:rFonts w:ascii="Times New Roman" w:hAnsi="Times New Roman" w:cs="Times New Roman"/>
        </w:rPr>
        <w:t xml:space="preserve">and </w:t>
      </w:r>
      <w:r w:rsidR="00E62F3B" w:rsidRPr="00EC242A">
        <w:rPr>
          <w:rFonts w:ascii="Times New Roman" w:hAnsi="Times New Roman" w:cs="Times New Roman"/>
        </w:rPr>
        <w:t>our credit ratings</w:t>
      </w:r>
      <w:r w:rsidR="00454C46" w:rsidRPr="00EC242A">
        <w:rPr>
          <w:rFonts w:ascii="Times New Roman" w:hAnsi="Times New Roman" w:cs="Times New Roman"/>
        </w:rPr>
        <w:t xml:space="preserve">. </w:t>
      </w:r>
      <w:r w:rsidR="002D231B" w:rsidRPr="00EC242A">
        <w:rPr>
          <w:rFonts w:ascii="Times New Roman" w:hAnsi="Times New Roman" w:cs="Times New Roman"/>
        </w:rPr>
        <w:t xml:space="preserve"> </w:t>
      </w:r>
      <w:r w:rsidR="00454C46" w:rsidRPr="00EC242A">
        <w:rPr>
          <w:rFonts w:ascii="Times New Roman" w:hAnsi="Times New Roman" w:cs="Times New Roman"/>
        </w:rPr>
        <w:t>Additionally, I will summarize our capital expenditures program</w:t>
      </w:r>
      <w:r w:rsidR="00D47648" w:rsidRPr="00EC242A">
        <w:rPr>
          <w:rFonts w:ascii="Times New Roman" w:hAnsi="Times New Roman" w:cs="Times New Roman"/>
        </w:rPr>
        <w:t>.</w:t>
      </w:r>
      <w:r w:rsidR="002D231B" w:rsidRPr="00EC242A">
        <w:rPr>
          <w:rFonts w:ascii="Times New Roman" w:hAnsi="Times New Roman" w:cs="Times New Roman"/>
        </w:rPr>
        <w:t xml:space="preserve"> </w:t>
      </w:r>
      <w:r w:rsidR="00D47648" w:rsidRPr="00EC242A">
        <w:rPr>
          <w:rFonts w:ascii="Times New Roman" w:hAnsi="Times New Roman" w:cs="Times New Roman"/>
        </w:rPr>
        <w:t xml:space="preserve"> </w:t>
      </w:r>
      <w:r w:rsidR="00E73079" w:rsidRPr="00EC242A">
        <w:rPr>
          <w:rFonts w:ascii="Times New Roman" w:hAnsi="Times New Roman" w:cs="Times New Roman"/>
        </w:rPr>
        <w:t>Mr. Adrien McKenzi</w:t>
      </w:r>
      <w:r w:rsidR="00E73079" w:rsidRPr="00286B1F">
        <w:rPr>
          <w:rFonts w:ascii="Times New Roman" w:hAnsi="Times New Roman" w:cs="Times New Roman"/>
        </w:rPr>
        <w:t>e</w:t>
      </w:r>
      <w:r w:rsidR="00D47648" w:rsidRPr="00286B1F">
        <w:rPr>
          <w:rFonts w:ascii="Times New Roman" w:hAnsi="Times New Roman" w:cs="Times New Roman"/>
        </w:rPr>
        <w:t>,</w:t>
      </w:r>
      <w:r w:rsidR="00D47648" w:rsidRPr="005A53A4">
        <w:rPr>
          <w:rFonts w:ascii="Times New Roman" w:hAnsi="Times New Roman" w:cs="Times New Roman"/>
        </w:rPr>
        <w:t xml:space="preserve"> on behalf of </w:t>
      </w:r>
      <w:r w:rsidR="002E49A4">
        <w:rPr>
          <w:rFonts w:ascii="Times New Roman" w:hAnsi="Times New Roman" w:cs="Times New Roman"/>
        </w:rPr>
        <w:t>Avista</w:t>
      </w:r>
      <w:r w:rsidR="00D47648" w:rsidRPr="005A53A4">
        <w:rPr>
          <w:rFonts w:ascii="Times New Roman" w:hAnsi="Times New Roman" w:cs="Times New Roman"/>
        </w:rPr>
        <w:t xml:space="preserve">, will provide additional testimony related to the appropriate return on equity for </w:t>
      </w:r>
      <w:r w:rsidR="00D47648" w:rsidRPr="005A53A4">
        <w:rPr>
          <w:rFonts w:ascii="Times New Roman" w:hAnsi="Times New Roman" w:cs="Times New Roman"/>
        </w:rPr>
        <w:lastRenderedPageBreak/>
        <w:t xml:space="preserve">Avista, based on </w:t>
      </w:r>
      <w:r w:rsidR="007676DB">
        <w:rPr>
          <w:rFonts w:ascii="Times New Roman" w:hAnsi="Times New Roman" w:cs="Times New Roman"/>
        </w:rPr>
        <w:t xml:space="preserve">our </w:t>
      </w:r>
      <w:r w:rsidR="00D47648" w:rsidRPr="005A53A4">
        <w:rPr>
          <w:rFonts w:ascii="Times New Roman" w:hAnsi="Times New Roman" w:cs="Times New Roman"/>
        </w:rPr>
        <w:t>specific circumstances</w:t>
      </w:r>
      <w:r w:rsidR="00E57CD8">
        <w:rPr>
          <w:rFonts w:ascii="Times New Roman" w:hAnsi="Times New Roman" w:cs="Times New Roman"/>
        </w:rPr>
        <w:t>,</w:t>
      </w:r>
      <w:r w:rsidR="00D47648" w:rsidRPr="005A53A4">
        <w:rPr>
          <w:rFonts w:ascii="Times New Roman" w:hAnsi="Times New Roman" w:cs="Times New Roman"/>
        </w:rPr>
        <w:t xml:space="preserve"> together with the current s</w:t>
      </w:r>
      <w:r w:rsidR="00D47648">
        <w:rPr>
          <w:rFonts w:ascii="Times New Roman" w:hAnsi="Times New Roman" w:cs="Times New Roman"/>
        </w:rPr>
        <w:t>tate of the financial markets.</w:t>
      </w:r>
    </w:p>
    <w:p w:rsidR="0013651D" w:rsidRDefault="00D47648" w:rsidP="00E83685">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 xml:space="preserve">In brief, I will provide information that shows: </w:t>
      </w:r>
    </w:p>
    <w:p w:rsidR="0013651D" w:rsidRDefault="009F56AA" w:rsidP="002734DE">
      <w:pPr>
        <w:pStyle w:val="ListParagraph"/>
        <w:numPr>
          <w:ilvl w:val="0"/>
          <w:numId w:val="5"/>
        </w:numPr>
        <w:tabs>
          <w:tab w:val="clear" w:pos="720"/>
        </w:tabs>
        <w:spacing w:before="0" w:after="240"/>
        <w:ind w:left="1170" w:right="0"/>
        <w:contextualSpacing w:val="0"/>
      </w:pPr>
      <w:r w:rsidRPr="00A95F97">
        <w:t xml:space="preserve">Avista’s plans call for </w:t>
      </w:r>
      <w:r w:rsidR="009E3C30">
        <w:t>a continuation of</w:t>
      </w:r>
      <w:r w:rsidR="00505B29" w:rsidRPr="00505B29">
        <w:rPr>
          <w:color w:val="000000"/>
          <w:shd w:val="clear" w:color="auto" w:fill="FFFFFF"/>
        </w:rPr>
        <w:t xml:space="preserve"> utility capital investments in generation, transmission and distribution systems to preserve and enhance service reliability for our customers.</w:t>
      </w:r>
      <w:r w:rsidRPr="00A95F97">
        <w:t xml:space="preserve"> </w:t>
      </w:r>
      <w:r w:rsidR="002D231B">
        <w:t xml:space="preserve"> </w:t>
      </w:r>
      <w:r w:rsidRPr="00A95F97">
        <w:t xml:space="preserve">Capital expenditures of </w:t>
      </w:r>
      <w:r w:rsidRPr="00286B1F">
        <w:t>approximately $</w:t>
      </w:r>
      <w:r w:rsidR="009300A4" w:rsidRPr="00286B1F">
        <w:t>1.</w:t>
      </w:r>
      <w:r w:rsidR="004627BD">
        <w:t>2</w:t>
      </w:r>
      <w:r w:rsidR="00AE2F67" w:rsidRPr="00286B1F">
        <w:t xml:space="preserve"> </w:t>
      </w:r>
      <w:r w:rsidRPr="00286B1F">
        <w:t>billion</w:t>
      </w:r>
      <w:r w:rsidRPr="00A95F97">
        <w:t xml:space="preserve"> are planned for the </w:t>
      </w:r>
      <w:r w:rsidR="004627BD">
        <w:t>three</w:t>
      </w:r>
      <w:r w:rsidRPr="00A95F97">
        <w:t xml:space="preserve">-year period ending December 31, </w:t>
      </w:r>
      <w:r w:rsidR="00AE2F67" w:rsidRPr="00A95F97">
        <w:t>201</w:t>
      </w:r>
      <w:r w:rsidR="004627BD">
        <w:t>8</w:t>
      </w:r>
      <w:r w:rsidRPr="00A95F97">
        <w:t xml:space="preserve">. </w:t>
      </w:r>
      <w:r w:rsidR="002D231B">
        <w:t xml:space="preserve"> </w:t>
      </w:r>
      <w:r w:rsidRPr="00A95F97">
        <w:t>Avista needs adequate cash flow from operations to fund these requirements</w:t>
      </w:r>
      <w:r w:rsidR="00505528">
        <w:t xml:space="preserve"> and for repayment of maturing debt</w:t>
      </w:r>
      <w:r w:rsidRPr="00A95F97">
        <w:t>, together with access to capital from external sources under reasonable terms</w:t>
      </w:r>
      <w:r w:rsidR="000565A2">
        <w:t>, on a sustainable basis</w:t>
      </w:r>
      <w:r w:rsidRPr="00A95F97">
        <w:t xml:space="preserve">. </w:t>
      </w:r>
    </w:p>
    <w:p w:rsidR="004765FD" w:rsidRDefault="007676DB" w:rsidP="002734DE">
      <w:pPr>
        <w:numPr>
          <w:ilvl w:val="0"/>
          <w:numId w:val="5"/>
        </w:numPr>
        <w:tabs>
          <w:tab w:val="clear" w:pos="720"/>
        </w:tabs>
        <w:spacing w:before="0" w:after="240"/>
        <w:ind w:left="1170" w:right="0"/>
      </w:pPr>
      <w:r>
        <w:t xml:space="preserve">We </w:t>
      </w:r>
      <w:r w:rsidR="00CE3118">
        <w:t xml:space="preserve">are </w:t>
      </w:r>
      <w:r w:rsidR="00CE3118" w:rsidRPr="00974D66">
        <w:t>proposing</w:t>
      </w:r>
      <w:r w:rsidR="00E62DE7" w:rsidRPr="00974D66">
        <w:t xml:space="preserve"> an overall rate of return </w:t>
      </w:r>
      <w:r w:rsidR="00E62DE7" w:rsidRPr="00EA6093">
        <w:t xml:space="preserve">of </w:t>
      </w:r>
      <w:r w:rsidR="0092406B" w:rsidRPr="00EA6093">
        <w:t>7.</w:t>
      </w:r>
      <w:r w:rsidR="00FA3E03" w:rsidRPr="00EA6093">
        <w:t>6</w:t>
      </w:r>
      <w:r w:rsidR="00286B1F" w:rsidRPr="00EA6093">
        <w:t>4</w:t>
      </w:r>
      <w:r w:rsidR="00FA3E03" w:rsidRPr="00EA6093">
        <w:t xml:space="preserve"> </w:t>
      </w:r>
      <w:r w:rsidR="00E62DE7" w:rsidRPr="00EA6093">
        <w:t xml:space="preserve">percent, </w:t>
      </w:r>
      <w:r w:rsidRPr="00EA6093">
        <w:t xml:space="preserve">which </w:t>
      </w:r>
      <w:r w:rsidR="00E62DE7" w:rsidRPr="00EA6093">
        <w:t>includ</w:t>
      </w:r>
      <w:r w:rsidRPr="00EA6093">
        <w:t>es</w:t>
      </w:r>
      <w:r w:rsidR="00E62DE7" w:rsidRPr="00EA6093">
        <w:t xml:space="preserve"> a </w:t>
      </w:r>
      <w:r w:rsidR="0092406B" w:rsidRPr="00EA6093">
        <w:t>48.5</w:t>
      </w:r>
      <w:r w:rsidR="00E62DE7" w:rsidRPr="00EA6093">
        <w:t xml:space="preserve"> percent</w:t>
      </w:r>
      <w:r w:rsidR="000565A2" w:rsidRPr="00EA6093">
        <w:t xml:space="preserve"> common equity ratio, a </w:t>
      </w:r>
      <w:r w:rsidR="00EB7122" w:rsidRPr="00EA6093">
        <w:t>9.9</w:t>
      </w:r>
      <w:r w:rsidR="00E62DE7" w:rsidRPr="00EA6093">
        <w:t xml:space="preserve"> percent return on </w:t>
      </w:r>
      <w:r w:rsidR="003D336F" w:rsidRPr="00EA6093">
        <w:t xml:space="preserve">equity, </w:t>
      </w:r>
      <w:r w:rsidR="000565A2" w:rsidRPr="00EA6093">
        <w:t>and a</w:t>
      </w:r>
      <w:r w:rsidR="00E62DE7" w:rsidRPr="00EA6093">
        <w:t xml:space="preserve"> cost of debt </w:t>
      </w:r>
      <w:r w:rsidR="003D336F" w:rsidRPr="00EA6093">
        <w:t>of</w:t>
      </w:r>
      <w:r w:rsidRPr="00EA6093">
        <w:t xml:space="preserve"> </w:t>
      </w:r>
      <w:r w:rsidR="00290AF7" w:rsidRPr="00EA6093">
        <w:t>5.51</w:t>
      </w:r>
      <w:r w:rsidR="00FA3E03" w:rsidRPr="00EA6093">
        <w:t xml:space="preserve"> </w:t>
      </w:r>
      <w:r w:rsidR="00E62DE7" w:rsidRPr="00EA6093">
        <w:t>percent.</w:t>
      </w:r>
      <w:r w:rsidR="002D231B" w:rsidRPr="00EA6093">
        <w:t xml:space="preserve"> </w:t>
      </w:r>
      <w:r w:rsidR="00BB0F2D" w:rsidRPr="00EA6093">
        <w:t xml:space="preserve"> We believe </w:t>
      </w:r>
      <w:r w:rsidR="00E207AA" w:rsidRPr="00EA6093">
        <w:t xml:space="preserve">our proposed </w:t>
      </w:r>
      <w:r w:rsidR="00BB0F2D" w:rsidRPr="00EA6093">
        <w:t xml:space="preserve">overall rate of return of </w:t>
      </w:r>
      <w:r w:rsidR="0092406B" w:rsidRPr="00EA6093">
        <w:t>7.</w:t>
      </w:r>
      <w:r w:rsidR="00FA3E03" w:rsidRPr="00EA6093">
        <w:t>6</w:t>
      </w:r>
      <w:r w:rsidR="00290AF7" w:rsidRPr="00EA6093">
        <w:t>4</w:t>
      </w:r>
      <w:r w:rsidR="00FA3E03" w:rsidRPr="00EA6093">
        <w:t xml:space="preserve"> </w:t>
      </w:r>
      <w:r w:rsidR="008D0FE2" w:rsidRPr="00EA6093">
        <w:t>percent</w:t>
      </w:r>
      <w:r w:rsidR="00BB0F2D" w:rsidRPr="00EA6093">
        <w:t xml:space="preserve"> </w:t>
      </w:r>
      <w:r w:rsidR="00D60022" w:rsidRPr="00EA6093">
        <w:t>and</w:t>
      </w:r>
      <w:r w:rsidR="00D60022" w:rsidRPr="00974D66">
        <w:t xml:space="preserve"> </w:t>
      </w:r>
      <w:r w:rsidR="00A41B04">
        <w:t xml:space="preserve">proposed </w:t>
      </w:r>
      <w:r w:rsidR="00D60022" w:rsidRPr="00974D66">
        <w:t xml:space="preserve">capital structure </w:t>
      </w:r>
      <w:r w:rsidR="00BB0F2D" w:rsidRPr="00974D66">
        <w:t xml:space="preserve">provide a reasonable balance </w:t>
      </w:r>
      <w:r w:rsidR="00D60022" w:rsidRPr="00974D66">
        <w:t xml:space="preserve">between safety and economy. </w:t>
      </w:r>
    </w:p>
    <w:p w:rsidR="00C50C02" w:rsidRDefault="000A7A75" w:rsidP="002734DE">
      <w:pPr>
        <w:numPr>
          <w:ilvl w:val="0"/>
          <w:numId w:val="5"/>
        </w:numPr>
        <w:tabs>
          <w:tab w:val="clear" w:pos="720"/>
        </w:tabs>
        <w:spacing w:before="0" w:after="240"/>
        <w:ind w:left="1170" w:right="0"/>
      </w:pPr>
      <w:r>
        <w:t xml:space="preserve">Avista’s corporate credit rating from Standard &amp; Poor’s is currently BBB and </w:t>
      </w:r>
      <w:r w:rsidR="00E9345E">
        <w:t xml:space="preserve">Baa1 </w:t>
      </w:r>
      <w:r>
        <w:t xml:space="preserve">from Moody’s Investors Service. </w:t>
      </w:r>
      <w:r w:rsidR="002D231B">
        <w:t xml:space="preserve"> </w:t>
      </w:r>
      <w:r>
        <w:t>Avista must operate</w:t>
      </w:r>
      <w:r w:rsidR="00C50C02" w:rsidRPr="00C50C02">
        <w:t xml:space="preserve"> at a level that will support a </w:t>
      </w:r>
      <w:r w:rsidR="00E31B41">
        <w:t>solid</w:t>
      </w:r>
      <w:r w:rsidR="00C50C02" w:rsidRPr="00C50C02">
        <w:t xml:space="preserve"> investment grade corporate credit rating in order to access capital markets at reasonable rates. </w:t>
      </w:r>
      <w:r w:rsidR="002D231B">
        <w:t xml:space="preserve"> </w:t>
      </w:r>
      <w:r w:rsidR="007147E8">
        <w:t xml:space="preserve">A supportive regulatory environment </w:t>
      </w:r>
      <w:r w:rsidR="00690E67">
        <w:t>is an important</w:t>
      </w:r>
      <w:r w:rsidR="00293AD5">
        <w:t xml:space="preserve"> consideration by the rating agencies when reviewing </w:t>
      </w:r>
      <w:r w:rsidR="00235B52">
        <w:t>Avista</w:t>
      </w:r>
      <w:r w:rsidR="007147E8">
        <w:t>.</w:t>
      </w:r>
      <w:r w:rsidR="00B03691">
        <w:t xml:space="preserve"> </w:t>
      </w:r>
      <w:r w:rsidR="007147E8">
        <w:t xml:space="preserve"> </w:t>
      </w:r>
      <w:r w:rsidR="00C50C02" w:rsidRPr="00C50C02">
        <w:t>Maintaining solid credit metrics and credit ratings will also help support a stock price necessary to issue equity</w:t>
      </w:r>
      <w:r w:rsidR="00690E67">
        <w:t xml:space="preserve"> under reasonable terms</w:t>
      </w:r>
      <w:r w:rsidR="00C50C02" w:rsidRPr="00C50C02">
        <w:t xml:space="preserve"> to fund capital requirements.</w:t>
      </w:r>
    </w:p>
    <w:p w:rsidR="000F0CFC" w:rsidRDefault="0016032D" w:rsidP="002A32CB">
      <w:pPr>
        <w:pStyle w:val="TestBody"/>
        <w:spacing w:before="0" w:after="0" w:line="360" w:lineRule="auto"/>
        <w:ind w:left="0" w:right="0" w:firstLine="720"/>
        <w:rPr>
          <w:rFonts w:ascii="Times New Roman" w:hAnsi="Times New Roman" w:cs="Times New Roman"/>
        </w:rPr>
      </w:pPr>
      <w:r w:rsidRPr="00345A0E">
        <w:rPr>
          <w:rFonts w:ascii="Times New Roman" w:hAnsi="Times New Roman" w:cs="Times New Roman"/>
        </w:rPr>
        <w:t>A table of contents for my testimony is as follows:</w:t>
      </w:r>
    </w:p>
    <w:p w:rsidR="0016032D" w:rsidRPr="00345A0E" w:rsidRDefault="0016032D" w:rsidP="002D231B">
      <w:pPr>
        <w:pStyle w:val="TestBody"/>
        <w:tabs>
          <w:tab w:val="left" w:pos="1800"/>
          <w:tab w:val="center" w:pos="8100"/>
        </w:tabs>
        <w:spacing w:after="0" w:line="360" w:lineRule="auto"/>
        <w:ind w:left="1080" w:right="0" w:firstLine="0"/>
        <w:contextualSpacing/>
        <w:rPr>
          <w:rFonts w:ascii="Times New Roman" w:hAnsi="Times New Roman" w:cs="Times New Roman"/>
          <w:u w:val="single"/>
        </w:rPr>
      </w:pPr>
      <w:r w:rsidRPr="00345A0E">
        <w:rPr>
          <w:rFonts w:ascii="Times New Roman" w:hAnsi="Times New Roman" w:cs="Times New Roman"/>
          <w:u w:val="single"/>
        </w:rPr>
        <w:t>Description</w:t>
      </w:r>
      <w:r w:rsidRPr="00345A0E">
        <w:rPr>
          <w:rFonts w:ascii="Times New Roman" w:hAnsi="Times New Roman" w:cs="Times New Roman"/>
          <w:u w:val="single"/>
        </w:rPr>
        <w:tab/>
        <w:t>Page</w:t>
      </w:r>
    </w:p>
    <w:p w:rsidR="0016032D" w:rsidRPr="000A1064" w:rsidRDefault="0016032D" w:rsidP="00660600">
      <w:pPr>
        <w:tabs>
          <w:tab w:val="left" w:pos="0"/>
          <w:tab w:val="left" w:pos="1800"/>
          <w:tab w:val="right" w:pos="8280"/>
        </w:tabs>
        <w:spacing w:before="0" w:line="360" w:lineRule="auto"/>
        <w:ind w:left="1080" w:right="0"/>
        <w:contextualSpacing/>
      </w:pPr>
      <w:r w:rsidRPr="000A1064">
        <w:t>I.</w:t>
      </w:r>
      <w:r w:rsidRPr="000A1064">
        <w:tab/>
      </w:r>
      <w:r w:rsidR="006F675A" w:rsidRPr="000A1064">
        <w:t>Introduction</w:t>
      </w:r>
      <w:r w:rsidRPr="000A1064">
        <w:tab/>
      </w:r>
      <w:r w:rsidR="00064462" w:rsidRPr="000A1064">
        <w:t>1</w:t>
      </w:r>
    </w:p>
    <w:p w:rsidR="004765FD" w:rsidRPr="000A1064" w:rsidRDefault="004765FD" w:rsidP="00660600">
      <w:pPr>
        <w:tabs>
          <w:tab w:val="left" w:pos="0"/>
          <w:tab w:val="left" w:pos="1800"/>
          <w:tab w:val="right" w:pos="8280"/>
        </w:tabs>
        <w:spacing w:before="0" w:line="360" w:lineRule="auto"/>
        <w:ind w:left="1080" w:right="0"/>
        <w:contextualSpacing/>
      </w:pPr>
      <w:r w:rsidRPr="000A1064">
        <w:t>II.</w:t>
      </w:r>
      <w:r w:rsidRPr="000A1064">
        <w:tab/>
      </w:r>
      <w:r w:rsidR="006F675A" w:rsidRPr="000A1064">
        <w:t>Financial Overview</w:t>
      </w:r>
      <w:r w:rsidR="00974D66" w:rsidRPr="000A1064">
        <w:tab/>
      </w:r>
      <w:r w:rsidR="00B03691" w:rsidRPr="000A1064">
        <w:t>3</w:t>
      </w:r>
    </w:p>
    <w:p w:rsidR="0016032D" w:rsidRPr="000A1064" w:rsidRDefault="00006704" w:rsidP="00660600">
      <w:pPr>
        <w:tabs>
          <w:tab w:val="left" w:pos="0"/>
          <w:tab w:val="left" w:pos="1800"/>
          <w:tab w:val="right" w:pos="8280"/>
        </w:tabs>
        <w:spacing w:before="0" w:line="360" w:lineRule="auto"/>
        <w:ind w:left="1080" w:right="0"/>
        <w:contextualSpacing/>
      </w:pPr>
      <w:r w:rsidRPr="000A1064">
        <w:t>I</w:t>
      </w:r>
      <w:r w:rsidR="00660600" w:rsidRPr="000A1064">
        <w:t>II</w:t>
      </w:r>
      <w:r w:rsidRPr="000A1064">
        <w:t>.</w:t>
      </w:r>
      <w:r w:rsidRPr="000A1064">
        <w:tab/>
      </w:r>
      <w:r w:rsidR="006F675A" w:rsidRPr="000A1064">
        <w:t>Capital Expenditures</w:t>
      </w:r>
      <w:r w:rsidR="00274E60" w:rsidRPr="000A1064">
        <w:tab/>
      </w:r>
      <w:r w:rsidR="000A1064">
        <w:t>5</w:t>
      </w:r>
    </w:p>
    <w:p w:rsidR="00006704" w:rsidRPr="000A1064" w:rsidRDefault="00660600" w:rsidP="00660600">
      <w:pPr>
        <w:tabs>
          <w:tab w:val="left" w:pos="0"/>
          <w:tab w:val="left" w:pos="1800"/>
          <w:tab w:val="right" w:pos="8280"/>
        </w:tabs>
        <w:spacing w:before="0" w:line="360" w:lineRule="auto"/>
        <w:ind w:left="1080" w:right="0"/>
        <w:contextualSpacing/>
      </w:pPr>
      <w:r w:rsidRPr="000A1064">
        <w:t>I</w:t>
      </w:r>
      <w:r w:rsidR="004765FD" w:rsidRPr="000A1064">
        <w:t>V</w:t>
      </w:r>
      <w:r w:rsidR="00C902DE" w:rsidRPr="000A1064">
        <w:t>.</w:t>
      </w:r>
      <w:r w:rsidR="00C902DE" w:rsidRPr="000A1064">
        <w:tab/>
      </w:r>
      <w:r w:rsidR="00006704" w:rsidRPr="000A1064">
        <w:t>Maturing Debt</w:t>
      </w:r>
      <w:r w:rsidR="00006704" w:rsidRPr="000A1064">
        <w:tab/>
      </w:r>
      <w:r w:rsidR="00381238" w:rsidRPr="000A1064">
        <w:t>1</w:t>
      </w:r>
      <w:r w:rsidR="000A1064">
        <w:t>5</w:t>
      </w:r>
    </w:p>
    <w:p w:rsidR="00973C15" w:rsidRPr="000A1064" w:rsidRDefault="00660600" w:rsidP="00660600">
      <w:pPr>
        <w:tabs>
          <w:tab w:val="left" w:pos="0"/>
          <w:tab w:val="left" w:pos="1800"/>
          <w:tab w:val="right" w:pos="8280"/>
        </w:tabs>
        <w:spacing w:before="0" w:line="360" w:lineRule="auto"/>
        <w:ind w:left="1080" w:right="0"/>
        <w:contextualSpacing/>
      </w:pPr>
      <w:r w:rsidRPr="000A1064">
        <w:t>V</w:t>
      </w:r>
      <w:r w:rsidR="00006704" w:rsidRPr="000A1064">
        <w:t>.</w:t>
      </w:r>
      <w:r w:rsidR="00006704" w:rsidRPr="000A1064">
        <w:tab/>
      </w:r>
      <w:r w:rsidR="006F675A" w:rsidRPr="000A1064">
        <w:t>Capital Structure</w:t>
      </w:r>
      <w:r w:rsidR="00337BAB" w:rsidRPr="000A1064">
        <w:tab/>
        <w:t>1</w:t>
      </w:r>
      <w:r w:rsidR="000A1064">
        <w:t>7</w:t>
      </w:r>
    </w:p>
    <w:p w:rsidR="00815DF0" w:rsidRPr="000A1064" w:rsidRDefault="0016032D" w:rsidP="00660600">
      <w:pPr>
        <w:tabs>
          <w:tab w:val="left" w:pos="0"/>
          <w:tab w:val="left" w:pos="1800"/>
          <w:tab w:val="right" w:pos="8280"/>
        </w:tabs>
        <w:spacing w:before="0" w:line="360" w:lineRule="auto"/>
        <w:ind w:left="1080" w:right="0"/>
        <w:contextualSpacing/>
      </w:pPr>
      <w:r w:rsidRPr="000A1064">
        <w:t>V</w:t>
      </w:r>
      <w:r w:rsidR="00006704" w:rsidRPr="000A1064">
        <w:t>I</w:t>
      </w:r>
      <w:r w:rsidRPr="000A1064">
        <w:t>.</w:t>
      </w:r>
      <w:r w:rsidRPr="000A1064">
        <w:tab/>
      </w:r>
      <w:r w:rsidR="006F675A" w:rsidRPr="000A1064">
        <w:t>Proposed Rate of Return</w:t>
      </w:r>
      <w:r w:rsidR="00FC49D2" w:rsidRPr="000A1064">
        <w:tab/>
      </w:r>
      <w:r w:rsidR="00722981" w:rsidRPr="000A1064">
        <w:t>2</w:t>
      </w:r>
      <w:r w:rsidR="000A1064">
        <w:t>1</w:t>
      </w:r>
    </w:p>
    <w:p w:rsidR="004627BD" w:rsidRDefault="00C902DE" w:rsidP="004627BD">
      <w:pPr>
        <w:tabs>
          <w:tab w:val="left" w:pos="0"/>
          <w:tab w:val="left" w:pos="1800"/>
          <w:tab w:val="right" w:pos="8280"/>
        </w:tabs>
        <w:spacing w:before="0" w:line="360" w:lineRule="auto"/>
        <w:ind w:left="1080" w:right="0"/>
        <w:contextualSpacing/>
      </w:pPr>
      <w:r w:rsidRPr="000A1064">
        <w:t>V</w:t>
      </w:r>
      <w:r w:rsidR="004765FD" w:rsidRPr="000A1064">
        <w:t>I</w:t>
      </w:r>
      <w:r w:rsidR="00006704" w:rsidRPr="000A1064">
        <w:t>I</w:t>
      </w:r>
      <w:r w:rsidRPr="000A1064">
        <w:t>.</w:t>
      </w:r>
      <w:r w:rsidRPr="000A1064">
        <w:tab/>
      </w:r>
      <w:r w:rsidR="006F675A" w:rsidRPr="000A1064">
        <w:t>Credit Ratings</w:t>
      </w:r>
      <w:r w:rsidRPr="000A1064">
        <w:tab/>
      </w:r>
      <w:r w:rsidR="00AC783A" w:rsidRPr="000A1064">
        <w:t>2</w:t>
      </w:r>
      <w:r w:rsidR="000A1064">
        <w:t>9</w:t>
      </w:r>
      <w:r w:rsidR="004627BD">
        <w:br w:type="page"/>
      </w:r>
    </w:p>
    <w:p w:rsidR="00815DF0" w:rsidRDefault="008E6B2A" w:rsidP="00463D03">
      <w:pPr>
        <w:tabs>
          <w:tab w:val="left" w:pos="0"/>
          <w:tab w:val="left" w:pos="7920"/>
        </w:tabs>
        <w:spacing w:before="240" w:after="0" w:line="480" w:lineRule="auto"/>
        <w:ind w:left="1440" w:right="0" w:hanging="720"/>
        <w:rPr>
          <w:b/>
        </w:rPr>
      </w:pPr>
      <w:r w:rsidRPr="008E6B2A">
        <w:rPr>
          <w:b/>
        </w:rPr>
        <w:lastRenderedPageBreak/>
        <w:t>Q.</w:t>
      </w:r>
      <w:r w:rsidRPr="008E6B2A">
        <w:rPr>
          <w:b/>
        </w:rPr>
        <w:tab/>
        <w:t>Are you sponsoring any exhibits with your direct testimony?</w:t>
      </w:r>
    </w:p>
    <w:p w:rsidR="008C1CD6" w:rsidRDefault="00C50C02" w:rsidP="00B03691">
      <w:pPr>
        <w:pStyle w:val="BodyText2"/>
        <w:tabs>
          <w:tab w:val="clear" w:pos="720"/>
          <w:tab w:val="left" w:pos="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Pr="001A3306">
        <w:rPr>
          <w:rFonts w:ascii="Times New Roman" w:hAnsi="Times New Roman" w:cs="Times New Roman"/>
        </w:rPr>
        <w:t xml:space="preserve">Yes. </w:t>
      </w:r>
      <w:r w:rsidR="00B03691">
        <w:rPr>
          <w:rFonts w:ascii="Times New Roman" w:hAnsi="Times New Roman" w:cs="Times New Roman"/>
        </w:rPr>
        <w:t xml:space="preserve"> </w:t>
      </w:r>
      <w:r w:rsidRPr="001A3306">
        <w:rPr>
          <w:rFonts w:ascii="Times New Roman" w:hAnsi="Times New Roman" w:cs="Times New Roman"/>
        </w:rPr>
        <w:t>I am sponsoring Exhibit</w:t>
      </w:r>
      <w:r w:rsidR="006D18D1" w:rsidRPr="001A3306">
        <w:rPr>
          <w:rFonts w:ascii="Times New Roman" w:hAnsi="Times New Roman" w:cs="Times New Roman"/>
        </w:rPr>
        <w:t xml:space="preserve"> No.</w:t>
      </w:r>
      <w:r w:rsidR="00756338">
        <w:rPr>
          <w:rFonts w:ascii="Times New Roman" w:hAnsi="Times New Roman" w:cs="Times New Roman"/>
        </w:rPr>
        <w:t>____</w:t>
      </w:r>
      <w:r w:rsidR="006A4A50">
        <w:rPr>
          <w:rFonts w:ascii="Times New Roman" w:hAnsi="Times New Roman" w:cs="Times New Roman"/>
        </w:rPr>
        <w:t xml:space="preserve"> </w:t>
      </w:r>
      <w:r w:rsidR="00043707" w:rsidRPr="001A3306">
        <w:rPr>
          <w:rFonts w:ascii="Times New Roman" w:hAnsi="Times New Roman" w:cs="Times New Roman"/>
        </w:rPr>
        <w:t>(</w:t>
      </w:r>
      <w:r w:rsidR="00355F58" w:rsidRPr="001A3306">
        <w:rPr>
          <w:rFonts w:ascii="Times New Roman" w:hAnsi="Times New Roman" w:cs="Times New Roman"/>
        </w:rPr>
        <w:t>MTT</w:t>
      </w:r>
      <w:r w:rsidR="006D18D1" w:rsidRPr="001A3306">
        <w:rPr>
          <w:rFonts w:ascii="Times New Roman" w:hAnsi="Times New Roman" w:cs="Times New Roman"/>
        </w:rPr>
        <w:t xml:space="preserve">-2) pages 1 </w:t>
      </w:r>
      <w:r w:rsidR="006D18D1" w:rsidRPr="00EA6093">
        <w:rPr>
          <w:rFonts w:ascii="Times New Roman" w:hAnsi="Times New Roman" w:cs="Times New Roman"/>
        </w:rPr>
        <w:t xml:space="preserve">through </w:t>
      </w:r>
      <w:r w:rsidR="00B410EE" w:rsidRPr="00EA6093">
        <w:rPr>
          <w:rFonts w:ascii="Times New Roman" w:hAnsi="Times New Roman" w:cs="Times New Roman"/>
        </w:rPr>
        <w:t>6</w:t>
      </w:r>
      <w:r w:rsidRPr="00EA6093">
        <w:rPr>
          <w:rFonts w:ascii="Times New Roman" w:hAnsi="Times New Roman" w:cs="Times New Roman"/>
        </w:rPr>
        <w:t>,</w:t>
      </w:r>
      <w:r w:rsidRPr="001A3306">
        <w:rPr>
          <w:rFonts w:ascii="Times New Roman" w:hAnsi="Times New Roman" w:cs="Times New Roman"/>
        </w:rPr>
        <w:t xml:space="preserve"> which were prepared under my direction</w:t>
      </w:r>
      <w:r w:rsidR="00562BE5">
        <w:rPr>
          <w:rFonts w:ascii="Times New Roman" w:hAnsi="Times New Roman" w:cs="Times New Roman"/>
        </w:rPr>
        <w:t xml:space="preserve">. </w:t>
      </w:r>
      <w:r w:rsidR="000349EC">
        <w:rPr>
          <w:rFonts w:ascii="Times New Roman" w:hAnsi="Times New Roman" w:cs="Times New Roman"/>
        </w:rPr>
        <w:t xml:space="preserve"> </w:t>
      </w:r>
      <w:r w:rsidRPr="001A3306">
        <w:rPr>
          <w:rFonts w:ascii="Times New Roman" w:hAnsi="Times New Roman" w:cs="Times New Roman"/>
        </w:rPr>
        <w:t xml:space="preserve">Avista’s credit ratings by </w:t>
      </w:r>
      <w:r w:rsidR="00E63957" w:rsidRPr="001A3306">
        <w:rPr>
          <w:rFonts w:ascii="Times New Roman" w:hAnsi="Times New Roman" w:cs="Times New Roman"/>
        </w:rPr>
        <w:t>S&amp;P and Moody’s</w:t>
      </w:r>
      <w:r w:rsidRPr="001A3306">
        <w:rPr>
          <w:rFonts w:ascii="Times New Roman" w:hAnsi="Times New Roman" w:cs="Times New Roman"/>
        </w:rPr>
        <w:t xml:space="preserve"> </w:t>
      </w:r>
      <w:r w:rsidR="00562BE5">
        <w:rPr>
          <w:rFonts w:ascii="Times New Roman" w:hAnsi="Times New Roman" w:cs="Times New Roman"/>
        </w:rPr>
        <w:t xml:space="preserve">are summarized </w:t>
      </w:r>
      <w:r w:rsidRPr="001A3306">
        <w:rPr>
          <w:rFonts w:ascii="Times New Roman" w:hAnsi="Times New Roman" w:cs="Times New Roman"/>
        </w:rPr>
        <w:t xml:space="preserve">on page </w:t>
      </w:r>
      <w:r w:rsidR="00B410EE">
        <w:rPr>
          <w:rFonts w:ascii="Times New Roman" w:hAnsi="Times New Roman" w:cs="Times New Roman"/>
        </w:rPr>
        <w:t>1</w:t>
      </w:r>
      <w:r w:rsidR="004808C0">
        <w:rPr>
          <w:rFonts w:ascii="Times New Roman" w:hAnsi="Times New Roman" w:cs="Times New Roman"/>
        </w:rPr>
        <w:t>.</w:t>
      </w:r>
      <w:r w:rsidRPr="001A3306">
        <w:rPr>
          <w:rFonts w:ascii="Times New Roman" w:hAnsi="Times New Roman" w:cs="Times New Roman"/>
        </w:rPr>
        <w:t xml:space="preserve"> </w:t>
      </w:r>
      <w:r w:rsidR="00DF2F7D">
        <w:rPr>
          <w:rFonts w:ascii="Times New Roman" w:hAnsi="Times New Roman" w:cs="Times New Roman"/>
        </w:rPr>
        <w:t xml:space="preserve"> </w:t>
      </w:r>
      <w:r w:rsidRPr="001A3306">
        <w:rPr>
          <w:rFonts w:ascii="Times New Roman" w:hAnsi="Times New Roman" w:cs="Times New Roman"/>
        </w:rPr>
        <w:t xml:space="preserve">Avista’s </w:t>
      </w:r>
      <w:r w:rsidR="00E348D9">
        <w:rPr>
          <w:rFonts w:ascii="Times New Roman" w:hAnsi="Times New Roman" w:cs="Times New Roman"/>
        </w:rPr>
        <w:t>actual</w:t>
      </w:r>
      <w:r w:rsidRPr="001A3306">
        <w:rPr>
          <w:rFonts w:ascii="Times New Roman" w:hAnsi="Times New Roman" w:cs="Times New Roman"/>
        </w:rPr>
        <w:t xml:space="preserve"> capital structure at </w:t>
      </w:r>
      <w:r w:rsidR="00E348D9">
        <w:rPr>
          <w:rFonts w:ascii="Times New Roman" w:hAnsi="Times New Roman" w:cs="Times New Roman"/>
        </w:rPr>
        <w:t>September 30, 2015</w:t>
      </w:r>
      <w:r w:rsidR="00ED0752">
        <w:rPr>
          <w:rFonts w:ascii="Times New Roman" w:hAnsi="Times New Roman" w:cs="Times New Roman"/>
        </w:rPr>
        <w:t>,</w:t>
      </w:r>
      <w:r w:rsidRPr="001A3306">
        <w:rPr>
          <w:rFonts w:ascii="Times New Roman" w:hAnsi="Times New Roman" w:cs="Times New Roman"/>
        </w:rPr>
        <w:t xml:space="preserve"> and </w:t>
      </w:r>
      <w:r w:rsidR="00CE3118">
        <w:rPr>
          <w:rFonts w:ascii="Times New Roman" w:hAnsi="Times New Roman" w:cs="Times New Roman"/>
        </w:rPr>
        <w:t>proposed</w:t>
      </w:r>
      <w:r w:rsidRPr="001A3306">
        <w:rPr>
          <w:rFonts w:ascii="Times New Roman" w:hAnsi="Times New Roman" w:cs="Times New Roman"/>
        </w:rPr>
        <w:t xml:space="preserve"> capital structure</w:t>
      </w:r>
      <w:r w:rsidR="00ED0752">
        <w:rPr>
          <w:rFonts w:ascii="Times New Roman" w:hAnsi="Times New Roman" w:cs="Times New Roman"/>
        </w:rPr>
        <w:t>,</w:t>
      </w:r>
      <w:r w:rsidR="00562BE5">
        <w:rPr>
          <w:rFonts w:ascii="Times New Roman" w:hAnsi="Times New Roman" w:cs="Times New Roman"/>
        </w:rPr>
        <w:t xml:space="preserve"> are included</w:t>
      </w:r>
      <w:r w:rsidRPr="001A3306">
        <w:rPr>
          <w:rFonts w:ascii="Times New Roman" w:hAnsi="Times New Roman" w:cs="Times New Roman"/>
        </w:rPr>
        <w:t xml:space="preserve"> on </w:t>
      </w:r>
      <w:r w:rsidR="00231E0B" w:rsidRPr="001A3306">
        <w:rPr>
          <w:rFonts w:ascii="Times New Roman" w:hAnsi="Times New Roman" w:cs="Times New Roman"/>
        </w:rPr>
        <w:t xml:space="preserve">page </w:t>
      </w:r>
      <w:r w:rsidR="00B410EE">
        <w:rPr>
          <w:rFonts w:ascii="Times New Roman" w:hAnsi="Times New Roman" w:cs="Times New Roman"/>
        </w:rPr>
        <w:t>2</w:t>
      </w:r>
      <w:r w:rsidRPr="001A3306">
        <w:rPr>
          <w:rFonts w:ascii="Times New Roman" w:hAnsi="Times New Roman" w:cs="Times New Roman"/>
        </w:rPr>
        <w:t>, with supporting information on pa</w:t>
      </w:r>
      <w:r w:rsidR="006D18D1" w:rsidRPr="001A3306">
        <w:rPr>
          <w:rFonts w:ascii="Times New Roman" w:hAnsi="Times New Roman" w:cs="Times New Roman"/>
        </w:rPr>
        <w:t xml:space="preserve">ges </w:t>
      </w:r>
      <w:r w:rsidR="00B410EE">
        <w:rPr>
          <w:rFonts w:ascii="Times New Roman" w:hAnsi="Times New Roman" w:cs="Times New Roman"/>
        </w:rPr>
        <w:t>3</w:t>
      </w:r>
      <w:r w:rsidR="00B410EE" w:rsidRPr="001A3306">
        <w:rPr>
          <w:rFonts w:ascii="Times New Roman" w:hAnsi="Times New Roman" w:cs="Times New Roman"/>
        </w:rPr>
        <w:t xml:space="preserve"> </w:t>
      </w:r>
      <w:r w:rsidR="006D18D1" w:rsidRPr="001A3306">
        <w:rPr>
          <w:rFonts w:ascii="Times New Roman" w:hAnsi="Times New Roman" w:cs="Times New Roman"/>
        </w:rPr>
        <w:t xml:space="preserve">through </w:t>
      </w:r>
      <w:r w:rsidR="00B410EE">
        <w:rPr>
          <w:rFonts w:ascii="Times New Roman" w:hAnsi="Times New Roman" w:cs="Times New Roman"/>
        </w:rPr>
        <w:t>6</w:t>
      </w:r>
      <w:r w:rsidRPr="001A3306">
        <w:rPr>
          <w:rFonts w:ascii="Times New Roman" w:hAnsi="Times New Roman" w:cs="Times New Roman"/>
        </w:rPr>
        <w:t>.</w:t>
      </w:r>
      <w:r w:rsidR="002D231B">
        <w:rPr>
          <w:rFonts w:ascii="Times New Roman" w:hAnsi="Times New Roman" w:cs="Times New Roman"/>
        </w:rPr>
        <w:t xml:space="preserve"> </w:t>
      </w:r>
      <w:r w:rsidR="003C72B0">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 xml:space="preserve">Exhibit No.____ </w:t>
      </w:r>
      <w:r w:rsidR="00562BE5">
        <w:rPr>
          <w:rFonts w:ascii="Times New Roman" w:hAnsi="Times New Roman" w:cs="Times New Roman"/>
        </w:rPr>
        <w:t>(MTT-3</w:t>
      </w:r>
      <w:r w:rsidR="00E937CE">
        <w:rPr>
          <w:rFonts w:ascii="Times New Roman" w:hAnsi="Times New Roman" w:cs="Times New Roman"/>
        </w:rPr>
        <w:t>C</w:t>
      </w:r>
      <w:r w:rsidR="00562BE5">
        <w:rPr>
          <w:rFonts w:ascii="Times New Roman" w:hAnsi="Times New Roman" w:cs="Times New Roman"/>
        </w:rPr>
        <w:t xml:space="preserve">) </w:t>
      </w:r>
      <w:r w:rsidR="004808C0">
        <w:rPr>
          <w:rFonts w:ascii="Times New Roman" w:hAnsi="Times New Roman" w:cs="Times New Roman"/>
        </w:rPr>
        <w:t xml:space="preserve">is </w:t>
      </w:r>
      <w:r w:rsidR="002E49A4">
        <w:rPr>
          <w:rFonts w:ascii="Times New Roman" w:hAnsi="Times New Roman" w:cs="Times New Roman"/>
        </w:rPr>
        <w:t>our</w:t>
      </w:r>
      <w:r w:rsidR="003C72B0">
        <w:rPr>
          <w:rFonts w:ascii="Times New Roman" w:hAnsi="Times New Roman" w:cs="Times New Roman"/>
        </w:rPr>
        <w:t xml:space="preserve"> Interest Rate Risk Management Plan</w:t>
      </w:r>
      <w:r w:rsidR="00006704">
        <w:rPr>
          <w:rFonts w:ascii="Times New Roman" w:hAnsi="Times New Roman" w:cs="Times New Roman"/>
        </w:rPr>
        <w:t>.</w:t>
      </w:r>
      <w:r w:rsidR="00E74647">
        <w:rPr>
          <w:rFonts w:ascii="Times New Roman" w:hAnsi="Times New Roman" w:cs="Times New Roman"/>
        </w:rPr>
        <w:t xml:space="preserve"> </w:t>
      </w:r>
      <w:r w:rsidR="000349EC">
        <w:rPr>
          <w:rFonts w:ascii="Times New Roman" w:hAnsi="Times New Roman" w:cs="Times New Roman"/>
        </w:rPr>
        <w:t xml:space="preserve"> </w:t>
      </w:r>
      <w:r w:rsidR="00E74647" w:rsidRPr="006B265E">
        <w:rPr>
          <w:rFonts w:ascii="Times New Roman" w:hAnsi="Times New Roman" w:cs="Times New Roman"/>
        </w:rPr>
        <w:t>Exhibit</w:t>
      </w:r>
      <w:r w:rsidR="006A4A50" w:rsidRPr="006B265E">
        <w:rPr>
          <w:rFonts w:ascii="Times New Roman" w:hAnsi="Times New Roman" w:cs="Times New Roman"/>
        </w:rPr>
        <w:t xml:space="preserve"> </w:t>
      </w:r>
      <w:r w:rsidR="00756338" w:rsidRPr="006B265E">
        <w:rPr>
          <w:rFonts w:ascii="Times New Roman" w:hAnsi="Times New Roman" w:cs="Times New Roman"/>
        </w:rPr>
        <w:t>No.____</w:t>
      </w:r>
      <w:r w:rsidR="00562BE5" w:rsidRPr="006B265E">
        <w:rPr>
          <w:rFonts w:ascii="Times New Roman" w:hAnsi="Times New Roman" w:cs="Times New Roman"/>
        </w:rPr>
        <w:t xml:space="preserve"> (MTT-4) </w:t>
      </w:r>
      <w:r w:rsidR="00E74647" w:rsidRPr="006B265E">
        <w:rPr>
          <w:rFonts w:ascii="Times New Roman" w:hAnsi="Times New Roman" w:cs="Times New Roman"/>
        </w:rPr>
        <w:t xml:space="preserve">includes the equity ratios and returns on equity approved by various </w:t>
      </w:r>
      <w:r w:rsidR="000565A2" w:rsidRPr="006B265E">
        <w:rPr>
          <w:rFonts w:ascii="Times New Roman" w:hAnsi="Times New Roman" w:cs="Times New Roman"/>
        </w:rPr>
        <w:t xml:space="preserve">state regulatory </w:t>
      </w:r>
      <w:r w:rsidR="00656B29" w:rsidRPr="006B265E">
        <w:rPr>
          <w:rFonts w:ascii="Times New Roman" w:hAnsi="Times New Roman" w:cs="Times New Roman"/>
        </w:rPr>
        <w:t>commissions from January</w:t>
      </w:r>
      <w:r w:rsidR="00E74647" w:rsidRPr="006B265E">
        <w:rPr>
          <w:rFonts w:ascii="Times New Roman" w:hAnsi="Times New Roman" w:cs="Times New Roman"/>
        </w:rPr>
        <w:t xml:space="preserve"> 1, </w:t>
      </w:r>
      <w:r w:rsidR="00656B29" w:rsidRPr="006B265E">
        <w:rPr>
          <w:rFonts w:ascii="Times New Roman" w:hAnsi="Times New Roman" w:cs="Times New Roman"/>
        </w:rPr>
        <w:t>2015</w:t>
      </w:r>
      <w:r w:rsidR="006A4A50" w:rsidRPr="006B265E">
        <w:rPr>
          <w:rFonts w:ascii="Times New Roman" w:hAnsi="Times New Roman" w:cs="Times New Roman"/>
        </w:rPr>
        <w:t>,</w:t>
      </w:r>
      <w:r w:rsidR="00E74647" w:rsidRPr="006B265E">
        <w:rPr>
          <w:rFonts w:ascii="Times New Roman" w:hAnsi="Times New Roman" w:cs="Times New Roman"/>
        </w:rPr>
        <w:t xml:space="preserve"> through </w:t>
      </w:r>
      <w:r w:rsidR="00A06908" w:rsidRPr="006B265E">
        <w:rPr>
          <w:rFonts w:ascii="Times New Roman" w:hAnsi="Times New Roman" w:cs="Times New Roman"/>
        </w:rPr>
        <w:t xml:space="preserve">December </w:t>
      </w:r>
      <w:r w:rsidR="006B265E" w:rsidRPr="006B265E">
        <w:rPr>
          <w:rFonts w:ascii="Times New Roman" w:hAnsi="Times New Roman" w:cs="Times New Roman"/>
        </w:rPr>
        <w:t>3</w:t>
      </w:r>
      <w:r w:rsidR="002A5361">
        <w:rPr>
          <w:rFonts w:ascii="Times New Roman" w:hAnsi="Times New Roman" w:cs="Times New Roman"/>
        </w:rPr>
        <w:t>1</w:t>
      </w:r>
      <w:r w:rsidR="00A06908" w:rsidRPr="006B265E">
        <w:rPr>
          <w:rFonts w:ascii="Times New Roman" w:hAnsi="Times New Roman" w:cs="Times New Roman"/>
        </w:rPr>
        <w:t xml:space="preserve">, </w:t>
      </w:r>
      <w:r w:rsidR="00656B29" w:rsidRPr="006B265E">
        <w:rPr>
          <w:rFonts w:ascii="Times New Roman" w:hAnsi="Times New Roman" w:cs="Times New Roman"/>
        </w:rPr>
        <w:t>2015</w:t>
      </w:r>
      <w:r w:rsidR="00E74647" w:rsidRPr="006B265E">
        <w:rPr>
          <w:rFonts w:ascii="Times New Roman" w:hAnsi="Times New Roman" w:cs="Times New Roman"/>
        </w:rPr>
        <w:t>.</w:t>
      </w:r>
      <w:r w:rsidR="00756338" w:rsidRPr="006B265E">
        <w:rPr>
          <w:rFonts w:ascii="Times New Roman" w:hAnsi="Times New Roman" w:cs="Times New Roman"/>
        </w:rPr>
        <w:t xml:space="preserve"> </w:t>
      </w:r>
      <w:r w:rsidR="002D231B" w:rsidRPr="006B265E">
        <w:rPr>
          <w:rFonts w:ascii="Times New Roman" w:hAnsi="Times New Roman" w:cs="Times New Roman"/>
        </w:rPr>
        <w:t xml:space="preserve"> </w:t>
      </w:r>
      <w:r w:rsidR="00E937CE" w:rsidRPr="006B265E">
        <w:rPr>
          <w:rFonts w:ascii="Times New Roman" w:hAnsi="Times New Roman" w:cs="Times New Roman"/>
        </w:rPr>
        <w:t xml:space="preserve">Confidential </w:t>
      </w:r>
      <w:r w:rsidR="00756338" w:rsidRPr="006B265E">
        <w:rPr>
          <w:rFonts w:ascii="Times New Roman" w:hAnsi="Times New Roman" w:cs="Times New Roman"/>
        </w:rPr>
        <w:t>Exhibit No.____</w:t>
      </w:r>
      <w:r w:rsidR="00562BE5" w:rsidRPr="006B265E">
        <w:rPr>
          <w:rFonts w:ascii="Times New Roman" w:hAnsi="Times New Roman" w:cs="Times New Roman"/>
        </w:rPr>
        <w:t xml:space="preserve"> (MTT-5</w:t>
      </w:r>
      <w:r w:rsidR="00756338" w:rsidRPr="006B265E">
        <w:rPr>
          <w:rFonts w:ascii="Times New Roman" w:hAnsi="Times New Roman" w:cs="Times New Roman"/>
        </w:rPr>
        <w:t>C</w:t>
      </w:r>
      <w:r w:rsidR="00562BE5" w:rsidRPr="006B265E">
        <w:rPr>
          <w:rFonts w:ascii="Times New Roman" w:hAnsi="Times New Roman" w:cs="Times New Roman"/>
        </w:rPr>
        <w:t xml:space="preserve">) </w:t>
      </w:r>
      <w:r w:rsidR="004808C0">
        <w:rPr>
          <w:rFonts w:ascii="Times New Roman" w:hAnsi="Times New Roman" w:cs="Times New Roman"/>
        </w:rPr>
        <w:t>shows</w:t>
      </w:r>
      <w:r w:rsidR="004808C0" w:rsidRPr="006B265E">
        <w:rPr>
          <w:rFonts w:ascii="Times New Roman" w:hAnsi="Times New Roman" w:cs="Times New Roman"/>
        </w:rPr>
        <w:t xml:space="preserve"> </w:t>
      </w:r>
      <w:r w:rsidR="00756338" w:rsidRPr="006B265E">
        <w:rPr>
          <w:rFonts w:ascii="Times New Roman" w:hAnsi="Times New Roman" w:cs="Times New Roman"/>
        </w:rPr>
        <w:t xml:space="preserve">the Company’s </w:t>
      </w:r>
      <w:r w:rsidR="000565A2" w:rsidRPr="006B265E">
        <w:rPr>
          <w:rFonts w:ascii="Times New Roman" w:hAnsi="Times New Roman" w:cs="Times New Roman"/>
        </w:rPr>
        <w:t>planned</w:t>
      </w:r>
      <w:r w:rsidR="00756338" w:rsidRPr="006B265E">
        <w:rPr>
          <w:rFonts w:ascii="Times New Roman" w:hAnsi="Times New Roman" w:cs="Times New Roman"/>
        </w:rPr>
        <w:t xml:space="preserve"> capital expenditures and long-term debt issuances by year</w:t>
      </w:r>
      <w:r w:rsidR="00562BE5" w:rsidRPr="006B265E">
        <w:rPr>
          <w:rFonts w:ascii="Times New Roman" w:hAnsi="Times New Roman" w:cs="Times New Roman"/>
        </w:rPr>
        <w:t>.</w:t>
      </w:r>
    </w:p>
    <w:p w:rsidR="00625DD4" w:rsidRDefault="00625DD4" w:rsidP="00B03691">
      <w:pPr>
        <w:pStyle w:val="BodyText2"/>
        <w:tabs>
          <w:tab w:val="clear" w:pos="720"/>
          <w:tab w:val="left" w:pos="0"/>
        </w:tabs>
        <w:spacing w:before="0" w:after="0"/>
        <w:ind w:left="0" w:right="0" w:firstLine="720"/>
        <w:rPr>
          <w:rFonts w:ascii="Times New Roman" w:hAnsi="Times New Roman" w:cs="Times New Roman"/>
        </w:rPr>
      </w:pPr>
    </w:p>
    <w:p w:rsidR="006F7E19" w:rsidRPr="00562BE5" w:rsidRDefault="004765FD" w:rsidP="002D231B">
      <w:pPr>
        <w:autoSpaceDE/>
        <w:autoSpaceDN/>
        <w:spacing w:before="0" w:after="0" w:line="480" w:lineRule="auto"/>
        <w:ind w:left="0" w:right="0"/>
        <w:jc w:val="center"/>
        <w:rPr>
          <w:b/>
          <w:u w:val="single"/>
        </w:rPr>
      </w:pPr>
      <w:r w:rsidRPr="00562BE5">
        <w:rPr>
          <w:b/>
          <w:u w:val="single"/>
        </w:rPr>
        <w:t>II. FINANCIAL OVERVIEW</w:t>
      </w:r>
    </w:p>
    <w:p w:rsidR="004765FD" w:rsidRPr="005A53A4" w:rsidRDefault="004765FD" w:rsidP="00562BE5">
      <w:pPr>
        <w:pStyle w:val="BodyText2"/>
        <w:tabs>
          <w:tab w:val="clear" w:pos="720"/>
          <w:tab w:val="left" w:pos="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Please provide an overview of Avista's financial situation.</w:t>
      </w:r>
    </w:p>
    <w:p w:rsidR="00815DF0" w:rsidRDefault="004765FD" w:rsidP="003544F9">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A.</w:t>
      </w:r>
      <w:r w:rsidRPr="00EF2A93">
        <w:rPr>
          <w:rFonts w:ascii="Times New Roman" w:hAnsi="Times New Roman" w:cs="Times New Roman"/>
        </w:rPr>
        <w:tab/>
        <w:t>We are operating the business efficiently for our customers, ensuring that our energy service is reliable and customer</w:t>
      </w:r>
      <w:r w:rsidR="004C5AEE">
        <w:rPr>
          <w:rFonts w:ascii="Times New Roman" w:hAnsi="Times New Roman" w:cs="Times New Roman"/>
        </w:rPr>
        <w:t>s are satisfied</w:t>
      </w:r>
      <w:r w:rsidR="00C85B32" w:rsidRPr="00C85B32">
        <w:rPr>
          <w:rFonts w:ascii="Times New Roman" w:hAnsi="Times New Roman" w:cs="Times New Roman"/>
        </w:rPr>
        <w:t xml:space="preserve"> </w:t>
      </w:r>
      <w:r w:rsidR="00C85B32" w:rsidRPr="00EF2A93">
        <w:rPr>
          <w:rFonts w:ascii="Times New Roman" w:hAnsi="Times New Roman" w:cs="Times New Roman"/>
        </w:rPr>
        <w:t>while at the same time</w:t>
      </w:r>
      <w:r w:rsidR="00C85B32" w:rsidRPr="00C85B32">
        <w:rPr>
          <w:rFonts w:ascii="Times New Roman" w:hAnsi="Times New Roman" w:cs="Times New Roman"/>
        </w:rPr>
        <w:t xml:space="preserve"> </w:t>
      </w:r>
      <w:r w:rsidR="00C85B32" w:rsidRPr="00EF2A93">
        <w:rPr>
          <w:rFonts w:ascii="Times New Roman" w:hAnsi="Times New Roman" w:cs="Times New Roman"/>
        </w:rPr>
        <w:t>keep</w:t>
      </w:r>
      <w:r w:rsidR="00C85B32">
        <w:rPr>
          <w:rFonts w:ascii="Times New Roman" w:hAnsi="Times New Roman" w:cs="Times New Roman"/>
        </w:rPr>
        <w:t>ing</w:t>
      </w:r>
      <w:r w:rsidR="00C85B32" w:rsidRPr="00EF2A93">
        <w:rPr>
          <w:rFonts w:ascii="Times New Roman" w:hAnsi="Times New Roman" w:cs="Times New Roman"/>
        </w:rPr>
        <w:t xml:space="preserve"> costs as low as </w:t>
      </w:r>
      <w:r w:rsidR="009E3C30">
        <w:rPr>
          <w:rFonts w:ascii="Times New Roman" w:hAnsi="Times New Roman" w:cs="Times New Roman"/>
        </w:rPr>
        <w:t>reasonably possible</w:t>
      </w:r>
      <w:r w:rsidRPr="00EF2A93">
        <w:rPr>
          <w:rFonts w:ascii="Times New Roman" w:hAnsi="Times New Roman" w:cs="Times New Roman"/>
        </w:rPr>
        <w:t>.</w:t>
      </w:r>
      <w:r w:rsidR="002D231B">
        <w:rPr>
          <w:rFonts w:ascii="Times New Roman" w:hAnsi="Times New Roman" w:cs="Times New Roman"/>
        </w:rPr>
        <w:t xml:space="preserve"> </w:t>
      </w:r>
      <w:r w:rsidRPr="00EF2A93">
        <w:rPr>
          <w:rFonts w:ascii="Times New Roman" w:hAnsi="Times New Roman" w:cs="Times New Roman"/>
        </w:rPr>
        <w:t xml:space="preserve"> An efficient, well-run business is not only important to our customers but also </w:t>
      </w:r>
      <w:r w:rsidR="00925FCF">
        <w:rPr>
          <w:rFonts w:ascii="Times New Roman" w:hAnsi="Times New Roman" w:cs="Times New Roman"/>
        </w:rPr>
        <w:t xml:space="preserve">important </w:t>
      </w:r>
      <w:r w:rsidR="00EF4B8D">
        <w:rPr>
          <w:rFonts w:ascii="Times New Roman" w:hAnsi="Times New Roman" w:cs="Times New Roman"/>
        </w:rPr>
        <w:t>to investors.</w:t>
      </w:r>
      <w:r w:rsidR="002D231B">
        <w:rPr>
          <w:rFonts w:ascii="Times New Roman" w:hAnsi="Times New Roman" w:cs="Times New Roman"/>
        </w:rPr>
        <w:t xml:space="preserve"> </w:t>
      </w:r>
      <w:r w:rsidR="00EF4B8D">
        <w:rPr>
          <w:rFonts w:ascii="Times New Roman" w:hAnsi="Times New Roman" w:cs="Times New Roman"/>
        </w:rPr>
        <w:t xml:space="preserve"> </w:t>
      </w:r>
      <w:r w:rsidR="00925FCF">
        <w:rPr>
          <w:rFonts w:ascii="Times New Roman" w:hAnsi="Times New Roman" w:cs="Times New Roman"/>
        </w:rPr>
        <w:t xml:space="preserve">We plan and execute on a capital financing plan that provides a prudent capital structure and liquidity </w:t>
      </w:r>
      <w:r w:rsidR="00A06908">
        <w:rPr>
          <w:rFonts w:ascii="Times New Roman" w:hAnsi="Times New Roman" w:cs="Times New Roman"/>
        </w:rPr>
        <w:t>necessary for</w:t>
      </w:r>
      <w:r w:rsidR="00925FCF">
        <w:rPr>
          <w:rFonts w:ascii="Times New Roman" w:hAnsi="Times New Roman" w:cs="Times New Roman"/>
        </w:rPr>
        <w:t xml:space="preserve"> our operations. </w:t>
      </w:r>
      <w:r w:rsidR="002D231B">
        <w:rPr>
          <w:rFonts w:ascii="Times New Roman" w:hAnsi="Times New Roman" w:cs="Times New Roman"/>
        </w:rPr>
        <w:t xml:space="preserve"> </w:t>
      </w:r>
      <w:r w:rsidR="00C85B32">
        <w:rPr>
          <w:rFonts w:ascii="Times New Roman" w:hAnsi="Times New Roman" w:cs="Times New Roman"/>
        </w:rPr>
        <w:t xml:space="preserve">We honor prior financial commitments and we continue to rely on external capital for sustained utility operations. </w:t>
      </w:r>
      <w:r w:rsidR="00DF2F7D">
        <w:rPr>
          <w:rFonts w:ascii="Times New Roman" w:hAnsi="Times New Roman" w:cs="Times New Roman"/>
        </w:rPr>
        <w:t xml:space="preserve"> </w:t>
      </w:r>
      <w:r w:rsidR="00925FCF">
        <w:rPr>
          <w:rFonts w:ascii="Times New Roman" w:hAnsi="Times New Roman" w:cs="Times New Roman"/>
        </w:rPr>
        <w:t>We initiate</w:t>
      </w:r>
      <w:r w:rsidRPr="00EF2A93">
        <w:rPr>
          <w:rFonts w:ascii="Times New Roman" w:hAnsi="Times New Roman" w:cs="Times New Roman"/>
        </w:rPr>
        <w:t xml:space="preserve"> regulatory processes to </w:t>
      </w:r>
      <w:r w:rsidR="00C85B32">
        <w:rPr>
          <w:rFonts w:ascii="Times New Roman" w:hAnsi="Times New Roman" w:cs="Times New Roman"/>
        </w:rPr>
        <w:t xml:space="preserve">seek </w:t>
      </w:r>
      <w:r w:rsidR="009E3C30">
        <w:rPr>
          <w:rFonts w:ascii="Times New Roman" w:hAnsi="Times New Roman" w:cs="Times New Roman"/>
        </w:rPr>
        <w:t xml:space="preserve">timely </w:t>
      </w:r>
      <w:r w:rsidRPr="00EF2A93">
        <w:rPr>
          <w:rFonts w:ascii="Times New Roman" w:hAnsi="Times New Roman" w:cs="Times New Roman"/>
        </w:rPr>
        <w:t>recover</w:t>
      </w:r>
      <w:r w:rsidR="00C85B32">
        <w:rPr>
          <w:rFonts w:ascii="Times New Roman" w:hAnsi="Times New Roman" w:cs="Times New Roman"/>
        </w:rPr>
        <w:t>y of</w:t>
      </w:r>
      <w:r w:rsidRPr="00EF2A93">
        <w:rPr>
          <w:rFonts w:ascii="Times New Roman" w:hAnsi="Times New Roman" w:cs="Times New Roman"/>
        </w:rPr>
        <w:t xml:space="preserve"> our costs </w:t>
      </w:r>
      <w:r w:rsidR="00006704">
        <w:rPr>
          <w:rFonts w:ascii="Times New Roman" w:hAnsi="Times New Roman" w:cs="Times New Roman"/>
        </w:rPr>
        <w:t>with the goal of achieving</w:t>
      </w:r>
      <w:r w:rsidRPr="00EF2A93">
        <w:rPr>
          <w:rFonts w:ascii="Times New Roman" w:hAnsi="Times New Roman" w:cs="Times New Roman"/>
        </w:rPr>
        <w:t xml:space="preserve"> earned returns close to those allowed by regulators in each of the states we serve. </w:t>
      </w:r>
      <w:r w:rsidR="002D231B">
        <w:rPr>
          <w:rFonts w:ascii="Times New Roman" w:hAnsi="Times New Roman" w:cs="Times New Roman"/>
        </w:rPr>
        <w:t xml:space="preserve"> </w:t>
      </w:r>
      <w:r w:rsidR="00925FCF">
        <w:rPr>
          <w:rFonts w:ascii="Times New Roman" w:hAnsi="Times New Roman" w:cs="Times New Roman"/>
        </w:rPr>
        <w:t xml:space="preserve">These elements – cost management, capital and revenues that support operations </w:t>
      </w:r>
      <w:r w:rsidR="00925FCF">
        <w:rPr>
          <w:rFonts w:ascii="Times New Roman" w:hAnsi="Times New Roman" w:cs="Times New Roman"/>
        </w:rPr>
        <w:lastRenderedPageBreak/>
        <w:t>– are</w:t>
      </w:r>
      <w:r w:rsidRPr="00EF2A93">
        <w:rPr>
          <w:rFonts w:ascii="Times New Roman" w:hAnsi="Times New Roman" w:cs="Times New Roman"/>
        </w:rPr>
        <w:t xml:space="preserve"> key determinants </w:t>
      </w:r>
      <w:r w:rsidR="00925FCF">
        <w:rPr>
          <w:rFonts w:ascii="Times New Roman" w:hAnsi="Times New Roman" w:cs="Times New Roman"/>
        </w:rPr>
        <w:t>to</w:t>
      </w:r>
      <w:r w:rsidR="00925FCF" w:rsidRPr="00EF2A93">
        <w:rPr>
          <w:rFonts w:ascii="Times New Roman" w:hAnsi="Times New Roman" w:cs="Times New Roman"/>
        </w:rPr>
        <w:t xml:space="preserve"> </w:t>
      </w:r>
      <w:r w:rsidRPr="00EF2A93">
        <w:rPr>
          <w:rFonts w:ascii="Times New Roman" w:hAnsi="Times New Roman" w:cs="Times New Roman"/>
        </w:rPr>
        <w:t xml:space="preserve">the rating agencies </w:t>
      </w:r>
      <w:r w:rsidR="00C85B32">
        <w:rPr>
          <w:rFonts w:ascii="Times New Roman" w:hAnsi="Times New Roman" w:cs="Times New Roman"/>
        </w:rPr>
        <w:t>whose</w:t>
      </w:r>
      <w:r w:rsidRPr="00EF2A93">
        <w:rPr>
          <w:rFonts w:ascii="Times New Roman" w:hAnsi="Times New Roman" w:cs="Times New Roman"/>
        </w:rPr>
        <w:t xml:space="preserve"> credit ratings</w:t>
      </w:r>
      <w:r w:rsidR="00C85B32">
        <w:rPr>
          <w:rFonts w:ascii="Times New Roman" w:hAnsi="Times New Roman" w:cs="Times New Roman"/>
        </w:rPr>
        <w:t xml:space="preserve"> are critical measures of our financial situation</w:t>
      </w:r>
      <w:r w:rsidRPr="00EF2A93">
        <w:rPr>
          <w:rFonts w:ascii="Times New Roman" w:hAnsi="Times New Roman" w:cs="Times New Roman"/>
        </w:rPr>
        <w:t>.</w:t>
      </w:r>
    </w:p>
    <w:p w:rsidR="00815DF0" w:rsidRDefault="004765FD" w:rsidP="003544F9">
      <w:pPr>
        <w:pStyle w:val="BodyText2"/>
        <w:tabs>
          <w:tab w:val="clear" w:pos="72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 xml:space="preserve">What steps is the Company taking to </w:t>
      </w:r>
      <w:r w:rsidR="00925FCF">
        <w:rPr>
          <w:rFonts w:ascii="Times New Roman" w:hAnsi="Times New Roman" w:cs="Times New Roman"/>
          <w:b/>
          <w:bCs/>
        </w:rPr>
        <w:t xml:space="preserve">maintain and </w:t>
      </w:r>
      <w:r w:rsidRPr="005A53A4">
        <w:rPr>
          <w:rFonts w:ascii="Times New Roman" w:hAnsi="Times New Roman" w:cs="Times New Roman"/>
          <w:b/>
          <w:bCs/>
        </w:rPr>
        <w:t>improve its financial health?</w:t>
      </w:r>
    </w:p>
    <w:p w:rsidR="00D74A78" w:rsidRDefault="004765FD" w:rsidP="003544F9">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bookmarkStart w:id="1" w:name="OLE_LINK1"/>
      <w:r w:rsidRPr="00B36984">
        <w:rPr>
          <w:rFonts w:ascii="Times New Roman" w:hAnsi="Times New Roman" w:cs="Times New Roman"/>
        </w:rPr>
        <w:t xml:space="preserve">We are working to assure there are adequate funds for operations, capital expenditures and debt maturities. </w:t>
      </w:r>
      <w:r w:rsidR="002D231B">
        <w:rPr>
          <w:rFonts w:ascii="Times New Roman" w:hAnsi="Times New Roman" w:cs="Times New Roman"/>
        </w:rPr>
        <w:t xml:space="preserve"> </w:t>
      </w:r>
      <w:r w:rsidRPr="00B36984">
        <w:rPr>
          <w:rFonts w:ascii="Times New Roman" w:hAnsi="Times New Roman" w:cs="Times New Roman"/>
        </w:rPr>
        <w:t xml:space="preserve">We obtain a portion of </w:t>
      </w:r>
      <w:r>
        <w:rPr>
          <w:rFonts w:ascii="Times New Roman" w:hAnsi="Times New Roman" w:cs="Times New Roman"/>
        </w:rPr>
        <w:t>these funds through the issuance of long-term debt and com</w:t>
      </w:r>
      <w:r w:rsidRPr="00B36984">
        <w:rPr>
          <w:rFonts w:ascii="Times New Roman" w:hAnsi="Times New Roman" w:cs="Times New Roman"/>
        </w:rPr>
        <w:t xml:space="preserve">mon equity. </w:t>
      </w:r>
      <w:r w:rsidR="002D231B">
        <w:rPr>
          <w:rFonts w:ascii="Times New Roman" w:hAnsi="Times New Roman" w:cs="Times New Roman"/>
        </w:rPr>
        <w:t xml:space="preserve"> </w:t>
      </w:r>
      <w:r w:rsidR="00E62F3B">
        <w:rPr>
          <w:rFonts w:ascii="Times New Roman" w:hAnsi="Times New Roman" w:cs="Times New Roman"/>
        </w:rPr>
        <w:t xml:space="preserve">We actively manage risks related to </w:t>
      </w:r>
      <w:r w:rsidR="00D51E54">
        <w:rPr>
          <w:rFonts w:ascii="Times New Roman" w:hAnsi="Times New Roman" w:cs="Times New Roman"/>
        </w:rPr>
        <w:t xml:space="preserve">the issuance of </w:t>
      </w:r>
      <w:r w:rsidR="00E62F3B">
        <w:rPr>
          <w:rFonts w:ascii="Times New Roman" w:hAnsi="Times New Roman" w:cs="Times New Roman"/>
        </w:rPr>
        <w:t>long-term debt</w:t>
      </w:r>
      <w:r w:rsidR="00006704">
        <w:rPr>
          <w:rFonts w:ascii="Times New Roman" w:hAnsi="Times New Roman" w:cs="Times New Roman"/>
        </w:rPr>
        <w:t xml:space="preserve"> through our</w:t>
      </w:r>
      <w:r w:rsidR="00D3705E">
        <w:rPr>
          <w:rFonts w:ascii="Times New Roman" w:hAnsi="Times New Roman" w:cs="Times New Roman"/>
        </w:rPr>
        <w:t xml:space="preserve"> </w:t>
      </w:r>
      <w:r w:rsidR="00D51E54">
        <w:rPr>
          <w:rFonts w:ascii="Times New Roman" w:hAnsi="Times New Roman" w:cs="Times New Roman"/>
        </w:rPr>
        <w:t xml:space="preserve">interest rate risk mitigation </w:t>
      </w:r>
      <w:r w:rsidR="00D3705E">
        <w:rPr>
          <w:rFonts w:ascii="Times New Roman" w:hAnsi="Times New Roman" w:cs="Times New Roman"/>
        </w:rPr>
        <w:t>plan</w:t>
      </w:r>
      <w:r w:rsidR="00006704">
        <w:rPr>
          <w:rFonts w:ascii="Times New Roman" w:hAnsi="Times New Roman" w:cs="Times New Roman"/>
        </w:rPr>
        <w:t xml:space="preserve"> and we</w:t>
      </w:r>
      <w:r w:rsidR="00D3705E">
        <w:rPr>
          <w:rFonts w:ascii="Times New Roman" w:hAnsi="Times New Roman" w:cs="Times New Roman"/>
        </w:rPr>
        <w:t xml:space="preserve"> maintain a </w:t>
      </w:r>
      <w:r w:rsidR="00006704">
        <w:rPr>
          <w:rFonts w:ascii="Times New Roman" w:hAnsi="Times New Roman" w:cs="Times New Roman"/>
        </w:rPr>
        <w:t xml:space="preserve">proper </w:t>
      </w:r>
      <w:r w:rsidR="00D3705E">
        <w:rPr>
          <w:rFonts w:ascii="Times New Roman" w:hAnsi="Times New Roman" w:cs="Times New Roman"/>
        </w:rPr>
        <w:t xml:space="preserve">balance of debt and </w:t>
      </w:r>
      <w:r w:rsidRPr="00B36984">
        <w:rPr>
          <w:rFonts w:ascii="Times New Roman" w:hAnsi="Times New Roman" w:cs="Times New Roman"/>
        </w:rPr>
        <w:t xml:space="preserve">common </w:t>
      </w:r>
      <w:r w:rsidR="00006704">
        <w:rPr>
          <w:rFonts w:ascii="Times New Roman" w:hAnsi="Times New Roman" w:cs="Times New Roman"/>
        </w:rPr>
        <w:t>equity</w:t>
      </w:r>
      <w:r w:rsidR="00006704" w:rsidRPr="00B36984">
        <w:rPr>
          <w:rFonts w:ascii="Times New Roman" w:hAnsi="Times New Roman" w:cs="Times New Roman"/>
        </w:rPr>
        <w:t xml:space="preserve"> </w:t>
      </w:r>
      <w:r w:rsidR="00D3705E">
        <w:rPr>
          <w:rFonts w:ascii="Times New Roman" w:hAnsi="Times New Roman" w:cs="Times New Roman"/>
        </w:rPr>
        <w:t>through regular issuances and other transactions</w:t>
      </w:r>
      <w:r w:rsidRPr="00B36984">
        <w:rPr>
          <w:rFonts w:ascii="Times New Roman" w:hAnsi="Times New Roman" w:cs="Times New Roman"/>
        </w:rPr>
        <w:t xml:space="preserve">. </w:t>
      </w:r>
      <w:r w:rsidR="002D231B">
        <w:rPr>
          <w:rFonts w:ascii="Times New Roman" w:hAnsi="Times New Roman" w:cs="Times New Roman"/>
        </w:rPr>
        <w:t xml:space="preserve"> </w:t>
      </w:r>
      <w:r w:rsidR="00C85B32">
        <w:rPr>
          <w:rFonts w:ascii="Times New Roman" w:hAnsi="Times New Roman" w:cs="Times New Roman"/>
        </w:rPr>
        <w:t xml:space="preserve">We actively manage energy resource risks and other financial uncertainties inherent in supplying reliable energy services to our customers. </w:t>
      </w:r>
      <w:r w:rsidR="00DF2F7D">
        <w:rPr>
          <w:rFonts w:ascii="Times New Roman" w:hAnsi="Times New Roman" w:cs="Times New Roman"/>
        </w:rPr>
        <w:t xml:space="preserve"> </w:t>
      </w:r>
      <w:r w:rsidR="00D3705E">
        <w:rPr>
          <w:rFonts w:ascii="Times New Roman" w:hAnsi="Times New Roman" w:cs="Times New Roman"/>
        </w:rPr>
        <w:t xml:space="preserve">We create financial plans and forecasts to model our income, expenses and investments, providing a basis for prudent financial planning. </w:t>
      </w:r>
      <w:r w:rsidR="002D231B">
        <w:rPr>
          <w:rFonts w:ascii="Times New Roman" w:hAnsi="Times New Roman" w:cs="Times New Roman"/>
        </w:rPr>
        <w:t xml:space="preserve"> </w:t>
      </w:r>
      <w:r w:rsidR="00D3705E">
        <w:rPr>
          <w:rFonts w:ascii="Times New Roman" w:hAnsi="Times New Roman" w:cs="Times New Roman"/>
        </w:rPr>
        <w:t xml:space="preserve">We seek timely recovery of our costs through </w:t>
      </w:r>
      <w:r w:rsidR="00006704">
        <w:rPr>
          <w:rFonts w:ascii="Times New Roman" w:hAnsi="Times New Roman" w:cs="Times New Roman"/>
        </w:rPr>
        <w:t xml:space="preserve">general rate cases and other ratemaking </w:t>
      </w:r>
      <w:r w:rsidR="00D3705E">
        <w:rPr>
          <w:rFonts w:ascii="Times New Roman" w:hAnsi="Times New Roman" w:cs="Times New Roman"/>
        </w:rPr>
        <w:t>mechanisms.</w:t>
      </w:r>
      <w:bookmarkEnd w:id="1"/>
    </w:p>
    <w:p w:rsidR="002734DE" w:rsidRPr="002734DE" w:rsidRDefault="00A06908" w:rsidP="002734DE">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The Company </w:t>
      </w:r>
      <w:r w:rsidR="00C92E03">
        <w:rPr>
          <w:rFonts w:ascii="Times New Roman" w:hAnsi="Times New Roman" w:cs="Times New Roman"/>
        </w:rPr>
        <w:t xml:space="preserve">currently </w:t>
      </w:r>
      <w:r>
        <w:rPr>
          <w:rFonts w:ascii="Times New Roman" w:hAnsi="Times New Roman" w:cs="Times New Roman"/>
        </w:rPr>
        <w:t xml:space="preserve">has a sound financial profile </w:t>
      </w:r>
      <w:r w:rsidR="00C92E03">
        <w:rPr>
          <w:rFonts w:ascii="Times New Roman" w:hAnsi="Times New Roman" w:cs="Times New Roman"/>
        </w:rPr>
        <w:t xml:space="preserve">and it is very important for Avista to maintain and enhance its financial position in order to access debt and equity financing as </w:t>
      </w:r>
      <w:r w:rsidR="00C92E03" w:rsidRPr="009E3778">
        <w:rPr>
          <w:rFonts w:ascii="Times New Roman" w:hAnsi="Times New Roman" w:cs="Times New Roman"/>
        </w:rPr>
        <w:t>Avista funds significant future capital investments and refinances maturing debt</w:t>
      </w:r>
      <w:r w:rsidR="00C72C9E" w:rsidRPr="009E3778">
        <w:rPr>
          <w:rFonts w:ascii="Times New Roman" w:hAnsi="Times New Roman" w:cs="Times New Roman"/>
        </w:rPr>
        <w:t>.</w:t>
      </w:r>
      <w:r w:rsidR="002734DE">
        <w:rPr>
          <w:rFonts w:ascii="Times New Roman" w:hAnsi="Times New Roman" w:cs="Times New Roman"/>
        </w:rPr>
        <w:br w:type="page"/>
      </w:r>
    </w:p>
    <w:p w:rsidR="007855B0" w:rsidRPr="00EC242A" w:rsidRDefault="00C92E03" w:rsidP="002A32CB">
      <w:pPr>
        <w:pStyle w:val="Heading1"/>
        <w:tabs>
          <w:tab w:val="clear" w:pos="720"/>
          <w:tab w:val="clear" w:pos="5040"/>
          <w:tab w:val="clear" w:pos="6480"/>
          <w:tab w:val="clear" w:pos="7920"/>
          <w:tab w:val="left" w:pos="0"/>
        </w:tabs>
        <w:spacing w:before="0" w:after="0"/>
        <w:ind w:left="0" w:right="0"/>
        <w:jc w:val="center"/>
        <w:rPr>
          <w:rStyle w:val="PageNumber"/>
          <w:u w:val="single"/>
        </w:rPr>
      </w:pPr>
      <w:r w:rsidRPr="00EC242A">
        <w:rPr>
          <w:rStyle w:val="PageNumber"/>
          <w:bCs w:val="0"/>
          <w:u w:val="single"/>
        </w:rPr>
        <w:lastRenderedPageBreak/>
        <w:t>I</w:t>
      </w:r>
      <w:r w:rsidR="00660600">
        <w:rPr>
          <w:rStyle w:val="PageNumber"/>
          <w:bCs w:val="0"/>
          <w:u w:val="single"/>
        </w:rPr>
        <w:t>II</w:t>
      </w:r>
      <w:r w:rsidR="0075725E" w:rsidRPr="00EC242A">
        <w:rPr>
          <w:rStyle w:val="PageNumber"/>
          <w:bCs w:val="0"/>
          <w:u w:val="single"/>
        </w:rPr>
        <w:t xml:space="preserve">. </w:t>
      </w:r>
      <w:r w:rsidR="0075725E" w:rsidRPr="00EC242A">
        <w:rPr>
          <w:rStyle w:val="PageNumber"/>
          <w:u w:val="single"/>
        </w:rPr>
        <w:t>CAPITAL EXPENDITURES</w:t>
      </w:r>
    </w:p>
    <w:p w:rsidR="00341166" w:rsidRDefault="00341166" w:rsidP="00341166">
      <w:pPr>
        <w:spacing w:before="0" w:after="0" w:line="480" w:lineRule="auto"/>
        <w:ind w:left="0" w:right="0" w:firstLine="720"/>
        <w:rPr>
          <w:b/>
          <w:bCs/>
        </w:rPr>
      </w:pPr>
      <w:r w:rsidRPr="00EC242A">
        <w:rPr>
          <w:b/>
          <w:bCs/>
        </w:rPr>
        <w:t>Q.</w:t>
      </w:r>
      <w:r w:rsidRPr="00EC242A">
        <w:rPr>
          <w:b/>
          <w:bCs/>
        </w:rPr>
        <w:tab/>
      </w:r>
      <w:r>
        <w:rPr>
          <w:b/>
          <w:bCs/>
        </w:rPr>
        <w:t>In the Commission’s Order 05 in Docket</w:t>
      </w:r>
      <w:r w:rsidR="00A85C2A">
        <w:rPr>
          <w:b/>
          <w:bCs/>
        </w:rPr>
        <w:t xml:space="preserve"> Nos.</w:t>
      </w:r>
      <w:r>
        <w:rPr>
          <w:b/>
          <w:bCs/>
        </w:rPr>
        <w:t xml:space="preserve"> UE-150204 and UG-150205 the Commission required the Company in the future to provide more analysis showing how it plans and prioritizes capital investments.</w:t>
      </w:r>
      <w:r>
        <w:rPr>
          <w:rStyle w:val="FootnoteReference"/>
          <w:b/>
          <w:bCs/>
        </w:rPr>
        <w:footnoteReference w:id="1"/>
      </w:r>
      <w:r>
        <w:rPr>
          <w:b/>
          <w:bCs/>
        </w:rPr>
        <w:t xml:space="preserve">  Although the Commission’s directive was focused primarily on distribution plant investment, would you please explain how Avista plans and prioritizes all of its incremental capital investments?</w:t>
      </w:r>
    </w:p>
    <w:p w:rsidR="00341166" w:rsidRDefault="00341166" w:rsidP="00341166">
      <w:pPr>
        <w:spacing w:before="0" w:after="0" w:line="480" w:lineRule="auto"/>
        <w:ind w:left="0" w:right="0" w:firstLine="720"/>
      </w:pPr>
      <w:r>
        <w:rPr>
          <w:bCs/>
        </w:rPr>
        <w:t>A.</w:t>
      </w:r>
      <w:r>
        <w:rPr>
          <w:bCs/>
        </w:rPr>
        <w:tab/>
        <w:t xml:space="preserve">Yes.  </w:t>
      </w:r>
      <w:r>
        <w:t>We are continuing to make</w:t>
      </w:r>
      <w:r w:rsidRPr="00EC242A">
        <w:t xml:space="preserve"> si</w:t>
      </w:r>
      <w:r>
        <w:t xml:space="preserve">gnificant capital investments related to </w:t>
      </w:r>
      <w:r w:rsidRPr="00EC242A">
        <w:t>electric generation, transmission and distribution facilities, natural gas distribut</w:t>
      </w:r>
      <w:r>
        <w:t>ion plant, new customer connections</w:t>
      </w:r>
      <w:r w:rsidRPr="00EC242A">
        <w:t>, environmental and regulatory requirements, information technology</w:t>
      </w:r>
      <w:r>
        <w:t>, and other supporting functions</w:t>
      </w:r>
      <w:r w:rsidRPr="00EC242A">
        <w:t xml:space="preserve"> such as fleet services and facilities.</w:t>
      </w:r>
      <w:r>
        <w:t xml:space="preserve">  The objective in all of these investments is to enable the Company to continue to provide safe, reliable service to our customers, maintain a high level of customer </w:t>
      </w:r>
      <w:r w:rsidR="00A85C2A">
        <w:t>satisfaction</w:t>
      </w:r>
      <w:r>
        <w:t>, and meet the current and future needs and expectations of our customers and other stakeholders, while at the same time being sensitive to the rate impacts to customers resulting from the investments.</w:t>
      </w:r>
    </w:p>
    <w:p w:rsidR="00341166" w:rsidRDefault="00341166" w:rsidP="00341166">
      <w:pPr>
        <w:spacing w:before="0" w:after="0" w:line="480" w:lineRule="auto"/>
        <w:ind w:left="0" w:right="0" w:firstLine="720"/>
      </w:pPr>
      <w:r>
        <w:t xml:space="preserve">In order to meet these objectives, there are a number of factors that must be balanced as we determine the appropriate level of investment each year including, but not limited to:  </w:t>
      </w:r>
      <w:r w:rsidRPr="00EC242A">
        <w:t xml:space="preserve">1) the level of investment needed to meet safety, service and reliability objectives and to further optimize our facilities; 2) the degree of overall rate pressure faced by our customers; 3) the variability of investments required for major projects; 4) unanticipated capital requirements, such as an unplanned outage on a large generating unit or significant storm affecting transmission and distribution facilities; and 5) the cost and availability of funding, </w:t>
      </w:r>
      <w:r w:rsidRPr="00EC242A">
        <w:lastRenderedPageBreak/>
        <w:t>which includes internally generated funds, terms for debt financing, and the opportunity to issue equity on reasonable terms.</w:t>
      </w:r>
    </w:p>
    <w:p w:rsidR="00341166" w:rsidRPr="00EC242A" w:rsidRDefault="00341166" w:rsidP="00341166">
      <w:pPr>
        <w:spacing w:before="0" w:after="0" w:line="480" w:lineRule="auto"/>
        <w:ind w:left="0" w:right="0" w:firstLine="720"/>
        <w:rPr>
          <w:b/>
        </w:rPr>
      </w:pPr>
      <w:r>
        <w:rPr>
          <w:b/>
        </w:rPr>
        <w:t>Q.</w:t>
      </w:r>
      <w:r>
        <w:rPr>
          <w:b/>
        </w:rPr>
        <w:tab/>
        <w:t>What have been</w:t>
      </w:r>
      <w:r w:rsidRPr="00EC242A">
        <w:rPr>
          <w:b/>
        </w:rPr>
        <w:t xml:space="preserve"> Avista’s recent capital expenditure levels</w:t>
      </w:r>
      <w:r>
        <w:rPr>
          <w:b/>
        </w:rPr>
        <w:t>,</w:t>
      </w:r>
      <w:r w:rsidRPr="00EC242A">
        <w:rPr>
          <w:b/>
        </w:rPr>
        <w:t xml:space="preserve"> and what do you exp</w:t>
      </w:r>
      <w:r>
        <w:rPr>
          <w:b/>
        </w:rPr>
        <w:t>ect them to be for the next several</w:t>
      </w:r>
      <w:r w:rsidRPr="00EC242A">
        <w:rPr>
          <w:b/>
        </w:rPr>
        <w:t xml:space="preserve"> years?</w:t>
      </w:r>
    </w:p>
    <w:p w:rsidR="00341166" w:rsidRDefault="00341166" w:rsidP="00341166">
      <w:pPr>
        <w:spacing w:before="0" w:after="0" w:line="480" w:lineRule="auto"/>
        <w:ind w:left="0" w:right="0" w:firstLine="720"/>
      </w:pPr>
      <w:r w:rsidRPr="00EC242A">
        <w:t>A.</w:t>
      </w:r>
      <w:r w:rsidRPr="00EC242A">
        <w:tab/>
        <w:t>Illustration No. 1 below summarizes the capital expenditure levels for recent years, as well as planned expenditures through 20</w:t>
      </w:r>
      <w:r w:rsidR="004627BD">
        <w:t>20</w:t>
      </w:r>
      <w:r w:rsidRPr="00EC242A">
        <w:t>.</w:t>
      </w:r>
    </w:p>
    <w:p w:rsidR="00341166" w:rsidRPr="00B70610" w:rsidRDefault="00341166" w:rsidP="00341166">
      <w:pPr>
        <w:spacing w:before="0" w:after="0" w:line="480" w:lineRule="auto"/>
        <w:ind w:left="0" w:right="0"/>
        <w:rPr>
          <w:b/>
          <w:u w:val="single"/>
        </w:rPr>
      </w:pPr>
      <w:r w:rsidRPr="00EC242A">
        <w:rPr>
          <w:b/>
          <w:u w:val="single"/>
        </w:rPr>
        <w:t>Illustration No. 1</w:t>
      </w:r>
    </w:p>
    <w:p w:rsidR="00341166" w:rsidRDefault="000A1064" w:rsidP="00F95E0B">
      <w:pPr>
        <w:spacing w:line="480" w:lineRule="auto"/>
        <w:ind w:left="0" w:right="0"/>
        <w:jc w:val="center"/>
        <w:rPr>
          <w:rStyle w:val="PageNumber"/>
          <w:b/>
          <w:u w:val="single"/>
        </w:rPr>
      </w:pPr>
      <w:r w:rsidRPr="000A1064">
        <w:rPr>
          <w:rStyle w:val="PageNumber"/>
          <w:noProof/>
        </w:rPr>
        <w:drawing>
          <wp:anchor distT="0" distB="0" distL="114300" distR="114300" simplePos="0" relativeHeight="251659264" behindDoc="1" locked="0" layoutInCell="1" allowOverlap="1" wp14:anchorId="35C553E1" wp14:editId="6E2FB5E1">
            <wp:simplePos x="0" y="0"/>
            <wp:positionH relativeFrom="page">
              <wp:posOffset>1233170</wp:posOffset>
            </wp:positionH>
            <wp:positionV relativeFrom="page">
              <wp:posOffset>3372485</wp:posOffset>
            </wp:positionV>
            <wp:extent cx="5589905" cy="3390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9905" cy="339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1166" w:rsidRPr="00983D9E" w:rsidRDefault="00341166" w:rsidP="00341166">
      <w:pPr>
        <w:spacing w:line="480" w:lineRule="auto"/>
        <w:ind w:left="0" w:right="0"/>
        <w:rPr>
          <w:rStyle w:val="PageNumber"/>
          <w:b/>
          <w:u w:val="single"/>
        </w:rPr>
      </w:pPr>
    </w:p>
    <w:p w:rsidR="00341166" w:rsidRPr="00983D9E" w:rsidRDefault="00341166" w:rsidP="00505528">
      <w:pPr>
        <w:tabs>
          <w:tab w:val="left" w:pos="4960"/>
        </w:tabs>
        <w:spacing w:line="480" w:lineRule="auto"/>
        <w:ind w:left="0" w:right="0"/>
        <w:rPr>
          <w:rStyle w:val="PageNumber"/>
          <w:b/>
          <w:u w:val="single"/>
        </w:rPr>
      </w:pPr>
    </w:p>
    <w:p w:rsidR="00341166" w:rsidRPr="00983D9E" w:rsidRDefault="00341166" w:rsidP="00341166">
      <w:pPr>
        <w:spacing w:line="480" w:lineRule="auto"/>
        <w:ind w:left="0" w:right="0"/>
        <w:rPr>
          <w:rStyle w:val="PageNumber"/>
          <w:b/>
          <w:u w:val="single"/>
        </w:rPr>
      </w:pPr>
    </w:p>
    <w:p w:rsidR="00341166" w:rsidRPr="00983D9E" w:rsidRDefault="00341166" w:rsidP="00341166">
      <w:pPr>
        <w:spacing w:line="480" w:lineRule="auto"/>
        <w:ind w:left="0" w:right="0"/>
        <w:rPr>
          <w:rStyle w:val="PageNumber"/>
          <w:b/>
          <w:highlight w:val="yellow"/>
          <w:u w:val="single"/>
        </w:rPr>
      </w:pPr>
    </w:p>
    <w:p w:rsidR="00341166" w:rsidRPr="00983D9E" w:rsidRDefault="00341166" w:rsidP="00341166">
      <w:pPr>
        <w:spacing w:line="480" w:lineRule="auto"/>
        <w:ind w:left="0" w:right="0"/>
        <w:rPr>
          <w:rStyle w:val="PageNumber"/>
          <w:b/>
          <w:highlight w:val="yellow"/>
          <w:u w:val="single"/>
        </w:rPr>
      </w:pPr>
    </w:p>
    <w:p w:rsidR="00341166" w:rsidRPr="00983D9E" w:rsidRDefault="00341166" w:rsidP="00341166">
      <w:pPr>
        <w:tabs>
          <w:tab w:val="left" w:pos="1728"/>
        </w:tabs>
        <w:spacing w:line="480" w:lineRule="auto"/>
        <w:ind w:left="0" w:right="0"/>
        <w:rPr>
          <w:rStyle w:val="PageNumber"/>
          <w:b/>
          <w:highlight w:val="yellow"/>
          <w:u w:val="single"/>
        </w:rPr>
      </w:pPr>
    </w:p>
    <w:p w:rsidR="00341166" w:rsidRDefault="00341166" w:rsidP="00341166">
      <w:pPr>
        <w:spacing w:before="0" w:after="0" w:line="480" w:lineRule="auto"/>
        <w:ind w:left="0" w:right="0" w:firstLine="720"/>
      </w:pPr>
    </w:p>
    <w:p w:rsidR="00F95E0B" w:rsidRDefault="00831AF7" w:rsidP="00341166">
      <w:pPr>
        <w:spacing w:before="0" w:after="0" w:line="480" w:lineRule="auto"/>
        <w:ind w:left="0" w:right="0" w:firstLine="720"/>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5.4pt;margin-top:3.65pt;width:439.5pt;height:57.15pt;z-index:-2516311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" stroked="f">
            <v:textbox style="mso-fit-shape-to-text:t" inset="0,0,0,0">
              <w:txbxContent>
                <w:p w:rsidR="004B7344" w:rsidRPr="00F95E0B" w:rsidRDefault="004B7344" w:rsidP="00F95E0B">
                  <w:pPr>
                    <w:pStyle w:val="Caption"/>
                    <w:rPr>
                      <w:b/>
                      <w:i w:val="0"/>
                      <w:noProof/>
                      <w:color w:val="auto"/>
                      <w:sz w:val="20"/>
                      <w:szCs w:val="20"/>
                    </w:rPr>
                  </w:pPr>
                  <w:r w:rsidRPr="00F95E0B">
                    <w:rPr>
                      <w:b/>
                      <w:i w:val="0"/>
                      <w:iCs w:val="0"/>
                      <w:noProof/>
                      <w:color w:val="auto"/>
                      <w:sz w:val="22"/>
                      <w:szCs w:val="22"/>
                    </w:rPr>
                    <w:t>*</w:t>
                  </w:r>
                  <w:r w:rsidRPr="00F95E0B">
                    <w:rPr>
                      <w:b/>
                      <w:i w:val="0"/>
                      <w:noProof/>
                      <w:color w:val="auto"/>
                      <w:sz w:val="20"/>
                      <w:szCs w:val="20"/>
                    </w:rPr>
                    <w:t xml:space="preserve"> </w:t>
                  </w:r>
                  <w:r w:rsidRPr="00F95E0B">
                    <w:rPr>
                      <w:color w:val="auto"/>
                      <w:sz w:val="20"/>
                      <w:szCs w:val="20"/>
                    </w:rPr>
                    <w:t>The relatively higher level of capital expenditure in 2015 was driven by approximately $23 million related to storm costs for the November storm</w:t>
                  </w:r>
                  <w:r>
                    <w:rPr>
                      <w:color w:val="auto"/>
                      <w:sz w:val="20"/>
                      <w:szCs w:val="20"/>
                    </w:rPr>
                    <w:t>,</w:t>
                  </w:r>
                  <w:r w:rsidRPr="00F95E0B">
                    <w:rPr>
                      <w:color w:val="auto"/>
                      <w:sz w:val="20"/>
                      <w:szCs w:val="20"/>
                    </w:rPr>
                    <w:t xml:space="preserve"> and approximately $8 million related to a renegotiation of the Coyote Springs Long Term Service Agreement, which occurred late in the year.</w:t>
                  </w:r>
                </w:p>
              </w:txbxContent>
            </v:textbox>
          </v:shape>
        </w:pict>
      </w:r>
    </w:p>
    <w:p w:rsidR="00F95E0B" w:rsidRDefault="00F95E0B" w:rsidP="00341166">
      <w:pPr>
        <w:spacing w:before="0" w:after="0" w:line="480" w:lineRule="auto"/>
        <w:ind w:left="0" w:right="0" w:firstLine="720"/>
      </w:pPr>
    </w:p>
    <w:p w:rsidR="00F95E0B" w:rsidRDefault="00F95E0B" w:rsidP="00341166">
      <w:pPr>
        <w:spacing w:before="0" w:after="0" w:line="480" w:lineRule="auto"/>
        <w:ind w:left="0" w:right="0" w:firstLine="720"/>
      </w:pPr>
    </w:p>
    <w:p w:rsidR="00341166" w:rsidRPr="00EC242A" w:rsidRDefault="00341166" w:rsidP="00341166">
      <w:pPr>
        <w:spacing w:before="0" w:after="0" w:line="480" w:lineRule="auto"/>
        <w:ind w:left="0" w:right="0" w:firstLine="720"/>
      </w:pPr>
      <w:r w:rsidRPr="00EC242A">
        <w:t>After the Company’s expected $375 million capital investments in 2016, the capital expenditure level is expected to increase to $405 million annually from 2017 through 20</w:t>
      </w:r>
      <w:r w:rsidR="004627BD">
        <w:t>20</w:t>
      </w:r>
      <w:r w:rsidRPr="00EC242A">
        <w:t>.</w:t>
      </w:r>
    </w:p>
    <w:p w:rsidR="00341166" w:rsidRPr="00EC242A" w:rsidRDefault="00341166" w:rsidP="00341166">
      <w:pPr>
        <w:autoSpaceDE/>
        <w:autoSpaceDN/>
        <w:spacing w:before="0" w:after="0" w:line="480" w:lineRule="auto"/>
        <w:ind w:right="0"/>
        <w:rPr>
          <w:b/>
          <w:bCs/>
        </w:rPr>
      </w:pPr>
      <w:r>
        <w:rPr>
          <w:b/>
          <w:bCs/>
        </w:rPr>
        <w:t>Q.</w:t>
      </w:r>
      <w:r>
        <w:rPr>
          <w:b/>
          <w:bCs/>
        </w:rPr>
        <w:tab/>
        <w:t>Why has</w:t>
      </w:r>
      <w:r w:rsidRPr="00EC242A">
        <w:rPr>
          <w:b/>
          <w:bCs/>
        </w:rPr>
        <w:t xml:space="preserve"> the Company increase</w:t>
      </w:r>
      <w:r>
        <w:rPr>
          <w:b/>
          <w:bCs/>
        </w:rPr>
        <w:t>d</w:t>
      </w:r>
      <w:r w:rsidRPr="00EC242A">
        <w:rPr>
          <w:b/>
          <w:bCs/>
        </w:rPr>
        <w:t xml:space="preserve"> the level of its capital expenditures?</w:t>
      </w:r>
    </w:p>
    <w:p w:rsidR="00341166" w:rsidRDefault="00341166" w:rsidP="00341166">
      <w:pPr>
        <w:spacing w:before="0" w:after="0" w:line="480" w:lineRule="auto"/>
        <w:ind w:left="0" w:right="0" w:firstLine="720"/>
        <w:rPr>
          <w:bCs/>
        </w:rPr>
      </w:pPr>
      <w:r w:rsidRPr="00EC242A">
        <w:rPr>
          <w:bCs/>
        </w:rPr>
        <w:lastRenderedPageBreak/>
        <w:t>A.</w:t>
      </w:r>
      <w:r w:rsidRPr="00EC242A">
        <w:rPr>
          <w:bCs/>
        </w:rPr>
        <w:tab/>
      </w:r>
      <w:r>
        <w:rPr>
          <w:bCs/>
        </w:rPr>
        <w:t xml:space="preserve">The increase in the level of capital investment in recent years is driven primarily by the </w:t>
      </w:r>
      <w:r w:rsidRPr="00EC242A">
        <w:rPr>
          <w:bCs/>
        </w:rPr>
        <w:t>business need to fund a greater portion of the departmental requests for new capital investments that</w:t>
      </w:r>
      <w:r>
        <w:rPr>
          <w:bCs/>
        </w:rPr>
        <w:t>,</w:t>
      </w:r>
      <w:r w:rsidRPr="00EC242A">
        <w:rPr>
          <w:bCs/>
        </w:rPr>
        <w:t xml:space="preserve"> in the past</w:t>
      </w:r>
      <w:r>
        <w:rPr>
          <w:bCs/>
        </w:rPr>
        <w:t>,</w:t>
      </w:r>
      <w:r w:rsidRPr="00EC242A">
        <w:rPr>
          <w:bCs/>
        </w:rPr>
        <w:t xml:space="preserve"> were unfunded</w:t>
      </w:r>
      <w:r>
        <w:rPr>
          <w:bCs/>
        </w:rPr>
        <w:t>.</w:t>
      </w:r>
    </w:p>
    <w:p w:rsidR="00341166" w:rsidRDefault="00341166" w:rsidP="006B326C">
      <w:pPr>
        <w:pStyle w:val="BodyText3"/>
        <w:spacing w:before="0" w:after="0" w:line="480" w:lineRule="auto"/>
        <w:ind w:left="0" w:right="0" w:firstLine="720"/>
        <w:rPr>
          <w:bCs/>
          <w:sz w:val="24"/>
          <w:szCs w:val="24"/>
        </w:rPr>
      </w:pPr>
      <w:r w:rsidRPr="00F25B3F">
        <w:rPr>
          <w:bCs/>
          <w:sz w:val="24"/>
          <w:szCs w:val="24"/>
        </w:rPr>
        <w:t xml:space="preserve">While there are numerous factors driving the need for </w:t>
      </w:r>
      <w:r>
        <w:rPr>
          <w:bCs/>
          <w:sz w:val="24"/>
          <w:szCs w:val="24"/>
        </w:rPr>
        <w:t xml:space="preserve">increased </w:t>
      </w:r>
      <w:r w:rsidRPr="00F25B3F">
        <w:rPr>
          <w:bCs/>
          <w:sz w:val="24"/>
          <w:szCs w:val="24"/>
        </w:rPr>
        <w:t xml:space="preserve">investment, they generally fall into six broad categories. These categories are: (1) Asset Management, (2) Compliance, (3) Improvements and Efficiencies, (4) Reliability Maintenance, (5) Resource Supply, and (6) Safety and Security. </w:t>
      </w:r>
      <w:r w:rsidR="001C687C">
        <w:rPr>
          <w:bCs/>
          <w:sz w:val="24"/>
          <w:szCs w:val="24"/>
        </w:rPr>
        <w:t xml:space="preserve"> There are </w:t>
      </w:r>
      <w:r w:rsidRPr="00F25B3F">
        <w:rPr>
          <w:bCs/>
          <w:sz w:val="24"/>
          <w:szCs w:val="24"/>
        </w:rPr>
        <w:t>o</w:t>
      </w:r>
      <w:r w:rsidR="001C687C">
        <w:rPr>
          <w:bCs/>
          <w:sz w:val="24"/>
          <w:szCs w:val="24"/>
        </w:rPr>
        <w:t>verlaps</w:t>
      </w:r>
      <w:r w:rsidRPr="00F25B3F">
        <w:rPr>
          <w:bCs/>
          <w:sz w:val="24"/>
          <w:szCs w:val="24"/>
        </w:rPr>
        <w:t xml:space="preserve"> and interdependencies </w:t>
      </w:r>
      <w:r w:rsidR="001C687C">
        <w:rPr>
          <w:bCs/>
          <w:sz w:val="24"/>
          <w:szCs w:val="24"/>
        </w:rPr>
        <w:t>among</w:t>
      </w:r>
      <w:r w:rsidRPr="00F25B3F">
        <w:rPr>
          <w:bCs/>
          <w:sz w:val="24"/>
          <w:szCs w:val="24"/>
        </w:rPr>
        <w:t xml:space="preserve"> these categories, and they are not necessarily all-encompassing. </w:t>
      </w:r>
      <w:r w:rsidR="00406B68">
        <w:rPr>
          <w:bCs/>
          <w:sz w:val="24"/>
          <w:szCs w:val="24"/>
        </w:rPr>
        <w:t xml:space="preserve"> </w:t>
      </w:r>
    </w:p>
    <w:p w:rsidR="00341166" w:rsidRPr="00F25B3F" w:rsidRDefault="00341166" w:rsidP="006B326C">
      <w:pPr>
        <w:pStyle w:val="BodyText3"/>
        <w:spacing w:before="0" w:after="0" w:line="480" w:lineRule="auto"/>
        <w:ind w:left="0" w:right="0" w:firstLine="720"/>
        <w:rPr>
          <w:bCs/>
          <w:sz w:val="24"/>
          <w:szCs w:val="24"/>
        </w:rPr>
      </w:pPr>
      <w:r>
        <w:rPr>
          <w:bCs/>
          <w:sz w:val="24"/>
          <w:szCs w:val="24"/>
        </w:rPr>
        <w:t>A brief description of each of these categories is provided below.  As other Avista witnesses present and explain the specific capital projects and capital-related programs included in this general rate case filing, they will provide additional details on the specific purpose and objectives of the capital investment</w:t>
      </w:r>
      <w:r w:rsidR="00071414">
        <w:rPr>
          <w:bCs/>
          <w:sz w:val="24"/>
          <w:szCs w:val="24"/>
        </w:rPr>
        <w:t>s</w:t>
      </w:r>
      <w:r>
        <w:rPr>
          <w:bCs/>
          <w:sz w:val="24"/>
          <w:szCs w:val="24"/>
        </w:rPr>
        <w:t>.</w:t>
      </w:r>
    </w:p>
    <w:p w:rsidR="00341166" w:rsidRDefault="00341166" w:rsidP="00341166">
      <w:pPr>
        <w:spacing w:before="0" w:after="0"/>
        <w:ind w:right="0"/>
      </w:pPr>
      <w:r w:rsidRPr="00F25B3F">
        <w:rPr>
          <w:b/>
          <w:bCs/>
        </w:rPr>
        <w:t>Asset Management</w:t>
      </w:r>
      <w:r>
        <w:rPr>
          <w:b/>
          <w:bCs/>
        </w:rPr>
        <w:t xml:space="preserve">:  </w:t>
      </w:r>
      <w:r w:rsidRPr="00682EFF">
        <w:rPr>
          <w:bCs/>
        </w:rPr>
        <w:t>In many instances we have what we refer to as asset management plans, which are designed to determine the efficient life cycle of the assets.  These asset management plans assess the useful life of the particular assets and the appropriate time to replace the assets, balanced against the operations and maintenance costs associated with maintaining assets that are toward the end of their useful life.  These asset management plans allow the Company to systematically replace the assets over time in a manner that optimizes the value of the assets, while still maintaining reliable service to customers.</w:t>
      </w:r>
      <w:r>
        <w:rPr>
          <w:bCs/>
        </w:rPr>
        <w:t xml:space="preserve">  There are </w:t>
      </w:r>
      <w:r w:rsidRPr="00F25B3F">
        <w:rPr>
          <w:bCs/>
        </w:rPr>
        <w:t>a number of programs within electric distribution, substation, and transmission operations that require programmatic annual proactive maintenance investment in order to maximize the lifetime value of the associated assets.</w:t>
      </w:r>
      <w:r>
        <w:rPr>
          <w:bCs/>
        </w:rPr>
        <w:t xml:space="preserve">  </w:t>
      </w:r>
      <w:r>
        <w:t>Specific a</w:t>
      </w:r>
      <w:r w:rsidRPr="00EC242A">
        <w:t xml:space="preserve">sset management programs and projects include wood pole management, Aldyl-A pipe replacement, transmission line rebuilds, and substation equipment replacements and rebuilds.  </w:t>
      </w:r>
    </w:p>
    <w:p w:rsidR="00341166" w:rsidRDefault="00341166" w:rsidP="00341166">
      <w:pPr>
        <w:pStyle w:val="BodyText3"/>
        <w:spacing w:before="0" w:after="0"/>
        <w:rPr>
          <w:bCs/>
          <w:sz w:val="24"/>
          <w:szCs w:val="24"/>
        </w:rPr>
      </w:pPr>
    </w:p>
    <w:p w:rsidR="00341166" w:rsidRDefault="00341166" w:rsidP="007A6682">
      <w:pPr>
        <w:pStyle w:val="BodyText3"/>
        <w:spacing w:before="0" w:after="0"/>
        <w:ind w:right="0"/>
        <w:rPr>
          <w:bCs/>
          <w:sz w:val="24"/>
          <w:szCs w:val="24"/>
        </w:rPr>
      </w:pPr>
      <w:r>
        <w:rPr>
          <w:b/>
          <w:bCs/>
          <w:sz w:val="24"/>
          <w:szCs w:val="24"/>
        </w:rPr>
        <w:t xml:space="preserve">Compliance:  </w:t>
      </w:r>
      <w:r w:rsidRPr="00F25B3F">
        <w:rPr>
          <w:bCs/>
          <w:sz w:val="24"/>
          <w:szCs w:val="24"/>
        </w:rPr>
        <w:t xml:space="preserve">The </w:t>
      </w:r>
      <w:r>
        <w:rPr>
          <w:bCs/>
          <w:sz w:val="24"/>
          <w:szCs w:val="24"/>
        </w:rPr>
        <w:t>c</w:t>
      </w:r>
      <w:r w:rsidRPr="00287EC4">
        <w:rPr>
          <w:bCs/>
          <w:sz w:val="24"/>
          <w:szCs w:val="24"/>
        </w:rPr>
        <w:t>ompliance</w:t>
      </w:r>
      <w:r w:rsidRPr="00F25B3F">
        <w:rPr>
          <w:bCs/>
          <w:sz w:val="24"/>
          <w:szCs w:val="24"/>
        </w:rPr>
        <w:t xml:space="preserve"> category is related to mandates from state and federal governments and regulators, including, but not limited to FERC requirements; NERC requirements; PHMSA requirements; requirements under franchise and right-of-way agreements with WSDOT, cities, and counties; and environmental regulations; among other</w:t>
      </w:r>
      <w:r>
        <w:rPr>
          <w:bCs/>
          <w:sz w:val="24"/>
          <w:szCs w:val="24"/>
        </w:rPr>
        <w:t>s. Additionally, this</w:t>
      </w:r>
      <w:r w:rsidRPr="00F25B3F">
        <w:rPr>
          <w:bCs/>
          <w:sz w:val="24"/>
          <w:szCs w:val="24"/>
        </w:rPr>
        <w:t xml:space="preserve"> category in</w:t>
      </w:r>
      <w:r>
        <w:rPr>
          <w:bCs/>
          <w:sz w:val="24"/>
          <w:szCs w:val="24"/>
        </w:rPr>
        <w:t>cludes the Company’s compliance</w:t>
      </w:r>
      <w:r w:rsidRPr="00F25B3F">
        <w:rPr>
          <w:bCs/>
          <w:sz w:val="24"/>
          <w:szCs w:val="24"/>
        </w:rPr>
        <w:t xml:space="preserve"> with contractual agreements.</w:t>
      </w:r>
    </w:p>
    <w:p w:rsidR="00341166" w:rsidRPr="00287EC4" w:rsidRDefault="00341166" w:rsidP="00341166">
      <w:pPr>
        <w:pStyle w:val="BodyText3"/>
        <w:spacing w:before="0" w:after="0"/>
        <w:rPr>
          <w:b/>
          <w:bCs/>
          <w:sz w:val="24"/>
          <w:szCs w:val="24"/>
        </w:rPr>
      </w:pPr>
    </w:p>
    <w:p w:rsidR="00341166" w:rsidRDefault="00341166" w:rsidP="007A6682">
      <w:pPr>
        <w:pStyle w:val="BodyText3"/>
        <w:spacing w:before="0" w:after="0"/>
        <w:ind w:right="0"/>
        <w:rPr>
          <w:bCs/>
          <w:sz w:val="24"/>
          <w:szCs w:val="24"/>
        </w:rPr>
      </w:pPr>
      <w:r w:rsidRPr="00F25B3F">
        <w:rPr>
          <w:b/>
          <w:bCs/>
          <w:sz w:val="24"/>
          <w:szCs w:val="24"/>
        </w:rPr>
        <w:lastRenderedPageBreak/>
        <w:t>Improvements and Efficiencies</w:t>
      </w:r>
      <w:r>
        <w:rPr>
          <w:b/>
          <w:bCs/>
          <w:sz w:val="24"/>
          <w:szCs w:val="24"/>
        </w:rPr>
        <w:t>:</w:t>
      </w:r>
      <w:r w:rsidRPr="00F25B3F">
        <w:rPr>
          <w:bCs/>
          <w:sz w:val="24"/>
          <w:szCs w:val="24"/>
        </w:rPr>
        <w:t xml:space="preserve"> </w:t>
      </w:r>
      <w:r>
        <w:rPr>
          <w:bCs/>
          <w:sz w:val="24"/>
          <w:szCs w:val="24"/>
        </w:rPr>
        <w:t xml:space="preserve"> This </w:t>
      </w:r>
      <w:r w:rsidRPr="00F25B3F">
        <w:rPr>
          <w:bCs/>
          <w:sz w:val="24"/>
          <w:szCs w:val="24"/>
        </w:rPr>
        <w:t xml:space="preserve">category is related to keeping pace with technological innovation, the identification of process improvements or efficiency gains, and other opportunities to improve the Company’s operating assets. For example, </w:t>
      </w:r>
      <w:r>
        <w:rPr>
          <w:bCs/>
          <w:sz w:val="24"/>
          <w:szCs w:val="24"/>
        </w:rPr>
        <w:t>as technology has evolved</w:t>
      </w:r>
      <w:r w:rsidR="00071414">
        <w:rPr>
          <w:bCs/>
          <w:sz w:val="24"/>
          <w:szCs w:val="24"/>
        </w:rPr>
        <w:t>,</w:t>
      </w:r>
      <w:r w:rsidRPr="00F25B3F">
        <w:rPr>
          <w:bCs/>
          <w:sz w:val="24"/>
          <w:szCs w:val="24"/>
        </w:rPr>
        <w:t xml:space="preserve"> our customers have grown to expect new functionality from our customer-facing technology assets (e.g., increased website functionality, </w:t>
      </w:r>
      <w:r w:rsidR="00071414">
        <w:rPr>
          <w:bCs/>
          <w:sz w:val="24"/>
          <w:szCs w:val="24"/>
        </w:rPr>
        <w:t xml:space="preserve">and </w:t>
      </w:r>
      <w:r w:rsidRPr="00F25B3F">
        <w:rPr>
          <w:bCs/>
          <w:sz w:val="24"/>
          <w:szCs w:val="24"/>
        </w:rPr>
        <w:t>m</w:t>
      </w:r>
      <w:r>
        <w:rPr>
          <w:bCs/>
          <w:sz w:val="24"/>
          <w:szCs w:val="24"/>
        </w:rPr>
        <w:t>obile-friendly interaction</w:t>
      </w:r>
      <w:r w:rsidRPr="00F25B3F">
        <w:rPr>
          <w:bCs/>
          <w:sz w:val="24"/>
          <w:szCs w:val="24"/>
        </w:rPr>
        <w:t xml:space="preserve">). </w:t>
      </w:r>
    </w:p>
    <w:p w:rsidR="00341166" w:rsidRPr="00F25B3F" w:rsidRDefault="00341166" w:rsidP="00341166">
      <w:pPr>
        <w:pStyle w:val="BodyText3"/>
        <w:spacing w:before="0" w:after="0"/>
        <w:rPr>
          <w:bCs/>
          <w:sz w:val="24"/>
          <w:szCs w:val="24"/>
        </w:rPr>
      </w:pPr>
    </w:p>
    <w:p w:rsidR="00341166" w:rsidRDefault="00341166" w:rsidP="007A6682">
      <w:pPr>
        <w:pStyle w:val="BodyText3"/>
        <w:spacing w:before="0" w:after="0"/>
        <w:ind w:right="0"/>
        <w:rPr>
          <w:bCs/>
          <w:sz w:val="24"/>
          <w:szCs w:val="24"/>
        </w:rPr>
      </w:pPr>
      <w:r w:rsidRPr="00F25B3F">
        <w:rPr>
          <w:b/>
          <w:bCs/>
          <w:sz w:val="24"/>
          <w:szCs w:val="24"/>
        </w:rPr>
        <w:t>Reliability Maintenance</w:t>
      </w:r>
      <w:r>
        <w:rPr>
          <w:b/>
          <w:bCs/>
          <w:sz w:val="24"/>
          <w:szCs w:val="24"/>
        </w:rPr>
        <w:t xml:space="preserve">:  </w:t>
      </w:r>
      <w:r w:rsidRPr="00A42D7B">
        <w:rPr>
          <w:bCs/>
          <w:sz w:val="24"/>
          <w:szCs w:val="24"/>
        </w:rPr>
        <w:t>This category</w:t>
      </w:r>
      <w:r w:rsidRPr="00F25B3F">
        <w:rPr>
          <w:bCs/>
          <w:sz w:val="24"/>
          <w:szCs w:val="24"/>
        </w:rPr>
        <w:t xml:space="preserve"> represents the backbone of Avista’s ability to meet its obligation to serve all customers with safe, reliable service. As discussed by Company Witness Scott Morris, we believe the current reliability of our system is satisfactory and is meeting the needs and expectations of our customers and other stakeholders. However, in order to maintain this level of reliability, continued capital investment is necessary, given that both new and existing assets deteriorate over time and require replacement. Without responsibly working to maintain our plant in service over time, we cannot continue to maintain our reliability levels.</w:t>
      </w:r>
    </w:p>
    <w:p w:rsidR="00341166" w:rsidRPr="00F25B3F" w:rsidRDefault="00341166" w:rsidP="00341166">
      <w:pPr>
        <w:pStyle w:val="BodyText3"/>
        <w:spacing w:before="0" w:after="0"/>
        <w:rPr>
          <w:bCs/>
          <w:sz w:val="24"/>
          <w:szCs w:val="24"/>
        </w:rPr>
      </w:pPr>
    </w:p>
    <w:p w:rsidR="00341166" w:rsidRDefault="00341166" w:rsidP="007A6682">
      <w:pPr>
        <w:pStyle w:val="BodyText3"/>
        <w:spacing w:before="0" w:after="0"/>
        <w:ind w:right="0"/>
        <w:rPr>
          <w:bCs/>
          <w:sz w:val="24"/>
          <w:szCs w:val="24"/>
        </w:rPr>
      </w:pPr>
      <w:r w:rsidRPr="00F25B3F">
        <w:rPr>
          <w:b/>
          <w:bCs/>
          <w:sz w:val="24"/>
          <w:szCs w:val="24"/>
        </w:rPr>
        <w:t>Resource Supply</w:t>
      </w:r>
      <w:r>
        <w:rPr>
          <w:bCs/>
          <w:sz w:val="24"/>
          <w:szCs w:val="24"/>
        </w:rPr>
        <w:t>:</w:t>
      </w:r>
      <w:r w:rsidRPr="00F25B3F">
        <w:rPr>
          <w:bCs/>
          <w:sz w:val="24"/>
          <w:szCs w:val="24"/>
        </w:rPr>
        <w:t xml:space="preserve"> </w:t>
      </w:r>
      <w:r>
        <w:rPr>
          <w:bCs/>
          <w:sz w:val="24"/>
          <w:szCs w:val="24"/>
        </w:rPr>
        <w:t xml:space="preserve"> </w:t>
      </w:r>
      <w:r w:rsidRPr="00F25B3F">
        <w:rPr>
          <w:bCs/>
          <w:sz w:val="24"/>
          <w:szCs w:val="24"/>
        </w:rPr>
        <w:t>Avista’s ability to serve its customers is only as effective as its ability to generate and procure energy resources. As discussed by Company Witness Scott Kinney, Avista’s 2015 Electric Integrated Resource Plan shows forecasted annual energy deficits and sustained annual capacity deficits beginning in the next 10 years. In light of this fact, it is critical that the Company continue to invest in maintaining its current generating assets, along with planning to meet future resource needs with both supply-side and demand-side resources.</w:t>
      </w:r>
    </w:p>
    <w:p w:rsidR="00341166" w:rsidRPr="00F25B3F" w:rsidRDefault="00341166" w:rsidP="00341166">
      <w:pPr>
        <w:pStyle w:val="BodyText3"/>
        <w:spacing w:before="0" w:after="0"/>
        <w:rPr>
          <w:bCs/>
          <w:sz w:val="24"/>
          <w:szCs w:val="24"/>
        </w:rPr>
      </w:pPr>
    </w:p>
    <w:p w:rsidR="00341166" w:rsidRDefault="00341166" w:rsidP="007A6682">
      <w:pPr>
        <w:pStyle w:val="BodyText3"/>
        <w:spacing w:before="0" w:after="0"/>
        <w:ind w:right="0"/>
        <w:rPr>
          <w:bCs/>
          <w:sz w:val="24"/>
          <w:szCs w:val="24"/>
        </w:rPr>
      </w:pPr>
      <w:r w:rsidRPr="00F25B3F">
        <w:rPr>
          <w:b/>
          <w:bCs/>
          <w:sz w:val="24"/>
          <w:szCs w:val="24"/>
        </w:rPr>
        <w:t>Safety and Security</w:t>
      </w:r>
      <w:r>
        <w:rPr>
          <w:b/>
          <w:bCs/>
          <w:sz w:val="24"/>
          <w:szCs w:val="24"/>
        </w:rPr>
        <w:t>:</w:t>
      </w:r>
      <w:r>
        <w:rPr>
          <w:bCs/>
          <w:sz w:val="24"/>
          <w:szCs w:val="24"/>
        </w:rPr>
        <w:t xml:space="preserve">  This category of investment</w:t>
      </w:r>
      <w:r w:rsidRPr="00F25B3F">
        <w:rPr>
          <w:bCs/>
          <w:sz w:val="24"/>
          <w:szCs w:val="24"/>
        </w:rPr>
        <w:t xml:space="preserve"> includes security considerations driven by threats to Avista’s operations, both cyber and physical. As cybersecurity risks grow,</w:t>
      </w:r>
      <w:r w:rsidRPr="00F25B3F">
        <w:rPr>
          <w:rStyle w:val="FootnoteReference"/>
          <w:bCs/>
          <w:sz w:val="24"/>
          <w:szCs w:val="24"/>
        </w:rPr>
        <w:footnoteReference w:id="2"/>
      </w:r>
      <w:r w:rsidRPr="00F25B3F">
        <w:rPr>
          <w:bCs/>
          <w:sz w:val="24"/>
          <w:szCs w:val="24"/>
        </w:rPr>
        <w:t xml:space="preserve"> continued investment is required to respond to these risks. Additionally, as evidenced by the Metcalf sniper attack on a PG&amp;E substation, physical security risks also exist, requiring investment to improve physical security. Aside from security considerations, safety considerations are also important factors in investment decisions and must be continual</w:t>
      </w:r>
      <w:r>
        <w:rPr>
          <w:bCs/>
          <w:sz w:val="24"/>
          <w:szCs w:val="24"/>
        </w:rPr>
        <w:t>ly evaluated to ensure that</w:t>
      </w:r>
      <w:r w:rsidRPr="00F25B3F">
        <w:rPr>
          <w:bCs/>
          <w:sz w:val="24"/>
          <w:szCs w:val="24"/>
        </w:rPr>
        <w:t xml:space="preserve"> customers</w:t>
      </w:r>
      <w:r>
        <w:rPr>
          <w:bCs/>
          <w:sz w:val="24"/>
          <w:szCs w:val="24"/>
        </w:rPr>
        <w:t>,</w:t>
      </w:r>
      <w:r w:rsidRPr="00F25B3F">
        <w:rPr>
          <w:bCs/>
          <w:sz w:val="24"/>
          <w:szCs w:val="24"/>
        </w:rPr>
        <w:t xml:space="preserve"> the public at large</w:t>
      </w:r>
      <w:r>
        <w:rPr>
          <w:bCs/>
          <w:sz w:val="24"/>
          <w:szCs w:val="24"/>
        </w:rPr>
        <w:t>, as well as Avista’s employees</w:t>
      </w:r>
      <w:r w:rsidRPr="00F25B3F">
        <w:rPr>
          <w:bCs/>
          <w:sz w:val="24"/>
          <w:szCs w:val="24"/>
        </w:rPr>
        <w:t xml:space="preserve"> remain safe.</w:t>
      </w:r>
    </w:p>
    <w:p w:rsidR="00341166" w:rsidRPr="00F25B3F" w:rsidRDefault="00341166" w:rsidP="00FA043B">
      <w:pPr>
        <w:pStyle w:val="BodyText3"/>
        <w:ind w:left="0" w:right="18" w:firstLine="720"/>
        <w:rPr>
          <w:bCs/>
          <w:sz w:val="24"/>
          <w:szCs w:val="24"/>
        </w:rPr>
      </w:pPr>
    </w:p>
    <w:p w:rsidR="00341166" w:rsidRPr="00F25B3F" w:rsidRDefault="00341166" w:rsidP="00FA043B">
      <w:pPr>
        <w:pStyle w:val="BodyText3"/>
        <w:spacing w:before="0" w:after="0" w:line="480" w:lineRule="auto"/>
        <w:ind w:left="0" w:right="18" w:firstLine="720"/>
        <w:rPr>
          <w:b/>
          <w:sz w:val="24"/>
          <w:szCs w:val="24"/>
        </w:rPr>
      </w:pPr>
      <w:r>
        <w:rPr>
          <w:b/>
          <w:sz w:val="24"/>
          <w:szCs w:val="24"/>
        </w:rPr>
        <w:t>Q.</w:t>
      </w:r>
      <w:r>
        <w:rPr>
          <w:b/>
          <w:sz w:val="24"/>
          <w:szCs w:val="24"/>
        </w:rPr>
        <w:tab/>
        <w:t>How do these categories</w:t>
      </w:r>
      <w:r w:rsidRPr="00F25B3F">
        <w:rPr>
          <w:b/>
          <w:sz w:val="24"/>
          <w:szCs w:val="24"/>
        </w:rPr>
        <w:t xml:space="preserve"> </w:t>
      </w:r>
      <w:r w:rsidR="00FA043B">
        <w:rPr>
          <w:b/>
          <w:sz w:val="24"/>
          <w:szCs w:val="24"/>
        </w:rPr>
        <w:t>ultimately translate into plant i</w:t>
      </w:r>
      <w:r w:rsidRPr="00F25B3F">
        <w:rPr>
          <w:b/>
          <w:sz w:val="24"/>
          <w:szCs w:val="24"/>
        </w:rPr>
        <w:t xml:space="preserve">nvestment? </w:t>
      </w:r>
    </w:p>
    <w:p w:rsidR="00D205B0" w:rsidRDefault="00341166" w:rsidP="00D205B0">
      <w:pPr>
        <w:spacing w:before="0" w:after="0" w:line="480" w:lineRule="auto"/>
        <w:ind w:left="0" w:right="14" w:firstLine="720"/>
      </w:pPr>
      <w:r w:rsidRPr="007E0965">
        <w:t xml:space="preserve">A. </w:t>
      </w:r>
      <w:r w:rsidRPr="007E0965">
        <w:tab/>
      </w:r>
      <w:r>
        <w:t>As Mr. Morris briefly explained in his testimony, e</w:t>
      </w:r>
      <w:r w:rsidRPr="007E0965">
        <w:t xml:space="preserve">ach year the departments across the Company assess the near-term needs to maintain and upgrade the utility infrastructure and technology necessary to continue to provide safe, reliable service to customers, as well as maintain a high level of customer satisfaction.  </w:t>
      </w:r>
      <w:r w:rsidR="00D205B0">
        <w:t xml:space="preserve">The departments </w:t>
      </w:r>
      <w:r w:rsidR="00D205B0">
        <w:lastRenderedPageBreak/>
        <w:t xml:space="preserve">develop business cases for specific projects and programs that explain and support the need for the capital investment.  These business cases are submitted to a Capital Planning Group that meets on a regular basis to review and prioritize all proposed utility capital investment projects.  </w:t>
      </w:r>
    </w:p>
    <w:p w:rsidR="00D205B0" w:rsidRDefault="00D205B0" w:rsidP="00D205B0">
      <w:pPr>
        <w:spacing w:before="0" w:after="0" w:line="480" w:lineRule="auto"/>
        <w:ind w:left="0" w:right="14" w:firstLine="720"/>
      </w:pPr>
      <w:r>
        <w:t>After taking into consideration a number of factors, senior management of Avista establishes a proposed capital budget amount for each year of the next five years, which is presented to the Finance Committee of the Board of Directors</w:t>
      </w:r>
      <w:r>
        <w:rPr>
          <w:rStyle w:val="FootnoteReference"/>
        </w:rPr>
        <w:footnoteReference w:id="3"/>
      </w:r>
      <w:r>
        <w:t>.  These factors include, but are not limited to, the total capital investment requests of the departments submitted to the Capital Planning Group, the urgency of the projects, the opportunities and risks associated with delaying the projects to a later date, and the overall bill impact to customers associated with the annual capital budgets ultimately approved.  These five-year capital budget amounts are revisited each year to ensure that capital dollars are dedicated to the highest priority projects.</w:t>
      </w:r>
    </w:p>
    <w:p w:rsidR="00D205B0" w:rsidRDefault="00D205B0" w:rsidP="00D205B0">
      <w:pPr>
        <w:spacing w:before="0" w:after="0" w:line="480" w:lineRule="auto"/>
        <w:ind w:left="0" w:right="18" w:firstLine="720"/>
      </w:pPr>
      <w:r>
        <w:t>In recent years Avista has chosen to not fund all of the capital investment projects proposed by the various departments in the Company, driven, in part, by the Company’s desire to mitigate the retail rate impacts to customers.  The decision to delay funding certain projects is made only in cases where the Company believes the amount of risk associated with the delay is reasonable and prudent.</w:t>
      </w:r>
    </w:p>
    <w:p w:rsidR="00D205B0" w:rsidRDefault="00D205B0" w:rsidP="00D205B0">
      <w:pPr>
        <w:spacing w:before="0" w:after="0" w:line="480" w:lineRule="auto"/>
        <w:ind w:left="0" w:right="0" w:firstLine="720"/>
      </w:pPr>
      <w:r>
        <w:t xml:space="preserve">As a result of this constrained capital spend level, capital projects must be prioritized so that the dollars flow where they are most needed.  As unexpected, high-priority capital projects arise, the capital projects for the year must be reprioritized to limit the total spend to the amount established by the Company and approved by the Finance Committee of the </w:t>
      </w:r>
      <w:r>
        <w:lastRenderedPageBreak/>
        <w:t>Board.  This can cause some projects to be delayed so that higher-priority projects can be completed.</w:t>
      </w:r>
      <w:r w:rsidR="00341166">
        <w:rPr>
          <w:rStyle w:val="FootnoteReference"/>
        </w:rPr>
        <w:footnoteReference w:id="4"/>
      </w:r>
    </w:p>
    <w:p w:rsidR="00D205B0" w:rsidRDefault="00D205B0" w:rsidP="00D205B0">
      <w:pPr>
        <w:spacing w:before="0" w:after="0" w:line="480" w:lineRule="auto"/>
        <w:ind w:left="0" w:right="0" w:firstLine="720"/>
      </w:pPr>
      <w:r>
        <w:t>In addition, some scheduled capital projects will encounter unexpected delays due to such things as permitting issues, delays in receipt of materials and equipment, etc.  A delay in one project may allow another project to be accelerated in time as part of managing the availability of our workforce and to continue to make progress on projects next in the “queue” that need to be done.  This reprioritization occurs within the Capital Planning Group, which is charged with ensuring that the total capital spend for the year stays within the limit approved by the Finance Committee of the Board.</w:t>
      </w:r>
      <w:r>
        <w:rPr>
          <w:rStyle w:val="FootnoteReference"/>
        </w:rPr>
        <w:footnoteReference w:id="5"/>
      </w:r>
    </w:p>
    <w:p w:rsidR="00094148" w:rsidRPr="00094148" w:rsidRDefault="00341166" w:rsidP="00094148">
      <w:pPr>
        <w:pStyle w:val="BodyText3"/>
        <w:spacing w:before="0" w:after="0" w:line="480" w:lineRule="auto"/>
        <w:ind w:left="0" w:right="0" w:firstLine="720"/>
        <w:rPr>
          <w:sz w:val="24"/>
          <w:szCs w:val="24"/>
        </w:rPr>
      </w:pPr>
      <w:r w:rsidRPr="00F25B3F">
        <w:rPr>
          <w:sz w:val="24"/>
          <w:szCs w:val="24"/>
        </w:rPr>
        <w:t>The following illustration provides a graphica</w:t>
      </w:r>
      <w:r>
        <w:rPr>
          <w:sz w:val="24"/>
          <w:szCs w:val="24"/>
        </w:rPr>
        <w:t>l representation of how the Company develops and prioritizes its capital investments</w:t>
      </w:r>
      <w:r w:rsidRPr="00F25B3F">
        <w:rPr>
          <w:sz w:val="24"/>
          <w:szCs w:val="24"/>
        </w:rPr>
        <w:t>.</w:t>
      </w:r>
      <w:r w:rsidR="00094148">
        <w:rPr>
          <w:sz w:val="24"/>
          <w:szCs w:val="24"/>
        </w:rPr>
        <w:br w:type="page"/>
      </w:r>
    </w:p>
    <w:p w:rsidR="00341166" w:rsidRPr="001A7203" w:rsidRDefault="00341166" w:rsidP="0058626F">
      <w:pPr>
        <w:pStyle w:val="BodyText3"/>
        <w:tabs>
          <w:tab w:val="num" w:pos="0"/>
        </w:tabs>
        <w:spacing w:line="480" w:lineRule="auto"/>
        <w:ind w:left="0"/>
        <w:rPr>
          <w:sz w:val="24"/>
          <w:szCs w:val="24"/>
        </w:rPr>
      </w:pPr>
      <w:r w:rsidRPr="001A7203">
        <w:rPr>
          <w:b/>
          <w:sz w:val="24"/>
          <w:szCs w:val="24"/>
          <w:u w:val="single"/>
        </w:rPr>
        <w:lastRenderedPageBreak/>
        <w:t xml:space="preserve">Illustration No. </w:t>
      </w:r>
      <w:r w:rsidR="00F728B0">
        <w:rPr>
          <w:b/>
          <w:sz w:val="24"/>
          <w:szCs w:val="24"/>
          <w:u w:val="single"/>
        </w:rPr>
        <w:t>2</w:t>
      </w:r>
      <w:r w:rsidRPr="001A7203">
        <w:rPr>
          <w:b/>
          <w:sz w:val="24"/>
          <w:szCs w:val="24"/>
          <w:u w:val="single"/>
        </w:rPr>
        <w:t>:</w:t>
      </w:r>
    </w:p>
    <w:p w:rsidR="00341166" w:rsidRPr="00926506" w:rsidRDefault="00FB58CE" w:rsidP="00FB58CE">
      <w:pPr>
        <w:pStyle w:val="BodyText3"/>
        <w:tabs>
          <w:tab w:val="num" w:pos="0"/>
        </w:tabs>
        <w:spacing w:line="480" w:lineRule="auto"/>
        <w:ind w:left="0"/>
        <w:rPr>
          <w:bCs/>
        </w:rPr>
      </w:pPr>
      <w:r w:rsidRPr="00FB58CE">
        <w:rPr>
          <w:noProof/>
        </w:rPr>
        <w:drawing>
          <wp:anchor distT="0" distB="0" distL="114300" distR="114300" simplePos="0" relativeHeight="251680256" behindDoc="0" locked="1" layoutInCell="1" allowOverlap="1">
            <wp:simplePos x="0" y="0"/>
            <wp:positionH relativeFrom="column">
              <wp:posOffset>4445</wp:posOffset>
            </wp:positionH>
            <wp:positionV relativeFrom="paragraph">
              <wp:posOffset>-194310</wp:posOffset>
            </wp:positionV>
            <wp:extent cx="6008370" cy="3691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8370" cy="369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1166" w:rsidRDefault="00341166" w:rsidP="00341166">
      <w:pPr>
        <w:autoSpaceDE/>
        <w:autoSpaceDN/>
        <w:spacing w:line="480" w:lineRule="auto"/>
        <w:rPr>
          <w:b/>
          <w:bCs/>
          <w:u w:val="single"/>
        </w:rPr>
      </w:pPr>
    </w:p>
    <w:p w:rsidR="00341166" w:rsidRDefault="00341166"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341166" w:rsidRDefault="00341166" w:rsidP="00341166">
      <w:pPr>
        <w:autoSpaceDE/>
        <w:autoSpaceDN/>
        <w:spacing w:line="480" w:lineRule="auto"/>
        <w:ind w:left="0"/>
        <w:rPr>
          <w:b/>
          <w:bCs/>
          <w:u w:val="single"/>
        </w:rPr>
      </w:pPr>
    </w:p>
    <w:p w:rsidR="002734DE" w:rsidRDefault="002734DE" w:rsidP="00341166">
      <w:pPr>
        <w:autoSpaceDE/>
        <w:autoSpaceDN/>
        <w:spacing w:line="480" w:lineRule="auto"/>
        <w:ind w:left="0"/>
        <w:rPr>
          <w:b/>
          <w:bCs/>
          <w:u w:val="single"/>
        </w:rPr>
      </w:pPr>
    </w:p>
    <w:p w:rsidR="00A85C2A" w:rsidRPr="003E691A" w:rsidRDefault="00A85C2A" w:rsidP="007A6682">
      <w:pPr>
        <w:spacing w:after="0" w:line="480" w:lineRule="auto"/>
        <w:ind w:left="0" w:right="0" w:firstLine="720"/>
        <w:rPr>
          <w:b/>
        </w:rPr>
      </w:pPr>
      <w:r w:rsidRPr="003E691A">
        <w:rPr>
          <w:b/>
        </w:rPr>
        <w:t>Q.</w:t>
      </w:r>
      <w:r w:rsidRPr="003E691A">
        <w:rPr>
          <w:b/>
        </w:rPr>
        <w:tab/>
      </w:r>
      <w:r>
        <w:rPr>
          <w:b/>
        </w:rPr>
        <w:t xml:space="preserve">How has the </w:t>
      </w:r>
      <w:r w:rsidRPr="00076875">
        <w:rPr>
          <w:b/>
          <w:u w:val="single"/>
        </w:rPr>
        <w:t>historical</w:t>
      </w:r>
      <w:r w:rsidRPr="003E691A">
        <w:rPr>
          <w:b/>
        </w:rPr>
        <w:t xml:space="preserve"> </w:t>
      </w:r>
      <w:r>
        <w:rPr>
          <w:b/>
        </w:rPr>
        <w:t xml:space="preserve">level </w:t>
      </w:r>
      <w:r w:rsidRPr="003E691A">
        <w:rPr>
          <w:b/>
        </w:rPr>
        <w:t xml:space="preserve">of annual capital </w:t>
      </w:r>
      <w:r w:rsidRPr="00076875">
        <w:rPr>
          <w:b/>
        </w:rPr>
        <w:t>spending</w:t>
      </w:r>
      <w:r w:rsidRPr="003E691A">
        <w:rPr>
          <w:b/>
        </w:rPr>
        <w:t xml:space="preserve"> for Avista</w:t>
      </w:r>
      <w:r>
        <w:rPr>
          <w:b/>
        </w:rPr>
        <w:t xml:space="preserve"> compared with the </w:t>
      </w:r>
      <w:r w:rsidRPr="00076875">
        <w:rPr>
          <w:b/>
          <w:u w:val="single"/>
        </w:rPr>
        <w:t>planned</w:t>
      </w:r>
      <w:r>
        <w:rPr>
          <w:b/>
        </w:rPr>
        <w:t xml:space="preserve"> level</w:t>
      </w:r>
      <w:r w:rsidRPr="003E691A">
        <w:rPr>
          <w:b/>
        </w:rPr>
        <w:t>?</w:t>
      </w:r>
    </w:p>
    <w:p w:rsidR="00094148" w:rsidRPr="00094148" w:rsidRDefault="00A85C2A" w:rsidP="00094148">
      <w:pPr>
        <w:spacing w:before="0" w:after="0" w:line="480" w:lineRule="auto"/>
        <w:ind w:left="0" w:right="0" w:firstLine="720"/>
        <w:rPr>
          <w:b/>
          <w:highlight w:val="yellow"/>
        </w:rPr>
      </w:pPr>
      <w:r w:rsidRPr="003E691A">
        <w:t>A.</w:t>
      </w:r>
      <w:r w:rsidRPr="003E691A">
        <w:tab/>
        <w:t xml:space="preserve">The actual and planned capital spending for the utility for the years 2006 through 2015 are shown in Table No. 1 below. </w:t>
      </w:r>
      <w:r w:rsidR="00406B68">
        <w:t xml:space="preserve"> </w:t>
      </w:r>
      <w:r w:rsidRPr="003E691A">
        <w:t xml:space="preserve">The table shows that actual capital spending has been </w:t>
      </w:r>
      <w:r w:rsidRPr="00B51668">
        <w:t xml:space="preserve">very close to the planned spending on a consistent basis. </w:t>
      </w:r>
      <w:r w:rsidR="00406B68">
        <w:t xml:space="preserve"> </w:t>
      </w:r>
      <w:r w:rsidRPr="00B51668">
        <w:t xml:space="preserve">The nine-year average of </w:t>
      </w:r>
      <w:r w:rsidRPr="00B51668">
        <w:rPr>
          <w:u w:val="single"/>
        </w:rPr>
        <w:t>actual</w:t>
      </w:r>
      <w:r w:rsidRPr="00B51668">
        <w:t xml:space="preserve"> additions is 102% of the</w:t>
      </w:r>
      <w:r w:rsidRPr="003E691A">
        <w:t xml:space="preserve"> planned spending. </w:t>
      </w:r>
      <w:r w:rsidR="00406B68">
        <w:t xml:space="preserve"> </w:t>
      </w:r>
      <w:r w:rsidRPr="003E691A">
        <w:t>This table also shows that while Avista has been increasing its capital spending it is generally remaining on budget.</w:t>
      </w:r>
      <w:r>
        <w:t xml:space="preserve">  </w:t>
      </w:r>
      <w:r w:rsidR="00094148">
        <w:rPr>
          <w:b/>
          <w:u w:val="single"/>
        </w:rPr>
        <w:br w:type="page"/>
      </w:r>
    </w:p>
    <w:p w:rsidR="00A85C2A" w:rsidRPr="00B51668" w:rsidRDefault="00094148" w:rsidP="00094148">
      <w:pPr>
        <w:spacing w:line="480" w:lineRule="auto"/>
        <w:ind w:left="0"/>
        <w:rPr>
          <w:b/>
        </w:rPr>
      </w:pPr>
      <w:r>
        <w:rPr>
          <w:b/>
          <w:noProof/>
          <w:u w:val="single"/>
        </w:rPr>
        <w:lastRenderedPageBreak/>
        <w:drawing>
          <wp:anchor distT="0" distB="0" distL="114300" distR="114300" simplePos="0" relativeHeight="251686400" behindDoc="1" locked="0" layoutInCell="1" allowOverlap="1">
            <wp:simplePos x="0" y="0"/>
            <wp:positionH relativeFrom="margin">
              <wp:posOffset>268605</wp:posOffset>
            </wp:positionH>
            <wp:positionV relativeFrom="page">
              <wp:posOffset>1276350</wp:posOffset>
            </wp:positionV>
            <wp:extent cx="5048250" cy="34766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0" cy="3476625"/>
                    </a:xfrm>
                    <a:prstGeom prst="rect">
                      <a:avLst/>
                    </a:prstGeom>
                    <a:noFill/>
                    <a:ln>
                      <a:noFill/>
                    </a:ln>
                  </pic:spPr>
                </pic:pic>
              </a:graphicData>
            </a:graphic>
          </wp:anchor>
        </w:drawing>
      </w:r>
      <w:r w:rsidR="00A85C2A" w:rsidRPr="00B51668">
        <w:rPr>
          <w:b/>
          <w:u w:val="single"/>
        </w:rPr>
        <w:t>Table No. 1:</w:t>
      </w:r>
      <w:r w:rsidR="004B7344">
        <w:rPr>
          <w:rStyle w:val="FootnoteReference"/>
          <w:b/>
          <w:u w:val="single"/>
        </w:rPr>
        <w:footnoteReference w:id="6"/>
      </w: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341166" w:rsidRPr="004B7344" w:rsidRDefault="00341166" w:rsidP="00094148">
      <w:pPr>
        <w:spacing w:before="0" w:after="0" w:line="480" w:lineRule="auto"/>
        <w:ind w:left="0" w:right="0" w:firstLine="720"/>
        <w:rPr>
          <w:b/>
          <w:bCs/>
        </w:rPr>
      </w:pPr>
      <w:r w:rsidRPr="007A7187">
        <w:rPr>
          <w:b/>
          <w:bCs/>
        </w:rPr>
        <w:t>Q.</w:t>
      </w:r>
      <w:r w:rsidRPr="007A7187">
        <w:rPr>
          <w:b/>
          <w:bCs/>
        </w:rPr>
        <w:tab/>
        <w:t xml:space="preserve">In its Order 05, the Commission made reference to the extent to which the investments being made by the Company are “outside of its control, or required for the safe </w:t>
      </w:r>
      <w:r w:rsidRPr="004B7344">
        <w:rPr>
          <w:b/>
          <w:bCs/>
        </w:rPr>
        <w:t>and efficient operation of its system.”</w:t>
      </w:r>
      <w:r w:rsidRPr="004B7344">
        <w:rPr>
          <w:rStyle w:val="FootnoteReference"/>
          <w:b/>
          <w:bCs/>
        </w:rPr>
        <w:footnoteReference w:id="7"/>
      </w:r>
      <w:r w:rsidRPr="004B7344">
        <w:rPr>
          <w:b/>
          <w:bCs/>
        </w:rPr>
        <w:t xml:space="preserve">  What is the Company’s response?</w:t>
      </w:r>
    </w:p>
    <w:p w:rsidR="00341166" w:rsidRDefault="00341166" w:rsidP="006B326C">
      <w:pPr>
        <w:spacing w:before="0" w:after="0" w:line="480" w:lineRule="auto"/>
        <w:ind w:left="0" w:right="0" w:firstLine="720"/>
        <w:rPr>
          <w:bCs/>
        </w:rPr>
      </w:pPr>
      <w:r w:rsidRPr="004B7344">
        <w:rPr>
          <w:bCs/>
        </w:rPr>
        <w:t>A.</w:t>
      </w:r>
      <w:r w:rsidRPr="004B7344">
        <w:rPr>
          <w:bCs/>
        </w:rPr>
        <w:tab/>
        <w:t xml:space="preserve">As I explained earlier in my testimony, some of our incremental investments are out of our control </w:t>
      </w:r>
      <w:r w:rsidR="0097462F" w:rsidRPr="004B7344">
        <w:rPr>
          <w:bCs/>
        </w:rPr>
        <w:t xml:space="preserve">from the perspective </w:t>
      </w:r>
      <w:r w:rsidRPr="004B7344">
        <w:rPr>
          <w:bCs/>
        </w:rPr>
        <w:t>that they are, for example, directly related to compliance with mandates.  In other</w:t>
      </w:r>
      <w:r>
        <w:rPr>
          <w:bCs/>
        </w:rPr>
        <w:t xml:space="preserve"> instances, such as our asset management programs, one could argue that the annual investment is within Avista’s control, but it is also true that the Company has the obligation to responsibly manage the replacement of assets over time to maintain reliability and balance a number of competing factors such as the bill impacts to </w:t>
      </w:r>
      <w:r>
        <w:rPr>
          <w:bCs/>
        </w:rPr>
        <w:lastRenderedPageBreak/>
        <w:t xml:space="preserve">customers.  </w:t>
      </w:r>
      <w:r w:rsidRPr="00A33924">
        <w:rPr>
          <w:bCs/>
        </w:rPr>
        <w:t>Although we could choose to put off for tomorrow what does not absolutely need to be done today, it would be imprudent</w:t>
      </w:r>
      <w:r>
        <w:rPr>
          <w:bCs/>
        </w:rPr>
        <w:t xml:space="preserve"> to allow the system to deteriorate and begin to jeopardize reliability, as well as potentially create a “bow-wave” of investment that needs to be made in a relatively short period of time.</w:t>
      </w:r>
    </w:p>
    <w:p w:rsidR="00341166" w:rsidRDefault="00341166" w:rsidP="00341166">
      <w:pPr>
        <w:spacing w:before="0" w:after="0" w:line="480" w:lineRule="auto"/>
        <w:ind w:left="0" w:right="0" w:firstLine="720"/>
        <w:rPr>
          <w:bCs/>
        </w:rPr>
      </w:pPr>
      <w:r>
        <w:t xml:space="preserve">As indicated earlier, the objectives in our investments is to enable the Company to continue </w:t>
      </w:r>
      <w:r w:rsidRPr="004B7344">
        <w:t xml:space="preserve">to provide safe, reliable service to our customers, maintain a high level of customer </w:t>
      </w:r>
      <w:r w:rsidR="0097462F" w:rsidRPr="004B7344">
        <w:t>satisfaction</w:t>
      </w:r>
      <w:r w:rsidRPr="004B7344">
        <w:t>, and meet the current and future needs and expectations of our customers and other stakeholders,</w:t>
      </w:r>
      <w:r>
        <w:t xml:space="preserve"> while at the same time being sensitive to the rate impacts to customers resulting from the investments.</w:t>
      </w:r>
    </w:p>
    <w:p w:rsidR="00341166" w:rsidRDefault="00341166" w:rsidP="00341166">
      <w:pPr>
        <w:spacing w:before="0" w:after="0" w:line="480" w:lineRule="auto"/>
        <w:ind w:left="0" w:right="0" w:firstLine="720"/>
      </w:pPr>
      <w:r>
        <w:t>In this filing, the Company has provided detailed information, explanation and supporting documentation to support the level of new capital investment proposed to be included in retail rates for the January 2017 through June 2018 rate plan.</w:t>
      </w:r>
    </w:p>
    <w:p w:rsidR="00341166" w:rsidRPr="00FF45C8" w:rsidRDefault="00341166" w:rsidP="00341166">
      <w:pPr>
        <w:spacing w:before="0" w:after="0" w:line="480" w:lineRule="auto"/>
        <w:ind w:left="0" w:right="0" w:firstLine="720"/>
        <w:rPr>
          <w:b/>
        </w:rPr>
      </w:pPr>
      <w:r w:rsidRPr="00FF45C8">
        <w:rPr>
          <w:b/>
        </w:rPr>
        <w:t>Q.</w:t>
      </w:r>
      <w:r w:rsidRPr="00FF45C8">
        <w:rPr>
          <w:b/>
        </w:rPr>
        <w:tab/>
        <w:t>Please identify the witnesses providing this detailed information.</w:t>
      </w:r>
    </w:p>
    <w:p w:rsidR="00341166" w:rsidRDefault="00341166" w:rsidP="00341166">
      <w:pPr>
        <w:spacing w:before="0" w:after="0" w:line="480" w:lineRule="auto"/>
        <w:ind w:left="0" w:right="0" w:firstLine="720"/>
      </w:pPr>
      <w:r>
        <w:t>A.</w:t>
      </w:r>
      <w:r>
        <w:tab/>
      </w:r>
      <w:r w:rsidRPr="00F25B3F">
        <w:rPr>
          <w:bCs/>
        </w:rPr>
        <w:t xml:space="preserve">The following witnesses </w:t>
      </w:r>
      <w:r>
        <w:rPr>
          <w:bCs/>
        </w:rPr>
        <w:t xml:space="preserve">provide </w:t>
      </w:r>
      <w:r>
        <w:t>detailed information, explanation and supporting documentation related to new capital investment for the 18-month rate plan</w:t>
      </w:r>
      <w:r w:rsidR="001C687C">
        <w:t>.  In addition, each witness</w:t>
      </w:r>
      <w:r w:rsidR="00071414">
        <w:t xml:space="preserve">, discusses the specific departmental prioritization plans and processes used to establish the projects requested for funding in a particular year, which </w:t>
      </w:r>
      <w:r w:rsidR="001C687C">
        <w:t>are</w:t>
      </w:r>
      <w:r w:rsidR="00071414">
        <w:t xml:space="preserve"> then reviewed and prioritized by the CPG within the overall capital spending plan.</w:t>
      </w:r>
      <w:r>
        <w:t xml:space="preserve">  </w:t>
      </w:r>
    </w:p>
    <w:p w:rsidR="00341166" w:rsidRDefault="00341166" w:rsidP="00341166">
      <w:pPr>
        <w:pStyle w:val="BodyText3"/>
        <w:spacing w:before="0" w:after="0"/>
        <w:rPr>
          <w:bCs/>
          <w:sz w:val="24"/>
          <w:szCs w:val="24"/>
        </w:rPr>
      </w:pPr>
      <w:r w:rsidRPr="00FF45C8">
        <w:rPr>
          <w:b/>
          <w:bCs/>
          <w:sz w:val="24"/>
          <w:szCs w:val="24"/>
        </w:rPr>
        <w:t>Scott Kinney’s</w:t>
      </w:r>
      <w:r w:rsidRPr="00F25B3F">
        <w:rPr>
          <w:bCs/>
          <w:sz w:val="24"/>
          <w:szCs w:val="24"/>
        </w:rPr>
        <w:t xml:space="preserve"> testimony addresses</w:t>
      </w:r>
      <w:r w:rsidR="00BE51A6">
        <w:rPr>
          <w:bCs/>
          <w:sz w:val="24"/>
          <w:szCs w:val="24"/>
        </w:rPr>
        <w:t xml:space="preserve"> the drivers of the Company’s generation investment</w:t>
      </w:r>
      <w:r w:rsidR="00623E63">
        <w:rPr>
          <w:bCs/>
          <w:sz w:val="24"/>
          <w:szCs w:val="24"/>
        </w:rPr>
        <w:t xml:space="preserve">, </w:t>
      </w:r>
      <w:r w:rsidR="00623E63" w:rsidRPr="004B7344">
        <w:rPr>
          <w:bCs/>
          <w:sz w:val="24"/>
          <w:szCs w:val="24"/>
        </w:rPr>
        <w:t>totaling $246.7 million</w:t>
      </w:r>
      <w:r w:rsidR="00623E63">
        <w:rPr>
          <w:bCs/>
          <w:sz w:val="24"/>
          <w:szCs w:val="24"/>
        </w:rPr>
        <w:t xml:space="preserve"> </w:t>
      </w:r>
      <w:r w:rsidR="0097462F">
        <w:rPr>
          <w:bCs/>
          <w:sz w:val="24"/>
          <w:szCs w:val="24"/>
        </w:rPr>
        <w:t xml:space="preserve">from </w:t>
      </w:r>
      <w:r w:rsidR="00623E63">
        <w:rPr>
          <w:bCs/>
          <w:sz w:val="24"/>
          <w:szCs w:val="24"/>
        </w:rPr>
        <w:t xml:space="preserve">2016 </w:t>
      </w:r>
      <w:r w:rsidR="0097462F">
        <w:rPr>
          <w:bCs/>
          <w:sz w:val="24"/>
          <w:szCs w:val="24"/>
        </w:rPr>
        <w:t xml:space="preserve">through </w:t>
      </w:r>
      <w:r w:rsidR="00623E63">
        <w:rPr>
          <w:bCs/>
          <w:sz w:val="24"/>
          <w:szCs w:val="24"/>
        </w:rPr>
        <w:t>June 2018</w:t>
      </w:r>
      <w:r w:rsidR="00BE51A6">
        <w:rPr>
          <w:bCs/>
          <w:sz w:val="24"/>
          <w:szCs w:val="24"/>
        </w:rPr>
        <w:t>, mainly related to the Company’s 100 year old hydro</w:t>
      </w:r>
      <w:r w:rsidR="00071414">
        <w:rPr>
          <w:bCs/>
          <w:sz w:val="24"/>
          <w:szCs w:val="24"/>
        </w:rPr>
        <w:t>electric facilities</w:t>
      </w:r>
      <w:r w:rsidR="00BE51A6">
        <w:rPr>
          <w:bCs/>
          <w:sz w:val="24"/>
          <w:szCs w:val="24"/>
        </w:rPr>
        <w:t xml:space="preserve"> along </w:t>
      </w:r>
      <w:r w:rsidR="00071414">
        <w:rPr>
          <w:bCs/>
          <w:sz w:val="24"/>
          <w:szCs w:val="24"/>
        </w:rPr>
        <w:t xml:space="preserve">the </w:t>
      </w:r>
      <w:r w:rsidR="00BE51A6">
        <w:rPr>
          <w:bCs/>
          <w:sz w:val="24"/>
          <w:szCs w:val="24"/>
        </w:rPr>
        <w:t xml:space="preserve"> </w:t>
      </w:r>
      <w:r w:rsidR="00AC1218" w:rsidRPr="00AC1218">
        <w:rPr>
          <w:bCs/>
          <w:sz w:val="24"/>
          <w:szCs w:val="24"/>
        </w:rPr>
        <w:t xml:space="preserve">Spokane River </w:t>
      </w:r>
      <w:r w:rsidR="00BE51A6">
        <w:rPr>
          <w:bCs/>
          <w:sz w:val="24"/>
          <w:szCs w:val="24"/>
        </w:rPr>
        <w:t xml:space="preserve">(i.e., </w:t>
      </w:r>
      <w:r w:rsidR="00AC1218">
        <w:rPr>
          <w:bCs/>
          <w:sz w:val="24"/>
          <w:szCs w:val="24"/>
        </w:rPr>
        <w:t xml:space="preserve">Nine Mile, Post Falls </w:t>
      </w:r>
      <w:r w:rsidR="00720FCD">
        <w:rPr>
          <w:bCs/>
          <w:sz w:val="24"/>
          <w:szCs w:val="24"/>
        </w:rPr>
        <w:t xml:space="preserve">and </w:t>
      </w:r>
      <w:r w:rsidR="00AC1218">
        <w:rPr>
          <w:bCs/>
          <w:sz w:val="24"/>
          <w:szCs w:val="24"/>
        </w:rPr>
        <w:t>Little Falls</w:t>
      </w:r>
      <w:r w:rsidR="00720FCD">
        <w:rPr>
          <w:bCs/>
          <w:sz w:val="24"/>
          <w:szCs w:val="24"/>
        </w:rPr>
        <w:t xml:space="preserve"> generating facilities</w:t>
      </w:r>
      <w:r w:rsidR="00BE51A6">
        <w:rPr>
          <w:bCs/>
          <w:sz w:val="24"/>
          <w:szCs w:val="24"/>
        </w:rPr>
        <w:t>)</w:t>
      </w:r>
      <w:r w:rsidR="00720FCD">
        <w:rPr>
          <w:bCs/>
          <w:sz w:val="24"/>
          <w:szCs w:val="24"/>
        </w:rPr>
        <w:t xml:space="preserve">, as well as our larger Clark Fork River </w:t>
      </w:r>
      <w:r w:rsidR="00BE51A6">
        <w:rPr>
          <w:bCs/>
          <w:sz w:val="24"/>
          <w:szCs w:val="24"/>
        </w:rPr>
        <w:t xml:space="preserve">hydroelectric </w:t>
      </w:r>
      <w:r w:rsidR="00720FCD">
        <w:rPr>
          <w:bCs/>
          <w:sz w:val="24"/>
          <w:szCs w:val="24"/>
        </w:rPr>
        <w:t>facility</w:t>
      </w:r>
      <w:r w:rsidR="00BE51A6">
        <w:rPr>
          <w:bCs/>
          <w:sz w:val="24"/>
          <w:szCs w:val="24"/>
        </w:rPr>
        <w:t xml:space="preserve"> at Cabinet Gorge.  Additional capital investments, such as th</w:t>
      </w:r>
      <w:r w:rsidR="001C687C">
        <w:rPr>
          <w:bCs/>
          <w:sz w:val="24"/>
          <w:szCs w:val="24"/>
        </w:rPr>
        <w:t>ose</w:t>
      </w:r>
      <w:r w:rsidR="00BE51A6">
        <w:rPr>
          <w:bCs/>
          <w:sz w:val="24"/>
          <w:szCs w:val="24"/>
        </w:rPr>
        <w:t xml:space="preserve"> related to our</w:t>
      </w:r>
      <w:r w:rsidR="00720FCD">
        <w:rPr>
          <w:bCs/>
          <w:sz w:val="24"/>
          <w:szCs w:val="24"/>
        </w:rPr>
        <w:t xml:space="preserve"> </w:t>
      </w:r>
      <w:r w:rsidR="00BE51A6">
        <w:rPr>
          <w:bCs/>
          <w:sz w:val="24"/>
          <w:szCs w:val="24"/>
        </w:rPr>
        <w:t xml:space="preserve">Colstrip </w:t>
      </w:r>
      <w:r w:rsidR="00720FCD">
        <w:rPr>
          <w:bCs/>
          <w:sz w:val="24"/>
          <w:szCs w:val="24"/>
        </w:rPr>
        <w:t>thermal</w:t>
      </w:r>
      <w:r w:rsidR="00BE51A6">
        <w:rPr>
          <w:bCs/>
          <w:sz w:val="24"/>
          <w:szCs w:val="24"/>
        </w:rPr>
        <w:t xml:space="preserve"> generating </w:t>
      </w:r>
      <w:r w:rsidR="00720FCD">
        <w:rPr>
          <w:bCs/>
          <w:sz w:val="24"/>
          <w:szCs w:val="24"/>
        </w:rPr>
        <w:t>facilit</w:t>
      </w:r>
      <w:r w:rsidR="00BE51A6">
        <w:rPr>
          <w:bCs/>
          <w:sz w:val="24"/>
          <w:szCs w:val="24"/>
        </w:rPr>
        <w:t>y and other projects are also discussed</w:t>
      </w:r>
      <w:r w:rsidR="001C687C">
        <w:rPr>
          <w:bCs/>
          <w:sz w:val="24"/>
          <w:szCs w:val="24"/>
        </w:rPr>
        <w:t>.</w:t>
      </w:r>
    </w:p>
    <w:p w:rsidR="00341166" w:rsidRDefault="00341166" w:rsidP="00341166">
      <w:pPr>
        <w:pStyle w:val="BodyText3"/>
        <w:spacing w:before="0" w:after="0"/>
        <w:rPr>
          <w:bCs/>
          <w:sz w:val="24"/>
          <w:szCs w:val="24"/>
        </w:rPr>
      </w:pPr>
    </w:p>
    <w:p w:rsidR="00341166" w:rsidRDefault="00341166" w:rsidP="00341166">
      <w:pPr>
        <w:pStyle w:val="BodyText3"/>
        <w:spacing w:before="0" w:after="0"/>
        <w:rPr>
          <w:bCs/>
          <w:sz w:val="24"/>
          <w:szCs w:val="24"/>
        </w:rPr>
      </w:pPr>
      <w:r w:rsidRPr="00FF45C8">
        <w:rPr>
          <w:b/>
          <w:bCs/>
          <w:sz w:val="24"/>
          <w:szCs w:val="24"/>
        </w:rPr>
        <w:t>Bryan Cox’s</w:t>
      </w:r>
      <w:r w:rsidRPr="00F25B3F">
        <w:rPr>
          <w:bCs/>
          <w:sz w:val="24"/>
          <w:szCs w:val="24"/>
        </w:rPr>
        <w:t xml:space="preserve"> testimony addresses the Company’s </w:t>
      </w:r>
      <w:r w:rsidR="00623E63">
        <w:rPr>
          <w:bCs/>
          <w:sz w:val="24"/>
          <w:szCs w:val="24"/>
        </w:rPr>
        <w:t xml:space="preserve">need to </w:t>
      </w:r>
      <w:r w:rsidRPr="00F25B3F">
        <w:rPr>
          <w:bCs/>
          <w:sz w:val="24"/>
          <w:szCs w:val="24"/>
        </w:rPr>
        <w:t>invest</w:t>
      </w:r>
      <w:r w:rsidR="00623E63">
        <w:rPr>
          <w:bCs/>
          <w:sz w:val="24"/>
          <w:szCs w:val="24"/>
        </w:rPr>
        <w:t xml:space="preserve"> </w:t>
      </w:r>
      <w:r w:rsidRPr="00F25B3F">
        <w:rPr>
          <w:bCs/>
          <w:sz w:val="24"/>
          <w:szCs w:val="24"/>
        </w:rPr>
        <w:t xml:space="preserve">in </w:t>
      </w:r>
      <w:r w:rsidR="00623E63">
        <w:rPr>
          <w:bCs/>
          <w:sz w:val="24"/>
          <w:szCs w:val="24"/>
        </w:rPr>
        <w:t>its electric transmission plant, totaling</w:t>
      </w:r>
      <w:r w:rsidR="004B7344">
        <w:rPr>
          <w:bCs/>
          <w:sz w:val="24"/>
          <w:szCs w:val="24"/>
        </w:rPr>
        <w:t xml:space="preserve"> $125.</w:t>
      </w:r>
      <w:r w:rsidR="00831AF7">
        <w:rPr>
          <w:bCs/>
          <w:sz w:val="24"/>
          <w:szCs w:val="24"/>
        </w:rPr>
        <w:t>3</w:t>
      </w:r>
      <w:r w:rsidR="004B7344">
        <w:rPr>
          <w:bCs/>
          <w:sz w:val="24"/>
          <w:szCs w:val="24"/>
        </w:rPr>
        <w:t xml:space="preserve"> </w:t>
      </w:r>
      <w:r w:rsidR="00623E63">
        <w:rPr>
          <w:bCs/>
          <w:sz w:val="24"/>
          <w:szCs w:val="24"/>
        </w:rPr>
        <w:t xml:space="preserve">million </w:t>
      </w:r>
      <w:r w:rsidR="0097462F">
        <w:rPr>
          <w:bCs/>
          <w:sz w:val="24"/>
          <w:szCs w:val="24"/>
        </w:rPr>
        <w:t xml:space="preserve">from </w:t>
      </w:r>
      <w:r w:rsidR="00623E63">
        <w:rPr>
          <w:bCs/>
          <w:sz w:val="24"/>
          <w:szCs w:val="24"/>
        </w:rPr>
        <w:t xml:space="preserve">2016 </w:t>
      </w:r>
      <w:r w:rsidR="0097462F">
        <w:rPr>
          <w:bCs/>
          <w:sz w:val="24"/>
          <w:szCs w:val="24"/>
        </w:rPr>
        <w:t>through</w:t>
      </w:r>
      <w:r w:rsidR="00623E63">
        <w:rPr>
          <w:bCs/>
          <w:sz w:val="24"/>
          <w:szCs w:val="24"/>
        </w:rPr>
        <w:t xml:space="preserve"> June 2018, to </w:t>
      </w:r>
      <w:r w:rsidR="00623E63">
        <w:rPr>
          <w:bCs/>
          <w:sz w:val="24"/>
          <w:szCs w:val="24"/>
        </w:rPr>
        <w:lastRenderedPageBreak/>
        <w:t>maintain reliable customer service and meet mandatory reliability standard</w:t>
      </w:r>
      <w:r w:rsidR="00621029">
        <w:rPr>
          <w:bCs/>
          <w:sz w:val="24"/>
          <w:szCs w:val="24"/>
        </w:rPr>
        <w:t>s</w:t>
      </w:r>
      <w:r w:rsidR="00623E63">
        <w:rPr>
          <w:bCs/>
          <w:sz w:val="24"/>
          <w:szCs w:val="24"/>
        </w:rPr>
        <w:t xml:space="preserve"> (</w:t>
      </w:r>
      <w:r w:rsidR="00071414">
        <w:rPr>
          <w:bCs/>
          <w:sz w:val="24"/>
          <w:szCs w:val="24"/>
        </w:rPr>
        <w:t>e.g.</w:t>
      </w:r>
      <w:r w:rsidR="00623E63">
        <w:rPr>
          <w:bCs/>
          <w:sz w:val="24"/>
          <w:szCs w:val="24"/>
        </w:rPr>
        <w:t xml:space="preserve">, by </w:t>
      </w:r>
      <w:r w:rsidR="00623E63" w:rsidRPr="00623E63">
        <w:rPr>
          <w:bCs/>
          <w:sz w:val="24"/>
          <w:szCs w:val="24"/>
        </w:rPr>
        <w:t>the North American Electric Reliability Corporation (NERC)</w:t>
      </w:r>
      <w:r w:rsidR="00623E63">
        <w:rPr>
          <w:bCs/>
          <w:sz w:val="24"/>
          <w:szCs w:val="24"/>
        </w:rPr>
        <w:t xml:space="preserve">), including projects </w:t>
      </w:r>
      <w:r w:rsidR="00621029">
        <w:rPr>
          <w:bCs/>
          <w:sz w:val="24"/>
          <w:szCs w:val="24"/>
        </w:rPr>
        <w:t xml:space="preserve">such as </w:t>
      </w:r>
      <w:r w:rsidR="00071414">
        <w:rPr>
          <w:bCs/>
          <w:sz w:val="24"/>
          <w:szCs w:val="24"/>
        </w:rPr>
        <w:t>the</w:t>
      </w:r>
      <w:r w:rsidR="00621029">
        <w:rPr>
          <w:bCs/>
          <w:sz w:val="24"/>
          <w:szCs w:val="24"/>
        </w:rPr>
        <w:t xml:space="preserve"> </w:t>
      </w:r>
      <w:r w:rsidR="00623E63">
        <w:rPr>
          <w:bCs/>
          <w:sz w:val="24"/>
          <w:szCs w:val="24"/>
        </w:rPr>
        <w:t xml:space="preserve">Noxon Switchyard </w:t>
      </w:r>
      <w:r w:rsidR="00621029">
        <w:rPr>
          <w:bCs/>
          <w:sz w:val="24"/>
          <w:szCs w:val="24"/>
        </w:rPr>
        <w:t>Rebuild project, as well as many other transmission, substation, and environmental projects to meet reliability improvements, compliance and replacement, as well as contractual agreements</w:t>
      </w:r>
      <w:r w:rsidR="001C687C">
        <w:rPr>
          <w:bCs/>
          <w:sz w:val="24"/>
          <w:szCs w:val="24"/>
        </w:rPr>
        <w:t>.</w:t>
      </w:r>
    </w:p>
    <w:p w:rsidR="006B326C" w:rsidRDefault="006B326C" w:rsidP="00341166">
      <w:pPr>
        <w:pStyle w:val="BodyText3"/>
        <w:spacing w:before="0" w:after="0"/>
        <w:rPr>
          <w:bCs/>
          <w:sz w:val="24"/>
          <w:szCs w:val="24"/>
        </w:rPr>
      </w:pPr>
    </w:p>
    <w:p w:rsidR="00341166" w:rsidRDefault="00341166" w:rsidP="00341166">
      <w:pPr>
        <w:pStyle w:val="BodyText3"/>
        <w:spacing w:before="0" w:after="0"/>
        <w:rPr>
          <w:bCs/>
          <w:sz w:val="24"/>
          <w:szCs w:val="24"/>
        </w:rPr>
      </w:pPr>
      <w:r w:rsidRPr="00FF45C8">
        <w:rPr>
          <w:b/>
          <w:bCs/>
          <w:sz w:val="24"/>
          <w:szCs w:val="24"/>
        </w:rPr>
        <w:t xml:space="preserve">Heather </w:t>
      </w:r>
      <w:r w:rsidR="001E4F9A" w:rsidRPr="00FF45C8">
        <w:rPr>
          <w:b/>
          <w:bCs/>
          <w:sz w:val="24"/>
          <w:szCs w:val="24"/>
        </w:rPr>
        <w:t>Rosentrater’s</w:t>
      </w:r>
      <w:r w:rsidRPr="00F25B3F">
        <w:rPr>
          <w:bCs/>
          <w:sz w:val="24"/>
          <w:szCs w:val="24"/>
        </w:rPr>
        <w:t xml:space="preserve"> testimony addresses the Company’s investment in electric distribution plant</w:t>
      </w:r>
      <w:r w:rsidR="0058626F">
        <w:rPr>
          <w:bCs/>
          <w:sz w:val="24"/>
          <w:szCs w:val="24"/>
        </w:rPr>
        <w:t xml:space="preserve">, </w:t>
      </w:r>
      <w:r w:rsidR="0058626F" w:rsidRPr="004F1C49">
        <w:rPr>
          <w:bCs/>
          <w:sz w:val="24"/>
          <w:szCs w:val="24"/>
        </w:rPr>
        <w:t>totaling $</w:t>
      </w:r>
      <w:r w:rsidR="004F1C49" w:rsidRPr="004F1C49">
        <w:rPr>
          <w:bCs/>
          <w:sz w:val="24"/>
          <w:szCs w:val="24"/>
        </w:rPr>
        <w:t>184.</w:t>
      </w:r>
      <w:r w:rsidR="004F1C49">
        <w:rPr>
          <w:bCs/>
          <w:sz w:val="24"/>
          <w:szCs w:val="24"/>
        </w:rPr>
        <w:t>5</w:t>
      </w:r>
      <w:r w:rsidR="000333B8">
        <w:rPr>
          <w:bCs/>
          <w:sz w:val="24"/>
          <w:szCs w:val="24"/>
        </w:rPr>
        <w:t xml:space="preserve"> </w:t>
      </w:r>
      <w:r w:rsidR="0097462F">
        <w:rPr>
          <w:bCs/>
          <w:sz w:val="24"/>
          <w:szCs w:val="24"/>
        </w:rPr>
        <w:t>million from 2016 through June 2018</w:t>
      </w:r>
      <w:r w:rsidR="004240D9">
        <w:rPr>
          <w:bCs/>
          <w:sz w:val="24"/>
          <w:szCs w:val="24"/>
        </w:rPr>
        <w:t xml:space="preserve">, </w:t>
      </w:r>
      <w:r w:rsidR="00A005FA">
        <w:rPr>
          <w:bCs/>
          <w:sz w:val="24"/>
          <w:szCs w:val="24"/>
        </w:rPr>
        <w:t xml:space="preserve">explaining that the Company’s investment </w:t>
      </w:r>
      <w:r w:rsidR="00A005FA" w:rsidRPr="00A005FA">
        <w:rPr>
          <w:bCs/>
          <w:sz w:val="24"/>
          <w:szCs w:val="24"/>
        </w:rPr>
        <w:t>is primarily driven by a combination of the following factors: (1) new customer connections and changing customer usage, (2) maintaining system reliability and safety, (3) realizing operational and electrical efficiencies (including compliance with the requirements of</w:t>
      </w:r>
      <w:r w:rsidR="00071414">
        <w:rPr>
          <w:bCs/>
          <w:sz w:val="24"/>
          <w:szCs w:val="24"/>
        </w:rPr>
        <w:t xml:space="preserve"> Washington Initiative measure N</w:t>
      </w:r>
      <w:r w:rsidR="00A005FA" w:rsidRPr="00A005FA">
        <w:rPr>
          <w:bCs/>
          <w:sz w:val="24"/>
          <w:szCs w:val="24"/>
        </w:rPr>
        <w:t>o. 937), and (4) minimizing life cycle costs of assets.</w:t>
      </w:r>
      <w:r w:rsidR="00A005FA">
        <w:rPr>
          <w:bCs/>
          <w:sz w:val="24"/>
          <w:szCs w:val="24"/>
        </w:rPr>
        <w:t xml:space="preserve"> </w:t>
      </w:r>
      <w:r w:rsidR="001E4F9A">
        <w:rPr>
          <w:bCs/>
          <w:sz w:val="24"/>
          <w:szCs w:val="24"/>
        </w:rPr>
        <w:t xml:space="preserve">Ms. Rosentrater </w:t>
      </w:r>
      <w:r w:rsidR="005D0D31">
        <w:rPr>
          <w:bCs/>
          <w:sz w:val="24"/>
          <w:szCs w:val="24"/>
        </w:rPr>
        <w:t xml:space="preserve">also </w:t>
      </w:r>
      <w:r w:rsidR="001E4F9A">
        <w:rPr>
          <w:bCs/>
          <w:sz w:val="24"/>
          <w:szCs w:val="24"/>
        </w:rPr>
        <w:t xml:space="preserve">discusses Avista’s Asset Management approach, which </w:t>
      </w:r>
      <w:r w:rsidR="001E4F9A" w:rsidRPr="001E4F9A">
        <w:rPr>
          <w:bCs/>
          <w:sz w:val="24"/>
          <w:szCs w:val="24"/>
        </w:rPr>
        <w:t xml:space="preserve">strives to prioritize and plan work that results in maximizing the value of Avista’s physical assets by integrating information about repairing, maintaining, inspecting, monitoring, and replacing </w:t>
      </w:r>
      <w:r w:rsidR="001E4F9A">
        <w:rPr>
          <w:bCs/>
          <w:sz w:val="24"/>
          <w:szCs w:val="24"/>
        </w:rPr>
        <w:t xml:space="preserve">those </w:t>
      </w:r>
      <w:r w:rsidR="001E4F9A" w:rsidRPr="001E4F9A">
        <w:rPr>
          <w:bCs/>
          <w:sz w:val="24"/>
          <w:szCs w:val="24"/>
        </w:rPr>
        <w:t xml:space="preserve">physical assets </w:t>
      </w:r>
      <w:r w:rsidR="0097462F">
        <w:rPr>
          <w:bCs/>
          <w:sz w:val="24"/>
          <w:szCs w:val="24"/>
        </w:rPr>
        <w:t xml:space="preserve">through </w:t>
      </w:r>
      <w:r w:rsidR="001E4F9A" w:rsidRPr="001E4F9A">
        <w:rPr>
          <w:bCs/>
          <w:sz w:val="24"/>
          <w:szCs w:val="24"/>
        </w:rPr>
        <w:t xml:space="preserve">a comprehensive analysis. </w:t>
      </w:r>
      <w:r w:rsidR="005D0D31">
        <w:rPr>
          <w:bCs/>
          <w:sz w:val="24"/>
          <w:szCs w:val="24"/>
        </w:rPr>
        <w:t>Examples of Avista’s Asset Management programs</w:t>
      </w:r>
      <w:r w:rsidR="00C32455">
        <w:rPr>
          <w:bCs/>
          <w:sz w:val="24"/>
          <w:szCs w:val="24"/>
        </w:rPr>
        <w:t xml:space="preserve"> (and related capital investment projects)</w:t>
      </w:r>
      <w:r w:rsidR="001C687C">
        <w:rPr>
          <w:bCs/>
          <w:sz w:val="24"/>
          <w:szCs w:val="24"/>
        </w:rPr>
        <w:t xml:space="preserve"> include it</w:t>
      </w:r>
      <w:r w:rsidR="005D0D31">
        <w:rPr>
          <w:bCs/>
          <w:sz w:val="24"/>
          <w:szCs w:val="24"/>
        </w:rPr>
        <w:t>s Wood Pole Management,</w:t>
      </w:r>
      <w:r w:rsidR="00C32455">
        <w:rPr>
          <w:bCs/>
          <w:sz w:val="24"/>
          <w:szCs w:val="24"/>
        </w:rPr>
        <w:t xml:space="preserve"> grid modernization, transformer change-out, and improving worst feeders, to name a few. Examples of additional capital projects discussed by Ms. Rosentrater, </w:t>
      </w:r>
      <w:r w:rsidR="004240D9">
        <w:rPr>
          <w:bCs/>
          <w:sz w:val="24"/>
          <w:szCs w:val="24"/>
        </w:rPr>
        <w:t>includ</w:t>
      </w:r>
      <w:r w:rsidR="00C32455">
        <w:rPr>
          <w:bCs/>
          <w:sz w:val="24"/>
          <w:szCs w:val="24"/>
        </w:rPr>
        <w:t>e the Company’s planned investment</w:t>
      </w:r>
      <w:r w:rsidR="004240D9">
        <w:rPr>
          <w:bCs/>
          <w:sz w:val="24"/>
          <w:szCs w:val="24"/>
        </w:rPr>
        <w:t xml:space="preserve"> </w:t>
      </w:r>
      <w:r w:rsidR="00C32455">
        <w:rPr>
          <w:bCs/>
          <w:sz w:val="24"/>
          <w:szCs w:val="24"/>
        </w:rPr>
        <w:t xml:space="preserve">in </w:t>
      </w:r>
      <w:r w:rsidR="004240D9" w:rsidRPr="004240D9">
        <w:rPr>
          <w:bCs/>
          <w:sz w:val="24"/>
          <w:szCs w:val="24"/>
        </w:rPr>
        <w:t>Advanced Metering Infrastructure</w:t>
      </w:r>
      <w:r w:rsidR="004240D9">
        <w:rPr>
          <w:bCs/>
          <w:sz w:val="24"/>
          <w:szCs w:val="24"/>
        </w:rPr>
        <w:t xml:space="preserve"> (AMI)</w:t>
      </w:r>
      <w:r w:rsidR="00C32455">
        <w:rPr>
          <w:bCs/>
          <w:sz w:val="24"/>
          <w:szCs w:val="24"/>
        </w:rPr>
        <w:t>, reconductor and feeder</w:t>
      </w:r>
      <w:r w:rsidR="00FF6AB1">
        <w:rPr>
          <w:bCs/>
          <w:sz w:val="24"/>
          <w:szCs w:val="24"/>
        </w:rPr>
        <w:t xml:space="preserve"> tie programs</w:t>
      </w:r>
      <w:r w:rsidR="00C32455">
        <w:rPr>
          <w:bCs/>
          <w:sz w:val="24"/>
          <w:szCs w:val="24"/>
        </w:rPr>
        <w:t xml:space="preserve">, </w:t>
      </w:r>
      <w:r w:rsidR="00FF6AB1">
        <w:rPr>
          <w:bCs/>
          <w:sz w:val="24"/>
          <w:szCs w:val="24"/>
        </w:rPr>
        <w:t xml:space="preserve">new distribution </w:t>
      </w:r>
      <w:r w:rsidR="00C32455">
        <w:rPr>
          <w:bCs/>
          <w:sz w:val="24"/>
          <w:szCs w:val="24"/>
        </w:rPr>
        <w:t>substation</w:t>
      </w:r>
      <w:r w:rsidR="00FF6AB1">
        <w:rPr>
          <w:bCs/>
          <w:sz w:val="24"/>
          <w:szCs w:val="24"/>
        </w:rPr>
        <w:t xml:space="preserve"> projects, </w:t>
      </w:r>
      <w:r w:rsidR="00C32455">
        <w:rPr>
          <w:bCs/>
          <w:sz w:val="24"/>
          <w:szCs w:val="24"/>
        </w:rPr>
        <w:t xml:space="preserve">storm damage repair, </w:t>
      </w:r>
      <w:r w:rsidR="00FF6AB1">
        <w:rPr>
          <w:bCs/>
          <w:sz w:val="24"/>
          <w:szCs w:val="24"/>
        </w:rPr>
        <w:t xml:space="preserve">and </w:t>
      </w:r>
      <w:r w:rsidR="0058626F">
        <w:rPr>
          <w:bCs/>
          <w:sz w:val="24"/>
          <w:szCs w:val="24"/>
        </w:rPr>
        <w:t>street l</w:t>
      </w:r>
      <w:r w:rsidR="00FF6AB1">
        <w:rPr>
          <w:bCs/>
          <w:sz w:val="24"/>
          <w:szCs w:val="24"/>
        </w:rPr>
        <w:t>ight management, to name a few</w:t>
      </w:r>
      <w:r w:rsidR="001C687C">
        <w:rPr>
          <w:bCs/>
          <w:sz w:val="24"/>
          <w:szCs w:val="24"/>
        </w:rPr>
        <w:t>.</w:t>
      </w:r>
      <w:r w:rsidRPr="00F25B3F">
        <w:rPr>
          <w:bCs/>
          <w:sz w:val="24"/>
          <w:szCs w:val="24"/>
        </w:rPr>
        <w:t xml:space="preserve"> </w:t>
      </w:r>
    </w:p>
    <w:p w:rsidR="00341166" w:rsidRDefault="00341166" w:rsidP="00341166">
      <w:pPr>
        <w:pStyle w:val="BodyText3"/>
        <w:spacing w:before="0" w:after="0"/>
        <w:rPr>
          <w:bCs/>
          <w:sz w:val="24"/>
          <w:szCs w:val="24"/>
        </w:rPr>
      </w:pPr>
    </w:p>
    <w:p w:rsidR="00341166" w:rsidRDefault="00341166" w:rsidP="004F1C49">
      <w:pPr>
        <w:pStyle w:val="BodyText3"/>
        <w:spacing w:before="0" w:after="0"/>
        <w:rPr>
          <w:bCs/>
          <w:sz w:val="24"/>
          <w:szCs w:val="24"/>
        </w:rPr>
      </w:pPr>
      <w:r w:rsidRPr="00FF45C8">
        <w:rPr>
          <w:b/>
          <w:bCs/>
          <w:sz w:val="24"/>
          <w:szCs w:val="24"/>
        </w:rPr>
        <w:t>Karen Schuh’s</w:t>
      </w:r>
      <w:r w:rsidRPr="00F25B3F">
        <w:rPr>
          <w:bCs/>
          <w:sz w:val="24"/>
          <w:szCs w:val="24"/>
        </w:rPr>
        <w:t xml:space="preserve"> testimony addresses the Company’s investment in natural gas storage</w:t>
      </w:r>
      <w:r w:rsidR="00071414">
        <w:rPr>
          <w:bCs/>
          <w:sz w:val="24"/>
          <w:szCs w:val="24"/>
        </w:rPr>
        <w:t>, natural gas</w:t>
      </w:r>
      <w:r w:rsidRPr="00F25B3F">
        <w:rPr>
          <w:bCs/>
          <w:sz w:val="24"/>
          <w:szCs w:val="24"/>
        </w:rPr>
        <w:t xml:space="preserve"> distribution plant, information systems and information technology plant, and general plant</w:t>
      </w:r>
      <w:r w:rsidR="000333B8">
        <w:rPr>
          <w:bCs/>
          <w:sz w:val="24"/>
          <w:szCs w:val="24"/>
        </w:rPr>
        <w:t xml:space="preserve">, </w:t>
      </w:r>
      <w:r w:rsidR="000333B8" w:rsidRPr="004F1C49">
        <w:rPr>
          <w:bCs/>
          <w:sz w:val="24"/>
          <w:szCs w:val="24"/>
        </w:rPr>
        <w:t>totaling $</w:t>
      </w:r>
      <w:r w:rsidR="00831AF7">
        <w:rPr>
          <w:bCs/>
          <w:sz w:val="24"/>
          <w:szCs w:val="24"/>
        </w:rPr>
        <w:t>313.9</w:t>
      </w:r>
      <w:r w:rsidR="000333B8" w:rsidRPr="004F1C49">
        <w:rPr>
          <w:bCs/>
          <w:sz w:val="24"/>
          <w:szCs w:val="24"/>
        </w:rPr>
        <w:t xml:space="preserve"> million</w:t>
      </w:r>
      <w:r w:rsidR="00C56DFE" w:rsidRPr="004F1C49">
        <w:rPr>
          <w:bCs/>
          <w:sz w:val="24"/>
          <w:szCs w:val="24"/>
        </w:rPr>
        <w:t xml:space="preserve"> </w:t>
      </w:r>
      <w:r w:rsidR="004F1C49">
        <w:rPr>
          <w:bCs/>
          <w:sz w:val="24"/>
          <w:szCs w:val="24"/>
        </w:rPr>
        <w:t>from 2016 through June 2018</w:t>
      </w:r>
      <w:r w:rsidRPr="004F1C49">
        <w:rPr>
          <w:bCs/>
          <w:sz w:val="24"/>
          <w:szCs w:val="24"/>
        </w:rPr>
        <w:t>.</w:t>
      </w:r>
      <w:r w:rsidR="00FF6AB1" w:rsidRPr="004F1C49">
        <w:rPr>
          <w:bCs/>
          <w:sz w:val="24"/>
          <w:szCs w:val="24"/>
        </w:rPr>
        <w:t xml:space="preserve">  Ms. Schuh discusses in further</w:t>
      </w:r>
      <w:r w:rsidR="00FF6AB1">
        <w:rPr>
          <w:bCs/>
          <w:sz w:val="24"/>
          <w:szCs w:val="24"/>
        </w:rPr>
        <w:t xml:space="preserve"> detail the capital </w:t>
      </w:r>
      <w:r w:rsidR="0097462F">
        <w:rPr>
          <w:bCs/>
          <w:sz w:val="24"/>
          <w:szCs w:val="24"/>
        </w:rPr>
        <w:t>planning</w:t>
      </w:r>
      <w:r w:rsidR="00FF6AB1">
        <w:rPr>
          <w:bCs/>
          <w:sz w:val="24"/>
          <w:szCs w:val="24"/>
        </w:rPr>
        <w:t xml:space="preserve"> and review process, including the oversight </w:t>
      </w:r>
      <w:r w:rsidR="00DA5AEC">
        <w:rPr>
          <w:bCs/>
          <w:sz w:val="24"/>
          <w:szCs w:val="24"/>
        </w:rPr>
        <w:t>provided by</w:t>
      </w:r>
      <w:r w:rsidR="00FF6AB1">
        <w:rPr>
          <w:bCs/>
          <w:sz w:val="24"/>
          <w:szCs w:val="24"/>
        </w:rPr>
        <w:t xml:space="preserve"> the Capital Planning Group. </w:t>
      </w:r>
      <w:r w:rsidR="0058626F">
        <w:rPr>
          <w:bCs/>
          <w:sz w:val="24"/>
          <w:szCs w:val="24"/>
        </w:rPr>
        <w:t xml:space="preserve">Specific projects discussed by Ms. Schuh include </w:t>
      </w:r>
      <w:r w:rsidR="007C3BC5">
        <w:rPr>
          <w:bCs/>
          <w:sz w:val="24"/>
          <w:szCs w:val="24"/>
        </w:rPr>
        <w:t xml:space="preserve">general plant related projects such as the </w:t>
      </w:r>
      <w:r w:rsidR="0058626F">
        <w:rPr>
          <w:bCs/>
          <w:sz w:val="24"/>
          <w:szCs w:val="24"/>
        </w:rPr>
        <w:t>Central Office Long Term Campus restructuring plan</w:t>
      </w:r>
      <w:r w:rsidR="007C3BC5">
        <w:rPr>
          <w:bCs/>
          <w:sz w:val="24"/>
          <w:szCs w:val="24"/>
        </w:rPr>
        <w:t xml:space="preserve">, enterprise technology projects, such as the </w:t>
      </w:r>
      <w:r w:rsidR="0058626F">
        <w:rPr>
          <w:bCs/>
          <w:sz w:val="24"/>
          <w:szCs w:val="24"/>
        </w:rPr>
        <w:t>Next Generation Radio Refresh program, Enterprise Security, High Voltage Protection Upgrade</w:t>
      </w:r>
      <w:r w:rsidR="007C3BC5">
        <w:rPr>
          <w:bCs/>
          <w:sz w:val="24"/>
          <w:szCs w:val="24"/>
        </w:rPr>
        <w:t xml:space="preserve"> projects, and natural gas distribution projects, such as the</w:t>
      </w:r>
      <w:r w:rsidR="0058626F">
        <w:rPr>
          <w:bCs/>
          <w:sz w:val="24"/>
          <w:szCs w:val="24"/>
        </w:rPr>
        <w:t xml:space="preserve"> Aldyl A Pipe Replacement and </w:t>
      </w:r>
      <w:r w:rsidR="00DA5AEC">
        <w:rPr>
          <w:bCs/>
          <w:sz w:val="24"/>
          <w:szCs w:val="24"/>
        </w:rPr>
        <w:t xml:space="preserve">Natural </w:t>
      </w:r>
      <w:r w:rsidR="0058626F">
        <w:rPr>
          <w:bCs/>
          <w:sz w:val="24"/>
          <w:szCs w:val="24"/>
        </w:rPr>
        <w:t>Gas Isolated Steel</w:t>
      </w:r>
      <w:bookmarkStart w:id="2" w:name="_GoBack"/>
      <w:bookmarkEnd w:id="2"/>
      <w:r w:rsidR="0058626F">
        <w:rPr>
          <w:bCs/>
          <w:sz w:val="24"/>
          <w:szCs w:val="24"/>
        </w:rPr>
        <w:t xml:space="preserve"> Replacement Programs, to name a few. </w:t>
      </w:r>
      <w:r w:rsidR="00FF6AB1">
        <w:rPr>
          <w:bCs/>
          <w:sz w:val="24"/>
          <w:szCs w:val="24"/>
        </w:rPr>
        <w:t xml:space="preserve">   </w:t>
      </w:r>
    </w:p>
    <w:p w:rsidR="004F1C49" w:rsidRPr="004F1C49" w:rsidRDefault="004F1C49" w:rsidP="004F1C49">
      <w:pPr>
        <w:pStyle w:val="BodyText3"/>
        <w:spacing w:before="0" w:after="0"/>
        <w:rPr>
          <w:bCs/>
          <w:sz w:val="24"/>
          <w:szCs w:val="24"/>
        </w:rPr>
      </w:pPr>
    </w:p>
    <w:p w:rsidR="00341166" w:rsidRDefault="00341166" w:rsidP="006B326C">
      <w:pPr>
        <w:autoSpaceDE/>
        <w:autoSpaceDN/>
        <w:spacing w:before="0" w:after="0" w:line="480" w:lineRule="auto"/>
        <w:ind w:left="0" w:right="0" w:firstLine="720"/>
        <w:rPr>
          <w:bCs/>
        </w:rPr>
      </w:pPr>
      <w:r w:rsidRPr="0005249C">
        <w:rPr>
          <w:bCs/>
        </w:rPr>
        <w:t>In the supporting documentation provided by Avista in this general rate case filing, the Company has attempted to strike a reaso</w:t>
      </w:r>
      <w:r>
        <w:rPr>
          <w:bCs/>
        </w:rPr>
        <w:t xml:space="preserve">nable balance of supplying robust supporting explanation and documentation for its planned capital investments, while at the same time </w:t>
      </w:r>
      <w:r>
        <w:rPr>
          <w:bCs/>
        </w:rPr>
        <w:lastRenderedPageBreak/>
        <w:t>not placing an undue burden on the record through the submittal of voluminous documentation.</w:t>
      </w:r>
    </w:p>
    <w:p w:rsidR="003312AA" w:rsidRDefault="00341166" w:rsidP="006B326C">
      <w:pPr>
        <w:autoSpaceDE/>
        <w:autoSpaceDN/>
        <w:spacing w:before="0" w:after="0" w:line="480" w:lineRule="auto"/>
        <w:ind w:left="0" w:right="0" w:firstLine="720"/>
        <w:rPr>
          <w:bCs/>
        </w:rPr>
      </w:pPr>
      <w:r>
        <w:rPr>
          <w:bCs/>
        </w:rPr>
        <w:t>To the extent any party to the case requires additional information or documentation associated with any of the Company’s planned capital projects or programs, Avista is prepared to provide additional information through responses to discovery, by conference call, through site visits by the parties and other means.  Avista’s practice has been to be transparent and responsive to requests for information in these, as well as other, regulatory proceedings, and the same is true for these dockets.</w:t>
      </w:r>
    </w:p>
    <w:p w:rsidR="005F31E7" w:rsidRDefault="005F31E7" w:rsidP="003065CC">
      <w:pPr>
        <w:autoSpaceDE/>
        <w:autoSpaceDN/>
        <w:spacing w:before="0" w:after="0" w:line="480" w:lineRule="auto"/>
        <w:ind w:left="0" w:right="18" w:firstLine="720"/>
        <w:rPr>
          <w:bCs/>
        </w:rPr>
      </w:pPr>
    </w:p>
    <w:p w:rsidR="00E1720D" w:rsidRPr="009E3778" w:rsidRDefault="00660600" w:rsidP="000257C9">
      <w:pPr>
        <w:keepNext/>
        <w:tabs>
          <w:tab w:val="left" w:pos="0"/>
        </w:tabs>
        <w:spacing w:before="0" w:after="0" w:line="480" w:lineRule="auto"/>
        <w:ind w:left="0" w:right="0"/>
        <w:jc w:val="center"/>
        <w:rPr>
          <w:rStyle w:val="PageNumber"/>
          <w:b/>
          <w:bCs/>
          <w:u w:val="single"/>
        </w:rPr>
      </w:pPr>
      <w:r>
        <w:rPr>
          <w:rStyle w:val="PageNumber"/>
          <w:b/>
          <w:u w:val="single"/>
        </w:rPr>
        <w:t>I</w:t>
      </w:r>
      <w:r w:rsidR="00E1720D" w:rsidRPr="009E3778">
        <w:rPr>
          <w:rStyle w:val="PageNumber"/>
          <w:b/>
          <w:u w:val="single"/>
        </w:rPr>
        <w:t>V.</w:t>
      </w:r>
      <w:r w:rsidR="000623D1">
        <w:rPr>
          <w:rStyle w:val="PageNumber"/>
          <w:b/>
          <w:u w:val="single"/>
        </w:rPr>
        <w:t xml:space="preserve"> </w:t>
      </w:r>
      <w:r w:rsidR="00E1720D" w:rsidRPr="009E3778">
        <w:rPr>
          <w:rStyle w:val="PageNumber"/>
          <w:b/>
          <w:u w:val="single"/>
        </w:rPr>
        <w:t>MATURING DEBT</w:t>
      </w:r>
    </w:p>
    <w:p w:rsidR="00E1720D" w:rsidRDefault="00E1720D" w:rsidP="00E1720D">
      <w:pPr>
        <w:tabs>
          <w:tab w:val="left" w:pos="0"/>
        </w:tabs>
        <w:spacing w:before="0" w:after="0" w:line="480" w:lineRule="auto"/>
        <w:ind w:left="0" w:right="0" w:firstLine="720"/>
        <w:rPr>
          <w:rStyle w:val="PageNumber"/>
          <w:u w:val="single"/>
        </w:rPr>
      </w:pPr>
      <w:r w:rsidRPr="00590828">
        <w:rPr>
          <w:b/>
        </w:rPr>
        <w:t>Q.</w:t>
      </w:r>
      <w:r>
        <w:rPr>
          <w:b/>
        </w:rPr>
        <w:tab/>
      </w:r>
      <w:r w:rsidR="009239CF">
        <w:rPr>
          <w:b/>
        </w:rPr>
        <w:t>How is Avista affected by maturing debt obligations in the next five years</w:t>
      </w:r>
      <w:r w:rsidRPr="00590828">
        <w:rPr>
          <w:b/>
        </w:rPr>
        <w:t>?</w:t>
      </w:r>
    </w:p>
    <w:p w:rsidR="00BE1645" w:rsidRDefault="00E1720D" w:rsidP="00BE1645">
      <w:pPr>
        <w:tabs>
          <w:tab w:val="left" w:pos="0"/>
        </w:tabs>
        <w:spacing w:before="0" w:after="0" w:line="480" w:lineRule="auto"/>
        <w:ind w:left="0" w:right="0" w:firstLine="720"/>
      </w:pPr>
      <w:r>
        <w:t>A.</w:t>
      </w:r>
      <w:r>
        <w:tab/>
      </w:r>
      <w:r w:rsidR="0035152B">
        <w:t>In the next five years t</w:t>
      </w:r>
      <w:r w:rsidR="009239CF">
        <w:t>he Company is obligated to repay maturing long-term debt totaling $</w:t>
      </w:r>
      <w:r w:rsidR="001A3F7D">
        <w:t>504</w:t>
      </w:r>
      <w:r w:rsidR="0035152B">
        <w:t>.5 million</w:t>
      </w:r>
      <w:r w:rsidR="009239CF">
        <w:t xml:space="preserve">. </w:t>
      </w:r>
      <w:r w:rsidR="002D231B">
        <w:t xml:space="preserve"> </w:t>
      </w:r>
      <w:r w:rsidR="009239CF">
        <w:t xml:space="preserve">The table in Illustration No. </w:t>
      </w:r>
      <w:r w:rsidR="00F728B0">
        <w:t>3</w:t>
      </w:r>
      <w:r w:rsidR="009239CF">
        <w:t xml:space="preserve"> </w:t>
      </w:r>
      <w:r w:rsidR="003E3059">
        <w:t xml:space="preserve">below </w:t>
      </w:r>
      <w:r w:rsidR="009239CF">
        <w:t>shows the Company</w:t>
      </w:r>
      <w:r w:rsidR="003E3059">
        <w:t>’s maturing</w:t>
      </w:r>
      <w:r w:rsidR="003F6894">
        <w:t xml:space="preserve"> long-term debt from 2016 through 2020</w:t>
      </w:r>
      <w:r w:rsidR="009239CF">
        <w:t>.</w:t>
      </w:r>
      <w:r w:rsidR="002D231B">
        <w:t xml:space="preserve"> </w:t>
      </w:r>
      <w:r w:rsidR="009239CF">
        <w:t xml:space="preserve"> </w:t>
      </w:r>
      <w:r w:rsidR="00980F78">
        <w:t xml:space="preserve">Within this five-year </w:t>
      </w:r>
      <w:r w:rsidR="009E3778">
        <w:t>period</w:t>
      </w:r>
      <w:r w:rsidR="00980F78">
        <w:t xml:space="preserve">, </w:t>
      </w:r>
      <w:r w:rsidR="00283138">
        <w:t xml:space="preserve">a large concentration – </w:t>
      </w:r>
      <w:r w:rsidR="00980F78">
        <w:t>$272.5 million</w:t>
      </w:r>
      <w:r w:rsidR="00283138">
        <w:t xml:space="preserve"> – </w:t>
      </w:r>
      <w:r w:rsidR="00980F78">
        <w:t>mature</w:t>
      </w:r>
      <w:r w:rsidR="00283138">
        <w:t>s</w:t>
      </w:r>
      <w:r w:rsidR="00980F78">
        <w:t xml:space="preserve"> </w:t>
      </w:r>
      <w:r w:rsidR="00283138">
        <w:t>with</w:t>
      </w:r>
      <w:r w:rsidR="00980F78">
        <w:t xml:space="preserve">in </w:t>
      </w:r>
      <w:r w:rsidR="00283138">
        <w:t xml:space="preserve">the second quarter </w:t>
      </w:r>
      <w:r w:rsidR="00980F78">
        <w:t xml:space="preserve">of 2018. </w:t>
      </w:r>
      <w:r w:rsidR="00BE1645">
        <w:br w:type="page"/>
      </w:r>
    </w:p>
    <w:p w:rsidR="00E445AD" w:rsidRDefault="00EC242A" w:rsidP="002734DE">
      <w:pPr>
        <w:tabs>
          <w:tab w:val="left" w:pos="0"/>
        </w:tabs>
        <w:spacing w:before="0" w:after="0" w:line="480" w:lineRule="auto"/>
        <w:ind w:left="0" w:right="0"/>
        <w:rPr>
          <w:b/>
          <w:u w:val="single"/>
        </w:rPr>
      </w:pPr>
      <w:r w:rsidRPr="001A3F7D">
        <w:rPr>
          <w:noProof/>
        </w:rPr>
        <w:lastRenderedPageBreak/>
        <w:drawing>
          <wp:anchor distT="0" distB="0" distL="114300" distR="114300" simplePos="0" relativeHeight="251671040" behindDoc="1" locked="0" layoutInCell="1" allowOverlap="1">
            <wp:simplePos x="0" y="0"/>
            <wp:positionH relativeFrom="page">
              <wp:posOffset>1192378</wp:posOffset>
            </wp:positionH>
            <wp:positionV relativeFrom="paragraph">
              <wp:posOffset>239573</wp:posOffset>
            </wp:positionV>
            <wp:extent cx="5669280" cy="2319655"/>
            <wp:effectExtent l="0" t="0" r="762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9280" cy="2319655"/>
                    </a:xfrm>
                    <a:prstGeom prst="rect">
                      <a:avLst/>
                    </a:prstGeom>
                    <a:noFill/>
                    <a:ln>
                      <a:noFill/>
                    </a:ln>
                  </pic:spPr>
                </pic:pic>
              </a:graphicData>
            </a:graphic>
          </wp:anchor>
        </w:drawing>
      </w:r>
      <w:r w:rsidR="00E445AD" w:rsidRPr="00332F24">
        <w:rPr>
          <w:b/>
          <w:u w:val="single"/>
        </w:rPr>
        <w:t xml:space="preserve">Illustration No. </w:t>
      </w:r>
      <w:r w:rsidR="00F728B0">
        <w:rPr>
          <w:b/>
          <w:u w:val="single"/>
        </w:rPr>
        <w:t>3</w:t>
      </w: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401023" w:rsidRDefault="00283138" w:rsidP="003312AA">
      <w:pPr>
        <w:tabs>
          <w:tab w:val="left" w:pos="0"/>
        </w:tabs>
        <w:spacing w:before="0" w:after="0" w:line="480" w:lineRule="auto"/>
        <w:ind w:left="0" w:right="0" w:firstLine="720"/>
      </w:pPr>
      <w:r>
        <w:t>These debt obligations originated as early as 1993 and their</w:t>
      </w:r>
      <w:r w:rsidR="002252FC">
        <w:t xml:space="preserve"> original terms were three</w:t>
      </w:r>
      <w:r>
        <w:t xml:space="preserve">, ten, fifteen and twenty-five years. </w:t>
      </w:r>
      <w:r w:rsidR="002D231B">
        <w:t xml:space="preserve"> </w:t>
      </w:r>
      <w:r>
        <w:t>These maturing obligati</w:t>
      </w:r>
      <w:r w:rsidR="003F6894">
        <w:t xml:space="preserve">ons represent </w:t>
      </w:r>
      <w:r w:rsidR="005A2AAD">
        <w:t>over a third (36</w:t>
      </w:r>
      <w:r>
        <w:t>%) of the Company’s long-term deb</w:t>
      </w:r>
      <w:r w:rsidR="003F6894">
        <w:t>t outstanding at the end of 2015</w:t>
      </w:r>
      <w:r>
        <w:t xml:space="preserve">, which is a significant portion of our capital structure. </w:t>
      </w:r>
      <w:r w:rsidR="002D231B">
        <w:t xml:space="preserve"> </w:t>
      </w:r>
      <w:r w:rsidR="00401023">
        <w:t xml:space="preserve">The Company typically replaces maturing long-term debt with new issuances of debt. </w:t>
      </w:r>
      <w:r w:rsidR="002D231B">
        <w:t xml:space="preserve"> </w:t>
      </w:r>
      <w:r w:rsidR="00401023">
        <w:t>It will be necessary for Avista to be in a favorable financial position to complete the expected debt refunding, while also obtaining debt and equity to fund capital expenditures each year.</w:t>
      </w:r>
    </w:p>
    <w:p w:rsidR="000B2B3C" w:rsidRDefault="000B2B3C" w:rsidP="000623D1">
      <w:pPr>
        <w:tabs>
          <w:tab w:val="left" w:pos="0"/>
        </w:tabs>
        <w:spacing w:before="0" w:after="0" w:line="480" w:lineRule="auto"/>
        <w:ind w:left="0" w:right="0" w:firstLine="720"/>
        <w:rPr>
          <w:b/>
        </w:rPr>
      </w:pPr>
      <w:r>
        <w:rPr>
          <w:b/>
        </w:rPr>
        <w:t>Q.</w:t>
      </w:r>
      <w:r>
        <w:rPr>
          <w:b/>
        </w:rPr>
        <w:tab/>
        <w:t xml:space="preserve">What are the Company’s expected long-term debt issuances </w:t>
      </w:r>
      <w:r w:rsidR="0097462F">
        <w:rPr>
          <w:b/>
        </w:rPr>
        <w:t>in the next several years</w:t>
      </w:r>
      <w:r>
        <w:rPr>
          <w:b/>
        </w:rPr>
        <w:t>?</w:t>
      </w:r>
    </w:p>
    <w:p w:rsidR="000B2B3C" w:rsidRDefault="000B2B3C" w:rsidP="003550C1">
      <w:pPr>
        <w:adjustRightInd w:val="0"/>
        <w:spacing w:before="0" w:after="0" w:line="480" w:lineRule="auto"/>
        <w:ind w:left="0" w:right="0" w:firstLine="720"/>
        <w:rPr>
          <w:b/>
        </w:rPr>
      </w:pPr>
      <w:r w:rsidRPr="00EC0110">
        <w:t>A.</w:t>
      </w:r>
      <w:r>
        <w:tab/>
        <w:t xml:space="preserve">To provide adequate funding for the significant capital expenditures noted in Section </w:t>
      </w:r>
      <w:r w:rsidR="00954A95">
        <w:t xml:space="preserve">IV </w:t>
      </w:r>
      <w:r>
        <w:t xml:space="preserve">above and to repay maturing long-term debt, we are forecasting the issuance of long-term debt </w:t>
      </w:r>
      <w:r w:rsidR="0097462F">
        <w:t xml:space="preserve">every year for the next several years, as shown in </w:t>
      </w:r>
      <w:r w:rsidRPr="0083319A">
        <w:t>confidential Exhibit No. (MTT-5C).</w:t>
      </w:r>
      <w:r>
        <w:t xml:space="preserve">   </w:t>
      </w:r>
    </w:p>
    <w:p w:rsidR="000B2B3C" w:rsidRPr="000B2B3C" w:rsidRDefault="001D370F" w:rsidP="00E1720D">
      <w:pPr>
        <w:tabs>
          <w:tab w:val="left" w:pos="0"/>
        </w:tabs>
        <w:spacing w:before="0" w:after="0" w:line="480" w:lineRule="auto"/>
        <w:ind w:left="0" w:right="0" w:firstLine="720"/>
        <w:rPr>
          <w:b/>
        </w:rPr>
      </w:pPr>
      <w:r w:rsidRPr="001D370F">
        <w:rPr>
          <w:b/>
        </w:rPr>
        <w:t>Q.</w:t>
      </w:r>
      <w:r w:rsidRPr="001D370F">
        <w:rPr>
          <w:b/>
        </w:rPr>
        <w:tab/>
        <w:t>Are there other debt obligations that the Company must consider?</w:t>
      </w:r>
    </w:p>
    <w:p w:rsidR="000F36F0" w:rsidRDefault="000B2B3C" w:rsidP="00E1720D">
      <w:pPr>
        <w:tabs>
          <w:tab w:val="left" w:pos="0"/>
        </w:tabs>
        <w:spacing w:before="0" w:after="0" w:line="480" w:lineRule="auto"/>
        <w:ind w:left="0" w:right="0" w:firstLine="720"/>
      </w:pPr>
      <w:r>
        <w:lastRenderedPageBreak/>
        <w:t>A.</w:t>
      </w:r>
      <w:r>
        <w:tab/>
        <w:t>Yes.</w:t>
      </w:r>
      <w:r w:rsidR="00544E2D">
        <w:t xml:space="preserve"> </w:t>
      </w:r>
      <w:r>
        <w:t xml:space="preserve"> </w:t>
      </w:r>
      <w:r w:rsidR="000F36F0">
        <w:t>In addition to long-term debt, the Company’s $400 million revolving credit facility expires in April 2019.</w:t>
      </w:r>
      <w:r w:rsidR="002D231B">
        <w:t xml:space="preserve"> </w:t>
      </w:r>
      <w:r w:rsidR="000F36F0">
        <w:t xml:space="preserve"> The Company relies on</w:t>
      </w:r>
      <w:r w:rsidRPr="000B2B3C">
        <w:t xml:space="preserve"> </w:t>
      </w:r>
      <w:r>
        <w:t>this credit facility</w:t>
      </w:r>
      <w:r w:rsidR="000F36F0">
        <w:t xml:space="preserve"> to provide,</w:t>
      </w:r>
      <w:r w:rsidR="00D66A02">
        <w:t xml:space="preserve"> among other things, funding to cover month-to-month variations in cash flows,</w:t>
      </w:r>
      <w:r w:rsidR="000F36F0">
        <w:t xml:space="preserve"> interim funding for capital expenditures, and credit support in the form of cash and letters of credit that are required for energy resources commitments and other contractual obligations. </w:t>
      </w:r>
      <w:r w:rsidR="002D231B">
        <w:t xml:space="preserve"> </w:t>
      </w:r>
      <w:r w:rsidR="00C761C1">
        <w:t xml:space="preserve">Our credit facility was amended in April 2014, which stretched the expiration date to </w:t>
      </w:r>
      <w:r w:rsidR="006D2978">
        <w:t xml:space="preserve">April 2019, </w:t>
      </w:r>
      <w:r w:rsidR="00C761C1">
        <w:t xml:space="preserve">five years past the amendment date, and reduced interest rates and fees.  </w:t>
      </w:r>
      <w:r w:rsidR="000F36F0">
        <w:t xml:space="preserve">We expect to initiate the renewal or replacement of the credit facility before the existing arrangement expires. </w:t>
      </w:r>
      <w:r w:rsidR="002D231B">
        <w:t xml:space="preserve"> </w:t>
      </w:r>
      <w:r w:rsidR="002252FC">
        <w:t xml:space="preserve">Any outstanding balances borrowed under the revolving credit facility become due and payable when the facility expires.  </w:t>
      </w:r>
      <w:r w:rsidR="000F36F0">
        <w:t>Again, a strong financial position will be necessary to gain access to a new or renewed revolving credit facility prior to expiration of the existing facility.</w:t>
      </w:r>
      <w:r w:rsidR="00544E2D">
        <w:t xml:space="preserve"> </w:t>
      </w:r>
      <w:r w:rsidR="000F36F0">
        <w:t xml:space="preserve"> </w:t>
      </w:r>
    </w:p>
    <w:p w:rsidR="001C687C" w:rsidRDefault="001C687C" w:rsidP="00E1720D">
      <w:pPr>
        <w:tabs>
          <w:tab w:val="left" w:pos="0"/>
        </w:tabs>
        <w:spacing w:before="0" w:after="0" w:line="480" w:lineRule="auto"/>
        <w:ind w:left="0" w:right="0" w:firstLine="720"/>
      </w:pPr>
    </w:p>
    <w:p w:rsidR="00963C3D" w:rsidRPr="00913636" w:rsidRDefault="00031FC5" w:rsidP="009E3778">
      <w:pPr>
        <w:keepNext/>
        <w:tabs>
          <w:tab w:val="left" w:pos="0"/>
        </w:tabs>
        <w:spacing w:before="0" w:after="0" w:line="480" w:lineRule="auto"/>
        <w:ind w:left="0" w:right="0"/>
        <w:jc w:val="center"/>
        <w:rPr>
          <w:rStyle w:val="PageNumber"/>
          <w:b/>
          <w:bCs/>
          <w:u w:val="single"/>
        </w:rPr>
      </w:pPr>
      <w:r w:rsidRPr="009E3778">
        <w:rPr>
          <w:rStyle w:val="PageNumber"/>
          <w:b/>
          <w:u w:val="single"/>
        </w:rPr>
        <w:t>V</w:t>
      </w:r>
      <w:r w:rsidR="0075725E" w:rsidRPr="009E3778">
        <w:rPr>
          <w:rStyle w:val="PageNumber"/>
          <w:b/>
          <w:u w:val="single"/>
        </w:rPr>
        <w:t>. CAPIT</w:t>
      </w:r>
      <w:r w:rsidR="0075725E" w:rsidRPr="00913636">
        <w:rPr>
          <w:rStyle w:val="PageNumber"/>
          <w:b/>
          <w:u w:val="single"/>
        </w:rPr>
        <w:t>AL STRUCTURE</w:t>
      </w:r>
    </w:p>
    <w:p w:rsidR="00590828" w:rsidRDefault="00590828" w:rsidP="00E83685">
      <w:pPr>
        <w:tabs>
          <w:tab w:val="left" w:pos="0"/>
        </w:tabs>
        <w:spacing w:before="0" w:after="0" w:line="480" w:lineRule="auto"/>
        <w:ind w:left="0" w:right="0" w:firstLine="720"/>
        <w:rPr>
          <w:rStyle w:val="PageNumber"/>
          <w:u w:val="single"/>
        </w:rPr>
      </w:pPr>
      <w:r w:rsidRPr="00590828">
        <w:rPr>
          <w:b/>
        </w:rPr>
        <w:t>Q.</w:t>
      </w:r>
      <w:r w:rsidR="00327636">
        <w:rPr>
          <w:b/>
        </w:rPr>
        <w:tab/>
      </w:r>
      <w:r w:rsidRPr="00590828">
        <w:rPr>
          <w:b/>
        </w:rPr>
        <w:t xml:space="preserve">What capital structure and rate of return </w:t>
      </w:r>
      <w:r w:rsidR="00E14D3D">
        <w:rPr>
          <w:b/>
        </w:rPr>
        <w:t>doe</w:t>
      </w:r>
      <w:r w:rsidR="00E14D3D" w:rsidRPr="00590828">
        <w:rPr>
          <w:b/>
        </w:rPr>
        <w:t>s</w:t>
      </w:r>
      <w:r w:rsidR="00E14D3D">
        <w:rPr>
          <w:b/>
        </w:rPr>
        <w:t xml:space="preserve"> </w:t>
      </w:r>
      <w:r w:rsidRPr="00590828">
        <w:rPr>
          <w:b/>
        </w:rPr>
        <w:t>the Company request in</w:t>
      </w:r>
      <w:r>
        <w:rPr>
          <w:b/>
        </w:rPr>
        <w:t xml:space="preserve"> </w:t>
      </w:r>
      <w:r w:rsidRPr="00590828">
        <w:rPr>
          <w:b/>
        </w:rPr>
        <w:t>this proceeding?</w:t>
      </w:r>
    </w:p>
    <w:p w:rsidR="00BE1645" w:rsidRDefault="00590828" w:rsidP="00BE1645">
      <w:pPr>
        <w:tabs>
          <w:tab w:val="left" w:pos="0"/>
        </w:tabs>
        <w:spacing w:before="0" w:after="0" w:line="480" w:lineRule="auto"/>
        <w:ind w:left="0" w:right="0" w:firstLine="720"/>
      </w:pPr>
      <w:r>
        <w:t>A.</w:t>
      </w:r>
      <w:r w:rsidR="00327636">
        <w:tab/>
      </w:r>
      <w:r w:rsidR="00E57CD8">
        <w:t>O</w:t>
      </w:r>
      <w:r w:rsidR="001E3244">
        <w:t>ur</w:t>
      </w:r>
      <w:r>
        <w:t xml:space="preserve"> requested capital structure </w:t>
      </w:r>
      <w:r w:rsidR="001E3244">
        <w:t>is</w:t>
      </w:r>
      <w:r>
        <w:t xml:space="preserve"> </w:t>
      </w:r>
      <w:r w:rsidR="00220B2E">
        <w:t>51.5</w:t>
      </w:r>
      <w:r>
        <w:t xml:space="preserve"> percent </w:t>
      </w:r>
      <w:r w:rsidR="00F13E3D">
        <w:t xml:space="preserve">total </w:t>
      </w:r>
      <w:r>
        <w:t xml:space="preserve">debt and </w:t>
      </w:r>
      <w:r w:rsidR="00EB7122" w:rsidRPr="00EB7122">
        <w:t>48</w:t>
      </w:r>
      <w:r w:rsidR="00220B2E">
        <w:t>.5</w:t>
      </w:r>
      <w:r>
        <w:t xml:space="preserve"> percent </w:t>
      </w:r>
      <w:r w:rsidR="00F13E3D">
        <w:t xml:space="preserve">equity </w:t>
      </w:r>
      <w:r w:rsidR="00CD5357">
        <w:t xml:space="preserve">with </w:t>
      </w:r>
      <w:r>
        <w:t xml:space="preserve">a requested overall rate of return in this </w:t>
      </w:r>
      <w:r w:rsidRPr="002765FE">
        <w:t xml:space="preserve">proceeding </w:t>
      </w:r>
      <w:r w:rsidR="001E3244" w:rsidRPr="002765FE">
        <w:t>of</w:t>
      </w:r>
      <w:r w:rsidRPr="002765FE">
        <w:t xml:space="preserve"> </w:t>
      </w:r>
      <w:r w:rsidR="00220B2E" w:rsidRPr="002765FE">
        <w:t>7.</w:t>
      </w:r>
      <w:r w:rsidR="00126DAA" w:rsidRPr="002765FE">
        <w:t>6</w:t>
      </w:r>
      <w:r w:rsidR="001A6ED4" w:rsidRPr="002765FE">
        <w:t>4</w:t>
      </w:r>
      <w:r w:rsidR="00126DAA" w:rsidRPr="002765FE">
        <w:t xml:space="preserve"> </w:t>
      </w:r>
      <w:r w:rsidRPr="002765FE">
        <w:t>percent, as shown in</w:t>
      </w:r>
      <w:r>
        <w:t xml:space="preserve"> </w:t>
      </w:r>
      <w:r w:rsidR="009E5796">
        <w:t>Illustration</w:t>
      </w:r>
      <w:r>
        <w:t xml:space="preserve"> </w:t>
      </w:r>
      <w:r w:rsidR="00E83685">
        <w:t xml:space="preserve">No. </w:t>
      </w:r>
      <w:r w:rsidR="00F728B0">
        <w:t>4</w:t>
      </w:r>
      <w:r w:rsidR="00126DAA">
        <w:t xml:space="preserve"> </w:t>
      </w:r>
      <w:r w:rsidR="00E53E64">
        <w:t>below</w:t>
      </w:r>
      <w:r w:rsidR="00274E60">
        <w:t xml:space="preserve">. </w:t>
      </w:r>
      <w:r w:rsidR="002D231B">
        <w:t xml:space="preserve"> </w:t>
      </w:r>
      <w:r w:rsidR="00274E60">
        <w:t xml:space="preserve">The requested capital structure is </w:t>
      </w:r>
      <w:r w:rsidR="00025E4B">
        <w:t>a</w:t>
      </w:r>
      <w:r w:rsidR="001C687C">
        <w:t>n estimated</w:t>
      </w:r>
      <w:r w:rsidR="00025E4B">
        <w:t xml:space="preserve"> </w:t>
      </w:r>
      <w:r w:rsidR="002C7ADB">
        <w:t xml:space="preserve">capital structure </w:t>
      </w:r>
      <w:r w:rsidR="00025E4B">
        <w:t>during</w:t>
      </w:r>
      <w:r w:rsidR="00274E60">
        <w:t xml:space="preserve"> </w:t>
      </w:r>
      <w:r w:rsidR="001A6ED4">
        <w:t>2017</w:t>
      </w:r>
      <w:r w:rsidR="00274E60">
        <w:t>.</w:t>
      </w:r>
      <w:r w:rsidR="00BE1645">
        <w:br w:type="page"/>
      </w:r>
    </w:p>
    <w:p w:rsidR="003312AA" w:rsidRDefault="009E5796" w:rsidP="003312AA">
      <w:pPr>
        <w:keepNext/>
        <w:tabs>
          <w:tab w:val="left" w:pos="540"/>
        </w:tabs>
        <w:spacing w:before="0" w:after="0" w:line="480" w:lineRule="auto"/>
        <w:ind w:left="0" w:right="0"/>
        <w:rPr>
          <w:b/>
        </w:rPr>
      </w:pPr>
      <w:r w:rsidRPr="002765FE">
        <w:rPr>
          <w:b/>
          <w:u w:val="single"/>
        </w:rPr>
        <w:lastRenderedPageBreak/>
        <w:t>Illustration</w:t>
      </w:r>
      <w:r w:rsidR="00E53E64" w:rsidRPr="002765FE">
        <w:rPr>
          <w:b/>
          <w:u w:val="single"/>
        </w:rPr>
        <w:t xml:space="preserve"> </w:t>
      </w:r>
      <w:r w:rsidR="00E83685" w:rsidRPr="002765FE">
        <w:rPr>
          <w:b/>
          <w:u w:val="single"/>
        </w:rPr>
        <w:t xml:space="preserve">No. </w:t>
      </w:r>
      <w:r w:rsidR="00F728B0">
        <w:rPr>
          <w:b/>
          <w:u w:val="single"/>
        </w:rPr>
        <w:t>4</w:t>
      </w:r>
    </w:p>
    <w:p w:rsidR="003312AA" w:rsidRDefault="003312AA" w:rsidP="001016EF">
      <w:pPr>
        <w:autoSpaceDE/>
        <w:autoSpaceDN/>
        <w:spacing w:before="0" w:after="0" w:line="480" w:lineRule="auto"/>
        <w:ind w:left="0" w:right="0" w:firstLine="720"/>
        <w:rPr>
          <w:b/>
        </w:rPr>
      </w:pPr>
      <w:r w:rsidRPr="001A6ED4">
        <w:rPr>
          <w:noProof/>
        </w:rPr>
        <w:drawing>
          <wp:anchor distT="0" distB="0" distL="114300" distR="114300" simplePos="0" relativeHeight="251670016" behindDoc="1" locked="0" layoutInCell="1" allowOverlap="1">
            <wp:simplePos x="0" y="0"/>
            <wp:positionH relativeFrom="margin">
              <wp:align>left</wp:align>
            </wp:positionH>
            <wp:positionV relativeFrom="paragraph">
              <wp:posOffset>13335</wp:posOffset>
            </wp:positionV>
            <wp:extent cx="5669280" cy="1904365"/>
            <wp:effectExtent l="0" t="0" r="762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9280" cy="1904365"/>
                    </a:xfrm>
                    <a:prstGeom prst="rect">
                      <a:avLst/>
                    </a:prstGeom>
                    <a:noFill/>
                    <a:ln>
                      <a:noFill/>
                    </a:ln>
                  </pic:spPr>
                </pic:pic>
              </a:graphicData>
            </a:graphic>
          </wp:anchor>
        </w:drawing>
      </w:r>
    </w:p>
    <w:p w:rsidR="003312AA" w:rsidRDefault="003312AA" w:rsidP="001016EF">
      <w:pPr>
        <w:autoSpaceDE/>
        <w:autoSpaceDN/>
        <w:spacing w:before="0" w:after="0" w:line="480" w:lineRule="auto"/>
        <w:ind w:left="0" w:right="0" w:firstLine="720"/>
        <w:rPr>
          <w:b/>
        </w:rPr>
      </w:pPr>
    </w:p>
    <w:p w:rsidR="003312AA" w:rsidRDefault="003312AA" w:rsidP="001016EF">
      <w:pPr>
        <w:autoSpaceDE/>
        <w:autoSpaceDN/>
        <w:spacing w:before="0" w:after="0" w:line="480" w:lineRule="auto"/>
        <w:ind w:left="0" w:right="0" w:firstLine="720"/>
        <w:rPr>
          <w:b/>
        </w:rPr>
      </w:pPr>
    </w:p>
    <w:p w:rsidR="003312AA" w:rsidRDefault="003312AA" w:rsidP="001016EF">
      <w:pPr>
        <w:autoSpaceDE/>
        <w:autoSpaceDN/>
        <w:spacing w:before="0" w:after="0" w:line="480" w:lineRule="auto"/>
        <w:ind w:left="0" w:right="0" w:firstLine="720"/>
        <w:rPr>
          <w:b/>
        </w:rPr>
      </w:pPr>
    </w:p>
    <w:p w:rsidR="003312AA" w:rsidRDefault="003312AA" w:rsidP="001016EF">
      <w:pPr>
        <w:autoSpaceDE/>
        <w:autoSpaceDN/>
        <w:spacing w:before="0" w:after="0" w:line="480" w:lineRule="auto"/>
        <w:ind w:left="0" w:right="0" w:firstLine="720"/>
        <w:rPr>
          <w:b/>
        </w:rPr>
      </w:pPr>
    </w:p>
    <w:p w:rsidR="003F1D84" w:rsidRDefault="003F1D84" w:rsidP="001016EF">
      <w:pPr>
        <w:autoSpaceDE/>
        <w:autoSpaceDN/>
        <w:spacing w:before="0" w:after="0" w:line="480" w:lineRule="auto"/>
        <w:ind w:left="0" w:right="0" w:firstLine="720"/>
        <w:rPr>
          <w:b/>
        </w:rPr>
      </w:pPr>
    </w:p>
    <w:p w:rsidR="00F27327" w:rsidRDefault="003F6497" w:rsidP="001016EF">
      <w:pPr>
        <w:autoSpaceDE/>
        <w:autoSpaceDN/>
        <w:spacing w:before="0" w:after="0" w:line="480" w:lineRule="auto"/>
        <w:ind w:left="0" w:right="0" w:firstLine="720"/>
        <w:rPr>
          <w:b/>
        </w:rPr>
      </w:pPr>
      <w:r w:rsidRPr="00AC7B8B">
        <w:rPr>
          <w:b/>
        </w:rPr>
        <w:t xml:space="preserve">Q. </w:t>
      </w:r>
      <w:r w:rsidR="005D3D0C">
        <w:rPr>
          <w:b/>
        </w:rPr>
        <w:tab/>
      </w:r>
      <w:r w:rsidRPr="00AC7B8B">
        <w:rPr>
          <w:b/>
        </w:rPr>
        <w:t xml:space="preserve">Is the capital structure reflected in </w:t>
      </w:r>
      <w:r w:rsidR="00E73079">
        <w:rPr>
          <w:b/>
        </w:rPr>
        <w:t>Illustration</w:t>
      </w:r>
      <w:r w:rsidR="00A27F11">
        <w:rPr>
          <w:b/>
        </w:rPr>
        <w:t xml:space="preserve"> No.</w:t>
      </w:r>
      <w:r w:rsidRPr="00AC7B8B">
        <w:rPr>
          <w:b/>
        </w:rPr>
        <w:t xml:space="preserve"> </w:t>
      </w:r>
      <w:r w:rsidR="00F728B0">
        <w:rPr>
          <w:b/>
        </w:rPr>
        <w:t>4</w:t>
      </w:r>
      <w:r w:rsidR="00882FA4" w:rsidRPr="00AC7B8B">
        <w:rPr>
          <w:b/>
        </w:rPr>
        <w:t xml:space="preserve"> </w:t>
      </w:r>
      <w:r w:rsidRPr="00AC7B8B">
        <w:rPr>
          <w:b/>
        </w:rPr>
        <w:t xml:space="preserve">above calculated in a manner similar to the capital structure calculated in </w:t>
      </w:r>
      <w:r>
        <w:rPr>
          <w:b/>
        </w:rPr>
        <w:t>Avista</w:t>
      </w:r>
      <w:r w:rsidRPr="00AC7B8B">
        <w:rPr>
          <w:b/>
        </w:rPr>
        <w:t>'s recent rate</w:t>
      </w:r>
      <w:r>
        <w:rPr>
          <w:b/>
        </w:rPr>
        <w:t xml:space="preserve"> </w:t>
      </w:r>
      <w:r w:rsidRPr="00AC7B8B">
        <w:rPr>
          <w:b/>
        </w:rPr>
        <w:t>proceedings?</w:t>
      </w:r>
    </w:p>
    <w:p w:rsidR="00882FA4" w:rsidRDefault="003F6497" w:rsidP="001016EF">
      <w:pPr>
        <w:spacing w:before="0" w:after="0" w:line="480" w:lineRule="auto"/>
        <w:ind w:left="0" w:right="0" w:firstLine="720"/>
      </w:pPr>
      <w:r w:rsidRPr="00AC7B8B">
        <w:t xml:space="preserve">A. </w:t>
      </w:r>
      <w:r w:rsidR="005D3D0C">
        <w:tab/>
      </w:r>
      <w:r w:rsidRPr="00AC7B8B">
        <w:t>Yes.</w:t>
      </w:r>
      <w:r>
        <w:t xml:space="preserve"> </w:t>
      </w:r>
      <w:r w:rsidR="002D231B">
        <w:t xml:space="preserve"> </w:t>
      </w:r>
      <w:r w:rsidR="001E2F09" w:rsidRPr="001E2F09">
        <w:t xml:space="preserve">This methodology </w:t>
      </w:r>
      <w:r w:rsidR="00D7722D">
        <w:t xml:space="preserve">considers </w:t>
      </w:r>
      <w:r w:rsidR="001E2F09" w:rsidRPr="001E2F09">
        <w:t xml:space="preserve">debt </w:t>
      </w:r>
      <w:r w:rsidR="00D7722D">
        <w:t xml:space="preserve">and equity </w:t>
      </w:r>
      <w:r w:rsidR="001E2F09" w:rsidRPr="001E2F09">
        <w:t xml:space="preserve">outstanding </w:t>
      </w:r>
      <w:r w:rsidR="00D7722D">
        <w:t>for</w:t>
      </w:r>
      <w:r w:rsidR="00D7722D" w:rsidRPr="001E2F09">
        <w:t xml:space="preserve"> </w:t>
      </w:r>
      <w:r w:rsidR="00D7722D">
        <w:t xml:space="preserve">Avista </w:t>
      </w:r>
      <w:r w:rsidR="00025E4B">
        <w:t xml:space="preserve">Corp. </w:t>
      </w:r>
      <w:r w:rsidR="009D6F35">
        <w:t xml:space="preserve"> </w:t>
      </w:r>
      <w:r w:rsidR="00875EC9">
        <w:t xml:space="preserve">We have included a </w:t>
      </w:r>
      <w:r w:rsidR="00652B63">
        <w:t xml:space="preserve">short-term debt </w:t>
      </w:r>
      <w:r w:rsidR="00875EC9">
        <w:t xml:space="preserve">balance of </w:t>
      </w:r>
      <w:r w:rsidR="001D370F" w:rsidRPr="001D370F">
        <w:t>$100 million</w:t>
      </w:r>
      <w:r w:rsidR="00875EC9">
        <w:t xml:space="preserve">, which represents </w:t>
      </w:r>
      <w:r w:rsidR="00E73079" w:rsidRPr="002765FE">
        <w:t xml:space="preserve">approximately </w:t>
      </w:r>
      <w:r w:rsidR="002765FE">
        <w:t>3.1</w:t>
      </w:r>
      <w:r w:rsidR="001D370F" w:rsidRPr="002765FE">
        <w:t>2</w:t>
      </w:r>
      <w:r w:rsidR="00875EC9" w:rsidRPr="002765FE">
        <w:t xml:space="preserve"> percent of our overall capital structure.</w:t>
      </w:r>
      <w:r w:rsidR="00875EC9">
        <w:t xml:space="preserve"> </w:t>
      </w:r>
    </w:p>
    <w:p w:rsidR="003F6497" w:rsidRPr="005D3D0C" w:rsidRDefault="00025E4B" w:rsidP="001016EF">
      <w:pPr>
        <w:spacing w:before="0" w:after="0" w:line="480" w:lineRule="auto"/>
        <w:ind w:left="0" w:right="0" w:firstLine="720"/>
      </w:pPr>
      <w:r>
        <w:t>Debt and equity for AERC, which was acquired in mid-2014, are excluded from this calculation and</w:t>
      </w:r>
      <w:r w:rsidR="00882FA4">
        <w:t xml:space="preserve"> </w:t>
      </w:r>
      <w:r w:rsidR="00421905">
        <w:t xml:space="preserve">do not impact </w:t>
      </w:r>
      <w:r w:rsidR="00882FA4">
        <w:t>the</w:t>
      </w:r>
      <w:r w:rsidR="00421905">
        <w:t xml:space="preserve"> capital structure </w:t>
      </w:r>
      <w:r w:rsidR="00882FA4">
        <w:t xml:space="preserve">calculation for </w:t>
      </w:r>
      <w:r w:rsidR="00B64A4B">
        <w:t>this</w:t>
      </w:r>
      <w:r w:rsidR="00882FA4">
        <w:t xml:space="preserve"> rate proceeding.</w:t>
      </w:r>
      <w:r w:rsidR="002D231B">
        <w:t xml:space="preserve"> </w:t>
      </w:r>
      <w:r w:rsidR="00882FA4">
        <w:t xml:space="preserve"> </w:t>
      </w:r>
    </w:p>
    <w:p w:rsidR="00D66BCD" w:rsidRDefault="00327636" w:rsidP="001016EF">
      <w:pPr>
        <w:spacing w:before="0" w:after="0" w:line="480" w:lineRule="auto"/>
        <w:ind w:left="0" w:right="0" w:firstLine="720"/>
        <w:rPr>
          <w:b/>
        </w:rPr>
      </w:pPr>
      <w:r>
        <w:rPr>
          <w:b/>
        </w:rPr>
        <w:t>Q.</w:t>
      </w:r>
      <w:r>
        <w:rPr>
          <w:b/>
        </w:rPr>
        <w:tab/>
      </w:r>
      <w:r w:rsidR="00D66BCD" w:rsidRPr="003C2DD3">
        <w:rPr>
          <w:b/>
        </w:rPr>
        <w:t xml:space="preserve">How does the Company determine the amount of </w:t>
      </w:r>
      <w:r w:rsidR="00D66BCD">
        <w:rPr>
          <w:b/>
        </w:rPr>
        <w:t xml:space="preserve">long-term debt, short-term debt and </w:t>
      </w:r>
      <w:r w:rsidR="00D66BCD" w:rsidRPr="003C2DD3">
        <w:rPr>
          <w:b/>
        </w:rPr>
        <w:t>common equity to be included in its capital structure?</w:t>
      </w:r>
    </w:p>
    <w:p w:rsidR="00D66BCD" w:rsidRDefault="00327636" w:rsidP="001016EF">
      <w:pPr>
        <w:spacing w:before="0" w:after="0" w:line="480" w:lineRule="auto"/>
        <w:ind w:left="0" w:right="0" w:firstLine="720"/>
      </w:pPr>
      <w:r>
        <w:t>A.</w:t>
      </w:r>
      <w:r>
        <w:tab/>
      </w:r>
      <w:r w:rsidR="00D66BCD" w:rsidRPr="001D7F4A">
        <w:t xml:space="preserve">As a regulated utility, </w:t>
      </w:r>
      <w:r w:rsidR="00D66BCD">
        <w:t xml:space="preserve">Avista </w:t>
      </w:r>
      <w:r w:rsidR="00D66BCD" w:rsidRPr="001D7F4A">
        <w:t xml:space="preserve">has an obligation to provide safe and reliable service to customers while balancing </w:t>
      </w:r>
      <w:r w:rsidR="00D7726A">
        <w:t xml:space="preserve">fiscal </w:t>
      </w:r>
      <w:r w:rsidR="00D66BCD">
        <w:t>safety and economy</w:t>
      </w:r>
      <w:r w:rsidR="00882FA4">
        <w:t>, in both the short term and long term</w:t>
      </w:r>
      <w:r w:rsidR="00D66BCD" w:rsidRPr="001D7F4A">
        <w:t xml:space="preserve">. </w:t>
      </w:r>
      <w:r w:rsidR="00544E2D">
        <w:t xml:space="preserve"> </w:t>
      </w:r>
      <w:r w:rsidR="00D66BCD" w:rsidRPr="001D7F4A">
        <w:t xml:space="preserve">Through </w:t>
      </w:r>
      <w:r w:rsidR="00D66BCD">
        <w:t>our</w:t>
      </w:r>
      <w:r w:rsidR="00025E4B">
        <w:t xml:space="preserve"> planning process</w:t>
      </w:r>
      <w:r w:rsidR="00D66BCD" w:rsidRPr="001D7F4A">
        <w:t xml:space="preserve"> </w:t>
      </w:r>
      <w:r w:rsidR="00D66BCD">
        <w:t>we</w:t>
      </w:r>
      <w:r w:rsidR="00D66BCD" w:rsidRPr="001D7F4A">
        <w:t xml:space="preserve"> determine the amount of new financing needed to support </w:t>
      </w:r>
      <w:r w:rsidR="00D66BCD">
        <w:t>our capital expenditure programs</w:t>
      </w:r>
      <w:r w:rsidR="008E7B70">
        <w:t xml:space="preserve"> while </w:t>
      </w:r>
      <w:r w:rsidR="00D66BCD" w:rsidRPr="001D7F4A">
        <w:t>maintain</w:t>
      </w:r>
      <w:r w:rsidR="008E7B70">
        <w:t>ing</w:t>
      </w:r>
      <w:r w:rsidR="00D66BCD" w:rsidRPr="001D7F4A">
        <w:t xml:space="preserve"> </w:t>
      </w:r>
      <w:r w:rsidR="00D66BCD">
        <w:t>a</w:t>
      </w:r>
      <w:r w:rsidR="008E7B70">
        <w:t xml:space="preserve">n optimal </w:t>
      </w:r>
      <w:r w:rsidR="00D66BCD">
        <w:t xml:space="preserve">capital structure </w:t>
      </w:r>
      <w:r w:rsidR="006722E2">
        <w:t xml:space="preserve">that balances </w:t>
      </w:r>
      <w:r w:rsidR="00875EC9">
        <w:t>and supports our current credit ratings</w:t>
      </w:r>
      <w:r w:rsidR="003D486F">
        <w:t xml:space="preserve"> and provides flexibility for anticipated future capital requirements</w:t>
      </w:r>
      <w:r w:rsidR="00D66BCD" w:rsidRPr="001D7F4A">
        <w:t>.</w:t>
      </w:r>
      <w:r w:rsidR="008E7B70">
        <w:t xml:space="preserve"> </w:t>
      </w:r>
    </w:p>
    <w:p w:rsidR="00490E11" w:rsidRPr="001D7F4A" w:rsidRDefault="00490E11" w:rsidP="00E83685">
      <w:pPr>
        <w:spacing w:before="0" w:after="0" w:line="480" w:lineRule="auto"/>
        <w:ind w:left="0" w:right="0" w:firstLine="720"/>
        <w:rPr>
          <w:b/>
        </w:rPr>
      </w:pPr>
      <w:r w:rsidRPr="001D7F4A">
        <w:rPr>
          <w:b/>
        </w:rPr>
        <w:lastRenderedPageBreak/>
        <w:t xml:space="preserve">Q. </w:t>
      </w:r>
      <w:r w:rsidR="00327636">
        <w:rPr>
          <w:b/>
        </w:rPr>
        <w:tab/>
      </w:r>
      <w:r>
        <w:rPr>
          <w:b/>
        </w:rPr>
        <w:t>W</w:t>
      </w:r>
      <w:r w:rsidRPr="001D7F4A">
        <w:rPr>
          <w:b/>
        </w:rPr>
        <w:t>h</w:t>
      </w:r>
      <w:r w:rsidR="00510C1F">
        <w:rPr>
          <w:b/>
        </w:rPr>
        <w:t xml:space="preserve">y is the Company proposing a </w:t>
      </w:r>
      <w:r w:rsidR="00EB7122" w:rsidRPr="00EB7122">
        <w:rPr>
          <w:b/>
        </w:rPr>
        <w:t>4</w:t>
      </w:r>
      <w:r w:rsidR="00EB7122">
        <w:rPr>
          <w:b/>
        </w:rPr>
        <w:t>8</w:t>
      </w:r>
      <w:r w:rsidR="00102DD9">
        <w:rPr>
          <w:b/>
        </w:rPr>
        <w:t>.5</w:t>
      </w:r>
      <w:r w:rsidR="00EB7122">
        <w:rPr>
          <w:b/>
        </w:rPr>
        <w:t xml:space="preserve"> </w:t>
      </w:r>
      <w:r w:rsidR="00510C1F">
        <w:rPr>
          <w:b/>
        </w:rPr>
        <w:t>percent equity ratio?</w:t>
      </w:r>
    </w:p>
    <w:p w:rsidR="00E35D84" w:rsidRDefault="00490E11" w:rsidP="00E83685">
      <w:pPr>
        <w:spacing w:before="0" w:after="0" w:line="480" w:lineRule="auto"/>
        <w:ind w:left="0" w:right="0" w:firstLine="720"/>
      </w:pPr>
      <w:r>
        <w:t>A</w:t>
      </w:r>
      <w:r w:rsidRPr="003F1D84">
        <w:t xml:space="preserve">. </w:t>
      </w:r>
      <w:r w:rsidR="00327636" w:rsidRPr="003F1D84">
        <w:tab/>
      </w:r>
      <w:r w:rsidR="001F4944" w:rsidRPr="003F1D84">
        <w:t xml:space="preserve">On </w:t>
      </w:r>
      <w:r w:rsidR="003F1D84">
        <w:t>September 30, 2015</w:t>
      </w:r>
      <w:r w:rsidR="001F4944" w:rsidRPr="003F1D84">
        <w:t xml:space="preserve">, Avista’s common equity percentage for the Washington jurisdiction </w:t>
      </w:r>
      <w:r w:rsidR="003F1D84">
        <w:t xml:space="preserve">was 49%.  </w:t>
      </w:r>
      <w:r w:rsidR="00E35D84" w:rsidRPr="003F1D84">
        <w:t>The Company continu</w:t>
      </w:r>
      <w:r w:rsidR="00EF6158" w:rsidRPr="003F1D84">
        <w:t>es</w:t>
      </w:r>
      <w:r w:rsidR="00E35D84" w:rsidRPr="003F1D84">
        <w:t xml:space="preserve"> to evaluate the extent and tim</w:t>
      </w:r>
      <w:r w:rsidR="003F1D84">
        <w:t>ing of equity issuances for 2016</w:t>
      </w:r>
      <w:r w:rsidR="00E35D84" w:rsidRPr="003F1D84">
        <w:t xml:space="preserve">, taking into account our capital expenditures and </w:t>
      </w:r>
      <w:r w:rsidR="003F1D84">
        <w:t>other financial requirements</w:t>
      </w:r>
      <w:r w:rsidR="00E35D84" w:rsidRPr="003F1D84">
        <w:t xml:space="preserve">. </w:t>
      </w:r>
      <w:r w:rsidR="002D231B" w:rsidRPr="003F1D84">
        <w:t xml:space="preserve"> </w:t>
      </w:r>
      <w:r w:rsidR="00E35D84" w:rsidRPr="003F1D84">
        <w:t>These steps to manage our equity le</w:t>
      </w:r>
      <w:r w:rsidR="009F4500">
        <w:t xml:space="preserve">vel are expected to result in an average </w:t>
      </w:r>
      <w:r w:rsidR="00E35D84" w:rsidRPr="003F1D84">
        <w:t xml:space="preserve">common equity level </w:t>
      </w:r>
      <w:r w:rsidR="00D62DDA" w:rsidRPr="003F1D84">
        <w:t>of approximately</w:t>
      </w:r>
      <w:r w:rsidR="00E35D84" w:rsidRPr="003F1D84">
        <w:t xml:space="preserve"> 48</w:t>
      </w:r>
      <w:r w:rsidR="00102DD9">
        <w:t>.5</w:t>
      </w:r>
      <w:r w:rsidR="00E35D84" w:rsidRPr="003F1D84">
        <w:t xml:space="preserve">% </w:t>
      </w:r>
      <w:r w:rsidR="00D62DDA" w:rsidRPr="003F1D84">
        <w:t>for</w:t>
      </w:r>
      <w:r w:rsidR="00E35D84" w:rsidRPr="003F1D84">
        <w:t xml:space="preserve"> 201</w:t>
      </w:r>
      <w:r w:rsidR="009F4500">
        <w:t>7</w:t>
      </w:r>
      <w:r w:rsidR="00E35D84" w:rsidRPr="003F1D84">
        <w:t>.</w:t>
      </w:r>
      <w:r w:rsidR="00E35D84">
        <w:t xml:space="preserve"> </w:t>
      </w:r>
      <w:r w:rsidR="002D231B">
        <w:t xml:space="preserve"> </w:t>
      </w:r>
    </w:p>
    <w:p w:rsidR="003F1D84" w:rsidRPr="003F1D84" w:rsidRDefault="00454C46" w:rsidP="003F1D84">
      <w:pPr>
        <w:spacing w:before="0" w:after="0" w:line="480" w:lineRule="auto"/>
        <w:ind w:left="0" w:right="0" w:firstLine="720"/>
      </w:pPr>
      <w:r>
        <w:t xml:space="preserve">Maintaining a </w:t>
      </w:r>
      <w:r w:rsidR="00EB7122" w:rsidRPr="00EB7122">
        <w:t>4</w:t>
      </w:r>
      <w:r w:rsidR="00EB7122">
        <w:t>8</w:t>
      </w:r>
      <w:r w:rsidR="00102DD9">
        <w:t>.5</w:t>
      </w:r>
      <w:r w:rsidR="00EB7122">
        <w:t xml:space="preserve"> </w:t>
      </w:r>
      <w:r w:rsidR="00842E04">
        <w:t>percent</w:t>
      </w:r>
      <w:r>
        <w:t xml:space="preserve"> common equity ratio has several benefits for customers.</w:t>
      </w:r>
      <w:r w:rsidR="00544E2D">
        <w:t xml:space="preserve"> </w:t>
      </w:r>
      <w:r>
        <w:t xml:space="preserve"> </w:t>
      </w:r>
      <w:r w:rsidR="00E90046">
        <w:t>We are dependent on raising funds in capital markets throughout all business cycles.</w:t>
      </w:r>
      <w:r w:rsidR="002D231B">
        <w:t xml:space="preserve"> </w:t>
      </w:r>
      <w:r w:rsidR="00E90046">
        <w:t xml:space="preserve"> These cycles include times of contraction and expansion. </w:t>
      </w:r>
      <w:r w:rsidR="002D231B">
        <w:t xml:space="preserve"> </w:t>
      </w:r>
      <w:r w:rsidR="003F1D84" w:rsidRPr="003F1D84">
        <w:t>A solid financial profile will assist us in accessing debt capital markets on reasonable terms in both favorable financial markets and when there are disruptions in the financial markets.</w:t>
      </w:r>
    </w:p>
    <w:p w:rsidR="00E94A8C" w:rsidRDefault="00303909" w:rsidP="003C4D7D">
      <w:pPr>
        <w:spacing w:before="0" w:after="0" w:line="480" w:lineRule="auto"/>
        <w:ind w:left="0" w:right="0" w:firstLine="720"/>
      </w:pPr>
      <w:r>
        <w:t xml:space="preserve">Additionally, a </w:t>
      </w:r>
      <w:r w:rsidR="00EB7122" w:rsidRPr="00EB7122">
        <w:t>4</w:t>
      </w:r>
      <w:r w:rsidR="00EB7122">
        <w:t>8</w:t>
      </w:r>
      <w:r w:rsidR="00102DD9">
        <w:t>.5</w:t>
      </w:r>
      <w:r w:rsidR="00EB7122">
        <w:t xml:space="preserve"> </w:t>
      </w:r>
      <w:r w:rsidR="00842E04">
        <w:t>percent</w:t>
      </w:r>
      <w:r>
        <w:t xml:space="preserve"> common</w:t>
      </w:r>
      <w:r w:rsidR="00DE22F5">
        <w:t xml:space="preserve"> equity </w:t>
      </w:r>
      <w:r>
        <w:t xml:space="preserve">ratio </w:t>
      </w:r>
      <w:r w:rsidR="00A757AD">
        <w:t>solidif</w:t>
      </w:r>
      <w:r w:rsidR="008002AE">
        <w:t>ies our current credit rating</w:t>
      </w:r>
      <w:r w:rsidR="00A757AD">
        <w:t>s</w:t>
      </w:r>
      <w:r>
        <w:t xml:space="preserve"> and </w:t>
      </w:r>
      <w:r w:rsidR="00A757AD">
        <w:t xml:space="preserve">moves us closer to our long-term goal of </w:t>
      </w:r>
      <w:r w:rsidR="008002AE">
        <w:t xml:space="preserve">having a corporate credit rating of </w:t>
      </w:r>
      <w:r w:rsidR="00A757AD">
        <w:t>BBB+</w:t>
      </w:r>
      <w:r>
        <w:t xml:space="preserve">. </w:t>
      </w:r>
      <w:r w:rsidR="002D231B">
        <w:t xml:space="preserve"> </w:t>
      </w:r>
      <w:r>
        <w:t xml:space="preserve">A rating of BBB+ would be consistent with the </w:t>
      </w:r>
      <w:r w:rsidR="003D336F">
        <w:t xml:space="preserve">natural </w:t>
      </w:r>
      <w:r>
        <w:t>gas</w:t>
      </w:r>
      <w:r w:rsidR="003D336F">
        <w:t xml:space="preserve"> and electric industry average, </w:t>
      </w:r>
      <w:r w:rsidR="005D3D0C">
        <w:t>which I will further explain later in my testimony</w:t>
      </w:r>
      <w:r w:rsidR="00F72215">
        <w:t xml:space="preserve">. </w:t>
      </w:r>
      <w:r w:rsidR="002D231B">
        <w:t xml:space="preserve"> </w:t>
      </w:r>
      <w:r w:rsidR="008002AE">
        <w:t>We rely on credit ratings in order to access capital markets</w:t>
      </w:r>
      <w:r>
        <w:t xml:space="preserve"> on reasonable terms</w:t>
      </w:r>
      <w:r w:rsidR="008002AE">
        <w:t xml:space="preserve">. </w:t>
      </w:r>
      <w:r w:rsidR="00544E2D">
        <w:t xml:space="preserve"> </w:t>
      </w:r>
      <w:r>
        <w:t xml:space="preserve">Moving </w:t>
      </w:r>
      <w:r w:rsidR="008002AE">
        <w:t>f</w:t>
      </w:r>
      <w:r>
        <w:t>u</w:t>
      </w:r>
      <w:r w:rsidR="008002AE">
        <w:t xml:space="preserve">rther away from non-investment grade (BB+) </w:t>
      </w:r>
      <w:r>
        <w:t>provides more stability for the Company</w:t>
      </w:r>
      <w:r w:rsidR="003D336F">
        <w:t>,</w:t>
      </w:r>
      <w:r>
        <w:t xml:space="preserve"> which </w:t>
      </w:r>
      <w:r w:rsidR="003C4D7D">
        <w:t>is also beneficial for</w:t>
      </w:r>
      <w:r>
        <w:t xml:space="preserve"> </w:t>
      </w:r>
      <w:r w:rsidR="008002AE">
        <w:t xml:space="preserve">customers. </w:t>
      </w:r>
      <w:r w:rsidR="002D231B">
        <w:t xml:space="preserve"> </w:t>
      </w:r>
      <w:r w:rsidR="004140FD">
        <w:t xml:space="preserve">We believe our requested </w:t>
      </w:r>
      <w:r w:rsidR="0061784F">
        <w:t>48.5</w:t>
      </w:r>
      <w:r w:rsidR="00EB7122">
        <w:t xml:space="preserve"> </w:t>
      </w:r>
      <w:r w:rsidR="004140FD">
        <w:t xml:space="preserve">percent equity </w:t>
      </w:r>
      <w:r w:rsidR="004140FD" w:rsidRPr="0068324D">
        <w:t>appropriately balances safety and economy</w:t>
      </w:r>
      <w:r w:rsidR="004140FD">
        <w:t xml:space="preserve"> for customers.</w:t>
      </w:r>
    </w:p>
    <w:p w:rsidR="007C1CE1" w:rsidRPr="005A53A4" w:rsidRDefault="007C1CE1"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t xml:space="preserve">In </w:t>
      </w:r>
      <w:r>
        <w:rPr>
          <w:rFonts w:ascii="Times New Roman" w:hAnsi="Times New Roman" w:cs="Times New Roman"/>
          <w:b/>
        </w:rPr>
        <w:t xml:space="preserve">attracting </w:t>
      </w:r>
      <w:r w:rsidRPr="005A53A4">
        <w:rPr>
          <w:rFonts w:ascii="Times New Roman" w:hAnsi="Times New Roman" w:cs="Times New Roman"/>
          <w:b/>
        </w:rPr>
        <w:t xml:space="preserve">capital under reasonable terms, is it necessary to attract capital from </w:t>
      </w:r>
      <w:r>
        <w:rPr>
          <w:rFonts w:ascii="Times New Roman" w:hAnsi="Times New Roman" w:cs="Times New Roman"/>
          <w:b/>
        </w:rPr>
        <w:t xml:space="preserve">both debt and </w:t>
      </w:r>
      <w:r w:rsidRPr="005A53A4">
        <w:rPr>
          <w:rFonts w:ascii="Times New Roman" w:hAnsi="Times New Roman" w:cs="Times New Roman"/>
          <w:b/>
        </w:rPr>
        <w:t>equity investors?</w:t>
      </w:r>
    </w:p>
    <w:p w:rsidR="00015488" w:rsidRDefault="00E937CE" w:rsidP="003544F9">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 i</w:t>
      </w:r>
      <w:r w:rsidR="007C1CE1" w:rsidRPr="002D3D9E">
        <w:rPr>
          <w:rFonts w:ascii="Times New Roman" w:hAnsi="Times New Roman" w:cs="Times New Roman"/>
        </w:rPr>
        <w:t xml:space="preserve">t is absolutely essential. </w:t>
      </w:r>
      <w:r w:rsidR="00544E2D">
        <w:rPr>
          <w:rFonts w:ascii="Times New Roman" w:hAnsi="Times New Roman" w:cs="Times New Roman"/>
        </w:rPr>
        <w:t xml:space="preserve"> </w:t>
      </w:r>
      <w:r w:rsidR="007C1CE1">
        <w:rPr>
          <w:rFonts w:ascii="Times New Roman" w:hAnsi="Times New Roman" w:cs="Times New Roman"/>
        </w:rPr>
        <w:t>As a public</w:t>
      </w:r>
      <w:r w:rsidR="00E73079">
        <w:rPr>
          <w:rFonts w:ascii="Times New Roman" w:hAnsi="Times New Roman" w:cs="Times New Roman"/>
        </w:rPr>
        <w:t>ly</w:t>
      </w:r>
      <w:r w:rsidR="007C1CE1">
        <w:rPr>
          <w:rFonts w:ascii="Times New Roman" w:hAnsi="Times New Roman" w:cs="Times New Roman"/>
        </w:rPr>
        <w:t xml:space="preserve"> trad</w:t>
      </w:r>
      <w:r w:rsidR="00E73079">
        <w:rPr>
          <w:rFonts w:ascii="Times New Roman" w:hAnsi="Times New Roman" w:cs="Times New Roman"/>
        </w:rPr>
        <w:t>ed</w:t>
      </w:r>
      <w:r w:rsidR="007C1CE1">
        <w:rPr>
          <w:rFonts w:ascii="Times New Roman" w:hAnsi="Times New Roman" w:cs="Times New Roman"/>
        </w:rPr>
        <w:t xml:space="preserve"> company we</w:t>
      </w:r>
      <w:r w:rsidR="007C1CE1" w:rsidRPr="002D3D9E">
        <w:rPr>
          <w:rFonts w:ascii="Times New Roman" w:hAnsi="Times New Roman" w:cs="Times New Roman"/>
        </w:rPr>
        <w:t xml:space="preserve"> ha</w:t>
      </w:r>
      <w:r w:rsidR="007C1CE1">
        <w:rPr>
          <w:rFonts w:ascii="Times New Roman" w:hAnsi="Times New Roman" w:cs="Times New Roman"/>
        </w:rPr>
        <w:t>ve</w:t>
      </w:r>
      <w:r w:rsidR="007C1CE1" w:rsidRPr="002D3D9E">
        <w:rPr>
          <w:rFonts w:ascii="Times New Roman" w:hAnsi="Times New Roman" w:cs="Times New Roman"/>
        </w:rPr>
        <w:t xml:space="preserve"> two primary sources of external capital: debt and equity investors. </w:t>
      </w:r>
      <w:r w:rsidR="002D231B">
        <w:rPr>
          <w:rFonts w:ascii="Times New Roman" w:hAnsi="Times New Roman" w:cs="Times New Roman"/>
        </w:rPr>
        <w:t xml:space="preserve"> </w:t>
      </w:r>
      <w:r w:rsidR="007C1CE1" w:rsidRPr="002D3D9E">
        <w:rPr>
          <w:rFonts w:ascii="Times New Roman" w:hAnsi="Times New Roman" w:cs="Times New Roman"/>
        </w:rPr>
        <w:t xml:space="preserve">As of </w:t>
      </w:r>
      <w:r w:rsidR="00EA2A8A">
        <w:rPr>
          <w:rFonts w:ascii="Times New Roman" w:hAnsi="Times New Roman" w:cs="Times New Roman"/>
        </w:rPr>
        <w:t>Septembe</w:t>
      </w:r>
      <w:r w:rsidR="00511C4F">
        <w:rPr>
          <w:rFonts w:ascii="Times New Roman" w:hAnsi="Times New Roman" w:cs="Times New Roman"/>
        </w:rPr>
        <w:t>r 3</w:t>
      </w:r>
      <w:r w:rsidR="00EA2A8A">
        <w:rPr>
          <w:rFonts w:ascii="Times New Roman" w:hAnsi="Times New Roman" w:cs="Times New Roman"/>
        </w:rPr>
        <w:t>0, 2015</w:t>
      </w:r>
      <w:r w:rsidR="007C1CE1" w:rsidRPr="002D3D9E">
        <w:rPr>
          <w:rFonts w:ascii="Times New Roman" w:hAnsi="Times New Roman" w:cs="Times New Roman"/>
        </w:rPr>
        <w:t xml:space="preserve">, </w:t>
      </w:r>
      <w:r w:rsidR="007C1CE1">
        <w:rPr>
          <w:rFonts w:ascii="Times New Roman" w:hAnsi="Times New Roman" w:cs="Times New Roman"/>
        </w:rPr>
        <w:lastRenderedPageBreak/>
        <w:t>we</w:t>
      </w:r>
      <w:r w:rsidR="007C1CE1" w:rsidRPr="002D3D9E">
        <w:rPr>
          <w:rFonts w:ascii="Times New Roman" w:hAnsi="Times New Roman" w:cs="Times New Roman"/>
        </w:rPr>
        <w:t xml:space="preserve"> had approximately </w:t>
      </w:r>
      <w:r w:rsidR="007C1CE1" w:rsidRPr="000C3CC7">
        <w:rPr>
          <w:rFonts w:ascii="Times New Roman" w:hAnsi="Times New Roman" w:cs="Times New Roman"/>
        </w:rPr>
        <w:t>$</w:t>
      </w:r>
      <w:r w:rsidR="00135504">
        <w:rPr>
          <w:rFonts w:ascii="Times New Roman" w:hAnsi="Times New Roman" w:cs="Times New Roman"/>
        </w:rPr>
        <w:t>2</w:t>
      </w:r>
      <w:r w:rsidR="007C1CE1">
        <w:rPr>
          <w:rFonts w:ascii="Times New Roman" w:hAnsi="Times New Roman" w:cs="Times New Roman"/>
        </w:rPr>
        <w:t>.</w:t>
      </w:r>
      <w:r w:rsidR="00135504">
        <w:rPr>
          <w:rFonts w:ascii="Times New Roman" w:hAnsi="Times New Roman" w:cs="Times New Roman"/>
        </w:rPr>
        <w:t>9</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billion of debt and equity. </w:t>
      </w:r>
      <w:r w:rsidR="002D231B">
        <w:rPr>
          <w:rFonts w:ascii="Times New Roman" w:hAnsi="Times New Roman" w:cs="Times New Roman"/>
        </w:rPr>
        <w:t xml:space="preserve"> </w:t>
      </w:r>
      <w:r w:rsidR="007C1CE1" w:rsidRPr="002D3D9E">
        <w:rPr>
          <w:rFonts w:ascii="Times New Roman" w:hAnsi="Times New Roman" w:cs="Times New Roman"/>
        </w:rPr>
        <w:t xml:space="preserve">Approximately half of </w:t>
      </w:r>
      <w:r w:rsidR="007C1CE1">
        <w:rPr>
          <w:rFonts w:ascii="Times New Roman" w:hAnsi="Times New Roman" w:cs="Times New Roman"/>
        </w:rPr>
        <w:t xml:space="preserve">our capital structure </w:t>
      </w:r>
      <w:r w:rsidR="007C1CE1" w:rsidRPr="002D3D9E">
        <w:rPr>
          <w:rFonts w:ascii="Times New Roman" w:hAnsi="Times New Roman" w:cs="Times New Roman"/>
        </w:rPr>
        <w:t xml:space="preserve">is funded by debt holders and the other half is funded by equity investors and retained earnings.  </w:t>
      </w:r>
      <w:r w:rsidR="00511C4F">
        <w:rPr>
          <w:rFonts w:ascii="Times New Roman" w:hAnsi="Times New Roman" w:cs="Times New Roman"/>
        </w:rPr>
        <w:t xml:space="preserve">Rating agencies and potential debt </w:t>
      </w:r>
      <w:r w:rsidR="008F2D48">
        <w:rPr>
          <w:rFonts w:ascii="Times New Roman" w:hAnsi="Times New Roman" w:cs="Times New Roman"/>
        </w:rPr>
        <w:t>investors</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tend to </w:t>
      </w:r>
      <w:r w:rsidR="008F2D48">
        <w:rPr>
          <w:rFonts w:ascii="Times New Roman" w:hAnsi="Times New Roman" w:cs="Times New Roman"/>
        </w:rPr>
        <w:t>plac</w:t>
      </w:r>
      <w:r w:rsidR="00015488">
        <w:rPr>
          <w:rFonts w:ascii="Times New Roman" w:hAnsi="Times New Roman" w:cs="Times New Roman"/>
        </w:rPr>
        <w:t>e</w:t>
      </w:r>
      <w:r w:rsidR="008F2D48">
        <w:rPr>
          <w:rFonts w:ascii="Times New Roman" w:hAnsi="Times New Roman" w:cs="Times New Roman"/>
        </w:rPr>
        <w:t xml:space="preserve"> </w:t>
      </w:r>
      <w:r w:rsidR="007C1CE1" w:rsidRPr="002D3D9E">
        <w:rPr>
          <w:rFonts w:ascii="Times New Roman" w:hAnsi="Times New Roman" w:cs="Times New Roman"/>
        </w:rPr>
        <w:t xml:space="preserve">significant emphasis on maintaining </w:t>
      </w:r>
      <w:r w:rsidR="00AC14B4">
        <w:rPr>
          <w:rFonts w:ascii="Times New Roman" w:hAnsi="Times New Roman" w:cs="Times New Roman"/>
        </w:rPr>
        <w:t>strong financial</w:t>
      </w:r>
      <w:r w:rsidR="00AC14B4" w:rsidRPr="002D3D9E">
        <w:rPr>
          <w:rFonts w:ascii="Times New Roman" w:hAnsi="Times New Roman" w:cs="Times New Roman"/>
        </w:rPr>
        <w:t xml:space="preserve"> </w:t>
      </w:r>
      <w:r w:rsidR="007C1CE1" w:rsidRPr="002D3D9E">
        <w:rPr>
          <w:rFonts w:ascii="Times New Roman" w:hAnsi="Times New Roman" w:cs="Times New Roman"/>
        </w:rPr>
        <w:t xml:space="preserve">metrics and credit ratings that </w:t>
      </w:r>
      <w:r w:rsidR="008F2D48">
        <w:rPr>
          <w:rFonts w:ascii="Times New Roman" w:hAnsi="Times New Roman" w:cs="Times New Roman"/>
        </w:rPr>
        <w:t>support</w:t>
      </w:r>
      <w:r w:rsidR="007C1CE1" w:rsidRPr="002D3D9E">
        <w:rPr>
          <w:rFonts w:ascii="Times New Roman" w:hAnsi="Times New Roman" w:cs="Times New Roman"/>
        </w:rPr>
        <w:t xml:space="preserve"> access to debt capital </w:t>
      </w:r>
      <w:r w:rsidR="007C1CE1">
        <w:rPr>
          <w:rFonts w:ascii="Times New Roman" w:hAnsi="Times New Roman" w:cs="Times New Roman"/>
        </w:rPr>
        <w:t xml:space="preserve">markets </w:t>
      </w:r>
      <w:r w:rsidR="007C1CE1" w:rsidRPr="002D3D9E">
        <w:rPr>
          <w:rFonts w:ascii="Times New Roman" w:hAnsi="Times New Roman" w:cs="Times New Roman"/>
        </w:rPr>
        <w:t>under reasonable terms</w:t>
      </w:r>
      <w:r w:rsidR="00AC14B4">
        <w:rPr>
          <w:rFonts w:ascii="Times New Roman" w:hAnsi="Times New Roman" w:cs="Times New Roman"/>
        </w:rPr>
        <w:t xml:space="preserve">. </w:t>
      </w:r>
      <w:r w:rsidR="002D231B">
        <w:rPr>
          <w:rFonts w:ascii="Times New Roman" w:hAnsi="Times New Roman" w:cs="Times New Roman"/>
        </w:rPr>
        <w:t xml:space="preserve"> </w:t>
      </w:r>
      <w:r w:rsidR="004738B9">
        <w:rPr>
          <w:rFonts w:ascii="Times New Roman" w:hAnsi="Times New Roman" w:cs="Times New Roman"/>
        </w:rPr>
        <w:t>L</w:t>
      </w:r>
      <w:r w:rsidR="00AC14B4">
        <w:rPr>
          <w:rFonts w:ascii="Times New Roman" w:hAnsi="Times New Roman" w:cs="Times New Roman"/>
        </w:rPr>
        <w:t>everage – or the extent that a company uses debt in lieu of equity in its capital structure – is a key credit metric and, therefore</w:t>
      </w:r>
      <w:r w:rsidR="007C1CE1" w:rsidRPr="002D3D9E">
        <w:rPr>
          <w:rFonts w:ascii="Times New Roman" w:hAnsi="Times New Roman" w:cs="Times New Roman"/>
        </w:rPr>
        <w:t xml:space="preserve">, access to equity capital </w:t>
      </w:r>
      <w:r w:rsidR="007C1CE1">
        <w:rPr>
          <w:rFonts w:ascii="Times New Roman" w:hAnsi="Times New Roman" w:cs="Times New Roman"/>
        </w:rPr>
        <w:t>markets is</w:t>
      </w:r>
      <w:r w:rsidR="007C1CE1" w:rsidRPr="002D3D9E">
        <w:rPr>
          <w:rFonts w:ascii="Times New Roman" w:hAnsi="Times New Roman" w:cs="Times New Roman"/>
        </w:rPr>
        <w:t xml:space="preserve"> </w:t>
      </w:r>
      <w:r w:rsidR="00AC14B4">
        <w:rPr>
          <w:rFonts w:ascii="Times New Roman" w:hAnsi="Times New Roman" w:cs="Times New Roman"/>
        </w:rPr>
        <w:t>critically</w:t>
      </w:r>
      <w:r w:rsidR="00AC14B4" w:rsidRPr="002D3D9E">
        <w:rPr>
          <w:rFonts w:ascii="Times New Roman" w:hAnsi="Times New Roman" w:cs="Times New Roman"/>
        </w:rPr>
        <w:t xml:space="preserve"> </w:t>
      </w:r>
      <w:r w:rsidR="007C1CE1" w:rsidRPr="002D3D9E">
        <w:rPr>
          <w:rFonts w:ascii="Times New Roman" w:hAnsi="Times New Roman" w:cs="Times New Roman"/>
        </w:rPr>
        <w:t>important</w:t>
      </w:r>
      <w:r w:rsidR="00AC14B4">
        <w:rPr>
          <w:rFonts w:ascii="Times New Roman" w:hAnsi="Times New Roman" w:cs="Times New Roman"/>
        </w:rPr>
        <w:t xml:space="preserve"> to long-term debt investors</w:t>
      </w:r>
      <w:r w:rsidR="007C1CE1" w:rsidRPr="002D3D9E">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This emphasis on financial metrics and credit ratings is shared by</w:t>
      </w:r>
      <w:r w:rsidR="007C1CE1" w:rsidRPr="002D3D9E">
        <w:rPr>
          <w:rFonts w:ascii="Times New Roman" w:hAnsi="Times New Roman" w:cs="Times New Roman"/>
        </w:rPr>
        <w:t xml:space="preserve"> equity investors </w:t>
      </w:r>
      <w:r w:rsidR="00AC14B4">
        <w:rPr>
          <w:rFonts w:ascii="Times New Roman" w:hAnsi="Times New Roman" w:cs="Times New Roman"/>
        </w:rPr>
        <w:t xml:space="preserve">who </w:t>
      </w:r>
      <w:r w:rsidR="007C1CE1" w:rsidRPr="002D3D9E">
        <w:rPr>
          <w:rFonts w:ascii="Times New Roman" w:hAnsi="Times New Roman" w:cs="Times New Roman"/>
        </w:rPr>
        <w:t xml:space="preserve">also focus on cash flows, capital structure and liquidity, </w:t>
      </w:r>
      <w:r w:rsidR="007C1CE1">
        <w:rPr>
          <w:rFonts w:ascii="Times New Roman" w:hAnsi="Times New Roman" w:cs="Times New Roman"/>
        </w:rPr>
        <w:t xml:space="preserve">much like </w:t>
      </w:r>
      <w:r w:rsidR="007C1CE1" w:rsidRPr="002D3D9E">
        <w:rPr>
          <w:rFonts w:ascii="Times New Roman" w:hAnsi="Times New Roman" w:cs="Times New Roman"/>
        </w:rPr>
        <w:t xml:space="preserve">debt investors. </w:t>
      </w:r>
    </w:p>
    <w:p w:rsidR="00F27327" w:rsidRDefault="007C1CE1">
      <w:pPr>
        <w:pStyle w:val="BodyText2"/>
        <w:tabs>
          <w:tab w:val="clear" w:pos="720"/>
        </w:tabs>
        <w:spacing w:before="0" w:after="0"/>
        <w:ind w:left="0" w:right="0" w:firstLine="720"/>
        <w:rPr>
          <w:rFonts w:ascii="Times New Roman" w:hAnsi="Times New Roman" w:cs="Times New Roman"/>
        </w:rPr>
      </w:pPr>
      <w:r w:rsidRPr="002D3D9E">
        <w:rPr>
          <w:rFonts w:ascii="Times New Roman" w:hAnsi="Times New Roman" w:cs="Times New Roman"/>
        </w:rPr>
        <w:t xml:space="preserve">The level of common equity in </w:t>
      </w:r>
      <w:r>
        <w:rPr>
          <w:rFonts w:ascii="Times New Roman" w:hAnsi="Times New Roman" w:cs="Times New Roman"/>
        </w:rPr>
        <w:t>our</w:t>
      </w:r>
      <w:r w:rsidRPr="002D3D9E">
        <w:rPr>
          <w:rFonts w:ascii="Times New Roman" w:hAnsi="Times New Roman" w:cs="Times New Roman"/>
        </w:rPr>
        <w:t xml:space="preserve"> capital structure can have a direct impact </w:t>
      </w:r>
      <w:r>
        <w:rPr>
          <w:rFonts w:ascii="Times New Roman" w:hAnsi="Times New Roman" w:cs="Times New Roman"/>
        </w:rPr>
        <w:t>on investors’ decisions</w:t>
      </w:r>
      <w:r w:rsidRPr="002D3D9E">
        <w:rPr>
          <w:rFonts w:ascii="Times New Roman" w:hAnsi="Times New Roman" w:cs="Times New Roman"/>
        </w:rPr>
        <w:t xml:space="preserve">. </w:t>
      </w:r>
      <w:r w:rsidR="002D231B">
        <w:rPr>
          <w:rFonts w:ascii="Times New Roman" w:hAnsi="Times New Roman" w:cs="Times New Roman"/>
        </w:rPr>
        <w:t xml:space="preserve"> </w:t>
      </w:r>
      <w:r w:rsidRPr="00755CB0">
        <w:rPr>
          <w:rFonts w:ascii="Times New Roman" w:hAnsi="Times New Roman" w:cs="Times New Roman"/>
        </w:rPr>
        <w:t xml:space="preserve">A balanced capital structure allows </w:t>
      </w:r>
      <w:r>
        <w:rPr>
          <w:rFonts w:ascii="Times New Roman" w:hAnsi="Times New Roman" w:cs="Times New Roman"/>
        </w:rPr>
        <w:t>us</w:t>
      </w:r>
      <w:r w:rsidR="008F2D48" w:rsidRPr="008F2D48">
        <w:rPr>
          <w:rFonts w:ascii="Times New Roman" w:hAnsi="Times New Roman" w:cs="Times New Roman"/>
        </w:rPr>
        <w:t xml:space="preserve"> </w:t>
      </w:r>
      <w:r w:rsidRPr="00755CB0">
        <w:rPr>
          <w:rFonts w:ascii="Times New Roman" w:hAnsi="Times New Roman" w:cs="Times New Roman"/>
        </w:rPr>
        <w:t xml:space="preserve">access to </w:t>
      </w:r>
      <w:r>
        <w:rPr>
          <w:rFonts w:ascii="Times New Roman" w:hAnsi="Times New Roman" w:cs="Times New Roman"/>
        </w:rPr>
        <w:t>both debt and equity markets under reasonable terms</w:t>
      </w:r>
      <w:r w:rsidR="00015488" w:rsidRPr="00015488">
        <w:rPr>
          <w:rFonts w:ascii="Times New Roman" w:hAnsi="Times New Roman" w:cs="Times New Roman"/>
        </w:rPr>
        <w:t xml:space="preserve"> </w:t>
      </w:r>
      <w:r w:rsidR="00015488">
        <w:rPr>
          <w:rFonts w:ascii="Times New Roman" w:hAnsi="Times New Roman" w:cs="Times New Roman"/>
        </w:rPr>
        <w:t>on a sustainable basis</w:t>
      </w:r>
      <w:r>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Being able to choose specific financing methods at any given time also allows the Company to take advantage of better choices that may prevail as the relative advantages of debt or equity markets can ebb and flow at different times.</w:t>
      </w:r>
      <w:r>
        <w:rPr>
          <w:rFonts w:ascii="Times New Roman" w:hAnsi="Times New Roman" w:cs="Times New Roman"/>
        </w:rPr>
        <w:t xml:space="preserve"> </w:t>
      </w:r>
    </w:p>
    <w:p w:rsidR="007C1CE1" w:rsidRPr="006537AF" w:rsidRDefault="007C1CE1" w:rsidP="006537AF">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b/>
        </w:rPr>
        <w:t>Q.</w:t>
      </w:r>
      <w:r w:rsidRPr="005A53A4">
        <w:rPr>
          <w:rFonts w:ascii="Times New Roman" w:hAnsi="Times New Roman" w:cs="Times New Roman"/>
          <w:b/>
        </w:rPr>
        <w:tab/>
        <w:t>Are the debt and equity markets competitive mark</w:t>
      </w:r>
      <w:r w:rsidRPr="006537AF">
        <w:rPr>
          <w:rFonts w:ascii="Times New Roman" w:hAnsi="Times New Roman" w:cs="Times New Roman"/>
          <w:b/>
        </w:rPr>
        <w:t>ets?</w:t>
      </w:r>
    </w:p>
    <w:p w:rsidR="007C1CE1" w:rsidRDefault="007C1CE1"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t xml:space="preserve">Yes. </w:t>
      </w:r>
      <w:r w:rsidR="00544E2D">
        <w:rPr>
          <w:rFonts w:ascii="Times New Roman" w:hAnsi="Times New Roman" w:cs="Times New Roman"/>
        </w:rPr>
        <w:t xml:space="preserve"> </w:t>
      </w:r>
      <w:r w:rsidRPr="002D3D9E">
        <w:rPr>
          <w:rFonts w:ascii="Times New Roman" w:hAnsi="Times New Roman" w:cs="Times New Roman"/>
        </w:rPr>
        <w:t xml:space="preserve">Our ability to attract new capital, especially equity capital, under reasonable terms is dependent on our ability to offer a risk/reward opportunity that is </w:t>
      </w:r>
      <w:r w:rsidR="00015488">
        <w:rPr>
          <w:rFonts w:ascii="Times New Roman" w:hAnsi="Times New Roman" w:cs="Times New Roman"/>
        </w:rPr>
        <w:t xml:space="preserve">equal to or </w:t>
      </w:r>
      <w:r w:rsidRPr="002D3D9E">
        <w:rPr>
          <w:rFonts w:ascii="Times New Roman" w:hAnsi="Times New Roman" w:cs="Times New Roman"/>
        </w:rPr>
        <w:t xml:space="preserve">better than investors’ other alternatives. </w:t>
      </w:r>
      <w:r w:rsidR="002D231B">
        <w:rPr>
          <w:rFonts w:ascii="Times New Roman" w:hAnsi="Times New Roman" w:cs="Times New Roman"/>
        </w:rPr>
        <w:t xml:space="preserve"> </w:t>
      </w:r>
      <w:r w:rsidRPr="002D3D9E">
        <w:rPr>
          <w:rFonts w:ascii="Times New Roman" w:hAnsi="Times New Roman" w:cs="Times New Roman"/>
        </w:rPr>
        <w:t xml:space="preserve">We are competing with not only other utilities but </w:t>
      </w:r>
      <w:r w:rsidR="008F2D48">
        <w:rPr>
          <w:rFonts w:ascii="Times New Roman" w:hAnsi="Times New Roman" w:cs="Times New Roman"/>
        </w:rPr>
        <w:t xml:space="preserve">also with </w:t>
      </w:r>
      <w:r w:rsidRPr="002D3D9E">
        <w:rPr>
          <w:rFonts w:ascii="Times New Roman" w:hAnsi="Times New Roman" w:cs="Times New Roman"/>
        </w:rPr>
        <w:t xml:space="preserve">businesses in other sectors of the economy. </w:t>
      </w:r>
      <w:r w:rsidR="002D231B">
        <w:rPr>
          <w:rFonts w:ascii="Times New Roman" w:hAnsi="Times New Roman" w:cs="Times New Roman"/>
        </w:rPr>
        <w:t xml:space="preserve"> </w:t>
      </w:r>
      <w:r w:rsidRPr="002D3D9E">
        <w:rPr>
          <w:rFonts w:ascii="Times New Roman" w:hAnsi="Times New Roman" w:cs="Times New Roman"/>
        </w:rPr>
        <w:t xml:space="preserve">Demand for </w:t>
      </w:r>
      <w:r>
        <w:rPr>
          <w:rFonts w:ascii="Times New Roman" w:hAnsi="Times New Roman" w:cs="Times New Roman"/>
        </w:rPr>
        <w:t>our</w:t>
      </w:r>
      <w:r w:rsidRPr="002D3D9E">
        <w:rPr>
          <w:rFonts w:ascii="Times New Roman" w:hAnsi="Times New Roman" w:cs="Times New Roman"/>
        </w:rPr>
        <w:t xml:space="preserve"> stock supports </w:t>
      </w:r>
      <w:r>
        <w:rPr>
          <w:rFonts w:ascii="Times New Roman" w:hAnsi="Times New Roman" w:cs="Times New Roman"/>
        </w:rPr>
        <w:t>our</w:t>
      </w:r>
      <w:r w:rsidRPr="002D3D9E">
        <w:rPr>
          <w:rFonts w:ascii="Times New Roman" w:hAnsi="Times New Roman" w:cs="Times New Roman"/>
        </w:rPr>
        <w:t xml:space="preserve"> stock price, which provides </w:t>
      </w:r>
      <w:r>
        <w:rPr>
          <w:rFonts w:ascii="Times New Roman" w:hAnsi="Times New Roman" w:cs="Times New Roman"/>
        </w:rPr>
        <w:t xml:space="preserve">us </w:t>
      </w:r>
      <w:r w:rsidRPr="002D3D9E">
        <w:rPr>
          <w:rFonts w:ascii="Times New Roman" w:hAnsi="Times New Roman" w:cs="Times New Roman"/>
        </w:rPr>
        <w:t xml:space="preserve">the opportunity to issue additional </w:t>
      </w:r>
      <w:r w:rsidR="00B04AAA">
        <w:rPr>
          <w:rFonts w:ascii="Times New Roman" w:hAnsi="Times New Roman" w:cs="Times New Roman"/>
        </w:rPr>
        <w:t>shares</w:t>
      </w:r>
      <w:r w:rsidR="00B04AAA" w:rsidRPr="002D3D9E">
        <w:rPr>
          <w:rFonts w:ascii="Times New Roman" w:hAnsi="Times New Roman" w:cs="Times New Roman"/>
        </w:rPr>
        <w:t xml:space="preserve"> </w:t>
      </w:r>
      <w:r w:rsidRPr="002D3D9E">
        <w:rPr>
          <w:rFonts w:ascii="Times New Roman" w:hAnsi="Times New Roman" w:cs="Times New Roman"/>
        </w:rPr>
        <w:t>under reasonable terms to fund capital investment requirements.</w:t>
      </w:r>
    </w:p>
    <w:p w:rsidR="003F6497" w:rsidRPr="005A53A4" w:rsidRDefault="003F6497"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t>What is Avista doing to attract equity investment?</w:t>
      </w:r>
    </w:p>
    <w:p w:rsidR="00772BE8" w:rsidRPr="002D3D9E" w:rsidRDefault="003F6497" w:rsidP="000E3E3D">
      <w:pPr>
        <w:pStyle w:val="BodyText2"/>
        <w:spacing w:before="0" w:after="0"/>
        <w:ind w:left="0" w:right="0" w:firstLine="720"/>
        <w:rPr>
          <w:rFonts w:ascii="Times New Roman" w:hAnsi="Times New Roman" w:cs="Times New Roman"/>
        </w:rPr>
      </w:pPr>
      <w:r w:rsidRPr="005A53A4">
        <w:rPr>
          <w:rFonts w:ascii="Times New Roman" w:hAnsi="Times New Roman" w:cs="Times New Roman"/>
        </w:rPr>
        <w:lastRenderedPageBreak/>
        <w:t>A.</w:t>
      </w:r>
      <w:r w:rsidRPr="005A53A4">
        <w:rPr>
          <w:rFonts w:ascii="Times New Roman" w:hAnsi="Times New Roman" w:cs="Times New Roman"/>
        </w:rPr>
        <w:tab/>
      </w:r>
      <w:r>
        <w:rPr>
          <w:rFonts w:ascii="Times New Roman" w:hAnsi="Times New Roman" w:cs="Times New Roman"/>
        </w:rPr>
        <w:t>We are</w:t>
      </w:r>
      <w:r w:rsidRPr="002D3D9E">
        <w:rPr>
          <w:rFonts w:ascii="Times New Roman" w:hAnsi="Times New Roman" w:cs="Times New Roman"/>
        </w:rPr>
        <w:t xml:space="preserve"> </w:t>
      </w:r>
      <w:r w:rsidR="00E159F6">
        <w:rPr>
          <w:rFonts w:ascii="Times New Roman" w:hAnsi="Times New Roman" w:cs="Times New Roman"/>
        </w:rPr>
        <w:t>requesting</w:t>
      </w:r>
      <w:r w:rsidR="00E159F6" w:rsidRPr="002D3D9E">
        <w:rPr>
          <w:rFonts w:ascii="Times New Roman" w:hAnsi="Times New Roman" w:cs="Times New Roman"/>
        </w:rPr>
        <w:t xml:space="preserve"> </w:t>
      </w:r>
      <w:r w:rsidRPr="002D3D9E">
        <w:rPr>
          <w:rFonts w:ascii="Times New Roman" w:hAnsi="Times New Roman" w:cs="Times New Roman"/>
        </w:rPr>
        <w:t xml:space="preserve">a capital structure that provides </w:t>
      </w:r>
      <w:r w:rsidR="00D6028A">
        <w:rPr>
          <w:rFonts w:ascii="Times New Roman" w:hAnsi="Times New Roman" w:cs="Times New Roman"/>
        </w:rPr>
        <w:t xml:space="preserve">us </w:t>
      </w:r>
      <w:r w:rsidRPr="002D3D9E">
        <w:rPr>
          <w:rFonts w:ascii="Times New Roman" w:hAnsi="Times New Roman" w:cs="Times New Roman"/>
        </w:rPr>
        <w:t>the opportunity to have financial metrics that offer a risk/reward proposition that is competitive and attractive for equity holders.</w:t>
      </w:r>
      <w:r w:rsidR="000E3E3D">
        <w:rPr>
          <w:rFonts w:ascii="Times New Roman" w:hAnsi="Times New Roman" w:cs="Times New Roman"/>
        </w:rPr>
        <w:t xml:space="preserve">  </w:t>
      </w:r>
      <w:r w:rsidRPr="002D3D9E">
        <w:rPr>
          <w:rFonts w:ascii="Times New Roman" w:hAnsi="Times New Roman" w:cs="Times New Roman"/>
        </w:rPr>
        <w:t xml:space="preserve">We </w:t>
      </w:r>
      <w:r w:rsidR="006D2E33">
        <w:rPr>
          <w:rFonts w:ascii="Times New Roman" w:hAnsi="Times New Roman" w:cs="Times New Roman"/>
        </w:rPr>
        <w:t xml:space="preserve">target </w:t>
      </w:r>
      <w:r w:rsidRPr="002D3D9E">
        <w:rPr>
          <w:rFonts w:ascii="Times New Roman" w:hAnsi="Times New Roman" w:cs="Times New Roman"/>
        </w:rPr>
        <w:t xml:space="preserve">a dividend payout ratio that is </w:t>
      </w:r>
      <w:r w:rsidR="006D2E33">
        <w:rPr>
          <w:rFonts w:ascii="Times New Roman" w:hAnsi="Times New Roman" w:cs="Times New Roman"/>
        </w:rPr>
        <w:t xml:space="preserve">comparable with </w:t>
      </w:r>
      <w:r w:rsidRPr="002D3D9E">
        <w:rPr>
          <w:rFonts w:ascii="Times New Roman" w:hAnsi="Times New Roman" w:cs="Times New Roman"/>
        </w:rPr>
        <w:t>other utilities</w:t>
      </w:r>
      <w:r w:rsidR="00AD3664">
        <w:rPr>
          <w:rFonts w:ascii="Times New Roman" w:hAnsi="Times New Roman" w:cs="Times New Roman"/>
        </w:rPr>
        <w:t xml:space="preserve"> in the industry</w:t>
      </w:r>
      <w:r w:rsidRPr="002D3D9E">
        <w:rPr>
          <w:rFonts w:ascii="Times New Roman" w:hAnsi="Times New Roman" w:cs="Times New Roman"/>
        </w:rPr>
        <w:t>.  This is an essential element</w:t>
      </w:r>
      <w:r w:rsidR="00FA6C86">
        <w:rPr>
          <w:rFonts w:ascii="Times New Roman" w:hAnsi="Times New Roman" w:cs="Times New Roman"/>
        </w:rPr>
        <w:t>, along with potential growth,</w:t>
      </w:r>
      <w:r w:rsidRPr="002D3D9E">
        <w:rPr>
          <w:rFonts w:ascii="Times New Roman" w:hAnsi="Times New Roman" w:cs="Times New Roman"/>
        </w:rPr>
        <w:t xml:space="preserve"> in providing a competitive risk/reward opportunity for equity investors.</w:t>
      </w:r>
    </w:p>
    <w:p w:rsidR="00722981" w:rsidRDefault="003F6497" w:rsidP="00722981">
      <w:pPr>
        <w:pStyle w:val="BodyText2"/>
        <w:spacing w:before="0" w:after="0"/>
        <w:ind w:left="0" w:right="0" w:firstLine="720"/>
        <w:rPr>
          <w:rFonts w:ascii="Times New Roman" w:hAnsi="Times New Roman" w:cs="Times New Roman"/>
        </w:rPr>
      </w:pPr>
      <w:r>
        <w:rPr>
          <w:rFonts w:ascii="Times New Roman" w:hAnsi="Times New Roman" w:cs="Times New Roman"/>
        </w:rPr>
        <w:t>T</w:t>
      </w:r>
      <w:r w:rsidRPr="005A53A4">
        <w:rPr>
          <w:rFonts w:ascii="Times New Roman" w:hAnsi="Times New Roman" w:cs="Times New Roman"/>
        </w:rPr>
        <w:t>racking mechanisms</w:t>
      </w:r>
      <w:r w:rsidR="00164D43">
        <w:rPr>
          <w:rFonts w:ascii="Times New Roman" w:hAnsi="Times New Roman" w:cs="Times New Roman"/>
        </w:rPr>
        <w:t>,</w:t>
      </w:r>
      <w:r w:rsidRPr="005A53A4">
        <w:rPr>
          <w:rFonts w:ascii="Times New Roman" w:hAnsi="Times New Roman" w:cs="Times New Roman"/>
        </w:rPr>
        <w:t xml:space="preserve"> such as </w:t>
      </w:r>
      <w:r>
        <w:rPr>
          <w:rFonts w:ascii="Times New Roman" w:hAnsi="Times New Roman" w:cs="Times New Roman"/>
        </w:rPr>
        <w:t xml:space="preserve">the </w:t>
      </w:r>
      <w:r w:rsidR="00025E4B">
        <w:rPr>
          <w:rFonts w:ascii="Times New Roman" w:hAnsi="Times New Roman" w:cs="Times New Roman"/>
        </w:rPr>
        <w:t xml:space="preserve">decoupling, </w:t>
      </w:r>
      <w:r w:rsidR="0097462F">
        <w:rPr>
          <w:rFonts w:ascii="Times New Roman" w:hAnsi="Times New Roman" w:cs="Times New Roman"/>
        </w:rPr>
        <w:t xml:space="preserve">the </w:t>
      </w:r>
      <w:r>
        <w:rPr>
          <w:rFonts w:ascii="Times New Roman" w:hAnsi="Times New Roman" w:cs="Times New Roman"/>
        </w:rPr>
        <w:t xml:space="preserve">Energy Recovery Mechanism and </w:t>
      </w:r>
      <w:r w:rsidR="0097462F">
        <w:rPr>
          <w:rFonts w:ascii="Times New Roman" w:hAnsi="Times New Roman" w:cs="Times New Roman"/>
        </w:rPr>
        <w:t xml:space="preserve">the </w:t>
      </w:r>
      <w:r w:rsidRPr="005A53A4">
        <w:rPr>
          <w:rFonts w:ascii="Times New Roman" w:hAnsi="Times New Roman" w:cs="Times New Roman"/>
        </w:rPr>
        <w:t>Purchased Gas Adjustment approve</w:t>
      </w:r>
      <w:r w:rsidR="00164D43">
        <w:rPr>
          <w:rFonts w:ascii="Times New Roman" w:hAnsi="Times New Roman" w:cs="Times New Roman"/>
        </w:rPr>
        <w:t>d by the regulatory commissions</w:t>
      </w:r>
      <w:r w:rsidR="00041587">
        <w:rPr>
          <w:rFonts w:ascii="Times New Roman" w:hAnsi="Times New Roman" w:cs="Times New Roman"/>
        </w:rPr>
        <w:t>,</w:t>
      </w:r>
      <w:r w:rsidRPr="005A53A4">
        <w:rPr>
          <w:rFonts w:ascii="Times New Roman" w:hAnsi="Times New Roman" w:cs="Times New Roman"/>
        </w:rPr>
        <w:t xml:space="preserve"> </w:t>
      </w:r>
      <w:r>
        <w:rPr>
          <w:rFonts w:ascii="Times New Roman" w:hAnsi="Times New Roman" w:cs="Times New Roman"/>
        </w:rPr>
        <w:t>help</w:t>
      </w:r>
      <w:r w:rsidRPr="005A53A4">
        <w:rPr>
          <w:rFonts w:ascii="Times New Roman" w:hAnsi="Times New Roman" w:cs="Times New Roman"/>
        </w:rPr>
        <w:t xml:space="preserve"> balance the risk of owning and operating the business in a manner that places us in a position to offer a risk/reward opportunity that is competitive with not only other utilities, but with</w:t>
      </w:r>
      <w:r w:rsidR="00772BE8">
        <w:rPr>
          <w:rFonts w:ascii="Times New Roman" w:hAnsi="Times New Roman" w:cs="Times New Roman"/>
        </w:rPr>
        <w:t xml:space="preserve"> </w:t>
      </w:r>
      <w:r w:rsidRPr="005A53A4">
        <w:rPr>
          <w:rFonts w:ascii="Times New Roman" w:hAnsi="Times New Roman" w:cs="Times New Roman"/>
        </w:rPr>
        <w:t>businesses in other sectors of the eco</w:t>
      </w:r>
      <w:r w:rsidRPr="009E3778">
        <w:rPr>
          <w:rFonts w:ascii="Times New Roman" w:hAnsi="Times New Roman" w:cs="Times New Roman"/>
        </w:rPr>
        <w:t>nomy.</w:t>
      </w:r>
      <w:r w:rsidR="00772BE8" w:rsidRPr="009E3778" w:rsidDel="00772BE8">
        <w:rPr>
          <w:rFonts w:ascii="Times New Roman" w:hAnsi="Times New Roman" w:cs="Times New Roman"/>
        </w:rPr>
        <w:t xml:space="preserve"> </w:t>
      </w:r>
    </w:p>
    <w:p w:rsidR="00BE1645" w:rsidRPr="00BE1645" w:rsidRDefault="00BE1645" w:rsidP="00722981">
      <w:pPr>
        <w:pStyle w:val="BodyText2"/>
        <w:spacing w:before="0" w:after="0"/>
        <w:ind w:left="0" w:right="0" w:firstLine="720"/>
        <w:rPr>
          <w:rFonts w:ascii="Times New Roman" w:hAnsi="Times New Roman" w:cs="Times New Roman"/>
        </w:rPr>
      </w:pPr>
    </w:p>
    <w:p w:rsidR="00B547A7" w:rsidRPr="00756338" w:rsidRDefault="00B547A7" w:rsidP="00756338">
      <w:pPr>
        <w:pStyle w:val="Heading1"/>
        <w:tabs>
          <w:tab w:val="clear" w:pos="720"/>
          <w:tab w:val="clear" w:pos="5040"/>
          <w:tab w:val="clear" w:pos="6480"/>
          <w:tab w:val="clear" w:pos="7920"/>
        </w:tabs>
        <w:spacing w:before="0" w:after="0"/>
        <w:ind w:left="0" w:right="0"/>
        <w:jc w:val="center"/>
        <w:rPr>
          <w:rStyle w:val="PageNumber"/>
          <w:u w:val="single"/>
        </w:rPr>
      </w:pPr>
      <w:r w:rsidRPr="009E3778">
        <w:rPr>
          <w:rStyle w:val="PageNumber"/>
          <w:u w:val="single"/>
        </w:rPr>
        <w:t>V</w:t>
      </w:r>
      <w:r w:rsidR="00031FC5" w:rsidRPr="009E3778">
        <w:rPr>
          <w:rStyle w:val="PageNumber"/>
          <w:u w:val="single"/>
        </w:rPr>
        <w:t>I</w:t>
      </w:r>
      <w:r w:rsidR="002734DE" w:rsidRPr="009E3778">
        <w:rPr>
          <w:rStyle w:val="PageNumber"/>
          <w:u w:val="single"/>
        </w:rPr>
        <w:t xml:space="preserve">. </w:t>
      </w:r>
      <w:r w:rsidR="002734DE">
        <w:rPr>
          <w:rStyle w:val="PageNumber"/>
          <w:u w:val="single"/>
        </w:rPr>
        <w:t>PROPOSED</w:t>
      </w:r>
      <w:r w:rsidR="0075725E" w:rsidRPr="00756338">
        <w:rPr>
          <w:rStyle w:val="PageNumber"/>
          <w:u w:val="single"/>
        </w:rPr>
        <w:t xml:space="preserve"> RATE OF RETURN</w:t>
      </w:r>
    </w:p>
    <w:p w:rsidR="00B547A7" w:rsidRPr="00314A0E" w:rsidRDefault="00086132" w:rsidP="00420712">
      <w:pPr>
        <w:spacing w:before="0" w:after="0" w:line="480" w:lineRule="auto"/>
        <w:ind w:left="0" w:right="0" w:firstLine="720"/>
        <w:rPr>
          <w:b/>
        </w:rPr>
      </w:pPr>
      <w:r w:rsidRPr="00086132">
        <w:rPr>
          <w:b/>
        </w:rPr>
        <w:t>Q.</w:t>
      </w:r>
      <w:r w:rsidR="00327636">
        <w:rPr>
          <w:b/>
        </w:rPr>
        <w:tab/>
      </w:r>
      <w:r w:rsidRPr="00086132">
        <w:rPr>
          <w:b/>
        </w:rPr>
        <w:t xml:space="preserve">Has </w:t>
      </w:r>
      <w:r>
        <w:rPr>
          <w:b/>
        </w:rPr>
        <w:t>Avista</w:t>
      </w:r>
      <w:r w:rsidRPr="00086132">
        <w:rPr>
          <w:b/>
        </w:rPr>
        <w:t xml:space="preserve"> prepared an exhibit that </w:t>
      </w:r>
      <w:r w:rsidR="00164D43">
        <w:rPr>
          <w:b/>
        </w:rPr>
        <w:t>includes the components of</w:t>
      </w:r>
      <w:r w:rsidRPr="00086132">
        <w:rPr>
          <w:b/>
        </w:rPr>
        <w:t xml:space="preserve"> </w:t>
      </w:r>
      <w:r>
        <w:rPr>
          <w:b/>
        </w:rPr>
        <w:t>Avista</w:t>
      </w:r>
      <w:r w:rsidRPr="00086132">
        <w:rPr>
          <w:b/>
        </w:rPr>
        <w:t xml:space="preserve">'s requested rate of </w:t>
      </w:r>
      <w:r w:rsidRPr="00B77B4E">
        <w:rPr>
          <w:b/>
        </w:rPr>
        <w:t xml:space="preserve">return of </w:t>
      </w:r>
      <w:r w:rsidR="00102DD9" w:rsidRPr="00B77B4E">
        <w:rPr>
          <w:b/>
        </w:rPr>
        <w:t>7.</w:t>
      </w:r>
      <w:r w:rsidR="008149DF" w:rsidRPr="00B77B4E">
        <w:rPr>
          <w:b/>
        </w:rPr>
        <w:t>6</w:t>
      </w:r>
      <w:r w:rsidR="00F95B82" w:rsidRPr="00B77B4E">
        <w:rPr>
          <w:b/>
        </w:rPr>
        <w:t>4</w:t>
      </w:r>
      <w:r w:rsidR="008149DF" w:rsidRPr="00314A0E">
        <w:rPr>
          <w:b/>
        </w:rPr>
        <w:t xml:space="preserve"> </w:t>
      </w:r>
      <w:r w:rsidRPr="00314A0E">
        <w:rPr>
          <w:b/>
        </w:rPr>
        <w:t>percent?</w:t>
      </w:r>
    </w:p>
    <w:p w:rsidR="00086132" w:rsidRDefault="00086132" w:rsidP="00420712">
      <w:pPr>
        <w:pStyle w:val="BodyText2"/>
        <w:tabs>
          <w:tab w:val="clear" w:pos="720"/>
        </w:tabs>
        <w:spacing w:before="0" w:after="0"/>
        <w:ind w:left="0" w:right="0" w:firstLine="720"/>
        <w:rPr>
          <w:rFonts w:ascii="Times New Roman" w:hAnsi="Times New Roman" w:cs="Times New Roman"/>
        </w:rPr>
      </w:pPr>
      <w:r w:rsidRPr="00314A0E">
        <w:t xml:space="preserve">A. </w:t>
      </w:r>
      <w:r w:rsidR="00327636">
        <w:tab/>
      </w:r>
      <w:r w:rsidR="00756338">
        <w:rPr>
          <w:rFonts w:ascii="Times New Roman" w:hAnsi="Times New Roman" w:cs="Times New Roman"/>
        </w:rPr>
        <w:t xml:space="preserve">Yes. </w:t>
      </w:r>
      <w:r w:rsidR="00544E2D">
        <w:rPr>
          <w:rFonts w:ascii="Times New Roman" w:hAnsi="Times New Roman" w:cs="Times New Roman"/>
        </w:rPr>
        <w:t xml:space="preserve"> </w:t>
      </w:r>
      <w:r w:rsidR="00756338">
        <w:rPr>
          <w:rFonts w:ascii="Times New Roman" w:hAnsi="Times New Roman" w:cs="Times New Roman"/>
        </w:rPr>
        <w:t>Exhibit No.____</w:t>
      </w:r>
      <w:r w:rsidRPr="00314A0E">
        <w:rPr>
          <w:rFonts w:ascii="Times New Roman" w:hAnsi="Times New Roman" w:cs="Times New Roman"/>
        </w:rPr>
        <w:t xml:space="preserve">(MTT-2) </w:t>
      </w:r>
      <w:r w:rsidR="00164D43">
        <w:rPr>
          <w:rFonts w:ascii="Times New Roman" w:hAnsi="Times New Roman" w:cs="Times New Roman"/>
        </w:rPr>
        <w:t>shows the components of</w:t>
      </w:r>
      <w:r w:rsidRPr="00314A0E">
        <w:rPr>
          <w:rFonts w:ascii="Times New Roman" w:hAnsi="Times New Roman" w:cs="Times New Roman"/>
        </w:rPr>
        <w:t xml:space="preserve"> Avista’s requested rate of </w:t>
      </w:r>
      <w:r w:rsidRPr="00B77B4E">
        <w:rPr>
          <w:rFonts w:ascii="Times New Roman" w:hAnsi="Times New Roman" w:cs="Times New Roman"/>
        </w:rPr>
        <w:t xml:space="preserve">return of </w:t>
      </w:r>
      <w:r w:rsidR="00102DD9" w:rsidRPr="00B77B4E">
        <w:rPr>
          <w:rFonts w:ascii="Times New Roman" w:hAnsi="Times New Roman" w:cs="Times New Roman"/>
        </w:rPr>
        <w:t>7.</w:t>
      </w:r>
      <w:r w:rsidR="009B4D70" w:rsidRPr="00B77B4E">
        <w:rPr>
          <w:rFonts w:ascii="Times New Roman" w:hAnsi="Times New Roman" w:cs="Times New Roman"/>
        </w:rPr>
        <w:t>6</w:t>
      </w:r>
      <w:r w:rsidR="00F95B82" w:rsidRPr="00B77B4E">
        <w:rPr>
          <w:rFonts w:ascii="Times New Roman" w:hAnsi="Times New Roman" w:cs="Times New Roman"/>
        </w:rPr>
        <w:t>4</w:t>
      </w:r>
      <w:r w:rsidR="008149DF" w:rsidRPr="00314A0E">
        <w:rPr>
          <w:rFonts w:ascii="Times New Roman" w:hAnsi="Times New Roman" w:cs="Times New Roman"/>
        </w:rPr>
        <w:t xml:space="preserve"> </w:t>
      </w:r>
      <w:r w:rsidRPr="00314A0E">
        <w:rPr>
          <w:rFonts w:ascii="Times New Roman" w:hAnsi="Times New Roman" w:cs="Times New Roman"/>
        </w:rPr>
        <w:t>percent.</w:t>
      </w:r>
    </w:p>
    <w:p w:rsidR="00E27761" w:rsidRDefault="00E27761" w:rsidP="00420712">
      <w:pPr>
        <w:spacing w:before="0" w:after="0" w:line="480" w:lineRule="auto"/>
        <w:ind w:left="0" w:right="0" w:firstLine="720"/>
        <w:rPr>
          <w:b/>
        </w:rPr>
      </w:pPr>
      <w:r>
        <w:rPr>
          <w:b/>
        </w:rPr>
        <w:t>Q.</w:t>
      </w:r>
      <w:r>
        <w:rPr>
          <w:b/>
        </w:rPr>
        <w:tab/>
        <w:t>What is the Company’s overall cost of debt</w:t>
      </w:r>
      <w:r w:rsidR="00164D43">
        <w:rPr>
          <w:b/>
        </w:rPr>
        <w:t>,</w:t>
      </w:r>
      <w:r w:rsidR="009D1144">
        <w:rPr>
          <w:b/>
        </w:rPr>
        <w:t xml:space="preserve"> </w:t>
      </w:r>
      <w:r w:rsidR="004140FD">
        <w:rPr>
          <w:b/>
        </w:rPr>
        <w:t>and h</w:t>
      </w:r>
      <w:r w:rsidR="009D1144">
        <w:rPr>
          <w:b/>
        </w:rPr>
        <w:t xml:space="preserve">ow does the Company’s </w:t>
      </w:r>
      <w:r w:rsidR="00D66A02">
        <w:rPr>
          <w:b/>
        </w:rPr>
        <w:t>current</w:t>
      </w:r>
      <w:r w:rsidR="009D1144">
        <w:rPr>
          <w:b/>
        </w:rPr>
        <w:t xml:space="preserve"> overall cost of debt compare to its historic cost?</w:t>
      </w:r>
      <w:r>
        <w:rPr>
          <w:b/>
        </w:rPr>
        <w:t xml:space="preserve"> </w:t>
      </w:r>
    </w:p>
    <w:p w:rsidR="00BE1645" w:rsidRDefault="00E27761" w:rsidP="00BE1645">
      <w:pPr>
        <w:spacing w:before="0" w:after="0" w:line="480" w:lineRule="auto"/>
        <w:ind w:left="0" w:right="0" w:firstLine="720"/>
      </w:pPr>
      <w:r w:rsidRPr="006F675A">
        <w:t xml:space="preserve">A. </w:t>
      </w:r>
      <w:r>
        <w:tab/>
        <w:t xml:space="preserve">Our requested overall cost of </w:t>
      </w:r>
      <w:r w:rsidRPr="00B77B4E">
        <w:t xml:space="preserve">debt is </w:t>
      </w:r>
      <w:r w:rsidR="00BD67E9" w:rsidRPr="00B77B4E">
        <w:t>5.51</w:t>
      </w:r>
      <w:r w:rsidR="008149DF" w:rsidRPr="00B77B4E">
        <w:t xml:space="preserve"> </w:t>
      </w:r>
      <w:r w:rsidRPr="00B77B4E">
        <w:t>percent</w:t>
      </w:r>
      <w:r>
        <w:t xml:space="preserve">. </w:t>
      </w:r>
      <w:r w:rsidR="002D231B">
        <w:t xml:space="preserve"> </w:t>
      </w:r>
      <w:r w:rsidR="0015671B">
        <w:t xml:space="preserve">The </w:t>
      </w:r>
      <w:r>
        <w:t xml:space="preserve">cost of debt </w:t>
      </w:r>
      <w:r w:rsidR="008149DF">
        <w:t>has trended downward</w:t>
      </w:r>
      <w:r>
        <w:t xml:space="preserve"> for Avista </w:t>
      </w:r>
      <w:r w:rsidR="00025E4B">
        <w:t>in recent years</w:t>
      </w:r>
      <w:r w:rsidR="008149DF">
        <w:t>, as shown in</w:t>
      </w:r>
      <w:r>
        <w:t xml:space="preserve"> Illustration </w:t>
      </w:r>
      <w:r w:rsidR="00420712">
        <w:t xml:space="preserve">No. </w:t>
      </w:r>
      <w:r w:rsidR="00F728B0">
        <w:t>5</w:t>
      </w:r>
      <w:r w:rsidR="008149DF">
        <w:t xml:space="preserve"> below</w:t>
      </w:r>
      <w:r>
        <w:t xml:space="preserve">. </w:t>
      </w:r>
      <w:r w:rsidR="00EA2A8A">
        <w:t xml:space="preserve"> </w:t>
      </w:r>
      <w:r w:rsidR="00BE1645">
        <w:br w:type="page"/>
      </w:r>
    </w:p>
    <w:p w:rsidR="006F7E19" w:rsidRDefault="00776D0A" w:rsidP="002734DE">
      <w:pPr>
        <w:autoSpaceDE/>
        <w:autoSpaceDN/>
        <w:spacing w:line="480" w:lineRule="auto"/>
        <w:ind w:left="0" w:right="0"/>
        <w:rPr>
          <w:b/>
          <w:u w:val="single"/>
        </w:rPr>
      </w:pPr>
      <w:r w:rsidRPr="00B803FA">
        <w:rPr>
          <w:b/>
          <w:u w:val="single"/>
        </w:rPr>
        <w:lastRenderedPageBreak/>
        <w:t xml:space="preserve">Illustration </w:t>
      </w:r>
      <w:r w:rsidR="00420712" w:rsidRPr="00B803FA">
        <w:rPr>
          <w:b/>
          <w:u w:val="single"/>
        </w:rPr>
        <w:t xml:space="preserve">No. </w:t>
      </w:r>
      <w:r w:rsidR="00F728B0">
        <w:rPr>
          <w:b/>
          <w:u w:val="single"/>
        </w:rPr>
        <w:t>5</w:t>
      </w:r>
    </w:p>
    <w:p w:rsidR="00157248" w:rsidRDefault="002734DE" w:rsidP="002734DE">
      <w:pPr>
        <w:autoSpaceDE/>
        <w:autoSpaceDN/>
        <w:spacing w:line="480" w:lineRule="auto"/>
        <w:ind w:left="0" w:right="0"/>
        <w:rPr>
          <w:b/>
        </w:rPr>
      </w:pPr>
      <w:r w:rsidRPr="002734DE">
        <w:rPr>
          <w:noProof/>
        </w:rPr>
        <w:drawing>
          <wp:anchor distT="0" distB="0" distL="114300" distR="114300" simplePos="0" relativeHeight="251688448" behindDoc="1" locked="0" layoutInCell="1" allowOverlap="1">
            <wp:simplePos x="0" y="0"/>
            <wp:positionH relativeFrom="page">
              <wp:posOffset>1190625</wp:posOffset>
            </wp:positionH>
            <wp:positionV relativeFrom="page">
              <wp:posOffset>1162050</wp:posOffset>
            </wp:positionV>
            <wp:extent cx="5669280" cy="4113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9280" cy="411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025E4B" w:rsidP="002734DE">
      <w:pPr>
        <w:tabs>
          <w:tab w:val="left" w:pos="3525"/>
        </w:tabs>
        <w:autoSpaceDE/>
        <w:autoSpaceDN/>
        <w:spacing w:line="480" w:lineRule="auto"/>
        <w:ind w:left="0" w:right="0"/>
        <w:rPr>
          <w:b/>
        </w:rPr>
      </w:pPr>
      <w:r>
        <w:rPr>
          <w:b/>
        </w:rPr>
        <w:tab/>
      </w:r>
    </w:p>
    <w:p w:rsidR="00D337AC" w:rsidRPr="00420712" w:rsidRDefault="0033022B" w:rsidP="002734DE">
      <w:pPr>
        <w:spacing w:before="0" w:after="0" w:line="480" w:lineRule="auto"/>
        <w:ind w:left="0" w:right="0" w:firstLine="720"/>
        <w:rPr>
          <w:noProof/>
        </w:rPr>
      </w:pPr>
      <w:r w:rsidRPr="0033022B">
        <w:rPr>
          <w:b/>
        </w:rPr>
        <w:t>Q.</w:t>
      </w:r>
      <w:r w:rsidR="00327636">
        <w:rPr>
          <w:b/>
        </w:rPr>
        <w:tab/>
      </w:r>
      <w:r w:rsidRPr="0033022B">
        <w:rPr>
          <w:b/>
        </w:rPr>
        <w:t xml:space="preserve">Please explain </w:t>
      </w:r>
      <w:r w:rsidR="00C57C55">
        <w:rPr>
          <w:b/>
        </w:rPr>
        <w:t xml:space="preserve">why </w:t>
      </w:r>
      <w:r w:rsidR="00A70415">
        <w:rPr>
          <w:b/>
        </w:rPr>
        <w:t xml:space="preserve">Avista’s </w:t>
      </w:r>
      <w:r w:rsidRPr="0033022B">
        <w:rPr>
          <w:b/>
        </w:rPr>
        <w:t>cost of long-term debt</w:t>
      </w:r>
      <w:r w:rsidR="00C57C55">
        <w:rPr>
          <w:b/>
        </w:rPr>
        <w:t xml:space="preserve"> has decrease</w:t>
      </w:r>
      <w:r w:rsidR="0097462F">
        <w:rPr>
          <w:b/>
        </w:rPr>
        <w:t>d</w:t>
      </w:r>
      <w:r w:rsidRPr="0033022B">
        <w:rPr>
          <w:b/>
        </w:rPr>
        <w:t>.</w:t>
      </w:r>
    </w:p>
    <w:p w:rsidR="00025E4B" w:rsidRDefault="0033022B" w:rsidP="002734DE">
      <w:pPr>
        <w:spacing w:before="0" w:after="0" w:line="480" w:lineRule="auto"/>
        <w:ind w:left="0" w:right="0" w:firstLine="720"/>
      </w:pPr>
      <w:r w:rsidRPr="0033022B">
        <w:t>A.</w:t>
      </w:r>
      <w:r w:rsidR="00327636">
        <w:tab/>
      </w:r>
      <w:r w:rsidR="00952EF5">
        <w:t>There has been a general</w:t>
      </w:r>
      <w:r w:rsidR="00FB6CFC">
        <w:t xml:space="preserve"> decline in interest rates</w:t>
      </w:r>
      <w:r w:rsidR="00952EF5">
        <w:t xml:space="preserve"> for several years while Avista has issued new debt, causing the Company’s overall cost of debt to decrease</w:t>
      </w:r>
      <w:r w:rsidR="00025E4B">
        <w:t>.</w:t>
      </w:r>
      <w:r w:rsidR="00157248">
        <w:t xml:space="preserve">  There is an increase in the </w:t>
      </w:r>
      <w:r w:rsidR="0097462F">
        <w:t xml:space="preserve">proposed </w:t>
      </w:r>
      <w:r w:rsidR="002F5E32">
        <w:t>cost of debt for 201</w:t>
      </w:r>
      <w:r w:rsidR="0097462F">
        <w:t>7</w:t>
      </w:r>
      <w:r w:rsidR="002F5E32">
        <w:t xml:space="preserve">, </w:t>
      </w:r>
      <w:r w:rsidR="00157248">
        <w:t xml:space="preserve">as compared to </w:t>
      </w:r>
      <w:r w:rsidR="002F5E32">
        <w:t>2015,</w:t>
      </w:r>
      <w:r w:rsidR="00157248">
        <w:t xml:space="preserve"> due to the maturation of $90 million of debt with a </w:t>
      </w:r>
      <w:r w:rsidR="00157248" w:rsidRPr="002734DE">
        <w:t>coupon of 0.84 percent and an effective yield of -0.04 percent</w:t>
      </w:r>
      <w:r w:rsidR="002F5E32" w:rsidRPr="002734DE">
        <w:t xml:space="preserve"> during 2016</w:t>
      </w:r>
      <w:r w:rsidR="00157248" w:rsidRPr="002734DE">
        <w:t xml:space="preserve">.  </w:t>
      </w:r>
      <w:r w:rsidR="00025E4B" w:rsidRPr="002734DE">
        <w:t>In August 2013 we issued $90 million of debt with a 3-year term.  Avista executed interest rate hedges for $85 million related to this debt, and at the time the debt was issued received a benefit of $2.9 million related to the hedges.  This benefit is amortized over the life of the debt, which results in an effective yield of -0.</w:t>
      </w:r>
      <w:r w:rsidR="002734DE" w:rsidRPr="002734DE">
        <w:t>0</w:t>
      </w:r>
      <w:r w:rsidR="00025E4B" w:rsidRPr="002734DE">
        <w:t>4 percent.</w:t>
      </w:r>
      <w:r w:rsidR="001C687C">
        <w:t xml:space="preserve">  We </w:t>
      </w:r>
      <w:r w:rsidR="001C687C">
        <w:lastRenderedPageBreak/>
        <w:t xml:space="preserve">do not expect our 2016 debt issuance to be the same or less than the effective yield on the maturing 2016 debt and, therefore, the average cost of debt </w:t>
      </w:r>
      <w:r w:rsidR="0097462F">
        <w:t>will</w:t>
      </w:r>
      <w:r w:rsidR="001C687C">
        <w:t xml:space="preserve"> increase in 2016.</w:t>
      </w:r>
    </w:p>
    <w:p w:rsidR="0033022B" w:rsidRDefault="00952EF5" w:rsidP="00FB6CFC">
      <w:pPr>
        <w:spacing w:before="0" w:after="0" w:line="480" w:lineRule="auto"/>
        <w:ind w:left="0" w:right="0" w:firstLine="720"/>
      </w:pPr>
      <w:r>
        <w:t>W</w:t>
      </w:r>
      <w:r w:rsidR="00FB6CFC">
        <w:t>e</w:t>
      </w:r>
      <w:r w:rsidR="00C57C55">
        <w:t xml:space="preserve"> have been </w:t>
      </w:r>
      <w:r w:rsidR="00387E92">
        <w:t>prudent</w:t>
      </w:r>
      <w:r w:rsidR="00C57C55">
        <w:t>ly managing</w:t>
      </w:r>
      <w:r w:rsidR="00387E92">
        <w:t xml:space="preserve"> </w:t>
      </w:r>
      <w:r w:rsidR="00C57C55">
        <w:t>our</w:t>
      </w:r>
      <w:r w:rsidR="00387E92">
        <w:t xml:space="preserve"> </w:t>
      </w:r>
      <w:r w:rsidR="00387E92" w:rsidRPr="00C742B5">
        <w:t>interest rate risk</w:t>
      </w:r>
      <w:r>
        <w:t xml:space="preserve"> in anticipation of debt issuances</w:t>
      </w:r>
      <w:r w:rsidR="009D1144">
        <w:t xml:space="preserve">, which has </w:t>
      </w:r>
      <w:r w:rsidR="00E73079">
        <w:t>involved</w:t>
      </w:r>
      <w:r w:rsidR="00387E92" w:rsidRPr="00C742B5">
        <w:t xml:space="preserve"> fixed rate long-term debt with varying maturities</w:t>
      </w:r>
      <w:r w:rsidR="00FB6CFC">
        <w:t>,</w:t>
      </w:r>
      <w:r w:rsidR="00387E92" w:rsidRPr="00C742B5">
        <w:t xml:space="preserve"> and executing </w:t>
      </w:r>
      <w:r w:rsidR="0097462F">
        <w:t xml:space="preserve">on our </w:t>
      </w:r>
      <w:r w:rsidR="009D1144">
        <w:t>interest rate risk</w:t>
      </w:r>
      <w:r w:rsidR="008149DF">
        <w:t xml:space="preserve"> </w:t>
      </w:r>
      <w:r w:rsidR="00682CF3">
        <w:t xml:space="preserve">mitigation program for </w:t>
      </w:r>
      <w:r w:rsidR="008149DF">
        <w:t>our forecasted debt issuances</w:t>
      </w:r>
      <w:r w:rsidR="00387E92" w:rsidRPr="00C742B5">
        <w:t>.</w:t>
      </w:r>
    </w:p>
    <w:p w:rsidR="0080044C" w:rsidRDefault="00EA2A8A"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rPr>
        <w:t>From 2011 through 2015</w:t>
      </w:r>
      <w:r w:rsidR="00387E92">
        <w:rPr>
          <w:rFonts w:ascii="Times New Roman" w:hAnsi="Times New Roman" w:cs="Times New Roman"/>
        </w:rPr>
        <w:t xml:space="preserve"> </w:t>
      </w:r>
      <w:r w:rsidR="000A7429" w:rsidRPr="000A7429">
        <w:rPr>
          <w:rFonts w:ascii="Times New Roman" w:hAnsi="Times New Roman"/>
        </w:rPr>
        <w:t xml:space="preserve">we issued </w:t>
      </w:r>
      <w:r w:rsidR="00387E92">
        <w:rPr>
          <w:rFonts w:ascii="Times New Roman" w:hAnsi="Times New Roman" w:cs="Times New Roman"/>
        </w:rPr>
        <w:t>$</w:t>
      </w:r>
      <w:r>
        <w:rPr>
          <w:rFonts w:ascii="Times New Roman" w:hAnsi="Times New Roman" w:cs="Times New Roman"/>
        </w:rPr>
        <w:t>4</w:t>
      </w:r>
      <w:r w:rsidR="00952EF5">
        <w:rPr>
          <w:rFonts w:ascii="Times New Roman" w:hAnsi="Times New Roman" w:cs="Times New Roman"/>
        </w:rPr>
        <w:t>15</w:t>
      </w:r>
      <w:r w:rsidR="000A7429" w:rsidRPr="000A7429">
        <w:rPr>
          <w:rFonts w:ascii="Times New Roman" w:hAnsi="Times New Roman"/>
        </w:rPr>
        <w:t xml:space="preserve"> million in long-term debt. </w:t>
      </w:r>
      <w:r w:rsidR="00544E2D">
        <w:rPr>
          <w:rFonts w:ascii="Times New Roman" w:hAnsi="Times New Roman"/>
        </w:rPr>
        <w:t xml:space="preserve"> </w:t>
      </w:r>
      <w:r w:rsidR="000A7429" w:rsidRPr="000A7429">
        <w:rPr>
          <w:rFonts w:ascii="Times New Roman" w:hAnsi="Times New Roman"/>
        </w:rPr>
        <w:t xml:space="preserve">The </w:t>
      </w:r>
      <w:r w:rsidR="00A934E1">
        <w:rPr>
          <w:rFonts w:ascii="Times New Roman" w:hAnsi="Times New Roman" w:cs="Times New Roman"/>
        </w:rPr>
        <w:t xml:space="preserve">weighted </w:t>
      </w:r>
      <w:r w:rsidR="000A7429" w:rsidRPr="000A7429">
        <w:rPr>
          <w:rFonts w:ascii="Times New Roman" w:hAnsi="Times New Roman"/>
        </w:rPr>
        <w:t xml:space="preserve">average </w:t>
      </w:r>
      <w:r w:rsidR="00660600">
        <w:rPr>
          <w:rFonts w:ascii="Times New Roman" w:hAnsi="Times New Roman"/>
        </w:rPr>
        <w:t xml:space="preserve">interest </w:t>
      </w:r>
      <w:r w:rsidR="000A7429" w:rsidRPr="000A7429">
        <w:rPr>
          <w:rFonts w:ascii="Times New Roman" w:hAnsi="Times New Roman"/>
        </w:rPr>
        <w:t xml:space="preserve">rate </w:t>
      </w:r>
      <w:r w:rsidR="003846F9">
        <w:rPr>
          <w:rFonts w:ascii="Times New Roman" w:hAnsi="Times New Roman" w:cs="Times New Roman"/>
        </w:rPr>
        <w:t xml:space="preserve">of these issuances </w:t>
      </w:r>
      <w:r w:rsidR="000A7429" w:rsidRPr="000A7429">
        <w:rPr>
          <w:rFonts w:ascii="Times New Roman" w:hAnsi="Times New Roman"/>
        </w:rPr>
        <w:t xml:space="preserve">is </w:t>
      </w:r>
      <w:r>
        <w:rPr>
          <w:rFonts w:ascii="Times New Roman" w:hAnsi="Times New Roman" w:cs="Times New Roman"/>
        </w:rPr>
        <w:t>3.55</w:t>
      </w:r>
      <w:r w:rsidR="00A934E1">
        <w:rPr>
          <w:rFonts w:ascii="Times New Roman" w:hAnsi="Times New Roman" w:cs="Times New Roman"/>
        </w:rPr>
        <w:t xml:space="preserve"> percent</w:t>
      </w:r>
      <w:r w:rsidR="003846F9">
        <w:rPr>
          <w:rFonts w:ascii="Times New Roman" w:hAnsi="Times New Roman" w:cs="Times New Roman"/>
        </w:rPr>
        <w:t xml:space="preserve">. </w:t>
      </w:r>
      <w:r w:rsidR="002D231B">
        <w:rPr>
          <w:rFonts w:ascii="Times New Roman" w:hAnsi="Times New Roman" w:cs="Times New Roman"/>
        </w:rPr>
        <w:t xml:space="preserve"> </w:t>
      </w:r>
      <w:r w:rsidR="0080044C">
        <w:rPr>
          <w:rFonts w:ascii="Times New Roman" w:hAnsi="Times New Roman" w:cs="Times New Roman"/>
        </w:rPr>
        <w:t>The</w:t>
      </w:r>
      <w:r w:rsidR="003846F9">
        <w:rPr>
          <w:rFonts w:ascii="Times New Roman" w:hAnsi="Times New Roman" w:cs="Times New Roman"/>
        </w:rPr>
        <w:t>s</w:t>
      </w:r>
      <w:r w:rsidR="0080044C">
        <w:rPr>
          <w:rFonts w:ascii="Times New Roman" w:hAnsi="Times New Roman" w:cs="Times New Roman"/>
        </w:rPr>
        <w:t>e</w:t>
      </w:r>
      <w:r w:rsidR="003846F9">
        <w:rPr>
          <w:rFonts w:ascii="Times New Roman" w:hAnsi="Times New Roman" w:cs="Times New Roman"/>
        </w:rPr>
        <w:t xml:space="preserve"> issuance</w:t>
      </w:r>
      <w:r w:rsidR="001B42E1">
        <w:rPr>
          <w:rFonts w:ascii="Times New Roman" w:hAnsi="Times New Roman" w:cs="Times New Roman"/>
        </w:rPr>
        <w:t>s</w:t>
      </w:r>
      <w:r w:rsidR="000A7429" w:rsidRPr="000A7429">
        <w:rPr>
          <w:rFonts w:ascii="Times New Roman" w:hAnsi="Times New Roman"/>
        </w:rPr>
        <w:t xml:space="preserve"> have </w:t>
      </w:r>
      <w:r w:rsidR="003846F9" w:rsidRPr="003846F9">
        <w:rPr>
          <w:rFonts w:ascii="Times New Roman" w:hAnsi="Times New Roman" w:cs="Times New Roman"/>
        </w:rPr>
        <w:t xml:space="preserve">varying </w:t>
      </w:r>
      <w:r w:rsidR="000A7429" w:rsidRPr="000A7429">
        <w:rPr>
          <w:rFonts w:ascii="Times New Roman" w:hAnsi="Times New Roman"/>
        </w:rPr>
        <w:t>maturities</w:t>
      </w:r>
      <w:r w:rsidR="001B42E1">
        <w:rPr>
          <w:rFonts w:ascii="Times New Roman" w:hAnsi="Times New Roman" w:cs="Times New Roman"/>
        </w:rPr>
        <w:t xml:space="preserve"> rang</w:t>
      </w:r>
      <w:r w:rsidR="004C300D">
        <w:rPr>
          <w:rFonts w:ascii="Times New Roman" w:hAnsi="Times New Roman" w:cs="Times New Roman"/>
        </w:rPr>
        <w:t>ing</w:t>
      </w:r>
      <w:r w:rsidR="001B42E1">
        <w:rPr>
          <w:rFonts w:ascii="Times New Roman" w:hAnsi="Times New Roman" w:cs="Times New Roman"/>
        </w:rPr>
        <w:t xml:space="preserve"> from 3 years to 35 year</w:t>
      </w:r>
      <w:r w:rsidR="00E73079">
        <w:rPr>
          <w:rFonts w:ascii="Times New Roman" w:hAnsi="Times New Roman" w:cs="Times New Roman"/>
        </w:rPr>
        <w:t>s</w:t>
      </w:r>
      <w:r w:rsidR="002252FC">
        <w:rPr>
          <w:rFonts w:ascii="Times New Roman" w:hAnsi="Times New Roman" w:cs="Times New Roman"/>
        </w:rPr>
        <w:t>,</w:t>
      </w:r>
      <w:r w:rsidR="001B42E1">
        <w:rPr>
          <w:rFonts w:ascii="Times New Roman" w:hAnsi="Times New Roman" w:cs="Times New Roman"/>
        </w:rPr>
        <w:t xml:space="preserve"> and</w:t>
      </w:r>
      <w:r w:rsidR="003846F9">
        <w:rPr>
          <w:rFonts w:ascii="Times New Roman" w:hAnsi="Times New Roman" w:cs="Times New Roman"/>
        </w:rPr>
        <w:t xml:space="preserve"> a weighted average maturity of </w:t>
      </w:r>
      <w:r w:rsidR="004C300D">
        <w:rPr>
          <w:rFonts w:ascii="Times New Roman" w:hAnsi="Times New Roman" w:cs="Times New Roman"/>
        </w:rPr>
        <w:t xml:space="preserve">23.6 </w:t>
      </w:r>
      <w:r w:rsidR="0080044C">
        <w:rPr>
          <w:rFonts w:ascii="Times New Roman" w:hAnsi="Times New Roman" w:cs="Times New Roman"/>
        </w:rPr>
        <w:t>years</w:t>
      </w:r>
      <w:r w:rsidR="000A7429" w:rsidRPr="000A7429">
        <w:rPr>
          <w:rFonts w:ascii="Times New Roman" w:hAnsi="Times New Roman"/>
        </w:rPr>
        <w:t>.</w:t>
      </w:r>
    </w:p>
    <w:p w:rsidR="00EA2A8A" w:rsidRDefault="00EA2A8A"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Our most recent issuance (in 2015) was $100 million of first mortgage bonds with a thirty</w:t>
      </w:r>
      <w:r w:rsidRPr="0080044C">
        <w:rPr>
          <w:rFonts w:ascii="Times New Roman" w:hAnsi="Times New Roman" w:cs="Times New Roman"/>
        </w:rPr>
        <w:t xml:space="preserve"> year </w:t>
      </w:r>
      <w:r>
        <w:rPr>
          <w:rFonts w:ascii="Times New Roman" w:hAnsi="Times New Roman" w:cs="Times New Roman"/>
        </w:rPr>
        <w:t xml:space="preserve">maturity </w:t>
      </w:r>
      <w:r w:rsidRPr="0080044C">
        <w:rPr>
          <w:rFonts w:ascii="Times New Roman" w:hAnsi="Times New Roman" w:cs="Times New Roman"/>
        </w:rPr>
        <w:t xml:space="preserve">at a rate of </w:t>
      </w:r>
      <w:r>
        <w:rPr>
          <w:rFonts w:ascii="Times New Roman" w:hAnsi="Times New Roman" w:cs="Times New Roman"/>
        </w:rPr>
        <w:t>4.37</w:t>
      </w:r>
      <w:r w:rsidRPr="0080044C">
        <w:rPr>
          <w:rFonts w:ascii="Times New Roman" w:hAnsi="Times New Roman" w:cs="Times New Roman"/>
        </w:rPr>
        <w:t>%.</w:t>
      </w:r>
      <w:r>
        <w:rPr>
          <w:rFonts w:ascii="Times New Roman" w:hAnsi="Times New Roman" w:cs="Times New Roman"/>
        </w:rPr>
        <w:t xml:space="preserve"> </w:t>
      </w:r>
      <w:r w:rsidRPr="0080044C">
        <w:rPr>
          <w:rFonts w:ascii="Times New Roman" w:hAnsi="Times New Roman" w:cs="Times New Roman"/>
        </w:rPr>
        <w:t xml:space="preserve"> </w:t>
      </w:r>
      <w:r>
        <w:rPr>
          <w:rFonts w:ascii="Times New Roman" w:hAnsi="Times New Roman" w:cs="Times New Roman"/>
        </w:rPr>
        <w:t>This new debt has an effective cost of 5.01% after taking into account issuance costs and the settlement of interest rate hedges.</w:t>
      </w:r>
    </w:p>
    <w:p w:rsidR="003C77AE" w:rsidRDefault="00EA2A8A"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The prior year</w:t>
      </w:r>
      <w:r w:rsidR="005624E8">
        <w:rPr>
          <w:rFonts w:ascii="Times New Roman" w:hAnsi="Times New Roman" w:cs="Times New Roman"/>
        </w:rPr>
        <w:t xml:space="preserve"> (in </w:t>
      </w:r>
      <w:r w:rsidR="007618D0">
        <w:rPr>
          <w:rFonts w:ascii="Times New Roman" w:hAnsi="Times New Roman" w:cs="Times New Roman"/>
        </w:rPr>
        <w:t>2014</w:t>
      </w:r>
      <w:r w:rsidR="005624E8">
        <w:rPr>
          <w:rFonts w:ascii="Times New Roman" w:hAnsi="Times New Roman" w:cs="Times New Roman"/>
        </w:rPr>
        <w:t>)</w:t>
      </w:r>
      <w:r>
        <w:rPr>
          <w:rFonts w:ascii="Times New Roman" w:hAnsi="Times New Roman" w:cs="Times New Roman"/>
        </w:rPr>
        <w:t xml:space="preserve"> we issued</w:t>
      </w:r>
      <w:r w:rsidR="0080044C">
        <w:rPr>
          <w:rFonts w:ascii="Times New Roman" w:hAnsi="Times New Roman" w:cs="Times New Roman"/>
        </w:rPr>
        <w:t xml:space="preserve"> $</w:t>
      </w:r>
      <w:r w:rsidR="007618D0">
        <w:rPr>
          <w:rFonts w:ascii="Times New Roman" w:hAnsi="Times New Roman" w:cs="Times New Roman"/>
        </w:rPr>
        <w:t xml:space="preserve">60 </w:t>
      </w:r>
      <w:r w:rsidR="0080044C">
        <w:rPr>
          <w:rFonts w:ascii="Times New Roman" w:hAnsi="Times New Roman" w:cs="Times New Roman"/>
        </w:rPr>
        <w:t xml:space="preserve">million </w:t>
      </w:r>
      <w:r w:rsidR="005624E8">
        <w:rPr>
          <w:rFonts w:ascii="Times New Roman" w:hAnsi="Times New Roman" w:cs="Times New Roman"/>
        </w:rPr>
        <w:t xml:space="preserve">of </w:t>
      </w:r>
      <w:r w:rsidR="0080044C">
        <w:rPr>
          <w:rFonts w:ascii="Times New Roman" w:hAnsi="Times New Roman" w:cs="Times New Roman"/>
        </w:rPr>
        <w:t>first mortgage bonds with a</w:t>
      </w:r>
      <w:r w:rsidR="007618D0">
        <w:rPr>
          <w:rFonts w:ascii="Times New Roman" w:hAnsi="Times New Roman" w:cs="Times New Roman"/>
        </w:rPr>
        <w:t xml:space="preserve"> thirty</w:t>
      </w:r>
      <w:r w:rsidR="0080044C" w:rsidRPr="0080044C">
        <w:rPr>
          <w:rFonts w:ascii="Times New Roman" w:hAnsi="Times New Roman" w:cs="Times New Roman"/>
        </w:rPr>
        <w:t xml:space="preserve"> year </w:t>
      </w:r>
      <w:r w:rsidR="0080044C">
        <w:rPr>
          <w:rFonts w:ascii="Times New Roman" w:hAnsi="Times New Roman" w:cs="Times New Roman"/>
        </w:rPr>
        <w:t xml:space="preserve">maturity </w:t>
      </w:r>
      <w:r w:rsidR="0080044C" w:rsidRPr="0080044C">
        <w:rPr>
          <w:rFonts w:ascii="Times New Roman" w:hAnsi="Times New Roman" w:cs="Times New Roman"/>
        </w:rPr>
        <w:t xml:space="preserve">at a rate of </w:t>
      </w:r>
      <w:r w:rsidR="007618D0">
        <w:rPr>
          <w:rFonts w:ascii="Times New Roman" w:hAnsi="Times New Roman" w:cs="Times New Roman"/>
        </w:rPr>
        <w:t>4.11</w:t>
      </w:r>
      <w:r w:rsidR="0080044C" w:rsidRPr="0080044C">
        <w:rPr>
          <w:rFonts w:ascii="Times New Roman" w:hAnsi="Times New Roman" w:cs="Times New Roman"/>
        </w:rPr>
        <w:t>%.</w:t>
      </w:r>
      <w:r w:rsidR="002D231B">
        <w:rPr>
          <w:rFonts w:ascii="Times New Roman" w:hAnsi="Times New Roman" w:cs="Times New Roman"/>
        </w:rPr>
        <w:t xml:space="preserve"> </w:t>
      </w:r>
      <w:r w:rsidR="0080044C" w:rsidRPr="0080044C">
        <w:rPr>
          <w:rFonts w:ascii="Times New Roman" w:hAnsi="Times New Roman" w:cs="Times New Roman"/>
        </w:rPr>
        <w:t xml:space="preserve"> Th</w:t>
      </w:r>
      <w:r w:rsidR="005624E8">
        <w:rPr>
          <w:rFonts w:ascii="Times New Roman" w:hAnsi="Times New Roman" w:cs="Times New Roman"/>
        </w:rPr>
        <w:t>is debt</w:t>
      </w:r>
      <w:r w:rsidR="00E73079">
        <w:rPr>
          <w:rFonts w:ascii="Times New Roman" w:hAnsi="Times New Roman" w:cs="Times New Roman"/>
        </w:rPr>
        <w:t>, which</w:t>
      </w:r>
      <w:r w:rsidR="005624E8">
        <w:rPr>
          <w:rFonts w:ascii="Times New Roman" w:hAnsi="Times New Roman" w:cs="Times New Roman"/>
        </w:rPr>
        <w:t xml:space="preserve"> matures in </w:t>
      </w:r>
      <w:r w:rsidR="007618D0">
        <w:rPr>
          <w:rFonts w:ascii="Times New Roman" w:hAnsi="Times New Roman" w:cs="Times New Roman"/>
        </w:rPr>
        <w:t>2044</w:t>
      </w:r>
      <w:r w:rsidR="00E73079">
        <w:rPr>
          <w:rFonts w:ascii="Times New Roman" w:hAnsi="Times New Roman" w:cs="Times New Roman"/>
        </w:rPr>
        <w:t>,</w:t>
      </w:r>
      <w:r w:rsidR="005624E8">
        <w:rPr>
          <w:rFonts w:ascii="Times New Roman" w:hAnsi="Times New Roman" w:cs="Times New Roman"/>
        </w:rPr>
        <w:t xml:space="preserve"> </w:t>
      </w:r>
      <w:r>
        <w:rPr>
          <w:rFonts w:ascii="Times New Roman" w:hAnsi="Times New Roman" w:cs="Times New Roman"/>
        </w:rPr>
        <w:t>wa</w:t>
      </w:r>
      <w:r w:rsidR="007618D0">
        <w:rPr>
          <w:rFonts w:ascii="Times New Roman" w:hAnsi="Times New Roman" w:cs="Times New Roman"/>
        </w:rPr>
        <w:t xml:space="preserve">s the lowest priced debt with a term beyond twenty years that the Company has issued since the 1950s. </w:t>
      </w:r>
      <w:r w:rsidR="002D231B">
        <w:rPr>
          <w:rFonts w:ascii="Times New Roman" w:hAnsi="Times New Roman" w:cs="Times New Roman"/>
        </w:rPr>
        <w:t xml:space="preserve"> </w:t>
      </w:r>
      <w:r w:rsidR="003C77AE">
        <w:rPr>
          <w:rFonts w:ascii="Times New Roman" w:hAnsi="Times New Roman" w:cs="Times New Roman"/>
        </w:rPr>
        <w:t>The effective cost of this debt</w:t>
      </w:r>
      <w:r w:rsidR="007E6D03" w:rsidRPr="007E6D03">
        <w:rPr>
          <w:rFonts w:ascii="Times New Roman" w:hAnsi="Times New Roman" w:cs="Times New Roman"/>
        </w:rPr>
        <w:t xml:space="preserve"> </w:t>
      </w:r>
      <w:r w:rsidR="007E6D03">
        <w:rPr>
          <w:rFonts w:ascii="Times New Roman" w:hAnsi="Times New Roman" w:cs="Times New Roman"/>
        </w:rPr>
        <w:t>is even lower at 3.65%</w:t>
      </w:r>
      <w:r w:rsidR="003C77AE">
        <w:rPr>
          <w:rFonts w:ascii="Times New Roman" w:hAnsi="Times New Roman" w:cs="Times New Roman"/>
        </w:rPr>
        <w:t xml:space="preserve">, which includes cost of issuance and the impact of interest rate hedges. </w:t>
      </w:r>
      <w:r w:rsidR="002D231B">
        <w:rPr>
          <w:rFonts w:ascii="Times New Roman" w:hAnsi="Times New Roman" w:cs="Times New Roman"/>
        </w:rPr>
        <w:t xml:space="preserve"> </w:t>
      </w:r>
      <w:r w:rsidR="003C77AE">
        <w:rPr>
          <w:rFonts w:ascii="Times New Roman" w:hAnsi="Times New Roman" w:cs="Times New Roman"/>
        </w:rPr>
        <w:t xml:space="preserve">The $5.4 million positive value of </w:t>
      </w:r>
      <w:r w:rsidR="007E6D03">
        <w:rPr>
          <w:rFonts w:ascii="Times New Roman" w:hAnsi="Times New Roman" w:cs="Times New Roman"/>
        </w:rPr>
        <w:t xml:space="preserve">the interest rate </w:t>
      </w:r>
      <w:r w:rsidR="003C77AE">
        <w:rPr>
          <w:rFonts w:ascii="Times New Roman" w:hAnsi="Times New Roman" w:cs="Times New Roman"/>
        </w:rPr>
        <w:t xml:space="preserve">hedges </w:t>
      </w:r>
      <w:r w:rsidR="007E6D03">
        <w:rPr>
          <w:rFonts w:ascii="Times New Roman" w:hAnsi="Times New Roman" w:cs="Times New Roman"/>
        </w:rPr>
        <w:t xml:space="preserve">(hedges were settled when the coupon rate was set) </w:t>
      </w:r>
      <w:r w:rsidR="003C77AE">
        <w:rPr>
          <w:rFonts w:ascii="Times New Roman" w:hAnsi="Times New Roman" w:cs="Times New Roman"/>
        </w:rPr>
        <w:t xml:space="preserve">improved the effective yield on this debt by 0.52%. </w:t>
      </w:r>
      <w:r w:rsidR="002D231B">
        <w:rPr>
          <w:rFonts w:ascii="Times New Roman" w:hAnsi="Times New Roman" w:cs="Times New Roman"/>
        </w:rPr>
        <w:t xml:space="preserve"> </w:t>
      </w:r>
      <w:r w:rsidR="003C77AE">
        <w:rPr>
          <w:rFonts w:ascii="Times New Roman" w:hAnsi="Times New Roman" w:cs="Times New Roman"/>
        </w:rPr>
        <w:t>I will discuss the interest rate hedging program later in my testimony.</w:t>
      </w:r>
    </w:p>
    <w:p w:rsidR="00E27761" w:rsidRDefault="0080044C" w:rsidP="006537AF">
      <w:pPr>
        <w:pStyle w:val="BodyText2"/>
        <w:tabs>
          <w:tab w:val="clear" w:pos="720"/>
        </w:tabs>
        <w:spacing w:before="0" w:after="0"/>
        <w:ind w:left="0" w:right="0" w:firstLine="720"/>
        <w:rPr>
          <w:rFonts w:ascii="Times New Roman" w:hAnsi="Times New Roman" w:cs="Times New Roman"/>
        </w:rPr>
      </w:pPr>
      <w:r w:rsidRPr="0080044C">
        <w:rPr>
          <w:rFonts w:ascii="Times New Roman" w:hAnsi="Times New Roman" w:cs="Times New Roman"/>
        </w:rPr>
        <w:t xml:space="preserve">We </w:t>
      </w:r>
      <w:r w:rsidR="005624E8">
        <w:rPr>
          <w:rFonts w:ascii="Times New Roman" w:hAnsi="Times New Roman" w:cs="Times New Roman"/>
        </w:rPr>
        <w:t>have continued to issue debt with varying maturities to balance the cost of debt and the weighted average maturity.</w:t>
      </w:r>
      <w:r w:rsidR="002D231B">
        <w:rPr>
          <w:rFonts w:ascii="Times New Roman" w:hAnsi="Times New Roman" w:cs="Times New Roman"/>
        </w:rPr>
        <w:t xml:space="preserve"> </w:t>
      </w:r>
      <w:r w:rsidR="005624E8">
        <w:rPr>
          <w:rFonts w:ascii="Times New Roman" w:hAnsi="Times New Roman" w:cs="Times New Roman"/>
        </w:rPr>
        <w:t xml:space="preserve"> This </w:t>
      </w:r>
      <w:r w:rsidR="00A95802">
        <w:rPr>
          <w:rFonts w:ascii="Times New Roman" w:hAnsi="Times New Roman" w:cs="Times New Roman"/>
        </w:rPr>
        <w:t xml:space="preserve">practice </w:t>
      </w:r>
      <w:r w:rsidR="005624E8">
        <w:rPr>
          <w:rFonts w:ascii="Times New Roman" w:hAnsi="Times New Roman" w:cs="Times New Roman"/>
        </w:rPr>
        <w:t xml:space="preserve">has provided us with the ability to </w:t>
      </w:r>
      <w:r w:rsidRPr="0080044C">
        <w:rPr>
          <w:rFonts w:ascii="Times New Roman" w:hAnsi="Times New Roman" w:cs="Times New Roman"/>
        </w:rPr>
        <w:t xml:space="preserve">take advantage of historically low rates on </w:t>
      </w:r>
      <w:r w:rsidR="005624E8">
        <w:rPr>
          <w:rFonts w:ascii="Times New Roman" w:hAnsi="Times New Roman" w:cs="Times New Roman"/>
        </w:rPr>
        <w:t xml:space="preserve">both </w:t>
      </w:r>
      <w:r w:rsidRPr="0080044C">
        <w:rPr>
          <w:rFonts w:ascii="Times New Roman" w:hAnsi="Times New Roman" w:cs="Times New Roman"/>
        </w:rPr>
        <w:t>the short</w:t>
      </w:r>
      <w:r w:rsidR="000C6050">
        <w:rPr>
          <w:rFonts w:ascii="Times New Roman" w:hAnsi="Times New Roman" w:cs="Times New Roman"/>
        </w:rPr>
        <w:t xml:space="preserve"> </w:t>
      </w:r>
      <w:r w:rsidRPr="0080044C">
        <w:rPr>
          <w:rFonts w:ascii="Times New Roman" w:hAnsi="Times New Roman" w:cs="Times New Roman"/>
        </w:rPr>
        <w:t xml:space="preserve">end </w:t>
      </w:r>
      <w:r w:rsidR="005624E8">
        <w:rPr>
          <w:rFonts w:ascii="Times New Roman" w:hAnsi="Times New Roman" w:cs="Times New Roman"/>
        </w:rPr>
        <w:t>and long</w:t>
      </w:r>
      <w:r w:rsidR="000C6050">
        <w:rPr>
          <w:rFonts w:ascii="Times New Roman" w:hAnsi="Times New Roman" w:cs="Times New Roman"/>
        </w:rPr>
        <w:t xml:space="preserve"> </w:t>
      </w:r>
      <w:r w:rsidR="005624E8">
        <w:rPr>
          <w:rFonts w:ascii="Times New Roman" w:hAnsi="Times New Roman" w:cs="Times New Roman"/>
        </w:rPr>
        <w:t xml:space="preserve">end </w:t>
      </w:r>
      <w:r w:rsidRPr="0080044C">
        <w:rPr>
          <w:rFonts w:ascii="Times New Roman" w:hAnsi="Times New Roman" w:cs="Times New Roman"/>
        </w:rPr>
        <w:t>of the yield</w:t>
      </w:r>
      <w:r w:rsidR="00E50F68">
        <w:rPr>
          <w:rFonts w:ascii="Times New Roman" w:hAnsi="Times New Roman" w:cs="Times New Roman"/>
        </w:rPr>
        <w:t xml:space="preserve"> curve</w:t>
      </w:r>
      <w:r w:rsidRPr="0080044C">
        <w:rPr>
          <w:rFonts w:ascii="Times New Roman" w:hAnsi="Times New Roman" w:cs="Times New Roman"/>
        </w:rPr>
        <w:t>.</w:t>
      </w:r>
    </w:p>
    <w:p w:rsidR="001D59BD" w:rsidRDefault="007618D0"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lastRenderedPageBreak/>
        <w:t xml:space="preserve">The Company’s credit ratings have supported reasonable </w:t>
      </w:r>
      <w:r w:rsidR="00A95802">
        <w:rPr>
          <w:rFonts w:ascii="Times New Roman" w:hAnsi="Times New Roman" w:cs="Times New Roman"/>
        </w:rPr>
        <w:t>demand for</w:t>
      </w:r>
      <w:r>
        <w:rPr>
          <w:rFonts w:ascii="Times New Roman" w:hAnsi="Times New Roman" w:cs="Times New Roman"/>
        </w:rPr>
        <w:t xml:space="preserve"> Avista debt by </w:t>
      </w:r>
      <w:r w:rsidR="001D59BD">
        <w:rPr>
          <w:rFonts w:ascii="Times New Roman" w:hAnsi="Times New Roman" w:cs="Times New Roman"/>
        </w:rPr>
        <w:t xml:space="preserve">potential </w:t>
      </w:r>
      <w:r>
        <w:rPr>
          <w:rFonts w:ascii="Times New Roman" w:hAnsi="Times New Roman" w:cs="Times New Roman"/>
        </w:rPr>
        <w:t xml:space="preserve">investors. </w:t>
      </w:r>
      <w:r w:rsidR="002D231B">
        <w:rPr>
          <w:rFonts w:ascii="Times New Roman" w:hAnsi="Times New Roman" w:cs="Times New Roman"/>
        </w:rPr>
        <w:t xml:space="preserve"> </w:t>
      </w:r>
      <w:r>
        <w:rPr>
          <w:rFonts w:ascii="Times New Roman" w:hAnsi="Times New Roman" w:cs="Times New Roman"/>
        </w:rPr>
        <w:t xml:space="preserve">We have </w:t>
      </w:r>
      <w:r w:rsidR="001D59BD">
        <w:rPr>
          <w:rFonts w:ascii="Times New Roman" w:hAnsi="Times New Roman" w:cs="Times New Roman"/>
        </w:rPr>
        <w:t xml:space="preserve">further </w:t>
      </w:r>
      <w:r>
        <w:rPr>
          <w:rFonts w:ascii="Times New Roman" w:hAnsi="Times New Roman" w:cs="Times New Roman"/>
        </w:rPr>
        <w:t xml:space="preserve">enhanced credit quality </w:t>
      </w:r>
      <w:r w:rsidR="001D59BD">
        <w:rPr>
          <w:rFonts w:ascii="Times New Roman" w:hAnsi="Times New Roman" w:cs="Times New Roman"/>
        </w:rPr>
        <w:t xml:space="preserve">and reduced interest cost </w:t>
      </w:r>
      <w:r>
        <w:rPr>
          <w:rFonts w:ascii="Times New Roman" w:hAnsi="Times New Roman" w:cs="Times New Roman"/>
        </w:rPr>
        <w:t xml:space="preserve">by issuing debt </w:t>
      </w:r>
      <w:r w:rsidR="001D59BD">
        <w:rPr>
          <w:rFonts w:ascii="Times New Roman" w:hAnsi="Times New Roman" w:cs="Times New Roman"/>
        </w:rPr>
        <w:t xml:space="preserve">that is </w:t>
      </w:r>
      <w:r>
        <w:rPr>
          <w:rFonts w:ascii="Times New Roman" w:hAnsi="Times New Roman" w:cs="Times New Roman"/>
        </w:rPr>
        <w:t xml:space="preserve">secured by first mortgage bonds. </w:t>
      </w:r>
      <w:r w:rsidR="002D231B">
        <w:rPr>
          <w:rFonts w:ascii="Times New Roman" w:hAnsi="Times New Roman" w:cs="Times New Roman"/>
        </w:rPr>
        <w:t xml:space="preserve"> </w:t>
      </w:r>
    </w:p>
    <w:p w:rsidR="002F267A" w:rsidRPr="00FB6CFC" w:rsidRDefault="001B42E1"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We plan </w:t>
      </w:r>
      <w:r w:rsidR="00A95802">
        <w:rPr>
          <w:rFonts w:ascii="Times New Roman" w:hAnsi="Times New Roman" w:cs="Times New Roman"/>
        </w:rPr>
        <w:t xml:space="preserve">to </w:t>
      </w:r>
      <w:r>
        <w:rPr>
          <w:rFonts w:ascii="Times New Roman" w:hAnsi="Times New Roman" w:cs="Times New Roman"/>
        </w:rPr>
        <w:t>continu</w:t>
      </w:r>
      <w:r w:rsidR="00A95802">
        <w:rPr>
          <w:rFonts w:ascii="Times New Roman" w:hAnsi="Times New Roman" w:cs="Times New Roman"/>
        </w:rPr>
        <w:t>e</w:t>
      </w:r>
      <w:r>
        <w:rPr>
          <w:rFonts w:ascii="Times New Roman" w:hAnsi="Times New Roman" w:cs="Times New Roman"/>
        </w:rPr>
        <w:t xml:space="preserve"> issu</w:t>
      </w:r>
      <w:r w:rsidR="00A95802">
        <w:rPr>
          <w:rFonts w:ascii="Times New Roman" w:hAnsi="Times New Roman" w:cs="Times New Roman"/>
        </w:rPr>
        <w:t>ing</w:t>
      </w:r>
      <w:r>
        <w:rPr>
          <w:rFonts w:ascii="Times New Roman" w:hAnsi="Times New Roman" w:cs="Times New Roman"/>
        </w:rPr>
        <w:t xml:space="preserve"> long-term debt with various maturities for the foreseeable future in order to fund our capital expenditure program and long-term debt maturities.</w:t>
      </w:r>
    </w:p>
    <w:p w:rsidR="00B63DF9" w:rsidRDefault="00B63DF9" w:rsidP="00420712">
      <w:pPr>
        <w:adjustRightInd w:val="0"/>
        <w:spacing w:before="0" w:after="0" w:line="480" w:lineRule="auto"/>
        <w:ind w:left="0" w:right="0" w:firstLine="720"/>
        <w:rPr>
          <w:b/>
        </w:rPr>
      </w:pPr>
      <w:r w:rsidRPr="00EE6BEE">
        <w:rPr>
          <w:b/>
        </w:rPr>
        <w:t>Q.</w:t>
      </w:r>
      <w:r w:rsidR="00327636">
        <w:rPr>
          <w:b/>
        </w:rPr>
        <w:tab/>
      </w:r>
      <w:r w:rsidR="00005C82">
        <w:rPr>
          <w:b/>
        </w:rPr>
        <w:t>W</w:t>
      </w:r>
      <w:r w:rsidR="002E089C">
        <w:rPr>
          <w:b/>
        </w:rPr>
        <w:t xml:space="preserve">hat </w:t>
      </w:r>
      <w:r w:rsidR="00005C82">
        <w:rPr>
          <w:b/>
        </w:rPr>
        <w:t xml:space="preserve">is </w:t>
      </w:r>
      <w:r w:rsidR="002E089C">
        <w:rPr>
          <w:b/>
        </w:rPr>
        <w:t>the Company do</w:t>
      </w:r>
      <w:r w:rsidR="00005C82">
        <w:rPr>
          <w:b/>
        </w:rPr>
        <w:t>ing</w:t>
      </w:r>
      <w:r w:rsidR="002E089C">
        <w:rPr>
          <w:b/>
        </w:rPr>
        <w:t xml:space="preserve"> to mitigate</w:t>
      </w:r>
      <w:r w:rsidR="00C57C55">
        <w:rPr>
          <w:b/>
        </w:rPr>
        <w:t xml:space="preserve"> interest rate</w:t>
      </w:r>
      <w:r w:rsidR="00005C82">
        <w:rPr>
          <w:b/>
        </w:rPr>
        <w:t xml:space="preserve"> </w:t>
      </w:r>
      <w:r w:rsidR="002E089C">
        <w:rPr>
          <w:b/>
        </w:rPr>
        <w:t>risk</w:t>
      </w:r>
      <w:r w:rsidR="00C57C55">
        <w:rPr>
          <w:b/>
        </w:rPr>
        <w:t xml:space="preserve"> related to </w:t>
      </w:r>
      <w:r w:rsidR="00E73079">
        <w:rPr>
          <w:b/>
        </w:rPr>
        <w:t>future</w:t>
      </w:r>
      <w:r w:rsidR="00C57C55">
        <w:rPr>
          <w:b/>
        </w:rPr>
        <w:t xml:space="preserve"> long-term debt issuances</w:t>
      </w:r>
      <w:r w:rsidR="002E089C">
        <w:rPr>
          <w:b/>
        </w:rPr>
        <w:t>?</w:t>
      </w:r>
    </w:p>
    <w:p w:rsidR="00634251" w:rsidRDefault="00B63DF9" w:rsidP="00420712">
      <w:pPr>
        <w:adjustRightInd w:val="0"/>
        <w:spacing w:before="0" w:after="0" w:line="480" w:lineRule="auto"/>
        <w:ind w:left="0" w:right="0" w:firstLine="720"/>
      </w:pPr>
      <w:r w:rsidRPr="00EE6BEE">
        <w:t>A.</w:t>
      </w:r>
      <w:r w:rsidR="00327636">
        <w:tab/>
      </w:r>
      <w:r w:rsidR="009D1144">
        <w:t xml:space="preserve">As mentioned earlier, we </w:t>
      </w:r>
      <w:r w:rsidR="001D59BD">
        <w:t>are forecasting</w:t>
      </w:r>
      <w:r w:rsidR="009D1144">
        <w:t xml:space="preserve"> $1.</w:t>
      </w:r>
      <w:r w:rsidR="00A85C2A">
        <w:t>2</w:t>
      </w:r>
      <w:r w:rsidR="001D59BD">
        <w:t xml:space="preserve"> </w:t>
      </w:r>
      <w:r w:rsidR="00E73079">
        <w:t>b</w:t>
      </w:r>
      <w:r w:rsidR="009D1144">
        <w:t xml:space="preserve">illion in capital expenditures over the </w:t>
      </w:r>
      <w:r w:rsidR="009D1144" w:rsidRPr="00FD0C3A">
        <w:t>n</w:t>
      </w:r>
      <w:r w:rsidR="00B770A2" w:rsidRPr="00FD0C3A">
        <w:t xml:space="preserve">ext </w:t>
      </w:r>
      <w:r w:rsidR="00A85C2A" w:rsidRPr="00FD0C3A">
        <w:t>three</w:t>
      </w:r>
      <w:r w:rsidR="009D1144" w:rsidRPr="00FD0C3A">
        <w:t xml:space="preserve"> years. </w:t>
      </w:r>
      <w:r w:rsidR="002D231B" w:rsidRPr="00FD0C3A">
        <w:t xml:space="preserve"> </w:t>
      </w:r>
      <w:r w:rsidR="009D1144" w:rsidRPr="00FD0C3A">
        <w:t xml:space="preserve">Additionally, </w:t>
      </w:r>
      <w:r w:rsidR="00E529AB" w:rsidRPr="00FD0C3A">
        <w:t>we have $</w:t>
      </w:r>
      <w:r w:rsidR="00DA608A" w:rsidRPr="00FD0C3A">
        <w:t>362</w:t>
      </w:r>
      <w:r w:rsidR="00E529AB" w:rsidRPr="00FD0C3A">
        <w:t xml:space="preserve">.5 million of debt maturing during the same period. </w:t>
      </w:r>
      <w:r w:rsidR="002D231B" w:rsidRPr="00FD0C3A">
        <w:t xml:space="preserve"> </w:t>
      </w:r>
      <w:r w:rsidR="0097462F" w:rsidRPr="00FD0C3A">
        <w:t>This results in a significant need for t</w:t>
      </w:r>
      <w:r w:rsidR="00E529AB" w:rsidRPr="00FD0C3A">
        <w:t>he issuance of long-term debt to fund these capital expenditures</w:t>
      </w:r>
      <w:r w:rsidR="00E529AB">
        <w:t xml:space="preserve"> and maturing debt </w:t>
      </w:r>
      <w:r w:rsidR="001D59BD">
        <w:t>while</w:t>
      </w:r>
      <w:r w:rsidR="00FB6CFC">
        <w:t xml:space="preserve"> </w:t>
      </w:r>
      <w:r w:rsidR="00E529AB">
        <w:t>maintain</w:t>
      </w:r>
      <w:r w:rsidR="001D59BD">
        <w:t>ing</w:t>
      </w:r>
      <w:r w:rsidR="00E529AB">
        <w:t xml:space="preserve"> an appropriate capital structure</w:t>
      </w:r>
      <w:r w:rsidR="00722981">
        <w:t>.</w:t>
      </w:r>
    </w:p>
    <w:p w:rsidR="00A4269C" w:rsidRDefault="009E5F8F" w:rsidP="00420712">
      <w:pPr>
        <w:adjustRightInd w:val="0"/>
        <w:spacing w:before="0" w:after="0" w:line="480" w:lineRule="auto"/>
        <w:ind w:left="0" w:right="0" w:firstLine="720"/>
      </w:pPr>
      <w:r>
        <w:t xml:space="preserve">We </w:t>
      </w:r>
      <w:r w:rsidR="00A4269C">
        <w:t>usually</w:t>
      </w:r>
      <w:r>
        <w:t xml:space="preserve"> rel</w:t>
      </w:r>
      <w:r w:rsidR="00A4269C">
        <w:t>y</w:t>
      </w:r>
      <w:r>
        <w:t xml:space="preserve"> on short-term debt as interim financing for capital expenditures, with issuances of long-term debt in larger transactions approximately once a year. </w:t>
      </w:r>
      <w:r w:rsidR="002D231B">
        <w:t xml:space="preserve"> </w:t>
      </w:r>
      <w:r>
        <w:t xml:space="preserve">As a result, </w:t>
      </w:r>
      <w:r w:rsidR="00A4269C">
        <w:t xml:space="preserve">we access </w:t>
      </w:r>
      <w:r w:rsidR="000C24EA">
        <w:t xml:space="preserve">long-term </w:t>
      </w:r>
      <w:r w:rsidR="00A4269C">
        <w:t xml:space="preserve">debt capital markets on </w:t>
      </w:r>
      <w:r w:rsidR="000C24EA">
        <w:t>limited</w:t>
      </w:r>
      <w:r w:rsidR="00A4269C">
        <w:t xml:space="preserve"> occasions, so our </w:t>
      </w:r>
      <w:r>
        <w:t xml:space="preserve">exposure to prevailing long-term interest rates can </w:t>
      </w:r>
      <w:r w:rsidR="00A4269C">
        <w:t xml:space="preserve">occur all at once rather than across market cycles. </w:t>
      </w:r>
      <w:r w:rsidR="002D231B">
        <w:t xml:space="preserve"> </w:t>
      </w:r>
      <w:r w:rsidR="00A4269C">
        <w:t xml:space="preserve">To mitigate interest rate risks, we hedge the rates for a portion of forecasted debt issuances over several years leading up to the date we anticipate each issuance. </w:t>
      </w:r>
    </w:p>
    <w:p w:rsidR="00B63DF9" w:rsidRDefault="00B63DF9" w:rsidP="00420712">
      <w:pPr>
        <w:adjustRightInd w:val="0"/>
        <w:spacing w:before="0" w:after="0" w:line="480" w:lineRule="auto"/>
        <w:ind w:left="0" w:right="0" w:firstLine="720"/>
      </w:pPr>
      <w:r w:rsidRPr="003B4AA1">
        <w:t xml:space="preserve">We </w:t>
      </w:r>
      <w:r w:rsidR="00A4269C">
        <w:t xml:space="preserve">also </w:t>
      </w:r>
      <w:r w:rsidRPr="003B4AA1">
        <w:t>manage</w:t>
      </w:r>
      <w:r w:rsidR="00E529AB">
        <w:t xml:space="preserve"> </w:t>
      </w:r>
      <w:r w:rsidRPr="003B4AA1">
        <w:t xml:space="preserve">interest rate </w:t>
      </w:r>
      <w:r>
        <w:t xml:space="preserve">risk exposure by limiting </w:t>
      </w:r>
      <w:r w:rsidR="00A4269C">
        <w:t xml:space="preserve">the extent of </w:t>
      </w:r>
      <w:r>
        <w:t xml:space="preserve">outstanding debt </w:t>
      </w:r>
      <w:r w:rsidR="00A4269C">
        <w:t xml:space="preserve">that is subject to </w:t>
      </w:r>
      <w:r w:rsidRPr="003B4AA1">
        <w:t xml:space="preserve">variable </w:t>
      </w:r>
      <w:r>
        <w:t xml:space="preserve">interest </w:t>
      </w:r>
      <w:r w:rsidRPr="003B4AA1">
        <w:t>rate</w:t>
      </w:r>
      <w:r w:rsidR="00BD4B0B">
        <w:t>s</w:t>
      </w:r>
      <w:r w:rsidR="00A4269C">
        <w:t xml:space="preserve"> rather than fixed rates.</w:t>
      </w:r>
      <w:r w:rsidR="002D231B">
        <w:t xml:space="preserve"> </w:t>
      </w:r>
      <w:r w:rsidR="00A4269C">
        <w:t xml:space="preserve"> </w:t>
      </w:r>
      <w:r w:rsidR="001A1646">
        <w:t>In addition, we</w:t>
      </w:r>
      <w:r w:rsidRPr="003B4AA1">
        <w:t xml:space="preserve"> </w:t>
      </w:r>
      <w:r>
        <w:t>issu</w:t>
      </w:r>
      <w:r w:rsidR="00A4269C">
        <w:t>e</w:t>
      </w:r>
      <w:r>
        <w:t xml:space="preserve"> </w:t>
      </w:r>
      <w:r w:rsidRPr="003B4AA1">
        <w:t xml:space="preserve">fixed rate long-term debt with varying maturities to manage the amount of debt that is required to </w:t>
      </w:r>
      <w:r w:rsidRPr="003B4AA1">
        <w:lastRenderedPageBreak/>
        <w:t>be refinanced in any period</w:t>
      </w:r>
      <w:r w:rsidR="00A4269C">
        <w:t xml:space="preserve"> (looking ahead to its future maturity)</w:t>
      </w:r>
      <w:r w:rsidR="00CD4E91">
        <w:t>,</w:t>
      </w:r>
      <w:r w:rsidR="00A4269C">
        <w:t xml:space="preserve"> and to obtain rates across a broader spectrum of prevailing terms </w:t>
      </w:r>
      <w:r w:rsidR="001A1646">
        <w:t>which tend to be priced at different interest</w:t>
      </w:r>
      <w:r w:rsidR="00A4269C">
        <w:t xml:space="preserve"> rates</w:t>
      </w:r>
      <w:r w:rsidR="002F267A">
        <w:t>.</w:t>
      </w:r>
    </w:p>
    <w:p w:rsidR="00815DF0" w:rsidRDefault="00B63DF9" w:rsidP="00420712">
      <w:pPr>
        <w:adjustRightInd w:val="0"/>
        <w:spacing w:before="0" w:after="0" w:line="480" w:lineRule="auto"/>
        <w:ind w:left="0" w:right="0" w:firstLine="720"/>
        <w:rPr>
          <w:b/>
        </w:rPr>
      </w:pPr>
      <w:r>
        <w:rPr>
          <w:b/>
        </w:rPr>
        <w:t>Q.</w:t>
      </w:r>
      <w:r w:rsidR="00327636">
        <w:rPr>
          <w:b/>
        </w:rPr>
        <w:tab/>
      </w:r>
      <w:r>
        <w:rPr>
          <w:b/>
        </w:rPr>
        <w:t xml:space="preserve">Does the Company have guidelines regarding its interest rate risk management? </w:t>
      </w:r>
    </w:p>
    <w:p w:rsidR="00C7056E" w:rsidRDefault="00B63DF9" w:rsidP="00420712">
      <w:pPr>
        <w:adjustRightInd w:val="0"/>
        <w:spacing w:before="0" w:after="0" w:line="480" w:lineRule="auto"/>
        <w:ind w:left="0" w:right="0" w:firstLine="720"/>
      </w:pPr>
      <w:r w:rsidRPr="007D76CF">
        <w:t>A.</w:t>
      </w:r>
      <w:r w:rsidR="00327636">
        <w:tab/>
      </w:r>
      <w:r w:rsidR="00E73079">
        <w:t xml:space="preserve">Yes. </w:t>
      </w:r>
      <w:r w:rsidR="00544E2D">
        <w:t xml:space="preserve"> </w:t>
      </w:r>
      <w:r w:rsidR="00FB6CFC">
        <w:t>The Company’s Interest Rate Risk Management Plan</w:t>
      </w:r>
      <w:r w:rsidR="0006594F">
        <w:t>,</w:t>
      </w:r>
      <w:r w:rsidR="00FB6CFC">
        <w:t xml:space="preserve"> attached as</w:t>
      </w:r>
      <w:r w:rsidR="003D336F">
        <w:t xml:space="preserve"> Confidential Exhibit No.____(MT</w:t>
      </w:r>
      <w:r w:rsidR="00FB6CFC">
        <w:t>T-3C)</w:t>
      </w:r>
      <w:r w:rsidR="0006594F">
        <w:t>,</w:t>
      </w:r>
      <w:r w:rsidR="00191034" w:rsidRPr="00191034">
        <w:t xml:space="preserve"> is</w:t>
      </w:r>
      <w:r w:rsidR="00A95802">
        <w:t xml:space="preserve"> </w:t>
      </w:r>
      <w:r w:rsidR="001A1646">
        <w:t>designed</w:t>
      </w:r>
      <w:r w:rsidR="00191034" w:rsidRPr="00191034">
        <w:t xml:space="preserve"> to </w:t>
      </w:r>
      <w:r w:rsidR="00FF711A">
        <w:t>reduce uncertainty of</w:t>
      </w:r>
      <w:r w:rsidR="00FC3E96">
        <w:t xml:space="preserve"> the effective interest cost of future debt issuances</w:t>
      </w:r>
      <w:r w:rsidR="00191034" w:rsidRPr="00191034">
        <w:t>.</w:t>
      </w:r>
      <w:r w:rsidR="002D231B">
        <w:t xml:space="preserve"> </w:t>
      </w:r>
      <w:r w:rsidR="001A1646" w:rsidRPr="001A1646">
        <w:t xml:space="preserve"> </w:t>
      </w:r>
      <w:r w:rsidR="001A1646">
        <w:t xml:space="preserve">The plan provides guidelines for </w:t>
      </w:r>
      <w:r w:rsidR="001A1646" w:rsidRPr="00BA2100">
        <w:t>hedg</w:t>
      </w:r>
      <w:r w:rsidR="001A1646">
        <w:t>ing</w:t>
      </w:r>
      <w:r w:rsidR="001A1646" w:rsidRPr="00BA2100">
        <w:t xml:space="preserve"> a portion of interest rate risk with f</w:t>
      </w:r>
      <w:r w:rsidR="001A1646">
        <w:t xml:space="preserve">inancial derivative instruments. </w:t>
      </w:r>
      <w:r w:rsidR="002D231B">
        <w:t xml:space="preserve"> </w:t>
      </w:r>
      <w:r w:rsidR="001A1646">
        <w:t>We settle these hedge transactions for cash simultaneously when a related new fixed-rate debt issuance is priced in the market.</w:t>
      </w:r>
      <w:r w:rsidR="002D231B">
        <w:t xml:space="preserve"> </w:t>
      </w:r>
      <w:r w:rsidR="001A1646">
        <w:t xml:space="preserve"> The settlement proceeds (which may be positive or negative) are amortized over the life of the new debt issuance.</w:t>
      </w:r>
    </w:p>
    <w:p w:rsidR="0006594F" w:rsidRDefault="00420712" w:rsidP="001A1646">
      <w:pPr>
        <w:spacing w:before="0" w:after="0" w:line="480" w:lineRule="auto"/>
        <w:ind w:left="0" w:right="0" w:firstLine="720"/>
      </w:pPr>
      <w:r>
        <w:t xml:space="preserve">The </w:t>
      </w:r>
      <w:r w:rsidR="008E6033">
        <w:t>i</w:t>
      </w:r>
      <w:r w:rsidR="001A1646">
        <w:t xml:space="preserve">nterest </w:t>
      </w:r>
      <w:r w:rsidR="008E6033">
        <w:t>r</w:t>
      </w:r>
      <w:r w:rsidR="001A1646">
        <w:t xml:space="preserve">ate </w:t>
      </w:r>
      <w:r w:rsidR="008E6033">
        <w:t>r</w:t>
      </w:r>
      <w:r w:rsidR="001A1646">
        <w:t xml:space="preserve">isk </w:t>
      </w:r>
      <w:r w:rsidR="008E6033">
        <w:t>m</w:t>
      </w:r>
      <w:r w:rsidR="001A1646">
        <w:t xml:space="preserve">anagement </w:t>
      </w:r>
      <w:r w:rsidR="002F267A">
        <w:t xml:space="preserve">plan </w:t>
      </w:r>
      <w:r w:rsidR="00E73079">
        <w:t xml:space="preserve">provides </w:t>
      </w:r>
      <w:r w:rsidR="002F267A">
        <w:t>t</w:t>
      </w:r>
      <w:r w:rsidR="00561A3A">
        <w:t xml:space="preserve">hat </w:t>
      </w:r>
      <w:r w:rsidR="008E6033">
        <w:t xml:space="preserve">hedge transactions are executed </w:t>
      </w:r>
      <w:r w:rsidR="00A07AE1">
        <w:t xml:space="preserve">solely </w:t>
      </w:r>
      <w:r w:rsidR="008E6033">
        <w:t>to reduce</w:t>
      </w:r>
      <w:r w:rsidR="00A07AE1">
        <w:t xml:space="preserve"> interest rate uncertainty</w:t>
      </w:r>
      <w:r w:rsidR="008E6033">
        <w:t xml:space="preserve"> on future debt that is included in the Company’s five-year forecast</w:t>
      </w:r>
      <w:r w:rsidR="002F267A">
        <w:t>.</w:t>
      </w:r>
      <w:r w:rsidR="002D231B">
        <w:t xml:space="preserve"> </w:t>
      </w:r>
      <w:r w:rsidR="002F267A">
        <w:t xml:space="preserve"> </w:t>
      </w:r>
      <w:r w:rsidR="0006594F">
        <w:t>The hedge transactions do not involve speculation about the movement of future interest rates.</w:t>
      </w:r>
    </w:p>
    <w:p w:rsidR="00263FE1" w:rsidRDefault="00263FE1" w:rsidP="00297612">
      <w:pPr>
        <w:adjustRightInd w:val="0"/>
        <w:spacing w:before="0" w:after="0" w:line="480" w:lineRule="auto"/>
        <w:ind w:left="0" w:right="0" w:firstLine="720"/>
        <w:rPr>
          <w:b/>
        </w:rPr>
      </w:pPr>
      <w:r w:rsidRPr="00CC3C06">
        <w:rPr>
          <w:b/>
        </w:rPr>
        <w:t>Q.</w:t>
      </w:r>
      <w:r w:rsidR="00327636">
        <w:rPr>
          <w:b/>
        </w:rPr>
        <w:tab/>
      </w:r>
      <w:r w:rsidRPr="00CC3C06">
        <w:rPr>
          <w:b/>
        </w:rPr>
        <w:t>I</w:t>
      </w:r>
      <w:r>
        <w:rPr>
          <w:b/>
        </w:rPr>
        <w:t xml:space="preserve">s the cost of short-term debt the Company </w:t>
      </w:r>
      <w:r w:rsidRPr="00CC3C06">
        <w:rPr>
          <w:b/>
        </w:rPr>
        <w:t>seeks to recover in this proceeding consistent with the approach in its most recent general rate case?</w:t>
      </w:r>
    </w:p>
    <w:p w:rsidR="00963C3D" w:rsidRDefault="00263FE1" w:rsidP="00297612">
      <w:pPr>
        <w:spacing w:before="0" w:after="0" w:line="480" w:lineRule="auto"/>
        <w:ind w:left="0" w:right="0" w:firstLine="720"/>
      </w:pPr>
      <w:r>
        <w:t>A.</w:t>
      </w:r>
      <w:r w:rsidR="00327636">
        <w:tab/>
      </w:r>
      <w:r>
        <w:t xml:space="preserve">Yes, the </w:t>
      </w:r>
      <w:r w:rsidRPr="0033022B">
        <w:t>calculated cost of</w:t>
      </w:r>
      <w:r>
        <w:t xml:space="preserve"> short-term</w:t>
      </w:r>
      <w:r w:rsidRPr="0033022B">
        <w:t xml:space="preserve"> debt </w:t>
      </w:r>
      <w:r w:rsidR="00E73079">
        <w:t>includes</w:t>
      </w:r>
      <w:r>
        <w:t xml:space="preserve"> </w:t>
      </w:r>
      <w:r w:rsidR="0015671B">
        <w:t>credit facility availability fees, interest on amounts borrowed</w:t>
      </w:r>
      <w:r>
        <w:t>, amortization of upfront costs</w:t>
      </w:r>
      <w:r w:rsidR="00E73079">
        <w:t>,</w:t>
      </w:r>
      <w:r>
        <w:t xml:space="preserve"> and forecasted LIBOR rates</w:t>
      </w:r>
      <w:r w:rsidRPr="0033022B">
        <w:t xml:space="preserve">. </w:t>
      </w:r>
      <w:r w:rsidR="002D231B">
        <w:t xml:space="preserve"> </w:t>
      </w:r>
      <w:r w:rsidRPr="0033022B">
        <w:t xml:space="preserve">The result is </w:t>
      </w:r>
      <w:r>
        <w:t xml:space="preserve">a short-term debt cost of </w:t>
      </w:r>
      <w:r w:rsidR="005B09E1">
        <w:t>2.</w:t>
      </w:r>
      <w:r w:rsidR="00F33E83">
        <w:t>66</w:t>
      </w:r>
      <w:r w:rsidR="0060521B" w:rsidRPr="0033022B">
        <w:t xml:space="preserve"> </w:t>
      </w:r>
      <w:r w:rsidRPr="0033022B">
        <w:t>percent</w:t>
      </w:r>
      <w:r w:rsidR="00297612">
        <w:t>, as shown in Exhibit No.____</w:t>
      </w:r>
      <w:r>
        <w:t>(MTT-2)</w:t>
      </w:r>
      <w:r w:rsidRPr="00DB6B09">
        <w:t xml:space="preserve"> </w:t>
      </w:r>
      <w:r>
        <w:t xml:space="preserve">page 4. </w:t>
      </w:r>
    </w:p>
    <w:p w:rsidR="0015671B" w:rsidRDefault="0015671B" w:rsidP="005826FE">
      <w:pPr>
        <w:adjustRightInd w:val="0"/>
        <w:spacing w:before="0" w:after="0" w:line="480" w:lineRule="auto"/>
        <w:ind w:left="0" w:right="0" w:firstLine="720"/>
        <w:rPr>
          <w:b/>
        </w:rPr>
      </w:pPr>
      <w:r w:rsidRPr="00086132">
        <w:rPr>
          <w:b/>
        </w:rPr>
        <w:t>Q.</w:t>
      </w:r>
      <w:r>
        <w:rPr>
          <w:b/>
        </w:rPr>
        <w:tab/>
      </w:r>
      <w:r w:rsidRPr="00086132">
        <w:rPr>
          <w:b/>
        </w:rPr>
        <w:t>Please describe</w:t>
      </w:r>
      <w:r>
        <w:rPr>
          <w:b/>
        </w:rPr>
        <w:t xml:space="preserve"> Avista</w:t>
      </w:r>
      <w:r w:rsidRPr="00086132">
        <w:rPr>
          <w:b/>
        </w:rPr>
        <w:t>'s credit facilit</w:t>
      </w:r>
      <w:r>
        <w:rPr>
          <w:b/>
        </w:rPr>
        <w:t>y</w:t>
      </w:r>
      <w:r w:rsidRPr="00086132">
        <w:rPr>
          <w:b/>
        </w:rPr>
        <w:t>.</w:t>
      </w:r>
    </w:p>
    <w:p w:rsidR="0015671B" w:rsidRDefault="0015671B" w:rsidP="0015671B">
      <w:pPr>
        <w:adjustRightInd w:val="0"/>
        <w:spacing w:before="0" w:after="0" w:line="480" w:lineRule="auto"/>
        <w:ind w:left="0" w:right="0" w:firstLine="720"/>
        <w:rPr>
          <w:bCs/>
        </w:rPr>
      </w:pPr>
      <w:r>
        <w:rPr>
          <w:bCs/>
        </w:rPr>
        <w:lastRenderedPageBreak/>
        <w:t xml:space="preserve">A. </w:t>
      </w:r>
      <w:r>
        <w:rPr>
          <w:bCs/>
        </w:rPr>
        <w:tab/>
        <w:t xml:space="preserve">We have a five-year credit facility in the amount of $400 million with a maturity date of April 2019. </w:t>
      </w:r>
      <w:r w:rsidR="00544E2D">
        <w:rPr>
          <w:bCs/>
        </w:rPr>
        <w:t xml:space="preserve"> </w:t>
      </w:r>
      <w:r>
        <w:t>The credit facility involves participation by ten banks.</w:t>
      </w:r>
      <w:r w:rsidR="002D231B">
        <w:t xml:space="preserve"> </w:t>
      </w:r>
      <w:r>
        <w:t xml:space="preserve"> </w:t>
      </w:r>
      <w:r>
        <w:rPr>
          <w:bCs/>
        </w:rPr>
        <w:t>This credit facility was originally established in 2011 and it was amended in April 2014.</w:t>
      </w:r>
      <w:r w:rsidR="002D231B">
        <w:rPr>
          <w:bCs/>
        </w:rPr>
        <w:t xml:space="preserve"> </w:t>
      </w:r>
      <w:r>
        <w:rPr>
          <w:bCs/>
        </w:rPr>
        <w:t xml:space="preserve"> Our credit facility provides the ability to take out</w:t>
      </w:r>
      <w:r w:rsidR="00D272DB">
        <w:rPr>
          <w:bCs/>
        </w:rPr>
        <w:t xml:space="preserve"> or repay</w:t>
      </w:r>
      <w:r>
        <w:rPr>
          <w:bCs/>
        </w:rPr>
        <w:t xml:space="preserve"> short-term debt based on day-to-day liquidity needs and to have letters of credit issued on the Company’s behalf. </w:t>
      </w:r>
      <w:r w:rsidR="002D231B">
        <w:rPr>
          <w:bCs/>
        </w:rPr>
        <w:t xml:space="preserve"> </w:t>
      </w:r>
      <w:r>
        <w:rPr>
          <w:bCs/>
        </w:rPr>
        <w:t xml:space="preserve">The Company pays fees under three price elements in the agreement:  1) a facility fee to maintain the right to draw on the credit facility at any time, 2) interest on amounts borrowed, and 3) fees for letters of credit. </w:t>
      </w:r>
    </w:p>
    <w:p w:rsidR="0015671B" w:rsidRDefault="0015671B" w:rsidP="0015671B">
      <w:pPr>
        <w:adjustRightInd w:val="0"/>
        <w:spacing w:before="0" w:after="0" w:line="480" w:lineRule="auto"/>
        <w:ind w:left="0" w:right="0" w:firstLine="720"/>
        <w:rPr>
          <w:bCs/>
        </w:rPr>
      </w:pPr>
      <w:r>
        <w:rPr>
          <w:bCs/>
        </w:rPr>
        <w:t xml:space="preserve">The Company may request letters of credit </w:t>
      </w:r>
      <w:r w:rsidR="00826807">
        <w:rPr>
          <w:bCs/>
        </w:rPr>
        <w:t xml:space="preserve">(LCs) </w:t>
      </w:r>
      <w:r>
        <w:rPr>
          <w:bCs/>
        </w:rPr>
        <w:t xml:space="preserve">underwritten by the participating banks and established for the benefit of counterparties to Avista. </w:t>
      </w:r>
      <w:r w:rsidR="002D231B">
        <w:rPr>
          <w:bCs/>
        </w:rPr>
        <w:t xml:space="preserve"> </w:t>
      </w:r>
      <w:r w:rsidR="00826807">
        <w:rPr>
          <w:bCs/>
        </w:rPr>
        <w:t>LCs</w:t>
      </w:r>
      <w:r>
        <w:rPr>
          <w:bCs/>
        </w:rPr>
        <w:t xml:space="preserve"> are often used as collateral when required for energy resources forward commitments, forward swap transactions to hedge interest rate risk on future long-term debt, and other contractual or legal requirements that involve the Company. </w:t>
      </w:r>
      <w:r w:rsidR="002D231B">
        <w:rPr>
          <w:bCs/>
        </w:rPr>
        <w:t xml:space="preserve"> </w:t>
      </w:r>
      <w:r>
        <w:rPr>
          <w:bCs/>
        </w:rPr>
        <w:t xml:space="preserve">The maximum available for </w:t>
      </w:r>
      <w:r w:rsidR="00826807">
        <w:rPr>
          <w:bCs/>
        </w:rPr>
        <w:t>LCs</w:t>
      </w:r>
      <w:r>
        <w:rPr>
          <w:bCs/>
        </w:rPr>
        <w:t xml:space="preserve"> is $200 million</w:t>
      </w:r>
      <w:r w:rsidR="00826807">
        <w:rPr>
          <w:bCs/>
        </w:rPr>
        <w:t xml:space="preserve">. </w:t>
      </w:r>
      <w:r w:rsidR="002D231B">
        <w:rPr>
          <w:bCs/>
        </w:rPr>
        <w:t xml:space="preserve"> </w:t>
      </w:r>
      <w:r w:rsidR="00826807">
        <w:rPr>
          <w:bCs/>
        </w:rPr>
        <w:t>The amount available for cash borrowing out of the overall $400 million credit facility is reduced by the amount of LCs outstanding</w:t>
      </w:r>
      <w:r>
        <w:rPr>
          <w:bCs/>
        </w:rPr>
        <w:t>.</w:t>
      </w:r>
    </w:p>
    <w:p w:rsidR="002734DE" w:rsidRPr="002734DE" w:rsidRDefault="0015671B" w:rsidP="002734DE">
      <w:pPr>
        <w:adjustRightInd w:val="0"/>
        <w:spacing w:before="0" w:after="0" w:line="480" w:lineRule="auto"/>
        <w:ind w:left="0" w:right="0" w:firstLine="720"/>
        <w:rPr>
          <w:bCs/>
        </w:rPr>
      </w:pPr>
      <w:r>
        <w:rPr>
          <w:bCs/>
        </w:rPr>
        <w:t xml:space="preserve">Illustration No. </w:t>
      </w:r>
      <w:r w:rsidR="00F728B0">
        <w:rPr>
          <w:bCs/>
        </w:rPr>
        <w:t>6</w:t>
      </w:r>
      <w:r>
        <w:rPr>
          <w:bCs/>
        </w:rPr>
        <w:t xml:space="preserve"> below summarizes the rates paid to maintain and use the credit facility</w:t>
      </w:r>
      <w:r w:rsidR="00021C61">
        <w:rPr>
          <w:bCs/>
        </w:rPr>
        <w:t>.</w:t>
      </w:r>
      <w:r w:rsidR="002734DE">
        <w:rPr>
          <w:b/>
          <w:bCs/>
          <w:u w:val="single"/>
        </w:rPr>
        <w:br w:type="page"/>
      </w:r>
    </w:p>
    <w:p w:rsidR="0015671B" w:rsidRPr="003573F4" w:rsidRDefault="004738B9" w:rsidP="00CA486D">
      <w:pPr>
        <w:adjustRightInd w:val="0"/>
        <w:spacing w:before="0" w:after="0" w:line="480" w:lineRule="auto"/>
        <w:ind w:left="0" w:right="0"/>
        <w:rPr>
          <w:b/>
          <w:bCs/>
          <w:u w:val="single"/>
        </w:rPr>
      </w:pPr>
      <w:r>
        <w:rPr>
          <w:b/>
          <w:bCs/>
          <w:noProof/>
          <w:u w:val="single"/>
        </w:rPr>
        <w:lastRenderedPageBreak/>
        <w:drawing>
          <wp:anchor distT="0" distB="0" distL="114300" distR="114300" simplePos="0" relativeHeight="251668992" behindDoc="1" locked="0" layoutInCell="1" allowOverlap="1">
            <wp:simplePos x="0" y="0"/>
            <wp:positionH relativeFrom="page">
              <wp:posOffset>1111149</wp:posOffset>
            </wp:positionH>
            <wp:positionV relativeFrom="paragraph">
              <wp:posOffset>321056</wp:posOffset>
            </wp:positionV>
            <wp:extent cx="5669280" cy="310896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cstate="print"/>
                    <a:srcRect/>
                    <a:stretch>
                      <a:fillRect/>
                    </a:stretch>
                  </pic:blipFill>
                  <pic:spPr bwMode="auto">
                    <a:xfrm>
                      <a:off x="0" y="0"/>
                      <a:ext cx="5669280" cy="3108960"/>
                    </a:xfrm>
                    <a:prstGeom prst="rect">
                      <a:avLst/>
                    </a:prstGeom>
                    <a:noFill/>
                    <a:ln w="9525">
                      <a:noFill/>
                      <a:miter lim="800000"/>
                      <a:headEnd/>
                      <a:tailEnd/>
                    </a:ln>
                  </pic:spPr>
                </pic:pic>
              </a:graphicData>
            </a:graphic>
          </wp:anchor>
        </w:drawing>
      </w:r>
      <w:r w:rsidR="0015671B" w:rsidRPr="003573F4">
        <w:rPr>
          <w:b/>
          <w:bCs/>
          <w:u w:val="single"/>
        </w:rPr>
        <w:t xml:space="preserve">Illustration No. </w:t>
      </w:r>
      <w:r w:rsidR="00F728B0">
        <w:rPr>
          <w:b/>
          <w:bCs/>
          <w:u w:val="single"/>
        </w:rPr>
        <w:t>6</w:t>
      </w: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4738B9" w:rsidRDefault="004738B9"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15671B" w:rsidRDefault="0015671B" w:rsidP="00C4358B">
      <w:pPr>
        <w:adjustRightInd w:val="0"/>
        <w:spacing w:before="0" w:after="0" w:line="480" w:lineRule="auto"/>
        <w:ind w:left="0" w:right="0"/>
      </w:pPr>
    </w:p>
    <w:p w:rsidR="00E9741B" w:rsidRDefault="0015671B" w:rsidP="00C4358B">
      <w:pPr>
        <w:spacing w:before="0" w:after="0" w:line="480" w:lineRule="auto"/>
        <w:ind w:left="0" w:right="0" w:firstLine="720"/>
      </w:pPr>
      <w:r>
        <w:t xml:space="preserve">The Pricing Level and associated rates that we are charged is based upon our underlying credit ratings as well as the security </w:t>
      </w:r>
      <w:r w:rsidR="005B043E">
        <w:t>supporting</w:t>
      </w:r>
      <w:r>
        <w:t xml:space="preserve"> the borrowings.</w:t>
      </w:r>
      <w:r w:rsidR="002D231B">
        <w:t xml:space="preserve"> </w:t>
      </w:r>
      <w:r>
        <w:t xml:space="preserve"> Our current rates are based upon Pricing Level I</w:t>
      </w:r>
      <w:r w:rsidR="0016566F">
        <w:t>I</w:t>
      </w:r>
      <w:r>
        <w:t xml:space="preserve">, which became effective in February 2014 based on the Company’s improved credit ratings. </w:t>
      </w:r>
      <w:r w:rsidR="00544E2D">
        <w:t xml:space="preserve"> </w:t>
      </w:r>
      <w:r>
        <w:t xml:space="preserve">We achieve this Pricing Level by securing the credit facility with First Mortgage Bonds. </w:t>
      </w:r>
      <w:r w:rsidR="00544E2D">
        <w:t xml:space="preserve"> </w:t>
      </w:r>
      <w:r>
        <w:t xml:space="preserve">If we did not secure this credit facility with First Mortgage Bonds, the costs would be based on </w:t>
      </w:r>
      <w:r w:rsidRPr="00B23D53">
        <w:t>Pricing Level IV</w:t>
      </w:r>
      <w:r>
        <w:t>, which would increase costs to customers.</w:t>
      </w:r>
      <w:r w:rsidR="002D231B">
        <w:t xml:space="preserve"> </w:t>
      </w:r>
      <w:r>
        <w:t xml:space="preserve"> There are also upfront costs paid for setting up the credit facility (i.e. legal arrangement, bank commitments) that are amortized over the term of the credit facility.</w:t>
      </w:r>
    </w:p>
    <w:p w:rsidR="00B80C55" w:rsidRDefault="00487297" w:rsidP="0015671B">
      <w:pPr>
        <w:spacing w:before="0" w:after="0" w:line="480" w:lineRule="auto"/>
        <w:ind w:left="0" w:right="0" w:firstLine="720"/>
        <w:rPr>
          <w:b/>
        </w:rPr>
      </w:pPr>
      <w:r>
        <w:rPr>
          <w:b/>
        </w:rPr>
        <w:t>Q.</w:t>
      </w:r>
      <w:r w:rsidR="00327636">
        <w:rPr>
          <w:b/>
        </w:rPr>
        <w:tab/>
      </w:r>
      <w:r>
        <w:rPr>
          <w:b/>
        </w:rPr>
        <w:t xml:space="preserve">The Company is </w:t>
      </w:r>
      <w:r w:rsidRPr="00B77B4E">
        <w:rPr>
          <w:b/>
        </w:rPr>
        <w:t xml:space="preserve">requesting </w:t>
      </w:r>
      <w:r w:rsidR="00A1277F" w:rsidRPr="00B77B4E">
        <w:rPr>
          <w:b/>
        </w:rPr>
        <w:t xml:space="preserve">a </w:t>
      </w:r>
      <w:r w:rsidR="00EB7122" w:rsidRPr="00B77B4E">
        <w:rPr>
          <w:b/>
        </w:rPr>
        <w:t>9.9</w:t>
      </w:r>
      <w:r w:rsidR="0057441C" w:rsidRPr="00B77B4E">
        <w:rPr>
          <w:b/>
        </w:rPr>
        <w:t xml:space="preserve">% </w:t>
      </w:r>
      <w:r w:rsidRPr="00B77B4E">
        <w:rPr>
          <w:b/>
        </w:rPr>
        <w:t>return</w:t>
      </w:r>
      <w:r>
        <w:rPr>
          <w:b/>
        </w:rPr>
        <w:t xml:space="preserve"> on equity. </w:t>
      </w:r>
      <w:r w:rsidR="00544E2D">
        <w:rPr>
          <w:b/>
        </w:rPr>
        <w:t xml:space="preserve"> </w:t>
      </w:r>
      <w:r w:rsidR="0057441C">
        <w:rPr>
          <w:b/>
        </w:rPr>
        <w:t xml:space="preserve">Please explain why the Company </w:t>
      </w:r>
      <w:r w:rsidR="00E73079">
        <w:rPr>
          <w:b/>
        </w:rPr>
        <w:t xml:space="preserve">believes </w:t>
      </w:r>
      <w:r w:rsidR="0057441C">
        <w:rPr>
          <w:b/>
        </w:rPr>
        <w:t xml:space="preserve">this is </w:t>
      </w:r>
      <w:r>
        <w:rPr>
          <w:b/>
        </w:rPr>
        <w:t>reasonable</w:t>
      </w:r>
      <w:r w:rsidR="003544F9">
        <w:rPr>
          <w:b/>
        </w:rPr>
        <w:t>.</w:t>
      </w:r>
    </w:p>
    <w:p w:rsidR="0071539D" w:rsidRPr="00487297" w:rsidRDefault="00487297" w:rsidP="003573F4">
      <w:pPr>
        <w:spacing w:before="0" w:after="0" w:line="480" w:lineRule="auto"/>
        <w:ind w:left="0" w:right="0" w:firstLine="720"/>
      </w:pPr>
      <w:r w:rsidRPr="00487297">
        <w:t>A.</w:t>
      </w:r>
      <w:r w:rsidR="003573F4">
        <w:tab/>
      </w:r>
      <w:r w:rsidR="00FB6CFC">
        <w:t xml:space="preserve">We agree with the analyses presented by Mr. McKenzie which demonstrate that the </w:t>
      </w:r>
      <w:r w:rsidR="00FB6CFC" w:rsidRPr="00B77B4E">
        <w:t xml:space="preserve">proposed </w:t>
      </w:r>
      <w:r w:rsidR="00EB7122" w:rsidRPr="00B77B4E">
        <w:t>9.9</w:t>
      </w:r>
      <w:r w:rsidR="00FB6CFC" w:rsidRPr="00B77B4E">
        <w:t xml:space="preserve"> percent</w:t>
      </w:r>
      <w:r w:rsidR="00FB6CFC">
        <w:t xml:space="preserve"> ROE</w:t>
      </w:r>
      <w:r w:rsidR="00390604">
        <w:rPr>
          <w:rStyle w:val="FootnoteReference"/>
        </w:rPr>
        <w:footnoteReference w:id="8"/>
      </w:r>
      <w:r w:rsidR="00031FC5">
        <w:t>, together with the proposed equity layer of 48</w:t>
      </w:r>
      <w:r w:rsidR="001E5FD6">
        <w:t>.5</w:t>
      </w:r>
      <w:r w:rsidR="00031FC5">
        <w:t>%,</w:t>
      </w:r>
      <w:r w:rsidR="00FB6CFC">
        <w:t xml:space="preserve"> </w:t>
      </w:r>
      <w:r w:rsidR="00FB6CFC">
        <w:lastRenderedPageBreak/>
        <w:t>would properly balance</w:t>
      </w:r>
      <w:r w:rsidR="00281BEE">
        <w:t xml:space="preserve"> safety and economy for customers</w:t>
      </w:r>
      <w:r w:rsidR="00E57CD8">
        <w:t>,</w:t>
      </w:r>
      <w:r w:rsidR="00FB6CFC">
        <w:t xml:space="preserve"> provide</w:t>
      </w:r>
      <w:r w:rsidR="00281BEE">
        <w:t xml:space="preserve"> </w:t>
      </w:r>
      <w:r w:rsidR="001207B1">
        <w:t>Avista</w:t>
      </w:r>
      <w:r w:rsidR="00281BEE">
        <w:t xml:space="preserve"> with </w:t>
      </w:r>
      <w:r w:rsidR="0057441C">
        <w:t xml:space="preserve">an opportunity to earn a fair </w:t>
      </w:r>
      <w:r w:rsidR="00CD5357">
        <w:t>and</w:t>
      </w:r>
      <w:r w:rsidR="0057441C">
        <w:t xml:space="preserve"> reasonable return</w:t>
      </w:r>
      <w:r w:rsidR="003D336F">
        <w:t>,</w:t>
      </w:r>
      <w:r w:rsidR="0057441C">
        <w:t xml:space="preserve"> </w:t>
      </w:r>
      <w:r w:rsidR="00FB6CFC">
        <w:t xml:space="preserve">and provide access to capital markets </w:t>
      </w:r>
      <w:r w:rsidR="00281BEE">
        <w:t>under reasonable terms</w:t>
      </w:r>
      <w:r w:rsidR="00682830">
        <w:t xml:space="preserve"> and on a sustainable basis</w:t>
      </w:r>
      <w:r w:rsidR="0057441C">
        <w:t xml:space="preserve">. </w:t>
      </w:r>
      <w:r w:rsidR="002D231B">
        <w:t xml:space="preserve"> </w:t>
      </w:r>
      <w:r w:rsidR="00031FC5">
        <w:t xml:space="preserve">The proposed weighted cost of </w:t>
      </w:r>
      <w:r w:rsidR="00031FC5" w:rsidRPr="00B77B4E">
        <w:t>equity is 4.</w:t>
      </w:r>
      <w:r w:rsidR="005009D3" w:rsidRPr="00B77B4E">
        <w:t>80</w:t>
      </w:r>
      <w:r w:rsidR="00031FC5" w:rsidRPr="00B77B4E">
        <w:t>% (9.9% times 48</w:t>
      </w:r>
      <w:r w:rsidR="001E5FD6" w:rsidRPr="00B77B4E">
        <w:t>.5</w:t>
      </w:r>
      <w:r w:rsidR="00031FC5" w:rsidRPr="00B77B4E">
        <w:t>%).</w:t>
      </w:r>
    </w:p>
    <w:p w:rsidR="00682830" w:rsidRPr="00682830" w:rsidRDefault="00682830" w:rsidP="003573F4">
      <w:pPr>
        <w:spacing w:before="0" w:after="0" w:line="480" w:lineRule="auto"/>
        <w:ind w:left="0" w:right="0" w:firstLine="720"/>
        <w:rPr>
          <w:b/>
        </w:rPr>
      </w:pPr>
      <w:r w:rsidRPr="00682830">
        <w:rPr>
          <w:b/>
        </w:rPr>
        <w:t>Q.</w:t>
      </w:r>
      <w:r w:rsidRPr="00682830">
        <w:rPr>
          <w:b/>
        </w:rPr>
        <w:tab/>
        <w:t xml:space="preserve">How does Avista’s </w:t>
      </w:r>
      <w:r w:rsidRPr="00B77B4E">
        <w:rPr>
          <w:b/>
        </w:rPr>
        <w:t xml:space="preserve">requested </w:t>
      </w:r>
      <w:r w:rsidR="00260751" w:rsidRPr="00B77B4E">
        <w:rPr>
          <w:b/>
        </w:rPr>
        <w:t>4.</w:t>
      </w:r>
      <w:r w:rsidR="00D32892" w:rsidRPr="00B77B4E">
        <w:rPr>
          <w:b/>
        </w:rPr>
        <w:t>80</w:t>
      </w:r>
      <w:r w:rsidR="00054247" w:rsidRPr="00B77B4E">
        <w:rPr>
          <w:b/>
        </w:rPr>
        <w:t xml:space="preserve"> </w:t>
      </w:r>
      <w:r w:rsidRPr="00B77B4E">
        <w:rPr>
          <w:b/>
        </w:rPr>
        <w:t>percent</w:t>
      </w:r>
      <w:r w:rsidRPr="00682830">
        <w:rPr>
          <w:b/>
        </w:rPr>
        <w:t xml:space="preserve"> weighted cost of equity compare with the weighted cost of equity recently approved for electric and natural gas utilities in other jurisdictions?</w:t>
      </w:r>
    </w:p>
    <w:p w:rsidR="004738B9" w:rsidRDefault="00682830" w:rsidP="004738B9">
      <w:pPr>
        <w:spacing w:before="0" w:after="0" w:line="480" w:lineRule="auto"/>
        <w:ind w:left="0" w:right="0" w:firstLine="720"/>
      </w:pPr>
      <w:r>
        <w:t>A.</w:t>
      </w:r>
      <w:r>
        <w:tab/>
        <w:t xml:space="preserve">The bar chart in Illustration No. </w:t>
      </w:r>
      <w:r w:rsidR="00F728B0">
        <w:t>7</w:t>
      </w:r>
      <w:r w:rsidR="00F3728D">
        <w:t xml:space="preserve"> </w:t>
      </w:r>
      <w:r>
        <w:t>below shows the weighted cost of equity approved by state regulators for investor-owned utilitie</w:t>
      </w:r>
      <w:r w:rsidR="00D32892">
        <w:t>s across the country, for the twelve</w:t>
      </w:r>
      <w:r>
        <w:t xml:space="preserve">-month period from </w:t>
      </w:r>
      <w:r w:rsidR="002F2440" w:rsidRPr="00D32892">
        <w:t>January</w:t>
      </w:r>
      <w:r w:rsidRPr="00D32892">
        <w:t xml:space="preserve"> 1, </w:t>
      </w:r>
      <w:r w:rsidR="002F2440" w:rsidRPr="00D32892">
        <w:t xml:space="preserve">2015 </w:t>
      </w:r>
      <w:r w:rsidRPr="00D32892">
        <w:t xml:space="preserve">through </w:t>
      </w:r>
      <w:r w:rsidR="004D1C8A" w:rsidRPr="00D32892">
        <w:t xml:space="preserve">December </w:t>
      </w:r>
      <w:r w:rsidR="002F2440" w:rsidRPr="00D32892">
        <w:t>3</w:t>
      </w:r>
      <w:r w:rsidR="005009D3">
        <w:t>1</w:t>
      </w:r>
      <w:r w:rsidR="002F2440" w:rsidRPr="00D32892">
        <w:t>, 2015</w:t>
      </w:r>
      <w:r>
        <w:t xml:space="preserve">. </w:t>
      </w:r>
      <w:r w:rsidR="002D231B">
        <w:t xml:space="preserve"> </w:t>
      </w:r>
      <w:r>
        <w:t>The</w:t>
      </w:r>
      <w:r w:rsidR="003D336F">
        <w:t>se</w:t>
      </w:r>
      <w:r>
        <w:t xml:space="preserve"> data in the bar chart represent all of the commission decisions that specify an ROE and equity ratio for utilities in </w:t>
      </w:r>
      <w:r w:rsidR="004738B9">
        <w:t>this</w:t>
      </w:r>
      <w:r w:rsidR="00D32892">
        <w:t xml:space="preserve"> twelve</w:t>
      </w:r>
      <w:r>
        <w:t>-month period.</w:t>
      </w:r>
    </w:p>
    <w:p w:rsidR="004753E2" w:rsidRDefault="006F675A" w:rsidP="004738B9">
      <w:pPr>
        <w:spacing w:before="0" w:after="0" w:line="480" w:lineRule="auto"/>
        <w:ind w:left="0" w:right="0"/>
        <w:rPr>
          <w:b/>
          <w:u w:val="single"/>
        </w:rPr>
      </w:pPr>
      <w:r w:rsidRPr="003573F4">
        <w:rPr>
          <w:b/>
          <w:u w:val="single"/>
        </w:rPr>
        <w:t xml:space="preserve">Illustration </w:t>
      </w:r>
      <w:r w:rsidR="003573F4" w:rsidRPr="003573F4">
        <w:rPr>
          <w:b/>
          <w:u w:val="single"/>
        </w:rPr>
        <w:t xml:space="preserve">No. </w:t>
      </w:r>
      <w:r w:rsidR="00F728B0">
        <w:rPr>
          <w:b/>
          <w:u w:val="single"/>
        </w:rPr>
        <w:t>7</w:t>
      </w:r>
      <w:r w:rsidR="00014DF9">
        <w:rPr>
          <w:rStyle w:val="FootnoteReference"/>
          <w:b/>
          <w:u w:val="single"/>
        </w:rPr>
        <w:footnoteReference w:id="9"/>
      </w:r>
      <w:r w:rsidR="00A95802">
        <w:rPr>
          <w:b/>
          <w:u w:val="single"/>
        </w:rPr>
        <w:t xml:space="preserve"> </w:t>
      </w:r>
    </w:p>
    <w:p w:rsidR="00EC242A" w:rsidRDefault="00FD0C3A" w:rsidP="004738B9">
      <w:pPr>
        <w:spacing w:before="0" w:after="0" w:line="480" w:lineRule="auto"/>
        <w:ind w:left="0" w:right="0"/>
        <w:rPr>
          <w:b/>
          <w:u w:val="single"/>
        </w:rPr>
      </w:pPr>
      <w:r>
        <w:rPr>
          <w:b/>
          <w:noProof/>
          <w:u w:val="single"/>
        </w:rPr>
        <w:drawing>
          <wp:anchor distT="0" distB="0" distL="114300" distR="114300" simplePos="0" relativeHeight="251673088" behindDoc="1" locked="0" layoutInCell="1" allowOverlap="1">
            <wp:simplePos x="0" y="0"/>
            <wp:positionH relativeFrom="column">
              <wp:posOffset>277232</wp:posOffset>
            </wp:positionH>
            <wp:positionV relativeFrom="paragraph">
              <wp:posOffset>45433</wp:posOffset>
            </wp:positionV>
            <wp:extent cx="5384800" cy="311467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4800" cy="3114675"/>
                    </a:xfrm>
                    <a:prstGeom prst="rect">
                      <a:avLst/>
                    </a:prstGeom>
                    <a:noFill/>
                  </pic:spPr>
                </pic:pic>
              </a:graphicData>
            </a:graphic>
          </wp:anchor>
        </w:drawing>
      </w: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2F2440" w:rsidRPr="00014DF9" w:rsidRDefault="002F2440" w:rsidP="004738B9">
      <w:pPr>
        <w:spacing w:before="0" w:after="0" w:line="480" w:lineRule="auto"/>
        <w:ind w:left="0" w:right="0"/>
      </w:pPr>
    </w:p>
    <w:p w:rsidR="00FD0C3A" w:rsidRDefault="00FD0C3A" w:rsidP="00A06A61">
      <w:pPr>
        <w:spacing w:before="0" w:after="0" w:line="480" w:lineRule="auto"/>
        <w:ind w:left="0" w:right="0" w:firstLine="720"/>
      </w:pPr>
    </w:p>
    <w:p w:rsidR="00A06A61" w:rsidRDefault="00A06A61" w:rsidP="00A06A61">
      <w:pPr>
        <w:spacing w:before="0" w:after="0" w:line="480" w:lineRule="auto"/>
        <w:ind w:left="0" w:right="0" w:firstLine="720"/>
      </w:pPr>
      <w:r>
        <w:lastRenderedPageBreak/>
        <w:t xml:space="preserve">Avista’s proposed weighted cost of equity </w:t>
      </w:r>
      <w:r w:rsidRPr="00B77B4E">
        <w:t xml:space="preserve">of </w:t>
      </w:r>
      <w:r w:rsidR="00BF1F8D" w:rsidRPr="00B77B4E">
        <w:t>4.80</w:t>
      </w:r>
      <w:r w:rsidRPr="00B77B4E">
        <w:t xml:space="preserve"> percent</w:t>
      </w:r>
      <w:r>
        <w:t>, which is also shown in the chart</w:t>
      </w:r>
      <w:r w:rsidR="006159D9">
        <w:t xml:space="preserve"> above</w:t>
      </w:r>
      <w:r w:rsidR="00BF1F8D">
        <w:t xml:space="preserve">, is in </w:t>
      </w:r>
      <w:r>
        <w:t xml:space="preserve">the middle of the range of these weighted cost of equity numbers. </w:t>
      </w:r>
      <w:r w:rsidR="00544E2D">
        <w:t xml:space="preserve"> </w:t>
      </w:r>
      <w:r>
        <w:t>Additional details related to this chart, including the names of the utilities, are provided in Exhibit No.____(MTT-4).</w:t>
      </w:r>
    </w:p>
    <w:p w:rsidR="00CA486D" w:rsidRDefault="00A06A61" w:rsidP="00CA486D">
      <w:pPr>
        <w:spacing w:before="0" w:after="0" w:line="480" w:lineRule="auto"/>
        <w:ind w:left="0" w:right="0" w:firstLine="720"/>
      </w:pPr>
      <w:r>
        <w:t xml:space="preserve">Because Avista competes with other utilities for equity investor dollars, it is </w:t>
      </w:r>
      <w:r w:rsidR="00E52698">
        <w:t xml:space="preserve">essential </w:t>
      </w:r>
      <w:r>
        <w:t xml:space="preserve">for Avista to </w:t>
      </w:r>
      <w:r w:rsidR="00D66A02">
        <w:t>be able to provide</w:t>
      </w:r>
      <w:r>
        <w:t xml:space="preserve"> an earn</w:t>
      </w:r>
      <w:r w:rsidRPr="009E3778">
        <w:t>ings opportunity that is competitive with other utilities.</w:t>
      </w:r>
    </w:p>
    <w:p w:rsidR="00722981" w:rsidRDefault="00722981" w:rsidP="00CA486D">
      <w:pPr>
        <w:spacing w:before="0" w:after="0" w:line="480" w:lineRule="auto"/>
        <w:ind w:left="0" w:right="0" w:firstLine="720"/>
      </w:pPr>
    </w:p>
    <w:p w:rsidR="00E94A8C" w:rsidRPr="004753E2" w:rsidRDefault="002276A8" w:rsidP="00F3728D">
      <w:pPr>
        <w:keepNext/>
        <w:autoSpaceDE/>
        <w:autoSpaceDN/>
        <w:spacing w:before="0" w:after="0" w:line="480" w:lineRule="auto"/>
        <w:ind w:left="0" w:right="0"/>
        <w:jc w:val="center"/>
        <w:rPr>
          <w:u w:val="single"/>
        </w:rPr>
      </w:pPr>
      <w:r w:rsidRPr="009E3778">
        <w:rPr>
          <w:rStyle w:val="PageNumber"/>
          <w:b/>
          <w:u w:val="single"/>
        </w:rPr>
        <w:t>VI</w:t>
      </w:r>
      <w:r w:rsidR="00031FC5" w:rsidRPr="009E3778">
        <w:rPr>
          <w:rStyle w:val="PageNumber"/>
          <w:b/>
          <w:u w:val="single"/>
        </w:rPr>
        <w:t>I</w:t>
      </w:r>
      <w:r w:rsidR="002734DE" w:rsidRPr="009E3778">
        <w:rPr>
          <w:rStyle w:val="PageNumber"/>
          <w:b/>
          <w:u w:val="single"/>
        </w:rPr>
        <w:t>.</w:t>
      </w:r>
      <w:r w:rsidR="002734DE">
        <w:rPr>
          <w:rStyle w:val="PageNumber"/>
          <w:b/>
          <w:u w:val="single"/>
        </w:rPr>
        <w:t xml:space="preserve"> </w:t>
      </w:r>
      <w:r w:rsidR="002734DE" w:rsidRPr="004753E2">
        <w:rPr>
          <w:rStyle w:val="PageNumber"/>
          <w:b/>
          <w:u w:val="single"/>
        </w:rPr>
        <w:t>CREDIT</w:t>
      </w:r>
      <w:r w:rsidRPr="004753E2">
        <w:rPr>
          <w:b/>
          <w:bCs/>
          <w:u w:val="single"/>
        </w:rPr>
        <w:t xml:space="preserve"> RATINGS</w:t>
      </w:r>
    </w:p>
    <w:p w:rsidR="00F418ED" w:rsidRPr="00181C38" w:rsidRDefault="00F418ED" w:rsidP="005826FE">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How important are credit ratings for Avista?</w:t>
      </w:r>
    </w:p>
    <w:p w:rsidR="0024525E" w:rsidRDefault="00F418ED" w:rsidP="0024525E">
      <w:pPr>
        <w:pStyle w:val="BodyText2"/>
        <w:tabs>
          <w:tab w:val="clear" w:pos="720"/>
        </w:tabs>
        <w:spacing w:before="0" w:after="0"/>
        <w:ind w:left="0" w:right="0" w:firstLine="720"/>
      </w:pPr>
      <w:r w:rsidRPr="00181C38">
        <w:rPr>
          <w:rFonts w:ascii="Times New Roman" w:hAnsi="Times New Roman" w:cs="Times New Roman"/>
        </w:rPr>
        <w:t>A.</w:t>
      </w:r>
      <w:r w:rsidRPr="00181C38">
        <w:rPr>
          <w:rFonts w:ascii="Times New Roman" w:hAnsi="Times New Roman" w:cs="Times New Roman"/>
        </w:rPr>
        <w:tab/>
        <w:t>Utilities require ready access to capital markets in all types of economic environments.</w:t>
      </w:r>
      <w:r w:rsidR="00544E2D">
        <w:rPr>
          <w:rFonts w:ascii="Times New Roman" w:hAnsi="Times New Roman" w:cs="Times New Roman"/>
        </w:rPr>
        <w:t xml:space="preserve"> </w:t>
      </w:r>
      <w:r w:rsidRPr="00181C38">
        <w:rPr>
          <w:rFonts w:ascii="Times New Roman" w:hAnsi="Times New Roman" w:cs="Times New Roman"/>
        </w:rPr>
        <w:t xml:space="preserve"> The </w:t>
      </w:r>
      <w:r w:rsidR="004D1C8A">
        <w:rPr>
          <w:rFonts w:ascii="Times New Roman" w:hAnsi="Times New Roman" w:cs="Times New Roman"/>
        </w:rPr>
        <w:t xml:space="preserve">capital intensive </w:t>
      </w:r>
      <w:r w:rsidRPr="00181C38">
        <w:rPr>
          <w:rFonts w:ascii="Times New Roman" w:hAnsi="Times New Roman" w:cs="Times New Roman"/>
        </w:rPr>
        <w:t xml:space="preserve">nature of our business with </w:t>
      </w:r>
      <w:r w:rsidR="000A4FEC">
        <w:rPr>
          <w:rFonts w:ascii="Times New Roman" w:hAnsi="Times New Roman" w:cs="Times New Roman"/>
        </w:rPr>
        <w:t xml:space="preserve">energy supply and delivery dependent on costly </w:t>
      </w:r>
      <w:r w:rsidRPr="00181C38">
        <w:rPr>
          <w:rFonts w:ascii="Times New Roman" w:hAnsi="Times New Roman" w:cs="Times New Roman"/>
        </w:rPr>
        <w:t>long-term projects</w:t>
      </w:r>
      <w:r w:rsidR="004D1C8A">
        <w:rPr>
          <w:rFonts w:ascii="Times New Roman" w:hAnsi="Times New Roman" w:cs="Times New Roman"/>
        </w:rPr>
        <w:t xml:space="preserve"> </w:t>
      </w:r>
      <w:r w:rsidR="000A4FEC">
        <w:rPr>
          <w:rFonts w:ascii="Times New Roman" w:hAnsi="Times New Roman" w:cs="Times New Roman"/>
        </w:rPr>
        <w:t>to fulfill</w:t>
      </w:r>
      <w:r w:rsidRPr="00181C38">
        <w:rPr>
          <w:rFonts w:ascii="Times New Roman" w:hAnsi="Times New Roman" w:cs="Times New Roman"/>
        </w:rPr>
        <w:t xml:space="preserve"> our obligation to serve</w:t>
      </w:r>
      <w:r w:rsidR="000A4FEC">
        <w:rPr>
          <w:rFonts w:ascii="Times New Roman" w:hAnsi="Times New Roman" w:cs="Times New Roman"/>
        </w:rPr>
        <w:t xml:space="preserve"> customers</w:t>
      </w:r>
      <w:r w:rsidRPr="00181C38">
        <w:rPr>
          <w:rFonts w:ascii="Times New Roman" w:hAnsi="Times New Roman" w:cs="Times New Roman"/>
        </w:rPr>
        <w:t xml:space="preserve"> necessitates the ability to </w:t>
      </w:r>
      <w:r w:rsidR="000A4FEC">
        <w:rPr>
          <w:rFonts w:ascii="Times New Roman" w:hAnsi="Times New Roman" w:cs="Times New Roman"/>
        </w:rPr>
        <w:t>obtain funding from</w:t>
      </w:r>
      <w:r w:rsidRPr="00181C38">
        <w:rPr>
          <w:rFonts w:ascii="Times New Roman" w:hAnsi="Times New Roman" w:cs="Times New Roman"/>
        </w:rPr>
        <w:t xml:space="preserve"> the financial markets under reasonable terms </w:t>
      </w:r>
      <w:r w:rsidR="00054247">
        <w:rPr>
          <w:rFonts w:ascii="Times New Roman" w:hAnsi="Times New Roman" w:cs="Times New Roman"/>
        </w:rPr>
        <w:t xml:space="preserve">at </w:t>
      </w:r>
      <w:r w:rsidRPr="00181C38">
        <w:rPr>
          <w:rFonts w:ascii="Times New Roman" w:hAnsi="Times New Roman" w:cs="Times New Roman"/>
        </w:rPr>
        <w:t>regular</w:t>
      </w:r>
      <w:r w:rsidR="00054247">
        <w:rPr>
          <w:rFonts w:ascii="Times New Roman" w:hAnsi="Times New Roman" w:cs="Times New Roman"/>
        </w:rPr>
        <w:t xml:space="preserve"> intervals</w:t>
      </w:r>
      <w:r w:rsidRPr="00181C38">
        <w:rPr>
          <w:rFonts w:ascii="Times New Roman" w:hAnsi="Times New Roman" w:cs="Times New Roman"/>
        </w:rPr>
        <w:t>.</w:t>
      </w:r>
      <w:r w:rsidR="00544E2D">
        <w:rPr>
          <w:rFonts w:ascii="Times New Roman" w:hAnsi="Times New Roman" w:cs="Times New Roman"/>
        </w:rPr>
        <w:t xml:space="preserve"> </w:t>
      </w:r>
      <w:r w:rsidRPr="00181C38">
        <w:rPr>
          <w:rFonts w:ascii="Times New Roman" w:hAnsi="Times New Roman" w:cs="Times New Roman"/>
        </w:rPr>
        <w:t xml:space="preserve"> In order to have this ability, investors need to understand the risks related to any of their investments. </w:t>
      </w:r>
      <w:r w:rsidR="002D231B">
        <w:rPr>
          <w:rFonts w:ascii="Times New Roman" w:hAnsi="Times New Roman" w:cs="Times New Roman"/>
        </w:rPr>
        <w:t xml:space="preserve"> </w:t>
      </w:r>
      <w:r w:rsidR="000A4FEC">
        <w:rPr>
          <w:rFonts w:ascii="Times New Roman" w:hAnsi="Times New Roman" w:cs="Times New Roman"/>
        </w:rPr>
        <w:t>Financial commitments by our investors generally stretch for many years – even decades</w:t>
      </w:r>
      <w:r w:rsidR="000A4FEC" w:rsidRPr="00181C38">
        <w:rPr>
          <w:rFonts w:ascii="Times New Roman" w:hAnsi="Times New Roman" w:cs="Times New Roman"/>
        </w:rPr>
        <w:t xml:space="preserve"> </w:t>
      </w:r>
      <w:r w:rsidR="000A4FEC">
        <w:rPr>
          <w:rFonts w:ascii="Times New Roman" w:hAnsi="Times New Roman" w:cs="Times New Roman"/>
        </w:rPr>
        <w:t>– a</w:t>
      </w:r>
      <w:r w:rsidR="000A4FEC" w:rsidRPr="00181C38">
        <w:rPr>
          <w:rFonts w:ascii="Times New Roman" w:hAnsi="Times New Roman" w:cs="Times New Roman"/>
        </w:rPr>
        <w:t xml:space="preserve">nd the potential for volatility in </w:t>
      </w:r>
      <w:r w:rsidR="000A4FEC">
        <w:rPr>
          <w:rFonts w:ascii="Times New Roman" w:hAnsi="Times New Roman" w:cs="Times New Roman"/>
        </w:rPr>
        <w:t>costs</w:t>
      </w:r>
      <w:r w:rsidR="000A4FEC" w:rsidRPr="004D1C8A">
        <w:rPr>
          <w:rFonts w:ascii="Times New Roman" w:hAnsi="Times New Roman" w:cs="Times New Roman"/>
        </w:rPr>
        <w:t xml:space="preserve"> </w:t>
      </w:r>
      <w:r w:rsidR="000A4FEC">
        <w:rPr>
          <w:rFonts w:ascii="Times New Roman" w:hAnsi="Times New Roman" w:cs="Times New Roman"/>
        </w:rPr>
        <w:t>(arising from energy commodities, natural disasters and other causes) is a key concern to them.</w:t>
      </w:r>
      <w:r w:rsidR="002D231B">
        <w:rPr>
          <w:rFonts w:ascii="Times New Roman" w:hAnsi="Times New Roman" w:cs="Times New Roman"/>
        </w:rPr>
        <w:t xml:space="preserve"> </w:t>
      </w:r>
      <w:r w:rsidR="000A4FEC">
        <w:rPr>
          <w:rFonts w:ascii="Times New Roman" w:hAnsi="Times New Roman" w:cs="Times New Roman"/>
        </w:rPr>
        <w:t xml:space="preserve"> </w:t>
      </w:r>
      <w:r w:rsidRPr="00181C38">
        <w:rPr>
          <w:rFonts w:ascii="Times New Roman" w:hAnsi="Times New Roman" w:cs="Times New Roman"/>
        </w:rPr>
        <w:t xml:space="preserve">To help investors assess the creditworthiness of a company, </w:t>
      </w:r>
      <w:r w:rsidR="00031FC5" w:rsidRPr="00181C38">
        <w:rPr>
          <w:rFonts w:ascii="Times New Roman" w:hAnsi="Times New Roman" w:cs="Times New Roman"/>
        </w:rPr>
        <w:t>nationally recognized statistical rating organizations</w:t>
      </w:r>
      <w:r w:rsidRPr="00181C38">
        <w:rPr>
          <w:rFonts w:ascii="Times New Roman" w:hAnsi="Times New Roman" w:cs="Times New Roman"/>
        </w:rPr>
        <w:t xml:space="preserve"> (rating agencies) developed their own standardized ratings scale</w:t>
      </w:r>
      <w:r w:rsidR="000A4FEC">
        <w:rPr>
          <w:rFonts w:ascii="Times New Roman" w:hAnsi="Times New Roman" w:cs="Times New Roman"/>
        </w:rPr>
        <w:t>s</w:t>
      </w:r>
      <w:r w:rsidRPr="00181C38">
        <w:rPr>
          <w:rFonts w:ascii="Times New Roman" w:hAnsi="Times New Roman" w:cs="Times New Roman"/>
        </w:rPr>
        <w:t xml:space="preserve">, otherwise known as credit ratings. </w:t>
      </w:r>
      <w:r w:rsidR="002D231B">
        <w:rPr>
          <w:rFonts w:ascii="Times New Roman" w:hAnsi="Times New Roman" w:cs="Times New Roman"/>
        </w:rPr>
        <w:t xml:space="preserve"> </w:t>
      </w:r>
      <w:r w:rsidRPr="00181C38">
        <w:rPr>
          <w:rFonts w:ascii="Times New Roman" w:hAnsi="Times New Roman" w:cs="Times New Roman"/>
        </w:rPr>
        <w:t xml:space="preserve">These credit ratings indicate the creditworthiness of a company and assist investors in determining if they want to invest in a </w:t>
      </w:r>
      <w:r w:rsidR="000A4FEC" w:rsidRPr="00181C38">
        <w:rPr>
          <w:rFonts w:ascii="Times New Roman" w:hAnsi="Times New Roman" w:cs="Times New Roman"/>
        </w:rPr>
        <w:t>company</w:t>
      </w:r>
      <w:r w:rsidR="000A4FEC">
        <w:rPr>
          <w:rFonts w:ascii="Times New Roman" w:hAnsi="Times New Roman" w:cs="Times New Roman"/>
        </w:rPr>
        <w:t xml:space="preserve"> and its comparative level of risk compared to other investment choices</w:t>
      </w:r>
      <w:r w:rsidRPr="00181C38">
        <w:rPr>
          <w:rFonts w:ascii="Times New Roman" w:hAnsi="Times New Roman" w:cs="Times New Roman"/>
        </w:rPr>
        <w:t xml:space="preserve">. </w:t>
      </w:r>
    </w:p>
    <w:p w:rsidR="004738B9" w:rsidRDefault="00F418ED" w:rsidP="004738B9">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lastRenderedPageBreak/>
        <w:t>Q.</w:t>
      </w:r>
      <w:r w:rsidRPr="00181C38">
        <w:rPr>
          <w:rFonts w:ascii="Times New Roman" w:hAnsi="Times New Roman" w:cs="Times New Roman"/>
          <w:b/>
        </w:rPr>
        <w:tab/>
        <w:t>Please summarize the credit ratings for Avista.</w:t>
      </w:r>
    </w:p>
    <w:p w:rsidR="00B81353"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Pr>
          <w:rFonts w:ascii="Times New Roman" w:hAnsi="Times New Roman" w:cs="Times New Roman"/>
        </w:rPr>
        <w:t>Avista</w:t>
      </w:r>
      <w:r w:rsidR="0057441C">
        <w:rPr>
          <w:rFonts w:ascii="Times New Roman" w:hAnsi="Times New Roman" w:cs="Times New Roman"/>
        </w:rPr>
        <w:t>’</w:t>
      </w:r>
      <w:r>
        <w:rPr>
          <w:rFonts w:ascii="Times New Roman" w:hAnsi="Times New Roman" w:cs="Times New Roman"/>
        </w:rPr>
        <w:t xml:space="preserve"> credit ratings</w:t>
      </w:r>
      <w:r w:rsidR="0057441C">
        <w:rPr>
          <w:rFonts w:ascii="Times New Roman" w:hAnsi="Times New Roman" w:cs="Times New Roman"/>
        </w:rPr>
        <w:t>,</w:t>
      </w:r>
      <w:r>
        <w:rPr>
          <w:rFonts w:ascii="Times New Roman" w:hAnsi="Times New Roman" w:cs="Times New Roman"/>
        </w:rPr>
        <w:t xml:space="preserve"> assigned by S</w:t>
      </w:r>
      <w:r w:rsidR="00852E78">
        <w:rPr>
          <w:rFonts w:ascii="Times New Roman" w:hAnsi="Times New Roman" w:cs="Times New Roman"/>
        </w:rPr>
        <w:t xml:space="preserve">tandard </w:t>
      </w:r>
      <w:r>
        <w:rPr>
          <w:rFonts w:ascii="Times New Roman" w:hAnsi="Times New Roman" w:cs="Times New Roman"/>
        </w:rPr>
        <w:t>&amp;</w:t>
      </w:r>
      <w:r w:rsidR="00852E78">
        <w:rPr>
          <w:rFonts w:ascii="Times New Roman" w:hAnsi="Times New Roman" w:cs="Times New Roman"/>
        </w:rPr>
        <w:t xml:space="preserve"> </w:t>
      </w:r>
      <w:r>
        <w:rPr>
          <w:rFonts w:ascii="Times New Roman" w:hAnsi="Times New Roman" w:cs="Times New Roman"/>
        </w:rPr>
        <w:t>P</w:t>
      </w:r>
      <w:r w:rsidR="00852E78">
        <w:rPr>
          <w:rFonts w:ascii="Times New Roman" w:hAnsi="Times New Roman" w:cs="Times New Roman"/>
        </w:rPr>
        <w:t>oor’s</w:t>
      </w:r>
      <w:r>
        <w:rPr>
          <w:rFonts w:ascii="Times New Roman" w:hAnsi="Times New Roman" w:cs="Times New Roman"/>
        </w:rPr>
        <w:t xml:space="preserve"> </w:t>
      </w:r>
      <w:r w:rsidR="009F02D5">
        <w:rPr>
          <w:rFonts w:ascii="Times New Roman" w:hAnsi="Times New Roman" w:cs="Times New Roman"/>
        </w:rPr>
        <w:t xml:space="preserve">(S&amp;P) </w:t>
      </w:r>
      <w:r>
        <w:rPr>
          <w:rFonts w:ascii="Times New Roman" w:hAnsi="Times New Roman" w:cs="Times New Roman"/>
        </w:rPr>
        <w:t>and Moody’s</w:t>
      </w:r>
      <w:r w:rsidRPr="00181C38">
        <w:rPr>
          <w:rFonts w:ascii="Times New Roman" w:hAnsi="Times New Roman" w:cs="Times New Roman"/>
        </w:rPr>
        <w:t xml:space="preserve"> </w:t>
      </w:r>
      <w:r w:rsidR="0018318C">
        <w:rPr>
          <w:rFonts w:ascii="Times New Roman" w:hAnsi="Times New Roman" w:cs="Times New Roman"/>
        </w:rPr>
        <w:t xml:space="preserve">Investor Service (Moody’s) </w:t>
      </w:r>
      <w:r w:rsidRPr="00181C38">
        <w:rPr>
          <w:rFonts w:ascii="Times New Roman" w:hAnsi="Times New Roman" w:cs="Times New Roman"/>
        </w:rPr>
        <w:t xml:space="preserve">are </w:t>
      </w:r>
      <w:r w:rsidR="00B81353">
        <w:rPr>
          <w:rFonts w:ascii="Times New Roman" w:hAnsi="Times New Roman" w:cs="Times New Roman"/>
        </w:rPr>
        <w:t>as follows:</w:t>
      </w:r>
    </w:p>
    <w:p w:rsidR="00A613CD" w:rsidRDefault="00831AF7"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4.9pt;margin-top:2.6pt;width:453.5pt;height:97pt;z-index:251658752" wrapcoords="3178 0 3178 15572 16994 15572 16994 0 3178 0">
            <v:imagedata r:id="rId21" o:title=""/>
          </v:shape>
          <o:OLEObject Type="Embed" ProgID="Word.Document.12" ShapeID="_x0000_s1031" DrawAspect="Content" ObjectID="_1517138078" r:id="rId22">
            <o:FieldCodes>\s</o:FieldCodes>
          </o:OLEObject>
        </w:object>
      </w:r>
    </w:p>
    <w:p w:rsidR="00A613CD" w:rsidRDefault="00A613CD" w:rsidP="006537AF">
      <w:pPr>
        <w:pStyle w:val="BodyText2"/>
        <w:tabs>
          <w:tab w:val="clear" w:pos="720"/>
        </w:tabs>
        <w:spacing w:before="0" w:after="0"/>
        <w:ind w:left="0" w:right="0" w:firstLine="720"/>
        <w:rPr>
          <w:rFonts w:ascii="Times New Roman" w:hAnsi="Times New Roman" w:cs="Times New Roman"/>
        </w:rPr>
      </w:pPr>
    </w:p>
    <w:p w:rsidR="00A613CD" w:rsidRDefault="00A613CD" w:rsidP="00FD14B3">
      <w:pPr>
        <w:pStyle w:val="BodyText2"/>
        <w:spacing w:before="0" w:after="0"/>
        <w:ind w:left="0" w:right="0"/>
        <w:rPr>
          <w:rFonts w:ascii="Times New Roman" w:hAnsi="Times New Roman" w:cs="Times New Roman"/>
        </w:rPr>
      </w:pPr>
    </w:p>
    <w:p w:rsidR="00F418ED" w:rsidRDefault="00B81353"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Additional information on our credit ratings ha</w:t>
      </w:r>
      <w:r w:rsidR="00916928">
        <w:rPr>
          <w:rFonts w:ascii="Times New Roman" w:hAnsi="Times New Roman" w:cs="Times New Roman"/>
        </w:rPr>
        <w:t>s</w:t>
      </w:r>
      <w:r>
        <w:rPr>
          <w:rFonts w:ascii="Times New Roman" w:hAnsi="Times New Roman" w:cs="Times New Roman"/>
        </w:rPr>
        <w:t xml:space="preserve"> been provided</w:t>
      </w:r>
      <w:r w:rsidR="00F418ED" w:rsidRPr="00181C38">
        <w:rPr>
          <w:rFonts w:ascii="Times New Roman" w:hAnsi="Times New Roman" w:cs="Times New Roman"/>
        </w:rPr>
        <w:t xml:space="preserve"> on </w:t>
      </w:r>
      <w:r w:rsidR="00F418ED">
        <w:rPr>
          <w:rFonts w:ascii="Times New Roman" w:hAnsi="Times New Roman" w:cs="Times New Roman"/>
        </w:rPr>
        <w:t xml:space="preserve">page 1 of </w:t>
      </w:r>
      <w:r w:rsidR="00F418ED" w:rsidRPr="00E72623">
        <w:rPr>
          <w:rFonts w:ascii="Times New Roman" w:hAnsi="Times New Roman" w:cs="Times New Roman"/>
        </w:rPr>
        <w:t>Exhibit No.</w:t>
      </w:r>
      <w:r w:rsidR="009A6A0C">
        <w:rPr>
          <w:rFonts w:ascii="Times New Roman" w:hAnsi="Times New Roman" w:cs="Times New Roman"/>
        </w:rPr>
        <w:t>____</w:t>
      </w:r>
      <w:r w:rsidR="00630D29">
        <w:rPr>
          <w:rFonts w:ascii="Times New Roman" w:hAnsi="Times New Roman" w:cs="Times New Roman"/>
        </w:rPr>
        <w:t xml:space="preserve"> (MTT-2)</w:t>
      </w:r>
      <w:r w:rsidR="00F418ED" w:rsidRPr="00181C38">
        <w:rPr>
          <w:rFonts w:ascii="Times New Roman" w:hAnsi="Times New Roman" w:cs="Times New Roman"/>
        </w:rPr>
        <w:t>.</w:t>
      </w:r>
      <w:r w:rsidR="00F418ED">
        <w:rPr>
          <w:rFonts w:ascii="Times New Roman" w:hAnsi="Times New Roman" w:cs="Times New Roman"/>
        </w:rPr>
        <w:t xml:space="preserve">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Please explain the implications of the credit ratings in terms of the Company’s ability to access capital markets.</w:t>
      </w:r>
    </w:p>
    <w:p w:rsidR="00F418ED" w:rsidRPr="00181C38" w:rsidDel="00755CB0"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t>Credit ratings impact investor demand and expected returns.</w:t>
      </w:r>
      <w:r w:rsidR="00544E2D">
        <w:rPr>
          <w:rFonts w:ascii="Times New Roman" w:hAnsi="Times New Roman" w:cs="Times New Roman"/>
        </w:rPr>
        <w:t xml:space="preserve"> </w:t>
      </w:r>
      <w:r w:rsidRPr="00181C38">
        <w:rPr>
          <w:rFonts w:ascii="Times New Roman" w:hAnsi="Times New Roman" w:cs="Times New Roman"/>
        </w:rPr>
        <w:t xml:space="preserve"> More specifically, when </w:t>
      </w:r>
      <w:r w:rsidR="006A7818">
        <w:rPr>
          <w:rFonts w:ascii="Times New Roman" w:hAnsi="Times New Roman" w:cs="Times New Roman"/>
        </w:rPr>
        <w:t>we</w:t>
      </w:r>
      <w:r w:rsidRPr="00181C38">
        <w:rPr>
          <w:rFonts w:ascii="Times New Roman" w:hAnsi="Times New Roman" w:cs="Times New Roman"/>
        </w:rPr>
        <w:t xml:space="preserve"> issue debt, the credit rating can affect the determination of the interest rate at which the debt will be issued. </w:t>
      </w:r>
      <w:r w:rsidR="002D231B">
        <w:rPr>
          <w:rFonts w:ascii="Times New Roman" w:hAnsi="Times New Roman" w:cs="Times New Roman"/>
        </w:rPr>
        <w:t xml:space="preserve"> </w:t>
      </w:r>
      <w:r w:rsidRPr="00181C38">
        <w:rPr>
          <w:rFonts w:ascii="Times New Roman" w:hAnsi="Times New Roman" w:cs="Times New Roman"/>
        </w:rPr>
        <w:t xml:space="preserve">The credit rating can </w:t>
      </w:r>
      <w:r w:rsidR="00815BB2">
        <w:rPr>
          <w:rFonts w:ascii="Times New Roman" w:hAnsi="Times New Roman" w:cs="Times New Roman"/>
        </w:rPr>
        <w:t xml:space="preserve">also </w:t>
      </w:r>
      <w:r w:rsidRPr="00181C38">
        <w:rPr>
          <w:rFonts w:ascii="Times New Roman" w:hAnsi="Times New Roman" w:cs="Times New Roman"/>
        </w:rPr>
        <w:t>affect the type of investor who will be interested in purchasing the debt.</w:t>
      </w:r>
      <w:r w:rsidR="00544E2D">
        <w:rPr>
          <w:rFonts w:ascii="Times New Roman" w:hAnsi="Times New Roman" w:cs="Times New Roman"/>
        </w:rPr>
        <w:t xml:space="preserve"> </w:t>
      </w:r>
      <w:r w:rsidRPr="00181C38">
        <w:rPr>
          <w:rFonts w:ascii="Times New Roman" w:hAnsi="Times New Roman" w:cs="Times New Roman"/>
        </w:rPr>
        <w:t xml:space="preserve"> For each type of investment a potential investor could make, the investor looks at the quality of that investment in terms of the risk they are taking and the priority they would have for payment of principal and interest in the event that the organization experiences severe financial stress.</w:t>
      </w:r>
      <w:r w:rsidR="00544E2D">
        <w:rPr>
          <w:rFonts w:ascii="Times New Roman" w:hAnsi="Times New Roman" w:cs="Times New Roman"/>
        </w:rPr>
        <w:t xml:space="preserve"> </w:t>
      </w:r>
      <w:r w:rsidRPr="00181C38">
        <w:rPr>
          <w:rFonts w:ascii="Times New Roman" w:hAnsi="Times New Roman" w:cs="Times New Roman"/>
        </w:rPr>
        <w:t xml:space="preserve"> Investment risks include, but are not limited to, liquidity risk, market risk, operational risk, </w:t>
      </w:r>
      <w:r w:rsidR="00660600">
        <w:rPr>
          <w:rFonts w:ascii="Times New Roman" w:hAnsi="Times New Roman" w:cs="Times New Roman"/>
        </w:rPr>
        <w:t xml:space="preserve">regulatory risk, </w:t>
      </w:r>
      <w:r w:rsidRPr="00181C38">
        <w:rPr>
          <w:rFonts w:ascii="Times New Roman" w:hAnsi="Times New Roman" w:cs="Times New Roman"/>
        </w:rPr>
        <w:t xml:space="preserve">and credit risk. </w:t>
      </w:r>
      <w:r w:rsidR="002D231B">
        <w:rPr>
          <w:rFonts w:ascii="Times New Roman" w:hAnsi="Times New Roman" w:cs="Times New Roman"/>
        </w:rPr>
        <w:t xml:space="preserve"> </w:t>
      </w:r>
      <w:r w:rsidRPr="00181C38">
        <w:rPr>
          <w:rFonts w:ascii="Times New Roman" w:hAnsi="Times New Roman" w:cs="Times New Roman"/>
        </w:rPr>
        <w:t xml:space="preserve">These risks are considered by </w:t>
      </w:r>
      <w:r>
        <w:rPr>
          <w:rFonts w:ascii="Times New Roman" w:hAnsi="Times New Roman" w:cs="Times New Roman"/>
        </w:rPr>
        <w:t xml:space="preserve">S&amp;P, Moody’s </w:t>
      </w:r>
      <w:r w:rsidRPr="00181C38">
        <w:rPr>
          <w:rFonts w:ascii="Times New Roman" w:hAnsi="Times New Roman" w:cs="Times New Roman"/>
        </w:rPr>
        <w:t xml:space="preserve">and investors in assessing our creditworthiness. </w:t>
      </w:r>
    </w:p>
    <w:p w:rsidR="00F418ED"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 xml:space="preserve">In challenging credit markets, where investors are less likely to buy corporate bonds (as opposed to U.S. Government bonds), a </w:t>
      </w:r>
      <w:r w:rsidR="003130D0">
        <w:rPr>
          <w:rFonts w:ascii="Times New Roman" w:hAnsi="Times New Roman" w:cs="Times New Roman"/>
        </w:rPr>
        <w:t xml:space="preserve">stronger </w:t>
      </w:r>
      <w:r w:rsidRPr="00181C38">
        <w:rPr>
          <w:rFonts w:ascii="Times New Roman" w:hAnsi="Times New Roman" w:cs="Times New Roman"/>
        </w:rPr>
        <w:t xml:space="preserve">credit rating will attract more investors, and a </w:t>
      </w:r>
      <w:r w:rsidR="003130D0">
        <w:rPr>
          <w:rFonts w:ascii="Times New Roman" w:hAnsi="Times New Roman" w:cs="Times New Roman"/>
        </w:rPr>
        <w:t>weaker</w:t>
      </w:r>
      <w:r w:rsidRPr="00181C38">
        <w:rPr>
          <w:rFonts w:ascii="Times New Roman" w:hAnsi="Times New Roman" w:cs="Times New Roman"/>
        </w:rPr>
        <w:t xml:space="preserve"> credit rating could reduce or eliminate the number of potential investors.</w:t>
      </w:r>
      <w:r w:rsidR="002D231B">
        <w:rPr>
          <w:rFonts w:ascii="Times New Roman" w:hAnsi="Times New Roman" w:cs="Times New Roman"/>
        </w:rPr>
        <w:t xml:space="preserve"> </w:t>
      </w:r>
      <w:r w:rsidRPr="00181C38">
        <w:rPr>
          <w:rFonts w:ascii="Times New Roman" w:hAnsi="Times New Roman" w:cs="Times New Roman"/>
        </w:rPr>
        <w:t xml:space="preserve"> </w:t>
      </w:r>
      <w:r w:rsidRPr="00181C38">
        <w:rPr>
          <w:rFonts w:ascii="Times New Roman" w:hAnsi="Times New Roman" w:cs="Times New Roman"/>
        </w:rPr>
        <w:lastRenderedPageBreak/>
        <w:t xml:space="preserve">Thus, </w:t>
      </w:r>
      <w:r w:rsidR="003130D0">
        <w:rPr>
          <w:rFonts w:ascii="Times New Roman" w:hAnsi="Times New Roman" w:cs="Times New Roman"/>
        </w:rPr>
        <w:t>weaker</w:t>
      </w:r>
      <w:r w:rsidRPr="00181C38">
        <w:rPr>
          <w:rFonts w:ascii="Times New Roman" w:hAnsi="Times New Roman" w:cs="Times New Roman"/>
        </w:rPr>
        <w:t xml:space="preserve"> credit ratings may result in a company having more difficulty accessing </w:t>
      </w:r>
      <w:r>
        <w:rPr>
          <w:rFonts w:ascii="Times New Roman" w:hAnsi="Times New Roman" w:cs="Times New Roman"/>
        </w:rPr>
        <w:t xml:space="preserve">capital </w:t>
      </w:r>
      <w:r w:rsidRPr="00181C38">
        <w:rPr>
          <w:rFonts w:ascii="Times New Roman" w:hAnsi="Times New Roman" w:cs="Times New Roman"/>
        </w:rPr>
        <w:t>markets and/or incur</w:t>
      </w:r>
      <w:r w:rsidR="00E9741B">
        <w:rPr>
          <w:rFonts w:ascii="Times New Roman" w:hAnsi="Times New Roman" w:cs="Times New Roman"/>
        </w:rPr>
        <w:t>ring</w:t>
      </w:r>
      <w:r w:rsidRPr="00181C38">
        <w:rPr>
          <w:rFonts w:ascii="Times New Roman" w:hAnsi="Times New Roman" w:cs="Times New Roman"/>
        </w:rPr>
        <w:t xml:space="preserve"> significantly higher costs when accessing capital.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755CB0">
        <w:rPr>
          <w:rFonts w:ascii="Times New Roman" w:hAnsi="Times New Roman" w:cs="Times New Roman"/>
          <w:b/>
        </w:rPr>
        <w:t>Q.</w:t>
      </w:r>
      <w:r w:rsidRPr="00755CB0">
        <w:rPr>
          <w:rFonts w:ascii="Times New Roman" w:hAnsi="Times New Roman" w:cs="Times New Roman"/>
          <w:b/>
        </w:rPr>
        <w:tab/>
        <w:t xml:space="preserve">What credit rating does Avista believe </w:t>
      </w:r>
      <w:r w:rsidR="00E9741B">
        <w:rPr>
          <w:rFonts w:ascii="Times New Roman" w:hAnsi="Times New Roman" w:cs="Times New Roman"/>
          <w:b/>
        </w:rPr>
        <w:t>is</w:t>
      </w:r>
      <w:r w:rsidR="00E9741B" w:rsidRPr="00755CB0">
        <w:rPr>
          <w:rFonts w:ascii="Times New Roman" w:hAnsi="Times New Roman" w:cs="Times New Roman"/>
          <w:b/>
        </w:rPr>
        <w:t xml:space="preserve"> </w:t>
      </w:r>
      <w:r w:rsidRPr="00755CB0">
        <w:rPr>
          <w:rFonts w:ascii="Times New Roman" w:hAnsi="Times New Roman" w:cs="Times New Roman"/>
          <w:b/>
        </w:rPr>
        <w:t>appropriate</w:t>
      </w:r>
      <w:r w:rsidRPr="00181C38">
        <w:rPr>
          <w:rFonts w:ascii="Times New Roman" w:hAnsi="Times New Roman" w:cs="Times New Roman"/>
          <w:b/>
        </w:rPr>
        <w:t>?</w:t>
      </w:r>
    </w:p>
    <w:p w:rsidR="00BE1645" w:rsidRDefault="00F418ED" w:rsidP="00BE1645">
      <w:pPr>
        <w:pStyle w:val="BodyText2"/>
        <w:tabs>
          <w:tab w:val="clear" w:pos="720"/>
        </w:tabs>
        <w:spacing w:before="0" w:after="0"/>
        <w:ind w:left="0" w:right="0" w:firstLine="720"/>
      </w:pPr>
      <w:r w:rsidRPr="00181C38">
        <w:rPr>
          <w:rFonts w:ascii="Times New Roman" w:hAnsi="Times New Roman" w:cs="Times New Roman"/>
        </w:rPr>
        <w:t>A.</w:t>
      </w:r>
      <w:r w:rsidRPr="00181C38">
        <w:rPr>
          <w:rFonts w:ascii="Times New Roman" w:hAnsi="Times New Roman" w:cs="Times New Roman"/>
        </w:rPr>
        <w:tab/>
      </w:r>
      <w:r w:rsidR="00C6049D" w:rsidRPr="00C6049D">
        <w:rPr>
          <w:rFonts w:ascii="Times New Roman" w:hAnsi="Times New Roman" w:cs="Times New Roman"/>
        </w:rPr>
        <w:t xml:space="preserve">Avista’s current S&amp;P corporate credit rating is BBB.  We believe operating at a corporate credit rating level (senior unsecured) of BBB+ is comparable with other US utilities providing both electricity and natural gas.  As shown in Illustration No. </w:t>
      </w:r>
      <w:r w:rsidR="00F728B0">
        <w:rPr>
          <w:rFonts w:ascii="Times New Roman" w:hAnsi="Times New Roman" w:cs="Times New Roman"/>
        </w:rPr>
        <w:t>8</w:t>
      </w:r>
      <w:r w:rsidR="00C6049D" w:rsidRPr="00C6049D">
        <w:rPr>
          <w:rFonts w:ascii="Times New Roman" w:hAnsi="Times New Roman" w:cs="Times New Roman"/>
        </w:rPr>
        <w:t>, the average credit rating for U.S. Regulated Combined Gas and Electric Utilities is BBB+</w:t>
      </w:r>
      <w:r w:rsidR="00C7482A">
        <w:rPr>
          <w:rFonts w:ascii="Times New Roman" w:hAnsi="Times New Roman" w:cs="Times New Roman"/>
        </w:rPr>
        <w:t xml:space="preserve"> and the most common rating is A-. </w:t>
      </w:r>
      <w:r w:rsidR="00DF2F7D">
        <w:rPr>
          <w:rFonts w:ascii="Times New Roman" w:hAnsi="Times New Roman" w:cs="Times New Roman"/>
        </w:rPr>
        <w:t xml:space="preserve"> </w:t>
      </w:r>
      <w:r w:rsidR="00C7482A">
        <w:rPr>
          <w:rFonts w:ascii="Times New Roman" w:hAnsi="Times New Roman" w:cs="Times New Roman"/>
        </w:rPr>
        <w:t>The average and most common ratings are one</w:t>
      </w:r>
      <w:r w:rsidR="00C7482A" w:rsidRPr="00C7482A">
        <w:rPr>
          <w:rFonts w:ascii="Times New Roman" w:hAnsi="Times New Roman" w:cs="Times New Roman"/>
        </w:rPr>
        <w:t xml:space="preserve"> </w:t>
      </w:r>
      <w:r w:rsidR="00C7482A">
        <w:rPr>
          <w:rFonts w:ascii="Times New Roman" w:hAnsi="Times New Roman" w:cs="Times New Roman"/>
        </w:rPr>
        <w:t>and two notches higher, respectively, than Avista’s rating</w:t>
      </w:r>
      <w:r w:rsidR="00C6049D" w:rsidRPr="00C6049D">
        <w:rPr>
          <w:rFonts w:ascii="Times New Roman" w:hAnsi="Times New Roman" w:cs="Times New Roman"/>
        </w:rPr>
        <w:t>.</w:t>
      </w:r>
    </w:p>
    <w:p w:rsidR="00F418ED" w:rsidRDefault="00722981" w:rsidP="002734DE">
      <w:pPr>
        <w:pStyle w:val="BodyText2"/>
        <w:tabs>
          <w:tab w:val="clear" w:pos="720"/>
        </w:tabs>
        <w:spacing w:before="0" w:after="0"/>
        <w:ind w:left="0" w:right="0"/>
        <w:rPr>
          <w:rFonts w:ascii="Times New Roman" w:hAnsi="Times New Roman" w:cs="Times New Roman"/>
          <w:b/>
          <w:u w:val="single"/>
        </w:rPr>
      </w:pPr>
      <w:r>
        <w:rPr>
          <w:rFonts w:ascii="Times New Roman" w:hAnsi="Times New Roman" w:cs="Times New Roman"/>
          <w:b/>
          <w:noProof/>
          <w:u w:val="single"/>
        </w:rPr>
        <w:drawing>
          <wp:anchor distT="0" distB="0" distL="114300" distR="114300" simplePos="0" relativeHeight="251687424" behindDoc="0" locked="0" layoutInCell="1" allowOverlap="1">
            <wp:simplePos x="0" y="0"/>
            <wp:positionH relativeFrom="margin">
              <wp:posOffset>-635</wp:posOffset>
            </wp:positionH>
            <wp:positionV relativeFrom="paragraph">
              <wp:posOffset>258445</wp:posOffset>
            </wp:positionV>
            <wp:extent cx="5664835" cy="37763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64835" cy="3776345"/>
                    </a:xfrm>
                    <a:prstGeom prst="rect">
                      <a:avLst/>
                    </a:prstGeom>
                    <a:noFill/>
                  </pic:spPr>
                </pic:pic>
              </a:graphicData>
            </a:graphic>
          </wp:anchor>
        </w:drawing>
      </w:r>
      <w:r w:rsidR="00F418ED" w:rsidRPr="00A5588A">
        <w:rPr>
          <w:rFonts w:ascii="Times New Roman" w:hAnsi="Times New Roman" w:cs="Times New Roman"/>
          <w:b/>
          <w:u w:val="single"/>
        </w:rPr>
        <w:t xml:space="preserve">Illustration </w:t>
      </w:r>
      <w:r w:rsidR="003573F4" w:rsidRPr="00A5588A">
        <w:rPr>
          <w:rFonts w:ascii="Times New Roman" w:hAnsi="Times New Roman" w:cs="Times New Roman"/>
          <w:b/>
          <w:u w:val="single"/>
        </w:rPr>
        <w:t xml:space="preserve">No. </w:t>
      </w:r>
      <w:r w:rsidR="00F728B0">
        <w:rPr>
          <w:rFonts w:ascii="Times New Roman" w:hAnsi="Times New Roman" w:cs="Times New Roman"/>
          <w:b/>
          <w:u w:val="single"/>
        </w:rPr>
        <w:t>8</w:t>
      </w:r>
      <w:r w:rsidR="00F3728D" w:rsidRPr="00A5588A">
        <w:rPr>
          <w:rFonts w:ascii="Times New Roman" w:hAnsi="Times New Roman" w:cs="Times New Roman"/>
          <w:b/>
          <w:u w:val="single"/>
        </w:rPr>
        <w:t xml:space="preserve"> </w:t>
      </w:r>
    </w:p>
    <w:p w:rsidR="00722981" w:rsidRDefault="00722981" w:rsidP="00722981">
      <w:pPr>
        <w:pStyle w:val="BodyText2"/>
        <w:tabs>
          <w:tab w:val="clear" w:pos="720"/>
        </w:tabs>
        <w:spacing w:before="0" w:after="0"/>
        <w:ind w:left="0" w:right="0" w:firstLine="720"/>
        <w:rPr>
          <w:rFonts w:ascii="Times New Roman" w:hAnsi="Times New Roman" w:cs="Times New Roman"/>
          <w:b/>
          <w:u w:val="single"/>
        </w:rPr>
      </w:pPr>
    </w:p>
    <w:p w:rsidR="00722981" w:rsidRDefault="00722981" w:rsidP="00722981">
      <w:pPr>
        <w:pStyle w:val="BodyText2"/>
        <w:tabs>
          <w:tab w:val="clear" w:pos="720"/>
        </w:tabs>
        <w:spacing w:before="0" w:after="0"/>
        <w:ind w:left="0" w:right="0" w:firstLine="72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A5588A" w:rsidRDefault="00A5588A" w:rsidP="007047EA">
      <w:pPr>
        <w:pStyle w:val="BodyText2"/>
        <w:keepNext/>
        <w:spacing w:before="0" w:after="0"/>
        <w:ind w:left="0" w:right="0"/>
        <w:rPr>
          <w:rFonts w:ascii="Times New Roman" w:hAnsi="Times New Roman" w:cs="Times New Roman"/>
          <w:b/>
          <w:u w:val="single"/>
        </w:rPr>
      </w:pPr>
    </w:p>
    <w:p w:rsidR="00F418ED" w:rsidRPr="00181C38" w:rsidRDefault="003B5662" w:rsidP="007047EA">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 xml:space="preserve">We expect that a continued focus on the regulated utility, conservative financing strategies and a supportive regulatory environment will contribute toward an upgrade to a </w:t>
      </w:r>
      <w:r w:rsidRPr="00EF2A93">
        <w:rPr>
          <w:rFonts w:ascii="Times New Roman" w:hAnsi="Times New Roman" w:cs="Times New Roman"/>
        </w:rPr>
        <w:lastRenderedPageBreak/>
        <w:t xml:space="preserve">BBB+ </w:t>
      </w:r>
      <w:r w:rsidR="009F02D5">
        <w:rPr>
          <w:rFonts w:ascii="Times New Roman" w:hAnsi="Times New Roman" w:cs="Times New Roman"/>
        </w:rPr>
        <w:t xml:space="preserve">corporate </w:t>
      </w:r>
      <w:r w:rsidRPr="00EF2A93">
        <w:rPr>
          <w:rFonts w:ascii="Times New Roman" w:hAnsi="Times New Roman" w:cs="Times New Roman"/>
        </w:rPr>
        <w:t>credit rating</w:t>
      </w:r>
      <w:r w:rsidR="00F3728D">
        <w:rPr>
          <w:rFonts w:ascii="Times New Roman" w:hAnsi="Times New Roman" w:cs="Times New Roman"/>
        </w:rPr>
        <w:t xml:space="preserve"> for Avista</w:t>
      </w:r>
      <w:r w:rsidRPr="00EF2A93">
        <w:rPr>
          <w:rFonts w:ascii="Times New Roman" w:hAnsi="Times New Roman" w:cs="Times New Roman"/>
        </w:rPr>
        <w:t>.</w:t>
      </w:r>
      <w:r>
        <w:rPr>
          <w:rFonts w:ascii="Times New Roman" w:hAnsi="Times New Roman" w:cs="Times New Roman"/>
        </w:rPr>
        <w:t xml:space="preserve"> </w:t>
      </w:r>
      <w:r w:rsidR="002D231B">
        <w:rPr>
          <w:rFonts w:ascii="Times New Roman" w:hAnsi="Times New Roman" w:cs="Times New Roman"/>
        </w:rPr>
        <w:t xml:space="preserve"> </w:t>
      </w:r>
      <w:r w:rsidRPr="00181C38">
        <w:rPr>
          <w:rFonts w:ascii="Times New Roman" w:hAnsi="Times New Roman" w:cs="Times New Roman"/>
        </w:rPr>
        <w:t xml:space="preserve">Operating </w:t>
      </w:r>
      <w:r w:rsidR="00F3728D">
        <w:rPr>
          <w:rFonts w:ascii="Times New Roman" w:hAnsi="Times New Roman" w:cs="Times New Roman"/>
        </w:rPr>
        <w:t>with</w:t>
      </w:r>
      <w:r w:rsidR="00F3728D" w:rsidRPr="00181C38">
        <w:rPr>
          <w:rFonts w:ascii="Times New Roman" w:hAnsi="Times New Roman" w:cs="Times New Roman"/>
        </w:rPr>
        <w:t xml:space="preserve"> </w:t>
      </w:r>
      <w:r w:rsidRPr="00181C38">
        <w:rPr>
          <w:rFonts w:ascii="Times New Roman" w:hAnsi="Times New Roman" w:cs="Times New Roman"/>
        </w:rPr>
        <w:t xml:space="preserve">a BBB+ </w:t>
      </w:r>
      <w:r w:rsidR="00F3728D">
        <w:rPr>
          <w:rFonts w:ascii="Times New Roman" w:hAnsi="Times New Roman" w:cs="Times New Roman"/>
        </w:rPr>
        <w:t xml:space="preserve">credit rating </w:t>
      </w:r>
      <w:r w:rsidRPr="00181C38">
        <w:rPr>
          <w:rFonts w:ascii="Times New Roman" w:hAnsi="Times New Roman" w:cs="Times New Roman"/>
        </w:rPr>
        <w:t xml:space="preserve">would likely attract additional investors, lower </w:t>
      </w:r>
      <w:r w:rsidR="000A32EA">
        <w:rPr>
          <w:rFonts w:ascii="Times New Roman" w:hAnsi="Times New Roman" w:cs="Times New Roman"/>
        </w:rPr>
        <w:t xml:space="preserve">our </w:t>
      </w:r>
      <w:r w:rsidRPr="00181C38">
        <w:rPr>
          <w:rFonts w:ascii="Times New Roman" w:hAnsi="Times New Roman" w:cs="Times New Roman"/>
        </w:rPr>
        <w:t>debt pricing</w:t>
      </w:r>
      <w:r w:rsidR="009F02D5">
        <w:rPr>
          <w:rFonts w:ascii="Times New Roman" w:hAnsi="Times New Roman" w:cs="Times New Roman"/>
        </w:rPr>
        <w:t xml:space="preserve"> for future financings</w:t>
      </w:r>
      <w:r w:rsidRPr="00181C38">
        <w:rPr>
          <w:rFonts w:ascii="Times New Roman" w:hAnsi="Times New Roman" w:cs="Times New Roman"/>
        </w:rPr>
        <w:t>, and make us more competitive with other utilities.</w:t>
      </w:r>
      <w:r w:rsidR="000349EC">
        <w:rPr>
          <w:rFonts w:ascii="Times New Roman" w:hAnsi="Times New Roman" w:cs="Times New Roman"/>
        </w:rPr>
        <w:t xml:space="preserve"> </w:t>
      </w:r>
      <w:r>
        <w:rPr>
          <w:rFonts w:ascii="Times New Roman" w:hAnsi="Times New Roman" w:cs="Times New Roman"/>
        </w:rPr>
        <w:t xml:space="preserve"> </w:t>
      </w:r>
      <w:r w:rsidRPr="00181C38">
        <w:rPr>
          <w:rFonts w:ascii="Times New Roman" w:hAnsi="Times New Roman" w:cs="Times New Roman"/>
        </w:rPr>
        <w:t>In addition, financially healthy utilities are better able to invest in the required infrastructure over time to serve their customers, and to withstand the challenges facing the industry</w:t>
      </w:r>
      <w:r w:rsidR="00992E46">
        <w:rPr>
          <w:rFonts w:ascii="Times New Roman" w:hAnsi="Times New Roman" w:cs="Times New Roman"/>
        </w:rPr>
        <w:t xml:space="preserve"> and disruptions in the financial market</w:t>
      </w:r>
      <w:r w:rsidRPr="00181C38">
        <w:rPr>
          <w:rFonts w:ascii="Times New Roman" w:hAnsi="Times New Roman" w:cs="Times New Roman"/>
        </w:rPr>
        <w:t>.</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 xml:space="preserve">How important is the regulatory environment in which </w:t>
      </w:r>
      <w:r>
        <w:rPr>
          <w:rFonts w:ascii="Times New Roman" w:hAnsi="Times New Roman" w:cs="Times New Roman"/>
          <w:b/>
        </w:rPr>
        <w:t>the</w:t>
      </w:r>
      <w:r w:rsidRPr="00181C38">
        <w:rPr>
          <w:rFonts w:ascii="Times New Roman" w:hAnsi="Times New Roman" w:cs="Times New Roman"/>
          <w:b/>
        </w:rPr>
        <w:t xml:space="preserve"> Company operates?</w:t>
      </w:r>
    </w:p>
    <w:p w:rsidR="009F02D5"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sidR="009F02D5">
        <w:rPr>
          <w:rFonts w:ascii="Times New Roman" w:hAnsi="Times New Roman" w:cs="Times New Roman"/>
        </w:rPr>
        <w:t xml:space="preserve">Both Moody’s and </w:t>
      </w:r>
      <w:r w:rsidR="0083192E">
        <w:rPr>
          <w:rFonts w:ascii="Times New Roman" w:hAnsi="Times New Roman" w:cs="Times New Roman"/>
        </w:rPr>
        <w:t>S&amp;P</w:t>
      </w:r>
      <w:r w:rsidR="009F02D5">
        <w:rPr>
          <w:rFonts w:ascii="Times New Roman" w:hAnsi="Times New Roman" w:cs="Times New Roman"/>
        </w:rPr>
        <w:t xml:space="preserve"> cite t</w:t>
      </w:r>
      <w:r w:rsidRPr="00181C38">
        <w:rPr>
          <w:rFonts w:ascii="Times New Roman" w:hAnsi="Times New Roman" w:cs="Times New Roman"/>
        </w:rPr>
        <w:t>he regul</w:t>
      </w:r>
      <w:r w:rsidRPr="008D223A">
        <w:rPr>
          <w:rFonts w:ascii="Times New Roman" w:hAnsi="Times New Roman" w:cs="Times New Roman"/>
        </w:rPr>
        <w:t xml:space="preserve">atory environment in which a </w:t>
      </w:r>
      <w:r w:rsidR="006159D9">
        <w:rPr>
          <w:rFonts w:ascii="Times New Roman" w:hAnsi="Times New Roman" w:cs="Times New Roman"/>
        </w:rPr>
        <w:t>regulated utility</w:t>
      </w:r>
      <w:r w:rsidR="006159D9" w:rsidRPr="008D223A">
        <w:rPr>
          <w:rFonts w:ascii="Times New Roman" w:hAnsi="Times New Roman" w:cs="Times New Roman"/>
        </w:rPr>
        <w:t xml:space="preserve"> </w:t>
      </w:r>
      <w:r w:rsidRPr="008D223A">
        <w:rPr>
          <w:rFonts w:ascii="Times New Roman" w:hAnsi="Times New Roman" w:cs="Times New Roman"/>
        </w:rPr>
        <w:t xml:space="preserve">operates </w:t>
      </w:r>
      <w:r w:rsidR="009F02D5">
        <w:rPr>
          <w:rFonts w:ascii="Times New Roman" w:hAnsi="Times New Roman" w:cs="Times New Roman"/>
        </w:rPr>
        <w:t>as the dominant</w:t>
      </w:r>
      <w:r w:rsidRPr="008D223A">
        <w:rPr>
          <w:rFonts w:ascii="Times New Roman" w:hAnsi="Times New Roman" w:cs="Times New Roman"/>
        </w:rPr>
        <w:t xml:space="preserve"> qualitative factor </w:t>
      </w:r>
      <w:r w:rsidR="009F02D5">
        <w:rPr>
          <w:rFonts w:ascii="Times New Roman" w:hAnsi="Times New Roman" w:cs="Times New Roman"/>
        </w:rPr>
        <w:t>to</w:t>
      </w:r>
      <w:r w:rsidR="009F02D5" w:rsidRPr="008D223A">
        <w:rPr>
          <w:rFonts w:ascii="Times New Roman" w:hAnsi="Times New Roman" w:cs="Times New Roman"/>
        </w:rPr>
        <w:t xml:space="preserve"> </w:t>
      </w:r>
      <w:r w:rsidRPr="008D223A">
        <w:rPr>
          <w:rFonts w:ascii="Times New Roman" w:hAnsi="Times New Roman" w:cs="Times New Roman"/>
        </w:rPr>
        <w:t>determin</w:t>
      </w:r>
      <w:r w:rsidR="009F02D5">
        <w:rPr>
          <w:rFonts w:ascii="Times New Roman" w:hAnsi="Times New Roman" w:cs="Times New Roman"/>
        </w:rPr>
        <w:t>e</w:t>
      </w:r>
      <w:r w:rsidRPr="008D223A">
        <w:rPr>
          <w:rFonts w:ascii="Times New Roman" w:hAnsi="Times New Roman" w:cs="Times New Roman"/>
        </w:rPr>
        <w:t xml:space="preserve"> a company’s creditworthiness.</w:t>
      </w:r>
      <w:r w:rsidR="000349EC">
        <w:rPr>
          <w:rFonts w:ascii="Times New Roman" w:hAnsi="Times New Roman" w:cs="Times New Roman"/>
        </w:rPr>
        <w:t xml:space="preserve"> </w:t>
      </w:r>
      <w:r w:rsidRPr="008D223A">
        <w:rPr>
          <w:rFonts w:ascii="Times New Roman" w:hAnsi="Times New Roman" w:cs="Times New Roman"/>
        </w:rPr>
        <w:t xml:space="preserve"> </w:t>
      </w:r>
      <w:r w:rsidR="008D223A" w:rsidRPr="008D223A">
        <w:rPr>
          <w:rFonts w:ascii="Times New Roman" w:hAnsi="Times New Roman" w:cs="Times New Roman"/>
        </w:rPr>
        <w:t>Moody's rating methodology</w:t>
      </w:r>
      <w:r w:rsidR="00021A24">
        <w:rPr>
          <w:rFonts w:ascii="Times New Roman" w:hAnsi="Times New Roman" w:cs="Times New Roman"/>
        </w:rPr>
        <w:t xml:space="preserve"> is based on</w:t>
      </w:r>
      <w:r w:rsidR="008D223A" w:rsidRPr="008D223A">
        <w:rPr>
          <w:rFonts w:ascii="Times New Roman" w:hAnsi="Times New Roman" w:cs="Times New Roman"/>
        </w:rPr>
        <w:t xml:space="preserve"> four </w:t>
      </w:r>
      <w:r w:rsidR="00021A24">
        <w:rPr>
          <w:rFonts w:ascii="Times New Roman" w:hAnsi="Times New Roman" w:cs="Times New Roman"/>
        </w:rPr>
        <w:t>primary</w:t>
      </w:r>
      <w:r w:rsidR="008D223A" w:rsidRPr="008D223A">
        <w:rPr>
          <w:rFonts w:ascii="Times New Roman" w:hAnsi="Times New Roman" w:cs="Times New Roman"/>
        </w:rPr>
        <w:t xml:space="preserve"> factors</w:t>
      </w:r>
      <w:r w:rsidR="00901D50">
        <w:rPr>
          <w:rFonts w:ascii="Times New Roman" w:hAnsi="Times New Roman" w:cs="Times New Roman"/>
        </w:rPr>
        <w:t xml:space="preserve">. </w:t>
      </w:r>
      <w:r w:rsidR="002D231B">
        <w:rPr>
          <w:rFonts w:ascii="Times New Roman" w:hAnsi="Times New Roman" w:cs="Times New Roman"/>
        </w:rPr>
        <w:t xml:space="preserve"> </w:t>
      </w:r>
      <w:r w:rsidR="00E937CE">
        <w:rPr>
          <w:rFonts w:ascii="Times New Roman" w:hAnsi="Times New Roman" w:cs="Times New Roman"/>
        </w:rPr>
        <w:t>Two of those factors</w:t>
      </w:r>
      <w:r w:rsidR="009F02D5">
        <w:rPr>
          <w:rFonts w:ascii="Times New Roman" w:hAnsi="Times New Roman" w:cs="Times New Roman"/>
        </w:rPr>
        <w:t xml:space="preserve"> – </w:t>
      </w:r>
      <w:r w:rsidR="00014DF9">
        <w:rPr>
          <w:rFonts w:ascii="Times New Roman" w:hAnsi="Times New Roman" w:cs="Times New Roman"/>
        </w:rPr>
        <w:t>a</w:t>
      </w:r>
      <w:r w:rsidR="00073B47">
        <w:rPr>
          <w:rFonts w:ascii="Times New Roman" w:hAnsi="Times New Roman" w:cs="Times New Roman"/>
        </w:rPr>
        <w:t xml:space="preserve"> </w:t>
      </w:r>
      <w:r w:rsidR="00901D50">
        <w:rPr>
          <w:rFonts w:ascii="Times New Roman" w:hAnsi="Times New Roman" w:cs="Times New Roman"/>
        </w:rPr>
        <w:t xml:space="preserve">utility’s </w:t>
      </w:r>
      <w:r w:rsidR="00021A24">
        <w:rPr>
          <w:rFonts w:ascii="Times New Roman" w:hAnsi="Times New Roman" w:cs="Times New Roman"/>
        </w:rPr>
        <w:t>“</w:t>
      </w:r>
      <w:r w:rsidR="00B81353">
        <w:rPr>
          <w:rFonts w:ascii="Times New Roman" w:hAnsi="Times New Roman" w:cs="Times New Roman"/>
        </w:rPr>
        <w:t>r</w:t>
      </w:r>
      <w:r w:rsidR="00901D50">
        <w:rPr>
          <w:rFonts w:ascii="Times New Roman" w:hAnsi="Times New Roman" w:cs="Times New Roman"/>
        </w:rPr>
        <w:t>egulatory framework</w:t>
      </w:r>
      <w:r w:rsidR="00021A24">
        <w:rPr>
          <w:rFonts w:ascii="Times New Roman" w:hAnsi="Times New Roman" w:cs="Times New Roman"/>
        </w:rPr>
        <w:t>”</w:t>
      </w:r>
      <w:r w:rsidR="00901D50">
        <w:rPr>
          <w:rFonts w:ascii="Times New Roman" w:hAnsi="Times New Roman" w:cs="Times New Roman"/>
        </w:rPr>
        <w:t xml:space="preserve"> </w:t>
      </w:r>
      <w:r w:rsidR="00073B47">
        <w:rPr>
          <w:rFonts w:ascii="Times New Roman" w:hAnsi="Times New Roman" w:cs="Times New Roman"/>
        </w:rPr>
        <w:t xml:space="preserve">and </w:t>
      </w:r>
      <w:r w:rsidR="00901D50">
        <w:rPr>
          <w:rFonts w:ascii="Times New Roman" w:hAnsi="Times New Roman" w:cs="Times New Roman"/>
        </w:rPr>
        <w:t xml:space="preserve">its </w:t>
      </w:r>
      <w:r w:rsidR="00021A24">
        <w:rPr>
          <w:rFonts w:ascii="Times New Roman" w:hAnsi="Times New Roman" w:cs="Times New Roman"/>
        </w:rPr>
        <w:t>“</w:t>
      </w:r>
      <w:r w:rsidR="00B81353">
        <w:rPr>
          <w:rFonts w:ascii="Times New Roman" w:hAnsi="Times New Roman" w:cs="Times New Roman"/>
        </w:rPr>
        <w:t>a</w:t>
      </w:r>
      <w:r w:rsidR="00073B47">
        <w:rPr>
          <w:rFonts w:ascii="Times New Roman" w:hAnsi="Times New Roman" w:cs="Times New Roman"/>
        </w:rPr>
        <w:t>bility to recover costs and earn returns</w:t>
      </w:r>
      <w:r w:rsidR="00021A24">
        <w:rPr>
          <w:rFonts w:ascii="Times New Roman" w:hAnsi="Times New Roman" w:cs="Times New Roman"/>
        </w:rPr>
        <w:t>”</w:t>
      </w:r>
      <w:r w:rsidR="00901D50">
        <w:rPr>
          <w:rFonts w:ascii="Times New Roman" w:hAnsi="Times New Roman" w:cs="Times New Roman"/>
        </w:rPr>
        <w:t xml:space="preserve"> </w:t>
      </w:r>
      <w:r w:rsidR="009F02D5">
        <w:rPr>
          <w:rFonts w:ascii="Times New Roman" w:hAnsi="Times New Roman" w:cs="Times New Roman"/>
        </w:rPr>
        <w:t xml:space="preserve">– </w:t>
      </w:r>
      <w:r w:rsidR="00901D50">
        <w:rPr>
          <w:rFonts w:ascii="Times New Roman" w:hAnsi="Times New Roman" w:cs="Times New Roman"/>
        </w:rPr>
        <w:t>make up 50 percent of Moody’s rating methodology</w:t>
      </w:r>
      <w:r w:rsidR="00A36047">
        <w:rPr>
          <w:rStyle w:val="FootnoteReference"/>
          <w:rFonts w:ascii="Times New Roman" w:hAnsi="Times New Roman"/>
        </w:rPr>
        <w:footnoteReference w:id="10"/>
      </w:r>
      <w:r w:rsidR="008D223A" w:rsidRPr="008D223A">
        <w:rPr>
          <w:rFonts w:ascii="Times New Roman" w:hAnsi="Times New Roman" w:cs="Times New Roman"/>
        </w:rPr>
        <w:t>.</w:t>
      </w:r>
    </w:p>
    <w:p w:rsidR="008D223A" w:rsidRPr="00672364" w:rsidRDefault="009F02D5" w:rsidP="006537AF">
      <w:pPr>
        <w:pStyle w:val="BodyText2"/>
        <w:tabs>
          <w:tab w:val="clear" w:pos="720"/>
        </w:tabs>
        <w:spacing w:before="0" w:after="0"/>
        <w:ind w:left="0" w:right="0" w:firstLine="720"/>
        <w:rPr>
          <w:rFonts w:ascii="Times New Roman" w:hAnsi="Times New Roman" w:cs="Times New Roman"/>
        </w:rPr>
      </w:pPr>
      <w:r w:rsidRPr="008D223A">
        <w:rPr>
          <w:rFonts w:ascii="Times New Roman" w:hAnsi="Times New Roman" w:cs="Times New Roman"/>
        </w:rPr>
        <w:t>S&amp;P states the following</w:t>
      </w:r>
      <w:r w:rsidR="00021C61">
        <w:rPr>
          <w:rStyle w:val="FootnoteReference"/>
          <w:rFonts w:ascii="Times New Roman" w:hAnsi="Times New Roman"/>
        </w:rPr>
        <w:footnoteReference w:id="11"/>
      </w:r>
      <w:r w:rsidRPr="008D223A">
        <w:rPr>
          <w:rFonts w:ascii="Times New Roman" w:hAnsi="Times New Roman" w:cs="Times New Roman"/>
        </w:rPr>
        <w:t xml:space="preserve">:  </w:t>
      </w:r>
    </w:p>
    <w:p w:rsidR="00F418ED" w:rsidRDefault="00F418ED" w:rsidP="0083192E">
      <w:pPr>
        <w:pStyle w:val="BodyText2"/>
        <w:tabs>
          <w:tab w:val="clear" w:pos="720"/>
        </w:tabs>
        <w:spacing w:before="0" w:after="240" w:line="240" w:lineRule="auto"/>
        <w:rPr>
          <w:rFonts w:ascii="Times New Roman" w:hAnsi="Times New Roman" w:cs="Times New Roman"/>
        </w:rPr>
      </w:pPr>
      <w:r w:rsidRPr="00181C38">
        <w:rPr>
          <w:rFonts w:ascii="Times New Roman" w:hAnsi="Times New Roman" w:cs="Times New Roman"/>
        </w:rPr>
        <w:t>Regulation is the most critical aspect that underlies regulated integrated utilities’ creditworthiness.</w:t>
      </w:r>
      <w:r w:rsidR="00544E2D">
        <w:rPr>
          <w:rFonts w:ascii="Times New Roman" w:hAnsi="Times New Roman" w:cs="Times New Roman"/>
        </w:rPr>
        <w:t xml:space="preserve"> </w:t>
      </w:r>
      <w:r w:rsidRPr="00181C38">
        <w:rPr>
          <w:rFonts w:ascii="Times New Roman" w:hAnsi="Times New Roman" w:cs="Times New Roman"/>
        </w:rPr>
        <w:t xml:space="preserve"> Regulatory decisions can profoundly affect financial performance.</w:t>
      </w:r>
      <w:r w:rsidR="00544E2D">
        <w:rPr>
          <w:rFonts w:ascii="Times New Roman" w:hAnsi="Times New Roman" w:cs="Times New Roman"/>
        </w:rPr>
        <w:t xml:space="preserve"> </w:t>
      </w:r>
      <w:r w:rsidRPr="00181C38">
        <w:rPr>
          <w:rFonts w:ascii="Times New Roman" w:hAnsi="Times New Roman" w:cs="Times New Roman"/>
        </w:rPr>
        <w:t xml:space="preserve"> Our assessment of the regulatory environments in which a utility operates is guided by certain principles, most prominently consistency and predictability, as well as efficiency and timeliness.</w:t>
      </w:r>
      <w:r w:rsidR="00544E2D">
        <w:rPr>
          <w:rFonts w:ascii="Times New Roman" w:hAnsi="Times New Roman" w:cs="Times New Roman"/>
        </w:rPr>
        <w:t xml:space="preserve"> </w:t>
      </w:r>
      <w:r w:rsidRPr="00181C38">
        <w:rPr>
          <w:rFonts w:ascii="Times New Roman" w:hAnsi="Times New Roman" w:cs="Times New Roman"/>
        </w:rPr>
        <w:t xml:space="preserve"> For a regulatory process to be considered supportive of credit quality, it must limit uncertainty in the recovery of a utility’s investment. </w:t>
      </w:r>
      <w:r w:rsidR="00544E2D">
        <w:rPr>
          <w:rFonts w:ascii="Times New Roman" w:hAnsi="Times New Roman" w:cs="Times New Roman"/>
        </w:rPr>
        <w:t xml:space="preserve"> </w:t>
      </w:r>
      <w:r w:rsidRPr="00181C38">
        <w:rPr>
          <w:rFonts w:ascii="Times New Roman" w:hAnsi="Times New Roman" w:cs="Times New Roman"/>
        </w:rPr>
        <w:t xml:space="preserve">They must also eliminate, or at least greatly reduce, the issue of rate-case lag, especially when a utility engages in a sizable capital expenditure program. </w:t>
      </w:r>
    </w:p>
    <w:p w:rsidR="002734DE" w:rsidRPr="002734DE" w:rsidRDefault="0083192E" w:rsidP="002734DE">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Because of</w:t>
      </w:r>
      <w:r w:rsidR="00F418ED" w:rsidRPr="00181C38">
        <w:rPr>
          <w:rFonts w:ascii="Times New Roman" w:hAnsi="Times New Roman" w:cs="Times New Roman"/>
        </w:rPr>
        <w:t xml:space="preserve"> the major capital expenditures planned by Avista</w:t>
      </w:r>
      <w:r w:rsidR="00901D50">
        <w:rPr>
          <w:rFonts w:ascii="Times New Roman" w:hAnsi="Times New Roman" w:cs="Times New Roman"/>
        </w:rPr>
        <w:t xml:space="preserve"> and future maturities of long-term debt</w:t>
      </w:r>
      <w:r w:rsidR="00F418ED" w:rsidRPr="00181C38">
        <w:rPr>
          <w:rFonts w:ascii="Times New Roman" w:hAnsi="Times New Roman" w:cs="Times New Roman"/>
        </w:rPr>
        <w:t>, a supportive regulatory environment is essential</w:t>
      </w:r>
      <w:r w:rsidR="00901D50">
        <w:rPr>
          <w:rFonts w:ascii="Times New Roman" w:hAnsi="Times New Roman" w:cs="Times New Roman"/>
        </w:rPr>
        <w:t xml:space="preserve"> in maintaining our current credit rating</w:t>
      </w:r>
      <w:r w:rsidR="00F418ED" w:rsidRPr="00181C38">
        <w:rPr>
          <w:rFonts w:ascii="Times New Roman" w:hAnsi="Times New Roman" w:cs="Times New Roman"/>
        </w:rPr>
        <w:t>.</w:t>
      </w:r>
      <w:r w:rsidR="002734DE">
        <w:rPr>
          <w:rFonts w:ascii="Times New Roman" w:hAnsi="Times New Roman" w:cs="Times New Roman"/>
        </w:rPr>
        <w:br w:type="page"/>
      </w:r>
    </w:p>
    <w:p w:rsidR="003B5662" w:rsidRDefault="003F6EBA" w:rsidP="003573F4">
      <w:pPr>
        <w:spacing w:before="0" w:after="0" w:line="480" w:lineRule="auto"/>
        <w:ind w:left="0" w:right="0" w:firstLine="720"/>
        <w:rPr>
          <w:b/>
        </w:rPr>
      </w:pPr>
      <w:r>
        <w:rPr>
          <w:b/>
        </w:rPr>
        <w:lastRenderedPageBreak/>
        <w:t>Q.</w:t>
      </w:r>
      <w:r w:rsidR="00327636">
        <w:rPr>
          <w:b/>
        </w:rPr>
        <w:tab/>
      </w:r>
      <w:r>
        <w:rPr>
          <w:b/>
        </w:rPr>
        <w:t xml:space="preserve">Does this conclude your </w:t>
      </w:r>
      <w:r w:rsidR="00B81353">
        <w:rPr>
          <w:b/>
        </w:rPr>
        <w:t xml:space="preserve">pre-filed </w:t>
      </w:r>
      <w:r w:rsidR="00014DF9">
        <w:rPr>
          <w:b/>
        </w:rPr>
        <w:t xml:space="preserve">direct </w:t>
      </w:r>
      <w:r>
        <w:rPr>
          <w:b/>
        </w:rPr>
        <w:t>testimony?</w:t>
      </w:r>
    </w:p>
    <w:p w:rsidR="003F6EBA" w:rsidRPr="003F6EBA" w:rsidRDefault="003F6EBA" w:rsidP="003573F4">
      <w:pPr>
        <w:spacing w:before="0" w:after="0" w:line="480" w:lineRule="auto"/>
        <w:ind w:left="0" w:right="0" w:firstLine="720"/>
      </w:pPr>
      <w:r w:rsidRPr="003F6EBA">
        <w:t xml:space="preserve">A. </w:t>
      </w:r>
      <w:r w:rsidR="00327636">
        <w:tab/>
      </w:r>
      <w:r w:rsidRPr="003F6EBA">
        <w:t>Yes.</w:t>
      </w:r>
    </w:p>
    <w:sectPr w:rsidR="003F6EBA" w:rsidRPr="003F6EBA" w:rsidSect="00722981">
      <w:headerReference w:type="default" r:id="rId24"/>
      <w:footerReference w:type="default" r:id="rId25"/>
      <w:pgSz w:w="12240" w:h="15840" w:code="1"/>
      <w:pgMar w:top="1440" w:right="1440" w:bottom="1440" w:left="1872" w:header="720" w:footer="432"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44" w:rsidRDefault="004B7344">
      <w:r>
        <w:separator/>
      </w:r>
    </w:p>
  </w:endnote>
  <w:endnote w:type="continuationSeparator" w:id="0">
    <w:p w:rsidR="004B7344" w:rsidRDefault="004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Footer"/>
      <w:tabs>
        <w:tab w:val="clear" w:pos="4320"/>
        <w:tab w:val="clear" w:pos="8640"/>
        <w:tab w:val="right" w:pos="936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Pr="006B7F19" w:rsidRDefault="004B7344" w:rsidP="00572C68">
    <w:pPr>
      <w:pStyle w:val="Footer"/>
      <w:tabs>
        <w:tab w:val="clear" w:pos="4320"/>
        <w:tab w:val="clear" w:pos="8640"/>
        <w:tab w:val="right" w:pos="8910"/>
      </w:tabs>
      <w:spacing w:before="0" w:after="0"/>
      <w:ind w:left="0"/>
      <w:rPr>
        <w:szCs w:val="20"/>
      </w:rPr>
    </w:pPr>
    <w:r w:rsidRPr="006B7F19">
      <w:rPr>
        <w:szCs w:val="20"/>
      </w:rPr>
      <w:t>Direct Testimony of Mark T. Thies</w:t>
    </w:r>
  </w:p>
  <w:p w:rsidR="004B7344" w:rsidRPr="006B7F19" w:rsidRDefault="004B7344" w:rsidP="00E83685">
    <w:pPr>
      <w:pStyle w:val="Footer"/>
      <w:tabs>
        <w:tab w:val="clear" w:pos="4320"/>
        <w:tab w:val="clear" w:pos="8640"/>
        <w:tab w:val="right" w:pos="9360"/>
      </w:tabs>
      <w:spacing w:before="0" w:after="0"/>
      <w:ind w:left="0"/>
      <w:rPr>
        <w:szCs w:val="20"/>
        <w:lang w:val="fr-FR"/>
      </w:rPr>
    </w:pPr>
    <w:r w:rsidRPr="006B7F19">
      <w:rPr>
        <w:szCs w:val="20"/>
        <w:lang w:val="fr-FR"/>
      </w:rPr>
      <w:t>Avista Corporation</w:t>
    </w:r>
  </w:p>
  <w:p w:rsidR="004B7344" w:rsidRPr="006B7F19" w:rsidRDefault="004B7344" w:rsidP="00572C68">
    <w:pPr>
      <w:pStyle w:val="Footer"/>
      <w:tabs>
        <w:tab w:val="clear" w:pos="4320"/>
        <w:tab w:val="clear" w:pos="8640"/>
        <w:tab w:val="right" w:pos="8910"/>
      </w:tabs>
      <w:spacing w:before="0" w:after="0"/>
      <w:ind w:left="0"/>
      <w:rPr>
        <w:rStyle w:val="PageNumber"/>
        <w:szCs w:val="20"/>
        <w:lang w:val="fr-FR"/>
      </w:rPr>
    </w:pPr>
    <w:r w:rsidRPr="006B7F19">
      <w:rPr>
        <w:szCs w:val="20"/>
        <w:lang w:val="fr-FR"/>
      </w:rPr>
      <w:t>Docket Nos. UE-1</w:t>
    </w:r>
    <w:r>
      <w:rPr>
        <w:szCs w:val="20"/>
        <w:lang w:val="fr-FR"/>
      </w:rPr>
      <w:t>6</w:t>
    </w:r>
    <w:r w:rsidRPr="006B7F19">
      <w:rPr>
        <w:szCs w:val="20"/>
        <w:lang w:val="fr-FR"/>
      </w:rPr>
      <w:t>____ &amp; UG-1</w:t>
    </w:r>
    <w:r>
      <w:rPr>
        <w:szCs w:val="20"/>
        <w:lang w:val="fr-FR"/>
      </w:rPr>
      <w:t>6</w:t>
    </w:r>
    <w:r w:rsidRPr="006B7F19">
      <w:rPr>
        <w:szCs w:val="20"/>
        <w:lang w:val="fr-FR"/>
      </w:rPr>
      <w:t>____</w:t>
    </w:r>
    <w:r w:rsidRPr="006B7F19">
      <w:rPr>
        <w:szCs w:val="20"/>
        <w:lang w:val="fr-FR"/>
      </w:rPr>
      <w:tab/>
      <w:t xml:space="preserve">Page </w:t>
    </w:r>
    <w:r w:rsidR="002A3414" w:rsidRPr="006B7F19">
      <w:rPr>
        <w:rStyle w:val="PageNumber"/>
        <w:szCs w:val="20"/>
      </w:rPr>
      <w:fldChar w:fldCharType="begin"/>
    </w:r>
    <w:r w:rsidRPr="006B7F19">
      <w:rPr>
        <w:rStyle w:val="PageNumber"/>
        <w:szCs w:val="20"/>
        <w:lang w:val="fr-FR"/>
      </w:rPr>
      <w:instrText xml:space="preserve"> PAGE </w:instrText>
    </w:r>
    <w:r w:rsidR="002A3414" w:rsidRPr="006B7F19">
      <w:rPr>
        <w:rStyle w:val="PageNumber"/>
        <w:szCs w:val="20"/>
      </w:rPr>
      <w:fldChar w:fldCharType="separate"/>
    </w:r>
    <w:r w:rsidR="00831AF7">
      <w:rPr>
        <w:rStyle w:val="PageNumber"/>
        <w:noProof/>
        <w:szCs w:val="20"/>
        <w:lang w:val="fr-FR"/>
      </w:rPr>
      <w:t>16</w:t>
    </w:r>
    <w:r w:rsidR="002A3414" w:rsidRPr="006B7F1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44" w:rsidRDefault="004B7344" w:rsidP="00101BFA">
      <w:pPr>
        <w:widowControl w:val="0"/>
        <w:spacing w:before="0" w:after="0"/>
        <w:ind w:left="0"/>
      </w:pPr>
      <w:r>
        <w:separator/>
      </w:r>
    </w:p>
  </w:footnote>
  <w:footnote w:type="continuationSeparator" w:id="0">
    <w:p w:rsidR="004B7344" w:rsidRDefault="004B7344">
      <w:r>
        <w:continuationSeparator/>
      </w:r>
    </w:p>
  </w:footnote>
  <w:footnote w:id="1">
    <w:p w:rsidR="004B7344" w:rsidRDefault="004B7344" w:rsidP="008C11C0">
      <w:pPr>
        <w:pStyle w:val="FootnoteText"/>
        <w:ind w:left="0"/>
      </w:pPr>
      <w:r>
        <w:rPr>
          <w:rStyle w:val="FootnoteReference"/>
        </w:rPr>
        <w:footnoteRef/>
      </w:r>
      <w:r>
        <w:t xml:space="preserve"> Order 05, page 52.</w:t>
      </w:r>
    </w:p>
  </w:footnote>
  <w:footnote w:id="2">
    <w:p w:rsidR="004B7344" w:rsidRDefault="004B7344" w:rsidP="00A91B3B">
      <w:pPr>
        <w:pStyle w:val="FootnoteText"/>
        <w:ind w:left="0" w:right="18"/>
      </w:pPr>
      <w:r>
        <w:rPr>
          <w:rStyle w:val="FootnoteReference"/>
        </w:rPr>
        <w:footnoteRef/>
      </w:r>
      <w:r>
        <w:t xml:space="preserve"> As recently as December 2015, a substantial portion of Ukraine’s energy grid was blacked out by what is believed to be a hacking attack.</w:t>
      </w:r>
    </w:p>
  </w:footnote>
  <w:footnote w:id="3">
    <w:p w:rsidR="004B7344" w:rsidRDefault="004B7344" w:rsidP="00A91B3B">
      <w:pPr>
        <w:pStyle w:val="FootnoteText"/>
        <w:spacing w:before="0" w:after="0"/>
        <w:ind w:left="0" w:right="18"/>
      </w:pPr>
      <w:r>
        <w:rPr>
          <w:rStyle w:val="FootnoteReference"/>
        </w:rPr>
        <w:footnoteRef/>
      </w:r>
      <w:r>
        <w:t xml:space="preserve"> The Finance Committee is presented with a five-year plan, but approves the plan for only the next operating year.</w:t>
      </w:r>
    </w:p>
  </w:footnote>
  <w:footnote w:id="4">
    <w:p w:rsidR="004B7344" w:rsidRDefault="004B7344" w:rsidP="00A91B3B">
      <w:pPr>
        <w:pStyle w:val="FootnoteText"/>
        <w:spacing w:before="0" w:after="0"/>
        <w:ind w:left="0" w:right="18"/>
      </w:pPr>
      <w:r>
        <w:rPr>
          <w:rStyle w:val="FootnoteReference"/>
        </w:rPr>
        <w:footnoteRef/>
      </w:r>
      <w:r>
        <w:t xml:space="preserve"> The CPG is a group of Avista employee directors that represent all capital intensive areas of the Company. The CPG meets to review the submitted Business Cases and prioritize funding to limit the capital spend to the level set by senior management. After approval from senior management, the annual capital budget is sent to the Finance Committee of the Board of Directors to approve the capital budget amount. The CPG meets monthly to review the status of the capital projects and programs, and approves or declines new business cases as well as monitors the overall capital budget.</w:t>
      </w:r>
    </w:p>
  </w:footnote>
  <w:footnote w:id="5">
    <w:p w:rsidR="004B7344" w:rsidRDefault="004B7344" w:rsidP="00A91B3B">
      <w:pPr>
        <w:pStyle w:val="FootnoteText"/>
        <w:spacing w:before="0" w:after="0"/>
        <w:ind w:left="0" w:right="18"/>
      </w:pPr>
      <w:r>
        <w:rPr>
          <w:rStyle w:val="FootnoteReference"/>
        </w:rPr>
        <w:footnoteRef/>
      </w:r>
      <w:r>
        <w:t xml:space="preserve"> If circumstances indicate the capital spend for a year will exceed the level previously approved by the Finance Committee of the Board, the additional capital spend is presented to the Finance Committee for approval.</w:t>
      </w:r>
    </w:p>
  </w:footnote>
  <w:footnote w:id="6">
    <w:p w:rsidR="004B7344" w:rsidRDefault="004B7344" w:rsidP="004B7344">
      <w:pPr>
        <w:pStyle w:val="FootnoteText"/>
        <w:tabs>
          <w:tab w:val="left" w:pos="8910"/>
        </w:tabs>
        <w:spacing w:before="0" w:after="0"/>
        <w:ind w:left="0" w:right="18"/>
      </w:pPr>
      <w:r>
        <w:rPr>
          <w:rStyle w:val="FootnoteReference"/>
        </w:rPr>
        <w:footnoteRef/>
      </w:r>
      <w:r>
        <w:t xml:space="preserve"> </w:t>
      </w:r>
      <w:r w:rsidRPr="004B7344">
        <w:t>The relatively higher level of capital expenditure in 2015 was driven by approximately $23 million related to storm costs for the November storm, and approximately $8 million related to a renegotiation of the Coyote Springs Long Term Service Agreement, which occurred late in the year.</w:t>
      </w:r>
    </w:p>
  </w:footnote>
  <w:footnote w:id="7">
    <w:p w:rsidR="004B7344" w:rsidRDefault="004B7344" w:rsidP="004B7344">
      <w:pPr>
        <w:pStyle w:val="FootnoteText"/>
        <w:spacing w:before="0" w:after="0"/>
        <w:ind w:left="0"/>
      </w:pPr>
      <w:r>
        <w:rPr>
          <w:rStyle w:val="FootnoteReference"/>
        </w:rPr>
        <w:footnoteRef/>
      </w:r>
      <w:r>
        <w:t xml:space="preserve"> Order 05, p. 47.</w:t>
      </w:r>
    </w:p>
  </w:footnote>
  <w:footnote w:id="8">
    <w:p w:rsidR="004B7344" w:rsidRDefault="004B7344" w:rsidP="00FD0C3A">
      <w:pPr>
        <w:pStyle w:val="FootnoteText"/>
        <w:tabs>
          <w:tab w:val="left" w:pos="90"/>
        </w:tabs>
        <w:spacing w:before="0"/>
        <w:ind w:left="0" w:right="18"/>
      </w:pPr>
      <w:r w:rsidRPr="00FD0C3A">
        <w:rPr>
          <w:rStyle w:val="FootnoteReference"/>
        </w:rPr>
        <w:footnoteRef/>
      </w:r>
      <w:r w:rsidRPr="00FD0C3A">
        <w:t xml:space="preserve"> </w:t>
      </w:r>
      <w:r w:rsidR="00FD0C3A" w:rsidRPr="00FD0C3A">
        <w:t>As stated by Mr. McKenzie, a 9.9 percent ROE is a conservative estimate of investors’ required ROE for Avista</w:t>
      </w:r>
      <w:r w:rsidR="00FD0C3A">
        <w:t>.</w:t>
      </w:r>
    </w:p>
  </w:footnote>
  <w:footnote w:id="9">
    <w:p w:rsidR="004B7344" w:rsidRDefault="004B7344" w:rsidP="00677033">
      <w:pPr>
        <w:pStyle w:val="FootnoteText"/>
        <w:spacing w:before="0" w:after="0"/>
        <w:ind w:left="0"/>
      </w:pPr>
      <w:r>
        <w:rPr>
          <w:rStyle w:val="FootnoteReference"/>
        </w:rPr>
        <w:footnoteRef/>
      </w:r>
      <w:r>
        <w:t xml:space="preserve"> Source – SNL Financial, Rate Cases finalized January 1, 2015 through December 31, 2015.</w:t>
      </w:r>
    </w:p>
  </w:footnote>
  <w:footnote w:id="10">
    <w:p w:rsidR="004B7344" w:rsidRDefault="004B7344" w:rsidP="00677033">
      <w:pPr>
        <w:pStyle w:val="FootnoteText"/>
        <w:spacing w:before="0" w:after="0"/>
        <w:ind w:left="0" w:right="14"/>
      </w:pPr>
      <w:r>
        <w:rPr>
          <w:rStyle w:val="FootnoteReference"/>
        </w:rPr>
        <w:footnoteRef/>
      </w:r>
      <w:r>
        <w:t>Moody’s Investors Service, Rating Methodology:  Regulated Electric and Gas Utilities, December 23, 2013.</w:t>
      </w:r>
    </w:p>
  </w:footnote>
  <w:footnote w:id="11">
    <w:p w:rsidR="004B7344" w:rsidRDefault="004B7344" w:rsidP="00677033">
      <w:pPr>
        <w:pStyle w:val="FootnoteText"/>
        <w:spacing w:before="0" w:after="0"/>
        <w:ind w:left="0" w:right="0"/>
      </w:pPr>
      <w:r>
        <w:rPr>
          <w:rStyle w:val="FootnoteReference"/>
        </w:rPr>
        <w:footnoteRef/>
      </w:r>
      <w:r>
        <w:t>Standard and Poor’s, Key Credit Factors:  Business and Financial Risks in the Investor-owned Utility Industry, March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rsidP="00562BE5">
    <w:pPr>
      <w:pStyle w:val="Header"/>
      <w:tabs>
        <w:tab w:val="clear" w:pos="8640"/>
      </w:tabs>
      <w:ind w:right="0"/>
      <w:jc w:val="right"/>
    </w:pPr>
    <w:r>
      <w:t>Exhibit No. ____ (MTT-1T)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rsidP="00562BE5">
    <w:pPr>
      <w:pStyle w:val="Header"/>
      <w:tabs>
        <w:tab w:val="clear" w:pos="8640"/>
      </w:tabs>
      <w:ind w:right="0"/>
      <w:jc w:val="right"/>
      <w:rPr>
        <w:rFonts w:ascii="Palatino Linotype" w:hAnsi="Palatino Linotype" w:cs="Palatino Linotype"/>
      </w:rPr>
    </w:pPr>
    <w:r>
      <w:rPr>
        <w:rFonts w:ascii="Palatino Linotype" w:hAnsi="Palatino Linotype" w:cs="Palatino Linotype"/>
      </w:rPr>
      <w:t>Exhibit No. ___ (MTT-1T)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15:restartNumberingAfterBreak="0">
    <w:nsid w:val="08141808"/>
    <w:multiLevelType w:val="hybridMultilevel"/>
    <w:tmpl w:val="13B8C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15:restartNumberingAfterBreak="0">
    <w:nsid w:val="1BA71248"/>
    <w:multiLevelType w:val="hybridMultilevel"/>
    <w:tmpl w:val="14D81246"/>
    <w:lvl w:ilvl="0" w:tplc="2146E58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15:restartNumberingAfterBreak="0">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F7208"/>
    <w:multiLevelType w:val="hybridMultilevel"/>
    <w:tmpl w:val="6F907BAA"/>
    <w:lvl w:ilvl="0" w:tplc="F766CDBE">
      <w:start w:val="1"/>
      <w:numFmt w:val="decimal"/>
      <w:lvlText w:val="(%1)"/>
      <w:lvlJc w:val="left"/>
      <w:pPr>
        <w:ind w:left="298" w:hanging="360"/>
      </w:pPr>
      <w:rPr>
        <w:rFonts w:hint="default"/>
      </w:rPr>
    </w:lvl>
    <w:lvl w:ilvl="1" w:tplc="04090019" w:tentative="1">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14" w15:restartNumberingAfterBreak="0">
    <w:nsid w:val="4F8866E2"/>
    <w:multiLevelType w:val="hybridMultilevel"/>
    <w:tmpl w:val="889645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7" w15:restartNumberingAfterBreak="0">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BE1794"/>
    <w:multiLevelType w:val="hybridMultilevel"/>
    <w:tmpl w:val="D0DC1A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F4282"/>
    <w:multiLevelType w:val="hybridMultilevel"/>
    <w:tmpl w:val="B860D600"/>
    <w:lvl w:ilvl="0" w:tplc="757C9188">
      <w:numFmt w:val="bullet"/>
      <w:lvlText w:val=""/>
      <w:lvlJc w:val="left"/>
      <w:pPr>
        <w:ind w:left="1080" w:hanging="360"/>
      </w:pPr>
      <w:rPr>
        <w:rFonts w:ascii="Symbol" w:eastAsia="Times New Roman" w:hAnsi="Symbol"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D87B34"/>
    <w:multiLevelType w:val="hybridMultilevel"/>
    <w:tmpl w:val="F9A4D2AA"/>
    <w:lvl w:ilvl="0" w:tplc="9CA0483E">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2"/>
  </w:num>
  <w:num w:numId="4">
    <w:abstractNumId w:val="2"/>
  </w:num>
  <w:num w:numId="5">
    <w:abstractNumId w:val="4"/>
  </w:num>
  <w:num w:numId="6">
    <w:abstractNumId w:val="20"/>
  </w:num>
  <w:num w:numId="7">
    <w:abstractNumId w:val="1"/>
  </w:num>
  <w:num w:numId="8">
    <w:abstractNumId w:val="0"/>
  </w:num>
  <w:num w:numId="9">
    <w:abstractNumId w:val="16"/>
  </w:num>
  <w:num w:numId="10">
    <w:abstractNumId w:val="25"/>
  </w:num>
  <w:num w:numId="11">
    <w:abstractNumId w:val="12"/>
  </w:num>
  <w:num w:numId="12">
    <w:abstractNumId w:val="11"/>
  </w:num>
  <w:num w:numId="13">
    <w:abstractNumId w:val="17"/>
  </w:num>
  <w:num w:numId="14">
    <w:abstractNumId w:val="24"/>
  </w:num>
  <w:num w:numId="15">
    <w:abstractNumId w:val="5"/>
  </w:num>
  <w:num w:numId="16">
    <w:abstractNumId w:val="7"/>
  </w:num>
  <w:num w:numId="17">
    <w:abstractNumId w:val="26"/>
  </w:num>
  <w:num w:numId="18">
    <w:abstractNumId w:val="9"/>
  </w:num>
  <w:num w:numId="19">
    <w:abstractNumId w:val="15"/>
  </w:num>
  <w:num w:numId="20">
    <w:abstractNumId w:val="19"/>
  </w:num>
  <w:num w:numId="21">
    <w:abstractNumId w:val="8"/>
  </w:num>
  <w:num w:numId="22">
    <w:abstractNumId w:val="14"/>
  </w:num>
  <w:num w:numId="23">
    <w:abstractNumId w:val="23"/>
  </w:num>
  <w:num w:numId="24">
    <w:abstractNumId w:val="18"/>
  </w:num>
  <w:num w:numId="25">
    <w:abstractNumId w:val="6"/>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74753"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987CC1"/>
    <w:rsid w:val="000034F5"/>
    <w:rsid w:val="00004F85"/>
    <w:rsid w:val="0000581B"/>
    <w:rsid w:val="00005C82"/>
    <w:rsid w:val="00006704"/>
    <w:rsid w:val="00006DCF"/>
    <w:rsid w:val="0001114C"/>
    <w:rsid w:val="00011C94"/>
    <w:rsid w:val="00012C33"/>
    <w:rsid w:val="00014588"/>
    <w:rsid w:val="0001470E"/>
    <w:rsid w:val="00014DF9"/>
    <w:rsid w:val="00015488"/>
    <w:rsid w:val="00015589"/>
    <w:rsid w:val="00016E0D"/>
    <w:rsid w:val="00020FB9"/>
    <w:rsid w:val="00021A24"/>
    <w:rsid w:val="00021C61"/>
    <w:rsid w:val="0002229B"/>
    <w:rsid w:val="000223AB"/>
    <w:rsid w:val="00022C47"/>
    <w:rsid w:val="000232A9"/>
    <w:rsid w:val="000245C9"/>
    <w:rsid w:val="00025091"/>
    <w:rsid w:val="000257C9"/>
    <w:rsid w:val="00025AF8"/>
    <w:rsid w:val="00025E4B"/>
    <w:rsid w:val="000264C2"/>
    <w:rsid w:val="000274D0"/>
    <w:rsid w:val="00027B51"/>
    <w:rsid w:val="0003066A"/>
    <w:rsid w:val="00030D9C"/>
    <w:rsid w:val="000312B5"/>
    <w:rsid w:val="00031FC5"/>
    <w:rsid w:val="000333B8"/>
    <w:rsid w:val="00033B32"/>
    <w:rsid w:val="000341F2"/>
    <w:rsid w:val="000349EC"/>
    <w:rsid w:val="00036183"/>
    <w:rsid w:val="00037C03"/>
    <w:rsid w:val="00041560"/>
    <w:rsid w:val="00041587"/>
    <w:rsid w:val="000416F0"/>
    <w:rsid w:val="000417B4"/>
    <w:rsid w:val="00041C00"/>
    <w:rsid w:val="00043707"/>
    <w:rsid w:val="00044B35"/>
    <w:rsid w:val="00045FC3"/>
    <w:rsid w:val="000461F2"/>
    <w:rsid w:val="000464A8"/>
    <w:rsid w:val="00047455"/>
    <w:rsid w:val="0005058C"/>
    <w:rsid w:val="00050CC5"/>
    <w:rsid w:val="0005368C"/>
    <w:rsid w:val="00053D26"/>
    <w:rsid w:val="00054247"/>
    <w:rsid w:val="00055E0C"/>
    <w:rsid w:val="00055F76"/>
    <w:rsid w:val="00055FE1"/>
    <w:rsid w:val="000565A2"/>
    <w:rsid w:val="00057223"/>
    <w:rsid w:val="00057375"/>
    <w:rsid w:val="00060877"/>
    <w:rsid w:val="00061258"/>
    <w:rsid w:val="00061E67"/>
    <w:rsid w:val="000623D1"/>
    <w:rsid w:val="00064462"/>
    <w:rsid w:val="0006594F"/>
    <w:rsid w:val="00066766"/>
    <w:rsid w:val="00066B5D"/>
    <w:rsid w:val="0006700A"/>
    <w:rsid w:val="00070A53"/>
    <w:rsid w:val="00070FF4"/>
    <w:rsid w:val="00071096"/>
    <w:rsid w:val="0007118A"/>
    <w:rsid w:val="000713DA"/>
    <w:rsid w:val="00071414"/>
    <w:rsid w:val="000719DE"/>
    <w:rsid w:val="00071B21"/>
    <w:rsid w:val="00073594"/>
    <w:rsid w:val="00073B47"/>
    <w:rsid w:val="00073C88"/>
    <w:rsid w:val="00074152"/>
    <w:rsid w:val="000745A2"/>
    <w:rsid w:val="00074ACE"/>
    <w:rsid w:val="000751D2"/>
    <w:rsid w:val="00076012"/>
    <w:rsid w:val="0007750B"/>
    <w:rsid w:val="00077B7B"/>
    <w:rsid w:val="00077F28"/>
    <w:rsid w:val="00084068"/>
    <w:rsid w:val="00085C11"/>
    <w:rsid w:val="00086132"/>
    <w:rsid w:val="00087BB0"/>
    <w:rsid w:val="00087D6A"/>
    <w:rsid w:val="00090726"/>
    <w:rsid w:val="00090986"/>
    <w:rsid w:val="00091463"/>
    <w:rsid w:val="000928ED"/>
    <w:rsid w:val="000929E6"/>
    <w:rsid w:val="00092BB9"/>
    <w:rsid w:val="00094148"/>
    <w:rsid w:val="00095711"/>
    <w:rsid w:val="00097780"/>
    <w:rsid w:val="000A0FCD"/>
    <w:rsid w:val="000A1064"/>
    <w:rsid w:val="000A201F"/>
    <w:rsid w:val="000A2B5F"/>
    <w:rsid w:val="000A32EA"/>
    <w:rsid w:val="000A4FEC"/>
    <w:rsid w:val="000A6014"/>
    <w:rsid w:val="000A68B5"/>
    <w:rsid w:val="000A7429"/>
    <w:rsid w:val="000A7A75"/>
    <w:rsid w:val="000B043F"/>
    <w:rsid w:val="000B04CD"/>
    <w:rsid w:val="000B0E1C"/>
    <w:rsid w:val="000B15F5"/>
    <w:rsid w:val="000B19C4"/>
    <w:rsid w:val="000B1D57"/>
    <w:rsid w:val="000B1DB7"/>
    <w:rsid w:val="000B2178"/>
    <w:rsid w:val="000B2805"/>
    <w:rsid w:val="000B2B3C"/>
    <w:rsid w:val="000B34CE"/>
    <w:rsid w:val="000B6300"/>
    <w:rsid w:val="000C05AA"/>
    <w:rsid w:val="000C0D10"/>
    <w:rsid w:val="000C24EA"/>
    <w:rsid w:val="000C27FA"/>
    <w:rsid w:val="000C35DA"/>
    <w:rsid w:val="000C40B9"/>
    <w:rsid w:val="000C4FAE"/>
    <w:rsid w:val="000C6050"/>
    <w:rsid w:val="000C7145"/>
    <w:rsid w:val="000C7251"/>
    <w:rsid w:val="000C7497"/>
    <w:rsid w:val="000D4BCC"/>
    <w:rsid w:val="000D4BD6"/>
    <w:rsid w:val="000D5477"/>
    <w:rsid w:val="000D5BB5"/>
    <w:rsid w:val="000D74CC"/>
    <w:rsid w:val="000D7775"/>
    <w:rsid w:val="000E0151"/>
    <w:rsid w:val="000E0687"/>
    <w:rsid w:val="000E2B6B"/>
    <w:rsid w:val="000E3E3D"/>
    <w:rsid w:val="000E4F26"/>
    <w:rsid w:val="000E5057"/>
    <w:rsid w:val="000E660E"/>
    <w:rsid w:val="000E6E8B"/>
    <w:rsid w:val="000F0CFC"/>
    <w:rsid w:val="000F2281"/>
    <w:rsid w:val="000F30DD"/>
    <w:rsid w:val="000F36F0"/>
    <w:rsid w:val="000F45C5"/>
    <w:rsid w:val="000F465D"/>
    <w:rsid w:val="000F6302"/>
    <w:rsid w:val="000F6C39"/>
    <w:rsid w:val="000F7272"/>
    <w:rsid w:val="00100C00"/>
    <w:rsid w:val="0010132F"/>
    <w:rsid w:val="001016EF"/>
    <w:rsid w:val="00101BFA"/>
    <w:rsid w:val="001028C5"/>
    <w:rsid w:val="00102B10"/>
    <w:rsid w:val="00102DD9"/>
    <w:rsid w:val="00102F1B"/>
    <w:rsid w:val="00103216"/>
    <w:rsid w:val="001037E0"/>
    <w:rsid w:val="0010565F"/>
    <w:rsid w:val="00105D08"/>
    <w:rsid w:val="00106827"/>
    <w:rsid w:val="00112576"/>
    <w:rsid w:val="0011328A"/>
    <w:rsid w:val="001138D8"/>
    <w:rsid w:val="00113C57"/>
    <w:rsid w:val="0011416A"/>
    <w:rsid w:val="00114C5C"/>
    <w:rsid w:val="00115ECA"/>
    <w:rsid w:val="00116B68"/>
    <w:rsid w:val="001179A0"/>
    <w:rsid w:val="0012006E"/>
    <w:rsid w:val="001207B1"/>
    <w:rsid w:val="00123648"/>
    <w:rsid w:val="0012431E"/>
    <w:rsid w:val="0012488A"/>
    <w:rsid w:val="00124D1D"/>
    <w:rsid w:val="0012582D"/>
    <w:rsid w:val="00125CDB"/>
    <w:rsid w:val="001263D4"/>
    <w:rsid w:val="001265E1"/>
    <w:rsid w:val="00126DAA"/>
    <w:rsid w:val="001272AB"/>
    <w:rsid w:val="00127389"/>
    <w:rsid w:val="001278D6"/>
    <w:rsid w:val="00127B93"/>
    <w:rsid w:val="001307F2"/>
    <w:rsid w:val="00130FFE"/>
    <w:rsid w:val="00131C9B"/>
    <w:rsid w:val="001326C5"/>
    <w:rsid w:val="00132823"/>
    <w:rsid w:val="00134F4B"/>
    <w:rsid w:val="0013538A"/>
    <w:rsid w:val="00135504"/>
    <w:rsid w:val="00135D76"/>
    <w:rsid w:val="001362A7"/>
    <w:rsid w:val="00136396"/>
    <w:rsid w:val="0013651D"/>
    <w:rsid w:val="00141513"/>
    <w:rsid w:val="00142F3E"/>
    <w:rsid w:val="00143945"/>
    <w:rsid w:val="00143A08"/>
    <w:rsid w:val="0014410C"/>
    <w:rsid w:val="0014437B"/>
    <w:rsid w:val="00144FC5"/>
    <w:rsid w:val="00146E04"/>
    <w:rsid w:val="00147E1C"/>
    <w:rsid w:val="00150674"/>
    <w:rsid w:val="001529F5"/>
    <w:rsid w:val="00152BF8"/>
    <w:rsid w:val="00152BFD"/>
    <w:rsid w:val="00152DFB"/>
    <w:rsid w:val="00154D0B"/>
    <w:rsid w:val="00154D34"/>
    <w:rsid w:val="00155EE8"/>
    <w:rsid w:val="0015646A"/>
    <w:rsid w:val="0015669A"/>
    <w:rsid w:val="0015671B"/>
    <w:rsid w:val="00157248"/>
    <w:rsid w:val="0016032D"/>
    <w:rsid w:val="00160880"/>
    <w:rsid w:val="00161525"/>
    <w:rsid w:val="001616DA"/>
    <w:rsid w:val="00162E7E"/>
    <w:rsid w:val="00164D43"/>
    <w:rsid w:val="00165096"/>
    <w:rsid w:val="0016566F"/>
    <w:rsid w:val="00165A18"/>
    <w:rsid w:val="00165C2E"/>
    <w:rsid w:val="0016794F"/>
    <w:rsid w:val="0017091B"/>
    <w:rsid w:val="00172F49"/>
    <w:rsid w:val="00173447"/>
    <w:rsid w:val="00173A41"/>
    <w:rsid w:val="001746E5"/>
    <w:rsid w:val="001756F5"/>
    <w:rsid w:val="00175A68"/>
    <w:rsid w:val="00176B8B"/>
    <w:rsid w:val="00177575"/>
    <w:rsid w:val="00177B29"/>
    <w:rsid w:val="00177F25"/>
    <w:rsid w:val="0018057A"/>
    <w:rsid w:val="00181553"/>
    <w:rsid w:val="0018240C"/>
    <w:rsid w:val="00182AE7"/>
    <w:rsid w:val="0018318C"/>
    <w:rsid w:val="0018435B"/>
    <w:rsid w:val="00184494"/>
    <w:rsid w:val="00184930"/>
    <w:rsid w:val="00184C68"/>
    <w:rsid w:val="00186871"/>
    <w:rsid w:val="00187400"/>
    <w:rsid w:val="00187A19"/>
    <w:rsid w:val="00190CC7"/>
    <w:rsid w:val="00191034"/>
    <w:rsid w:val="001920F0"/>
    <w:rsid w:val="00192C58"/>
    <w:rsid w:val="00194E33"/>
    <w:rsid w:val="0019584F"/>
    <w:rsid w:val="00195AB4"/>
    <w:rsid w:val="001A11A1"/>
    <w:rsid w:val="001A11B8"/>
    <w:rsid w:val="001A11FA"/>
    <w:rsid w:val="001A1646"/>
    <w:rsid w:val="001A2276"/>
    <w:rsid w:val="001A3306"/>
    <w:rsid w:val="001A3F7D"/>
    <w:rsid w:val="001A620F"/>
    <w:rsid w:val="001A6A4F"/>
    <w:rsid w:val="001A6ED4"/>
    <w:rsid w:val="001A6EF6"/>
    <w:rsid w:val="001A7543"/>
    <w:rsid w:val="001B2421"/>
    <w:rsid w:val="001B32F3"/>
    <w:rsid w:val="001B42E1"/>
    <w:rsid w:val="001B43E9"/>
    <w:rsid w:val="001B59EB"/>
    <w:rsid w:val="001B6D92"/>
    <w:rsid w:val="001B6F4F"/>
    <w:rsid w:val="001C1029"/>
    <w:rsid w:val="001C1696"/>
    <w:rsid w:val="001C1E2C"/>
    <w:rsid w:val="001C256E"/>
    <w:rsid w:val="001C265F"/>
    <w:rsid w:val="001C4460"/>
    <w:rsid w:val="001C51D6"/>
    <w:rsid w:val="001C5C81"/>
    <w:rsid w:val="001C687C"/>
    <w:rsid w:val="001C7667"/>
    <w:rsid w:val="001D080F"/>
    <w:rsid w:val="001D09AA"/>
    <w:rsid w:val="001D1146"/>
    <w:rsid w:val="001D32BA"/>
    <w:rsid w:val="001D370F"/>
    <w:rsid w:val="001D3A6E"/>
    <w:rsid w:val="001D53E2"/>
    <w:rsid w:val="001D54BF"/>
    <w:rsid w:val="001D59BD"/>
    <w:rsid w:val="001D7F4A"/>
    <w:rsid w:val="001E018C"/>
    <w:rsid w:val="001E044E"/>
    <w:rsid w:val="001E147E"/>
    <w:rsid w:val="001E1B89"/>
    <w:rsid w:val="001E277B"/>
    <w:rsid w:val="001E2F09"/>
    <w:rsid w:val="001E3244"/>
    <w:rsid w:val="001E3E9B"/>
    <w:rsid w:val="001E4342"/>
    <w:rsid w:val="001E43E4"/>
    <w:rsid w:val="001E49C3"/>
    <w:rsid w:val="001E4BB1"/>
    <w:rsid w:val="001E4F9A"/>
    <w:rsid w:val="001E5FD6"/>
    <w:rsid w:val="001E7177"/>
    <w:rsid w:val="001F0F07"/>
    <w:rsid w:val="001F2523"/>
    <w:rsid w:val="001F30BD"/>
    <w:rsid w:val="001F4944"/>
    <w:rsid w:val="001F5EC3"/>
    <w:rsid w:val="001F73E8"/>
    <w:rsid w:val="001F7896"/>
    <w:rsid w:val="002006C4"/>
    <w:rsid w:val="00200725"/>
    <w:rsid w:val="00201400"/>
    <w:rsid w:val="00201627"/>
    <w:rsid w:val="0020214C"/>
    <w:rsid w:val="002034D2"/>
    <w:rsid w:val="002053B5"/>
    <w:rsid w:val="00205F17"/>
    <w:rsid w:val="00206126"/>
    <w:rsid w:val="00207B7D"/>
    <w:rsid w:val="00207E54"/>
    <w:rsid w:val="00210674"/>
    <w:rsid w:val="00211187"/>
    <w:rsid w:val="002111B2"/>
    <w:rsid w:val="002125FD"/>
    <w:rsid w:val="0021290A"/>
    <w:rsid w:val="002142C2"/>
    <w:rsid w:val="00214A72"/>
    <w:rsid w:val="00216105"/>
    <w:rsid w:val="00216601"/>
    <w:rsid w:val="002170D5"/>
    <w:rsid w:val="00217764"/>
    <w:rsid w:val="0021794E"/>
    <w:rsid w:val="002205A5"/>
    <w:rsid w:val="00220B2E"/>
    <w:rsid w:val="00221067"/>
    <w:rsid w:val="00221226"/>
    <w:rsid w:val="00222F8C"/>
    <w:rsid w:val="002235BB"/>
    <w:rsid w:val="00224AC7"/>
    <w:rsid w:val="00225102"/>
    <w:rsid w:val="002252FC"/>
    <w:rsid w:val="00225325"/>
    <w:rsid w:val="00226087"/>
    <w:rsid w:val="00227060"/>
    <w:rsid w:val="002276A8"/>
    <w:rsid w:val="00227763"/>
    <w:rsid w:val="00227CAC"/>
    <w:rsid w:val="00230E94"/>
    <w:rsid w:val="00231015"/>
    <w:rsid w:val="0023161C"/>
    <w:rsid w:val="00231824"/>
    <w:rsid w:val="00231E0B"/>
    <w:rsid w:val="002330BB"/>
    <w:rsid w:val="00233259"/>
    <w:rsid w:val="002341D9"/>
    <w:rsid w:val="002346F2"/>
    <w:rsid w:val="00235B52"/>
    <w:rsid w:val="00236175"/>
    <w:rsid w:val="0023664E"/>
    <w:rsid w:val="0023670D"/>
    <w:rsid w:val="002367CC"/>
    <w:rsid w:val="0023685A"/>
    <w:rsid w:val="0023706B"/>
    <w:rsid w:val="00237E7F"/>
    <w:rsid w:val="00240090"/>
    <w:rsid w:val="00240534"/>
    <w:rsid w:val="00240789"/>
    <w:rsid w:val="0024114F"/>
    <w:rsid w:val="00241D06"/>
    <w:rsid w:val="00243EC7"/>
    <w:rsid w:val="002442BA"/>
    <w:rsid w:val="0024525E"/>
    <w:rsid w:val="0024540E"/>
    <w:rsid w:val="002454C9"/>
    <w:rsid w:val="00245501"/>
    <w:rsid w:val="002469CA"/>
    <w:rsid w:val="00246A6F"/>
    <w:rsid w:val="00250404"/>
    <w:rsid w:val="00250A2D"/>
    <w:rsid w:val="00250C43"/>
    <w:rsid w:val="00251F26"/>
    <w:rsid w:val="0025204E"/>
    <w:rsid w:val="00252541"/>
    <w:rsid w:val="002529CF"/>
    <w:rsid w:val="0025343B"/>
    <w:rsid w:val="00253CE4"/>
    <w:rsid w:val="00254C27"/>
    <w:rsid w:val="00254D2E"/>
    <w:rsid w:val="00254F65"/>
    <w:rsid w:val="0025650D"/>
    <w:rsid w:val="00260751"/>
    <w:rsid w:val="00261931"/>
    <w:rsid w:val="00262AB9"/>
    <w:rsid w:val="00262C22"/>
    <w:rsid w:val="00263FE1"/>
    <w:rsid w:val="002645E5"/>
    <w:rsid w:val="0026462B"/>
    <w:rsid w:val="00265314"/>
    <w:rsid w:val="00265F63"/>
    <w:rsid w:val="00266D68"/>
    <w:rsid w:val="00267C72"/>
    <w:rsid w:val="002702EC"/>
    <w:rsid w:val="00271953"/>
    <w:rsid w:val="002734DE"/>
    <w:rsid w:val="00274E60"/>
    <w:rsid w:val="0027652A"/>
    <w:rsid w:val="002765FE"/>
    <w:rsid w:val="00276AB3"/>
    <w:rsid w:val="002774F5"/>
    <w:rsid w:val="00280407"/>
    <w:rsid w:val="00281BEE"/>
    <w:rsid w:val="00283138"/>
    <w:rsid w:val="00283F59"/>
    <w:rsid w:val="002845D8"/>
    <w:rsid w:val="0028679B"/>
    <w:rsid w:val="00286B1F"/>
    <w:rsid w:val="00286FE5"/>
    <w:rsid w:val="00287F8D"/>
    <w:rsid w:val="00290AF7"/>
    <w:rsid w:val="002917C3"/>
    <w:rsid w:val="00292817"/>
    <w:rsid w:val="00292CDD"/>
    <w:rsid w:val="00292E03"/>
    <w:rsid w:val="00293AD5"/>
    <w:rsid w:val="00297612"/>
    <w:rsid w:val="00297AC1"/>
    <w:rsid w:val="002A0307"/>
    <w:rsid w:val="002A132B"/>
    <w:rsid w:val="002A1A1C"/>
    <w:rsid w:val="002A1C71"/>
    <w:rsid w:val="002A2507"/>
    <w:rsid w:val="002A32CB"/>
    <w:rsid w:val="002A3414"/>
    <w:rsid w:val="002A4345"/>
    <w:rsid w:val="002A4467"/>
    <w:rsid w:val="002A4C13"/>
    <w:rsid w:val="002A5361"/>
    <w:rsid w:val="002A59DD"/>
    <w:rsid w:val="002A66BD"/>
    <w:rsid w:val="002A67BA"/>
    <w:rsid w:val="002A6875"/>
    <w:rsid w:val="002A7B05"/>
    <w:rsid w:val="002B0900"/>
    <w:rsid w:val="002B0A42"/>
    <w:rsid w:val="002B0D6F"/>
    <w:rsid w:val="002B268C"/>
    <w:rsid w:val="002B2DF7"/>
    <w:rsid w:val="002B3365"/>
    <w:rsid w:val="002B63A9"/>
    <w:rsid w:val="002B6D39"/>
    <w:rsid w:val="002C0337"/>
    <w:rsid w:val="002C3567"/>
    <w:rsid w:val="002C36D6"/>
    <w:rsid w:val="002C3D05"/>
    <w:rsid w:val="002C6094"/>
    <w:rsid w:val="002C629B"/>
    <w:rsid w:val="002C6DC9"/>
    <w:rsid w:val="002C7ADB"/>
    <w:rsid w:val="002C7C2A"/>
    <w:rsid w:val="002D034F"/>
    <w:rsid w:val="002D0BFF"/>
    <w:rsid w:val="002D0C9B"/>
    <w:rsid w:val="002D13C6"/>
    <w:rsid w:val="002D231B"/>
    <w:rsid w:val="002D4333"/>
    <w:rsid w:val="002D52EE"/>
    <w:rsid w:val="002D646B"/>
    <w:rsid w:val="002D6738"/>
    <w:rsid w:val="002D6996"/>
    <w:rsid w:val="002D78BB"/>
    <w:rsid w:val="002E0218"/>
    <w:rsid w:val="002E089C"/>
    <w:rsid w:val="002E1BA5"/>
    <w:rsid w:val="002E43AA"/>
    <w:rsid w:val="002E49A4"/>
    <w:rsid w:val="002F0097"/>
    <w:rsid w:val="002F0E3F"/>
    <w:rsid w:val="002F2440"/>
    <w:rsid w:val="002F267A"/>
    <w:rsid w:val="002F323B"/>
    <w:rsid w:val="002F49A8"/>
    <w:rsid w:val="002F5B3F"/>
    <w:rsid w:val="002F5B48"/>
    <w:rsid w:val="002F5E32"/>
    <w:rsid w:val="002F6A79"/>
    <w:rsid w:val="002F700B"/>
    <w:rsid w:val="002F7069"/>
    <w:rsid w:val="00301172"/>
    <w:rsid w:val="00301426"/>
    <w:rsid w:val="00302A73"/>
    <w:rsid w:val="00302E77"/>
    <w:rsid w:val="00303909"/>
    <w:rsid w:val="00303A6A"/>
    <w:rsid w:val="00305117"/>
    <w:rsid w:val="0030588A"/>
    <w:rsid w:val="003065CC"/>
    <w:rsid w:val="0030726C"/>
    <w:rsid w:val="0030748A"/>
    <w:rsid w:val="00307FEF"/>
    <w:rsid w:val="00310569"/>
    <w:rsid w:val="00311D43"/>
    <w:rsid w:val="00312245"/>
    <w:rsid w:val="003130D0"/>
    <w:rsid w:val="00313466"/>
    <w:rsid w:val="00314A0E"/>
    <w:rsid w:val="0031500B"/>
    <w:rsid w:val="0031572C"/>
    <w:rsid w:val="00316784"/>
    <w:rsid w:val="00317795"/>
    <w:rsid w:val="0031797E"/>
    <w:rsid w:val="00320347"/>
    <w:rsid w:val="0032091F"/>
    <w:rsid w:val="00320CDC"/>
    <w:rsid w:val="00321002"/>
    <w:rsid w:val="00323AE0"/>
    <w:rsid w:val="00323B13"/>
    <w:rsid w:val="00327636"/>
    <w:rsid w:val="0033022B"/>
    <w:rsid w:val="00330C05"/>
    <w:rsid w:val="0033104E"/>
    <w:rsid w:val="0033127C"/>
    <w:rsid w:val="003312AA"/>
    <w:rsid w:val="00331D5E"/>
    <w:rsid w:val="003320AA"/>
    <w:rsid w:val="00332F24"/>
    <w:rsid w:val="00332F50"/>
    <w:rsid w:val="00333291"/>
    <w:rsid w:val="0033431A"/>
    <w:rsid w:val="003358A8"/>
    <w:rsid w:val="00337BAB"/>
    <w:rsid w:val="00341166"/>
    <w:rsid w:val="00341EF7"/>
    <w:rsid w:val="00343748"/>
    <w:rsid w:val="0034491A"/>
    <w:rsid w:val="00345EBF"/>
    <w:rsid w:val="00350576"/>
    <w:rsid w:val="00350670"/>
    <w:rsid w:val="00350CF8"/>
    <w:rsid w:val="00350E08"/>
    <w:rsid w:val="0035104E"/>
    <w:rsid w:val="00351232"/>
    <w:rsid w:val="0035152B"/>
    <w:rsid w:val="00353DB0"/>
    <w:rsid w:val="003544F9"/>
    <w:rsid w:val="003548D7"/>
    <w:rsid w:val="00355013"/>
    <w:rsid w:val="003550C1"/>
    <w:rsid w:val="0035558E"/>
    <w:rsid w:val="00355F58"/>
    <w:rsid w:val="00356D9E"/>
    <w:rsid w:val="003573F4"/>
    <w:rsid w:val="00362E5B"/>
    <w:rsid w:val="00363757"/>
    <w:rsid w:val="00364D06"/>
    <w:rsid w:val="0036757E"/>
    <w:rsid w:val="00370B82"/>
    <w:rsid w:val="00370C53"/>
    <w:rsid w:val="00371570"/>
    <w:rsid w:val="00371683"/>
    <w:rsid w:val="00373984"/>
    <w:rsid w:val="00374857"/>
    <w:rsid w:val="0037488F"/>
    <w:rsid w:val="003753DE"/>
    <w:rsid w:val="0037579E"/>
    <w:rsid w:val="003758F8"/>
    <w:rsid w:val="00375AE1"/>
    <w:rsid w:val="003769D6"/>
    <w:rsid w:val="00377122"/>
    <w:rsid w:val="003801E7"/>
    <w:rsid w:val="00381238"/>
    <w:rsid w:val="003812E6"/>
    <w:rsid w:val="00382BD7"/>
    <w:rsid w:val="00382F8C"/>
    <w:rsid w:val="00384654"/>
    <w:rsid w:val="003846F9"/>
    <w:rsid w:val="00384C58"/>
    <w:rsid w:val="0038783C"/>
    <w:rsid w:val="00387E92"/>
    <w:rsid w:val="00390604"/>
    <w:rsid w:val="00391022"/>
    <w:rsid w:val="003912A6"/>
    <w:rsid w:val="00391704"/>
    <w:rsid w:val="00391F26"/>
    <w:rsid w:val="00392049"/>
    <w:rsid w:val="00394469"/>
    <w:rsid w:val="00395332"/>
    <w:rsid w:val="00395B95"/>
    <w:rsid w:val="003961D3"/>
    <w:rsid w:val="00396746"/>
    <w:rsid w:val="003A12A0"/>
    <w:rsid w:val="003A15C3"/>
    <w:rsid w:val="003A264E"/>
    <w:rsid w:val="003A3258"/>
    <w:rsid w:val="003A35AE"/>
    <w:rsid w:val="003A3A12"/>
    <w:rsid w:val="003A3C48"/>
    <w:rsid w:val="003A6C62"/>
    <w:rsid w:val="003B01DF"/>
    <w:rsid w:val="003B065A"/>
    <w:rsid w:val="003B0F94"/>
    <w:rsid w:val="003B10BE"/>
    <w:rsid w:val="003B27DF"/>
    <w:rsid w:val="003B4244"/>
    <w:rsid w:val="003B4388"/>
    <w:rsid w:val="003B4AA1"/>
    <w:rsid w:val="003B4CFD"/>
    <w:rsid w:val="003B5039"/>
    <w:rsid w:val="003B5662"/>
    <w:rsid w:val="003B598D"/>
    <w:rsid w:val="003B5E9C"/>
    <w:rsid w:val="003B614A"/>
    <w:rsid w:val="003B7519"/>
    <w:rsid w:val="003B777E"/>
    <w:rsid w:val="003C17F9"/>
    <w:rsid w:val="003C18F5"/>
    <w:rsid w:val="003C2026"/>
    <w:rsid w:val="003C2DD3"/>
    <w:rsid w:val="003C323B"/>
    <w:rsid w:val="003C4534"/>
    <w:rsid w:val="003C481B"/>
    <w:rsid w:val="003C4D7D"/>
    <w:rsid w:val="003C5590"/>
    <w:rsid w:val="003C716E"/>
    <w:rsid w:val="003C72B0"/>
    <w:rsid w:val="003C77AE"/>
    <w:rsid w:val="003D078B"/>
    <w:rsid w:val="003D1384"/>
    <w:rsid w:val="003D1C6D"/>
    <w:rsid w:val="003D2B84"/>
    <w:rsid w:val="003D336F"/>
    <w:rsid w:val="003D386B"/>
    <w:rsid w:val="003D3C75"/>
    <w:rsid w:val="003D486F"/>
    <w:rsid w:val="003D48E9"/>
    <w:rsid w:val="003D490E"/>
    <w:rsid w:val="003D6054"/>
    <w:rsid w:val="003D6484"/>
    <w:rsid w:val="003E02CE"/>
    <w:rsid w:val="003E07C8"/>
    <w:rsid w:val="003E1C0B"/>
    <w:rsid w:val="003E2513"/>
    <w:rsid w:val="003E3059"/>
    <w:rsid w:val="003E35EB"/>
    <w:rsid w:val="003E40EB"/>
    <w:rsid w:val="003E53EA"/>
    <w:rsid w:val="003E659A"/>
    <w:rsid w:val="003E6FEB"/>
    <w:rsid w:val="003E7DC5"/>
    <w:rsid w:val="003F1478"/>
    <w:rsid w:val="003F16D2"/>
    <w:rsid w:val="003F1D84"/>
    <w:rsid w:val="003F3185"/>
    <w:rsid w:val="003F4DF5"/>
    <w:rsid w:val="003F56F5"/>
    <w:rsid w:val="003F60C5"/>
    <w:rsid w:val="003F6497"/>
    <w:rsid w:val="003F6526"/>
    <w:rsid w:val="003F6894"/>
    <w:rsid w:val="003F6962"/>
    <w:rsid w:val="003F6EBA"/>
    <w:rsid w:val="004002DC"/>
    <w:rsid w:val="00400564"/>
    <w:rsid w:val="0040097F"/>
    <w:rsid w:val="00400C01"/>
    <w:rsid w:val="00401023"/>
    <w:rsid w:val="00402184"/>
    <w:rsid w:val="004025C7"/>
    <w:rsid w:val="004034F2"/>
    <w:rsid w:val="00403B0B"/>
    <w:rsid w:val="0040425B"/>
    <w:rsid w:val="004047FB"/>
    <w:rsid w:val="00405781"/>
    <w:rsid w:val="00406B68"/>
    <w:rsid w:val="00410088"/>
    <w:rsid w:val="004102FF"/>
    <w:rsid w:val="00411074"/>
    <w:rsid w:val="004117F5"/>
    <w:rsid w:val="0041322D"/>
    <w:rsid w:val="004137C4"/>
    <w:rsid w:val="004140FD"/>
    <w:rsid w:val="004150D5"/>
    <w:rsid w:val="004154BE"/>
    <w:rsid w:val="00415F12"/>
    <w:rsid w:val="0041705F"/>
    <w:rsid w:val="004171D3"/>
    <w:rsid w:val="0041728A"/>
    <w:rsid w:val="004201E3"/>
    <w:rsid w:val="00420712"/>
    <w:rsid w:val="0042140D"/>
    <w:rsid w:val="00421764"/>
    <w:rsid w:val="00421905"/>
    <w:rsid w:val="00421EA2"/>
    <w:rsid w:val="00422359"/>
    <w:rsid w:val="004225B4"/>
    <w:rsid w:val="0042374A"/>
    <w:rsid w:val="004240D9"/>
    <w:rsid w:val="004255F1"/>
    <w:rsid w:val="00425D48"/>
    <w:rsid w:val="00426B9F"/>
    <w:rsid w:val="00426EFD"/>
    <w:rsid w:val="00427208"/>
    <w:rsid w:val="0043164E"/>
    <w:rsid w:val="00431DDC"/>
    <w:rsid w:val="00431DE9"/>
    <w:rsid w:val="00432776"/>
    <w:rsid w:val="004328DA"/>
    <w:rsid w:val="00432C13"/>
    <w:rsid w:val="00435DEA"/>
    <w:rsid w:val="00435F48"/>
    <w:rsid w:val="00442117"/>
    <w:rsid w:val="00442274"/>
    <w:rsid w:val="0044249A"/>
    <w:rsid w:val="004429C7"/>
    <w:rsid w:val="00442C6F"/>
    <w:rsid w:val="00442FDA"/>
    <w:rsid w:val="00443A77"/>
    <w:rsid w:val="004457AD"/>
    <w:rsid w:val="00447C65"/>
    <w:rsid w:val="00447C83"/>
    <w:rsid w:val="00450178"/>
    <w:rsid w:val="004514E6"/>
    <w:rsid w:val="00451D65"/>
    <w:rsid w:val="00453372"/>
    <w:rsid w:val="00454C46"/>
    <w:rsid w:val="00456423"/>
    <w:rsid w:val="00457682"/>
    <w:rsid w:val="00460D36"/>
    <w:rsid w:val="00460F38"/>
    <w:rsid w:val="00461936"/>
    <w:rsid w:val="004621D3"/>
    <w:rsid w:val="004627BD"/>
    <w:rsid w:val="0046374D"/>
    <w:rsid w:val="00463D03"/>
    <w:rsid w:val="00464543"/>
    <w:rsid w:val="004649D9"/>
    <w:rsid w:val="00464C3B"/>
    <w:rsid w:val="00464D3D"/>
    <w:rsid w:val="00465606"/>
    <w:rsid w:val="00465D15"/>
    <w:rsid w:val="00466350"/>
    <w:rsid w:val="0046672E"/>
    <w:rsid w:val="00466B9B"/>
    <w:rsid w:val="00466C8D"/>
    <w:rsid w:val="00466EA6"/>
    <w:rsid w:val="004671B1"/>
    <w:rsid w:val="004708F5"/>
    <w:rsid w:val="0047136D"/>
    <w:rsid w:val="004713C7"/>
    <w:rsid w:val="004715D9"/>
    <w:rsid w:val="004738B9"/>
    <w:rsid w:val="0047423D"/>
    <w:rsid w:val="004753E2"/>
    <w:rsid w:val="00475AF6"/>
    <w:rsid w:val="0047616C"/>
    <w:rsid w:val="00476540"/>
    <w:rsid w:val="004765FD"/>
    <w:rsid w:val="00476F1F"/>
    <w:rsid w:val="0047783F"/>
    <w:rsid w:val="00477FC4"/>
    <w:rsid w:val="00480706"/>
    <w:rsid w:val="004808C0"/>
    <w:rsid w:val="004822F4"/>
    <w:rsid w:val="004827D5"/>
    <w:rsid w:val="004829BF"/>
    <w:rsid w:val="00484CFC"/>
    <w:rsid w:val="0048555A"/>
    <w:rsid w:val="004855A6"/>
    <w:rsid w:val="0048584B"/>
    <w:rsid w:val="0048585F"/>
    <w:rsid w:val="00485CCD"/>
    <w:rsid w:val="00487297"/>
    <w:rsid w:val="00487516"/>
    <w:rsid w:val="00490AD8"/>
    <w:rsid w:val="00490B5B"/>
    <w:rsid w:val="00490CA3"/>
    <w:rsid w:val="00490E11"/>
    <w:rsid w:val="00492F97"/>
    <w:rsid w:val="00492F9F"/>
    <w:rsid w:val="00494176"/>
    <w:rsid w:val="004941E4"/>
    <w:rsid w:val="00495510"/>
    <w:rsid w:val="004A023E"/>
    <w:rsid w:val="004A11C9"/>
    <w:rsid w:val="004A2A30"/>
    <w:rsid w:val="004A32C2"/>
    <w:rsid w:val="004A473F"/>
    <w:rsid w:val="004A76DE"/>
    <w:rsid w:val="004B399B"/>
    <w:rsid w:val="004B422A"/>
    <w:rsid w:val="004B453E"/>
    <w:rsid w:val="004B6BDF"/>
    <w:rsid w:val="004B6FC1"/>
    <w:rsid w:val="004B7344"/>
    <w:rsid w:val="004B7FB2"/>
    <w:rsid w:val="004C0CE5"/>
    <w:rsid w:val="004C1CD7"/>
    <w:rsid w:val="004C256D"/>
    <w:rsid w:val="004C2DA9"/>
    <w:rsid w:val="004C300D"/>
    <w:rsid w:val="004C362D"/>
    <w:rsid w:val="004C39A0"/>
    <w:rsid w:val="004C3A6B"/>
    <w:rsid w:val="004C48C8"/>
    <w:rsid w:val="004C5AEE"/>
    <w:rsid w:val="004C6835"/>
    <w:rsid w:val="004C7B58"/>
    <w:rsid w:val="004D0E86"/>
    <w:rsid w:val="004D1BE8"/>
    <w:rsid w:val="004D1C8A"/>
    <w:rsid w:val="004D38B9"/>
    <w:rsid w:val="004D443F"/>
    <w:rsid w:val="004D44F4"/>
    <w:rsid w:val="004D5545"/>
    <w:rsid w:val="004D757F"/>
    <w:rsid w:val="004D7F0E"/>
    <w:rsid w:val="004E2197"/>
    <w:rsid w:val="004E2E31"/>
    <w:rsid w:val="004E2F61"/>
    <w:rsid w:val="004E3AB0"/>
    <w:rsid w:val="004E4F3B"/>
    <w:rsid w:val="004E541A"/>
    <w:rsid w:val="004E5A13"/>
    <w:rsid w:val="004E6E8D"/>
    <w:rsid w:val="004E6ED3"/>
    <w:rsid w:val="004E75EE"/>
    <w:rsid w:val="004F1181"/>
    <w:rsid w:val="004F1BBA"/>
    <w:rsid w:val="004F1C49"/>
    <w:rsid w:val="004F218E"/>
    <w:rsid w:val="004F24B3"/>
    <w:rsid w:val="004F2904"/>
    <w:rsid w:val="004F3041"/>
    <w:rsid w:val="004F30A6"/>
    <w:rsid w:val="004F3908"/>
    <w:rsid w:val="004F3A5D"/>
    <w:rsid w:val="004F6983"/>
    <w:rsid w:val="004F715C"/>
    <w:rsid w:val="005009D3"/>
    <w:rsid w:val="005012B3"/>
    <w:rsid w:val="005013F2"/>
    <w:rsid w:val="00502DFF"/>
    <w:rsid w:val="00502FE3"/>
    <w:rsid w:val="005038E7"/>
    <w:rsid w:val="00505528"/>
    <w:rsid w:val="0050579E"/>
    <w:rsid w:val="00505B29"/>
    <w:rsid w:val="00507584"/>
    <w:rsid w:val="00510B33"/>
    <w:rsid w:val="00510C1F"/>
    <w:rsid w:val="00511089"/>
    <w:rsid w:val="00511C4F"/>
    <w:rsid w:val="00511D67"/>
    <w:rsid w:val="005124B6"/>
    <w:rsid w:val="005127D3"/>
    <w:rsid w:val="0051283D"/>
    <w:rsid w:val="00512B75"/>
    <w:rsid w:val="00513ABB"/>
    <w:rsid w:val="00513B15"/>
    <w:rsid w:val="005142AA"/>
    <w:rsid w:val="0051499A"/>
    <w:rsid w:val="005149AA"/>
    <w:rsid w:val="00516298"/>
    <w:rsid w:val="0051637C"/>
    <w:rsid w:val="0051753D"/>
    <w:rsid w:val="005176EA"/>
    <w:rsid w:val="00521303"/>
    <w:rsid w:val="00521DCC"/>
    <w:rsid w:val="00522426"/>
    <w:rsid w:val="00522FC5"/>
    <w:rsid w:val="005233E2"/>
    <w:rsid w:val="0052413B"/>
    <w:rsid w:val="00524C51"/>
    <w:rsid w:val="00525647"/>
    <w:rsid w:val="00525EAF"/>
    <w:rsid w:val="00525EFA"/>
    <w:rsid w:val="005265D5"/>
    <w:rsid w:val="00526F48"/>
    <w:rsid w:val="00530EE8"/>
    <w:rsid w:val="00532CB4"/>
    <w:rsid w:val="005330B2"/>
    <w:rsid w:val="00533F1B"/>
    <w:rsid w:val="005343C8"/>
    <w:rsid w:val="00534E76"/>
    <w:rsid w:val="0053667B"/>
    <w:rsid w:val="00536B24"/>
    <w:rsid w:val="00542149"/>
    <w:rsid w:val="005428A6"/>
    <w:rsid w:val="0054350E"/>
    <w:rsid w:val="0054368F"/>
    <w:rsid w:val="00544E2D"/>
    <w:rsid w:val="00546AD7"/>
    <w:rsid w:val="00550BE6"/>
    <w:rsid w:val="0055118E"/>
    <w:rsid w:val="005513CE"/>
    <w:rsid w:val="00553CF6"/>
    <w:rsid w:val="005555EF"/>
    <w:rsid w:val="00556135"/>
    <w:rsid w:val="00556494"/>
    <w:rsid w:val="00557C31"/>
    <w:rsid w:val="00557CFD"/>
    <w:rsid w:val="00561A3A"/>
    <w:rsid w:val="00562085"/>
    <w:rsid w:val="00562131"/>
    <w:rsid w:val="005624E8"/>
    <w:rsid w:val="00562BE5"/>
    <w:rsid w:val="00563E25"/>
    <w:rsid w:val="00564BE7"/>
    <w:rsid w:val="00567570"/>
    <w:rsid w:val="00570250"/>
    <w:rsid w:val="00570AC7"/>
    <w:rsid w:val="00570B12"/>
    <w:rsid w:val="00571BBD"/>
    <w:rsid w:val="00572C68"/>
    <w:rsid w:val="00572D9A"/>
    <w:rsid w:val="0057441C"/>
    <w:rsid w:val="00575600"/>
    <w:rsid w:val="00575601"/>
    <w:rsid w:val="00575F28"/>
    <w:rsid w:val="005762B1"/>
    <w:rsid w:val="00576BCE"/>
    <w:rsid w:val="00577299"/>
    <w:rsid w:val="0058097B"/>
    <w:rsid w:val="0058097E"/>
    <w:rsid w:val="00581B2D"/>
    <w:rsid w:val="00581B3A"/>
    <w:rsid w:val="005826FE"/>
    <w:rsid w:val="0058290C"/>
    <w:rsid w:val="00582CB4"/>
    <w:rsid w:val="00583D5E"/>
    <w:rsid w:val="00584DFB"/>
    <w:rsid w:val="0058626F"/>
    <w:rsid w:val="00590828"/>
    <w:rsid w:val="00591142"/>
    <w:rsid w:val="0059135F"/>
    <w:rsid w:val="00591B70"/>
    <w:rsid w:val="00591B87"/>
    <w:rsid w:val="00591C01"/>
    <w:rsid w:val="00593052"/>
    <w:rsid w:val="00595DC6"/>
    <w:rsid w:val="005966F2"/>
    <w:rsid w:val="005968AD"/>
    <w:rsid w:val="0059767E"/>
    <w:rsid w:val="005A0614"/>
    <w:rsid w:val="005A0875"/>
    <w:rsid w:val="005A1253"/>
    <w:rsid w:val="005A1519"/>
    <w:rsid w:val="005A2AAD"/>
    <w:rsid w:val="005A42ED"/>
    <w:rsid w:val="005A4699"/>
    <w:rsid w:val="005A4D05"/>
    <w:rsid w:val="005A4F17"/>
    <w:rsid w:val="005A5CFB"/>
    <w:rsid w:val="005A67A6"/>
    <w:rsid w:val="005A74AB"/>
    <w:rsid w:val="005A764F"/>
    <w:rsid w:val="005A7871"/>
    <w:rsid w:val="005A78E7"/>
    <w:rsid w:val="005B03EE"/>
    <w:rsid w:val="005B043E"/>
    <w:rsid w:val="005B0993"/>
    <w:rsid w:val="005B09E1"/>
    <w:rsid w:val="005B1395"/>
    <w:rsid w:val="005B153F"/>
    <w:rsid w:val="005B3F97"/>
    <w:rsid w:val="005B424F"/>
    <w:rsid w:val="005B438A"/>
    <w:rsid w:val="005B45DB"/>
    <w:rsid w:val="005B489B"/>
    <w:rsid w:val="005B4D04"/>
    <w:rsid w:val="005B7801"/>
    <w:rsid w:val="005C2047"/>
    <w:rsid w:val="005C3414"/>
    <w:rsid w:val="005C4F84"/>
    <w:rsid w:val="005C56D2"/>
    <w:rsid w:val="005C642F"/>
    <w:rsid w:val="005C68A5"/>
    <w:rsid w:val="005D0078"/>
    <w:rsid w:val="005D0D31"/>
    <w:rsid w:val="005D2A1A"/>
    <w:rsid w:val="005D3041"/>
    <w:rsid w:val="005D3190"/>
    <w:rsid w:val="005D3398"/>
    <w:rsid w:val="005D3D0C"/>
    <w:rsid w:val="005D40F2"/>
    <w:rsid w:val="005D4FCF"/>
    <w:rsid w:val="005D5546"/>
    <w:rsid w:val="005D6D4E"/>
    <w:rsid w:val="005D7659"/>
    <w:rsid w:val="005E1029"/>
    <w:rsid w:val="005E4205"/>
    <w:rsid w:val="005E7364"/>
    <w:rsid w:val="005F1139"/>
    <w:rsid w:val="005F12D6"/>
    <w:rsid w:val="005F17A9"/>
    <w:rsid w:val="005F1DEA"/>
    <w:rsid w:val="005F23E8"/>
    <w:rsid w:val="005F274C"/>
    <w:rsid w:val="005F2F51"/>
    <w:rsid w:val="005F31E7"/>
    <w:rsid w:val="005F5885"/>
    <w:rsid w:val="005F65B0"/>
    <w:rsid w:val="005F7255"/>
    <w:rsid w:val="00600CF9"/>
    <w:rsid w:val="00601E84"/>
    <w:rsid w:val="00601FE8"/>
    <w:rsid w:val="00603498"/>
    <w:rsid w:val="006037A5"/>
    <w:rsid w:val="00603E28"/>
    <w:rsid w:val="00604301"/>
    <w:rsid w:val="0060521B"/>
    <w:rsid w:val="00606BB9"/>
    <w:rsid w:val="00607E88"/>
    <w:rsid w:val="00607F1B"/>
    <w:rsid w:val="0061037E"/>
    <w:rsid w:val="006107B0"/>
    <w:rsid w:val="006110B1"/>
    <w:rsid w:val="00611C80"/>
    <w:rsid w:val="00612C03"/>
    <w:rsid w:val="0061402C"/>
    <w:rsid w:val="006159D9"/>
    <w:rsid w:val="00615C61"/>
    <w:rsid w:val="006163AA"/>
    <w:rsid w:val="00616B5F"/>
    <w:rsid w:val="006170C9"/>
    <w:rsid w:val="0061784F"/>
    <w:rsid w:val="0062007F"/>
    <w:rsid w:val="006202B8"/>
    <w:rsid w:val="00621029"/>
    <w:rsid w:val="00621A94"/>
    <w:rsid w:val="00622788"/>
    <w:rsid w:val="00622EDE"/>
    <w:rsid w:val="00623052"/>
    <w:rsid w:val="00623410"/>
    <w:rsid w:val="006234C5"/>
    <w:rsid w:val="00623D50"/>
    <w:rsid w:val="00623E63"/>
    <w:rsid w:val="0062585E"/>
    <w:rsid w:val="00625DD4"/>
    <w:rsid w:val="0062708B"/>
    <w:rsid w:val="00630D29"/>
    <w:rsid w:val="00631733"/>
    <w:rsid w:val="0063178C"/>
    <w:rsid w:val="00633C62"/>
    <w:rsid w:val="00634251"/>
    <w:rsid w:val="0063430C"/>
    <w:rsid w:val="006346CE"/>
    <w:rsid w:val="00634976"/>
    <w:rsid w:val="00636D8F"/>
    <w:rsid w:val="0064074C"/>
    <w:rsid w:val="00640795"/>
    <w:rsid w:val="00642330"/>
    <w:rsid w:val="0064291A"/>
    <w:rsid w:val="006429C8"/>
    <w:rsid w:val="00642E74"/>
    <w:rsid w:val="00645B40"/>
    <w:rsid w:val="00646114"/>
    <w:rsid w:val="00647845"/>
    <w:rsid w:val="00647C44"/>
    <w:rsid w:val="006514E9"/>
    <w:rsid w:val="0065165D"/>
    <w:rsid w:val="00651783"/>
    <w:rsid w:val="00652B63"/>
    <w:rsid w:val="006537AF"/>
    <w:rsid w:val="00653D82"/>
    <w:rsid w:val="00653F7E"/>
    <w:rsid w:val="00653FD5"/>
    <w:rsid w:val="0065405B"/>
    <w:rsid w:val="00654FF3"/>
    <w:rsid w:val="006560EB"/>
    <w:rsid w:val="0065658A"/>
    <w:rsid w:val="00656678"/>
    <w:rsid w:val="00656B29"/>
    <w:rsid w:val="00656ECA"/>
    <w:rsid w:val="00660600"/>
    <w:rsid w:val="006607E1"/>
    <w:rsid w:val="00660899"/>
    <w:rsid w:val="00662AD4"/>
    <w:rsid w:val="00664337"/>
    <w:rsid w:val="0066447F"/>
    <w:rsid w:val="00665F79"/>
    <w:rsid w:val="00667365"/>
    <w:rsid w:val="00667F31"/>
    <w:rsid w:val="00670767"/>
    <w:rsid w:val="00670B28"/>
    <w:rsid w:val="00670C0B"/>
    <w:rsid w:val="006716C9"/>
    <w:rsid w:val="00671D77"/>
    <w:rsid w:val="006722E2"/>
    <w:rsid w:val="00672364"/>
    <w:rsid w:val="00672488"/>
    <w:rsid w:val="00676661"/>
    <w:rsid w:val="00677033"/>
    <w:rsid w:val="00680904"/>
    <w:rsid w:val="00682830"/>
    <w:rsid w:val="00682CF3"/>
    <w:rsid w:val="006831AB"/>
    <w:rsid w:val="0068324D"/>
    <w:rsid w:val="0068519D"/>
    <w:rsid w:val="006851F1"/>
    <w:rsid w:val="006867B7"/>
    <w:rsid w:val="00690070"/>
    <w:rsid w:val="00690CD7"/>
    <w:rsid w:val="00690E67"/>
    <w:rsid w:val="00691339"/>
    <w:rsid w:val="006941BE"/>
    <w:rsid w:val="00696B32"/>
    <w:rsid w:val="00696B8B"/>
    <w:rsid w:val="006A15F1"/>
    <w:rsid w:val="006A1AF5"/>
    <w:rsid w:val="006A22D2"/>
    <w:rsid w:val="006A3C9F"/>
    <w:rsid w:val="006A4305"/>
    <w:rsid w:val="006A4A50"/>
    <w:rsid w:val="006A5502"/>
    <w:rsid w:val="006A5E8E"/>
    <w:rsid w:val="006A7818"/>
    <w:rsid w:val="006A7EF8"/>
    <w:rsid w:val="006B08F9"/>
    <w:rsid w:val="006B10CC"/>
    <w:rsid w:val="006B265E"/>
    <w:rsid w:val="006B326C"/>
    <w:rsid w:val="006B380C"/>
    <w:rsid w:val="006B56BA"/>
    <w:rsid w:val="006B6177"/>
    <w:rsid w:val="006B7F19"/>
    <w:rsid w:val="006C0B74"/>
    <w:rsid w:val="006C2952"/>
    <w:rsid w:val="006C57B2"/>
    <w:rsid w:val="006C68EA"/>
    <w:rsid w:val="006C730E"/>
    <w:rsid w:val="006C73F1"/>
    <w:rsid w:val="006D062E"/>
    <w:rsid w:val="006D18D1"/>
    <w:rsid w:val="006D1EBB"/>
    <w:rsid w:val="006D2978"/>
    <w:rsid w:val="006D2E33"/>
    <w:rsid w:val="006D4D67"/>
    <w:rsid w:val="006D4E13"/>
    <w:rsid w:val="006D50FF"/>
    <w:rsid w:val="006D58E8"/>
    <w:rsid w:val="006D5F72"/>
    <w:rsid w:val="006D634C"/>
    <w:rsid w:val="006D6E4C"/>
    <w:rsid w:val="006E027B"/>
    <w:rsid w:val="006E06D9"/>
    <w:rsid w:val="006E087B"/>
    <w:rsid w:val="006E0A9A"/>
    <w:rsid w:val="006E0B7F"/>
    <w:rsid w:val="006E1FCE"/>
    <w:rsid w:val="006E2451"/>
    <w:rsid w:val="006E48B0"/>
    <w:rsid w:val="006E5CC3"/>
    <w:rsid w:val="006E648B"/>
    <w:rsid w:val="006E6536"/>
    <w:rsid w:val="006E7BC3"/>
    <w:rsid w:val="006E7E13"/>
    <w:rsid w:val="006F3088"/>
    <w:rsid w:val="006F3376"/>
    <w:rsid w:val="006F3CE6"/>
    <w:rsid w:val="006F48C2"/>
    <w:rsid w:val="006F607D"/>
    <w:rsid w:val="006F675A"/>
    <w:rsid w:val="006F697E"/>
    <w:rsid w:val="006F7E19"/>
    <w:rsid w:val="00700F50"/>
    <w:rsid w:val="00702442"/>
    <w:rsid w:val="00703160"/>
    <w:rsid w:val="007037F3"/>
    <w:rsid w:val="007047EA"/>
    <w:rsid w:val="00705363"/>
    <w:rsid w:val="00706389"/>
    <w:rsid w:val="00706D12"/>
    <w:rsid w:val="00706F34"/>
    <w:rsid w:val="007104F9"/>
    <w:rsid w:val="00710647"/>
    <w:rsid w:val="00711A60"/>
    <w:rsid w:val="00711AAB"/>
    <w:rsid w:val="00711C34"/>
    <w:rsid w:val="00712063"/>
    <w:rsid w:val="007147E8"/>
    <w:rsid w:val="0071539D"/>
    <w:rsid w:val="00715B3B"/>
    <w:rsid w:val="00716CAD"/>
    <w:rsid w:val="007178A7"/>
    <w:rsid w:val="007178ED"/>
    <w:rsid w:val="00720FCD"/>
    <w:rsid w:val="00722981"/>
    <w:rsid w:val="00726251"/>
    <w:rsid w:val="00727A73"/>
    <w:rsid w:val="00731041"/>
    <w:rsid w:val="0073108F"/>
    <w:rsid w:val="0073189D"/>
    <w:rsid w:val="00731EE8"/>
    <w:rsid w:val="00732523"/>
    <w:rsid w:val="00733213"/>
    <w:rsid w:val="007332ED"/>
    <w:rsid w:val="00735CBD"/>
    <w:rsid w:val="00735ED5"/>
    <w:rsid w:val="00736C4C"/>
    <w:rsid w:val="007444FB"/>
    <w:rsid w:val="007457C3"/>
    <w:rsid w:val="00745BDB"/>
    <w:rsid w:val="00745F07"/>
    <w:rsid w:val="00747CF8"/>
    <w:rsid w:val="00750A09"/>
    <w:rsid w:val="00750B10"/>
    <w:rsid w:val="00750E08"/>
    <w:rsid w:val="007518E7"/>
    <w:rsid w:val="007518F0"/>
    <w:rsid w:val="00756338"/>
    <w:rsid w:val="00756E2B"/>
    <w:rsid w:val="0075725E"/>
    <w:rsid w:val="0075753D"/>
    <w:rsid w:val="00760DFC"/>
    <w:rsid w:val="007618D0"/>
    <w:rsid w:val="00761B09"/>
    <w:rsid w:val="00761C41"/>
    <w:rsid w:val="00762407"/>
    <w:rsid w:val="0076686F"/>
    <w:rsid w:val="00766AA0"/>
    <w:rsid w:val="00767137"/>
    <w:rsid w:val="007676DB"/>
    <w:rsid w:val="0077163C"/>
    <w:rsid w:val="00771F01"/>
    <w:rsid w:val="007720F2"/>
    <w:rsid w:val="007727FE"/>
    <w:rsid w:val="00772BE8"/>
    <w:rsid w:val="0077363D"/>
    <w:rsid w:val="00775052"/>
    <w:rsid w:val="00776D0A"/>
    <w:rsid w:val="0077710A"/>
    <w:rsid w:val="00777CDE"/>
    <w:rsid w:val="007804D5"/>
    <w:rsid w:val="0078059F"/>
    <w:rsid w:val="0078076C"/>
    <w:rsid w:val="00780B03"/>
    <w:rsid w:val="00781CEE"/>
    <w:rsid w:val="00783110"/>
    <w:rsid w:val="00784002"/>
    <w:rsid w:val="007853EA"/>
    <w:rsid w:val="007855B0"/>
    <w:rsid w:val="00785CE9"/>
    <w:rsid w:val="0078665D"/>
    <w:rsid w:val="00786B3D"/>
    <w:rsid w:val="00790009"/>
    <w:rsid w:val="00791738"/>
    <w:rsid w:val="00791C1D"/>
    <w:rsid w:val="00793FFB"/>
    <w:rsid w:val="0079674F"/>
    <w:rsid w:val="00796E3C"/>
    <w:rsid w:val="007A077F"/>
    <w:rsid w:val="007A2F8B"/>
    <w:rsid w:val="007A3CE7"/>
    <w:rsid w:val="007A4398"/>
    <w:rsid w:val="007A5259"/>
    <w:rsid w:val="007A52CC"/>
    <w:rsid w:val="007A55F9"/>
    <w:rsid w:val="007A599B"/>
    <w:rsid w:val="007A6472"/>
    <w:rsid w:val="007A6682"/>
    <w:rsid w:val="007A6B92"/>
    <w:rsid w:val="007A757C"/>
    <w:rsid w:val="007B058E"/>
    <w:rsid w:val="007B1527"/>
    <w:rsid w:val="007B2A73"/>
    <w:rsid w:val="007B4499"/>
    <w:rsid w:val="007B5968"/>
    <w:rsid w:val="007B59EB"/>
    <w:rsid w:val="007B7211"/>
    <w:rsid w:val="007B7CA8"/>
    <w:rsid w:val="007B7EB6"/>
    <w:rsid w:val="007C083C"/>
    <w:rsid w:val="007C1CE1"/>
    <w:rsid w:val="007C212E"/>
    <w:rsid w:val="007C3462"/>
    <w:rsid w:val="007C3BC5"/>
    <w:rsid w:val="007C4539"/>
    <w:rsid w:val="007C6789"/>
    <w:rsid w:val="007C67C5"/>
    <w:rsid w:val="007C7D0A"/>
    <w:rsid w:val="007D02A9"/>
    <w:rsid w:val="007D07AD"/>
    <w:rsid w:val="007D3A6F"/>
    <w:rsid w:val="007D3A77"/>
    <w:rsid w:val="007D43EE"/>
    <w:rsid w:val="007D4A87"/>
    <w:rsid w:val="007D5389"/>
    <w:rsid w:val="007D59DE"/>
    <w:rsid w:val="007D6038"/>
    <w:rsid w:val="007D634C"/>
    <w:rsid w:val="007D6635"/>
    <w:rsid w:val="007D76CF"/>
    <w:rsid w:val="007D7989"/>
    <w:rsid w:val="007D7EC4"/>
    <w:rsid w:val="007E12F7"/>
    <w:rsid w:val="007E3495"/>
    <w:rsid w:val="007E34F0"/>
    <w:rsid w:val="007E386B"/>
    <w:rsid w:val="007E3E8E"/>
    <w:rsid w:val="007E4E75"/>
    <w:rsid w:val="007E69CE"/>
    <w:rsid w:val="007E6D03"/>
    <w:rsid w:val="007E7537"/>
    <w:rsid w:val="007E7CE6"/>
    <w:rsid w:val="007F091B"/>
    <w:rsid w:val="007F1E49"/>
    <w:rsid w:val="007F2EB0"/>
    <w:rsid w:val="007F4EF8"/>
    <w:rsid w:val="007F6A8C"/>
    <w:rsid w:val="007F6B9F"/>
    <w:rsid w:val="007F7D62"/>
    <w:rsid w:val="008002AE"/>
    <w:rsid w:val="0080044C"/>
    <w:rsid w:val="00800AE7"/>
    <w:rsid w:val="008012B9"/>
    <w:rsid w:val="0080188B"/>
    <w:rsid w:val="008033A9"/>
    <w:rsid w:val="00803D72"/>
    <w:rsid w:val="008047EC"/>
    <w:rsid w:val="00805AE0"/>
    <w:rsid w:val="00806131"/>
    <w:rsid w:val="00806D94"/>
    <w:rsid w:val="00807909"/>
    <w:rsid w:val="00810572"/>
    <w:rsid w:val="00811F4C"/>
    <w:rsid w:val="008120F2"/>
    <w:rsid w:val="00813499"/>
    <w:rsid w:val="0081387E"/>
    <w:rsid w:val="00813C17"/>
    <w:rsid w:val="008149DF"/>
    <w:rsid w:val="00815BB2"/>
    <w:rsid w:val="00815DF0"/>
    <w:rsid w:val="00816AA1"/>
    <w:rsid w:val="00817890"/>
    <w:rsid w:val="00820585"/>
    <w:rsid w:val="008228C0"/>
    <w:rsid w:val="00823C96"/>
    <w:rsid w:val="00826622"/>
    <w:rsid w:val="00826807"/>
    <w:rsid w:val="0083008E"/>
    <w:rsid w:val="00830CBE"/>
    <w:rsid w:val="0083192E"/>
    <w:rsid w:val="00831AF7"/>
    <w:rsid w:val="00832535"/>
    <w:rsid w:val="00832C45"/>
    <w:rsid w:val="0083319A"/>
    <w:rsid w:val="0083485E"/>
    <w:rsid w:val="00834B4B"/>
    <w:rsid w:val="0083761F"/>
    <w:rsid w:val="00840B9E"/>
    <w:rsid w:val="00841376"/>
    <w:rsid w:val="008428BE"/>
    <w:rsid w:val="00842E04"/>
    <w:rsid w:val="00843414"/>
    <w:rsid w:val="00844232"/>
    <w:rsid w:val="008453ED"/>
    <w:rsid w:val="00845E89"/>
    <w:rsid w:val="00847420"/>
    <w:rsid w:val="00847AD4"/>
    <w:rsid w:val="00850C5A"/>
    <w:rsid w:val="008513A4"/>
    <w:rsid w:val="0085243D"/>
    <w:rsid w:val="00852E78"/>
    <w:rsid w:val="0085312B"/>
    <w:rsid w:val="0085414F"/>
    <w:rsid w:val="0085421D"/>
    <w:rsid w:val="00855A89"/>
    <w:rsid w:val="0085730C"/>
    <w:rsid w:val="0085732F"/>
    <w:rsid w:val="00857BEE"/>
    <w:rsid w:val="00860F07"/>
    <w:rsid w:val="00860F31"/>
    <w:rsid w:val="008613F2"/>
    <w:rsid w:val="00862718"/>
    <w:rsid w:val="00862FC1"/>
    <w:rsid w:val="00863406"/>
    <w:rsid w:val="00863705"/>
    <w:rsid w:val="00864AF8"/>
    <w:rsid w:val="008655C6"/>
    <w:rsid w:val="008656BB"/>
    <w:rsid w:val="00866A4C"/>
    <w:rsid w:val="00867BFF"/>
    <w:rsid w:val="008710F5"/>
    <w:rsid w:val="00873D4D"/>
    <w:rsid w:val="00874CFD"/>
    <w:rsid w:val="00875566"/>
    <w:rsid w:val="0087589F"/>
    <w:rsid w:val="00875EC9"/>
    <w:rsid w:val="008762FE"/>
    <w:rsid w:val="00876375"/>
    <w:rsid w:val="00876385"/>
    <w:rsid w:val="00876494"/>
    <w:rsid w:val="0087749A"/>
    <w:rsid w:val="00877830"/>
    <w:rsid w:val="00877F7C"/>
    <w:rsid w:val="00882016"/>
    <w:rsid w:val="00882B93"/>
    <w:rsid w:val="00882FA4"/>
    <w:rsid w:val="008830F7"/>
    <w:rsid w:val="0088397A"/>
    <w:rsid w:val="008850C6"/>
    <w:rsid w:val="00885A30"/>
    <w:rsid w:val="008862DC"/>
    <w:rsid w:val="00887157"/>
    <w:rsid w:val="008877F9"/>
    <w:rsid w:val="00887899"/>
    <w:rsid w:val="00887B6C"/>
    <w:rsid w:val="00890806"/>
    <w:rsid w:val="00891505"/>
    <w:rsid w:val="00891695"/>
    <w:rsid w:val="00891D2F"/>
    <w:rsid w:val="008924CF"/>
    <w:rsid w:val="00892ED6"/>
    <w:rsid w:val="0089398E"/>
    <w:rsid w:val="00893A6E"/>
    <w:rsid w:val="00893D51"/>
    <w:rsid w:val="00893ECD"/>
    <w:rsid w:val="00895D21"/>
    <w:rsid w:val="008968A9"/>
    <w:rsid w:val="00896AF0"/>
    <w:rsid w:val="00896B0F"/>
    <w:rsid w:val="0089711A"/>
    <w:rsid w:val="008A0EF9"/>
    <w:rsid w:val="008A15A1"/>
    <w:rsid w:val="008A2D73"/>
    <w:rsid w:val="008A317A"/>
    <w:rsid w:val="008A3BF4"/>
    <w:rsid w:val="008A4722"/>
    <w:rsid w:val="008A4E4D"/>
    <w:rsid w:val="008A5E1C"/>
    <w:rsid w:val="008A60EC"/>
    <w:rsid w:val="008B116C"/>
    <w:rsid w:val="008B1952"/>
    <w:rsid w:val="008B4309"/>
    <w:rsid w:val="008B4F6A"/>
    <w:rsid w:val="008B650D"/>
    <w:rsid w:val="008C11C0"/>
    <w:rsid w:val="008C1CD6"/>
    <w:rsid w:val="008C2EF1"/>
    <w:rsid w:val="008C3078"/>
    <w:rsid w:val="008C3268"/>
    <w:rsid w:val="008C3352"/>
    <w:rsid w:val="008C486D"/>
    <w:rsid w:val="008C4D28"/>
    <w:rsid w:val="008C54A0"/>
    <w:rsid w:val="008C67FB"/>
    <w:rsid w:val="008C693F"/>
    <w:rsid w:val="008C7B78"/>
    <w:rsid w:val="008D0FE2"/>
    <w:rsid w:val="008D1956"/>
    <w:rsid w:val="008D1A91"/>
    <w:rsid w:val="008D223A"/>
    <w:rsid w:val="008D541E"/>
    <w:rsid w:val="008D6AA7"/>
    <w:rsid w:val="008D76C0"/>
    <w:rsid w:val="008D7C77"/>
    <w:rsid w:val="008E0D85"/>
    <w:rsid w:val="008E0E1B"/>
    <w:rsid w:val="008E2E4A"/>
    <w:rsid w:val="008E4462"/>
    <w:rsid w:val="008E4E5D"/>
    <w:rsid w:val="008E55EE"/>
    <w:rsid w:val="008E5D40"/>
    <w:rsid w:val="008E6033"/>
    <w:rsid w:val="008E6B2A"/>
    <w:rsid w:val="008E7210"/>
    <w:rsid w:val="008E7464"/>
    <w:rsid w:val="008E7B70"/>
    <w:rsid w:val="008F1705"/>
    <w:rsid w:val="008F2671"/>
    <w:rsid w:val="008F2D48"/>
    <w:rsid w:val="008F2F8A"/>
    <w:rsid w:val="008F4820"/>
    <w:rsid w:val="008F53F8"/>
    <w:rsid w:val="008F6ADA"/>
    <w:rsid w:val="008F6D4C"/>
    <w:rsid w:val="008F746C"/>
    <w:rsid w:val="00901D50"/>
    <w:rsid w:val="00902F0A"/>
    <w:rsid w:val="00903768"/>
    <w:rsid w:val="00903F2A"/>
    <w:rsid w:val="00904280"/>
    <w:rsid w:val="00904B8C"/>
    <w:rsid w:val="009057DB"/>
    <w:rsid w:val="00905EB8"/>
    <w:rsid w:val="00905F9B"/>
    <w:rsid w:val="00906048"/>
    <w:rsid w:val="0090632E"/>
    <w:rsid w:val="00906429"/>
    <w:rsid w:val="00906FDA"/>
    <w:rsid w:val="0090743F"/>
    <w:rsid w:val="00907508"/>
    <w:rsid w:val="00912255"/>
    <w:rsid w:val="00913636"/>
    <w:rsid w:val="00913808"/>
    <w:rsid w:val="0091547A"/>
    <w:rsid w:val="00916928"/>
    <w:rsid w:val="00916B06"/>
    <w:rsid w:val="00917085"/>
    <w:rsid w:val="009172BA"/>
    <w:rsid w:val="0091743C"/>
    <w:rsid w:val="0092213B"/>
    <w:rsid w:val="009239CF"/>
    <w:rsid w:val="0092406B"/>
    <w:rsid w:val="00924A0E"/>
    <w:rsid w:val="0092593C"/>
    <w:rsid w:val="00925CF6"/>
    <w:rsid w:val="00925FCF"/>
    <w:rsid w:val="009300A4"/>
    <w:rsid w:val="009310D1"/>
    <w:rsid w:val="009319B6"/>
    <w:rsid w:val="00932D90"/>
    <w:rsid w:val="00934A49"/>
    <w:rsid w:val="009372E4"/>
    <w:rsid w:val="00937D9C"/>
    <w:rsid w:val="009404BC"/>
    <w:rsid w:val="00942065"/>
    <w:rsid w:val="00943119"/>
    <w:rsid w:val="009435C3"/>
    <w:rsid w:val="00943802"/>
    <w:rsid w:val="00943A8F"/>
    <w:rsid w:val="00944180"/>
    <w:rsid w:val="009442B3"/>
    <w:rsid w:val="00944A08"/>
    <w:rsid w:val="00950432"/>
    <w:rsid w:val="00952AC0"/>
    <w:rsid w:val="00952EF5"/>
    <w:rsid w:val="00953600"/>
    <w:rsid w:val="00953D4E"/>
    <w:rsid w:val="00954A95"/>
    <w:rsid w:val="00955456"/>
    <w:rsid w:val="00957474"/>
    <w:rsid w:val="009579F9"/>
    <w:rsid w:val="00957A56"/>
    <w:rsid w:val="009618C1"/>
    <w:rsid w:val="0096369E"/>
    <w:rsid w:val="00963C3D"/>
    <w:rsid w:val="0096479F"/>
    <w:rsid w:val="00964A8E"/>
    <w:rsid w:val="00965EA7"/>
    <w:rsid w:val="00966772"/>
    <w:rsid w:val="00966F67"/>
    <w:rsid w:val="00970B2F"/>
    <w:rsid w:val="00971E9E"/>
    <w:rsid w:val="00972187"/>
    <w:rsid w:val="009721DB"/>
    <w:rsid w:val="0097224D"/>
    <w:rsid w:val="0097348F"/>
    <w:rsid w:val="00973619"/>
    <w:rsid w:val="0097379F"/>
    <w:rsid w:val="00973C15"/>
    <w:rsid w:val="0097462F"/>
    <w:rsid w:val="00974731"/>
    <w:rsid w:val="00974C60"/>
    <w:rsid w:val="00974D66"/>
    <w:rsid w:val="009757ED"/>
    <w:rsid w:val="00975C87"/>
    <w:rsid w:val="00976549"/>
    <w:rsid w:val="009767F5"/>
    <w:rsid w:val="0097687D"/>
    <w:rsid w:val="0097793B"/>
    <w:rsid w:val="00980F78"/>
    <w:rsid w:val="00981077"/>
    <w:rsid w:val="00982593"/>
    <w:rsid w:val="00983078"/>
    <w:rsid w:val="0098307D"/>
    <w:rsid w:val="009835CC"/>
    <w:rsid w:val="00983BF0"/>
    <w:rsid w:val="00983D9E"/>
    <w:rsid w:val="009850E6"/>
    <w:rsid w:val="00986323"/>
    <w:rsid w:val="00987CC1"/>
    <w:rsid w:val="0099073B"/>
    <w:rsid w:val="009908C9"/>
    <w:rsid w:val="00991DFF"/>
    <w:rsid w:val="00992E46"/>
    <w:rsid w:val="00993ACF"/>
    <w:rsid w:val="009950D3"/>
    <w:rsid w:val="009A1408"/>
    <w:rsid w:val="009A1696"/>
    <w:rsid w:val="009A16D4"/>
    <w:rsid w:val="009A2430"/>
    <w:rsid w:val="009A2873"/>
    <w:rsid w:val="009A2A58"/>
    <w:rsid w:val="009A2BBC"/>
    <w:rsid w:val="009A2CCE"/>
    <w:rsid w:val="009A6158"/>
    <w:rsid w:val="009A6A0C"/>
    <w:rsid w:val="009A71AB"/>
    <w:rsid w:val="009B087D"/>
    <w:rsid w:val="009B1F49"/>
    <w:rsid w:val="009B293E"/>
    <w:rsid w:val="009B42A8"/>
    <w:rsid w:val="009B43FA"/>
    <w:rsid w:val="009B4D70"/>
    <w:rsid w:val="009B53B8"/>
    <w:rsid w:val="009B5CC4"/>
    <w:rsid w:val="009B70BB"/>
    <w:rsid w:val="009B70CE"/>
    <w:rsid w:val="009C0347"/>
    <w:rsid w:val="009C0D5F"/>
    <w:rsid w:val="009C312E"/>
    <w:rsid w:val="009C4CC1"/>
    <w:rsid w:val="009C4D50"/>
    <w:rsid w:val="009C5F82"/>
    <w:rsid w:val="009C7A00"/>
    <w:rsid w:val="009D0246"/>
    <w:rsid w:val="009D0524"/>
    <w:rsid w:val="009D1144"/>
    <w:rsid w:val="009D197F"/>
    <w:rsid w:val="009D3025"/>
    <w:rsid w:val="009D31FC"/>
    <w:rsid w:val="009D448B"/>
    <w:rsid w:val="009D5330"/>
    <w:rsid w:val="009D65CF"/>
    <w:rsid w:val="009D692D"/>
    <w:rsid w:val="009D6F35"/>
    <w:rsid w:val="009D70E5"/>
    <w:rsid w:val="009D71CF"/>
    <w:rsid w:val="009D71F6"/>
    <w:rsid w:val="009D794B"/>
    <w:rsid w:val="009E1084"/>
    <w:rsid w:val="009E1C2F"/>
    <w:rsid w:val="009E3778"/>
    <w:rsid w:val="009E3C30"/>
    <w:rsid w:val="009E490A"/>
    <w:rsid w:val="009E5089"/>
    <w:rsid w:val="009E5796"/>
    <w:rsid w:val="009E5F8F"/>
    <w:rsid w:val="009E604A"/>
    <w:rsid w:val="009E6559"/>
    <w:rsid w:val="009E6D2E"/>
    <w:rsid w:val="009E77EB"/>
    <w:rsid w:val="009F02D5"/>
    <w:rsid w:val="009F06AD"/>
    <w:rsid w:val="009F0763"/>
    <w:rsid w:val="009F08ED"/>
    <w:rsid w:val="009F1C95"/>
    <w:rsid w:val="009F2392"/>
    <w:rsid w:val="009F2A9A"/>
    <w:rsid w:val="009F3AD4"/>
    <w:rsid w:val="009F4500"/>
    <w:rsid w:val="009F5554"/>
    <w:rsid w:val="009F56AA"/>
    <w:rsid w:val="009F5AE5"/>
    <w:rsid w:val="009F5B79"/>
    <w:rsid w:val="009F72DE"/>
    <w:rsid w:val="00A005FA"/>
    <w:rsid w:val="00A02365"/>
    <w:rsid w:val="00A029E4"/>
    <w:rsid w:val="00A036B0"/>
    <w:rsid w:val="00A036BC"/>
    <w:rsid w:val="00A03736"/>
    <w:rsid w:val="00A037FF"/>
    <w:rsid w:val="00A0397F"/>
    <w:rsid w:val="00A03D6E"/>
    <w:rsid w:val="00A04803"/>
    <w:rsid w:val="00A06908"/>
    <w:rsid w:val="00A06A61"/>
    <w:rsid w:val="00A07AE1"/>
    <w:rsid w:val="00A10635"/>
    <w:rsid w:val="00A10B26"/>
    <w:rsid w:val="00A10EA2"/>
    <w:rsid w:val="00A121A3"/>
    <w:rsid w:val="00A12373"/>
    <w:rsid w:val="00A125F7"/>
    <w:rsid w:val="00A1277F"/>
    <w:rsid w:val="00A1341E"/>
    <w:rsid w:val="00A13FE1"/>
    <w:rsid w:val="00A14950"/>
    <w:rsid w:val="00A15AE6"/>
    <w:rsid w:val="00A20193"/>
    <w:rsid w:val="00A20FF3"/>
    <w:rsid w:val="00A21108"/>
    <w:rsid w:val="00A228C2"/>
    <w:rsid w:val="00A22F83"/>
    <w:rsid w:val="00A2385B"/>
    <w:rsid w:val="00A253B3"/>
    <w:rsid w:val="00A255D4"/>
    <w:rsid w:val="00A260A6"/>
    <w:rsid w:val="00A26BCD"/>
    <w:rsid w:val="00A27038"/>
    <w:rsid w:val="00A2719C"/>
    <w:rsid w:val="00A27F11"/>
    <w:rsid w:val="00A3124E"/>
    <w:rsid w:val="00A3202F"/>
    <w:rsid w:val="00A32A69"/>
    <w:rsid w:val="00A32DAB"/>
    <w:rsid w:val="00A332C2"/>
    <w:rsid w:val="00A333E9"/>
    <w:rsid w:val="00A36047"/>
    <w:rsid w:val="00A36BF0"/>
    <w:rsid w:val="00A36D89"/>
    <w:rsid w:val="00A370D6"/>
    <w:rsid w:val="00A37168"/>
    <w:rsid w:val="00A3736F"/>
    <w:rsid w:val="00A40E28"/>
    <w:rsid w:val="00A41B04"/>
    <w:rsid w:val="00A4269C"/>
    <w:rsid w:val="00A44BEF"/>
    <w:rsid w:val="00A45FDC"/>
    <w:rsid w:val="00A46AB3"/>
    <w:rsid w:val="00A471A1"/>
    <w:rsid w:val="00A475D0"/>
    <w:rsid w:val="00A50D2E"/>
    <w:rsid w:val="00A50E8C"/>
    <w:rsid w:val="00A5178F"/>
    <w:rsid w:val="00A51930"/>
    <w:rsid w:val="00A51E88"/>
    <w:rsid w:val="00A52ECE"/>
    <w:rsid w:val="00A5302C"/>
    <w:rsid w:val="00A53447"/>
    <w:rsid w:val="00A5451C"/>
    <w:rsid w:val="00A5588A"/>
    <w:rsid w:val="00A55E5B"/>
    <w:rsid w:val="00A565C6"/>
    <w:rsid w:val="00A6044A"/>
    <w:rsid w:val="00A605C2"/>
    <w:rsid w:val="00A6119D"/>
    <w:rsid w:val="00A613CD"/>
    <w:rsid w:val="00A61F73"/>
    <w:rsid w:val="00A63A19"/>
    <w:rsid w:val="00A64B3D"/>
    <w:rsid w:val="00A64BA1"/>
    <w:rsid w:val="00A65734"/>
    <w:rsid w:val="00A670C8"/>
    <w:rsid w:val="00A70415"/>
    <w:rsid w:val="00A72A7F"/>
    <w:rsid w:val="00A72B06"/>
    <w:rsid w:val="00A757AD"/>
    <w:rsid w:val="00A75815"/>
    <w:rsid w:val="00A75EFC"/>
    <w:rsid w:val="00A76389"/>
    <w:rsid w:val="00A772D1"/>
    <w:rsid w:val="00A77BD6"/>
    <w:rsid w:val="00A77C77"/>
    <w:rsid w:val="00A80306"/>
    <w:rsid w:val="00A80DD0"/>
    <w:rsid w:val="00A816A0"/>
    <w:rsid w:val="00A81E1D"/>
    <w:rsid w:val="00A829C5"/>
    <w:rsid w:val="00A82A17"/>
    <w:rsid w:val="00A83053"/>
    <w:rsid w:val="00A83216"/>
    <w:rsid w:val="00A85167"/>
    <w:rsid w:val="00A8567F"/>
    <w:rsid w:val="00A85C2A"/>
    <w:rsid w:val="00A85D0E"/>
    <w:rsid w:val="00A85ED0"/>
    <w:rsid w:val="00A8789A"/>
    <w:rsid w:val="00A91B3B"/>
    <w:rsid w:val="00A92256"/>
    <w:rsid w:val="00A9268F"/>
    <w:rsid w:val="00A934E1"/>
    <w:rsid w:val="00A935F1"/>
    <w:rsid w:val="00A94547"/>
    <w:rsid w:val="00A95802"/>
    <w:rsid w:val="00A95F97"/>
    <w:rsid w:val="00A97860"/>
    <w:rsid w:val="00AA090A"/>
    <w:rsid w:val="00AA1D24"/>
    <w:rsid w:val="00AA20CA"/>
    <w:rsid w:val="00AA2A42"/>
    <w:rsid w:val="00AA3799"/>
    <w:rsid w:val="00AA3D6E"/>
    <w:rsid w:val="00AA455F"/>
    <w:rsid w:val="00AA4D9B"/>
    <w:rsid w:val="00AA4F41"/>
    <w:rsid w:val="00AA50B3"/>
    <w:rsid w:val="00AA56FB"/>
    <w:rsid w:val="00AA7C5F"/>
    <w:rsid w:val="00AB05B5"/>
    <w:rsid w:val="00AB1E82"/>
    <w:rsid w:val="00AB2176"/>
    <w:rsid w:val="00AB3027"/>
    <w:rsid w:val="00AB4B3B"/>
    <w:rsid w:val="00AB4DEA"/>
    <w:rsid w:val="00AB6E3C"/>
    <w:rsid w:val="00AB772D"/>
    <w:rsid w:val="00AB77C9"/>
    <w:rsid w:val="00AC04C3"/>
    <w:rsid w:val="00AC1218"/>
    <w:rsid w:val="00AC14B4"/>
    <w:rsid w:val="00AC2451"/>
    <w:rsid w:val="00AC369A"/>
    <w:rsid w:val="00AC3EE7"/>
    <w:rsid w:val="00AC4BF0"/>
    <w:rsid w:val="00AC783A"/>
    <w:rsid w:val="00AC7B8B"/>
    <w:rsid w:val="00AD005F"/>
    <w:rsid w:val="00AD17D9"/>
    <w:rsid w:val="00AD1D93"/>
    <w:rsid w:val="00AD22A6"/>
    <w:rsid w:val="00AD2A44"/>
    <w:rsid w:val="00AD3664"/>
    <w:rsid w:val="00AD3782"/>
    <w:rsid w:val="00AD3FDD"/>
    <w:rsid w:val="00AD4CA2"/>
    <w:rsid w:val="00AE08D1"/>
    <w:rsid w:val="00AE1E49"/>
    <w:rsid w:val="00AE2320"/>
    <w:rsid w:val="00AE2F67"/>
    <w:rsid w:val="00AE3D70"/>
    <w:rsid w:val="00AE435A"/>
    <w:rsid w:val="00AE4CE0"/>
    <w:rsid w:val="00AE5874"/>
    <w:rsid w:val="00AE6CC8"/>
    <w:rsid w:val="00AE7B6A"/>
    <w:rsid w:val="00AF01C7"/>
    <w:rsid w:val="00AF03A4"/>
    <w:rsid w:val="00AF27C4"/>
    <w:rsid w:val="00AF4B8E"/>
    <w:rsid w:val="00AF4D84"/>
    <w:rsid w:val="00AF5E71"/>
    <w:rsid w:val="00B0043A"/>
    <w:rsid w:val="00B007C5"/>
    <w:rsid w:val="00B01687"/>
    <w:rsid w:val="00B033D6"/>
    <w:rsid w:val="00B03634"/>
    <w:rsid w:val="00B03691"/>
    <w:rsid w:val="00B03FFF"/>
    <w:rsid w:val="00B04AAA"/>
    <w:rsid w:val="00B069E6"/>
    <w:rsid w:val="00B119DF"/>
    <w:rsid w:val="00B14C7C"/>
    <w:rsid w:val="00B1653B"/>
    <w:rsid w:val="00B16685"/>
    <w:rsid w:val="00B16E15"/>
    <w:rsid w:val="00B17260"/>
    <w:rsid w:val="00B20B68"/>
    <w:rsid w:val="00B236A9"/>
    <w:rsid w:val="00B23D53"/>
    <w:rsid w:val="00B24FFE"/>
    <w:rsid w:val="00B25002"/>
    <w:rsid w:val="00B25BD3"/>
    <w:rsid w:val="00B2671F"/>
    <w:rsid w:val="00B26F34"/>
    <w:rsid w:val="00B27D89"/>
    <w:rsid w:val="00B305AD"/>
    <w:rsid w:val="00B30BA0"/>
    <w:rsid w:val="00B31396"/>
    <w:rsid w:val="00B330A2"/>
    <w:rsid w:val="00B33F88"/>
    <w:rsid w:val="00B34086"/>
    <w:rsid w:val="00B3518E"/>
    <w:rsid w:val="00B3695D"/>
    <w:rsid w:val="00B3794B"/>
    <w:rsid w:val="00B402FB"/>
    <w:rsid w:val="00B410EE"/>
    <w:rsid w:val="00B416FC"/>
    <w:rsid w:val="00B426E0"/>
    <w:rsid w:val="00B444FF"/>
    <w:rsid w:val="00B45047"/>
    <w:rsid w:val="00B453F0"/>
    <w:rsid w:val="00B46B9E"/>
    <w:rsid w:val="00B4728F"/>
    <w:rsid w:val="00B4754A"/>
    <w:rsid w:val="00B501E9"/>
    <w:rsid w:val="00B50503"/>
    <w:rsid w:val="00B50DD5"/>
    <w:rsid w:val="00B50EA2"/>
    <w:rsid w:val="00B51668"/>
    <w:rsid w:val="00B52BAC"/>
    <w:rsid w:val="00B547A7"/>
    <w:rsid w:val="00B60840"/>
    <w:rsid w:val="00B623D1"/>
    <w:rsid w:val="00B62621"/>
    <w:rsid w:val="00B62A99"/>
    <w:rsid w:val="00B63DF9"/>
    <w:rsid w:val="00B64A4B"/>
    <w:rsid w:val="00B665F6"/>
    <w:rsid w:val="00B667FC"/>
    <w:rsid w:val="00B673EE"/>
    <w:rsid w:val="00B70610"/>
    <w:rsid w:val="00B71204"/>
    <w:rsid w:val="00B716C7"/>
    <w:rsid w:val="00B71E9B"/>
    <w:rsid w:val="00B72D92"/>
    <w:rsid w:val="00B73944"/>
    <w:rsid w:val="00B73C8C"/>
    <w:rsid w:val="00B747E8"/>
    <w:rsid w:val="00B74DC9"/>
    <w:rsid w:val="00B7566F"/>
    <w:rsid w:val="00B765E0"/>
    <w:rsid w:val="00B770A2"/>
    <w:rsid w:val="00B77B4E"/>
    <w:rsid w:val="00B801B6"/>
    <w:rsid w:val="00B80301"/>
    <w:rsid w:val="00B803FA"/>
    <w:rsid w:val="00B80C55"/>
    <w:rsid w:val="00B81353"/>
    <w:rsid w:val="00B821C4"/>
    <w:rsid w:val="00B828F7"/>
    <w:rsid w:val="00B82C23"/>
    <w:rsid w:val="00B83BED"/>
    <w:rsid w:val="00B84683"/>
    <w:rsid w:val="00B84F41"/>
    <w:rsid w:val="00B84FA6"/>
    <w:rsid w:val="00B85D59"/>
    <w:rsid w:val="00B85EEA"/>
    <w:rsid w:val="00B86C2A"/>
    <w:rsid w:val="00B876BC"/>
    <w:rsid w:val="00B87D07"/>
    <w:rsid w:val="00B9005A"/>
    <w:rsid w:val="00B9069B"/>
    <w:rsid w:val="00B90E17"/>
    <w:rsid w:val="00B92097"/>
    <w:rsid w:val="00B9278B"/>
    <w:rsid w:val="00B92B1C"/>
    <w:rsid w:val="00B9357A"/>
    <w:rsid w:val="00B93FC9"/>
    <w:rsid w:val="00B9451A"/>
    <w:rsid w:val="00B95153"/>
    <w:rsid w:val="00B96564"/>
    <w:rsid w:val="00B969A5"/>
    <w:rsid w:val="00BA2100"/>
    <w:rsid w:val="00BA2442"/>
    <w:rsid w:val="00BA2849"/>
    <w:rsid w:val="00BA500C"/>
    <w:rsid w:val="00BA54A4"/>
    <w:rsid w:val="00BA5EBE"/>
    <w:rsid w:val="00BA61EF"/>
    <w:rsid w:val="00BA6D8B"/>
    <w:rsid w:val="00BA76AB"/>
    <w:rsid w:val="00BA7777"/>
    <w:rsid w:val="00BB005D"/>
    <w:rsid w:val="00BB0F2D"/>
    <w:rsid w:val="00BB120F"/>
    <w:rsid w:val="00BB141C"/>
    <w:rsid w:val="00BB185B"/>
    <w:rsid w:val="00BB21B6"/>
    <w:rsid w:val="00BB35ED"/>
    <w:rsid w:val="00BB38E9"/>
    <w:rsid w:val="00BB4220"/>
    <w:rsid w:val="00BB5686"/>
    <w:rsid w:val="00BB698A"/>
    <w:rsid w:val="00BB6A39"/>
    <w:rsid w:val="00BB72E0"/>
    <w:rsid w:val="00BB7627"/>
    <w:rsid w:val="00BC05A5"/>
    <w:rsid w:val="00BC0FEB"/>
    <w:rsid w:val="00BC2BBB"/>
    <w:rsid w:val="00BC2BD6"/>
    <w:rsid w:val="00BC2E69"/>
    <w:rsid w:val="00BC341D"/>
    <w:rsid w:val="00BC7C39"/>
    <w:rsid w:val="00BC7E1F"/>
    <w:rsid w:val="00BD232F"/>
    <w:rsid w:val="00BD390F"/>
    <w:rsid w:val="00BD4291"/>
    <w:rsid w:val="00BD4816"/>
    <w:rsid w:val="00BD4B0B"/>
    <w:rsid w:val="00BD50E1"/>
    <w:rsid w:val="00BD51A6"/>
    <w:rsid w:val="00BD5B3D"/>
    <w:rsid w:val="00BD67E9"/>
    <w:rsid w:val="00BE03CF"/>
    <w:rsid w:val="00BE0EE6"/>
    <w:rsid w:val="00BE1645"/>
    <w:rsid w:val="00BE1F66"/>
    <w:rsid w:val="00BE24D4"/>
    <w:rsid w:val="00BE4ADA"/>
    <w:rsid w:val="00BE51A6"/>
    <w:rsid w:val="00BE69EA"/>
    <w:rsid w:val="00BE6DEC"/>
    <w:rsid w:val="00BE7597"/>
    <w:rsid w:val="00BE76DD"/>
    <w:rsid w:val="00BF175B"/>
    <w:rsid w:val="00BF1F8D"/>
    <w:rsid w:val="00BF295B"/>
    <w:rsid w:val="00BF2F12"/>
    <w:rsid w:val="00BF4D46"/>
    <w:rsid w:val="00BF598E"/>
    <w:rsid w:val="00BF5C41"/>
    <w:rsid w:val="00BF6639"/>
    <w:rsid w:val="00C01FAD"/>
    <w:rsid w:val="00C023B4"/>
    <w:rsid w:val="00C02925"/>
    <w:rsid w:val="00C02D14"/>
    <w:rsid w:val="00C03E37"/>
    <w:rsid w:val="00C04676"/>
    <w:rsid w:val="00C04828"/>
    <w:rsid w:val="00C05F59"/>
    <w:rsid w:val="00C071A8"/>
    <w:rsid w:val="00C07E4E"/>
    <w:rsid w:val="00C102F1"/>
    <w:rsid w:val="00C10415"/>
    <w:rsid w:val="00C11D22"/>
    <w:rsid w:val="00C141DB"/>
    <w:rsid w:val="00C15E84"/>
    <w:rsid w:val="00C1720B"/>
    <w:rsid w:val="00C17B51"/>
    <w:rsid w:val="00C17E88"/>
    <w:rsid w:val="00C21192"/>
    <w:rsid w:val="00C21945"/>
    <w:rsid w:val="00C22E17"/>
    <w:rsid w:val="00C2525A"/>
    <w:rsid w:val="00C25545"/>
    <w:rsid w:val="00C264CF"/>
    <w:rsid w:val="00C2650D"/>
    <w:rsid w:val="00C2688A"/>
    <w:rsid w:val="00C26FD5"/>
    <w:rsid w:val="00C2789D"/>
    <w:rsid w:val="00C32455"/>
    <w:rsid w:val="00C331EA"/>
    <w:rsid w:val="00C33D3C"/>
    <w:rsid w:val="00C35B22"/>
    <w:rsid w:val="00C360F3"/>
    <w:rsid w:val="00C3777B"/>
    <w:rsid w:val="00C40BA5"/>
    <w:rsid w:val="00C41457"/>
    <w:rsid w:val="00C41C28"/>
    <w:rsid w:val="00C42629"/>
    <w:rsid w:val="00C42742"/>
    <w:rsid w:val="00C4358B"/>
    <w:rsid w:val="00C45103"/>
    <w:rsid w:val="00C457BE"/>
    <w:rsid w:val="00C466B8"/>
    <w:rsid w:val="00C468FD"/>
    <w:rsid w:val="00C472C6"/>
    <w:rsid w:val="00C50C02"/>
    <w:rsid w:val="00C50F6F"/>
    <w:rsid w:val="00C510FE"/>
    <w:rsid w:val="00C518BE"/>
    <w:rsid w:val="00C5282C"/>
    <w:rsid w:val="00C5290F"/>
    <w:rsid w:val="00C56DFE"/>
    <w:rsid w:val="00C575AF"/>
    <w:rsid w:val="00C57A77"/>
    <w:rsid w:val="00C57C55"/>
    <w:rsid w:val="00C6049D"/>
    <w:rsid w:val="00C61102"/>
    <w:rsid w:val="00C614DD"/>
    <w:rsid w:val="00C6248F"/>
    <w:rsid w:val="00C63E92"/>
    <w:rsid w:val="00C649EE"/>
    <w:rsid w:val="00C64AD3"/>
    <w:rsid w:val="00C656E7"/>
    <w:rsid w:val="00C65789"/>
    <w:rsid w:val="00C65F91"/>
    <w:rsid w:val="00C660AD"/>
    <w:rsid w:val="00C66471"/>
    <w:rsid w:val="00C6661B"/>
    <w:rsid w:val="00C667A5"/>
    <w:rsid w:val="00C7038E"/>
    <w:rsid w:val="00C7056E"/>
    <w:rsid w:val="00C708FF"/>
    <w:rsid w:val="00C70FA3"/>
    <w:rsid w:val="00C71656"/>
    <w:rsid w:val="00C71DF2"/>
    <w:rsid w:val="00C72C9E"/>
    <w:rsid w:val="00C742B5"/>
    <w:rsid w:val="00C7482A"/>
    <w:rsid w:val="00C761C1"/>
    <w:rsid w:val="00C7776A"/>
    <w:rsid w:val="00C804A8"/>
    <w:rsid w:val="00C80AA7"/>
    <w:rsid w:val="00C8157A"/>
    <w:rsid w:val="00C824CC"/>
    <w:rsid w:val="00C82550"/>
    <w:rsid w:val="00C833C4"/>
    <w:rsid w:val="00C8387C"/>
    <w:rsid w:val="00C847DA"/>
    <w:rsid w:val="00C85155"/>
    <w:rsid w:val="00C85490"/>
    <w:rsid w:val="00C85B32"/>
    <w:rsid w:val="00C8623D"/>
    <w:rsid w:val="00C902DE"/>
    <w:rsid w:val="00C90D1B"/>
    <w:rsid w:val="00C90EE1"/>
    <w:rsid w:val="00C913C6"/>
    <w:rsid w:val="00C92E03"/>
    <w:rsid w:val="00C92E83"/>
    <w:rsid w:val="00C94E5D"/>
    <w:rsid w:val="00C954B8"/>
    <w:rsid w:val="00C95AB6"/>
    <w:rsid w:val="00C97A9F"/>
    <w:rsid w:val="00C97F6C"/>
    <w:rsid w:val="00CA00EB"/>
    <w:rsid w:val="00CA070B"/>
    <w:rsid w:val="00CA11C6"/>
    <w:rsid w:val="00CA1A5F"/>
    <w:rsid w:val="00CA295F"/>
    <w:rsid w:val="00CA297F"/>
    <w:rsid w:val="00CA480E"/>
    <w:rsid w:val="00CA486D"/>
    <w:rsid w:val="00CA4DB1"/>
    <w:rsid w:val="00CA5D64"/>
    <w:rsid w:val="00CA656F"/>
    <w:rsid w:val="00CA7227"/>
    <w:rsid w:val="00CB1B0A"/>
    <w:rsid w:val="00CB404D"/>
    <w:rsid w:val="00CB4572"/>
    <w:rsid w:val="00CB5048"/>
    <w:rsid w:val="00CB5561"/>
    <w:rsid w:val="00CB5A9D"/>
    <w:rsid w:val="00CB636A"/>
    <w:rsid w:val="00CB63B8"/>
    <w:rsid w:val="00CB7B16"/>
    <w:rsid w:val="00CC0247"/>
    <w:rsid w:val="00CC156E"/>
    <w:rsid w:val="00CC1BFE"/>
    <w:rsid w:val="00CC2513"/>
    <w:rsid w:val="00CC2ACE"/>
    <w:rsid w:val="00CC2CAC"/>
    <w:rsid w:val="00CC3C06"/>
    <w:rsid w:val="00CC4A3D"/>
    <w:rsid w:val="00CC77D1"/>
    <w:rsid w:val="00CC77F9"/>
    <w:rsid w:val="00CD12F5"/>
    <w:rsid w:val="00CD27CD"/>
    <w:rsid w:val="00CD2844"/>
    <w:rsid w:val="00CD311A"/>
    <w:rsid w:val="00CD36BB"/>
    <w:rsid w:val="00CD4E91"/>
    <w:rsid w:val="00CD5357"/>
    <w:rsid w:val="00CD7DCD"/>
    <w:rsid w:val="00CE0B00"/>
    <w:rsid w:val="00CE10F0"/>
    <w:rsid w:val="00CE179F"/>
    <w:rsid w:val="00CE2702"/>
    <w:rsid w:val="00CE2C4D"/>
    <w:rsid w:val="00CE3051"/>
    <w:rsid w:val="00CE3118"/>
    <w:rsid w:val="00CE6F01"/>
    <w:rsid w:val="00CE7355"/>
    <w:rsid w:val="00CF0B35"/>
    <w:rsid w:val="00CF20AF"/>
    <w:rsid w:val="00CF3ED3"/>
    <w:rsid w:val="00CF4F0D"/>
    <w:rsid w:val="00CF66E2"/>
    <w:rsid w:val="00CF7643"/>
    <w:rsid w:val="00D0455C"/>
    <w:rsid w:val="00D0478C"/>
    <w:rsid w:val="00D0515C"/>
    <w:rsid w:val="00D063D6"/>
    <w:rsid w:val="00D06D8E"/>
    <w:rsid w:val="00D0728D"/>
    <w:rsid w:val="00D1223F"/>
    <w:rsid w:val="00D12797"/>
    <w:rsid w:val="00D12879"/>
    <w:rsid w:val="00D12FBE"/>
    <w:rsid w:val="00D13420"/>
    <w:rsid w:val="00D14067"/>
    <w:rsid w:val="00D15AE7"/>
    <w:rsid w:val="00D15B0E"/>
    <w:rsid w:val="00D161A0"/>
    <w:rsid w:val="00D1644E"/>
    <w:rsid w:val="00D170EC"/>
    <w:rsid w:val="00D172CB"/>
    <w:rsid w:val="00D17388"/>
    <w:rsid w:val="00D17603"/>
    <w:rsid w:val="00D17B40"/>
    <w:rsid w:val="00D2042C"/>
    <w:rsid w:val="00D205B0"/>
    <w:rsid w:val="00D2184F"/>
    <w:rsid w:val="00D236F1"/>
    <w:rsid w:val="00D25DB4"/>
    <w:rsid w:val="00D272DB"/>
    <w:rsid w:val="00D2730A"/>
    <w:rsid w:val="00D27B96"/>
    <w:rsid w:val="00D3063F"/>
    <w:rsid w:val="00D306FB"/>
    <w:rsid w:val="00D30A6E"/>
    <w:rsid w:val="00D32892"/>
    <w:rsid w:val="00D337AC"/>
    <w:rsid w:val="00D34A13"/>
    <w:rsid w:val="00D34EE4"/>
    <w:rsid w:val="00D365AE"/>
    <w:rsid w:val="00D3705E"/>
    <w:rsid w:val="00D40FFF"/>
    <w:rsid w:val="00D4152C"/>
    <w:rsid w:val="00D416CF"/>
    <w:rsid w:val="00D41EE8"/>
    <w:rsid w:val="00D423C4"/>
    <w:rsid w:val="00D43F26"/>
    <w:rsid w:val="00D440CC"/>
    <w:rsid w:val="00D44C83"/>
    <w:rsid w:val="00D454AD"/>
    <w:rsid w:val="00D46DDA"/>
    <w:rsid w:val="00D47648"/>
    <w:rsid w:val="00D47CCC"/>
    <w:rsid w:val="00D50D70"/>
    <w:rsid w:val="00D50DA7"/>
    <w:rsid w:val="00D51482"/>
    <w:rsid w:val="00D5150F"/>
    <w:rsid w:val="00D5174F"/>
    <w:rsid w:val="00D51868"/>
    <w:rsid w:val="00D51D1E"/>
    <w:rsid w:val="00D51E54"/>
    <w:rsid w:val="00D521FB"/>
    <w:rsid w:val="00D525EE"/>
    <w:rsid w:val="00D52942"/>
    <w:rsid w:val="00D53113"/>
    <w:rsid w:val="00D531B4"/>
    <w:rsid w:val="00D53707"/>
    <w:rsid w:val="00D5398A"/>
    <w:rsid w:val="00D54CE0"/>
    <w:rsid w:val="00D57DA9"/>
    <w:rsid w:val="00D60022"/>
    <w:rsid w:val="00D6028A"/>
    <w:rsid w:val="00D60660"/>
    <w:rsid w:val="00D60DF5"/>
    <w:rsid w:val="00D62DDA"/>
    <w:rsid w:val="00D64123"/>
    <w:rsid w:val="00D64B58"/>
    <w:rsid w:val="00D64BF4"/>
    <w:rsid w:val="00D6551C"/>
    <w:rsid w:val="00D66920"/>
    <w:rsid w:val="00D66A02"/>
    <w:rsid w:val="00D66A05"/>
    <w:rsid w:val="00D66BCD"/>
    <w:rsid w:val="00D66D53"/>
    <w:rsid w:val="00D66D6D"/>
    <w:rsid w:val="00D67D0E"/>
    <w:rsid w:val="00D70786"/>
    <w:rsid w:val="00D721F4"/>
    <w:rsid w:val="00D723DA"/>
    <w:rsid w:val="00D73BB1"/>
    <w:rsid w:val="00D7476A"/>
    <w:rsid w:val="00D74A78"/>
    <w:rsid w:val="00D74ACB"/>
    <w:rsid w:val="00D7722D"/>
    <w:rsid w:val="00D7726A"/>
    <w:rsid w:val="00D774F7"/>
    <w:rsid w:val="00D7788E"/>
    <w:rsid w:val="00D801AD"/>
    <w:rsid w:val="00D81147"/>
    <w:rsid w:val="00D82B3C"/>
    <w:rsid w:val="00D82DB9"/>
    <w:rsid w:val="00D832AD"/>
    <w:rsid w:val="00D84CE6"/>
    <w:rsid w:val="00D84EEA"/>
    <w:rsid w:val="00D85AFE"/>
    <w:rsid w:val="00D86456"/>
    <w:rsid w:val="00D8712E"/>
    <w:rsid w:val="00D872CB"/>
    <w:rsid w:val="00D87A29"/>
    <w:rsid w:val="00D91B7B"/>
    <w:rsid w:val="00D91C5B"/>
    <w:rsid w:val="00D92CA5"/>
    <w:rsid w:val="00D93927"/>
    <w:rsid w:val="00D9450E"/>
    <w:rsid w:val="00D94850"/>
    <w:rsid w:val="00D95261"/>
    <w:rsid w:val="00D9563D"/>
    <w:rsid w:val="00D95E1D"/>
    <w:rsid w:val="00DA06B5"/>
    <w:rsid w:val="00DA1151"/>
    <w:rsid w:val="00DA18AA"/>
    <w:rsid w:val="00DA1E62"/>
    <w:rsid w:val="00DA490A"/>
    <w:rsid w:val="00DA57B7"/>
    <w:rsid w:val="00DA5AEC"/>
    <w:rsid w:val="00DA608A"/>
    <w:rsid w:val="00DA6F21"/>
    <w:rsid w:val="00DB0BBE"/>
    <w:rsid w:val="00DB2A7D"/>
    <w:rsid w:val="00DB2AFE"/>
    <w:rsid w:val="00DB617A"/>
    <w:rsid w:val="00DB6275"/>
    <w:rsid w:val="00DB6684"/>
    <w:rsid w:val="00DB6B09"/>
    <w:rsid w:val="00DC03CD"/>
    <w:rsid w:val="00DC083A"/>
    <w:rsid w:val="00DC15B7"/>
    <w:rsid w:val="00DC1DA9"/>
    <w:rsid w:val="00DC3846"/>
    <w:rsid w:val="00DC4600"/>
    <w:rsid w:val="00DC4C1E"/>
    <w:rsid w:val="00DC52CA"/>
    <w:rsid w:val="00DC62B2"/>
    <w:rsid w:val="00DC76EA"/>
    <w:rsid w:val="00DD0698"/>
    <w:rsid w:val="00DD24F3"/>
    <w:rsid w:val="00DD2DC1"/>
    <w:rsid w:val="00DD5052"/>
    <w:rsid w:val="00DD68B4"/>
    <w:rsid w:val="00DD6A15"/>
    <w:rsid w:val="00DD6F40"/>
    <w:rsid w:val="00DE1483"/>
    <w:rsid w:val="00DE1889"/>
    <w:rsid w:val="00DE22F5"/>
    <w:rsid w:val="00DE29EF"/>
    <w:rsid w:val="00DE3078"/>
    <w:rsid w:val="00DE3395"/>
    <w:rsid w:val="00DE3FF0"/>
    <w:rsid w:val="00DE5308"/>
    <w:rsid w:val="00DE7198"/>
    <w:rsid w:val="00DE71A7"/>
    <w:rsid w:val="00DF1BCA"/>
    <w:rsid w:val="00DF1D21"/>
    <w:rsid w:val="00DF209B"/>
    <w:rsid w:val="00DF263D"/>
    <w:rsid w:val="00DF2F7D"/>
    <w:rsid w:val="00DF3D15"/>
    <w:rsid w:val="00DF4354"/>
    <w:rsid w:val="00E0057E"/>
    <w:rsid w:val="00E008D0"/>
    <w:rsid w:val="00E026D8"/>
    <w:rsid w:val="00E02FFC"/>
    <w:rsid w:val="00E04031"/>
    <w:rsid w:val="00E0411F"/>
    <w:rsid w:val="00E0525A"/>
    <w:rsid w:val="00E071D0"/>
    <w:rsid w:val="00E10573"/>
    <w:rsid w:val="00E11000"/>
    <w:rsid w:val="00E11404"/>
    <w:rsid w:val="00E1233C"/>
    <w:rsid w:val="00E130EB"/>
    <w:rsid w:val="00E13622"/>
    <w:rsid w:val="00E144FF"/>
    <w:rsid w:val="00E14D3D"/>
    <w:rsid w:val="00E14D92"/>
    <w:rsid w:val="00E159F6"/>
    <w:rsid w:val="00E15E29"/>
    <w:rsid w:val="00E16D74"/>
    <w:rsid w:val="00E1720D"/>
    <w:rsid w:val="00E17C6F"/>
    <w:rsid w:val="00E207AA"/>
    <w:rsid w:val="00E21342"/>
    <w:rsid w:val="00E22B11"/>
    <w:rsid w:val="00E22E7A"/>
    <w:rsid w:val="00E23D04"/>
    <w:rsid w:val="00E24526"/>
    <w:rsid w:val="00E25386"/>
    <w:rsid w:val="00E2605C"/>
    <w:rsid w:val="00E26C4D"/>
    <w:rsid w:val="00E272BF"/>
    <w:rsid w:val="00E27761"/>
    <w:rsid w:val="00E31B41"/>
    <w:rsid w:val="00E3246F"/>
    <w:rsid w:val="00E32F21"/>
    <w:rsid w:val="00E33EDE"/>
    <w:rsid w:val="00E348D9"/>
    <w:rsid w:val="00E35D84"/>
    <w:rsid w:val="00E35DA2"/>
    <w:rsid w:val="00E37526"/>
    <w:rsid w:val="00E410EC"/>
    <w:rsid w:val="00E414A4"/>
    <w:rsid w:val="00E41B6B"/>
    <w:rsid w:val="00E41D22"/>
    <w:rsid w:val="00E41D4C"/>
    <w:rsid w:val="00E44270"/>
    <w:rsid w:val="00E445AD"/>
    <w:rsid w:val="00E46555"/>
    <w:rsid w:val="00E46B3C"/>
    <w:rsid w:val="00E47026"/>
    <w:rsid w:val="00E47273"/>
    <w:rsid w:val="00E47526"/>
    <w:rsid w:val="00E5083C"/>
    <w:rsid w:val="00E50F68"/>
    <w:rsid w:val="00E511FD"/>
    <w:rsid w:val="00E52698"/>
    <w:rsid w:val="00E526CF"/>
    <w:rsid w:val="00E529AB"/>
    <w:rsid w:val="00E52DAB"/>
    <w:rsid w:val="00E53E64"/>
    <w:rsid w:val="00E542B9"/>
    <w:rsid w:val="00E555DD"/>
    <w:rsid w:val="00E5638F"/>
    <w:rsid w:val="00E5698C"/>
    <w:rsid w:val="00E56D5C"/>
    <w:rsid w:val="00E57CD8"/>
    <w:rsid w:val="00E57DBC"/>
    <w:rsid w:val="00E618ED"/>
    <w:rsid w:val="00E61E63"/>
    <w:rsid w:val="00E62DE7"/>
    <w:rsid w:val="00E62F3B"/>
    <w:rsid w:val="00E633C7"/>
    <w:rsid w:val="00E6358B"/>
    <w:rsid w:val="00E63957"/>
    <w:rsid w:val="00E64BDB"/>
    <w:rsid w:val="00E6561B"/>
    <w:rsid w:val="00E66AF8"/>
    <w:rsid w:val="00E6706E"/>
    <w:rsid w:val="00E704D7"/>
    <w:rsid w:val="00E7087C"/>
    <w:rsid w:val="00E71520"/>
    <w:rsid w:val="00E72ACF"/>
    <w:rsid w:val="00E73079"/>
    <w:rsid w:val="00E74647"/>
    <w:rsid w:val="00E74A68"/>
    <w:rsid w:val="00E75133"/>
    <w:rsid w:val="00E7631E"/>
    <w:rsid w:val="00E8067B"/>
    <w:rsid w:val="00E83685"/>
    <w:rsid w:val="00E83689"/>
    <w:rsid w:val="00E86739"/>
    <w:rsid w:val="00E86A70"/>
    <w:rsid w:val="00E87A09"/>
    <w:rsid w:val="00E87A6A"/>
    <w:rsid w:val="00E90046"/>
    <w:rsid w:val="00E90F5C"/>
    <w:rsid w:val="00E91BDC"/>
    <w:rsid w:val="00E92179"/>
    <w:rsid w:val="00E92786"/>
    <w:rsid w:val="00E9345E"/>
    <w:rsid w:val="00E937CE"/>
    <w:rsid w:val="00E94A8C"/>
    <w:rsid w:val="00E955FA"/>
    <w:rsid w:val="00E97195"/>
    <w:rsid w:val="00E9741B"/>
    <w:rsid w:val="00E97872"/>
    <w:rsid w:val="00EA126A"/>
    <w:rsid w:val="00EA193D"/>
    <w:rsid w:val="00EA1B2B"/>
    <w:rsid w:val="00EA2752"/>
    <w:rsid w:val="00EA2A8A"/>
    <w:rsid w:val="00EA311D"/>
    <w:rsid w:val="00EA33B9"/>
    <w:rsid w:val="00EA3825"/>
    <w:rsid w:val="00EA4262"/>
    <w:rsid w:val="00EA496D"/>
    <w:rsid w:val="00EA5628"/>
    <w:rsid w:val="00EA5A85"/>
    <w:rsid w:val="00EA5DC8"/>
    <w:rsid w:val="00EA6093"/>
    <w:rsid w:val="00EA7988"/>
    <w:rsid w:val="00EB0506"/>
    <w:rsid w:val="00EB056E"/>
    <w:rsid w:val="00EB05DB"/>
    <w:rsid w:val="00EB060D"/>
    <w:rsid w:val="00EB0FC9"/>
    <w:rsid w:val="00EB314D"/>
    <w:rsid w:val="00EB3502"/>
    <w:rsid w:val="00EB39DE"/>
    <w:rsid w:val="00EB4EA9"/>
    <w:rsid w:val="00EB594C"/>
    <w:rsid w:val="00EB7122"/>
    <w:rsid w:val="00EC0110"/>
    <w:rsid w:val="00EC0EC5"/>
    <w:rsid w:val="00EC242A"/>
    <w:rsid w:val="00EC43C8"/>
    <w:rsid w:val="00EC4B04"/>
    <w:rsid w:val="00EC7EAD"/>
    <w:rsid w:val="00ED0022"/>
    <w:rsid w:val="00ED0752"/>
    <w:rsid w:val="00ED1660"/>
    <w:rsid w:val="00ED27E2"/>
    <w:rsid w:val="00ED2960"/>
    <w:rsid w:val="00ED6202"/>
    <w:rsid w:val="00ED6696"/>
    <w:rsid w:val="00ED6A36"/>
    <w:rsid w:val="00ED7970"/>
    <w:rsid w:val="00EE00A1"/>
    <w:rsid w:val="00EE07C9"/>
    <w:rsid w:val="00EE112E"/>
    <w:rsid w:val="00EE319A"/>
    <w:rsid w:val="00EE31BA"/>
    <w:rsid w:val="00EE35ED"/>
    <w:rsid w:val="00EE3F64"/>
    <w:rsid w:val="00EE4351"/>
    <w:rsid w:val="00EE5FC4"/>
    <w:rsid w:val="00EE6574"/>
    <w:rsid w:val="00EE6BEE"/>
    <w:rsid w:val="00EE700C"/>
    <w:rsid w:val="00EE7159"/>
    <w:rsid w:val="00EE7E46"/>
    <w:rsid w:val="00EF083C"/>
    <w:rsid w:val="00EF10EA"/>
    <w:rsid w:val="00EF1B3F"/>
    <w:rsid w:val="00EF40C2"/>
    <w:rsid w:val="00EF45FB"/>
    <w:rsid w:val="00EF4B8D"/>
    <w:rsid w:val="00EF6158"/>
    <w:rsid w:val="00EF6961"/>
    <w:rsid w:val="00EF6C61"/>
    <w:rsid w:val="00EF760A"/>
    <w:rsid w:val="00F009B1"/>
    <w:rsid w:val="00F00F55"/>
    <w:rsid w:val="00F01460"/>
    <w:rsid w:val="00F0154A"/>
    <w:rsid w:val="00F0158C"/>
    <w:rsid w:val="00F01C08"/>
    <w:rsid w:val="00F01E5D"/>
    <w:rsid w:val="00F024C1"/>
    <w:rsid w:val="00F03E79"/>
    <w:rsid w:val="00F04528"/>
    <w:rsid w:val="00F0693F"/>
    <w:rsid w:val="00F06B97"/>
    <w:rsid w:val="00F10547"/>
    <w:rsid w:val="00F10A8C"/>
    <w:rsid w:val="00F10F4B"/>
    <w:rsid w:val="00F11BC1"/>
    <w:rsid w:val="00F13E3D"/>
    <w:rsid w:val="00F1411F"/>
    <w:rsid w:val="00F14325"/>
    <w:rsid w:val="00F15251"/>
    <w:rsid w:val="00F15266"/>
    <w:rsid w:val="00F15984"/>
    <w:rsid w:val="00F17688"/>
    <w:rsid w:val="00F20101"/>
    <w:rsid w:val="00F20E37"/>
    <w:rsid w:val="00F21C06"/>
    <w:rsid w:val="00F21C2B"/>
    <w:rsid w:val="00F226B9"/>
    <w:rsid w:val="00F22BBF"/>
    <w:rsid w:val="00F23A17"/>
    <w:rsid w:val="00F245C7"/>
    <w:rsid w:val="00F246F0"/>
    <w:rsid w:val="00F2569E"/>
    <w:rsid w:val="00F26809"/>
    <w:rsid w:val="00F26FE2"/>
    <w:rsid w:val="00F270FE"/>
    <w:rsid w:val="00F2728B"/>
    <w:rsid w:val="00F27327"/>
    <w:rsid w:val="00F27370"/>
    <w:rsid w:val="00F27F4E"/>
    <w:rsid w:val="00F32276"/>
    <w:rsid w:val="00F33044"/>
    <w:rsid w:val="00F33E83"/>
    <w:rsid w:val="00F35046"/>
    <w:rsid w:val="00F361C1"/>
    <w:rsid w:val="00F36F06"/>
    <w:rsid w:val="00F3728D"/>
    <w:rsid w:val="00F3752C"/>
    <w:rsid w:val="00F37D48"/>
    <w:rsid w:val="00F418ED"/>
    <w:rsid w:val="00F42CD7"/>
    <w:rsid w:val="00F4317C"/>
    <w:rsid w:val="00F431AE"/>
    <w:rsid w:val="00F4334A"/>
    <w:rsid w:val="00F443FF"/>
    <w:rsid w:val="00F454B5"/>
    <w:rsid w:val="00F460FF"/>
    <w:rsid w:val="00F464D3"/>
    <w:rsid w:val="00F47CDD"/>
    <w:rsid w:val="00F51312"/>
    <w:rsid w:val="00F518A2"/>
    <w:rsid w:val="00F52E48"/>
    <w:rsid w:val="00F54597"/>
    <w:rsid w:val="00F5483D"/>
    <w:rsid w:val="00F555AA"/>
    <w:rsid w:val="00F55CF3"/>
    <w:rsid w:val="00F55D5D"/>
    <w:rsid w:val="00F569D4"/>
    <w:rsid w:val="00F57302"/>
    <w:rsid w:val="00F5785C"/>
    <w:rsid w:val="00F57A10"/>
    <w:rsid w:val="00F6330C"/>
    <w:rsid w:val="00F64157"/>
    <w:rsid w:val="00F645EF"/>
    <w:rsid w:val="00F64D12"/>
    <w:rsid w:val="00F66422"/>
    <w:rsid w:val="00F670D1"/>
    <w:rsid w:val="00F70F78"/>
    <w:rsid w:val="00F710CF"/>
    <w:rsid w:val="00F71934"/>
    <w:rsid w:val="00F71BC1"/>
    <w:rsid w:val="00F72215"/>
    <w:rsid w:val="00F728B0"/>
    <w:rsid w:val="00F72911"/>
    <w:rsid w:val="00F72980"/>
    <w:rsid w:val="00F73429"/>
    <w:rsid w:val="00F73CE4"/>
    <w:rsid w:val="00F73D87"/>
    <w:rsid w:val="00F75CF7"/>
    <w:rsid w:val="00F765E8"/>
    <w:rsid w:val="00F7765F"/>
    <w:rsid w:val="00F77AB8"/>
    <w:rsid w:val="00F77F11"/>
    <w:rsid w:val="00F8000D"/>
    <w:rsid w:val="00F80807"/>
    <w:rsid w:val="00F81381"/>
    <w:rsid w:val="00F817F1"/>
    <w:rsid w:val="00F82287"/>
    <w:rsid w:val="00F82658"/>
    <w:rsid w:val="00F82F09"/>
    <w:rsid w:val="00F83FDF"/>
    <w:rsid w:val="00F8419A"/>
    <w:rsid w:val="00F841FA"/>
    <w:rsid w:val="00F84F26"/>
    <w:rsid w:val="00F85347"/>
    <w:rsid w:val="00F85349"/>
    <w:rsid w:val="00F85E8C"/>
    <w:rsid w:val="00F86198"/>
    <w:rsid w:val="00F91476"/>
    <w:rsid w:val="00F919A3"/>
    <w:rsid w:val="00F920AB"/>
    <w:rsid w:val="00F93E1E"/>
    <w:rsid w:val="00F95B82"/>
    <w:rsid w:val="00F95E0B"/>
    <w:rsid w:val="00F96153"/>
    <w:rsid w:val="00F97B87"/>
    <w:rsid w:val="00F97CED"/>
    <w:rsid w:val="00FA043B"/>
    <w:rsid w:val="00FA14F8"/>
    <w:rsid w:val="00FA2986"/>
    <w:rsid w:val="00FA3E03"/>
    <w:rsid w:val="00FA4321"/>
    <w:rsid w:val="00FA4837"/>
    <w:rsid w:val="00FA4B57"/>
    <w:rsid w:val="00FA6B51"/>
    <w:rsid w:val="00FA6B6E"/>
    <w:rsid w:val="00FA6C86"/>
    <w:rsid w:val="00FB0831"/>
    <w:rsid w:val="00FB102C"/>
    <w:rsid w:val="00FB11C5"/>
    <w:rsid w:val="00FB18C3"/>
    <w:rsid w:val="00FB1B59"/>
    <w:rsid w:val="00FB1EF4"/>
    <w:rsid w:val="00FB27AE"/>
    <w:rsid w:val="00FB2E72"/>
    <w:rsid w:val="00FB3936"/>
    <w:rsid w:val="00FB3C11"/>
    <w:rsid w:val="00FB58CE"/>
    <w:rsid w:val="00FB6CAB"/>
    <w:rsid w:val="00FB6CFC"/>
    <w:rsid w:val="00FB709D"/>
    <w:rsid w:val="00FB7B5E"/>
    <w:rsid w:val="00FB7DD5"/>
    <w:rsid w:val="00FC07D7"/>
    <w:rsid w:val="00FC1574"/>
    <w:rsid w:val="00FC2CAE"/>
    <w:rsid w:val="00FC3727"/>
    <w:rsid w:val="00FC388D"/>
    <w:rsid w:val="00FC3E96"/>
    <w:rsid w:val="00FC49D2"/>
    <w:rsid w:val="00FC58C3"/>
    <w:rsid w:val="00FC6445"/>
    <w:rsid w:val="00FC645C"/>
    <w:rsid w:val="00FC72DF"/>
    <w:rsid w:val="00FC7DD0"/>
    <w:rsid w:val="00FD0C3A"/>
    <w:rsid w:val="00FD1412"/>
    <w:rsid w:val="00FD14B3"/>
    <w:rsid w:val="00FD2C08"/>
    <w:rsid w:val="00FD3B93"/>
    <w:rsid w:val="00FD3E77"/>
    <w:rsid w:val="00FD4664"/>
    <w:rsid w:val="00FD5CBA"/>
    <w:rsid w:val="00FD6078"/>
    <w:rsid w:val="00FD60E7"/>
    <w:rsid w:val="00FD6AA5"/>
    <w:rsid w:val="00FD7D2E"/>
    <w:rsid w:val="00FE0FFC"/>
    <w:rsid w:val="00FE11A2"/>
    <w:rsid w:val="00FE1418"/>
    <w:rsid w:val="00FE1554"/>
    <w:rsid w:val="00FE2316"/>
    <w:rsid w:val="00FE2A40"/>
    <w:rsid w:val="00FE2B21"/>
    <w:rsid w:val="00FE3224"/>
    <w:rsid w:val="00FE32EA"/>
    <w:rsid w:val="00FE4467"/>
    <w:rsid w:val="00FE5D8F"/>
    <w:rsid w:val="00FE7787"/>
    <w:rsid w:val="00FE7D8B"/>
    <w:rsid w:val="00FF002D"/>
    <w:rsid w:val="00FF0744"/>
    <w:rsid w:val="00FF0A02"/>
    <w:rsid w:val="00FF3EEA"/>
    <w:rsid w:val="00FF428A"/>
    <w:rsid w:val="00FF5F27"/>
    <w:rsid w:val="00FF6AB1"/>
    <w:rsid w:val="00FF6C06"/>
    <w:rsid w:val="00FF7090"/>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style="mso-position-horizontal-relative:page;mso-position-vertical-relative:page" o:allowincell="f" fill="f" fillcolor="white" stroke="f">
      <v:fill color="white" on="f"/>
      <v:stroke on="f"/>
    </o:shapedefaults>
    <o:shapelayout v:ext="edit">
      <o:idmap v:ext="edit" data="1"/>
    </o:shapelayout>
  </w:shapeDefaults>
  <w:decimalSymbol w:val="."/>
  <w:listSeparator w:val=","/>
  <w15:docId w15:val="{DCC927A3-0C46-4287-B860-296CDED2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469"/>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qFormat/>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Style 16,Style 30,Style 3,Styl,Style 39"/>
    <w:basedOn w:val="DefaultParagraphFont"/>
    <w:qFormat/>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uiPriority w:val="99"/>
    <w:semiHidden/>
    <w:rsid w:val="00C457BE"/>
    <w:rPr>
      <w:rFonts w:cs="Times New Roman"/>
      <w:sz w:val="16"/>
      <w:szCs w:val="16"/>
    </w:rPr>
  </w:style>
  <w:style w:type="paragraph" w:styleId="CommentText">
    <w:name w:val="annotation text"/>
    <w:basedOn w:val="Normal"/>
    <w:link w:val="CommentTextChar"/>
    <w:uiPriority w:val="99"/>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505B29"/>
  </w:style>
  <w:style w:type="paragraph" w:styleId="ListParagraph">
    <w:name w:val="List Paragraph"/>
    <w:basedOn w:val="Normal"/>
    <w:uiPriority w:val="34"/>
    <w:qFormat/>
    <w:rsid w:val="00505B29"/>
    <w:pPr>
      <w:contextualSpacing/>
    </w:pPr>
  </w:style>
  <w:style w:type="character" w:customStyle="1" w:styleId="CommentTextChar">
    <w:name w:val="Comment Text Char"/>
    <w:basedOn w:val="DefaultParagraphFont"/>
    <w:link w:val="CommentText"/>
    <w:uiPriority w:val="99"/>
    <w:semiHidden/>
    <w:rsid w:val="00E207AA"/>
  </w:style>
  <w:style w:type="character" w:styleId="FollowedHyperlink">
    <w:name w:val="FollowedHyperlink"/>
    <w:basedOn w:val="DefaultParagraphFont"/>
    <w:rsid w:val="00494176"/>
    <w:rPr>
      <w:color w:val="800080" w:themeColor="followedHyperlink"/>
      <w:u w:val="single"/>
    </w:rPr>
  </w:style>
  <w:style w:type="table" w:customStyle="1" w:styleId="LightList1">
    <w:name w:val="Light List1"/>
    <w:basedOn w:val="TableNormal"/>
    <w:uiPriority w:val="61"/>
    <w:rsid w:val="00893A6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3">
    <w:name w:val="Body Text 3"/>
    <w:basedOn w:val="Normal"/>
    <w:link w:val="BodyText3Char"/>
    <w:unhideWhenUsed/>
    <w:rsid w:val="00341166"/>
    <w:rPr>
      <w:sz w:val="16"/>
      <w:szCs w:val="16"/>
    </w:rPr>
  </w:style>
  <w:style w:type="character" w:customStyle="1" w:styleId="BodyText3Char">
    <w:name w:val="Body Text 3 Char"/>
    <w:basedOn w:val="DefaultParagraphFont"/>
    <w:link w:val="BodyText3"/>
    <w:rsid w:val="00341166"/>
    <w:rPr>
      <w:sz w:val="16"/>
      <w:szCs w:val="16"/>
    </w:rPr>
  </w:style>
  <w:style w:type="paragraph" w:styleId="Caption">
    <w:name w:val="caption"/>
    <w:basedOn w:val="Normal"/>
    <w:next w:val="Normal"/>
    <w:unhideWhenUsed/>
    <w:qFormat/>
    <w:rsid w:val="00F95E0B"/>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3528289">
      <w:bodyDiv w:val="1"/>
      <w:marLeft w:val="0"/>
      <w:marRight w:val="0"/>
      <w:marTop w:val="0"/>
      <w:marBottom w:val="0"/>
      <w:divBdr>
        <w:top w:val="none" w:sz="0" w:space="0" w:color="auto"/>
        <w:left w:val="none" w:sz="0" w:space="0" w:color="auto"/>
        <w:bottom w:val="none" w:sz="0" w:space="0" w:color="auto"/>
        <w:right w:val="none" w:sz="0" w:space="0" w:color="auto"/>
      </w:divBdr>
    </w:div>
    <w:div w:id="58748391">
      <w:bodyDiv w:val="1"/>
      <w:marLeft w:val="0"/>
      <w:marRight w:val="0"/>
      <w:marTop w:val="0"/>
      <w:marBottom w:val="0"/>
      <w:divBdr>
        <w:top w:val="none" w:sz="0" w:space="0" w:color="auto"/>
        <w:left w:val="none" w:sz="0" w:space="0" w:color="auto"/>
        <w:bottom w:val="none" w:sz="0" w:space="0" w:color="auto"/>
        <w:right w:val="none" w:sz="0" w:space="0" w:color="auto"/>
      </w:divBdr>
    </w:div>
    <w:div w:id="157116144">
      <w:bodyDiv w:val="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4219843">
      <w:bodyDiv w:val="1"/>
      <w:marLeft w:val="0"/>
      <w:marRight w:val="0"/>
      <w:marTop w:val="0"/>
      <w:marBottom w:val="0"/>
      <w:divBdr>
        <w:top w:val="none" w:sz="0" w:space="0" w:color="auto"/>
        <w:left w:val="none" w:sz="0" w:space="0" w:color="auto"/>
        <w:bottom w:val="none" w:sz="0" w:space="0" w:color="auto"/>
        <w:right w:val="none" w:sz="0" w:space="0" w:color="auto"/>
      </w:divBdr>
    </w:div>
    <w:div w:id="276840276">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38391110">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483736918">
      <w:bodyDiv w:val="1"/>
      <w:marLeft w:val="0"/>
      <w:marRight w:val="0"/>
      <w:marTop w:val="0"/>
      <w:marBottom w:val="0"/>
      <w:divBdr>
        <w:top w:val="none" w:sz="0" w:space="0" w:color="auto"/>
        <w:left w:val="none" w:sz="0" w:space="0" w:color="auto"/>
        <w:bottom w:val="none" w:sz="0" w:space="0" w:color="auto"/>
        <w:right w:val="none" w:sz="0" w:space="0" w:color="auto"/>
      </w:divBdr>
    </w:div>
    <w:div w:id="496070000">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739519853">
      <w:bodyDiv w:val="1"/>
      <w:marLeft w:val="0"/>
      <w:marRight w:val="0"/>
      <w:marTop w:val="0"/>
      <w:marBottom w:val="0"/>
      <w:divBdr>
        <w:top w:val="none" w:sz="0" w:space="0" w:color="auto"/>
        <w:left w:val="none" w:sz="0" w:space="0" w:color="auto"/>
        <w:bottom w:val="none" w:sz="0" w:space="0" w:color="auto"/>
        <w:right w:val="none" w:sz="0" w:space="0" w:color="auto"/>
      </w:divBdr>
    </w:div>
    <w:div w:id="746000291">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66938229">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987628941">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17124773">
      <w:bodyDiv w:val="1"/>
      <w:marLeft w:val="0"/>
      <w:marRight w:val="0"/>
      <w:marTop w:val="0"/>
      <w:marBottom w:val="0"/>
      <w:divBdr>
        <w:top w:val="none" w:sz="0" w:space="0" w:color="auto"/>
        <w:left w:val="none" w:sz="0" w:space="0" w:color="auto"/>
        <w:bottom w:val="none" w:sz="0" w:space="0" w:color="auto"/>
        <w:right w:val="none" w:sz="0" w:space="0" w:color="auto"/>
      </w:divBdr>
    </w:div>
    <w:div w:id="1023360833">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143158084">
      <w:bodyDiv w:val="1"/>
      <w:marLeft w:val="0"/>
      <w:marRight w:val="0"/>
      <w:marTop w:val="0"/>
      <w:marBottom w:val="0"/>
      <w:divBdr>
        <w:top w:val="none" w:sz="0" w:space="0" w:color="auto"/>
        <w:left w:val="none" w:sz="0" w:space="0" w:color="auto"/>
        <w:bottom w:val="none" w:sz="0" w:space="0" w:color="auto"/>
        <w:right w:val="none" w:sz="0" w:space="0" w:color="auto"/>
      </w:divBdr>
    </w:div>
    <w:div w:id="1225337759">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249196658">
      <w:bodyDiv w:val="1"/>
      <w:marLeft w:val="0"/>
      <w:marRight w:val="0"/>
      <w:marTop w:val="0"/>
      <w:marBottom w:val="0"/>
      <w:divBdr>
        <w:top w:val="none" w:sz="0" w:space="0" w:color="auto"/>
        <w:left w:val="none" w:sz="0" w:space="0" w:color="auto"/>
        <w:bottom w:val="none" w:sz="0" w:space="0" w:color="auto"/>
        <w:right w:val="none" w:sz="0" w:space="0" w:color="auto"/>
      </w:divBdr>
    </w:div>
    <w:div w:id="1306543368">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14606291">
      <w:bodyDiv w:val="1"/>
      <w:marLeft w:val="0"/>
      <w:marRight w:val="0"/>
      <w:marTop w:val="0"/>
      <w:marBottom w:val="0"/>
      <w:divBdr>
        <w:top w:val="none" w:sz="0" w:space="0" w:color="auto"/>
        <w:left w:val="none" w:sz="0" w:space="0" w:color="auto"/>
        <w:bottom w:val="none" w:sz="0" w:space="0" w:color="auto"/>
        <w:right w:val="none" w:sz="0" w:space="0" w:color="auto"/>
      </w:divBdr>
    </w:div>
    <w:div w:id="1320621900">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39228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382444000">
      <w:bodyDiv w:val="1"/>
      <w:marLeft w:val="0"/>
      <w:marRight w:val="0"/>
      <w:marTop w:val="0"/>
      <w:marBottom w:val="0"/>
      <w:divBdr>
        <w:top w:val="none" w:sz="0" w:space="0" w:color="auto"/>
        <w:left w:val="none" w:sz="0" w:space="0" w:color="auto"/>
        <w:bottom w:val="none" w:sz="0" w:space="0" w:color="auto"/>
        <w:right w:val="none" w:sz="0" w:space="0" w:color="auto"/>
      </w:divBdr>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76140856">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589146854">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668558037">
      <w:bodyDiv w:val="1"/>
      <w:marLeft w:val="0"/>
      <w:marRight w:val="0"/>
      <w:marTop w:val="0"/>
      <w:marBottom w:val="0"/>
      <w:divBdr>
        <w:top w:val="none" w:sz="0" w:space="0" w:color="auto"/>
        <w:left w:val="none" w:sz="0" w:space="0" w:color="auto"/>
        <w:bottom w:val="none" w:sz="0" w:space="0" w:color="auto"/>
        <w:right w:val="none" w:sz="0" w:space="0" w:color="auto"/>
      </w:divBdr>
    </w:div>
    <w:div w:id="1691637162">
      <w:bodyDiv w:val="1"/>
      <w:marLeft w:val="0"/>
      <w:marRight w:val="0"/>
      <w:marTop w:val="0"/>
      <w:marBottom w:val="0"/>
      <w:divBdr>
        <w:top w:val="none" w:sz="0" w:space="0" w:color="auto"/>
        <w:left w:val="none" w:sz="0" w:space="0" w:color="auto"/>
        <w:bottom w:val="none" w:sz="0" w:space="0" w:color="auto"/>
        <w:right w:val="none" w:sz="0" w:space="0" w:color="auto"/>
      </w:divBdr>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
    <w:div w:id="172733280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06187251">
      <w:bodyDiv w:val="1"/>
      <w:marLeft w:val="0"/>
      <w:marRight w:val="0"/>
      <w:marTop w:val="0"/>
      <w:marBottom w:val="0"/>
      <w:divBdr>
        <w:top w:val="none" w:sz="0" w:space="0" w:color="auto"/>
        <w:left w:val="none" w:sz="0" w:space="0" w:color="auto"/>
        <w:bottom w:val="none" w:sz="0" w:space="0" w:color="auto"/>
        <w:right w:val="none" w:sz="0" w:space="0" w:color="auto"/>
      </w:divBdr>
    </w:div>
    <w:div w:id="1959069062">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1990746168">
      <w:bodyDiv w:val="1"/>
      <w:marLeft w:val="0"/>
      <w:marRight w:val="0"/>
      <w:marTop w:val="0"/>
      <w:marBottom w:val="0"/>
      <w:divBdr>
        <w:top w:val="none" w:sz="0" w:space="0" w:color="auto"/>
        <w:left w:val="none" w:sz="0" w:space="0" w:color="auto"/>
        <w:bottom w:val="none" w:sz="0" w:space="0" w:color="auto"/>
        <w:right w:val="none" w:sz="0" w:space="0" w:color="auto"/>
      </w:divBdr>
    </w:div>
    <w:div w:id="2060200765">
      <w:bodyDiv w:val="1"/>
      <w:marLeft w:val="0"/>
      <w:marRight w:val="0"/>
      <w:marTop w:val="0"/>
      <w:marBottom w:val="0"/>
      <w:divBdr>
        <w:top w:val="none" w:sz="0" w:space="0" w:color="auto"/>
        <w:left w:val="none" w:sz="0" w:space="0" w:color="auto"/>
        <w:bottom w:val="none" w:sz="0" w:space="0" w:color="auto"/>
        <w:right w:val="none" w:sz="0" w:space="0" w:color="auto"/>
      </w:divBdr>
    </w:div>
    <w:div w:id="2071145353">
      <w:bodyDiv w:val="1"/>
      <w:marLeft w:val="0"/>
      <w:marRight w:val="0"/>
      <w:marTop w:val="0"/>
      <w:marBottom w:val="0"/>
      <w:divBdr>
        <w:top w:val="none" w:sz="0" w:space="0" w:color="auto"/>
        <w:left w:val="none" w:sz="0" w:space="0" w:color="auto"/>
        <w:bottom w:val="none" w:sz="0" w:space="0" w:color="auto"/>
        <w:right w:val="none" w:sz="0" w:space="0" w:color="auto"/>
      </w:divBdr>
    </w:div>
    <w:div w:id="2123454218">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package" Target="embeddings/Microsoft_Word_Document1.docx"/><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3CD08F9-4F2A-436A-A9B6-0DBCA3D26DF3}"/>
</file>

<file path=customXml/itemProps2.xml><?xml version="1.0" encoding="utf-8"?>
<ds:datastoreItem xmlns:ds="http://schemas.openxmlformats.org/officeDocument/2006/customXml" ds:itemID="{F86EEA9B-8D1A-43BA-BCEB-86020B3E0098}"/>
</file>

<file path=customXml/itemProps3.xml><?xml version="1.0" encoding="utf-8"?>
<ds:datastoreItem xmlns:ds="http://schemas.openxmlformats.org/officeDocument/2006/customXml" ds:itemID="{D896BB0E-21C0-4AF7-9B0E-7289C40502A5}"/>
</file>

<file path=customXml/itemProps4.xml><?xml version="1.0" encoding="utf-8"?>
<ds:datastoreItem xmlns:ds="http://schemas.openxmlformats.org/officeDocument/2006/customXml" ds:itemID="{E17098B0-6FD5-4B45-B2AC-752B196A4CA2}"/>
</file>

<file path=customXml/itemProps5.xml><?xml version="1.0" encoding="utf-8"?>
<ds:datastoreItem xmlns:ds="http://schemas.openxmlformats.org/officeDocument/2006/customXml" ds:itemID="{FC04B5F3-EEE7-4B9B-8F8A-27A5565B8B9C}"/>
</file>

<file path=customXml/itemProps6.xml><?xml version="1.0" encoding="utf-8"?>
<ds:datastoreItem xmlns:ds="http://schemas.openxmlformats.org/officeDocument/2006/customXml" ds:itemID="{E38C53D1-5DE2-442B-803D-DCC47D0036DE}"/>
</file>

<file path=docProps/app.xml><?xml version="1.0" encoding="utf-8"?>
<Properties xmlns="http://schemas.openxmlformats.org/officeDocument/2006/extended-properties" xmlns:vt="http://schemas.openxmlformats.org/officeDocument/2006/docPropsVTypes">
  <Template>Normal.dotm</Template>
  <TotalTime>379</TotalTime>
  <Pages>34</Pages>
  <Words>7162</Words>
  <Characters>40828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Andrews, Liz</cp:lastModifiedBy>
  <cp:revision>28</cp:revision>
  <cp:lastPrinted>2016-02-16T15:46:00Z</cp:lastPrinted>
  <dcterms:created xsi:type="dcterms:W3CDTF">2016-02-09T19:16:00Z</dcterms:created>
  <dcterms:modified xsi:type="dcterms:W3CDTF">2016-02-16T22:28:00Z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