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42B9" w14:textId="77777777" w:rsidR="00501FFC" w:rsidRDefault="00501FFC" w:rsidP="00F748D8">
      <w:pPr>
        <w:tabs>
          <w:tab w:val="center" w:pos="4680"/>
        </w:tabs>
        <w:ind w:right="-108" w:hanging="180"/>
        <w:jc w:val="both"/>
        <w:rPr>
          <w:sz w:val="24"/>
        </w:rPr>
      </w:pPr>
    </w:p>
    <w:p w14:paraId="7B0B42BA" w14:textId="77777777" w:rsidR="00501FFC" w:rsidRDefault="00501FFC" w:rsidP="00F748D8">
      <w:pPr>
        <w:tabs>
          <w:tab w:val="center" w:pos="4680"/>
        </w:tabs>
        <w:ind w:right="-108" w:hanging="180"/>
        <w:jc w:val="both"/>
        <w:rPr>
          <w:sz w:val="24"/>
        </w:rPr>
      </w:pPr>
    </w:p>
    <w:p w14:paraId="7B0B42BB" w14:textId="77777777" w:rsidR="00501FFC" w:rsidRDefault="00501FFC" w:rsidP="00F748D8">
      <w:pPr>
        <w:tabs>
          <w:tab w:val="center" w:pos="4680"/>
        </w:tabs>
        <w:ind w:right="-108" w:hanging="180"/>
        <w:jc w:val="both"/>
        <w:rPr>
          <w:sz w:val="24"/>
        </w:rPr>
      </w:pPr>
    </w:p>
    <w:p w14:paraId="7B0B42BC" w14:textId="77777777" w:rsidR="00501FFC" w:rsidRDefault="00501FFC" w:rsidP="00F748D8">
      <w:pPr>
        <w:tabs>
          <w:tab w:val="center" w:pos="4680"/>
        </w:tabs>
        <w:ind w:right="-108" w:hanging="180"/>
        <w:jc w:val="both"/>
        <w:rPr>
          <w:sz w:val="24"/>
        </w:rPr>
      </w:pPr>
    </w:p>
    <w:p w14:paraId="7B0B42BD" w14:textId="77777777" w:rsidR="00501FFC" w:rsidRDefault="00501FFC" w:rsidP="00F748D8">
      <w:pPr>
        <w:tabs>
          <w:tab w:val="center" w:pos="4680"/>
        </w:tabs>
        <w:ind w:right="-108" w:hanging="180"/>
        <w:jc w:val="both"/>
        <w:rPr>
          <w:sz w:val="24"/>
        </w:rPr>
      </w:pPr>
    </w:p>
    <w:p w14:paraId="7B0B42BE"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7B0B42BF" w14:textId="77777777" w:rsidR="00F748D8" w:rsidRPr="004A2910" w:rsidRDefault="00F748D8" w:rsidP="00F748D8">
      <w:pPr>
        <w:jc w:val="both"/>
        <w:rPr>
          <w:sz w:val="24"/>
        </w:rPr>
      </w:pPr>
    </w:p>
    <w:p w14:paraId="7B0B42C0"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7B0B42CE" w14:textId="77777777">
        <w:tc>
          <w:tcPr>
            <w:tcW w:w="4590" w:type="dxa"/>
            <w:tcBorders>
              <w:top w:val="single" w:sz="6" w:space="0" w:color="FFFFFF"/>
              <w:left w:val="single" w:sz="6" w:space="0" w:color="FFFFFF"/>
              <w:bottom w:val="single" w:sz="7" w:space="0" w:color="000000"/>
              <w:right w:val="single" w:sz="6" w:space="0" w:color="FFFFFF"/>
            </w:tcBorders>
          </w:tcPr>
          <w:p w14:paraId="7B0B42C1" w14:textId="77777777" w:rsidR="00595D41" w:rsidRPr="00595D41" w:rsidRDefault="00F76604" w:rsidP="00595D41">
            <w:pPr>
              <w:rPr>
                <w:sz w:val="24"/>
              </w:rPr>
            </w:pPr>
            <w:r>
              <w:rPr>
                <w:sz w:val="24"/>
              </w:rPr>
              <w:t>WASHINGTON UTILITIES AND TRANSPORTATION COMMISSION</w:t>
            </w:r>
          </w:p>
          <w:p w14:paraId="7B0B42C2" w14:textId="77777777" w:rsidR="00595D41" w:rsidRPr="00595D41" w:rsidRDefault="00595D41" w:rsidP="00595D41">
            <w:pPr>
              <w:rPr>
                <w:sz w:val="24"/>
              </w:rPr>
            </w:pPr>
          </w:p>
          <w:p w14:paraId="7B0B42C3" w14:textId="77777777" w:rsidR="00595D41" w:rsidRPr="00595D41" w:rsidRDefault="00595D41" w:rsidP="00595D41">
            <w:pPr>
              <w:rPr>
                <w:sz w:val="24"/>
              </w:rPr>
            </w:pPr>
            <w:r w:rsidRPr="00595D41">
              <w:rPr>
                <w:sz w:val="24"/>
              </w:rPr>
              <w:tab/>
            </w:r>
            <w:r w:rsidRPr="00595D41">
              <w:rPr>
                <w:sz w:val="24"/>
              </w:rPr>
              <w:tab/>
              <w:t>Complainant,</w:t>
            </w:r>
          </w:p>
          <w:p w14:paraId="7B0B42C4" w14:textId="77777777" w:rsidR="00595D41" w:rsidRPr="00595D41" w:rsidRDefault="00595D41" w:rsidP="00595D41">
            <w:pPr>
              <w:rPr>
                <w:sz w:val="24"/>
              </w:rPr>
            </w:pPr>
          </w:p>
          <w:p w14:paraId="7B0B42C5" w14:textId="77777777" w:rsidR="00595D41" w:rsidRDefault="00595D41" w:rsidP="00595D41">
            <w:pPr>
              <w:rPr>
                <w:sz w:val="24"/>
              </w:rPr>
            </w:pPr>
            <w:r w:rsidRPr="00595D41">
              <w:rPr>
                <w:sz w:val="24"/>
              </w:rPr>
              <w:tab/>
              <w:t>v.</w:t>
            </w:r>
          </w:p>
          <w:p w14:paraId="7B0B42C6" w14:textId="77777777" w:rsidR="00F76604" w:rsidRPr="00595D41" w:rsidRDefault="00F76604" w:rsidP="00595D41">
            <w:pPr>
              <w:rPr>
                <w:sz w:val="24"/>
              </w:rPr>
            </w:pPr>
          </w:p>
          <w:p w14:paraId="7B0B42C7" w14:textId="77777777" w:rsidR="00595D41" w:rsidRPr="00595D41" w:rsidRDefault="00F76604" w:rsidP="00595D41">
            <w:pPr>
              <w:rPr>
                <w:sz w:val="24"/>
              </w:rPr>
            </w:pPr>
            <w:r>
              <w:rPr>
                <w:sz w:val="24"/>
              </w:rPr>
              <w:t>WASTE CONTROL, INC.</w:t>
            </w:r>
          </w:p>
          <w:p w14:paraId="7B0B42C8" w14:textId="77777777" w:rsidR="00595D41" w:rsidRPr="00595D41" w:rsidRDefault="00595D41" w:rsidP="00595D41">
            <w:pPr>
              <w:rPr>
                <w:sz w:val="24"/>
              </w:rPr>
            </w:pPr>
          </w:p>
          <w:p w14:paraId="7B0B42C9" w14:textId="77777777" w:rsidR="00F748D8" w:rsidRDefault="00595D41" w:rsidP="00595D41">
            <w:pPr>
              <w:spacing w:after="19"/>
              <w:rPr>
                <w:sz w:val="24"/>
              </w:rPr>
            </w:pPr>
            <w:r w:rsidRPr="00595D41">
              <w:rPr>
                <w:sz w:val="24"/>
              </w:rPr>
              <w:tab/>
            </w:r>
            <w:r w:rsidRPr="00595D41">
              <w:rPr>
                <w:sz w:val="24"/>
              </w:rPr>
              <w:tab/>
              <w:t>Respondent.</w:t>
            </w:r>
          </w:p>
          <w:p w14:paraId="7B0B42CA"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7B0B42CB" w14:textId="77777777" w:rsidR="00F748D8" w:rsidRPr="004A2910" w:rsidRDefault="004C3D65" w:rsidP="00C5478B">
            <w:pPr>
              <w:ind w:firstLine="720"/>
              <w:rPr>
                <w:sz w:val="24"/>
              </w:rPr>
            </w:pPr>
            <w:r>
              <w:rPr>
                <w:sz w:val="24"/>
              </w:rPr>
              <w:t xml:space="preserve">DOCKET </w:t>
            </w:r>
            <w:r w:rsidR="00F76604">
              <w:rPr>
                <w:sz w:val="24"/>
              </w:rPr>
              <w:t>TG-140560</w:t>
            </w:r>
          </w:p>
          <w:p w14:paraId="7B0B42CC" w14:textId="77777777" w:rsidR="00F748D8" w:rsidRPr="004A2910" w:rsidRDefault="00F748D8" w:rsidP="00C5478B">
            <w:pPr>
              <w:rPr>
                <w:sz w:val="24"/>
              </w:rPr>
            </w:pPr>
          </w:p>
          <w:p w14:paraId="7B0B42CD" w14:textId="77777777" w:rsidR="00F748D8" w:rsidRPr="004A2910" w:rsidRDefault="00F76604" w:rsidP="00C5478B">
            <w:pPr>
              <w:spacing w:after="19"/>
              <w:ind w:left="720"/>
              <w:rPr>
                <w:sz w:val="24"/>
              </w:rPr>
            </w:pPr>
            <w:r>
              <w:rPr>
                <w:sz w:val="24"/>
              </w:rPr>
              <w:t>STAFF’S RESPONSE TO WASTE CONTROL INC.’S MOTION TO ALLOW TEMPORARY RATES SUBJECT TO REFUND AT THE PROPOSED SETTLEMENT LEVEL FILED IN OCTOBER 2014</w:t>
            </w:r>
          </w:p>
        </w:tc>
      </w:tr>
    </w:tbl>
    <w:p w14:paraId="7B0B42CF" w14:textId="77777777" w:rsidR="00F748D8" w:rsidRDefault="00F748D8" w:rsidP="00F748D8">
      <w:pPr>
        <w:jc w:val="both"/>
        <w:rPr>
          <w:sz w:val="24"/>
        </w:rPr>
      </w:pPr>
    </w:p>
    <w:p w14:paraId="7B0B42D0" w14:textId="77777777" w:rsidR="00F748D8" w:rsidRDefault="00BF28DD" w:rsidP="00BF28DD">
      <w:pPr>
        <w:pStyle w:val="ListParagraph"/>
        <w:numPr>
          <w:ilvl w:val="0"/>
          <w:numId w:val="3"/>
        </w:numPr>
        <w:ind w:left="720" w:hanging="630"/>
        <w:jc w:val="center"/>
        <w:rPr>
          <w:b/>
          <w:sz w:val="24"/>
        </w:rPr>
      </w:pPr>
      <w:r w:rsidRPr="00BF28DD">
        <w:rPr>
          <w:b/>
          <w:sz w:val="24"/>
        </w:rPr>
        <w:t>INTRODUCTION</w:t>
      </w:r>
    </w:p>
    <w:p w14:paraId="7B0B42D1" w14:textId="77777777" w:rsidR="00BF28DD" w:rsidRPr="00BF28DD" w:rsidRDefault="00BF28DD" w:rsidP="00BF28DD">
      <w:pPr>
        <w:pStyle w:val="ListParagraph"/>
        <w:rPr>
          <w:b/>
          <w:sz w:val="24"/>
        </w:rPr>
      </w:pPr>
    </w:p>
    <w:p w14:paraId="7B0B42D2" w14:textId="77777777" w:rsidR="00F748D8" w:rsidRDefault="00BF28DD" w:rsidP="00AC2ED4">
      <w:pPr>
        <w:numPr>
          <w:ilvl w:val="0"/>
          <w:numId w:val="2"/>
        </w:numPr>
        <w:spacing w:line="480" w:lineRule="auto"/>
        <w:rPr>
          <w:sz w:val="24"/>
        </w:rPr>
      </w:pPr>
      <w:r>
        <w:rPr>
          <w:sz w:val="24"/>
        </w:rPr>
        <w:t xml:space="preserve"> </w:t>
      </w:r>
      <w:r>
        <w:rPr>
          <w:sz w:val="24"/>
        </w:rPr>
        <w:tab/>
      </w:r>
      <w:r w:rsidR="00F76604">
        <w:rPr>
          <w:sz w:val="24"/>
        </w:rPr>
        <w:t>Washington Utilities and Transportation Commission Staff (“Staff”) files the following, limited response to Waste Control, Inc.’s (“Waste Control” or “Company”) recent motion seeking temporary rate relief.</w:t>
      </w:r>
    </w:p>
    <w:p w14:paraId="7B0B42D3" w14:textId="77777777" w:rsidR="00BF28DD" w:rsidRPr="00BF28DD" w:rsidRDefault="00BF28DD" w:rsidP="00BF28DD">
      <w:pPr>
        <w:pStyle w:val="ListParagraph"/>
        <w:numPr>
          <w:ilvl w:val="0"/>
          <w:numId w:val="3"/>
        </w:numPr>
        <w:spacing w:line="480" w:lineRule="auto"/>
        <w:ind w:left="720" w:hanging="630"/>
        <w:jc w:val="center"/>
        <w:rPr>
          <w:b/>
          <w:sz w:val="24"/>
        </w:rPr>
      </w:pPr>
      <w:r w:rsidRPr="00BF28DD">
        <w:rPr>
          <w:b/>
          <w:sz w:val="24"/>
        </w:rPr>
        <w:t>STAFF’S POSITION</w:t>
      </w:r>
      <w:r w:rsidR="00FA3180">
        <w:rPr>
          <w:b/>
          <w:sz w:val="24"/>
        </w:rPr>
        <w:t xml:space="preserve"> ON ADDITIONAL TEMPORARY RATES</w:t>
      </w:r>
    </w:p>
    <w:p w14:paraId="7B0B42D4" w14:textId="77777777" w:rsidR="00BF28DD" w:rsidRPr="00BF28DD" w:rsidRDefault="00BF28DD" w:rsidP="001F49CF">
      <w:pPr>
        <w:pStyle w:val="ListParagraph"/>
        <w:numPr>
          <w:ilvl w:val="0"/>
          <w:numId w:val="4"/>
        </w:numPr>
        <w:spacing w:line="480" w:lineRule="auto"/>
        <w:ind w:hanging="720"/>
        <w:jc w:val="both"/>
        <w:rPr>
          <w:b/>
          <w:sz w:val="24"/>
        </w:rPr>
      </w:pPr>
      <w:r w:rsidRPr="00BF28DD">
        <w:rPr>
          <w:b/>
          <w:sz w:val="24"/>
        </w:rPr>
        <w:t xml:space="preserve">Staff </w:t>
      </w:r>
      <w:r w:rsidR="00FA3180">
        <w:rPr>
          <w:b/>
          <w:sz w:val="24"/>
        </w:rPr>
        <w:t>does not object</w:t>
      </w:r>
      <w:r>
        <w:rPr>
          <w:b/>
          <w:sz w:val="24"/>
        </w:rPr>
        <w:t xml:space="preserve"> </w:t>
      </w:r>
      <w:r w:rsidR="00B97B8C">
        <w:rPr>
          <w:b/>
          <w:sz w:val="24"/>
        </w:rPr>
        <w:t>to the Company’s proposal</w:t>
      </w:r>
    </w:p>
    <w:p w14:paraId="7B0B42D5" w14:textId="77777777" w:rsidR="00B97B8C" w:rsidRDefault="00BF28DD" w:rsidP="00AC2ED4">
      <w:pPr>
        <w:numPr>
          <w:ilvl w:val="0"/>
          <w:numId w:val="2"/>
        </w:numPr>
        <w:spacing w:line="480" w:lineRule="auto"/>
        <w:rPr>
          <w:sz w:val="24"/>
        </w:rPr>
      </w:pPr>
      <w:r>
        <w:rPr>
          <w:sz w:val="24"/>
        </w:rPr>
        <w:t xml:space="preserve"> </w:t>
      </w:r>
      <w:r>
        <w:rPr>
          <w:sz w:val="24"/>
        </w:rPr>
        <w:tab/>
      </w:r>
      <w:r w:rsidR="00B97B8C">
        <w:rPr>
          <w:sz w:val="24"/>
        </w:rPr>
        <w:t xml:space="preserve">Staff has been unable to find precedential authority supporting or refuting what the Company clearly acknowledges as a unique request.  Given the lack of precedent and Staff’s obligation to prepare for the upcoming hearing and briefing in the above-referenced case, Staff has no substantive argument for or against Waste Control’s motion for temporary rates.  </w:t>
      </w:r>
    </w:p>
    <w:p w14:paraId="1633827D" w14:textId="028B0510" w:rsidR="001F49CF" w:rsidRDefault="00BF28DD" w:rsidP="00AC2ED4">
      <w:pPr>
        <w:pStyle w:val="ListParagraph"/>
        <w:numPr>
          <w:ilvl w:val="0"/>
          <w:numId w:val="4"/>
        </w:numPr>
        <w:ind w:hanging="720"/>
        <w:rPr>
          <w:b/>
          <w:sz w:val="24"/>
        </w:rPr>
      </w:pPr>
      <w:r w:rsidRPr="00BF28DD">
        <w:rPr>
          <w:b/>
          <w:sz w:val="24"/>
        </w:rPr>
        <w:t>If the Commission grants the Company’s request</w:t>
      </w:r>
      <w:r w:rsidR="00B97B8C">
        <w:rPr>
          <w:b/>
          <w:sz w:val="24"/>
        </w:rPr>
        <w:t xml:space="preserve"> for temporary rates</w:t>
      </w:r>
      <w:r w:rsidRPr="00BF28DD">
        <w:rPr>
          <w:b/>
          <w:sz w:val="24"/>
        </w:rPr>
        <w:t>, the Commission should employ Staff’s proposed rate design</w:t>
      </w:r>
    </w:p>
    <w:p w14:paraId="6CE75A95" w14:textId="77777777" w:rsidR="001F49CF" w:rsidRPr="001F49CF" w:rsidRDefault="001F49CF" w:rsidP="001F49CF">
      <w:pPr>
        <w:jc w:val="both"/>
        <w:rPr>
          <w:b/>
          <w:sz w:val="24"/>
        </w:rPr>
      </w:pPr>
    </w:p>
    <w:p w14:paraId="7B0B42D7" w14:textId="77777777" w:rsidR="00277600" w:rsidRDefault="00BF28DD" w:rsidP="00AC2ED4">
      <w:pPr>
        <w:numPr>
          <w:ilvl w:val="0"/>
          <w:numId w:val="2"/>
        </w:numPr>
        <w:spacing w:line="480" w:lineRule="auto"/>
        <w:rPr>
          <w:sz w:val="24"/>
        </w:rPr>
      </w:pPr>
      <w:r>
        <w:rPr>
          <w:sz w:val="24"/>
        </w:rPr>
        <w:t xml:space="preserve"> </w:t>
      </w:r>
      <w:r>
        <w:rPr>
          <w:sz w:val="24"/>
        </w:rPr>
        <w:tab/>
      </w:r>
      <w:r w:rsidR="00F76604">
        <w:rPr>
          <w:sz w:val="24"/>
        </w:rPr>
        <w:t>Should the Commission allow the Company’s request, Staff recommends the Commission set</w:t>
      </w:r>
      <w:r w:rsidR="009203F2">
        <w:rPr>
          <w:sz w:val="24"/>
        </w:rPr>
        <w:t xml:space="preserve"> additional interim</w:t>
      </w:r>
      <w:r w:rsidR="00F76604">
        <w:rPr>
          <w:sz w:val="24"/>
        </w:rPr>
        <w:t xml:space="preserve"> temporary rates subject to refund on the basis of Staff’s </w:t>
      </w:r>
      <w:r w:rsidR="00F76604">
        <w:rPr>
          <w:sz w:val="24"/>
        </w:rPr>
        <w:lastRenderedPageBreak/>
        <w:t xml:space="preserve">recommended rate design.  </w:t>
      </w:r>
      <w:r w:rsidR="00277600">
        <w:rPr>
          <w:sz w:val="24"/>
        </w:rPr>
        <w:t xml:space="preserve">For ease of reference, Staff’s </w:t>
      </w:r>
      <w:r w:rsidR="00277600" w:rsidRPr="009377D3">
        <w:rPr>
          <w:sz w:val="24"/>
        </w:rPr>
        <w:t>Attachment A</w:t>
      </w:r>
      <w:r w:rsidR="00F837CB" w:rsidRPr="009377D3">
        <w:rPr>
          <w:sz w:val="24"/>
        </w:rPr>
        <w:t>1</w:t>
      </w:r>
      <w:r w:rsidR="00277600">
        <w:rPr>
          <w:sz w:val="24"/>
        </w:rPr>
        <w:t xml:space="preserve"> to this response reflects an updated version of Staff’s previously-filed rate design spreadsheet, Exhibit MC-12.</w:t>
      </w:r>
      <w:r w:rsidR="00EA14AD">
        <w:rPr>
          <w:rStyle w:val="FootnoteReference"/>
          <w:sz w:val="24"/>
        </w:rPr>
        <w:footnoteReference w:id="2"/>
      </w:r>
      <w:r w:rsidR="00277600">
        <w:rPr>
          <w:sz w:val="24"/>
        </w:rPr>
        <w:t xml:space="preserve">  </w:t>
      </w:r>
      <w:r w:rsidR="00A37524" w:rsidRPr="009377D3">
        <w:rPr>
          <w:sz w:val="24"/>
        </w:rPr>
        <w:t>Attachment A</w:t>
      </w:r>
      <w:r w:rsidR="00F837CB" w:rsidRPr="009377D3">
        <w:rPr>
          <w:sz w:val="24"/>
        </w:rPr>
        <w:t>1</w:t>
      </w:r>
      <w:r w:rsidR="00A37524">
        <w:rPr>
          <w:sz w:val="24"/>
        </w:rPr>
        <w:t xml:space="preserve"> reflects Staff’s proposed rate design methodology in Staff’s testimony MC-11T filed on August 15, 2014, the adjusted revenue requirement based on the Parties’ proposed settlement,</w:t>
      </w:r>
      <w:r w:rsidR="00A37524">
        <w:rPr>
          <w:rStyle w:val="FootnoteReference"/>
          <w:sz w:val="24"/>
        </w:rPr>
        <w:footnoteReference w:id="3"/>
      </w:r>
      <w:r w:rsidR="00A37524">
        <w:rPr>
          <w:sz w:val="24"/>
        </w:rPr>
        <w:t xml:space="preserve"> and Staff’s response to Bench Request No. 1.  </w:t>
      </w:r>
      <w:r w:rsidR="005F652A">
        <w:rPr>
          <w:sz w:val="24"/>
        </w:rPr>
        <w:t>S</w:t>
      </w:r>
      <w:r w:rsidR="001E487B">
        <w:rPr>
          <w:sz w:val="24"/>
        </w:rPr>
        <w:t xml:space="preserve">pecifically, </w:t>
      </w:r>
      <w:r w:rsidR="00EA14AD">
        <w:rPr>
          <w:sz w:val="24"/>
        </w:rPr>
        <w:t xml:space="preserve">Staff’s </w:t>
      </w:r>
      <w:r w:rsidR="00EA14AD" w:rsidRPr="009377D3">
        <w:rPr>
          <w:sz w:val="24"/>
        </w:rPr>
        <w:t xml:space="preserve">Attachment </w:t>
      </w:r>
      <w:r w:rsidR="005F652A" w:rsidRPr="009377D3">
        <w:rPr>
          <w:sz w:val="24"/>
        </w:rPr>
        <w:t>A</w:t>
      </w:r>
      <w:r w:rsidR="00F837CB" w:rsidRPr="009377D3">
        <w:rPr>
          <w:sz w:val="24"/>
        </w:rPr>
        <w:t>1</w:t>
      </w:r>
      <w:r w:rsidR="005F652A">
        <w:rPr>
          <w:sz w:val="24"/>
        </w:rPr>
        <w:t xml:space="preserve"> </w:t>
      </w:r>
      <w:r w:rsidR="00EA14AD">
        <w:rPr>
          <w:sz w:val="24"/>
        </w:rPr>
        <w:t xml:space="preserve">reflects a $339,912 revenue </w:t>
      </w:r>
      <w:r w:rsidR="00F837CB">
        <w:rPr>
          <w:sz w:val="24"/>
        </w:rPr>
        <w:t>deficiency (i.e. additional annual revenue)</w:t>
      </w:r>
      <w:r w:rsidR="00EA14AD">
        <w:rPr>
          <w:sz w:val="24"/>
        </w:rPr>
        <w:t>, and assigns $317,649 to regulated operations with the remaining $22,264 assigned to non-regulated</w:t>
      </w:r>
      <w:r w:rsidR="005F69A4">
        <w:rPr>
          <w:sz w:val="24"/>
        </w:rPr>
        <w:t xml:space="preserve"> Kalama</w:t>
      </w:r>
      <w:r w:rsidR="00EA14AD">
        <w:rPr>
          <w:sz w:val="24"/>
        </w:rPr>
        <w:t xml:space="preserve"> operations. </w:t>
      </w:r>
    </w:p>
    <w:p w14:paraId="7B0B42D8" w14:textId="77777777" w:rsidR="0064648A" w:rsidRDefault="0064648A" w:rsidP="00F748D8">
      <w:pPr>
        <w:numPr>
          <w:ilvl w:val="0"/>
          <w:numId w:val="2"/>
        </w:numPr>
        <w:spacing w:line="480" w:lineRule="auto"/>
        <w:jc w:val="both"/>
        <w:rPr>
          <w:sz w:val="24"/>
        </w:rPr>
      </w:pPr>
      <w:r>
        <w:rPr>
          <w:sz w:val="24"/>
        </w:rPr>
        <w:t xml:space="preserve"> </w:t>
      </w:r>
      <w:r>
        <w:rPr>
          <w:sz w:val="24"/>
        </w:rPr>
        <w:tab/>
        <w:t>Staff disagrees with Waste Control’s rate design</w:t>
      </w:r>
      <w:r>
        <w:rPr>
          <w:rStyle w:val="FootnoteReference"/>
          <w:sz w:val="24"/>
        </w:rPr>
        <w:footnoteReference w:id="4"/>
      </w:r>
      <w:r>
        <w:rPr>
          <w:sz w:val="24"/>
        </w:rPr>
        <w:t xml:space="preserve">  for the following reasons:</w:t>
      </w:r>
    </w:p>
    <w:p w14:paraId="7B0B42D9" w14:textId="77777777" w:rsidR="0064648A" w:rsidRDefault="0064648A" w:rsidP="00AC2ED4">
      <w:pPr>
        <w:pStyle w:val="ListParagraph"/>
        <w:numPr>
          <w:ilvl w:val="0"/>
          <w:numId w:val="5"/>
        </w:numPr>
        <w:ind w:left="1080"/>
        <w:rPr>
          <w:sz w:val="24"/>
        </w:rPr>
      </w:pPr>
      <w:r w:rsidRPr="0064648A">
        <w:rPr>
          <w:sz w:val="24"/>
        </w:rPr>
        <w:t xml:space="preserve">The </w:t>
      </w:r>
      <w:r w:rsidR="005221ED">
        <w:rPr>
          <w:sz w:val="24"/>
        </w:rPr>
        <w:t xml:space="preserve">Company’s </w:t>
      </w:r>
      <w:r w:rsidRPr="0064648A">
        <w:rPr>
          <w:sz w:val="24"/>
        </w:rPr>
        <w:t xml:space="preserve">“Price Out” worksheet utilizes unsupported adjusted customer counts for each line of service (which are different from the actual customer counts used by Staff and provided by the Company in Exhibit JD-11, worksheet “WP-8 – Cust Count (x per wk)”). </w:t>
      </w:r>
    </w:p>
    <w:p w14:paraId="7B0B42DA" w14:textId="77777777" w:rsidR="0064648A" w:rsidRPr="0064648A" w:rsidRDefault="0064648A" w:rsidP="00AC2ED4">
      <w:pPr>
        <w:pStyle w:val="ListParagraph"/>
        <w:ind w:left="1080"/>
        <w:rPr>
          <w:sz w:val="24"/>
        </w:rPr>
      </w:pPr>
    </w:p>
    <w:p w14:paraId="7B0B42DB" w14:textId="77777777" w:rsidR="0064648A" w:rsidRDefault="0064648A" w:rsidP="00AC2ED4">
      <w:pPr>
        <w:pStyle w:val="ListParagraph"/>
        <w:numPr>
          <w:ilvl w:val="0"/>
          <w:numId w:val="5"/>
        </w:numPr>
        <w:ind w:left="1080"/>
        <w:rPr>
          <w:sz w:val="24"/>
        </w:rPr>
      </w:pPr>
      <w:r w:rsidRPr="0064648A">
        <w:rPr>
          <w:sz w:val="24"/>
        </w:rPr>
        <w:t xml:space="preserve">The </w:t>
      </w:r>
      <w:r w:rsidR="005221ED">
        <w:rPr>
          <w:sz w:val="24"/>
        </w:rPr>
        <w:t xml:space="preserve">Company’s </w:t>
      </w:r>
      <w:r w:rsidRPr="0064648A">
        <w:rPr>
          <w:sz w:val="24"/>
        </w:rPr>
        <w:t>proposed rates generate approximately $15,000 more additional annual revenue than Staff’s recommended revenue deficiency.</w:t>
      </w:r>
    </w:p>
    <w:p w14:paraId="7B0B42DC" w14:textId="77777777" w:rsidR="0064648A" w:rsidRPr="0064648A" w:rsidRDefault="0064648A" w:rsidP="00AC2ED4">
      <w:pPr>
        <w:pStyle w:val="ListParagraph"/>
        <w:ind w:left="1080"/>
        <w:rPr>
          <w:sz w:val="24"/>
        </w:rPr>
      </w:pPr>
    </w:p>
    <w:p w14:paraId="7B0B42DD" w14:textId="77777777" w:rsidR="0064648A" w:rsidRDefault="0064648A" w:rsidP="00AC2ED4">
      <w:pPr>
        <w:pStyle w:val="ListParagraph"/>
        <w:numPr>
          <w:ilvl w:val="0"/>
          <w:numId w:val="5"/>
        </w:numPr>
        <w:ind w:left="1080"/>
        <w:rPr>
          <w:sz w:val="24"/>
        </w:rPr>
      </w:pPr>
      <w:r w:rsidRPr="0064648A">
        <w:rPr>
          <w:sz w:val="24"/>
        </w:rPr>
        <w:t xml:space="preserve">The </w:t>
      </w:r>
      <w:r w:rsidR="005221ED">
        <w:rPr>
          <w:sz w:val="24"/>
        </w:rPr>
        <w:t xml:space="preserve">Company’s </w:t>
      </w:r>
      <w:r w:rsidRPr="0064648A">
        <w:rPr>
          <w:sz w:val="24"/>
        </w:rPr>
        <w:t>“Price Out” worksheet proposes rates for non-regulated Kalama operations which are not included in this proceeding.</w:t>
      </w:r>
    </w:p>
    <w:p w14:paraId="7B0B42DE" w14:textId="77777777" w:rsidR="0064648A" w:rsidRPr="0064648A" w:rsidRDefault="0064648A" w:rsidP="00AC2ED4">
      <w:pPr>
        <w:ind w:left="1080"/>
        <w:rPr>
          <w:sz w:val="24"/>
        </w:rPr>
      </w:pPr>
    </w:p>
    <w:p w14:paraId="7B0B42DF" w14:textId="77777777" w:rsidR="0064648A" w:rsidRDefault="0064648A" w:rsidP="00AC2ED4">
      <w:pPr>
        <w:pStyle w:val="ListParagraph"/>
        <w:numPr>
          <w:ilvl w:val="0"/>
          <w:numId w:val="5"/>
        </w:numPr>
        <w:ind w:left="1080"/>
        <w:rPr>
          <w:sz w:val="24"/>
        </w:rPr>
      </w:pPr>
      <w:r w:rsidRPr="0064648A">
        <w:rPr>
          <w:sz w:val="24"/>
        </w:rPr>
        <w:t xml:space="preserve">The </w:t>
      </w:r>
      <w:r w:rsidR="005221ED">
        <w:rPr>
          <w:sz w:val="24"/>
        </w:rPr>
        <w:t xml:space="preserve">Company’s </w:t>
      </w:r>
      <w:r w:rsidRPr="0064648A">
        <w:rPr>
          <w:sz w:val="24"/>
        </w:rPr>
        <w:t xml:space="preserve">“Rate design” worksheet uses two separate calculated </w:t>
      </w:r>
      <w:r w:rsidR="00F837CB">
        <w:rPr>
          <w:sz w:val="24"/>
        </w:rPr>
        <w:t xml:space="preserve">increase </w:t>
      </w:r>
      <w:r w:rsidRPr="0064648A">
        <w:rPr>
          <w:sz w:val="24"/>
        </w:rPr>
        <w:t>percentage</w:t>
      </w:r>
      <w:r w:rsidR="00F837CB">
        <w:rPr>
          <w:sz w:val="24"/>
        </w:rPr>
        <w:t>s to increase</w:t>
      </w:r>
      <w:r w:rsidRPr="0064648A">
        <w:rPr>
          <w:sz w:val="24"/>
        </w:rPr>
        <w:t xml:space="preserve"> rate</w:t>
      </w:r>
      <w:r w:rsidR="007672C0">
        <w:rPr>
          <w:sz w:val="24"/>
        </w:rPr>
        <w:t>s</w:t>
      </w:r>
      <w:r w:rsidRPr="0064648A">
        <w:rPr>
          <w:sz w:val="24"/>
        </w:rPr>
        <w:t xml:space="preserve"> instead of increasing all rates by the same calculated increase</w:t>
      </w:r>
      <w:r w:rsidR="00F837CB">
        <w:rPr>
          <w:sz w:val="24"/>
        </w:rPr>
        <w:t xml:space="preserve"> </w:t>
      </w:r>
      <w:r w:rsidR="00F63AD0">
        <w:rPr>
          <w:sz w:val="24"/>
        </w:rPr>
        <w:t>percentage</w:t>
      </w:r>
      <w:r w:rsidRPr="0064648A">
        <w:rPr>
          <w:sz w:val="24"/>
        </w:rPr>
        <w:t>.</w:t>
      </w:r>
    </w:p>
    <w:p w14:paraId="7B0B42E0" w14:textId="77777777" w:rsidR="0064648A" w:rsidRPr="0064648A" w:rsidRDefault="0064648A" w:rsidP="00AC2ED4">
      <w:pPr>
        <w:ind w:left="1080"/>
        <w:rPr>
          <w:sz w:val="24"/>
        </w:rPr>
      </w:pPr>
    </w:p>
    <w:p w14:paraId="7B0B42E1" w14:textId="77777777" w:rsidR="0064648A" w:rsidRDefault="0064648A" w:rsidP="00AC2ED4">
      <w:pPr>
        <w:pStyle w:val="ListParagraph"/>
        <w:numPr>
          <w:ilvl w:val="0"/>
          <w:numId w:val="5"/>
        </w:numPr>
        <w:ind w:left="1080"/>
        <w:rPr>
          <w:sz w:val="24"/>
        </w:rPr>
      </w:pPr>
      <w:r w:rsidRPr="0064648A">
        <w:rPr>
          <w:sz w:val="24"/>
        </w:rPr>
        <w:t xml:space="preserve">The </w:t>
      </w:r>
      <w:r w:rsidR="005221ED">
        <w:rPr>
          <w:sz w:val="24"/>
        </w:rPr>
        <w:t xml:space="preserve">Company’s </w:t>
      </w:r>
      <w:r w:rsidRPr="0064648A">
        <w:rPr>
          <w:sz w:val="24"/>
        </w:rPr>
        <w:t>“Rate design” worksheet includes proposed rates for Toutle hauls and rents that are not already included in Tariff 14 or suspended Tariff 15.</w:t>
      </w:r>
    </w:p>
    <w:p w14:paraId="7B0B42E2" w14:textId="77777777" w:rsidR="0064648A" w:rsidRPr="0064648A" w:rsidRDefault="0064648A" w:rsidP="0064648A">
      <w:pPr>
        <w:pStyle w:val="ListParagraph"/>
        <w:rPr>
          <w:sz w:val="24"/>
        </w:rPr>
      </w:pPr>
    </w:p>
    <w:p w14:paraId="3F9ED427" w14:textId="77777777" w:rsidR="001F49CF" w:rsidRDefault="008918FE" w:rsidP="001F49CF">
      <w:pPr>
        <w:pStyle w:val="ListParagraph"/>
        <w:numPr>
          <w:ilvl w:val="0"/>
          <w:numId w:val="3"/>
        </w:numPr>
        <w:jc w:val="center"/>
        <w:rPr>
          <w:b/>
          <w:sz w:val="24"/>
        </w:rPr>
      </w:pPr>
      <w:r>
        <w:rPr>
          <w:b/>
          <w:sz w:val="24"/>
        </w:rPr>
        <w:lastRenderedPageBreak/>
        <w:t xml:space="preserve">STAFF CANNOT </w:t>
      </w:r>
      <w:r w:rsidR="00500E71">
        <w:rPr>
          <w:b/>
          <w:sz w:val="24"/>
        </w:rPr>
        <w:t>CONFIRM</w:t>
      </w:r>
      <w:r>
        <w:rPr>
          <w:b/>
          <w:sz w:val="24"/>
        </w:rPr>
        <w:t xml:space="preserve"> THE COMPANY’S CLAIMS </w:t>
      </w:r>
    </w:p>
    <w:p w14:paraId="7B0B42E4" w14:textId="157A0E56" w:rsidR="008918FE" w:rsidRDefault="008918FE" w:rsidP="001F49CF">
      <w:pPr>
        <w:pStyle w:val="ListParagraph"/>
        <w:ind w:left="0"/>
        <w:jc w:val="center"/>
        <w:rPr>
          <w:b/>
          <w:sz w:val="24"/>
        </w:rPr>
      </w:pPr>
      <w:r>
        <w:rPr>
          <w:b/>
          <w:sz w:val="24"/>
        </w:rPr>
        <w:t>REGARDING UNION BANK LOAN COVENANTS</w:t>
      </w:r>
    </w:p>
    <w:p w14:paraId="637187F8" w14:textId="77777777" w:rsidR="001F49CF" w:rsidRPr="008918FE" w:rsidRDefault="001F49CF" w:rsidP="001F49CF">
      <w:pPr>
        <w:pStyle w:val="ListParagraph"/>
        <w:ind w:left="0"/>
        <w:rPr>
          <w:b/>
          <w:sz w:val="24"/>
        </w:rPr>
      </w:pPr>
    </w:p>
    <w:p w14:paraId="7B0B42E5" w14:textId="77777777" w:rsidR="00FA3180" w:rsidRDefault="008918FE" w:rsidP="00AC2ED4">
      <w:pPr>
        <w:numPr>
          <w:ilvl w:val="0"/>
          <w:numId w:val="2"/>
        </w:numPr>
        <w:spacing w:line="480" w:lineRule="auto"/>
        <w:rPr>
          <w:sz w:val="24"/>
        </w:rPr>
      </w:pPr>
      <w:r>
        <w:rPr>
          <w:sz w:val="24"/>
        </w:rPr>
        <w:t xml:space="preserve"> </w:t>
      </w:r>
      <w:r>
        <w:rPr>
          <w:sz w:val="24"/>
        </w:rPr>
        <w:tab/>
      </w:r>
      <w:r w:rsidR="00FA3180">
        <w:rPr>
          <w:sz w:val="24"/>
        </w:rPr>
        <w:t>The Company argues that its declining financial position require</w:t>
      </w:r>
      <w:r w:rsidR="00500E71">
        <w:rPr>
          <w:sz w:val="24"/>
        </w:rPr>
        <w:t>s</w:t>
      </w:r>
      <w:r w:rsidR="00FA3180">
        <w:rPr>
          <w:sz w:val="24"/>
        </w:rPr>
        <w:t xml:space="preserve"> </w:t>
      </w:r>
      <w:r w:rsidR="00A37524">
        <w:rPr>
          <w:sz w:val="24"/>
        </w:rPr>
        <w:t xml:space="preserve">a </w:t>
      </w:r>
      <w:r w:rsidR="00FA3180">
        <w:rPr>
          <w:sz w:val="24"/>
        </w:rPr>
        <w:t>request for</w:t>
      </w:r>
      <w:r w:rsidR="00A37524">
        <w:rPr>
          <w:sz w:val="24"/>
        </w:rPr>
        <w:t xml:space="preserve"> additional</w:t>
      </w:r>
      <w:r w:rsidR="00FA3180">
        <w:rPr>
          <w:sz w:val="24"/>
        </w:rPr>
        <w:t xml:space="preserve"> temporary rate relief. </w:t>
      </w:r>
      <w:r w:rsidR="00A37524">
        <w:rPr>
          <w:sz w:val="24"/>
        </w:rPr>
        <w:t xml:space="preserve"> </w:t>
      </w:r>
      <w:r w:rsidR="00FA3180">
        <w:rPr>
          <w:sz w:val="24"/>
        </w:rPr>
        <w:t>Specifically, Waste Control’s motion and the accompanying declaration of Ms. Jacqueline Davis state that an affiliated entity,</w:t>
      </w:r>
      <w:r w:rsidR="0038090D" w:rsidRPr="0038090D">
        <w:rPr>
          <w:sz w:val="24"/>
        </w:rPr>
        <w:t xml:space="preserve"> </w:t>
      </w:r>
      <w:r w:rsidR="0038090D">
        <w:rPr>
          <w:sz w:val="24"/>
        </w:rPr>
        <w:t>Heirborne Investments I (“HBI”),</w:t>
      </w:r>
      <w:r w:rsidR="00FA3180">
        <w:rPr>
          <w:sz w:val="24"/>
        </w:rPr>
        <w:t xml:space="preserve"> is in violation of loan covenants due to the current financial position of Waste Control.  </w:t>
      </w:r>
    </w:p>
    <w:p w14:paraId="7B0B42E6" w14:textId="77777777" w:rsidR="008918FE" w:rsidRDefault="00FA3180" w:rsidP="00AC2ED4">
      <w:pPr>
        <w:numPr>
          <w:ilvl w:val="0"/>
          <w:numId w:val="2"/>
        </w:numPr>
        <w:spacing w:line="480" w:lineRule="auto"/>
        <w:rPr>
          <w:sz w:val="24"/>
        </w:rPr>
      </w:pPr>
      <w:r>
        <w:rPr>
          <w:sz w:val="24"/>
        </w:rPr>
        <w:t xml:space="preserve"> </w:t>
      </w:r>
      <w:r>
        <w:rPr>
          <w:sz w:val="24"/>
        </w:rPr>
        <w:tab/>
      </w:r>
      <w:r w:rsidR="008918FE">
        <w:rPr>
          <w:sz w:val="24"/>
        </w:rPr>
        <w:t>Staff</w:t>
      </w:r>
      <w:r>
        <w:rPr>
          <w:sz w:val="24"/>
        </w:rPr>
        <w:t xml:space="preserve"> </w:t>
      </w:r>
      <w:r w:rsidR="008918FE">
        <w:rPr>
          <w:sz w:val="24"/>
        </w:rPr>
        <w:t xml:space="preserve">cannot weigh in on the Company’s claims regarding </w:t>
      </w:r>
      <w:r w:rsidR="009203F2">
        <w:rPr>
          <w:sz w:val="24"/>
        </w:rPr>
        <w:t xml:space="preserve">the </w:t>
      </w:r>
      <w:r w:rsidR="005B3AC1">
        <w:rPr>
          <w:sz w:val="24"/>
        </w:rPr>
        <w:t xml:space="preserve">violation in </w:t>
      </w:r>
      <w:r w:rsidR="009203F2">
        <w:rPr>
          <w:sz w:val="24"/>
        </w:rPr>
        <w:t xml:space="preserve">terms in </w:t>
      </w:r>
      <w:r w:rsidR="008918FE">
        <w:rPr>
          <w:sz w:val="24"/>
        </w:rPr>
        <w:t xml:space="preserve">affiliates’ loan covenants.  The Company has not identified the specific, relevant loan covenants and supporting details.  Thus, Staff cannot provide analysis or a recommendation regarding the covenants’ requirements and whether Waste Control has forced other affiliated entities into violation of creditor terms and conditions. </w:t>
      </w:r>
    </w:p>
    <w:p w14:paraId="7B0B42E7" w14:textId="77777777" w:rsidR="00BF28DD" w:rsidRPr="00BF28DD" w:rsidRDefault="00B97B8C" w:rsidP="006F505A">
      <w:pPr>
        <w:pStyle w:val="ListParagraph"/>
        <w:numPr>
          <w:ilvl w:val="0"/>
          <w:numId w:val="3"/>
        </w:numPr>
        <w:spacing w:after="240"/>
        <w:ind w:left="720" w:hanging="634"/>
        <w:jc w:val="center"/>
        <w:rPr>
          <w:b/>
          <w:sz w:val="24"/>
        </w:rPr>
      </w:pPr>
      <w:r>
        <w:rPr>
          <w:b/>
          <w:sz w:val="24"/>
        </w:rPr>
        <w:t>THE COMPANY’S MOTION DEMONSTRATES THE CLOSE TIES BETWEEN WASTE CONTROL AND ITS AFFILIATES</w:t>
      </w:r>
    </w:p>
    <w:p w14:paraId="7B0B42E8" w14:textId="77777777" w:rsidR="00EA14AD" w:rsidRDefault="00BF28DD" w:rsidP="00AC2ED4">
      <w:pPr>
        <w:widowControl/>
        <w:numPr>
          <w:ilvl w:val="0"/>
          <w:numId w:val="2"/>
        </w:numPr>
        <w:spacing w:after="240" w:line="480" w:lineRule="auto"/>
        <w:rPr>
          <w:sz w:val="24"/>
        </w:rPr>
      </w:pPr>
      <w:r>
        <w:rPr>
          <w:sz w:val="24"/>
        </w:rPr>
        <w:t xml:space="preserve"> </w:t>
      </w:r>
      <w:r>
        <w:rPr>
          <w:sz w:val="24"/>
        </w:rPr>
        <w:tab/>
      </w:r>
      <w:r w:rsidR="00781224">
        <w:rPr>
          <w:sz w:val="24"/>
        </w:rPr>
        <w:t xml:space="preserve">Although indifferent to the Company’s present motion, </w:t>
      </w:r>
      <w:r w:rsidR="00EA14AD">
        <w:rPr>
          <w:sz w:val="24"/>
        </w:rPr>
        <w:t>Staff does want</w:t>
      </w:r>
      <w:r w:rsidR="00781224">
        <w:rPr>
          <w:sz w:val="24"/>
        </w:rPr>
        <w:t xml:space="preserve"> to point out that Waste Control’s proposal</w:t>
      </w:r>
      <w:r w:rsidR="00EA14AD">
        <w:rPr>
          <w:sz w:val="24"/>
        </w:rPr>
        <w:t xml:space="preserve"> further supports Staff’s </w:t>
      </w:r>
      <w:r w:rsidR="001E487B">
        <w:rPr>
          <w:sz w:val="24"/>
        </w:rPr>
        <w:t xml:space="preserve">fundamental </w:t>
      </w:r>
      <w:r>
        <w:rPr>
          <w:sz w:val="24"/>
        </w:rPr>
        <w:t>argument</w:t>
      </w:r>
      <w:r w:rsidR="00781224">
        <w:rPr>
          <w:sz w:val="24"/>
        </w:rPr>
        <w:t xml:space="preserve"> that the Company</w:t>
      </w:r>
      <w:r w:rsidR="00EA14AD">
        <w:rPr>
          <w:sz w:val="24"/>
        </w:rPr>
        <w:t xml:space="preserve"> and its various affiliates are inextricably intertwined.</w:t>
      </w:r>
      <w:r w:rsidR="007F5DAA">
        <w:rPr>
          <w:rStyle w:val="FootnoteReference"/>
          <w:sz w:val="24"/>
        </w:rPr>
        <w:footnoteReference w:id="5"/>
      </w:r>
      <w:r w:rsidR="00EA14AD">
        <w:rPr>
          <w:sz w:val="24"/>
        </w:rPr>
        <w:t xml:space="preserve">  The Company’s motion and the Declaration of Jackie Davis expressly </w:t>
      </w:r>
      <w:r w:rsidR="00781224">
        <w:rPr>
          <w:sz w:val="24"/>
        </w:rPr>
        <w:t>state</w:t>
      </w:r>
      <w:r w:rsidR="00EA14AD">
        <w:rPr>
          <w:sz w:val="24"/>
        </w:rPr>
        <w:t xml:space="preserve"> that</w:t>
      </w:r>
      <w:r w:rsidR="00A37524">
        <w:rPr>
          <w:sz w:val="24"/>
        </w:rPr>
        <w:t xml:space="preserve"> HBI</w:t>
      </w:r>
      <w:r w:rsidR="00EA14AD">
        <w:rPr>
          <w:sz w:val="24"/>
        </w:rPr>
        <w:t xml:space="preserve"> is out of compliance with loan covenants because of </w:t>
      </w:r>
      <w:r w:rsidR="00EA14AD" w:rsidRPr="00EA14AD">
        <w:rPr>
          <w:sz w:val="24"/>
        </w:rPr>
        <w:t>Waste Control’s</w:t>
      </w:r>
      <w:r w:rsidR="00EA14AD">
        <w:rPr>
          <w:sz w:val="24"/>
        </w:rPr>
        <w:t xml:space="preserve"> purported financial position. </w:t>
      </w:r>
      <w:r w:rsidR="001E487B">
        <w:rPr>
          <w:sz w:val="24"/>
        </w:rPr>
        <w:t xml:space="preserve"> Due to the inherent possibility of cross subsidies</w:t>
      </w:r>
      <w:r w:rsidR="00B62C61">
        <w:rPr>
          <w:sz w:val="24"/>
        </w:rPr>
        <w:t xml:space="preserve"> between entities with</w:t>
      </w:r>
      <w:r w:rsidR="001E487B">
        <w:rPr>
          <w:sz w:val="24"/>
        </w:rPr>
        <w:t xml:space="preserve"> common management </w:t>
      </w:r>
      <w:r w:rsidR="00B62C61">
        <w:rPr>
          <w:sz w:val="24"/>
        </w:rPr>
        <w:t>that also</w:t>
      </w:r>
      <w:r w:rsidR="001E487B">
        <w:rPr>
          <w:sz w:val="24"/>
        </w:rPr>
        <w:t xml:space="preserve"> </w:t>
      </w:r>
      <w:r w:rsidR="00B62C61">
        <w:rPr>
          <w:sz w:val="24"/>
        </w:rPr>
        <w:t>secure and collateralize</w:t>
      </w:r>
      <w:r w:rsidR="001E487B">
        <w:rPr>
          <w:sz w:val="24"/>
        </w:rPr>
        <w:t xml:space="preserve"> loans </w:t>
      </w:r>
      <w:r w:rsidR="00B62C61">
        <w:rPr>
          <w:sz w:val="24"/>
        </w:rPr>
        <w:t>for one another</w:t>
      </w:r>
      <w:r w:rsidR="001E487B">
        <w:rPr>
          <w:sz w:val="24"/>
        </w:rPr>
        <w:t xml:space="preserve">, the Commission should look very closely to ensure </w:t>
      </w:r>
      <w:proofErr w:type="gramStart"/>
      <w:r w:rsidR="001E487B">
        <w:rPr>
          <w:sz w:val="24"/>
        </w:rPr>
        <w:lastRenderedPageBreak/>
        <w:t>common</w:t>
      </w:r>
      <w:proofErr w:type="gramEnd"/>
      <w:r w:rsidR="001E487B">
        <w:rPr>
          <w:sz w:val="24"/>
        </w:rPr>
        <w:t xml:space="preserve"> costs are fairly allocated and affiliate transactions support regulatory accounting principles. </w:t>
      </w:r>
    </w:p>
    <w:p w14:paraId="7B0B42E9" w14:textId="77777777" w:rsidR="00B97B8C" w:rsidRPr="00B97B8C" w:rsidRDefault="00B97B8C" w:rsidP="00B97B8C">
      <w:pPr>
        <w:pStyle w:val="ListParagraph"/>
        <w:numPr>
          <w:ilvl w:val="0"/>
          <w:numId w:val="3"/>
        </w:numPr>
        <w:spacing w:line="480" w:lineRule="auto"/>
        <w:jc w:val="center"/>
        <w:rPr>
          <w:b/>
          <w:sz w:val="24"/>
        </w:rPr>
      </w:pPr>
      <w:r w:rsidRPr="00B97B8C">
        <w:rPr>
          <w:b/>
          <w:sz w:val="24"/>
        </w:rPr>
        <w:t>CONCLUSION</w:t>
      </w:r>
    </w:p>
    <w:p w14:paraId="7B0B42EA" w14:textId="0F236DBF" w:rsidR="00B97B8C" w:rsidRDefault="00B97B8C" w:rsidP="00AC2ED4">
      <w:pPr>
        <w:numPr>
          <w:ilvl w:val="0"/>
          <w:numId w:val="2"/>
        </w:numPr>
        <w:spacing w:line="480" w:lineRule="auto"/>
        <w:rPr>
          <w:sz w:val="24"/>
        </w:rPr>
      </w:pPr>
      <w:r>
        <w:rPr>
          <w:sz w:val="24"/>
        </w:rPr>
        <w:t xml:space="preserve"> </w:t>
      </w:r>
      <w:r>
        <w:rPr>
          <w:sz w:val="24"/>
        </w:rPr>
        <w:tab/>
        <w:t xml:space="preserve">Staff </w:t>
      </w:r>
      <w:r w:rsidR="007F5DAA">
        <w:rPr>
          <w:sz w:val="24"/>
        </w:rPr>
        <w:t>does not object to</w:t>
      </w:r>
      <w:r w:rsidR="00FA3180">
        <w:rPr>
          <w:sz w:val="24"/>
        </w:rPr>
        <w:t xml:space="preserve"> </w:t>
      </w:r>
      <w:r>
        <w:rPr>
          <w:sz w:val="24"/>
        </w:rPr>
        <w:t>the Company’s motion requesting interim temporary rates subject to refund.  Staff does not</w:t>
      </w:r>
      <w:r w:rsidR="00500E71">
        <w:rPr>
          <w:sz w:val="24"/>
        </w:rPr>
        <w:t>, however,</w:t>
      </w:r>
      <w:r>
        <w:rPr>
          <w:sz w:val="24"/>
        </w:rPr>
        <w:t xml:space="preserve"> </w:t>
      </w:r>
      <w:r w:rsidR="00500E71">
        <w:rPr>
          <w:sz w:val="24"/>
        </w:rPr>
        <w:t>support</w:t>
      </w:r>
      <w:r>
        <w:rPr>
          <w:sz w:val="24"/>
        </w:rPr>
        <w:t xml:space="preserve"> the Company’s proposed rates.  If the Commission allows the Company’s motion, </w:t>
      </w:r>
      <w:r w:rsidRPr="00564FBA">
        <w:rPr>
          <w:sz w:val="24"/>
        </w:rPr>
        <w:t>Staff recommends the Commission set temporary rates subject to refund on the basis of Staff’s recomme</w:t>
      </w:r>
      <w:bookmarkStart w:id="0" w:name="_GoBack"/>
      <w:bookmarkEnd w:id="0"/>
      <w:r w:rsidRPr="00564FBA">
        <w:rPr>
          <w:sz w:val="24"/>
        </w:rPr>
        <w:t>nded rate design rather than Waste Control</w:t>
      </w:r>
      <w:r>
        <w:rPr>
          <w:sz w:val="24"/>
        </w:rPr>
        <w:t>’s</w:t>
      </w:r>
      <w:r w:rsidRPr="00564FBA">
        <w:rPr>
          <w:sz w:val="24"/>
        </w:rPr>
        <w:t>.</w:t>
      </w:r>
      <w:r>
        <w:rPr>
          <w:sz w:val="24"/>
        </w:rPr>
        <w:t xml:space="preserve">  </w:t>
      </w:r>
      <w:r w:rsidRPr="00564FBA">
        <w:rPr>
          <w:sz w:val="24"/>
        </w:rPr>
        <w:t xml:space="preserve">Staff cannot provide any analysis or recommendation </w:t>
      </w:r>
      <w:r w:rsidR="005221ED">
        <w:rPr>
          <w:sz w:val="24"/>
        </w:rPr>
        <w:t>on</w:t>
      </w:r>
      <w:r w:rsidR="005221ED" w:rsidRPr="00564FBA">
        <w:rPr>
          <w:sz w:val="24"/>
        </w:rPr>
        <w:t xml:space="preserve"> </w:t>
      </w:r>
      <w:r>
        <w:rPr>
          <w:sz w:val="24"/>
        </w:rPr>
        <w:t xml:space="preserve">the Company’s declaration </w:t>
      </w:r>
      <w:r w:rsidR="005221ED">
        <w:rPr>
          <w:sz w:val="24"/>
        </w:rPr>
        <w:t xml:space="preserve">regarding </w:t>
      </w:r>
      <w:r w:rsidRPr="00564FBA">
        <w:rPr>
          <w:sz w:val="24"/>
        </w:rPr>
        <w:t xml:space="preserve">being out of compliance with loan </w:t>
      </w:r>
      <w:r w:rsidR="001F49CF" w:rsidRPr="00564FBA">
        <w:rPr>
          <w:sz w:val="24"/>
        </w:rPr>
        <w:t>covena</w:t>
      </w:r>
      <w:r w:rsidR="001F49CF">
        <w:rPr>
          <w:sz w:val="24"/>
        </w:rPr>
        <w:t>nt</w:t>
      </w:r>
      <w:r w:rsidR="001F49CF" w:rsidRPr="00564FBA">
        <w:rPr>
          <w:sz w:val="24"/>
        </w:rPr>
        <w:t>s</w:t>
      </w:r>
      <w:r w:rsidRPr="00564FBA">
        <w:rPr>
          <w:sz w:val="24"/>
        </w:rPr>
        <w:t xml:space="preserve">.  </w:t>
      </w:r>
    </w:p>
    <w:p w14:paraId="7B0B42EC" w14:textId="77777777" w:rsidR="00F748D8" w:rsidRDefault="00F748D8" w:rsidP="00F748D8">
      <w:pPr>
        <w:ind w:left="720"/>
        <w:rPr>
          <w:sz w:val="24"/>
        </w:rPr>
      </w:pPr>
      <w:r w:rsidRPr="004A2910">
        <w:rPr>
          <w:sz w:val="24"/>
        </w:rPr>
        <w:t xml:space="preserve">DATED this _____ day of </w:t>
      </w:r>
      <w:r w:rsidR="005F652A">
        <w:rPr>
          <w:sz w:val="24"/>
        </w:rPr>
        <w:t>February</w:t>
      </w:r>
      <w:r w:rsidRPr="004A2910">
        <w:rPr>
          <w:sz w:val="24"/>
        </w:rPr>
        <w:t xml:space="preserve"> 20</w:t>
      </w:r>
      <w:r w:rsidR="004A26FF">
        <w:rPr>
          <w:sz w:val="24"/>
        </w:rPr>
        <w:t>1</w:t>
      </w:r>
      <w:r w:rsidR="005F652A">
        <w:rPr>
          <w:sz w:val="24"/>
        </w:rPr>
        <w:t>5</w:t>
      </w:r>
      <w:r w:rsidRPr="004A2910">
        <w:rPr>
          <w:sz w:val="24"/>
        </w:rPr>
        <w:t>.</w:t>
      </w:r>
    </w:p>
    <w:p w14:paraId="7B0B42ED" w14:textId="77777777" w:rsidR="00F748D8" w:rsidRDefault="00F748D8" w:rsidP="00F748D8">
      <w:pPr>
        <w:ind w:left="720"/>
        <w:rPr>
          <w:sz w:val="24"/>
        </w:rPr>
      </w:pPr>
    </w:p>
    <w:p w14:paraId="7B0B42EE"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7B0B42EF" w14:textId="77777777" w:rsidR="00F748D8" w:rsidRPr="004A2910" w:rsidRDefault="00F748D8" w:rsidP="00F748D8">
      <w:pPr>
        <w:pStyle w:val="BodyTextIndent2"/>
        <w:rPr>
          <w:rFonts w:ascii="Times New Roman" w:hAnsi="Times New Roman"/>
        </w:rPr>
      </w:pPr>
    </w:p>
    <w:p w14:paraId="7B0B42F0"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7B0B42F1" w14:textId="77777777" w:rsidR="00F748D8" w:rsidRPr="004A2910" w:rsidRDefault="00F748D8" w:rsidP="00F748D8">
      <w:pPr>
        <w:ind w:firstLine="5040"/>
        <w:jc w:val="both"/>
        <w:rPr>
          <w:sz w:val="24"/>
        </w:rPr>
      </w:pPr>
      <w:r w:rsidRPr="004A2910">
        <w:rPr>
          <w:sz w:val="24"/>
        </w:rPr>
        <w:t>Attorney General</w:t>
      </w:r>
    </w:p>
    <w:p w14:paraId="7B0B42F2" w14:textId="77777777" w:rsidR="00F748D8" w:rsidRPr="004A2910" w:rsidRDefault="00F748D8" w:rsidP="00F748D8">
      <w:pPr>
        <w:jc w:val="both"/>
        <w:rPr>
          <w:sz w:val="24"/>
        </w:rPr>
      </w:pPr>
    </w:p>
    <w:p w14:paraId="7B0B42F3" w14:textId="77777777" w:rsidR="00F748D8" w:rsidRDefault="00F748D8" w:rsidP="00F748D8">
      <w:pPr>
        <w:jc w:val="both"/>
        <w:rPr>
          <w:sz w:val="24"/>
        </w:rPr>
      </w:pPr>
    </w:p>
    <w:p w14:paraId="7B0B42F4" w14:textId="77777777" w:rsidR="005E07C2" w:rsidRPr="004A2910" w:rsidRDefault="005E07C2" w:rsidP="00F748D8">
      <w:pPr>
        <w:jc w:val="both"/>
        <w:rPr>
          <w:sz w:val="24"/>
        </w:rPr>
      </w:pPr>
    </w:p>
    <w:p w14:paraId="7B0B42F5" w14:textId="77777777" w:rsidR="00F748D8" w:rsidRPr="004A2910" w:rsidRDefault="00F748D8" w:rsidP="00F748D8">
      <w:pPr>
        <w:ind w:left="1440" w:firstLine="3600"/>
        <w:jc w:val="both"/>
        <w:rPr>
          <w:sz w:val="24"/>
        </w:rPr>
      </w:pPr>
      <w:r w:rsidRPr="004A2910">
        <w:rPr>
          <w:sz w:val="24"/>
        </w:rPr>
        <w:t>______________________________</w:t>
      </w:r>
    </w:p>
    <w:p w14:paraId="7B0B42F6" w14:textId="77777777" w:rsidR="00F748D8" w:rsidRPr="004A2910" w:rsidRDefault="005F652A" w:rsidP="00F748D8">
      <w:pPr>
        <w:ind w:firstLine="5040"/>
        <w:jc w:val="both"/>
        <w:rPr>
          <w:sz w:val="24"/>
        </w:rPr>
      </w:pPr>
      <w:r>
        <w:rPr>
          <w:sz w:val="24"/>
        </w:rPr>
        <w:t>BRETT P. SHEARER</w:t>
      </w:r>
    </w:p>
    <w:p w14:paraId="7B0B42F7" w14:textId="77777777" w:rsidR="00F748D8" w:rsidRPr="004A2910" w:rsidRDefault="00F748D8" w:rsidP="00F748D8">
      <w:pPr>
        <w:ind w:left="1440" w:firstLine="3600"/>
        <w:jc w:val="both"/>
        <w:rPr>
          <w:sz w:val="24"/>
        </w:rPr>
      </w:pPr>
      <w:r w:rsidRPr="004A2910">
        <w:rPr>
          <w:sz w:val="24"/>
        </w:rPr>
        <w:t>Assistant Attorney General</w:t>
      </w:r>
    </w:p>
    <w:p w14:paraId="7B0B42F8"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7B0B42F9"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7B0B42FA"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42FE" w14:textId="77777777" w:rsidR="00365375" w:rsidRDefault="00365375">
      <w:r>
        <w:separator/>
      </w:r>
    </w:p>
  </w:endnote>
  <w:endnote w:type="continuationSeparator" w:id="0">
    <w:p w14:paraId="7B0B42FF" w14:textId="77777777" w:rsidR="00365375" w:rsidRDefault="00365375">
      <w:r>
        <w:continuationSeparator/>
      </w:r>
    </w:p>
  </w:endnote>
  <w:endnote w:type="continuationNotice" w:id="1">
    <w:p w14:paraId="7B0B4300" w14:textId="77777777" w:rsidR="00365375" w:rsidRDefault="0036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B4301" w14:textId="77777777" w:rsidR="00ED3E2C" w:rsidRDefault="00ED3E2C">
    <w:pPr>
      <w:pStyle w:val="Footer"/>
    </w:pPr>
  </w:p>
  <w:p w14:paraId="7B0B4302" w14:textId="77777777" w:rsidR="00ED3E2C" w:rsidRPr="00737B08" w:rsidRDefault="006F505A">
    <w:pPr>
      <w:pStyle w:val="Footer"/>
    </w:pPr>
    <w:r>
      <w:t xml:space="preserve">STAFF RESPONSE </w:t>
    </w:r>
    <w:r w:rsidR="00ED3E2C" w:rsidRPr="00737B08">
      <w:t xml:space="preserve">- </w:t>
    </w:r>
    <w:r w:rsidR="00ED3E2C" w:rsidRPr="00737B08">
      <w:rPr>
        <w:rStyle w:val="PageNumber"/>
      </w:rPr>
      <w:fldChar w:fldCharType="begin"/>
    </w:r>
    <w:r w:rsidR="00ED3E2C" w:rsidRPr="00737B08">
      <w:rPr>
        <w:rStyle w:val="PageNumber"/>
      </w:rPr>
      <w:instrText xml:space="preserve"> PAGE </w:instrText>
    </w:r>
    <w:r w:rsidR="00ED3E2C" w:rsidRPr="00737B08">
      <w:rPr>
        <w:rStyle w:val="PageNumber"/>
      </w:rPr>
      <w:fldChar w:fldCharType="separate"/>
    </w:r>
    <w:r w:rsidR="00AC2ED4">
      <w:rPr>
        <w:rStyle w:val="PageNumber"/>
        <w:noProof/>
      </w:rPr>
      <w:t>4</w:t>
    </w:r>
    <w:r w:rsidR="00ED3E2C"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B42FB" w14:textId="77777777" w:rsidR="00365375" w:rsidRDefault="00365375">
      <w:r>
        <w:separator/>
      </w:r>
    </w:p>
  </w:footnote>
  <w:footnote w:type="continuationSeparator" w:id="0">
    <w:p w14:paraId="7B0B42FC" w14:textId="77777777" w:rsidR="00365375" w:rsidRDefault="00365375">
      <w:r>
        <w:continuationSeparator/>
      </w:r>
    </w:p>
  </w:footnote>
  <w:footnote w:type="continuationNotice" w:id="1">
    <w:p w14:paraId="7B0B42FD" w14:textId="77777777" w:rsidR="00365375" w:rsidRDefault="00365375"/>
  </w:footnote>
  <w:footnote w:id="2">
    <w:p w14:paraId="7B0B4303" w14:textId="2C71C9C6" w:rsidR="00ED3E2C" w:rsidRDefault="00ED3E2C">
      <w:pPr>
        <w:pStyle w:val="FootnoteText"/>
      </w:pPr>
      <w:r>
        <w:rPr>
          <w:rStyle w:val="FootnoteReference"/>
        </w:rPr>
        <w:footnoteRef/>
      </w:r>
      <w:r>
        <w:t xml:space="preserve"> </w:t>
      </w:r>
      <w:r w:rsidR="005F652A">
        <w:rPr>
          <w:i/>
        </w:rPr>
        <w:t>WUTC v. Waste Control, Inc.</w:t>
      </w:r>
      <w:r w:rsidR="005F652A">
        <w:t xml:space="preserve">, Docket TG-140560, </w:t>
      </w:r>
      <w:r>
        <w:t xml:space="preserve">Supplemental Testimony of Melissa Cheesman (for rate design), Exhibit No. MC-11T and Exhibit No. </w:t>
      </w:r>
      <w:r w:rsidR="001F49CF">
        <w:t>MC-12</w:t>
      </w:r>
      <w:r>
        <w:t xml:space="preserve">, August 15, 2014. </w:t>
      </w:r>
    </w:p>
  </w:footnote>
  <w:footnote w:id="3">
    <w:p w14:paraId="7B0B4304" w14:textId="5A04CF0A" w:rsidR="00A37524" w:rsidRDefault="00A37524" w:rsidP="00A37524">
      <w:pPr>
        <w:pStyle w:val="FootnoteText"/>
      </w:pPr>
      <w:r>
        <w:rPr>
          <w:rStyle w:val="FootnoteReference"/>
        </w:rPr>
        <w:footnoteRef/>
      </w:r>
      <w:r>
        <w:t xml:space="preserve"> </w:t>
      </w:r>
      <w:r>
        <w:rPr>
          <w:i/>
        </w:rPr>
        <w:t>WUTC v. Waste Control, Inc.</w:t>
      </w:r>
      <w:r>
        <w:t xml:space="preserve">, Docket TG-140560, Partial Settlement Agreement (proposed), October 14, 2014; </w:t>
      </w:r>
      <w:r>
        <w:rPr>
          <w:i/>
        </w:rPr>
        <w:t xml:space="preserve">see also </w:t>
      </w:r>
      <w:r>
        <w:t>Testimony of Melissa Cheesman in Support of Proposed</w:t>
      </w:r>
      <w:r w:rsidR="001F49CF">
        <w:t xml:space="preserve"> Partial Settlement Agreement, October </w:t>
      </w:r>
      <w:r>
        <w:t xml:space="preserve">14, 2014. </w:t>
      </w:r>
    </w:p>
  </w:footnote>
  <w:footnote w:id="4">
    <w:p w14:paraId="7B0B4305" w14:textId="77777777" w:rsidR="0064648A" w:rsidRDefault="0064648A" w:rsidP="0064648A">
      <w:pPr>
        <w:pStyle w:val="FootnoteText"/>
      </w:pPr>
      <w:r>
        <w:rPr>
          <w:rStyle w:val="FootnoteReference"/>
        </w:rPr>
        <w:footnoteRef/>
      </w:r>
      <w:r>
        <w:t xml:space="preserve"> Staff is unclear as to whether the Company has officially proposed a rate design with its motion for additional temporary rates.  Waste Control does not appear to have filed a proposal with the Commission’s Records Center but did email a rate design spreadsheet to Staff counsel and the Administrative Law Judge included as file “</w:t>
      </w:r>
      <w:r w:rsidRPr="0039284B">
        <w:t>WCI Operations for temp rate increase incl design 021315.xlsx</w:t>
      </w:r>
      <w:r>
        <w:t>”, on worksheets “Rate design”, Price Out”, and “Summary Price Out”. Staff’s disagreement refers to the spreadsheet file provided to Staff’s counsel and the ALJ.</w:t>
      </w:r>
    </w:p>
  </w:footnote>
  <w:footnote w:id="5">
    <w:p w14:paraId="7B0B4306" w14:textId="350C2DB7" w:rsidR="007F5DAA" w:rsidRDefault="007F5DAA">
      <w:pPr>
        <w:pStyle w:val="FootnoteText"/>
      </w:pPr>
      <w:r>
        <w:rPr>
          <w:rStyle w:val="FootnoteReference"/>
        </w:rPr>
        <w:footnoteRef/>
      </w:r>
      <w:r>
        <w:t xml:space="preserve"> </w:t>
      </w:r>
      <w:r>
        <w:rPr>
          <w:i/>
        </w:rPr>
        <w:t>See</w:t>
      </w:r>
      <w:r>
        <w:t xml:space="preserve"> </w:t>
      </w:r>
      <w:r w:rsidRPr="001F49CF">
        <w:rPr>
          <w:i/>
        </w:rPr>
        <w:t>WUTC v. Waste Control, Inc</w:t>
      </w:r>
      <w:r w:rsidRPr="00A00E8F">
        <w:t xml:space="preserve">., Docket TG-140560, Testimony of </w:t>
      </w:r>
      <w:r>
        <w:t>Melissa Cheesman</w:t>
      </w:r>
      <w:r w:rsidRPr="00A00E8F">
        <w:t xml:space="preserve">, Exhibit No. </w:t>
      </w:r>
      <w:r>
        <w:t>MC</w:t>
      </w:r>
      <w:r w:rsidR="001F49CF">
        <w:t>-1T</w:t>
      </w:r>
      <w:r w:rsidRPr="00A00E8F">
        <w:t xml:space="preserve">, </w:t>
      </w:r>
      <w:r>
        <w:t xml:space="preserve">pp 6-7, July 18, 2014; </w:t>
      </w:r>
      <w:r>
        <w:rPr>
          <w:i/>
        </w:rPr>
        <w:t>see also WUTC v. Waste Control, Inc.</w:t>
      </w:r>
      <w:r>
        <w:t xml:space="preserve">, Docket TG-140560, Prefiled Testimony of Joe Willis, Exhibit No. JW-1T, April 4,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087EC7"/>
    <w:multiLevelType w:val="hybridMultilevel"/>
    <w:tmpl w:val="122A41E6"/>
    <w:lvl w:ilvl="0" w:tplc="789C8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27246B"/>
    <w:multiLevelType w:val="hybridMultilevel"/>
    <w:tmpl w:val="17961686"/>
    <w:lvl w:ilvl="0" w:tplc="DDBAC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B2A23"/>
    <w:multiLevelType w:val="hybridMultilevel"/>
    <w:tmpl w:val="96547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6642D"/>
    <w:rsid w:val="001A3E51"/>
    <w:rsid w:val="001E487B"/>
    <w:rsid w:val="001F49CF"/>
    <w:rsid w:val="00230E0E"/>
    <w:rsid w:val="00255923"/>
    <w:rsid w:val="00277600"/>
    <w:rsid w:val="00301085"/>
    <w:rsid w:val="00365375"/>
    <w:rsid w:val="0038090D"/>
    <w:rsid w:val="003C5390"/>
    <w:rsid w:val="003E3B7E"/>
    <w:rsid w:val="003F1945"/>
    <w:rsid w:val="00420F5F"/>
    <w:rsid w:val="004741CA"/>
    <w:rsid w:val="004A26FF"/>
    <w:rsid w:val="004A4F64"/>
    <w:rsid w:val="004C3D65"/>
    <w:rsid w:val="004F69A5"/>
    <w:rsid w:val="00500E71"/>
    <w:rsid w:val="00501FFC"/>
    <w:rsid w:val="0051036F"/>
    <w:rsid w:val="005221ED"/>
    <w:rsid w:val="00595D41"/>
    <w:rsid w:val="005B3AC1"/>
    <w:rsid w:val="005B5C0B"/>
    <w:rsid w:val="005D5247"/>
    <w:rsid w:val="005E07C2"/>
    <w:rsid w:val="005F652A"/>
    <w:rsid w:val="005F69A4"/>
    <w:rsid w:val="00641F98"/>
    <w:rsid w:val="0064648A"/>
    <w:rsid w:val="0065561B"/>
    <w:rsid w:val="006F505A"/>
    <w:rsid w:val="00737B08"/>
    <w:rsid w:val="007464F1"/>
    <w:rsid w:val="0076699B"/>
    <w:rsid w:val="007672C0"/>
    <w:rsid w:val="00781224"/>
    <w:rsid w:val="007C1BA6"/>
    <w:rsid w:val="007C7C6A"/>
    <w:rsid w:val="007F5DAA"/>
    <w:rsid w:val="00816F09"/>
    <w:rsid w:val="00835284"/>
    <w:rsid w:val="0089062F"/>
    <w:rsid w:val="008918FE"/>
    <w:rsid w:val="009203F2"/>
    <w:rsid w:val="009377D3"/>
    <w:rsid w:val="009C2DB0"/>
    <w:rsid w:val="009D3E3D"/>
    <w:rsid w:val="009D6057"/>
    <w:rsid w:val="00A30C52"/>
    <w:rsid w:val="00A37524"/>
    <w:rsid w:val="00A80028"/>
    <w:rsid w:val="00A918DE"/>
    <w:rsid w:val="00AC2ED4"/>
    <w:rsid w:val="00B300A6"/>
    <w:rsid w:val="00B62C61"/>
    <w:rsid w:val="00B73973"/>
    <w:rsid w:val="00B85C12"/>
    <w:rsid w:val="00B91A32"/>
    <w:rsid w:val="00B97B8C"/>
    <w:rsid w:val="00BF28DD"/>
    <w:rsid w:val="00BF2F67"/>
    <w:rsid w:val="00BF3CD1"/>
    <w:rsid w:val="00C360A4"/>
    <w:rsid w:val="00C4257E"/>
    <w:rsid w:val="00C5478B"/>
    <w:rsid w:val="00C82A92"/>
    <w:rsid w:val="00D22816"/>
    <w:rsid w:val="00DA492F"/>
    <w:rsid w:val="00EA14AD"/>
    <w:rsid w:val="00ED3E2C"/>
    <w:rsid w:val="00F63AD0"/>
    <w:rsid w:val="00F71BB9"/>
    <w:rsid w:val="00F748D8"/>
    <w:rsid w:val="00F76604"/>
    <w:rsid w:val="00F77C60"/>
    <w:rsid w:val="00F837CB"/>
    <w:rsid w:val="00FA318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4097"/>
    <o:shapelayout v:ext="edit">
      <o:idmap v:ext="edit" data="1"/>
    </o:shapelayout>
  </w:shapeDefaults>
  <w:decimalSymbol w:val="."/>
  <w:listSeparator w:val=","/>
  <w14:docId w14:val="7B0B42B9"/>
  <w15:docId w15:val="{8F2EA19B-EBF0-4458-9A6C-4314B73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BF28DD"/>
    <w:pPr>
      <w:ind w:left="720"/>
      <w:contextualSpacing/>
    </w:pPr>
  </w:style>
  <w:style w:type="character" w:customStyle="1" w:styleId="FootnoteTextChar">
    <w:name w:val="Footnote Text Char"/>
    <w:basedOn w:val="DefaultParagraphFont"/>
    <w:link w:val="FootnoteText"/>
    <w:semiHidden/>
    <w:rsid w:val="00B97B8C"/>
  </w:style>
  <w:style w:type="character" w:styleId="CommentReference">
    <w:name w:val="annotation reference"/>
    <w:basedOn w:val="DefaultParagraphFont"/>
    <w:semiHidden/>
    <w:unhideWhenUsed/>
    <w:rsid w:val="007C7C6A"/>
    <w:rPr>
      <w:sz w:val="16"/>
      <w:szCs w:val="16"/>
    </w:rPr>
  </w:style>
  <w:style w:type="paragraph" w:styleId="CommentText">
    <w:name w:val="annotation text"/>
    <w:basedOn w:val="Normal"/>
    <w:link w:val="CommentTextChar"/>
    <w:semiHidden/>
    <w:unhideWhenUsed/>
    <w:rsid w:val="007C7C6A"/>
    <w:rPr>
      <w:szCs w:val="20"/>
    </w:rPr>
  </w:style>
  <w:style w:type="character" w:customStyle="1" w:styleId="CommentTextChar">
    <w:name w:val="Comment Text Char"/>
    <w:basedOn w:val="DefaultParagraphFont"/>
    <w:link w:val="CommentText"/>
    <w:semiHidden/>
    <w:rsid w:val="007C7C6A"/>
  </w:style>
  <w:style w:type="paragraph" w:styleId="CommentSubject">
    <w:name w:val="annotation subject"/>
    <w:basedOn w:val="CommentText"/>
    <w:next w:val="CommentText"/>
    <w:link w:val="CommentSubjectChar"/>
    <w:semiHidden/>
    <w:unhideWhenUsed/>
    <w:rsid w:val="007C7C6A"/>
    <w:rPr>
      <w:b/>
      <w:bCs/>
    </w:rPr>
  </w:style>
  <w:style w:type="character" w:customStyle="1" w:styleId="CommentSubjectChar">
    <w:name w:val="Comment Subject Char"/>
    <w:basedOn w:val="CommentTextChar"/>
    <w:link w:val="CommentSubject"/>
    <w:semiHidden/>
    <w:rsid w:val="007C7C6A"/>
    <w:rPr>
      <w:b/>
      <w:bCs/>
    </w:rPr>
  </w:style>
  <w:style w:type="paragraph" w:styleId="BalloonText">
    <w:name w:val="Balloon Text"/>
    <w:basedOn w:val="Normal"/>
    <w:link w:val="BalloonTextChar"/>
    <w:semiHidden/>
    <w:unhideWhenUsed/>
    <w:rsid w:val="007C7C6A"/>
    <w:rPr>
      <w:rFonts w:ascii="Segoe UI" w:hAnsi="Segoe UI" w:cs="Segoe UI"/>
      <w:sz w:val="18"/>
      <w:szCs w:val="18"/>
    </w:rPr>
  </w:style>
  <w:style w:type="character" w:customStyle="1" w:styleId="BalloonTextChar">
    <w:name w:val="Balloon Text Char"/>
    <w:basedOn w:val="DefaultParagraphFont"/>
    <w:link w:val="BalloonText"/>
    <w:semiHidden/>
    <w:rsid w:val="007C7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2015-03-06T20:11:44+00:00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294FAD-732D-4FA1-ABF5-05B653C822FC}"/>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8A317E3B-3A22-4CDD-975B-AC951B289056}"/>
</file>

<file path=customXml/itemProps5.xml><?xml version="1.0" encoding="utf-8"?>
<ds:datastoreItem xmlns:ds="http://schemas.openxmlformats.org/officeDocument/2006/customXml" ds:itemID="{349DC485-E9EA-469E-A85F-D6E835F86515}"/>
</file>

<file path=docProps/app.xml><?xml version="1.0" encoding="utf-8"?>
<Properties xmlns="http://schemas.openxmlformats.org/officeDocument/2006/extended-properties" xmlns:vt="http://schemas.openxmlformats.org/officeDocument/2006/docPropsVTypes">
  <Template>Normal.dotm</Template>
  <TotalTime>6</TotalTime>
  <Pages>4</Pages>
  <Words>761</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4</cp:revision>
  <dcterms:created xsi:type="dcterms:W3CDTF">2015-03-06T15:55:00Z</dcterms:created>
  <dcterms:modified xsi:type="dcterms:W3CDTF">2015-03-06T16:37:00Z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