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DA7BA" w14:textId="17617812" w:rsidR="00235BFE" w:rsidRPr="00235BFE" w:rsidRDefault="00ED105C" w:rsidP="00235BFE">
      <w:pPr>
        <w:spacing w:after="0" w:line="240" w:lineRule="exact"/>
        <w:ind w:left="5400"/>
        <w:rPr>
          <w:rFonts w:ascii="Times New Roman" w:eastAsia="Calibri" w:hAnsi="Times New Roman" w:cs="Times New Roman"/>
          <w:b/>
          <w:sz w:val="24"/>
          <w:szCs w:val="24"/>
        </w:rPr>
      </w:pPr>
      <w:r>
        <w:rPr>
          <w:rFonts w:ascii="Times New Roman" w:eastAsia="Calibri" w:hAnsi="Times New Roman" w:cs="Times New Roman"/>
          <w:b/>
          <w:sz w:val="24"/>
          <w:szCs w:val="24"/>
        </w:rPr>
        <w:t>Exhibit No. ___T (JBT</w:t>
      </w:r>
      <w:r w:rsidR="00235BFE" w:rsidRPr="00235BFE">
        <w:rPr>
          <w:rFonts w:ascii="Times New Roman" w:eastAsia="Calibri" w:hAnsi="Times New Roman" w:cs="Times New Roman"/>
          <w:b/>
          <w:sz w:val="24"/>
          <w:szCs w:val="24"/>
        </w:rPr>
        <w:t>-1T)</w:t>
      </w:r>
    </w:p>
    <w:p w14:paraId="73088586" w14:textId="77777777" w:rsidR="00235BFE" w:rsidRPr="00235BFE" w:rsidRDefault="00235BFE" w:rsidP="00235BFE">
      <w:pPr>
        <w:spacing w:after="0" w:line="240" w:lineRule="exact"/>
        <w:ind w:left="5400"/>
        <w:rPr>
          <w:rFonts w:ascii="Times New Roman" w:eastAsia="Calibri" w:hAnsi="Times New Roman" w:cs="Times New Roman"/>
          <w:b/>
          <w:sz w:val="24"/>
          <w:szCs w:val="24"/>
        </w:rPr>
      </w:pPr>
      <w:r w:rsidRPr="00235BFE">
        <w:rPr>
          <w:rFonts w:ascii="Times New Roman" w:eastAsia="Calibri" w:hAnsi="Times New Roman" w:cs="Times New Roman"/>
          <w:b/>
          <w:sz w:val="24"/>
          <w:szCs w:val="24"/>
        </w:rPr>
        <w:t>Dockets UE-140762, et al.</w:t>
      </w:r>
    </w:p>
    <w:p w14:paraId="28F768BB" w14:textId="742141DA" w:rsidR="00235BFE" w:rsidRPr="00235BFE" w:rsidRDefault="00235BFE" w:rsidP="00235BFE">
      <w:pPr>
        <w:spacing w:after="0" w:line="240" w:lineRule="exact"/>
        <w:ind w:left="5400"/>
        <w:rPr>
          <w:rFonts w:ascii="Times New Roman" w:eastAsia="Calibri" w:hAnsi="Times New Roman" w:cs="Times New Roman"/>
          <w:b/>
          <w:sz w:val="24"/>
          <w:szCs w:val="24"/>
        </w:rPr>
      </w:pPr>
      <w:r w:rsidRPr="00235BFE">
        <w:rPr>
          <w:rFonts w:ascii="Times New Roman" w:eastAsia="Calibri" w:hAnsi="Times New Roman" w:cs="Times New Roman"/>
          <w:b/>
          <w:sz w:val="24"/>
          <w:szCs w:val="24"/>
        </w:rPr>
        <w:t xml:space="preserve">Witness:  </w:t>
      </w:r>
      <w:r>
        <w:rPr>
          <w:rFonts w:ascii="Times New Roman" w:eastAsia="Calibri" w:hAnsi="Times New Roman" w:cs="Times New Roman"/>
          <w:b/>
          <w:sz w:val="24"/>
          <w:szCs w:val="24"/>
        </w:rPr>
        <w:t>Jeremy B. Twitchell</w:t>
      </w:r>
      <w:r w:rsidRPr="00235BFE">
        <w:rPr>
          <w:rFonts w:ascii="Times New Roman" w:eastAsia="Calibri" w:hAnsi="Times New Roman" w:cs="Times New Roman"/>
          <w:b/>
          <w:sz w:val="24"/>
          <w:szCs w:val="24"/>
        </w:rPr>
        <w:t xml:space="preserve"> </w:t>
      </w:r>
    </w:p>
    <w:p w14:paraId="36799BEF" w14:textId="77777777" w:rsidR="00235BFE" w:rsidRPr="00235BFE" w:rsidRDefault="00235BFE" w:rsidP="00235BFE">
      <w:pPr>
        <w:spacing w:after="0" w:line="240" w:lineRule="exact"/>
        <w:rPr>
          <w:rFonts w:ascii="Times New Roman" w:eastAsia="Calibri" w:hAnsi="Times New Roman" w:cs="Times New Roman"/>
          <w:b/>
          <w:sz w:val="24"/>
          <w:szCs w:val="24"/>
        </w:rPr>
      </w:pPr>
    </w:p>
    <w:p w14:paraId="725FFD08" w14:textId="77777777" w:rsidR="00235BFE" w:rsidRPr="00235BFE" w:rsidRDefault="00235BFE" w:rsidP="00235BFE">
      <w:pPr>
        <w:spacing w:after="0" w:line="240" w:lineRule="exact"/>
        <w:jc w:val="center"/>
        <w:rPr>
          <w:rFonts w:ascii="Times New Roman" w:eastAsia="Calibri" w:hAnsi="Times New Roman" w:cs="Times New Roman"/>
          <w:b/>
          <w:sz w:val="24"/>
          <w:szCs w:val="24"/>
        </w:rPr>
      </w:pPr>
      <w:r w:rsidRPr="00235BFE">
        <w:rPr>
          <w:rFonts w:ascii="Times New Roman" w:eastAsia="Calibri" w:hAnsi="Times New Roman" w:cs="Times New Roman"/>
          <w:b/>
          <w:sz w:val="24"/>
          <w:szCs w:val="24"/>
        </w:rPr>
        <w:t>BEFORE THE WASHINGTON</w:t>
      </w:r>
    </w:p>
    <w:p w14:paraId="677B1A9C" w14:textId="77777777" w:rsidR="00235BFE" w:rsidRPr="00235BFE" w:rsidRDefault="00235BFE" w:rsidP="00235BFE">
      <w:pPr>
        <w:spacing w:after="0" w:line="240" w:lineRule="exact"/>
        <w:jc w:val="center"/>
        <w:rPr>
          <w:rFonts w:ascii="Times New Roman" w:eastAsia="Calibri" w:hAnsi="Times New Roman" w:cs="Times New Roman"/>
          <w:b/>
          <w:sz w:val="24"/>
          <w:szCs w:val="24"/>
        </w:rPr>
      </w:pPr>
      <w:r w:rsidRPr="00235BFE">
        <w:rPr>
          <w:rFonts w:ascii="Times New Roman" w:eastAsia="Calibri" w:hAnsi="Times New Roman" w:cs="Times New Roman"/>
          <w:b/>
          <w:sz w:val="24"/>
          <w:szCs w:val="24"/>
        </w:rPr>
        <w:t>UTILITIES AND TRANSPORTATION COMMISSION</w:t>
      </w:r>
    </w:p>
    <w:p w14:paraId="78B8B281" w14:textId="77777777" w:rsidR="00235BFE" w:rsidRPr="00235BFE" w:rsidRDefault="00235BFE" w:rsidP="00235BFE">
      <w:pPr>
        <w:spacing w:after="0" w:line="240" w:lineRule="exact"/>
        <w:rPr>
          <w:rFonts w:ascii="Times New Roman" w:eastAsia="Calibri" w:hAnsi="Times New Roman" w:cs="Times New Roman"/>
          <w:b/>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235BFE" w:rsidRPr="00235BFE" w14:paraId="3A7B0EF5" w14:textId="77777777" w:rsidTr="00235BFE">
        <w:tc>
          <w:tcPr>
            <w:tcW w:w="4590" w:type="dxa"/>
            <w:tcBorders>
              <w:top w:val="single" w:sz="6" w:space="0" w:color="FFFFFF"/>
              <w:left w:val="single" w:sz="6" w:space="0" w:color="FFFFFF"/>
              <w:bottom w:val="single" w:sz="7" w:space="0" w:color="000000"/>
              <w:right w:val="single" w:sz="6" w:space="0" w:color="FFFFFF"/>
            </w:tcBorders>
          </w:tcPr>
          <w:p w14:paraId="60A4E4EA"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WASHINGTON UTILITIES AND TRANSPORTATION COMMISSION,</w:t>
            </w:r>
          </w:p>
          <w:p w14:paraId="30EECDFC" w14:textId="77777777" w:rsidR="00235BFE" w:rsidRPr="00235BFE" w:rsidRDefault="00235BFE" w:rsidP="00235BFE">
            <w:pPr>
              <w:spacing w:after="0" w:line="240" w:lineRule="exact"/>
              <w:rPr>
                <w:rFonts w:ascii="Times New Roman" w:eastAsia="Calibri" w:hAnsi="Times New Roman" w:cs="Times New Roman"/>
                <w:b/>
                <w:sz w:val="24"/>
                <w:szCs w:val="24"/>
              </w:rPr>
            </w:pPr>
          </w:p>
          <w:p w14:paraId="54610261"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ab/>
            </w:r>
            <w:r w:rsidRPr="00235BFE">
              <w:rPr>
                <w:rFonts w:ascii="Times New Roman" w:eastAsia="Calibri" w:hAnsi="Times New Roman" w:cs="Times New Roman"/>
                <w:b/>
                <w:sz w:val="24"/>
                <w:szCs w:val="24"/>
              </w:rPr>
              <w:tab/>
            </w:r>
            <w:r w:rsidRPr="00235BFE">
              <w:rPr>
                <w:rFonts w:ascii="Times New Roman" w:eastAsia="Calibri" w:hAnsi="Times New Roman" w:cs="Times New Roman"/>
                <w:b/>
                <w:sz w:val="24"/>
                <w:szCs w:val="24"/>
              </w:rPr>
              <w:tab/>
              <w:t>Complainant,</w:t>
            </w:r>
          </w:p>
          <w:p w14:paraId="28A5282B" w14:textId="77777777" w:rsidR="00235BFE" w:rsidRPr="00235BFE" w:rsidRDefault="00235BFE" w:rsidP="00235BFE">
            <w:pPr>
              <w:spacing w:after="0" w:line="240" w:lineRule="exact"/>
              <w:rPr>
                <w:rFonts w:ascii="Times New Roman" w:eastAsia="Calibri" w:hAnsi="Times New Roman" w:cs="Times New Roman"/>
                <w:b/>
                <w:sz w:val="24"/>
                <w:szCs w:val="24"/>
              </w:rPr>
            </w:pPr>
          </w:p>
          <w:p w14:paraId="6302C6CC" w14:textId="77777777" w:rsidR="00235BFE" w:rsidRPr="00235BFE" w:rsidRDefault="00235BFE" w:rsidP="00235BFE">
            <w:pPr>
              <w:spacing w:after="0" w:line="240" w:lineRule="exact"/>
              <w:rPr>
                <w:rFonts w:ascii="Times New Roman" w:eastAsia="Calibri" w:hAnsi="Times New Roman" w:cs="Times New Roman"/>
                <w:b/>
                <w:sz w:val="24"/>
                <w:szCs w:val="24"/>
              </w:rPr>
            </w:pPr>
            <w:proofErr w:type="gramStart"/>
            <w:r w:rsidRPr="00235BFE">
              <w:rPr>
                <w:rFonts w:ascii="Times New Roman" w:eastAsia="Calibri" w:hAnsi="Times New Roman" w:cs="Times New Roman"/>
                <w:b/>
                <w:sz w:val="24"/>
                <w:szCs w:val="24"/>
              </w:rPr>
              <w:t>v</w:t>
            </w:r>
            <w:proofErr w:type="gramEnd"/>
            <w:r w:rsidRPr="00235BFE">
              <w:rPr>
                <w:rFonts w:ascii="Times New Roman" w:eastAsia="Calibri" w:hAnsi="Times New Roman" w:cs="Times New Roman"/>
                <w:b/>
                <w:sz w:val="24"/>
                <w:szCs w:val="24"/>
              </w:rPr>
              <w:t>.</w:t>
            </w:r>
          </w:p>
          <w:p w14:paraId="7C915D64" w14:textId="77777777" w:rsidR="00235BFE" w:rsidRPr="00235BFE" w:rsidRDefault="00235BFE" w:rsidP="00235BFE">
            <w:pPr>
              <w:spacing w:after="0" w:line="240" w:lineRule="exact"/>
              <w:rPr>
                <w:rFonts w:ascii="Times New Roman" w:eastAsia="Calibri" w:hAnsi="Times New Roman" w:cs="Times New Roman"/>
                <w:b/>
                <w:sz w:val="24"/>
                <w:szCs w:val="24"/>
              </w:rPr>
            </w:pPr>
          </w:p>
          <w:p w14:paraId="6FB8CAFF"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PACIFIC POWER &amp; LIGHT COMPANY,</w:t>
            </w:r>
          </w:p>
          <w:p w14:paraId="1F509AA4" w14:textId="77777777" w:rsidR="00235BFE" w:rsidRPr="00235BFE" w:rsidRDefault="00235BFE" w:rsidP="00235BFE">
            <w:pPr>
              <w:spacing w:after="0" w:line="240" w:lineRule="exact"/>
              <w:rPr>
                <w:rFonts w:ascii="Times New Roman" w:eastAsia="Calibri" w:hAnsi="Times New Roman" w:cs="Times New Roman"/>
                <w:b/>
                <w:sz w:val="24"/>
                <w:szCs w:val="24"/>
              </w:rPr>
            </w:pPr>
          </w:p>
          <w:p w14:paraId="72493EBF"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ab/>
            </w:r>
            <w:r w:rsidRPr="00235BFE">
              <w:rPr>
                <w:rFonts w:ascii="Times New Roman" w:eastAsia="Calibri" w:hAnsi="Times New Roman" w:cs="Times New Roman"/>
                <w:b/>
                <w:sz w:val="24"/>
                <w:szCs w:val="24"/>
              </w:rPr>
              <w:tab/>
            </w:r>
            <w:r w:rsidRPr="00235BFE">
              <w:rPr>
                <w:rFonts w:ascii="Times New Roman" w:eastAsia="Calibri" w:hAnsi="Times New Roman" w:cs="Times New Roman"/>
                <w:b/>
                <w:sz w:val="24"/>
                <w:szCs w:val="24"/>
              </w:rPr>
              <w:tab/>
              <w:t>Respondent.</w:t>
            </w:r>
          </w:p>
          <w:p w14:paraId="7EF915ED"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____________________________________</w:t>
            </w:r>
          </w:p>
          <w:p w14:paraId="34CB1E8F" w14:textId="77777777" w:rsidR="00235BFE" w:rsidRPr="00235BFE" w:rsidRDefault="00235BFE" w:rsidP="00235BFE">
            <w:pPr>
              <w:spacing w:after="0" w:line="240" w:lineRule="exact"/>
              <w:rPr>
                <w:rFonts w:ascii="Times New Roman" w:eastAsia="Calibri" w:hAnsi="Times New Roman" w:cs="Times New Roman"/>
                <w:b/>
                <w:sz w:val="24"/>
                <w:szCs w:val="24"/>
              </w:rPr>
            </w:pPr>
          </w:p>
          <w:p w14:paraId="6F60185B"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In the Matter of the Petition of</w:t>
            </w:r>
          </w:p>
          <w:p w14:paraId="5493550A" w14:textId="77777777" w:rsidR="00235BFE" w:rsidRPr="00235BFE" w:rsidRDefault="00235BFE" w:rsidP="00235BFE">
            <w:pPr>
              <w:spacing w:after="0" w:line="240" w:lineRule="exact"/>
              <w:rPr>
                <w:rFonts w:ascii="Times New Roman" w:eastAsia="Calibri" w:hAnsi="Times New Roman" w:cs="Times New Roman"/>
                <w:b/>
                <w:sz w:val="24"/>
                <w:szCs w:val="24"/>
              </w:rPr>
            </w:pPr>
          </w:p>
          <w:p w14:paraId="333255BF"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PACIFIC POWER &amp; LIGHT COMPANY,</w:t>
            </w:r>
          </w:p>
          <w:p w14:paraId="2D10568E" w14:textId="77777777" w:rsidR="00235BFE" w:rsidRPr="00235BFE" w:rsidRDefault="00235BFE" w:rsidP="00235BFE">
            <w:pPr>
              <w:spacing w:after="0" w:line="240" w:lineRule="exact"/>
              <w:rPr>
                <w:rFonts w:ascii="Times New Roman" w:eastAsia="Calibri" w:hAnsi="Times New Roman" w:cs="Times New Roman"/>
                <w:b/>
                <w:sz w:val="24"/>
                <w:szCs w:val="24"/>
              </w:rPr>
            </w:pPr>
          </w:p>
          <w:p w14:paraId="66D55B14"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For an Order Approving Deferral of Costs Related to Colstrip Outage.</w:t>
            </w:r>
          </w:p>
          <w:p w14:paraId="2213F1C6" w14:textId="77777777" w:rsidR="00235BFE" w:rsidRPr="00235BFE" w:rsidRDefault="00235BFE" w:rsidP="00235BFE">
            <w:pPr>
              <w:spacing w:after="0" w:line="240" w:lineRule="exact"/>
              <w:rPr>
                <w:rFonts w:ascii="Times New Roman" w:eastAsia="Calibri" w:hAnsi="Times New Roman" w:cs="Times New Roman"/>
                <w:b/>
                <w:sz w:val="24"/>
                <w:szCs w:val="24"/>
              </w:rPr>
            </w:pPr>
            <w:r w:rsidRPr="00235BFE">
              <w:rPr>
                <w:rFonts w:ascii="Times New Roman" w:eastAsia="Calibri" w:hAnsi="Times New Roman" w:cs="Times New Roman"/>
                <w:b/>
                <w:sz w:val="24"/>
                <w:szCs w:val="24"/>
              </w:rPr>
              <w:t>____________________________________</w:t>
            </w:r>
          </w:p>
          <w:p w14:paraId="722EF4CB"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0E7214F9" w14:textId="77777777" w:rsidR="00235BFE" w:rsidRPr="00235BFE" w:rsidRDefault="00235BFE" w:rsidP="00235BFE">
            <w:pPr>
              <w:spacing w:after="0" w:line="240" w:lineRule="exact"/>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In the Matter of the Petition of</w:t>
            </w:r>
          </w:p>
          <w:p w14:paraId="499B4649"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64E43057" w14:textId="77777777" w:rsidR="00235BFE" w:rsidRPr="00235BFE" w:rsidRDefault="00235BFE" w:rsidP="00235BFE">
            <w:pPr>
              <w:spacing w:after="0" w:line="240" w:lineRule="exact"/>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PACIFIC POWER &amp; LIGHT COMPANY,</w:t>
            </w:r>
          </w:p>
          <w:p w14:paraId="211F60EF"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4BD676CF" w14:textId="77777777" w:rsidR="00235BFE" w:rsidRPr="00235BFE" w:rsidRDefault="00235BFE" w:rsidP="00235BFE">
            <w:pPr>
              <w:spacing w:after="0" w:line="240" w:lineRule="exact"/>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For an Order Approving Deferral of Costs Related to Declining Hydro Generation.</w:t>
            </w:r>
          </w:p>
          <w:p w14:paraId="7D98AFB3" w14:textId="77777777" w:rsidR="00235BFE" w:rsidRPr="00235BFE" w:rsidRDefault="00235BFE" w:rsidP="00235BFE">
            <w:pPr>
              <w:spacing w:after="0" w:line="240" w:lineRule="exact"/>
              <w:rPr>
                <w:rFonts w:ascii="Times New Roman" w:eastAsia="Calibri" w:hAnsi="Times New Roman" w:cs="Times New Roman"/>
                <w:b/>
                <w:bCs/>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65995153" w14:textId="77777777" w:rsidR="00235BFE" w:rsidRPr="00235BFE" w:rsidRDefault="00235BFE" w:rsidP="00235BFE">
            <w:pPr>
              <w:spacing w:after="0" w:line="240" w:lineRule="exact"/>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UE-140762 and UE-140617</w:t>
            </w:r>
          </w:p>
          <w:p w14:paraId="45D1BB30" w14:textId="77777777" w:rsidR="00235BFE" w:rsidRPr="00235BFE" w:rsidRDefault="00235BFE" w:rsidP="00235BFE">
            <w:pPr>
              <w:spacing w:after="0" w:line="240" w:lineRule="exact"/>
              <w:rPr>
                <w:rFonts w:ascii="Times New Roman" w:eastAsia="Calibri" w:hAnsi="Times New Roman" w:cs="Times New Roman"/>
                <w:b/>
                <w:bCs/>
                <w:i/>
                <w:sz w:val="24"/>
                <w:szCs w:val="24"/>
              </w:rPr>
            </w:pPr>
            <w:r w:rsidRPr="00235BFE">
              <w:rPr>
                <w:rFonts w:ascii="Times New Roman" w:eastAsia="Calibri" w:hAnsi="Times New Roman" w:cs="Times New Roman"/>
                <w:b/>
                <w:bCs/>
                <w:i/>
                <w:sz w:val="24"/>
                <w:szCs w:val="24"/>
              </w:rPr>
              <w:t>(consolidated)</w:t>
            </w:r>
          </w:p>
          <w:p w14:paraId="1A06F8B5"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187FEA2F"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7E47C9EA"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231A02BB"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37E788FD"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487F2F92"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5250CFD3"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0141BF0D"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524B10B1"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24CC2E45"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4817D572"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55646216" w14:textId="77777777" w:rsidR="00235BFE" w:rsidRPr="00235BFE" w:rsidRDefault="00235BFE" w:rsidP="00235BFE">
            <w:pPr>
              <w:spacing w:after="0" w:line="240" w:lineRule="exact"/>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 xml:space="preserve">DOCKET UE-131384 </w:t>
            </w:r>
            <w:r w:rsidRPr="00235BFE">
              <w:rPr>
                <w:rFonts w:ascii="Times New Roman" w:eastAsia="Calibri" w:hAnsi="Times New Roman" w:cs="Times New Roman"/>
                <w:b/>
                <w:bCs/>
                <w:i/>
                <w:sz w:val="24"/>
                <w:szCs w:val="24"/>
              </w:rPr>
              <w:t>(consolidated)</w:t>
            </w:r>
          </w:p>
          <w:p w14:paraId="0713C082"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1BCCFEE4"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225B2521"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1DAC3496"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726A30E9"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6EE3535A"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22019583"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31D19922"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50EC7F53" w14:textId="77777777" w:rsidR="00235BFE" w:rsidRPr="00235BFE" w:rsidRDefault="00235BFE" w:rsidP="00235BFE">
            <w:pPr>
              <w:spacing w:after="0" w:line="240" w:lineRule="exact"/>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 xml:space="preserve">DOCKET UE-140094 </w:t>
            </w:r>
            <w:r w:rsidRPr="00235BFE">
              <w:rPr>
                <w:rFonts w:ascii="Times New Roman" w:eastAsia="Calibri" w:hAnsi="Times New Roman" w:cs="Times New Roman"/>
                <w:b/>
                <w:bCs/>
                <w:i/>
                <w:sz w:val="24"/>
                <w:szCs w:val="24"/>
              </w:rPr>
              <w:t>(consolidated)</w:t>
            </w:r>
          </w:p>
          <w:p w14:paraId="1BDD620E"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170770D4"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13804245" w14:textId="77777777" w:rsidR="00235BFE" w:rsidRPr="00235BFE" w:rsidRDefault="00235BFE" w:rsidP="00235BFE">
            <w:pPr>
              <w:spacing w:after="0" w:line="240" w:lineRule="exact"/>
              <w:rPr>
                <w:rFonts w:ascii="Times New Roman" w:eastAsia="Calibri" w:hAnsi="Times New Roman" w:cs="Times New Roman"/>
                <w:b/>
                <w:bCs/>
                <w:sz w:val="24"/>
                <w:szCs w:val="24"/>
              </w:rPr>
            </w:pPr>
          </w:p>
        </w:tc>
      </w:tr>
    </w:tbl>
    <w:p w14:paraId="1DF9A832" w14:textId="77777777" w:rsidR="00235BFE" w:rsidRPr="00235BFE" w:rsidRDefault="00235BFE" w:rsidP="00235BFE">
      <w:pPr>
        <w:spacing w:after="0" w:line="240" w:lineRule="exact"/>
        <w:rPr>
          <w:rFonts w:ascii="Times New Roman" w:eastAsia="Calibri" w:hAnsi="Times New Roman" w:cs="Times New Roman"/>
          <w:b/>
          <w:sz w:val="24"/>
          <w:szCs w:val="24"/>
        </w:rPr>
      </w:pPr>
    </w:p>
    <w:p w14:paraId="0DB63BD1"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23217680" w14:textId="77777777" w:rsidR="00235BFE" w:rsidRPr="00235BFE" w:rsidRDefault="00235BFE" w:rsidP="00235BFE">
      <w:pPr>
        <w:tabs>
          <w:tab w:val="center" w:pos="4680"/>
        </w:tabs>
        <w:spacing w:after="0" w:line="240" w:lineRule="exact"/>
        <w:jc w:val="center"/>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TESTIMONY OF</w:t>
      </w:r>
    </w:p>
    <w:p w14:paraId="55CBE178" w14:textId="77777777" w:rsidR="00235BFE" w:rsidRPr="00235BFE" w:rsidRDefault="00235BFE" w:rsidP="00235BFE">
      <w:pPr>
        <w:spacing w:after="0" w:line="240" w:lineRule="exact"/>
        <w:jc w:val="center"/>
        <w:rPr>
          <w:rFonts w:ascii="Times New Roman" w:eastAsia="Calibri" w:hAnsi="Times New Roman" w:cs="Times New Roman"/>
          <w:b/>
          <w:bCs/>
          <w:sz w:val="24"/>
          <w:szCs w:val="24"/>
        </w:rPr>
      </w:pPr>
    </w:p>
    <w:p w14:paraId="099591B0" w14:textId="3AE8396A" w:rsidR="00235BFE" w:rsidRPr="00235BFE" w:rsidRDefault="00235BFE" w:rsidP="00235BFE">
      <w:pPr>
        <w:tabs>
          <w:tab w:val="center" w:pos="4680"/>
        </w:tabs>
        <w:spacing w:after="0" w:line="240" w:lineRule="exac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Jeremy B. Twitchell</w:t>
      </w:r>
    </w:p>
    <w:p w14:paraId="4A02BF4A" w14:textId="77777777" w:rsidR="00235BFE" w:rsidRPr="00235BFE" w:rsidRDefault="00235BFE" w:rsidP="00235BFE">
      <w:pPr>
        <w:tabs>
          <w:tab w:val="center" w:pos="4680"/>
        </w:tabs>
        <w:spacing w:after="0" w:line="240" w:lineRule="exact"/>
        <w:jc w:val="center"/>
        <w:rPr>
          <w:rFonts w:ascii="Times New Roman" w:eastAsia="Calibri" w:hAnsi="Times New Roman" w:cs="Times New Roman"/>
          <w:b/>
          <w:bCs/>
          <w:sz w:val="24"/>
          <w:szCs w:val="24"/>
        </w:rPr>
      </w:pPr>
    </w:p>
    <w:p w14:paraId="6671561E" w14:textId="77777777" w:rsidR="00235BFE" w:rsidRPr="00235BFE" w:rsidRDefault="00235BFE" w:rsidP="00235BFE">
      <w:pPr>
        <w:tabs>
          <w:tab w:val="center" w:pos="4680"/>
        </w:tabs>
        <w:spacing w:after="0" w:line="240" w:lineRule="exact"/>
        <w:jc w:val="center"/>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STAFF OF</w:t>
      </w:r>
    </w:p>
    <w:p w14:paraId="2501ADBE" w14:textId="77777777" w:rsidR="00235BFE" w:rsidRPr="00235BFE" w:rsidRDefault="00235BFE" w:rsidP="00235BFE">
      <w:pPr>
        <w:tabs>
          <w:tab w:val="center" w:pos="4680"/>
        </w:tabs>
        <w:spacing w:after="0" w:line="240" w:lineRule="exact"/>
        <w:jc w:val="center"/>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WASHINGTON UTILITIES AND</w:t>
      </w:r>
    </w:p>
    <w:p w14:paraId="4C731AA1" w14:textId="77777777" w:rsidR="00235BFE" w:rsidRPr="00235BFE" w:rsidRDefault="00235BFE" w:rsidP="00235BFE">
      <w:pPr>
        <w:tabs>
          <w:tab w:val="center" w:pos="4680"/>
        </w:tabs>
        <w:spacing w:after="0" w:line="240" w:lineRule="exact"/>
        <w:jc w:val="center"/>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TRANSPORTATION COMMISSION</w:t>
      </w:r>
    </w:p>
    <w:p w14:paraId="76D16CB3" w14:textId="77777777" w:rsidR="00235BFE" w:rsidRPr="00235BFE" w:rsidRDefault="00235BFE" w:rsidP="00235BFE">
      <w:pPr>
        <w:spacing w:after="0" w:line="240" w:lineRule="exact"/>
        <w:jc w:val="center"/>
        <w:rPr>
          <w:rFonts w:ascii="Times New Roman" w:eastAsia="Calibri" w:hAnsi="Times New Roman" w:cs="Times New Roman"/>
          <w:b/>
          <w:bCs/>
          <w:sz w:val="24"/>
          <w:szCs w:val="24"/>
        </w:rPr>
      </w:pPr>
    </w:p>
    <w:p w14:paraId="5B44038A"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5B48B05B" w14:textId="21C8A448" w:rsidR="00235BFE" w:rsidRPr="00235BFE" w:rsidRDefault="0009059F" w:rsidP="00235BFE">
      <w:pPr>
        <w:spacing w:after="0" w:line="240" w:lineRule="exact"/>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Title</w:t>
      </w:r>
    </w:p>
    <w:p w14:paraId="0EA26A21" w14:textId="77777777" w:rsidR="00235BFE" w:rsidRPr="00235BFE" w:rsidRDefault="00235BFE" w:rsidP="00235BFE">
      <w:pPr>
        <w:spacing w:after="0" w:line="240" w:lineRule="exact"/>
        <w:rPr>
          <w:rFonts w:ascii="Times New Roman" w:eastAsia="Calibri" w:hAnsi="Times New Roman" w:cs="Times New Roman"/>
          <w:b/>
          <w:bCs/>
          <w:sz w:val="24"/>
          <w:szCs w:val="24"/>
        </w:rPr>
      </w:pPr>
    </w:p>
    <w:p w14:paraId="07CE2A04" w14:textId="77777777" w:rsidR="00235BFE" w:rsidRPr="00235BFE" w:rsidRDefault="00235BFE" w:rsidP="00235BFE">
      <w:pPr>
        <w:spacing w:after="0" w:line="240" w:lineRule="exact"/>
        <w:jc w:val="center"/>
        <w:rPr>
          <w:rFonts w:ascii="Times New Roman" w:eastAsia="Calibri" w:hAnsi="Times New Roman" w:cs="Times New Roman"/>
          <w:b/>
          <w:bCs/>
          <w:sz w:val="24"/>
          <w:szCs w:val="24"/>
        </w:rPr>
      </w:pPr>
      <w:r w:rsidRPr="00235BFE">
        <w:rPr>
          <w:rFonts w:ascii="Times New Roman" w:eastAsia="Calibri" w:hAnsi="Times New Roman" w:cs="Times New Roman"/>
          <w:b/>
          <w:bCs/>
          <w:sz w:val="24"/>
          <w:szCs w:val="24"/>
        </w:rPr>
        <w:t>October 10, 2014</w:t>
      </w:r>
    </w:p>
    <w:p w14:paraId="0B2E8D82" w14:textId="77777777" w:rsidR="00235BFE" w:rsidRPr="00235BFE" w:rsidRDefault="00235BFE" w:rsidP="00235BFE">
      <w:pPr>
        <w:spacing w:after="0" w:line="240" w:lineRule="auto"/>
        <w:rPr>
          <w:rFonts w:ascii="Times New Roman" w:eastAsia="Calibri" w:hAnsi="Times New Roman" w:cs="Times New Roman"/>
          <w:sz w:val="24"/>
          <w:szCs w:val="24"/>
        </w:rPr>
      </w:pPr>
    </w:p>
    <w:p w14:paraId="13F77498" w14:textId="77777777" w:rsidR="00235BFE" w:rsidRPr="00235BFE" w:rsidRDefault="00235BFE" w:rsidP="00235BFE">
      <w:pPr>
        <w:spacing w:after="0" w:line="240" w:lineRule="auto"/>
        <w:rPr>
          <w:rFonts w:ascii="Times New Roman" w:eastAsia="Calibri" w:hAnsi="Times New Roman" w:cs="Times New Roman"/>
          <w:sz w:val="24"/>
          <w:szCs w:val="24"/>
        </w:rPr>
        <w:sectPr w:rsidR="00235BFE" w:rsidRPr="00235BFE" w:rsidSect="00235BFE">
          <w:pgSz w:w="12240" w:h="15840"/>
          <w:pgMar w:top="1440" w:right="1440" w:bottom="1440" w:left="1872" w:header="720" w:footer="720" w:gutter="0"/>
          <w:cols w:space="720"/>
          <w:docGrid w:linePitch="360"/>
        </w:sectPr>
      </w:pPr>
    </w:p>
    <w:p w14:paraId="50B85C86" w14:textId="6EB29011" w:rsidR="00235BFE" w:rsidRDefault="00235BFE" w:rsidP="00235BFE">
      <w:pPr>
        <w:widowControl w:val="0"/>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14:paraId="5891DC05" w14:textId="58F58FE7" w:rsidR="00235BFE" w:rsidRDefault="00235BFE" w:rsidP="00235BFE">
      <w:pPr>
        <w:widowControl w:val="0"/>
        <w:tabs>
          <w:tab w:val="left" w:pos="720"/>
          <w:tab w:val="left" w:pos="1440"/>
          <w:tab w:val="left" w:pos="2160"/>
          <w:tab w:val="right" w:leader="dot" w:pos="8640"/>
        </w:tabs>
        <w:spacing w:line="48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INTRODUCTION </w:t>
      </w:r>
      <w:r>
        <w:rPr>
          <w:rFonts w:ascii="Times New Roman" w:hAnsi="Times New Roman" w:cs="Times New Roman"/>
          <w:sz w:val="24"/>
          <w:szCs w:val="24"/>
        </w:rPr>
        <w:tab/>
      </w:r>
      <w:r w:rsidR="00E442A7">
        <w:rPr>
          <w:rFonts w:ascii="Times New Roman" w:hAnsi="Times New Roman" w:cs="Times New Roman"/>
          <w:sz w:val="24"/>
          <w:szCs w:val="24"/>
        </w:rPr>
        <w:t>1</w:t>
      </w:r>
    </w:p>
    <w:p w14:paraId="4FE33CA1" w14:textId="5EC81FBD" w:rsidR="00235BFE" w:rsidRDefault="00235BFE" w:rsidP="00235BFE">
      <w:pPr>
        <w:widowControl w:val="0"/>
        <w:tabs>
          <w:tab w:val="left" w:pos="720"/>
          <w:tab w:val="left" w:pos="1440"/>
          <w:tab w:val="left" w:pos="2160"/>
          <w:tab w:val="right" w:leader="dot" w:pos="8640"/>
        </w:tabs>
        <w:spacing w:line="480" w:lineRule="auto"/>
        <w:rPr>
          <w:rFonts w:ascii="Times New Roman" w:hAnsi="Times New Roman" w:cs="Times New Roman"/>
          <w:sz w:val="24"/>
          <w:szCs w:val="24"/>
        </w:rPr>
      </w:pPr>
      <w:r w:rsidRPr="00235BFE">
        <w:rPr>
          <w:rFonts w:ascii="Times New Roman" w:hAnsi="Times New Roman" w:cs="Times New Roman"/>
          <w:sz w:val="24"/>
          <w:szCs w:val="24"/>
        </w:rPr>
        <w:t>II.</w:t>
      </w:r>
      <w:r w:rsidRPr="00235BFE">
        <w:rPr>
          <w:rFonts w:ascii="Times New Roman" w:hAnsi="Times New Roman" w:cs="Times New Roman"/>
          <w:sz w:val="24"/>
          <w:szCs w:val="24"/>
        </w:rPr>
        <w:tab/>
        <w:t xml:space="preserve">SCOPE AND SUMMARY OF TESTIMONY </w:t>
      </w:r>
      <w:r w:rsidRPr="00235BFE">
        <w:rPr>
          <w:rFonts w:ascii="Times New Roman" w:hAnsi="Times New Roman" w:cs="Times New Roman"/>
          <w:sz w:val="24"/>
          <w:szCs w:val="24"/>
        </w:rPr>
        <w:tab/>
      </w:r>
      <w:r w:rsidR="00E442A7">
        <w:rPr>
          <w:rFonts w:ascii="Times New Roman" w:hAnsi="Times New Roman" w:cs="Times New Roman"/>
          <w:sz w:val="24"/>
          <w:szCs w:val="24"/>
        </w:rPr>
        <w:t>2</w:t>
      </w:r>
    </w:p>
    <w:p w14:paraId="007AF311" w14:textId="611BED9C" w:rsidR="00235BFE" w:rsidRPr="00235BFE" w:rsidRDefault="00235BFE" w:rsidP="00235BFE">
      <w:pPr>
        <w:widowControl w:val="0"/>
        <w:tabs>
          <w:tab w:val="left" w:pos="720"/>
          <w:tab w:val="left" w:pos="1440"/>
          <w:tab w:val="left" w:pos="2160"/>
          <w:tab w:val="right" w:leader="dot" w:pos="8640"/>
        </w:tabs>
        <w:spacing w:line="480" w:lineRule="auto"/>
        <w:rPr>
          <w:rFonts w:ascii="Times New Roman" w:hAnsi="Times New Roman" w:cs="Times New Roman"/>
          <w:sz w:val="24"/>
          <w:szCs w:val="24"/>
        </w:rPr>
      </w:pPr>
      <w:r w:rsidRPr="00235BFE">
        <w:rPr>
          <w:rFonts w:ascii="Times New Roman" w:hAnsi="Times New Roman" w:cs="Times New Roman"/>
          <w:sz w:val="24"/>
          <w:szCs w:val="24"/>
        </w:rPr>
        <w:t>III.</w:t>
      </w:r>
      <w:r w:rsidRPr="00235BFE">
        <w:rPr>
          <w:rFonts w:ascii="Times New Roman" w:hAnsi="Times New Roman" w:cs="Times New Roman"/>
          <w:sz w:val="24"/>
          <w:szCs w:val="24"/>
        </w:rPr>
        <w:tab/>
        <w:t xml:space="preserve">RENEWABLE RESOURCE TRACKING MECHANISM </w:t>
      </w:r>
      <w:r w:rsidRPr="00235BFE">
        <w:rPr>
          <w:rFonts w:ascii="Times New Roman" w:hAnsi="Times New Roman" w:cs="Times New Roman"/>
          <w:sz w:val="24"/>
          <w:szCs w:val="24"/>
        </w:rPr>
        <w:tab/>
      </w:r>
      <w:r w:rsidR="00E442A7">
        <w:rPr>
          <w:rFonts w:ascii="Times New Roman" w:hAnsi="Times New Roman" w:cs="Times New Roman"/>
          <w:sz w:val="24"/>
          <w:szCs w:val="24"/>
        </w:rPr>
        <w:t>5</w:t>
      </w:r>
    </w:p>
    <w:p w14:paraId="04E40B9F" w14:textId="077761AD" w:rsidR="00235BFE" w:rsidRPr="00B32F93" w:rsidRDefault="00B32F93" w:rsidP="00235BFE">
      <w:pPr>
        <w:widowControl w:val="0"/>
        <w:tabs>
          <w:tab w:val="left" w:pos="720"/>
          <w:tab w:val="left" w:pos="1440"/>
          <w:tab w:val="left" w:pos="2160"/>
          <w:tab w:val="right" w:leader="dot" w:pos="8640"/>
        </w:tabs>
        <w:spacing w:line="480" w:lineRule="auto"/>
        <w:rPr>
          <w:rFonts w:ascii="Times New Roman" w:hAnsi="Times New Roman" w:cs="Times New Roman"/>
          <w:sz w:val="24"/>
          <w:szCs w:val="24"/>
        </w:rPr>
      </w:pPr>
      <w:r w:rsidRPr="00B32F93">
        <w:rPr>
          <w:rFonts w:ascii="Times New Roman" w:hAnsi="Times New Roman" w:cs="Times New Roman"/>
          <w:sz w:val="24"/>
          <w:szCs w:val="24"/>
        </w:rPr>
        <w:t>IV.</w:t>
      </w:r>
      <w:r w:rsidRPr="00B32F93">
        <w:rPr>
          <w:rFonts w:ascii="Times New Roman" w:hAnsi="Times New Roman" w:cs="Times New Roman"/>
          <w:sz w:val="24"/>
          <w:szCs w:val="24"/>
        </w:rPr>
        <w:tab/>
        <w:t xml:space="preserve">COST OF SERVICE </w:t>
      </w:r>
      <w:r w:rsidRPr="00B32F93">
        <w:rPr>
          <w:rFonts w:ascii="Times New Roman" w:hAnsi="Times New Roman" w:cs="Times New Roman"/>
          <w:sz w:val="24"/>
          <w:szCs w:val="24"/>
        </w:rPr>
        <w:tab/>
      </w:r>
      <w:r w:rsidR="00E442A7">
        <w:rPr>
          <w:rFonts w:ascii="Times New Roman" w:hAnsi="Times New Roman" w:cs="Times New Roman"/>
          <w:sz w:val="24"/>
          <w:szCs w:val="24"/>
        </w:rPr>
        <w:t>14</w:t>
      </w:r>
    </w:p>
    <w:p w14:paraId="2181A056" w14:textId="09EAE1D3" w:rsidR="00B32F93" w:rsidRPr="00C21822" w:rsidRDefault="00C21822" w:rsidP="00235BFE">
      <w:pPr>
        <w:widowControl w:val="0"/>
        <w:tabs>
          <w:tab w:val="left" w:pos="720"/>
          <w:tab w:val="left" w:pos="1440"/>
          <w:tab w:val="left" w:pos="2160"/>
          <w:tab w:val="right" w:leader="dot" w:pos="8640"/>
        </w:tabs>
        <w:spacing w:line="480" w:lineRule="auto"/>
        <w:rPr>
          <w:rFonts w:ascii="Times New Roman" w:hAnsi="Times New Roman" w:cs="Times New Roman"/>
          <w:sz w:val="24"/>
          <w:szCs w:val="24"/>
        </w:rPr>
      </w:pPr>
      <w:r w:rsidRPr="00C21822">
        <w:rPr>
          <w:rFonts w:ascii="Times New Roman" w:hAnsi="Times New Roman" w:cs="Times New Roman"/>
          <w:sz w:val="24"/>
          <w:szCs w:val="24"/>
        </w:rPr>
        <w:t>V.</w:t>
      </w:r>
      <w:r w:rsidRPr="00C21822">
        <w:rPr>
          <w:rFonts w:ascii="Times New Roman" w:hAnsi="Times New Roman" w:cs="Times New Roman"/>
          <w:sz w:val="24"/>
          <w:szCs w:val="24"/>
        </w:rPr>
        <w:tab/>
        <w:t xml:space="preserve">RATE DESIGN </w:t>
      </w:r>
      <w:r w:rsidRPr="00C21822">
        <w:rPr>
          <w:rFonts w:ascii="Times New Roman" w:hAnsi="Times New Roman" w:cs="Times New Roman"/>
          <w:sz w:val="24"/>
          <w:szCs w:val="24"/>
        </w:rPr>
        <w:tab/>
      </w:r>
      <w:r w:rsidR="00E442A7">
        <w:rPr>
          <w:rFonts w:ascii="Times New Roman" w:hAnsi="Times New Roman" w:cs="Times New Roman"/>
          <w:sz w:val="24"/>
          <w:szCs w:val="24"/>
        </w:rPr>
        <w:t>22</w:t>
      </w:r>
    </w:p>
    <w:p w14:paraId="22F4F7B7" w14:textId="77777777" w:rsidR="00C21822" w:rsidRPr="00235BFE" w:rsidRDefault="00C21822" w:rsidP="00235BFE">
      <w:pPr>
        <w:widowControl w:val="0"/>
        <w:tabs>
          <w:tab w:val="left" w:pos="720"/>
          <w:tab w:val="left" w:pos="1440"/>
          <w:tab w:val="left" w:pos="2160"/>
          <w:tab w:val="right" w:leader="dot" w:pos="8640"/>
        </w:tabs>
        <w:spacing w:line="480" w:lineRule="auto"/>
        <w:rPr>
          <w:rFonts w:ascii="Times New Roman" w:hAnsi="Times New Roman" w:cs="Times New Roman"/>
          <w:sz w:val="24"/>
          <w:szCs w:val="24"/>
        </w:rPr>
      </w:pPr>
    </w:p>
    <w:p w14:paraId="6233AAFF" w14:textId="6EC2D8B2" w:rsidR="00235BFE" w:rsidRDefault="00235BFE">
      <w:pPr>
        <w:rPr>
          <w:rFonts w:ascii="Times New Roman" w:hAnsi="Times New Roman" w:cs="Times New Roman"/>
          <w:b/>
          <w:sz w:val="24"/>
          <w:szCs w:val="24"/>
        </w:rPr>
      </w:pPr>
    </w:p>
    <w:p w14:paraId="56D02ED3" w14:textId="7D19CF53" w:rsidR="00EC5456" w:rsidRDefault="00EC5456" w:rsidP="00235BF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LIST OF EXHIBITS</w:t>
      </w:r>
    </w:p>
    <w:p w14:paraId="30706B8E" w14:textId="579FBF85" w:rsidR="00EC5456" w:rsidRDefault="00EC5456" w:rsidP="00235BF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Exhibit No.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JBT-2), Staff Analysis of Wind Value Variation</w:t>
      </w:r>
    </w:p>
    <w:p w14:paraId="3BA6740D" w14:textId="1D372F86" w:rsidR="00EC5456" w:rsidRDefault="00EC5456" w:rsidP="00235BF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Exhibit No.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JBT-3), Cost of Service Summary</w:t>
      </w:r>
    </w:p>
    <w:p w14:paraId="4C315FDB" w14:textId="516E8C9A" w:rsidR="00EC5456" w:rsidRDefault="00EC5456" w:rsidP="00235BF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Exhibit No.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JBT-4), Rate Design</w:t>
      </w:r>
      <w:r w:rsidR="00CF078D">
        <w:rPr>
          <w:rFonts w:ascii="Times New Roman" w:hAnsi="Times New Roman" w:cs="Times New Roman"/>
          <w:sz w:val="24"/>
          <w:szCs w:val="24"/>
        </w:rPr>
        <w:t xml:space="preserve"> and Support</w:t>
      </w:r>
    </w:p>
    <w:p w14:paraId="1CD6BD09" w14:textId="129F6837" w:rsidR="00EC5456" w:rsidRDefault="00EC5456" w:rsidP="00235BF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Exhibit No.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JBT-5), Bill Frequency Study and Billing Determinants</w:t>
      </w:r>
    </w:p>
    <w:p w14:paraId="5A29DA0F" w14:textId="2A7EDD22" w:rsidR="00EC5456" w:rsidRDefault="00EC5456" w:rsidP="00235BF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Exhibit No.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JBT-6), Top Load Hours and Solar Availability</w:t>
      </w:r>
    </w:p>
    <w:p w14:paraId="5B99CA39" w14:textId="77777777" w:rsidR="00235BFE" w:rsidRPr="00EC5456" w:rsidRDefault="00235BFE" w:rsidP="00235BFE">
      <w:pPr>
        <w:suppressLineNumbers/>
        <w:spacing w:line="480" w:lineRule="auto"/>
        <w:contextualSpacing/>
        <w:rPr>
          <w:rFonts w:ascii="Times New Roman" w:hAnsi="Times New Roman" w:cs="Times New Roman"/>
          <w:sz w:val="24"/>
          <w:szCs w:val="24"/>
        </w:rPr>
      </w:pPr>
    </w:p>
    <w:p w14:paraId="22FA61E9" w14:textId="77777777" w:rsidR="00235BFE" w:rsidRDefault="00235BFE" w:rsidP="00EC5456">
      <w:pPr>
        <w:suppressLineNumbers/>
        <w:rPr>
          <w:rFonts w:ascii="Times New Roman" w:hAnsi="Times New Roman" w:cs="Times New Roman"/>
          <w:b/>
          <w:sz w:val="24"/>
          <w:szCs w:val="24"/>
        </w:rPr>
        <w:sectPr w:rsidR="00235BFE" w:rsidSect="00235BFE">
          <w:footerReference w:type="default" r:id="rId12"/>
          <w:pgSz w:w="12240" w:h="15840" w:code="1"/>
          <w:pgMar w:top="1440" w:right="1440" w:bottom="1440" w:left="1872" w:header="720" w:footer="720" w:gutter="0"/>
          <w:pgNumType w:fmt="lowerRoman" w:start="1"/>
          <w:cols w:space="720"/>
          <w:docGrid w:linePitch="360"/>
        </w:sectPr>
      </w:pPr>
    </w:p>
    <w:p w14:paraId="690D08CD" w14:textId="0BA14306" w:rsidR="004938B5" w:rsidRDefault="004938B5" w:rsidP="002A28A9">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690D08CE" w14:textId="77777777" w:rsidR="004938B5" w:rsidRPr="004938B5" w:rsidRDefault="004938B5" w:rsidP="002A28A9">
      <w:pPr>
        <w:spacing w:line="480" w:lineRule="auto"/>
        <w:contextualSpacing/>
        <w:rPr>
          <w:rFonts w:ascii="Times New Roman" w:hAnsi="Times New Roman" w:cs="Times New Roman"/>
          <w:b/>
          <w:sz w:val="24"/>
          <w:szCs w:val="24"/>
        </w:rPr>
      </w:pPr>
    </w:p>
    <w:p w14:paraId="690D08CF" w14:textId="77777777" w:rsidR="004938B5" w:rsidRPr="00293F51" w:rsidRDefault="004938B5"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Please state your name and business address.</w:t>
      </w:r>
    </w:p>
    <w:p w14:paraId="690D08D0" w14:textId="77777777" w:rsidR="004938B5" w:rsidRDefault="004938B5"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Pr>
          <w:rFonts w:ascii="Times New Roman" w:hAnsi="Times New Roman" w:cs="Times New Roman"/>
          <w:sz w:val="24"/>
          <w:szCs w:val="24"/>
        </w:rPr>
        <w:t>My name is Jeremy Twitchell and my business address is 1300 Evergreen Park Drive SW, Olympia, Washington, 98504.</w:t>
      </w:r>
    </w:p>
    <w:p w14:paraId="690D08D1" w14:textId="77777777" w:rsidR="002A28A9" w:rsidRDefault="002A28A9" w:rsidP="002A28A9">
      <w:pPr>
        <w:spacing w:line="480" w:lineRule="auto"/>
        <w:ind w:left="720" w:hanging="720"/>
        <w:contextualSpacing/>
        <w:rPr>
          <w:rFonts w:ascii="Times New Roman" w:hAnsi="Times New Roman" w:cs="Times New Roman"/>
          <w:sz w:val="24"/>
          <w:szCs w:val="24"/>
        </w:rPr>
      </w:pPr>
    </w:p>
    <w:p w14:paraId="690D08D2" w14:textId="77777777" w:rsidR="004938B5" w:rsidRPr="00293F51" w:rsidRDefault="004938B5"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sidR="008730FE">
        <w:rPr>
          <w:rFonts w:ascii="Times New Roman" w:hAnsi="Times New Roman" w:cs="Times New Roman"/>
          <w:b/>
          <w:sz w:val="24"/>
          <w:szCs w:val="24"/>
        </w:rPr>
        <w:t>Where</w:t>
      </w:r>
      <w:r>
        <w:rPr>
          <w:rFonts w:ascii="Times New Roman" w:hAnsi="Times New Roman" w:cs="Times New Roman"/>
          <w:b/>
          <w:sz w:val="24"/>
          <w:szCs w:val="24"/>
        </w:rPr>
        <w:t xml:space="preserve"> are you employed and in what capacity?</w:t>
      </w:r>
    </w:p>
    <w:p w14:paraId="690D08D3" w14:textId="3F9B6B4A" w:rsidR="004938B5" w:rsidRDefault="004938B5"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07445B">
        <w:rPr>
          <w:rFonts w:ascii="Times New Roman" w:hAnsi="Times New Roman" w:cs="Times New Roman"/>
          <w:sz w:val="24"/>
          <w:szCs w:val="24"/>
        </w:rPr>
        <w:t>I am employed at</w:t>
      </w:r>
      <w:r>
        <w:rPr>
          <w:rFonts w:ascii="Times New Roman" w:hAnsi="Times New Roman" w:cs="Times New Roman"/>
          <w:sz w:val="24"/>
          <w:szCs w:val="24"/>
        </w:rPr>
        <w:t xml:space="preserve"> the Washington Utilities and Transportation Commission (Commission) as a Regulatory Analyst in the Conservation and Energy Planning Section of the Regulatory Services Division.  My duties include </w:t>
      </w:r>
      <w:r w:rsidR="0076102B">
        <w:rPr>
          <w:rFonts w:ascii="Times New Roman" w:hAnsi="Times New Roman" w:cs="Times New Roman"/>
          <w:sz w:val="24"/>
          <w:szCs w:val="24"/>
        </w:rPr>
        <w:t>representing Commission Staff (Staff) in</w:t>
      </w:r>
      <w:r>
        <w:rPr>
          <w:rFonts w:ascii="Times New Roman" w:hAnsi="Times New Roman" w:cs="Times New Roman"/>
          <w:sz w:val="24"/>
          <w:szCs w:val="24"/>
        </w:rPr>
        <w:t xml:space="preserve"> Pacific Power </w:t>
      </w:r>
      <w:r w:rsidR="008730FE">
        <w:rPr>
          <w:rFonts w:ascii="Times New Roman" w:hAnsi="Times New Roman" w:cs="Times New Roman"/>
          <w:sz w:val="24"/>
          <w:szCs w:val="24"/>
        </w:rPr>
        <w:t>&amp;</w:t>
      </w:r>
      <w:r>
        <w:rPr>
          <w:rFonts w:ascii="Times New Roman" w:hAnsi="Times New Roman" w:cs="Times New Roman"/>
          <w:sz w:val="24"/>
          <w:szCs w:val="24"/>
        </w:rPr>
        <w:t xml:space="preserve"> Light Company’s (Pacific Power</w:t>
      </w:r>
      <w:r w:rsidR="0076102B">
        <w:rPr>
          <w:rFonts w:ascii="Times New Roman" w:hAnsi="Times New Roman" w:cs="Times New Roman"/>
          <w:sz w:val="24"/>
          <w:szCs w:val="24"/>
        </w:rPr>
        <w:t xml:space="preserve"> or Company) demand-side management and integrated resource planning advisory groups</w:t>
      </w:r>
      <w:r w:rsidR="00CA7276">
        <w:rPr>
          <w:rFonts w:ascii="Times New Roman" w:hAnsi="Times New Roman" w:cs="Times New Roman"/>
          <w:sz w:val="24"/>
          <w:szCs w:val="24"/>
        </w:rPr>
        <w:t xml:space="preserve"> and reviewing all filings from the Company in those matters.</w:t>
      </w:r>
      <w:r w:rsidR="00EC1D1D">
        <w:rPr>
          <w:rFonts w:ascii="Times New Roman" w:hAnsi="Times New Roman" w:cs="Times New Roman"/>
          <w:sz w:val="24"/>
          <w:szCs w:val="24"/>
        </w:rPr>
        <w:t xml:space="preserve"> </w:t>
      </w:r>
      <w:r w:rsidR="00CA7276">
        <w:rPr>
          <w:rFonts w:ascii="Times New Roman" w:hAnsi="Times New Roman" w:cs="Times New Roman"/>
          <w:sz w:val="24"/>
          <w:szCs w:val="24"/>
        </w:rPr>
        <w:t xml:space="preserve"> I also represent Staff in</w:t>
      </w:r>
      <w:r w:rsidR="0076102B">
        <w:rPr>
          <w:rFonts w:ascii="Times New Roman" w:hAnsi="Times New Roman" w:cs="Times New Roman"/>
          <w:sz w:val="24"/>
          <w:szCs w:val="24"/>
        </w:rPr>
        <w:t xml:space="preserve"> Pacific Power’s Multi-State Allocation Process.  </w:t>
      </w:r>
      <w:r w:rsidR="00CA7276">
        <w:rPr>
          <w:rFonts w:ascii="Times New Roman" w:hAnsi="Times New Roman" w:cs="Times New Roman"/>
          <w:sz w:val="24"/>
          <w:szCs w:val="24"/>
        </w:rPr>
        <w:t>More broadly, I</w:t>
      </w:r>
      <w:r w:rsidR="0076102B">
        <w:rPr>
          <w:rFonts w:ascii="Times New Roman" w:hAnsi="Times New Roman" w:cs="Times New Roman"/>
          <w:sz w:val="24"/>
          <w:szCs w:val="24"/>
        </w:rPr>
        <w:t xml:space="preserve"> review the annual renewable portfolio standard filings from Washington’s three investor-owned electric utilities</w:t>
      </w:r>
      <w:r w:rsidR="008A66BE">
        <w:rPr>
          <w:rFonts w:ascii="Times New Roman" w:hAnsi="Times New Roman" w:cs="Times New Roman"/>
          <w:sz w:val="24"/>
          <w:szCs w:val="24"/>
        </w:rPr>
        <w:t>,</w:t>
      </w:r>
      <w:r w:rsidR="0076102B">
        <w:rPr>
          <w:rFonts w:ascii="Times New Roman" w:hAnsi="Times New Roman" w:cs="Times New Roman"/>
          <w:sz w:val="24"/>
          <w:szCs w:val="24"/>
        </w:rPr>
        <w:t xml:space="preserve"> various tariff filings in the electric and natural gas industries</w:t>
      </w:r>
      <w:r w:rsidR="008A66BE">
        <w:rPr>
          <w:rFonts w:ascii="Times New Roman" w:hAnsi="Times New Roman" w:cs="Times New Roman"/>
          <w:sz w:val="24"/>
          <w:szCs w:val="24"/>
        </w:rPr>
        <w:t>, and assist in the drafting of Commission rules</w:t>
      </w:r>
      <w:r w:rsidR="0076102B">
        <w:rPr>
          <w:rFonts w:ascii="Times New Roman" w:hAnsi="Times New Roman" w:cs="Times New Roman"/>
          <w:sz w:val="24"/>
          <w:szCs w:val="24"/>
        </w:rPr>
        <w:t>.</w:t>
      </w:r>
    </w:p>
    <w:p w14:paraId="690D08D4" w14:textId="77777777" w:rsidR="002A28A9" w:rsidRDefault="002A28A9" w:rsidP="002A28A9">
      <w:pPr>
        <w:spacing w:line="480" w:lineRule="auto"/>
        <w:ind w:left="720" w:hanging="720"/>
        <w:contextualSpacing/>
        <w:rPr>
          <w:rFonts w:ascii="Times New Roman" w:hAnsi="Times New Roman" w:cs="Times New Roman"/>
          <w:sz w:val="24"/>
          <w:szCs w:val="24"/>
        </w:rPr>
      </w:pPr>
    </w:p>
    <w:p w14:paraId="690D08D5" w14:textId="77777777" w:rsidR="0076102B" w:rsidRPr="00293F51" w:rsidRDefault="0076102B"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How long have you been employed by the Commission?</w:t>
      </w:r>
    </w:p>
    <w:p w14:paraId="690D08D6" w14:textId="77777777" w:rsidR="0076102B" w:rsidRDefault="0076102B"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Pr>
          <w:rFonts w:ascii="Times New Roman" w:hAnsi="Times New Roman" w:cs="Times New Roman"/>
          <w:sz w:val="24"/>
          <w:szCs w:val="24"/>
        </w:rPr>
        <w:t>I have been employed by the Commission since June 2013.</w:t>
      </w:r>
    </w:p>
    <w:p w14:paraId="690D08D7" w14:textId="77777777" w:rsidR="002A28A9" w:rsidRDefault="002A28A9" w:rsidP="002A28A9">
      <w:pPr>
        <w:spacing w:line="480" w:lineRule="auto"/>
        <w:ind w:left="720" w:hanging="720"/>
        <w:contextualSpacing/>
        <w:rPr>
          <w:rFonts w:ascii="Times New Roman" w:hAnsi="Times New Roman" w:cs="Times New Roman"/>
          <w:sz w:val="24"/>
          <w:szCs w:val="24"/>
        </w:rPr>
      </w:pPr>
    </w:p>
    <w:p w14:paraId="690D08D8" w14:textId="77777777" w:rsidR="0076102B" w:rsidRPr="00293F51" w:rsidRDefault="0076102B" w:rsidP="00235BFE">
      <w:pPr>
        <w:keepNext/>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lastRenderedPageBreak/>
        <w:t>Q.</w:t>
      </w:r>
      <w:r w:rsidRPr="00293F51">
        <w:rPr>
          <w:rFonts w:ascii="Times New Roman" w:hAnsi="Times New Roman" w:cs="Times New Roman"/>
          <w:b/>
          <w:sz w:val="24"/>
          <w:szCs w:val="24"/>
        </w:rPr>
        <w:tab/>
      </w:r>
      <w:r>
        <w:rPr>
          <w:rFonts w:ascii="Times New Roman" w:hAnsi="Times New Roman" w:cs="Times New Roman"/>
          <w:b/>
          <w:sz w:val="24"/>
          <w:szCs w:val="24"/>
        </w:rPr>
        <w:t>Please describe your educational and professional background.</w:t>
      </w:r>
    </w:p>
    <w:p w14:paraId="690D08D9" w14:textId="3E05011E" w:rsidR="0076102B" w:rsidRDefault="0076102B" w:rsidP="003C533F">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Pr>
          <w:rFonts w:ascii="Times New Roman" w:hAnsi="Times New Roman" w:cs="Times New Roman"/>
          <w:sz w:val="24"/>
          <w:szCs w:val="24"/>
        </w:rPr>
        <w:t>I graduated from Brigham Young University in 2005 with a Bachelor of Arts degree in Communication</w:t>
      </w:r>
      <w:r w:rsidR="00B7296A">
        <w:rPr>
          <w:rFonts w:ascii="Times New Roman" w:hAnsi="Times New Roman" w:cs="Times New Roman"/>
          <w:sz w:val="24"/>
          <w:szCs w:val="24"/>
        </w:rPr>
        <w:t xml:space="preserve">s (Print Journalism Emphasis), </w:t>
      </w:r>
      <w:proofErr w:type="gramStart"/>
      <w:r w:rsidR="00B7296A">
        <w:rPr>
          <w:rFonts w:ascii="Times New Roman" w:hAnsi="Times New Roman" w:cs="Times New Roman"/>
          <w:sz w:val="24"/>
          <w:szCs w:val="24"/>
        </w:rPr>
        <w:t>then</w:t>
      </w:r>
      <w:proofErr w:type="gramEnd"/>
      <w:r w:rsidR="00B7296A">
        <w:rPr>
          <w:rFonts w:ascii="Times New Roman" w:hAnsi="Times New Roman" w:cs="Times New Roman"/>
          <w:sz w:val="24"/>
          <w:szCs w:val="24"/>
        </w:rPr>
        <w:t xml:space="preserve"> </w:t>
      </w:r>
      <w:r>
        <w:rPr>
          <w:rFonts w:ascii="Times New Roman" w:hAnsi="Times New Roman" w:cs="Times New Roman"/>
          <w:sz w:val="24"/>
          <w:szCs w:val="24"/>
        </w:rPr>
        <w:t>worked as a newspaper reporter in Utah and Nevada for six</w:t>
      </w:r>
      <w:r w:rsidR="00B97156">
        <w:rPr>
          <w:rFonts w:ascii="Times New Roman" w:hAnsi="Times New Roman" w:cs="Times New Roman"/>
          <w:sz w:val="24"/>
          <w:szCs w:val="24"/>
        </w:rPr>
        <w:t xml:space="preserve"> years covering local government, energy, and other issues</w:t>
      </w:r>
      <w:r>
        <w:rPr>
          <w:rFonts w:ascii="Times New Roman" w:hAnsi="Times New Roman" w:cs="Times New Roman"/>
          <w:sz w:val="24"/>
          <w:szCs w:val="24"/>
        </w:rPr>
        <w:t xml:space="preserve">.  I graduated from Texas A&amp;M University with a Master of Public Service and Administration degree in 2013, with an emphasis on energy, natural resource, and technology policy.  </w:t>
      </w:r>
      <w:r w:rsidR="00B97156">
        <w:rPr>
          <w:rFonts w:ascii="Times New Roman" w:hAnsi="Times New Roman" w:cs="Times New Roman"/>
          <w:sz w:val="24"/>
          <w:szCs w:val="24"/>
        </w:rPr>
        <w:t xml:space="preserve">My studies included courses in energy markets, energy policy, natural resource economics, finance, and econometric analysis.  </w:t>
      </w:r>
      <w:r>
        <w:rPr>
          <w:rFonts w:ascii="Times New Roman" w:hAnsi="Times New Roman" w:cs="Times New Roman"/>
          <w:sz w:val="24"/>
          <w:szCs w:val="24"/>
        </w:rPr>
        <w:t>Since being hired by the Commission, I have attended various conferences and regulatory training courses, including a course in cost of service and rate design provided by Electric Utility Consultants, Inc. in February 2014 and the National Association of Regulatory Utility Commissioners Regulatory S</w:t>
      </w:r>
      <w:r w:rsidR="00B7296A">
        <w:rPr>
          <w:rFonts w:ascii="Times New Roman" w:hAnsi="Times New Roman" w:cs="Times New Roman"/>
          <w:sz w:val="24"/>
          <w:szCs w:val="24"/>
        </w:rPr>
        <w:t xml:space="preserve">tudies Program in August 2014.  </w:t>
      </w:r>
      <w:r w:rsidR="003C533F">
        <w:rPr>
          <w:rFonts w:ascii="Times New Roman" w:hAnsi="Times New Roman" w:cs="Times New Roman"/>
          <w:sz w:val="24"/>
          <w:szCs w:val="24"/>
        </w:rPr>
        <w:t xml:space="preserve">I also </w:t>
      </w:r>
      <w:r w:rsidR="00BF1ADF">
        <w:rPr>
          <w:rFonts w:ascii="Times New Roman" w:hAnsi="Times New Roman" w:cs="Times New Roman"/>
          <w:sz w:val="24"/>
          <w:szCs w:val="24"/>
        </w:rPr>
        <w:t>presented</w:t>
      </w:r>
      <w:r w:rsidR="003C533F">
        <w:rPr>
          <w:rFonts w:ascii="Times New Roman" w:hAnsi="Times New Roman" w:cs="Times New Roman"/>
          <w:sz w:val="24"/>
          <w:szCs w:val="24"/>
        </w:rPr>
        <w:t xml:space="preserve"> and participated in a panel on the issue of renewable portfolio standard compliance costs at the 2014 National Summit on Renewable Portfolio Standards</w:t>
      </w:r>
      <w:r w:rsidR="00F24CB2">
        <w:rPr>
          <w:rFonts w:ascii="Times New Roman" w:hAnsi="Times New Roman" w:cs="Times New Roman"/>
          <w:sz w:val="24"/>
          <w:szCs w:val="24"/>
        </w:rPr>
        <w:t xml:space="preserve"> in September 2014</w:t>
      </w:r>
      <w:r w:rsidR="003C533F">
        <w:rPr>
          <w:rFonts w:ascii="Times New Roman" w:hAnsi="Times New Roman" w:cs="Times New Roman"/>
          <w:sz w:val="24"/>
          <w:szCs w:val="24"/>
        </w:rPr>
        <w:t>.</w:t>
      </w:r>
    </w:p>
    <w:p w14:paraId="690D08DA" w14:textId="77777777" w:rsidR="00F34E52" w:rsidRDefault="00F34E52" w:rsidP="002A28A9">
      <w:pPr>
        <w:spacing w:line="480" w:lineRule="auto"/>
        <w:ind w:left="720" w:hanging="720"/>
        <w:contextualSpacing/>
        <w:rPr>
          <w:rFonts w:ascii="Times New Roman" w:hAnsi="Times New Roman" w:cs="Times New Roman"/>
          <w:sz w:val="24"/>
          <w:szCs w:val="24"/>
        </w:rPr>
      </w:pPr>
    </w:p>
    <w:p w14:paraId="690D08DB" w14:textId="77777777" w:rsidR="00CA7276" w:rsidRPr="00CA7276" w:rsidRDefault="00CA7276" w:rsidP="00CA7276">
      <w:pPr>
        <w:spacing w:line="480" w:lineRule="auto"/>
        <w:ind w:left="1440" w:firstLine="720"/>
        <w:contextualSpacing/>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SCOPE AND SUMMARY OF TESTIMONY</w:t>
      </w:r>
    </w:p>
    <w:p w14:paraId="690D08DC" w14:textId="77777777" w:rsidR="0076102B" w:rsidRDefault="0076102B" w:rsidP="002A28A9">
      <w:pPr>
        <w:spacing w:line="480" w:lineRule="auto"/>
        <w:ind w:left="720" w:hanging="720"/>
        <w:contextualSpacing/>
        <w:rPr>
          <w:rFonts w:ascii="Times New Roman" w:hAnsi="Times New Roman" w:cs="Times New Roman"/>
          <w:sz w:val="24"/>
          <w:szCs w:val="24"/>
        </w:rPr>
      </w:pPr>
    </w:p>
    <w:p w14:paraId="690D08DD" w14:textId="77777777" w:rsidR="00CA7276" w:rsidRDefault="00CA7276" w:rsidP="002A28A9">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is the purpose of your testimony?</w:t>
      </w:r>
    </w:p>
    <w:p w14:paraId="690D08DE" w14:textId="77777777" w:rsidR="00CA7276" w:rsidRDefault="00CA7276" w:rsidP="002A28A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 present Staff’s recommendations on the Company’s following proposals in this proceeding:</w:t>
      </w:r>
    </w:p>
    <w:p w14:paraId="690D08DF" w14:textId="77777777" w:rsidR="00F66BD5" w:rsidRDefault="00F66BD5" w:rsidP="00CA727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Renewable Resource Tracking Mechanism (Gregory N. Duvall). </w:t>
      </w:r>
    </w:p>
    <w:p w14:paraId="690D08E0" w14:textId="6EAEA2BA" w:rsidR="00CA7276" w:rsidRDefault="00F24CB2" w:rsidP="00CA727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cost-of-</w:t>
      </w:r>
      <w:r w:rsidR="00F66BD5">
        <w:rPr>
          <w:rFonts w:ascii="Times New Roman" w:hAnsi="Times New Roman" w:cs="Times New Roman"/>
          <w:sz w:val="24"/>
          <w:szCs w:val="24"/>
        </w:rPr>
        <w:t>service study and rate design (Joelle R. Steward).</w:t>
      </w:r>
    </w:p>
    <w:p w14:paraId="4454BE00" w14:textId="77777777" w:rsidR="00C70B2B" w:rsidRPr="00C70B2B" w:rsidRDefault="00C70B2B" w:rsidP="00C70B2B">
      <w:pPr>
        <w:spacing w:line="480" w:lineRule="auto"/>
        <w:ind w:left="720"/>
        <w:rPr>
          <w:rFonts w:ascii="Times New Roman" w:hAnsi="Times New Roman" w:cs="Times New Roman"/>
          <w:sz w:val="24"/>
          <w:szCs w:val="24"/>
        </w:rPr>
      </w:pPr>
    </w:p>
    <w:p w14:paraId="690D08E1" w14:textId="77777777" w:rsidR="0076102B" w:rsidRDefault="00C34623" w:rsidP="00C34623">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summarize your recommendations regarding the Renewable Resource Tracking Mechanism.</w:t>
      </w:r>
    </w:p>
    <w:p w14:paraId="690D08E2" w14:textId="3E589634" w:rsidR="00E01994" w:rsidRDefault="00C34623" w:rsidP="007044B8">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510F8">
        <w:rPr>
          <w:rFonts w:ascii="Times New Roman" w:hAnsi="Times New Roman" w:cs="Times New Roman"/>
          <w:sz w:val="24"/>
          <w:szCs w:val="24"/>
        </w:rPr>
        <w:t>The</w:t>
      </w:r>
      <w:r>
        <w:rPr>
          <w:rFonts w:ascii="Times New Roman" w:hAnsi="Times New Roman" w:cs="Times New Roman"/>
          <w:sz w:val="24"/>
          <w:szCs w:val="24"/>
        </w:rPr>
        <w:t xml:space="preserve"> Commission </w:t>
      </w:r>
      <w:r w:rsidR="00C510F8">
        <w:rPr>
          <w:rFonts w:ascii="Times New Roman" w:hAnsi="Times New Roman" w:cs="Times New Roman"/>
          <w:sz w:val="24"/>
          <w:szCs w:val="24"/>
        </w:rPr>
        <w:t xml:space="preserve">should </w:t>
      </w:r>
      <w:r>
        <w:rPr>
          <w:rFonts w:ascii="Times New Roman" w:hAnsi="Times New Roman" w:cs="Times New Roman"/>
          <w:sz w:val="24"/>
          <w:szCs w:val="24"/>
        </w:rPr>
        <w:t>reject the Company’s proposed Renewable Resource T</w:t>
      </w:r>
      <w:r w:rsidR="00BD4037">
        <w:rPr>
          <w:rFonts w:ascii="Times New Roman" w:hAnsi="Times New Roman" w:cs="Times New Roman"/>
          <w:sz w:val="24"/>
          <w:szCs w:val="24"/>
        </w:rPr>
        <w:t>racking Mechanism (RRTM or Mechanism) because it does not comply with the general standards for a power cost adjustment mechanism (PCAM)</w:t>
      </w:r>
      <w:r w:rsidR="0021762B">
        <w:rPr>
          <w:rFonts w:ascii="Times New Roman" w:hAnsi="Times New Roman" w:cs="Times New Roman"/>
          <w:sz w:val="24"/>
          <w:szCs w:val="24"/>
        </w:rPr>
        <w:t xml:space="preserve"> </w:t>
      </w:r>
      <w:r w:rsidR="00F24CB2">
        <w:rPr>
          <w:rFonts w:ascii="Times New Roman" w:hAnsi="Times New Roman" w:cs="Times New Roman"/>
          <w:sz w:val="24"/>
          <w:szCs w:val="24"/>
        </w:rPr>
        <w:t>that the Com</w:t>
      </w:r>
      <w:r w:rsidR="003813E8">
        <w:rPr>
          <w:rFonts w:ascii="Times New Roman" w:hAnsi="Times New Roman" w:cs="Times New Roman"/>
          <w:sz w:val="24"/>
          <w:szCs w:val="24"/>
        </w:rPr>
        <w:t xml:space="preserve">mission has </w:t>
      </w:r>
      <w:r w:rsidR="0021762B">
        <w:rPr>
          <w:rFonts w:ascii="Times New Roman" w:hAnsi="Times New Roman" w:cs="Times New Roman"/>
          <w:sz w:val="24"/>
          <w:szCs w:val="24"/>
        </w:rPr>
        <w:t xml:space="preserve">set forth </w:t>
      </w:r>
      <w:r w:rsidR="00BD4037">
        <w:rPr>
          <w:rFonts w:ascii="Times New Roman" w:hAnsi="Times New Roman" w:cs="Times New Roman"/>
          <w:sz w:val="24"/>
          <w:szCs w:val="24"/>
        </w:rPr>
        <w:t>in previous orders.</w:t>
      </w:r>
      <w:r w:rsidR="00CC33A1">
        <w:rPr>
          <w:rFonts w:ascii="Times New Roman" w:hAnsi="Times New Roman" w:cs="Times New Roman"/>
          <w:sz w:val="24"/>
          <w:szCs w:val="24"/>
        </w:rPr>
        <w:t xml:space="preserve">  </w:t>
      </w:r>
    </w:p>
    <w:p w14:paraId="690D08E3" w14:textId="77777777" w:rsidR="00E01994" w:rsidRDefault="00E01994" w:rsidP="00235BFE">
      <w:pPr>
        <w:spacing w:line="480" w:lineRule="auto"/>
        <w:contextualSpacing/>
        <w:rPr>
          <w:rFonts w:ascii="Times New Roman" w:hAnsi="Times New Roman" w:cs="Times New Roman"/>
          <w:sz w:val="24"/>
          <w:szCs w:val="24"/>
        </w:rPr>
      </w:pPr>
    </w:p>
    <w:p w14:paraId="690D08E4" w14:textId="5F3576A4" w:rsidR="00E01994" w:rsidRPr="00293F51" w:rsidRDefault="00E01994" w:rsidP="00E01994">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Please summarize your recommendations regarding the cost</w:t>
      </w:r>
      <w:r w:rsidR="00F24CB2">
        <w:rPr>
          <w:rFonts w:ascii="Times New Roman" w:hAnsi="Times New Roman" w:cs="Times New Roman"/>
          <w:b/>
          <w:sz w:val="24"/>
          <w:szCs w:val="24"/>
        </w:rPr>
        <w:t>-of-</w:t>
      </w:r>
      <w:r>
        <w:rPr>
          <w:rFonts w:ascii="Times New Roman" w:hAnsi="Times New Roman" w:cs="Times New Roman"/>
          <w:b/>
          <w:sz w:val="24"/>
          <w:szCs w:val="24"/>
        </w:rPr>
        <w:t>service study.</w:t>
      </w:r>
    </w:p>
    <w:p w14:paraId="690D08E5" w14:textId="636119F8" w:rsidR="00E01994" w:rsidRDefault="00E01994" w:rsidP="00DE4474">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F24CB2">
        <w:rPr>
          <w:rFonts w:ascii="Times New Roman" w:hAnsi="Times New Roman" w:cs="Times New Roman"/>
          <w:sz w:val="24"/>
          <w:szCs w:val="24"/>
        </w:rPr>
        <w:t>The Company’s cost-of-</w:t>
      </w:r>
      <w:r>
        <w:rPr>
          <w:rFonts w:ascii="Times New Roman" w:hAnsi="Times New Roman" w:cs="Times New Roman"/>
          <w:sz w:val="24"/>
          <w:szCs w:val="24"/>
        </w:rPr>
        <w:t>service study is a generally fair representation of the costs imposed on Pacific Power’s system by various customer classes.</w:t>
      </w:r>
      <w:r w:rsidR="00EC1D1D">
        <w:rPr>
          <w:rFonts w:ascii="Times New Roman" w:hAnsi="Times New Roman" w:cs="Times New Roman"/>
          <w:sz w:val="24"/>
          <w:szCs w:val="24"/>
        </w:rPr>
        <w:t xml:space="preserve"> </w:t>
      </w:r>
      <w:r>
        <w:rPr>
          <w:rFonts w:ascii="Times New Roman" w:hAnsi="Times New Roman" w:cs="Times New Roman"/>
          <w:sz w:val="24"/>
          <w:szCs w:val="24"/>
        </w:rPr>
        <w:t xml:space="preserve"> </w:t>
      </w:r>
      <w:r w:rsidR="009138D0">
        <w:rPr>
          <w:rFonts w:ascii="Times New Roman" w:hAnsi="Times New Roman" w:cs="Times New Roman"/>
          <w:sz w:val="24"/>
          <w:szCs w:val="24"/>
        </w:rPr>
        <w:t>I have</w:t>
      </w:r>
      <w:r w:rsidR="000768CF">
        <w:rPr>
          <w:rFonts w:ascii="Times New Roman" w:hAnsi="Times New Roman" w:cs="Times New Roman"/>
          <w:sz w:val="24"/>
          <w:szCs w:val="24"/>
        </w:rPr>
        <w:t xml:space="preserve"> adjusted the study to reflect Staff’s proposed revenue requirement and to incorporate two of the three Staff recommendations that Pacific Power agreed to evaluate in the partial settlement </w:t>
      </w:r>
      <w:r w:rsidR="0007445B">
        <w:rPr>
          <w:rFonts w:ascii="Times New Roman" w:hAnsi="Times New Roman" w:cs="Times New Roman"/>
          <w:sz w:val="24"/>
          <w:szCs w:val="24"/>
        </w:rPr>
        <w:t>reached in</w:t>
      </w:r>
      <w:r w:rsidR="000768CF">
        <w:rPr>
          <w:rFonts w:ascii="Times New Roman" w:hAnsi="Times New Roman" w:cs="Times New Roman"/>
          <w:sz w:val="24"/>
          <w:szCs w:val="24"/>
        </w:rPr>
        <w:t xml:space="preserve"> the 2013 rate case.</w:t>
      </w:r>
      <w:r w:rsidR="0054187E">
        <w:rPr>
          <w:rStyle w:val="FootnoteReference"/>
          <w:rFonts w:ascii="Times New Roman" w:hAnsi="Times New Roman" w:cs="Times New Roman"/>
          <w:sz w:val="24"/>
          <w:szCs w:val="24"/>
        </w:rPr>
        <w:footnoteReference w:id="1"/>
      </w:r>
      <w:r w:rsidR="000768CF">
        <w:rPr>
          <w:rFonts w:ascii="Times New Roman" w:hAnsi="Times New Roman" w:cs="Times New Roman"/>
          <w:sz w:val="24"/>
          <w:szCs w:val="24"/>
        </w:rPr>
        <w:t xml:space="preserve">  </w:t>
      </w:r>
      <w:r w:rsidR="009138D0">
        <w:rPr>
          <w:rFonts w:ascii="Times New Roman" w:hAnsi="Times New Roman" w:cs="Times New Roman"/>
          <w:sz w:val="24"/>
          <w:szCs w:val="24"/>
        </w:rPr>
        <w:t xml:space="preserve">These recommendations – classifying wind-related generation costs as primarily energy related and directly assigning the costs of corporate account managers to the large industrial customers that they serve – are in line with cost causation principles.  </w:t>
      </w:r>
      <w:r w:rsidR="000768CF">
        <w:rPr>
          <w:rFonts w:ascii="Times New Roman" w:hAnsi="Times New Roman" w:cs="Times New Roman"/>
          <w:sz w:val="24"/>
          <w:szCs w:val="24"/>
        </w:rPr>
        <w:t xml:space="preserve">The Company </w:t>
      </w:r>
      <w:r w:rsidR="009138D0">
        <w:rPr>
          <w:rFonts w:ascii="Times New Roman" w:hAnsi="Times New Roman" w:cs="Times New Roman"/>
          <w:sz w:val="24"/>
          <w:szCs w:val="24"/>
        </w:rPr>
        <w:t xml:space="preserve">examined </w:t>
      </w:r>
      <w:r w:rsidR="0054510C">
        <w:rPr>
          <w:rFonts w:ascii="Times New Roman" w:hAnsi="Times New Roman" w:cs="Times New Roman"/>
          <w:sz w:val="24"/>
          <w:szCs w:val="24"/>
        </w:rPr>
        <w:t>those</w:t>
      </w:r>
      <w:r w:rsidR="000768CF">
        <w:rPr>
          <w:rFonts w:ascii="Times New Roman" w:hAnsi="Times New Roman" w:cs="Times New Roman"/>
          <w:sz w:val="24"/>
          <w:szCs w:val="24"/>
        </w:rPr>
        <w:t xml:space="preserve"> recommendations </w:t>
      </w:r>
      <w:r w:rsidR="00B7296A">
        <w:rPr>
          <w:rFonts w:ascii="Times New Roman" w:hAnsi="Times New Roman" w:cs="Times New Roman"/>
          <w:sz w:val="24"/>
          <w:szCs w:val="24"/>
        </w:rPr>
        <w:t>as agreed, but declined to implement</w:t>
      </w:r>
      <w:r w:rsidR="00F24CB2">
        <w:rPr>
          <w:rFonts w:ascii="Times New Roman" w:hAnsi="Times New Roman" w:cs="Times New Roman"/>
          <w:sz w:val="24"/>
          <w:szCs w:val="24"/>
        </w:rPr>
        <w:t xml:space="preserve"> them in its cost-of-se</w:t>
      </w:r>
      <w:r w:rsidR="000768CF">
        <w:rPr>
          <w:rFonts w:ascii="Times New Roman" w:hAnsi="Times New Roman" w:cs="Times New Roman"/>
          <w:sz w:val="24"/>
          <w:szCs w:val="24"/>
        </w:rPr>
        <w:t>rvice study.</w:t>
      </w:r>
      <w:r w:rsidR="0027554B">
        <w:rPr>
          <w:rFonts w:ascii="Times New Roman" w:hAnsi="Times New Roman" w:cs="Times New Roman"/>
          <w:sz w:val="24"/>
          <w:szCs w:val="24"/>
        </w:rPr>
        <w:t xml:space="preserve">  </w:t>
      </w:r>
      <w:r w:rsidR="000768CF">
        <w:rPr>
          <w:rFonts w:ascii="Times New Roman" w:hAnsi="Times New Roman" w:cs="Times New Roman"/>
          <w:sz w:val="24"/>
          <w:szCs w:val="24"/>
        </w:rPr>
        <w:t xml:space="preserve">  </w:t>
      </w:r>
    </w:p>
    <w:p w14:paraId="690D08E6" w14:textId="77777777" w:rsidR="00CC33A1" w:rsidRDefault="00CC33A1" w:rsidP="00DE4474">
      <w:pPr>
        <w:spacing w:line="480" w:lineRule="auto"/>
        <w:ind w:left="720" w:hanging="720"/>
        <w:contextualSpacing/>
        <w:rPr>
          <w:rFonts w:ascii="Times New Roman" w:hAnsi="Times New Roman" w:cs="Times New Roman"/>
          <w:sz w:val="24"/>
          <w:szCs w:val="24"/>
        </w:rPr>
      </w:pPr>
    </w:p>
    <w:p w14:paraId="690D08E7" w14:textId="5A53E682" w:rsidR="00CC33A1" w:rsidRPr="00293F51" w:rsidRDefault="00CC33A1" w:rsidP="00235BFE">
      <w:pPr>
        <w:keepNext/>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lastRenderedPageBreak/>
        <w:t>Q.</w:t>
      </w:r>
      <w:r w:rsidRPr="00293F51">
        <w:rPr>
          <w:rFonts w:ascii="Times New Roman" w:hAnsi="Times New Roman" w:cs="Times New Roman"/>
          <w:b/>
          <w:sz w:val="24"/>
          <w:szCs w:val="24"/>
        </w:rPr>
        <w:tab/>
      </w:r>
      <w:r>
        <w:rPr>
          <w:rFonts w:ascii="Times New Roman" w:hAnsi="Times New Roman" w:cs="Times New Roman"/>
          <w:b/>
          <w:sz w:val="24"/>
          <w:szCs w:val="24"/>
        </w:rPr>
        <w:t xml:space="preserve">Please summarize </w:t>
      </w:r>
      <w:r w:rsidR="00C510F8">
        <w:rPr>
          <w:rFonts w:ascii="Times New Roman" w:hAnsi="Times New Roman" w:cs="Times New Roman"/>
          <w:b/>
          <w:sz w:val="24"/>
          <w:szCs w:val="24"/>
        </w:rPr>
        <w:t xml:space="preserve">Staff’s </w:t>
      </w:r>
      <w:r>
        <w:rPr>
          <w:rFonts w:ascii="Times New Roman" w:hAnsi="Times New Roman" w:cs="Times New Roman"/>
          <w:b/>
          <w:sz w:val="24"/>
          <w:szCs w:val="24"/>
        </w:rPr>
        <w:t>recommendations regarding rate design.</w:t>
      </w:r>
    </w:p>
    <w:p w14:paraId="690D08E8" w14:textId="4FD39E1F" w:rsidR="00EB000B" w:rsidRDefault="00CC33A1" w:rsidP="00800CA3">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C510F8">
        <w:rPr>
          <w:rFonts w:ascii="Times New Roman" w:hAnsi="Times New Roman" w:cs="Times New Roman"/>
          <w:sz w:val="24"/>
          <w:szCs w:val="24"/>
        </w:rPr>
        <w:t>Staff recommends</w:t>
      </w:r>
      <w:r w:rsidR="00EB000B">
        <w:rPr>
          <w:rFonts w:ascii="Times New Roman" w:hAnsi="Times New Roman" w:cs="Times New Roman"/>
          <w:sz w:val="24"/>
          <w:szCs w:val="24"/>
        </w:rPr>
        <w:t xml:space="preserve"> a rate design that more closely reflects c</w:t>
      </w:r>
      <w:r w:rsidR="00C510F8">
        <w:rPr>
          <w:rFonts w:ascii="Times New Roman" w:hAnsi="Times New Roman" w:cs="Times New Roman"/>
          <w:sz w:val="24"/>
          <w:szCs w:val="24"/>
        </w:rPr>
        <w:t xml:space="preserve">ost causation by allocating its proposed </w:t>
      </w:r>
      <w:r w:rsidR="00EB000B">
        <w:rPr>
          <w:rFonts w:ascii="Times New Roman" w:hAnsi="Times New Roman" w:cs="Times New Roman"/>
          <w:sz w:val="24"/>
          <w:szCs w:val="24"/>
        </w:rPr>
        <w:t xml:space="preserve">increase more heavily toward classes that are paying </w:t>
      </w:r>
      <w:r w:rsidR="00467D94">
        <w:rPr>
          <w:rFonts w:ascii="Times New Roman" w:hAnsi="Times New Roman" w:cs="Times New Roman"/>
          <w:sz w:val="24"/>
          <w:szCs w:val="24"/>
        </w:rPr>
        <w:t xml:space="preserve">near or </w:t>
      </w:r>
      <w:r w:rsidR="00EB000B">
        <w:rPr>
          <w:rFonts w:ascii="Times New Roman" w:hAnsi="Times New Roman" w:cs="Times New Roman"/>
          <w:sz w:val="24"/>
          <w:szCs w:val="24"/>
        </w:rPr>
        <w:t>below their verified cost of service</w:t>
      </w:r>
      <w:r w:rsidR="00467D94">
        <w:rPr>
          <w:rFonts w:ascii="Times New Roman" w:hAnsi="Times New Roman" w:cs="Times New Roman"/>
          <w:sz w:val="24"/>
          <w:szCs w:val="24"/>
        </w:rPr>
        <w:t xml:space="preserve"> and allocating no increase to classes that are already paying well above their cost of service</w:t>
      </w:r>
      <w:r w:rsidR="00F24CB2">
        <w:rPr>
          <w:rFonts w:ascii="Times New Roman" w:hAnsi="Times New Roman" w:cs="Times New Roman"/>
          <w:sz w:val="24"/>
          <w:szCs w:val="24"/>
        </w:rPr>
        <w:t xml:space="preserve"> (105 percent or more)</w:t>
      </w:r>
      <w:r w:rsidR="00EB000B">
        <w:rPr>
          <w:rFonts w:ascii="Times New Roman" w:hAnsi="Times New Roman" w:cs="Times New Roman"/>
          <w:sz w:val="24"/>
          <w:szCs w:val="24"/>
        </w:rPr>
        <w:t xml:space="preserve">.  </w:t>
      </w:r>
      <w:r w:rsidR="0007445B">
        <w:rPr>
          <w:rFonts w:ascii="Times New Roman" w:hAnsi="Times New Roman" w:cs="Times New Roman"/>
          <w:sz w:val="24"/>
          <w:szCs w:val="24"/>
        </w:rPr>
        <w:t>Staff’s proposal is also designed to create pric</w:t>
      </w:r>
      <w:r w:rsidR="00200444">
        <w:rPr>
          <w:rFonts w:ascii="Times New Roman" w:hAnsi="Times New Roman" w:cs="Times New Roman"/>
          <w:sz w:val="24"/>
          <w:szCs w:val="24"/>
        </w:rPr>
        <w:t xml:space="preserve">e signals that will </w:t>
      </w:r>
      <w:r w:rsidR="0027554B">
        <w:rPr>
          <w:rFonts w:ascii="Times New Roman" w:hAnsi="Times New Roman" w:cs="Times New Roman"/>
          <w:sz w:val="24"/>
          <w:szCs w:val="24"/>
        </w:rPr>
        <w:t>encourage</w:t>
      </w:r>
      <w:r w:rsidR="00200444">
        <w:rPr>
          <w:rFonts w:ascii="Times New Roman" w:hAnsi="Times New Roman" w:cs="Times New Roman"/>
          <w:sz w:val="24"/>
          <w:szCs w:val="24"/>
        </w:rPr>
        <w:t xml:space="preserve"> residential customers to be more efficient in their energy usage.</w:t>
      </w:r>
      <w:r w:rsidR="0007445B">
        <w:rPr>
          <w:rFonts w:ascii="Times New Roman" w:hAnsi="Times New Roman" w:cs="Times New Roman"/>
          <w:sz w:val="24"/>
          <w:szCs w:val="24"/>
        </w:rPr>
        <w:t xml:space="preserve"> </w:t>
      </w:r>
      <w:r w:rsidR="00200444">
        <w:rPr>
          <w:rFonts w:ascii="Times New Roman" w:hAnsi="Times New Roman" w:cs="Times New Roman"/>
          <w:sz w:val="24"/>
          <w:szCs w:val="24"/>
        </w:rPr>
        <w:t xml:space="preserve"> </w:t>
      </w:r>
      <w:r w:rsidR="00EB000B">
        <w:rPr>
          <w:rFonts w:ascii="Times New Roman" w:hAnsi="Times New Roman" w:cs="Times New Roman"/>
          <w:sz w:val="24"/>
          <w:szCs w:val="24"/>
        </w:rPr>
        <w:t xml:space="preserve">This approach, combined with Staff’s lower proposed revenue requirement, results in a different rate design than that proposed by the Company.  </w:t>
      </w:r>
    </w:p>
    <w:p w14:paraId="11E0A93E" w14:textId="4AC9743D" w:rsidR="00743D40" w:rsidRDefault="00235BFE" w:rsidP="006C151B">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EB000B">
        <w:rPr>
          <w:rFonts w:ascii="Times New Roman" w:hAnsi="Times New Roman" w:cs="Times New Roman"/>
          <w:sz w:val="24"/>
          <w:szCs w:val="24"/>
        </w:rPr>
        <w:t xml:space="preserve">On residential rate design, </w:t>
      </w:r>
      <w:r w:rsidR="00C510F8">
        <w:rPr>
          <w:rFonts w:ascii="Times New Roman" w:hAnsi="Times New Roman" w:cs="Times New Roman"/>
          <w:sz w:val="24"/>
          <w:szCs w:val="24"/>
        </w:rPr>
        <w:t>Staff’s</w:t>
      </w:r>
      <w:r w:rsidR="0007445B">
        <w:rPr>
          <w:rFonts w:ascii="Times New Roman" w:hAnsi="Times New Roman" w:cs="Times New Roman"/>
          <w:sz w:val="24"/>
          <w:szCs w:val="24"/>
        </w:rPr>
        <w:t xml:space="preserve"> proposal would </w:t>
      </w:r>
      <w:r w:rsidR="00D47D9A">
        <w:rPr>
          <w:rFonts w:ascii="Times New Roman" w:hAnsi="Times New Roman" w:cs="Times New Roman"/>
          <w:sz w:val="24"/>
          <w:szCs w:val="24"/>
        </w:rPr>
        <w:t>de</w:t>
      </w:r>
      <w:r w:rsidR="0007445B">
        <w:rPr>
          <w:rFonts w:ascii="Times New Roman" w:hAnsi="Times New Roman" w:cs="Times New Roman"/>
          <w:sz w:val="24"/>
          <w:szCs w:val="24"/>
        </w:rPr>
        <w:t>crease the monthly bill of the average</w:t>
      </w:r>
      <w:r w:rsidR="00806627">
        <w:rPr>
          <w:rFonts w:ascii="Times New Roman" w:hAnsi="Times New Roman" w:cs="Times New Roman"/>
          <w:sz w:val="24"/>
          <w:szCs w:val="24"/>
        </w:rPr>
        <w:t xml:space="preserve"> residential</w:t>
      </w:r>
      <w:r w:rsidR="00D47D9A">
        <w:rPr>
          <w:rFonts w:ascii="Times New Roman" w:hAnsi="Times New Roman" w:cs="Times New Roman"/>
          <w:sz w:val="24"/>
          <w:szCs w:val="24"/>
        </w:rPr>
        <w:t xml:space="preserve"> c</w:t>
      </w:r>
      <w:r w:rsidR="00794EE2">
        <w:rPr>
          <w:rFonts w:ascii="Times New Roman" w:hAnsi="Times New Roman" w:cs="Times New Roman"/>
          <w:sz w:val="24"/>
          <w:szCs w:val="24"/>
        </w:rPr>
        <w:t>ustomer using 1,300 kWh by 3.04</w:t>
      </w:r>
      <w:r w:rsidR="009E7449">
        <w:rPr>
          <w:rFonts w:ascii="Times New Roman" w:hAnsi="Times New Roman" w:cs="Times New Roman"/>
          <w:sz w:val="24"/>
          <w:szCs w:val="24"/>
        </w:rPr>
        <w:t>, or 2.</w:t>
      </w:r>
      <w:r w:rsidR="00794EE2">
        <w:rPr>
          <w:rFonts w:ascii="Times New Roman" w:hAnsi="Times New Roman" w:cs="Times New Roman"/>
          <w:sz w:val="24"/>
          <w:szCs w:val="24"/>
        </w:rPr>
        <w:t>7</w:t>
      </w:r>
      <w:r w:rsidR="009E7449">
        <w:rPr>
          <w:rFonts w:ascii="Times New Roman" w:hAnsi="Times New Roman" w:cs="Times New Roman"/>
          <w:sz w:val="24"/>
          <w:szCs w:val="24"/>
        </w:rPr>
        <w:t xml:space="preserve"> </w:t>
      </w:r>
      <w:r w:rsidR="0007445B">
        <w:rPr>
          <w:rFonts w:ascii="Times New Roman" w:hAnsi="Times New Roman" w:cs="Times New Roman"/>
          <w:sz w:val="24"/>
          <w:szCs w:val="24"/>
        </w:rPr>
        <w:t xml:space="preserve">percent.  This proposal reflects </w:t>
      </w:r>
      <w:r w:rsidR="00806627">
        <w:rPr>
          <w:rFonts w:ascii="Times New Roman" w:hAnsi="Times New Roman" w:cs="Times New Roman"/>
          <w:sz w:val="24"/>
          <w:szCs w:val="24"/>
        </w:rPr>
        <w:t>a</w:t>
      </w:r>
      <w:r w:rsidR="0007445B">
        <w:rPr>
          <w:rFonts w:ascii="Times New Roman" w:hAnsi="Times New Roman" w:cs="Times New Roman"/>
          <w:sz w:val="24"/>
          <w:szCs w:val="24"/>
        </w:rPr>
        <w:t xml:space="preserve"> </w:t>
      </w:r>
      <w:r w:rsidR="00200444">
        <w:rPr>
          <w:rFonts w:ascii="Times New Roman" w:hAnsi="Times New Roman" w:cs="Times New Roman"/>
          <w:sz w:val="24"/>
          <w:szCs w:val="24"/>
        </w:rPr>
        <w:t>shift</w:t>
      </w:r>
      <w:r w:rsidR="00C510F8">
        <w:rPr>
          <w:rFonts w:ascii="Times New Roman" w:hAnsi="Times New Roman" w:cs="Times New Roman"/>
          <w:sz w:val="24"/>
          <w:szCs w:val="24"/>
        </w:rPr>
        <w:t xml:space="preserve"> </w:t>
      </w:r>
      <w:r w:rsidR="00806627">
        <w:rPr>
          <w:rFonts w:ascii="Times New Roman" w:hAnsi="Times New Roman" w:cs="Times New Roman"/>
          <w:sz w:val="24"/>
          <w:szCs w:val="24"/>
        </w:rPr>
        <w:t xml:space="preserve">to collect </w:t>
      </w:r>
      <w:r w:rsidR="00C510F8">
        <w:rPr>
          <w:rFonts w:ascii="Times New Roman" w:hAnsi="Times New Roman" w:cs="Times New Roman"/>
          <w:sz w:val="24"/>
          <w:szCs w:val="24"/>
        </w:rPr>
        <w:t>more of the C</w:t>
      </w:r>
      <w:r w:rsidR="00794EE2">
        <w:rPr>
          <w:rFonts w:ascii="Times New Roman" w:hAnsi="Times New Roman" w:cs="Times New Roman"/>
          <w:sz w:val="24"/>
          <w:szCs w:val="24"/>
        </w:rPr>
        <w:t xml:space="preserve">ompany’s fixed </w:t>
      </w:r>
      <w:r w:rsidR="0007445B">
        <w:rPr>
          <w:rFonts w:ascii="Times New Roman" w:hAnsi="Times New Roman" w:cs="Times New Roman"/>
          <w:sz w:val="24"/>
          <w:szCs w:val="24"/>
        </w:rPr>
        <w:t>cost</w:t>
      </w:r>
      <w:r w:rsidR="00806627">
        <w:rPr>
          <w:rFonts w:ascii="Times New Roman" w:hAnsi="Times New Roman" w:cs="Times New Roman"/>
          <w:sz w:val="24"/>
          <w:szCs w:val="24"/>
        </w:rPr>
        <w:t>s</w:t>
      </w:r>
      <w:r w:rsidR="0007445B">
        <w:rPr>
          <w:rFonts w:ascii="Times New Roman" w:hAnsi="Times New Roman" w:cs="Times New Roman"/>
          <w:sz w:val="24"/>
          <w:szCs w:val="24"/>
        </w:rPr>
        <w:t xml:space="preserve"> in the </w:t>
      </w:r>
      <w:r w:rsidR="009E7449">
        <w:rPr>
          <w:rFonts w:ascii="Times New Roman" w:hAnsi="Times New Roman" w:cs="Times New Roman"/>
          <w:sz w:val="24"/>
          <w:szCs w:val="24"/>
        </w:rPr>
        <w:t xml:space="preserve">monthly </w:t>
      </w:r>
      <w:r w:rsidR="0007445B">
        <w:rPr>
          <w:rFonts w:ascii="Times New Roman" w:hAnsi="Times New Roman" w:cs="Times New Roman"/>
          <w:sz w:val="24"/>
          <w:szCs w:val="24"/>
        </w:rPr>
        <w:t xml:space="preserve">basic charge.  </w:t>
      </w:r>
      <w:r w:rsidR="00806627">
        <w:rPr>
          <w:rFonts w:ascii="Times New Roman" w:hAnsi="Times New Roman" w:cs="Times New Roman"/>
          <w:sz w:val="24"/>
          <w:szCs w:val="24"/>
        </w:rPr>
        <w:t>Staff proposes to</w:t>
      </w:r>
      <w:r w:rsidR="00200444">
        <w:rPr>
          <w:rFonts w:ascii="Times New Roman" w:hAnsi="Times New Roman" w:cs="Times New Roman"/>
          <w:sz w:val="24"/>
          <w:szCs w:val="24"/>
        </w:rPr>
        <w:t xml:space="preserve"> </w:t>
      </w:r>
      <w:r w:rsidR="00800CA3">
        <w:rPr>
          <w:rFonts w:ascii="Times New Roman" w:hAnsi="Times New Roman" w:cs="Times New Roman"/>
          <w:sz w:val="24"/>
          <w:szCs w:val="24"/>
        </w:rPr>
        <w:t xml:space="preserve">increase </w:t>
      </w:r>
      <w:r w:rsidR="009E7449">
        <w:rPr>
          <w:rFonts w:ascii="Times New Roman" w:hAnsi="Times New Roman" w:cs="Times New Roman"/>
          <w:sz w:val="24"/>
          <w:szCs w:val="24"/>
        </w:rPr>
        <w:t>that</w:t>
      </w:r>
      <w:r w:rsidR="00800CA3">
        <w:rPr>
          <w:rFonts w:ascii="Times New Roman" w:hAnsi="Times New Roman" w:cs="Times New Roman"/>
          <w:sz w:val="24"/>
          <w:szCs w:val="24"/>
        </w:rPr>
        <w:t xml:space="preserve"> charge</w:t>
      </w:r>
      <w:r w:rsidR="00EB000B">
        <w:rPr>
          <w:rFonts w:ascii="Times New Roman" w:hAnsi="Times New Roman" w:cs="Times New Roman"/>
          <w:sz w:val="24"/>
          <w:szCs w:val="24"/>
        </w:rPr>
        <w:t xml:space="preserve"> from $7.75</w:t>
      </w:r>
      <w:r w:rsidR="00800CA3">
        <w:rPr>
          <w:rFonts w:ascii="Times New Roman" w:hAnsi="Times New Roman" w:cs="Times New Roman"/>
          <w:sz w:val="24"/>
          <w:szCs w:val="24"/>
        </w:rPr>
        <w:t xml:space="preserve"> to $</w:t>
      </w:r>
      <w:r w:rsidR="003813E8">
        <w:rPr>
          <w:rFonts w:ascii="Times New Roman" w:hAnsi="Times New Roman" w:cs="Times New Roman"/>
          <w:sz w:val="24"/>
          <w:szCs w:val="24"/>
        </w:rPr>
        <w:t>1</w:t>
      </w:r>
      <w:r w:rsidR="009E7449">
        <w:rPr>
          <w:rFonts w:ascii="Times New Roman" w:hAnsi="Times New Roman" w:cs="Times New Roman"/>
          <w:sz w:val="24"/>
          <w:szCs w:val="24"/>
        </w:rPr>
        <w:t>3</w:t>
      </w:r>
      <w:r w:rsidR="00800CA3">
        <w:rPr>
          <w:rFonts w:ascii="Times New Roman" w:hAnsi="Times New Roman" w:cs="Times New Roman"/>
          <w:sz w:val="24"/>
          <w:szCs w:val="24"/>
        </w:rPr>
        <w:t>.</w:t>
      </w:r>
      <w:r w:rsidR="00806627">
        <w:rPr>
          <w:rFonts w:ascii="Times New Roman" w:hAnsi="Times New Roman" w:cs="Times New Roman"/>
          <w:sz w:val="24"/>
          <w:szCs w:val="24"/>
        </w:rPr>
        <w:t>00.</w:t>
      </w:r>
      <w:r w:rsidR="00800CA3">
        <w:rPr>
          <w:rFonts w:ascii="Times New Roman" w:hAnsi="Times New Roman" w:cs="Times New Roman"/>
          <w:sz w:val="24"/>
          <w:szCs w:val="24"/>
        </w:rPr>
        <w:t xml:space="preserve">  Staff also recommends that the Commission i</w:t>
      </w:r>
      <w:r w:rsidR="00F24CB2">
        <w:rPr>
          <w:rFonts w:ascii="Times New Roman" w:hAnsi="Times New Roman" w:cs="Times New Roman"/>
          <w:sz w:val="24"/>
          <w:szCs w:val="24"/>
        </w:rPr>
        <w:t>mplement a three-tier, inverted-</w:t>
      </w:r>
      <w:r w:rsidR="00800CA3">
        <w:rPr>
          <w:rFonts w:ascii="Times New Roman" w:hAnsi="Times New Roman" w:cs="Times New Roman"/>
          <w:sz w:val="24"/>
          <w:szCs w:val="24"/>
        </w:rPr>
        <w:t>block rate structure for residential customers</w:t>
      </w:r>
      <w:r w:rsidR="00806627">
        <w:rPr>
          <w:rFonts w:ascii="Times New Roman" w:hAnsi="Times New Roman" w:cs="Times New Roman"/>
          <w:sz w:val="24"/>
          <w:szCs w:val="24"/>
        </w:rPr>
        <w:t>.</w:t>
      </w:r>
      <w:r w:rsidR="005D2423">
        <w:rPr>
          <w:rFonts w:ascii="Times New Roman" w:hAnsi="Times New Roman" w:cs="Times New Roman"/>
          <w:sz w:val="24"/>
          <w:szCs w:val="24"/>
        </w:rPr>
        <w:t xml:space="preserve"> </w:t>
      </w:r>
      <w:r w:rsidR="00806627">
        <w:rPr>
          <w:rFonts w:ascii="Times New Roman" w:hAnsi="Times New Roman" w:cs="Times New Roman"/>
          <w:sz w:val="24"/>
          <w:szCs w:val="24"/>
        </w:rPr>
        <w:t xml:space="preserve"> For most customers, </w:t>
      </w:r>
      <w:r w:rsidR="005D2423">
        <w:rPr>
          <w:rFonts w:ascii="Times New Roman" w:hAnsi="Times New Roman" w:cs="Times New Roman"/>
          <w:sz w:val="24"/>
          <w:szCs w:val="24"/>
        </w:rPr>
        <w:t>the incr</w:t>
      </w:r>
      <w:r w:rsidR="00EB000B">
        <w:rPr>
          <w:rFonts w:ascii="Times New Roman" w:hAnsi="Times New Roman" w:cs="Times New Roman"/>
          <w:sz w:val="24"/>
          <w:szCs w:val="24"/>
        </w:rPr>
        <w:t xml:space="preserve">ease in the basic charge </w:t>
      </w:r>
      <w:r w:rsidR="004D0F01">
        <w:rPr>
          <w:rFonts w:ascii="Times New Roman" w:hAnsi="Times New Roman" w:cs="Times New Roman"/>
          <w:sz w:val="24"/>
          <w:szCs w:val="24"/>
        </w:rPr>
        <w:t>will</w:t>
      </w:r>
      <w:r w:rsidR="00EB000B">
        <w:rPr>
          <w:rFonts w:ascii="Times New Roman" w:hAnsi="Times New Roman" w:cs="Times New Roman"/>
          <w:sz w:val="24"/>
          <w:szCs w:val="24"/>
        </w:rPr>
        <w:t xml:space="preserve"> be </w:t>
      </w:r>
      <w:r w:rsidR="005D2423">
        <w:rPr>
          <w:rFonts w:ascii="Times New Roman" w:hAnsi="Times New Roman" w:cs="Times New Roman"/>
          <w:sz w:val="24"/>
          <w:szCs w:val="24"/>
        </w:rPr>
        <w:t xml:space="preserve">offset by </w:t>
      </w:r>
      <w:r w:rsidR="00C510F8">
        <w:rPr>
          <w:rFonts w:ascii="Times New Roman" w:hAnsi="Times New Roman" w:cs="Times New Roman"/>
          <w:sz w:val="24"/>
          <w:szCs w:val="24"/>
        </w:rPr>
        <w:t xml:space="preserve">corollary </w:t>
      </w:r>
      <w:r w:rsidR="00806627">
        <w:rPr>
          <w:rFonts w:ascii="Times New Roman" w:hAnsi="Times New Roman" w:cs="Times New Roman"/>
          <w:sz w:val="24"/>
          <w:szCs w:val="24"/>
        </w:rPr>
        <w:t xml:space="preserve">reductions </w:t>
      </w:r>
      <w:r w:rsidR="005D2423">
        <w:rPr>
          <w:rFonts w:ascii="Times New Roman" w:hAnsi="Times New Roman" w:cs="Times New Roman"/>
          <w:sz w:val="24"/>
          <w:szCs w:val="24"/>
        </w:rPr>
        <w:t>in the volumetric rates</w:t>
      </w:r>
      <w:r w:rsidR="00800CA3">
        <w:rPr>
          <w:rFonts w:ascii="Times New Roman" w:hAnsi="Times New Roman" w:cs="Times New Roman"/>
          <w:sz w:val="24"/>
          <w:szCs w:val="24"/>
        </w:rPr>
        <w:t xml:space="preserve">.  </w:t>
      </w:r>
      <w:r w:rsidR="003813E8">
        <w:rPr>
          <w:rFonts w:ascii="Times New Roman" w:hAnsi="Times New Roman" w:cs="Times New Roman"/>
          <w:sz w:val="24"/>
          <w:szCs w:val="24"/>
        </w:rPr>
        <w:t xml:space="preserve">Staff proposes to </w:t>
      </w:r>
      <w:r w:rsidR="00806627">
        <w:rPr>
          <w:rFonts w:ascii="Times New Roman" w:hAnsi="Times New Roman" w:cs="Times New Roman"/>
          <w:sz w:val="24"/>
          <w:szCs w:val="24"/>
        </w:rPr>
        <w:t>increase the size of the</w:t>
      </w:r>
      <w:r w:rsidR="00EB000B">
        <w:rPr>
          <w:rFonts w:ascii="Times New Roman" w:hAnsi="Times New Roman" w:cs="Times New Roman"/>
          <w:sz w:val="24"/>
          <w:szCs w:val="24"/>
        </w:rPr>
        <w:t xml:space="preserve"> first block </w:t>
      </w:r>
      <w:r w:rsidR="00806627">
        <w:rPr>
          <w:rFonts w:ascii="Times New Roman" w:hAnsi="Times New Roman" w:cs="Times New Roman"/>
          <w:sz w:val="24"/>
          <w:szCs w:val="24"/>
        </w:rPr>
        <w:t>to</w:t>
      </w:r>
      <w:r w:rsidR="00EB000B">
        <w:rPr>
          <w:rFonts w:ascii="Times New Roman" w:hAnsi="Times New Roman" w:cs="Times New Roman"/>
          <w:sz w:val="24"/>
          <w:szCs w:val="24"/>
        </w:rPr>
        <w:t xml:space="preserve"> 0-800 kWh per month, </w:t>
      </w:r>
      <w:r w:rsidR="00794EE2">
        <w:rPr>
          <w:rFonts w:ascii="Times New Roman" w:hAnsi="Times New Roman" w:cs="Times New Roman"/>
          <w:sz w:val="24"/>
          <w:szCs w:val="24"/>
        </w:rPr>
        <w:t xml:space="preserve">establish </w:t>
      </w:r>
      <w:r w:rsidR="00EB000B">
        <w:rPr>
          <w:rFonts w:ascii="Times New Roman" w:hAnsi="Times New Roman" w:cs="Times New Roman"/>
          <w:sz w:val="24"/>
          <w:szCs w:val="24"/>
        </w:rPr>
        <w:t>a second block of 801-1</w:t>
      </w:r>
      <w:r w:rsidR="00F24CB2">
        <w:rPr>
          <w:rFonts w:ascii="Times New Roman" w:hAnsi="Times New Roman" w:cs="Times New Roman"/>
          <w:sz w:val="24"/>
          <w:szCs w:val="24"/>
        </w:rPr>
        <w:t>,</w:t>
      </w:r>
      <w:r w:rsidR="00EB000B">
        <w:rPr>
          <w:rFonts w:ascii="Times New Roman" w:hAnsi="Times New Roman" w:cs="Times New Roman"/>
          <w:sz w:val="24"/>
          <w:szCs w:val="24"/>
        </w:rPr>
        <w:t>700 kWh per month</w:t>
      </w:r>
      <w:r w:rsidR="00C510F8">
        <w:rPr>
          <w:rFonts w:ascii="Times New Roman" w:hAnsi="Times New Roman" w:cs="Times New Roman"/>
          <w:sz w:val="24"/>
          <w:szCs w:val="24"/>
        </w:rPr>
        <w:t>,</w:t>
      </w:r>
      <w:r w:rsidR="00EB000B">
        <w:rPr>
          <w:rFonts w:ascii="Times New Roman" w:hAnsi="Times New Roman" w:cs="Times New Roman"/>
          <w:sz w:val="24"/>
          <w:szCs w:val="24"/>
        </w:rPr>
        <w:t xml:space="preserve"> and</w:t>
      </w:r>
      <w:r w:rsidR="00794EE2">
        <w:rPr>
          <w:rFonts w:ascii="Times New Roman" w:hAnsi="Times New Roman" w:cs="Times New Roman"/>
          <w:sz w:val="24"/>
          <w:szCs w:val="24"/>
        </w:rPr>
        <w:t xml:space="preserve"> create</w:t>
      </w:r>
      <w:r w:rsidR="00EB000B">
        <w:rPr>
          <w:rFonts w:ascii="Times New Roman" w:hAnsi="Times New Roman" w:cs="Times New Roman"/>
          <w:sz w:val="24"/>
          <w:szCs w:val="24"/>
        </w:rPr>
        <w:t xml:space="preserve"> a third block </w:t>
      </w:r>
      <w:r w:rsidR="00806627">
        <w:rPr>
          <w:rFonts w:ascii="Times New Roman" w:hAnsi="Times New Roman" w:cs="Times New Roman"/>
          <w:sz w:val="24"/>
          <w:szCs w:val="24"/>
        </w:rPr>
        <w:t>for</w:t>
      </w:r>
      <w:r w:rsidR="00EB000B">
        <w:rPr>
          <w:rFonts w:ascii="Times New Roman" w:hAnsi="Times New Roman" w:cs="Times New Roman"/>
          <w:sz w:val="24"/>
          <w:szCs w:val="24"/>
        </w:rPr>
        <w:t xml:space="preserve"> all usage above 1</w:t>
      </w:r>
      <w:r w:rsidR="00F24CB2">
        <w:rPr>
          <w:rFonts w:ascii="Times New Roman" w:hAnsi="Times New Roman" w:cs="Times New Roman"/>
          <w:sz w:val="24"/>
          <w:szCs w:val="24"/>
        </w:rPr>
        <w:t>,</w:t>
      </w:r>
      <w:r w:rsidR="00EB000B">
        <w:rPr>
          <w:rFonts w:ascii="Times New Roman" w:hAnsi="Times New Roman" w:cs="Times New Roman"/>
          <w:sz w:val="24"/>
          <w:szCs w:val="24"/>
        </w:rPr>
        <w:t xml:space="preserve">700 kWh per month.  </w:t>
      </w:r>
    </w:p>
    <w:p w14:paraId="690D08E9" w14:textId="64FEFFE2" w:rsidR="00992AA1" w:rsidRDefault="00235BFE" w:rsidP="003813E8">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F24CB2">
        <w:rPr>
          <w:rFonts w:ascii="Times New Roman" w:hAnsi="Times New Roman" w:cs="Times New Roman"/>
          <w:sz w:val="24"/>
          <w:szCs w:val="24"/>
        </w:rPr>
        <w:t>The</w:t>
      </w:r>
      <w:r w:rsidR="00800CA3">
        <w:rPr>
          <w:rFonts w:ascii="Times New Roman" w:hAnsi="Times New Roman" w:cs="Times New Roman"/>
          <w:sz w:val="24"/>
          <w:szCs w:val="24"/>
        </w:rPr>
        <w:t xml:space="preserve"> combina</w:t>
      </w:r>
      <w:r w:rsidR="003B6072">
        <w:rPr>
          <w:rFonts w:ascii="Times New Roman" w:hAnsi="Times New Roman" w:cs="Times New Roman"/>
          <w:sz w:val="24"/>
          <w:szCs w:val="24"/>
        </w:rPr>
        <w:t>tion of these two changes</w:t>
      </w:r>
      <w:r w:rsidR="007F7FC4">
        <w:rPr>
          <w:rFonts w:ascii="Times New Roman" w:hAnsi="Times New Roman" w:cs="Times New Roman"/>
          <w:sz w:val="24"/>
          <w:szCs w:val="24"/>
        </w:rPr>
        <w:t xml:space="preserve"> – an increase in the basic charge and the creation of a third tier –</w:t>
      </w:r>
      <w:r w:rsidR="003B6072">
        <w:rPr>
          <w:rFonts w:ascii="Times New Roman" w:hAnsi="Times New Roman" w:cs="Times New Roman"/>
          <w:sz w:val="24"/>
          <w:szCs w:val="24"/>
        </w:rPr>
        <w:t xml:space="preserve"> will </w:t>
      </w:r>
      <w:r w:rsidR="00800CA3">
        <w:rPr>
          <w:rFonts w:ascii="Times New Roman" w:hAnsi="Times New Roman" w:cs="Times New Roman"/>
          <w:sz w:val="24"/>
          <w:szCs w:val="24"/>
        </w:rPr>
        <w:t xml:space="preserve">reduce volatility in </w:t>
      </w:r>
      <w:r w:rsidR="00116851">
        <w:rPr>
          <w:rFonts w:ascii="Times New Roman" w:hAnsi="Times New Roman" w:cs="Times New Roman"/>
          <w:sz w:val="24"/>
          <w:szCs w:val="24"/>
        </w:rPr>
        <w:t>the Company’s revenue</w:t>
      </w:r>
      <w:r w:rsidR="00800CA3">
        <w:rPr>
          <w:rFonts w:ascii="Times New Roman" w:hAnsi="Times New Roman" w:cs="Times New Roman"/>
          <w:sz w:val="24"/>
          <w:szCs w:val="24"/>
        </w:rPr>
        <w:t xml:space="preserve"> recovery and limit the overall bill increase for most residential customers.  </w:t>
      </w:r>
      <w:r w:rsidR="009E7449">
        <w:rPr>
          <w:rFonts w:ascii="Times New Roman" w:hAnsi="Times New Roman" w:cs="Times New Roman"/>
          <w:sz w:val="24"/>
          <w:szCs w:val="24"/>
        </w:rPr>
        <w:t>This</w:t>
      </w:r>
      <w:r w:rsidR="0007445B">
        <w:rPr>
          <w:rFonts w:ascii="Times New Roman" w:hAnsi="Times New Roman" w:cs="Times New Roman"/>
          <w:sz w:val="24"/>
          <w:szCs w:val="24"/>
        </w:rPr>
        <w:t xml:space="preserve"> proposal would also shift a larger share of the rate increase to the highest users, in contrast </w:t>
      </w:r>
      <w:r w:rsidR="0007445B">
        <w:rPr>
          <w:rFonts w:ascii="Times New Roman" w:hAnsi="Times New Roman" w:cs="Times New Roman"/>
          <w:sz w:val="24"/>
          <w:szCs w:val="24"/>
        </w:rPr>
        <w:lastRenderedPageBreak/>
        <w:t>with the Company’s proposal, which would actually decrease rates for the highest residential users.</w:t>
      </w:r>
      <w:r w:rsidR="00F24CB2">
        <w:rPr>
          <w:rStyle w:val="FootnoteReference"/>
          <w:rFonts w:ascii="Times New Roman" w:hAnsi="Times New Roman" w:cs="Times New Roman"/>
          <w:sz w:val="24"/>
          <w:szCs w:val="24"/>
        </w:rPr>
        <w:footnoteReference w:id="2"/>
      </w:r>
      <w:r w:rsidR="00F24CB2">
        <w:rPr>
          <w:rFonts w:ascii="Times New Roman" w:hAnsi="Times New Roman" w:cs="Times New Roman"/>
          <w:sz w:val="24"/>
          <w:szCs w:val="24"/>
        </w:rPr>
        <w:t xml:space="preserve">  </w:t>
      </w:r>
      <w:r w:rsidR="009E7449">
        <w:rPr>
          <w:rFonts w:ascii="Times New Roman" w:hAnsi="Times New Roman" w:cs="Times New Roman"/>
          <w:sz w:val="24"/>
          <w:szCs w:val="24"/>
        </w:rPr>
        <w:t>Implementing this shift would</w:t>
      </w:r>
      <w:r w:rsidR="00116851">
        <w:rPr>
          <w:rFonts w:ascii="Times New Roman" w:hAnsi="Times New Roman" w:cs="Times New Roman"/>
          <w:sz w:val="24"/>
          <w:szCs w:val="24"/>
        </w:rPr>
        <w:t xml:space="preserve"> align the Company’s rate design </w:t>
      </w:r>
      <w:r w:rsidR="00200444">
        <w:rPr>
          <w:rFonts w:ascii="Times New Roman" w:hAnsi="Times New Roman" w:cs="Times New Roman"/>
          <w:sz w:val="24"/>
          <w:szCs w:val="24"/>
        </w:rPr>
        <w:t xml:space="preserve">with policies adopted by the State of Washington and the Commission to promote investment in energy </w:t>
      </w:r>
      <w:r w:rsidR="003B6072">
        <w:rPr>
          <w:rFonts w:ascii="Times New Roman" w:hAnsi="Times New Roman" w:cs="Times New Roman"/>
          <w:sz w:val="24"/>
          <w:szCs w:val="24"/>
        </w:rPr>
        <w:t xml:space="preserve">efficiency and renewable energy.  </w:t>
      </w:r>
      <w:r w:rsidR="009E7449">
        <w:rPr>
          <w:rFonts w:ascii="Times New Roman" w:hAnsi="Times New Roman" w:cs="Times New Roman"/>
          <w:sz w:val="24"/>
          <w:szCs w:val="24"/>
        </w:rPr>
        <w:t>It</w:t>
      </w:r>
      <w:r w:rsidR="006A451B">
        <w:rPr>
          <w:rFonts w:ascii="Times New Roman" w:hAnsi="Times New Roman" w:cs="Times New Roman"/>
          <w:sz w:val="24"/>
          <w:szCs w:val="24"/>
        </w:rPr>
        <w:t xml:space="preserve"> would also be more reflective of cost causation, as higher users impose more burden, and therefore greater costs, on the Company’s system.</w:t>
      </w:r>
      <w:r w:rsidR="003B6072">
        <w:rPr>
          <w:rFonts w:ascii="Times New Roman" w:hAnsi="Times New Roman" w:cs="Times New Roman"/>
          <w:sz w:val="24"/>
          <w:szCs w:val="24"/>
        </w:rPr>
        <w:t xml:space="preserve"> </w:t>
      </w:r>
    </w:p>
    <w:p w14:paraId="0C2AB9DA" w14:textId="5C5853F6" w:rsidR="00BF1ADF" w:rsidRDefault="00235BFE" w:rsidP="003813E8">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973F56">
        <w:rPr>
          <w:rFonts w:ascii="Times New Roman" w:hAnsi="Times New Roman" w:cs="Times New Roman"/>
          <w:sz w:val="24"/>
          <w:szCs w:val="24"/>
        </w:rPr>
        <w:t>I have</w:t>
      </w:r>
      <w:r w:rsidR="00BF1ADF">
        <w:rPr>
          <w:rFonts w:ascii="Times New Roman" w:hAnsi="Times New Roman" w:cs="Times New Roman"/>
          <w:sz w:val="24"/>
          <w:szCs w:val="24"/>
        </w:rPr>
        <w:t xml:space="preserve"> also prepared an alternate recommendation for residential rates, based on the Company’s proposal to implement a </w:t>
      </w:r>
      <w:r w:rsidR="00777FCB">
        <w:rPr>
          <w:rFonts w:ascii="Times New Roman" w:hAnsi="Times New Roman" w:cs="Times New Roman"/>
          <w:sz w:val="24"/>
          <w:szCs w:val="24"/>
        </w:rPr>
        <w:t xml:space="preserve">reduced </w:t>
      </w:r>
      <w:r w:rsidR="00BF1ADF">
        <w:rPr>
          <w:rFonts w:ascii="Times New Roman" w:hAnsi="Times New Roman" w:cs="Times New Roman"/>
          <w:sz w:val="24"/>
          <w:szCs w:val="24"/>
        </w:rPr>
        <w:t xml:space="preserve">basic charge for low-income customers.  </w:t>
      </w:r>
      <w:r w:rsidR="00973F56">
        <w:rPr>
          <w:rFonts w:ascii="Times New Roman" w:hAnsi="Times New Roman" w:cs="Times New Roman"/>
          <w:sz w:val="24"/>
          <w:szCs w:val="24"/>
        </w:rPr>
        <w:t xml:space="preserve">This </w:t>
      </w:r>
      <w:r w:rsidR="00777FCB">
        <w:rPr>
          <w:rFonts w:ascii="Times New Roman" w:hAnsi="Times New Roman" w:cs="Times New Roman"/>
          <w:sz w:val="24"/>
          <w:szCs w:val="24"/>
        </w:rPr>
        <w:t>alternate recommendation suggests where the Commission should place the basic charge</w:t>
      </w:r>
      <w:r w:rsidR="00C510F8">
        <w:rPr>
          <w:rFonts w:ascii="Times New Roman" w:hAnsi="Times New Roman" w:cs="Times New Roman"/>
          <w:sz w:val="24"/>
          <w:szCs w:val="24"/>
        </w:rPr>
        <w:t>s</w:t>
      </w:r>
      <w:r w:rsidR="00777FCB">
        <w:rPr>
          <w:rFonts w:ascii="Times New Roman" w:hAnsi="Times New Roman" w:cs="Times New Roman"/>
          <w:sz w:val="24"/>
          <w:szCs w:val="24"/>
        </w:rPr>
        <w:t xml:space="preserve"> for the different groups of residential customers if it chooses to adopt the Company’s proposal and provides analysis of what the impacts of that policy would be on the monthly bills of all residential customers.</w:t>
      </w:r>
      <w:r w:rsidR="00BF1ADF">
        <w:rPr>
          <w:rFonts w:ascii="Times New Roman" w:hAnsi="Times New Roman" w:cs="Times New Roman"/>
          <w:sz w:val="24"/>
          <w:szCs w:val="24"/>
        </w:rPr>
        <w:t xml:space="preserve"> </w:t>
      </w:r>
    </w:p>
    <w:p w14:paraId="690D08EA" w14:textId="09EADA18" w:rsidR="007044B8" w:rsidRDefault="007044B8" w:rsidP="00235BFE">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235BFE">
        <w:rPr>
          <w:rFonts w:ascii="Times New Roman" w:hAnsi="Times New Roman" w:cs="Times New Roman"/>
          <w:sz w:val="24"/>
          <w:szCs w:val="24"/>
        </w:rPr>
        <w:tab/>
      </w:r>
      <w:r w:rsidR="00973F56">
        <w:rPr>
          <w:rFonts w:ascii="Times New Roman" w:hAnsi="Times New Roman" w:cs="Times New Roman"/>
          <w:sz w:val="24"/>
          <w:szCs w:val="24"/>
        </w:rPr>
        <w:t xml:space="preserve">In general, </w:t>
      </w:r>
      <w:r w:rsidR="00C510F8">
        <w:rPr>
          <w:rFonts w:ascii="Times New Roman" w:hAnsi="Times New Roman" w:cs="Times New Roman"/>
          <w:sz w:val="24"/>
          <w:szCs w:val="24"/>
        </w:rPr>
        <w:t>Staff has</w:t>
      </w:r>
      <w:r w:rsidR="00AB2E63">
        <w:rPr>
          <w:rFonts w:ascii="Times New Roman" w:hAnsi="Times New Roman" w:cs="Times New Roman"/>
          <w:sz w:val="24"/>
          <w:szCs w:val="24"/>
        </w:rPr>
        <w:t xml:space="preserve"> not </w:t>
      </w:r>
      <w:r w:rsidR="004B5278">
        <w:rPr>
          <w:rFonts w:ascii="Times New Roman" w:hAnsi="Times New Roman" w:cs="Times New Roman"/>
          <w:sz w:val="24"/>
          <w:szCs w:val="24"/>
        </w:rPr>
        <w:t xml:space="preserve">significantly </w:t>
      </w:r>
      <w:r w:rsidR="00973F56">
        <w:rPr>
          <w:rFonts w:ascii="Times New Roman" w:hAnsi="Times New Roman" w:cs="Times New Roman"/>
          <w:sz w:val="24"/>
          <w:szCs w:val="24"/>
        </w:rPr>
        <w:t xml:space="preserve">altered the Company’s proposed approach to </w:t>
      </w:r>
      <w:r w:rsidR="00AB2E63">
        <w:rPr>
          <w:rFonts w:ascii="Times New Roman" w:hAnsi="Times New Roman" w:cs="Times New Roman"/>
          <w:sz w:val="24"/>
          <w:szCs w:val="24"/>
        </w:rPr>
        <w:t>non-residential rates, other than differences arising from Staff’s lower revenue requirement and allocation of the</w:t>
      </w:r>
      <w:r w:rsidR="00200444">
        <w:rPr>
          <w:rFonts w:ascii="Times New Roman" w:hAnsi="Times New Roman" w:cs="Times New Roman"/>
          <w:sz w:val="24"/>
          <w:szCs w:val="24"/>
        </w:rPr>
        <w:t xml:space="preserve"> overall</w:t>
      </w:r>
      <w:r w:rsidR="00AB2E63">
        <w:rPr>
          <w:rFonts w:ascii="Times New Roman" w:hAnsi="Times New Roman" w:cs="Times New Roman"/>
          <w:sz w:val="24"/>
          <w:szCs w:val="24"/>
        </w:rPr>
        <w:t xml:space="preserve"> increase. </w:t>
      </w:r>
      <w:r w:rsidR="00973F56">
        <w:rPr>
          <w:rFonts w:ascii="Times New Roman" w:hAnsi="Times New Roman" w:cs="Times New Roman"/>
          <w:sz w:val="24"/>
          <w:szCs w:val="24"/>
        </w:rPr>
        <w:t xml:space="preserve">Where </w:t>
      </w:r>
      <w:r w:rsidR="00C510F8">
        <w:rPr>
          <w:rFonts w:ascii="Times New Roman" w:hAnsi="Times New Roman" w:cs="Times New Roman"/>
          <w:sz w:val="24"/>
          <w:szCs w:val="24"/>
        </w:rPr>
        <w:t>Staff proposes an increase for a non-residential class, most of those increases have been</w:t>
      </w:r>
      <w:r w:rsidR="00973F56">
        <w:rPr>
          <w:rFonts w:ascii="Times New Roman" w:hAnsi="Times New Roman" w:cs="Times New Roman"/>
          <w:sz w:val="24"/>
          <w:szCs w:val="24"/>
        </w:rPr>
        <w:t xml:space="preserve"> evenly </w:t>
      </w:r>
      <w:r w:rsidR="00C510F8">
        <w:rPr>
          <w:rFonts w:ascii="Times New Roman" w:hAnsi="Times New Roman" w:cs="Times New Roman"/>
          <w:sz w:val="24"/>
          <w:szCs w:val="24"/>
        </w:rPr>
        <w:t xml:space="preserve">allocated </w:t>
      </w:r>
      <w:r w:rsidR="00973F56">
        <w:rPr>
          <w:rFonts w:ascii="Times New Roman" w:hAnsi="Times New Roman" w:cs="Times New Roman"/>
          <w:sz w:val="24"/>
          <w:szCs w:val="24"/>
        </w:rPr>
        <w:t xml:space="preserve">across usage-based charges (demand and energy charges), though </w:t>
      </w:r>
      <w:r w:rsidR="00C510F8">
        <w:rPr>
          <w:rFonts w:ascii="Times New Roman" w:hAnsi="Times New Roman" w:cs="Times New Roman"/>
          <w:sz w:val="24"/>
          <w:szCs w:val="24"/>
        </w:rPr>
        <w:t>Staff does</w:t>
      </w:r>
      <w:r w:rsidR="00973F56">
        <w:rPr>
          <w:rFonts w:ascii="Times New Roman" w:hAnsi="Times New Roman" w:cs="Times New Roman"/>
          <w:sz w:val="24"/>
          <w:szCs w:val="24"/>
        </w:rPr>
        <w:t xml:space="preserve"> propose an increase in the basic charge for the Dedicated Facilities class.</w:t>
      </w:r>
    </w:p>
    <w:p w14:paraId="690D08EB" w14:textId="77777777" w:rsidR="00DE4474" w:rsidRDefault="00DE4474" w:rsidP="00DE4474">
      <w:pPr>
        <w:spacing w:line="480" w:lineRule="auto"/>
        <w:rPr>
          <w:rFonts w:ascii="Times New Roman" w:hAnsi="Times New Roman" w:cs="Times New Roman"/>
          <w:b/>
          <w:sz w:val="24"/>
          <w:szCs w:val="24"/>
        </w:rPr>
      </w:pPr>
    </w:p>
    <w:p w14:paraId="690D08EC" w14:textId="77777777" w:rsidR="004938B5" w:rsidRDefault="00DE4474" w:rsidP="00235BFE">
      <w:pPr>
        <w:keepNext/>
        <w:spacing w:line="480" w:lineRule="auto"/>
        <w:ind w:left="1440" w:firstLine="720"/>
        <w:contextualSpacing/>
        <w:rPr>
          <w:rFonts w:ascii="Times New Roman" w:hAnsi="Times New Roman" w:cs="Times New Roman"/>
          <w:b/>
          <w:sz w:val="24"/>
          <w:szCs w:val="24"/>
        </w:rPr>
      </w:pPr>
      <w:r w:rsidRPr="00DE4474">
        <w:rPr>
          <w:rFonts w:ascii="Times New Roman" w:hAnsi="Times New Roman" w:cs="Times New Roman"/>
          <w:b/>
          <w:sz w:val="24"/>
          <w:szCs w:val="24"/>
        </w:rPr>
        <w:t>I</w:t>
      </w:r>
      <w:r>
        <w:rPr>
          <w:rFonts w:ascii="Times New Roman" w:hAnsi="Times New Roman" w:cs="Times New Roman"/>
          <w:b/>
          <w:sz w:val="24"/>
          <w:szCs w:val="24"/>
        </w:rPr>
        <w:t>II.</w:t>
      </w:r>
      <w:r>
        <w:rPr>
          <w:rFonts w:ascii="Times New Roman" w:hAnsi="Times New Roman" w:cs="Times New Roman"/>
          <w:b/>
          <w:sz w:val="24"/>
          <w:szCs w:val="24"/>
        </w:rPr>
        <w:tab/>
        <w:t>RENEWABLE RESOURCE TRACKING MECHANISM</w:t>
      </w:r>
    </w:p>
    <w:p w14:paraId="690D08ED" w14:textId="77777777" w:rsidR="00DE4474" w:rsidRDefault="00DE4474" w:rsidP="00235BFE">
      <w:pPr>
        <w:keepNext/>
        <w:spacing w:line="480" w:lineRule="auto"/>
        <w:rPr>
          <w:rFonts w:ascii="Times New Roman" w:hAnsi="Times New Roman" w:cs="Times New Roman"/>
          <w:b/>
          <w:sz w:val="24"/>
          <w:szCs w:val="24"/>
        </w:rPr>
      </w:pPr>
    </w:p>
    <w:p w14:paraId="690D08EE" w14:textId="77777777" w:rsidR="00DE4474" w:rsidRPr="00293F51" w:rsidRDefault="00DE4474" w:rsidP="00DE4474">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Please summarize Pacific Power’s </w:t>
      </w:r>
      <w:r w:rsidR="00800CA3">
        <w:rPr>
          <w:rFonts w:ascii="Times New Roman" w:hAnsi="Times New Roman" w:cs="Times New Roman"/>
          <w:b/>
          <w:sz w:val="24"/>
          <w:szCs w:val="24"/>
        </w:rPr>
        <w:t xml:space="preserve">RRTM </w:t>
      </w:r>
      <w:r>
        <w:rPr>
          <w:rFonts w:ascii="Times New Roman" w:hAnsi="Times New Roman" w:cs="Times New Roman"/>
          <w:b/>
          <w:sz w:val="24"/>
          <w:szCs w:val="24"/>
        </w:rPr>
        <w:t xml:space="preserve">proposal.  </w:t>
      </w:r>
    </w:p>
    <w:p w14:paraId="690D08EF" w14:textId="5E406BE2" w:rsidR="00DE4474" w:rsidRDefault="00DE4474" w:rsidP="00DE4474">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lastRenderedPageBreak/>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85226E">
        <w:rPr>
          <w:rFonts w:ascii="Times New Roman" w:hAnsi="Times New Roman" w:cs="Times New Roman"/>
          <w:sz w:val="24"/>
          <w:szCs w:val="24"/>
        </w:rPr>
        <w:t>Pacific Powe</w:t>
      </w:r>
      <w:r w:rsidR="006A451B">
        <w:rPr>
          <w:rFonts w:ascii="Times New Roman" w:hAnsi="Times New Roman" w:cs="Times New Roman"/>
          <w:sz w:val="24"/>
          <w:szCs w:val="24"/>
        </w:rPr>
        <w:t>r proposes a mechanism that would</w:t>
      </w:r>
      <w:r w:rsidR="0085226E">
        <w:rPr>
          <w:rFonts w:ascii="Times New Roman" w:hAnsi="Times New Roman" w:cs="Times New Roman"/>
          <w:sz w:val="24"/>
          <w:szCs w:val="24"/>
        </w:rPr>
        <w:t xml:space="preserve"> track the Company’s projected value of its </w:t>
      </w:r>
      <w:r w:rsidR="00AB2E63">
        <w:rPr>
          <w:rFonts w:ascii="Times New Roman" w:hAnsi="Times New Roman" w:cs="Times New Roman"/>
          <w:sz w:val="24"/>
          <w:szCs w:val="24"/>
        </w:rPr>
        <w:t>wind generation as calculated by the Company’s model</w:t>
      </w:r>
      <w:r w:rsidR="0085226E">
        <w:rPr>
          <w:rFonts w:ascii="Times New Roman" w:hAnsi="Times New Roman" w:cs="Times New Roman"/>
          <w:sz w:val="24"/>
          <w:szCs w:val="24"/>
        </w:rPr>
        <w:t xml:space="preserve"> versus the actual value of its wind generation in a given year.  The Company would recover any negative difference from ratepayers and refund any positive difference to ratepayers, with both transactions taking place on a dollar-for-dollar basis.  The difference between projected and actual values would be tracked on a monthly basis in a deferral account, and the Company would make an annual filing in July to true up the account.    </w:t>
      </w:r>
    </w:p>
    <w:p w14:paraId="690D08F0" w14:textId="77777777" w:rsidR="00AD658C" w:rsidRDefault="00AD658C" w:rsidP="00DE4474">
      <w:pPr>
        <w:spacing w:line="480" w:lineRule="auto"/>
        <w:ind w:left="720" w:hanging="720"/>
        <w:contextualSpacing/>
        <w:rPr>
          <w:rFonts w:ascii="Times New Roman" w:hAnsi="Times New Roman" w:cs="Times New Roman"/>
          <w:sz w:val="24"/>
          <w:szCs w:val="24"/>
        </w:rPr>
      </w:pPr>
    </w:p>
    <w:p w14:paraId="690D08F1" w14:textId="77777777" w:rsidR="00AD658C" w:rsidRPr="00293F51" w:rsidRDefault="00AD658C" w:rsidP="00AD658C">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Is the RRTM a PCAM?  </w:t>
      </w:r>
    </w:p>
    <w:p w14:paraId="690D08F2" w14:textId="029A8D9A" w:rsidR="00AA351F" w:rsidRDefault="00AD658C" w:rsidP="00AD658C">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Pr>
          <w:rFonts w:ascii="Times New Roman" w:hAnsi="Times New Roman" w:cs="Times New Roman"/>
          <w:sz w:val="24"/>
          <w:szCs w:val="24"/>
        </w:rPr>
        <w:t xml:space="preserve">Yes.  Although it </w:t>
      </w:r>
      <w:r w:rsidR="00FB7553">
        <w:rPr>
          <w:rFonts w:ascii="Times New Roman" w:hAnsi="Times New Roman" w:cs="Times New Roman"/>
          <w:sz w:val="24"/>
          <w:szCs w:val="24"/>
        </w:rPr>
        <w:t xml:space="preserve">is </w:t>
      </w:r>
      <w:r>
        <w:rPr>
          <w:rFonts w:ascii="Times New Roman" w:hAnsi="Times New Roman" w:cs="Times New Roman"/>
          <w:sz w:val="24"/>
          <w:szCs w:val="24"/>
        </w:rPr>
        <w:t xml:space="preserve">narrow in scope, </w:t>
      </w:r>
      <w:r w:rsidR="00A87EE5">
        <w:rPr>
          <w:rFonts w:ascii="Times New Roman" w:hAnsi="Times New Roman" w:cs="Times New Roman"/>
          <w:sz w:val="24"/>
          <w:szCs w:val="24"/>
        </w:rPr>
        <w:t xml:space="preserve">the RRTM is functionally a </w:t>
      </w:r>
      <w:r w:rsidR="00FB57D9">
        <w:rPr>
          <w:rFonts w:ascii="Times New Roman" w:hAnsi="Times New Roman" w:cs="Times New Roman"/>
          <w:sz w:val="24"/>
          <w:szCs w:val="24"/>
        </w:rPr>
        <w:t>mini-</w:t>
      </w:r>
      <w:r w:rsidR="00A87EE5">
        <w:rPr>
          <w:rFonts w:ascii="Times New Roman" w:hAnsi="Times New Roman" w:cs="Times New Roman"/>
          <w:sz w:val="24"/>
          <w:szCs w:val="24"/>
        </w:rPr>
        <w:t xml:space="preserve">PCAM.  </w:t>
      </w:r>
      <w:r w:rsidR="00AA351F">
        <w:rPr>
          <w:rFonts w:ascii="Times New Roman" w:hAnsi="Times New Roman" w:cs="Times New Roman"/>
          <w:sz w:val="24"/>
          <w:szCs w:val="24"/>
        </w:rPr>
        <w:t>In his testimony proposing the RRTM, Company witness Duvall states that the Mechanism would:</w:t>
      </w:r>
    </w:p>
    <w:p w14:paraId="690D08F3" w14:textId="77777777" w:rsidR="00AD658C" w:rsidRDefault="00AA351F" w:rsidP="00AA351F">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Allow the Company to collect or credit the differenc</w:t>
      </w:r>
      <w:r w:rsidR="0004739C">
        <w:rPr>
          <w:rFonts w:ascii="Times New Roman" w:hAnsi="Times New Roman" w:cs="Times New Roman"/>
          <w:sz w:val="24"/>
          <w:szCs w:val="24"/>
        </w:rPr>
        <w:t xml:space="preserve">es between the </w:t>
      </w:r>
      <w:proofErr w:type="gramStart"/>
      <w:r w:rsidR="0004739C">
        <w:rPr>
          <w:rFonts w:ascii="Times New Roman" w:hAnsi="Times New Roman" w:cs="Times New Roman"/>
          <w:sz w:val="24"/>
          <w:szCs w:val="24"/>
        </w:rPr>
        <w:t>value</w:t>
      </w:r>
      <w:proofErr w:type="gramEnd"/>
      <w:r w:rsidR="0004739C">
        <w:rPr>
          <w:rFonts w:ascii="Times New Roman" w:hAnsi="Times New Roman" w:cs="Times New Roman"/>
          <w:sz w:val="24"/>
          <w:szCs w:val="24"/>
        </w:rPr>
        <w:t xml:space="preserve"> of resource</w:t>
      </w:r>
      <w:r>
        <w:rPr>
          <w:rFonts w:ascii="Times New Roman" w:hAnsi="Times New Roman" w:cs="Times New Roman"/>
          <w:sz w:val="24"/>
          <w:szCs w:val="24"/>
        </w:rPr>
        <w:t>s included in Washington rates and eligible to comply with Washington’s renewable portfolio standard (RPS) established in the EIA, and the actual value of these resources used to serve Washington customers.</w:t>
      </w:r>
      <w:r>
        <w:rPr>
          <w:rStyle w:val="FootnoteReference"/>
          <w:rFonts w:ascii="Times New Roman" w:hAnsi="Times New Roman" w:cs="Times New Roman"/>
          <w:sz w:val="24"/>
          <w:szCs w:val="24"/>
        </w:rPr>
        <w:footnoteReference w:id="3"/>
      </w:r>
      <w:r w:rsidR="00A87EE5">
        <w:rPr>
          <w:rFonts w:ascii="Times New Roman" w:hAnsi="Times New Roman" w:cs="Times New Roman"/>
          <w:sz w:val="24"/>
          <w:szCs w:val="24"/>
        </w:rPr>
        <w:t xml:space="preserve">  </w:t>
      </w:r>
      <w:r w:rsidR="00AD658C">
        <w:rPr>
          <w:rFonts w:ascii="Times New Roman" w:hAnsi="Times New Roman" w:cs="Times New Roman"/>
          <w:sz w:val="24"/>
          <w:szCs w:val="24"/>
        </w:rPr>
        <w:t xml:space="preserve">   </w:t>
      </w:r>
    </w:p>
    <w:p w14:paraId="690D08F4" w14:textId="77777777" w:rsidR="00AD658C" w:rsidRDefault="00AD658C" w:rsidP="00DE4474">
      <w:pPr>
        <w:spacing w:line="480" w:lineRule="auto"/>
        <w:ind w:left="720" w:hanging="720"/>
        <w:contextualSpacing/>
        <w:rPr>
          <w:rFonts w:ascii="Times New Roman" w:hAnsi="Times New Roman" w:cs="Times New Roman"/>
          <w:sz w:val="24"/>
          <w:szCs w:val="24"/>
        </w:rPr>
      </w:pPr>
    </w:p>
    <w:p w14:paraId="690D08F5" w14:textId="77777777" w:rsidR="00AA351F" w:rsidRDefault="00AA351F" w:rsidP="00AA351F">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 testimony submitted in the 2013 General Rate Case, Mr. Duvall proposed a PCAM that would “allow the Company to collect or credit the differences between the actual (net power costs) incurred to serve Washington customers and the amount of </w:t>
      </w:r>
      <w:r w:rsidR="0004739C">
        <w:rPr>
          <w:rFonts w:ascii="Times New Roman" w:hAnsi="Times New Roman" w:cs="Times New Roman"/>
          <w:sz w:val="24"/>
          <w:szCs w:val="24"/>
        </w:rPr>
        <w:t>(net power costs) collected from Washington customers through rates.”</w:t>
      </w:r>
      <w:r w:rsidR="0004739C">
        <w:rPr>
          <w:rStyle w:val="FootnoteReference"/>
          <w:rFonts w:ascii="Times New Roman" w:hAnsi="Times New Roman" w:cs="Times New Roman"/>
          <w:sz w:val="24"/>
          <w:szCs w:val="24"/>
        </w:rPr>
        <w:footnoteReference w:id="4"/>
      </w:r>
      <w:r w:rsidR="005D2423">
        <w:rPr>
          <w:rFonts w:ascii="Times New Roman" w:hAnsi="Times New Roman" w:cs="Times New Roman"/>
          <w:sz w:val="24"/>
          <w:szCs w:val="24"/>
        </w:rPr>
        <w:t xml:space="preserve">  </w:t>
      </w:r>
    </w:p>
    <w:p w14:paraId="690D08F6" w14:textId="6284B2A4" w:rsidR="0004739C" w:rsidRDefault="0004739C" w:rsidP="00235BFE">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235BFE">
        <w:rPr>
          <w:rFonts w:ascii="Times New Roman" w:hAnsi="Times New Roman" w:cs="Times New Roman"/>
          <w:sz w:val="24"/>
          <w:szCs w:val="24"/>
        </w:rPr>
        <w:tab/>
      </w:r>
      <w:r w:rsidR="00334DA2">
        <w:rPr>
          <w:rFonts w:ascii="Times New Roman" w:hAnsi="Times New Roman" w:cs="Times New Roman"/>
          <w:sz w:val="24"/>
          <w:szCs w:val="24"/>
        </w:rPr>
        <w:t>While narrower in scope, the RRTM would operate by the same mechanism proposed for the PCAM in 2013.</w:t>
      </w:r>
      <w:r w:rsidR="00973F56">
        <w:rPr>
          <w:rFonts w:ascii="Times New Roman" w:hAnsi="Times New Roman" w:cs="Times New Roman"/>
          <w:sz w:val="24"/>
          <w:szCs w:val="24"/>
        </w:rPr>
        <w:t xml:space="preserve"> </w:t>
      </w:r>
      <w:r w:rsidR="00334DA2">
        <w:rPr>
          <w:rFonts w:ascii="Times New Roman" w:hAnsi="Times New Roman" w:cs="Times New Roman"/>
          <w:sz w:val="24"/>
          <w:szCs w:val="24"/>
        </w:rPr>
        <w:t xml:space="preserve"> </w:t>
      </w:r>
      <w:r>
        <w:rPr>
          <w:rFonts w:ascii="Times New Roman" w:hAnsi="Times New Roman" w:cs="Times New Roman"/>
          <w:sz w:val="24"/>
          <w:szCs w:val="24"/>
        </w:rPr>
        <w:t xml:space="preserve">Both proposals </w:t>
      </w:r>
      <w:r w:rsidR="00334DA2">
        <w:rPr>
          <w:rFonts w:ascii="Times New Roman" w:hAnsi="Times New Roman" w:cs="Times New Roman"/>
          <w:sz w:val="24"/>
          <w:szCs w:val="24"/>
        </w:rPr>
        <w:t>would true</w:t>
      </w:r>
      <w:r>
        <w:rPr>
          <w:rFonts w:ascii="Times New Roman" w:hAnsi="Times New Roman" w:cs="Times New Roman"/>
          <w:sz w:val="24"/>
          <w:szCs w:val="24"/>
        </w:rPr>
        <w:t xml:space="preserve"> up projected costs to </w:t>
      </w:r>
      <w:r>
        <w:rPr>
          <w:rFonts w:ascii="Times New Roman" w:hAnsi="Times New Roman" w:cs="Times New Roman"/>
          <w:sz w:val="24"/>
          <w:szCs w:val="24"/>
        </w:rPr>
        <w:lastRenderedPageBreak/>
        <w:t xml:space="preserve">actual costs </w:t>
      </w:r>
      <w:r w:rsidR="00334DA2">
        <w:rPr>
          <w:rFonts w:ascii="Times New Roman" w:hAnsi="Times New Roman" w:cs="Times New Roman"/>
          <w:sz w:val="24"/>
          <w:szCs w:val="24"/>
        </w:rPr>
        <w:t>and recover any negative differential from ratepayers.</w:t>
      </w:r>
      <w:r w:rsidR="00EC1D1D">
        <w:rPr>
          <w:rFonts w:ascii="Times New Roman" w:hAnsi="Times New Roman" w:cs="Times New Roman"/>
          <w:sz w:val="24"/>
          <w:szCs w:val="24"/>
        </w:rPr>
        <w:t xml:space="preserve"> </w:t>
      </w:r>
      <w:r w:rsidR="00334DA2">
        <w:rPr>
          <w:rFonts w:ascii="Times New Roman" w:hAnsi="Times New Roman" w:cs="Times New Roman"/>
          <w:sz w:val="24"/>
          <w:szCs w:val="24"/>
        </w:rPr>
        <w:t xml:space="preserve"> If </w:t>
      </w:r>
      <w:proofErr w:type="gramStart"/>
      <w:r w:rsidR="00334DA2">
        <w:rPr>
          <w:rFonts w:ascii="Times New Roman" w:hAnsi="Times New Roman" w:cs="Times New Roman"/>
          <w:sz w:val="24"/>
          <w:szCs w:val="24"/>
        </w:rPr>
        <w:t xml:space="preserve">a </w:t>
      </w:r>
      <w:r>
        <w:rPr>
          <w:rFonts w:ascii="Times New Roman" w:hAnsi="Times New Roman" w:cs="Times New Roman"/>
          <w:sz w:val="24"/>
          <w:szCs w:val="24"/>
        </w:rPr>
        <w:t xml:space="preserve"> positive</w:t>
      </w:r>
      <w:proofErr w:type="gramEnd"/>
      <w:r>
        <w:rPr>
          <w:rFonts w:ascii="Times New Roman" w:hAnsi="Times New Roman" w:cs="Times New Roman"/>
          <w:sz w:val="24"/>
          <w:szCs w:val="24"/>
        </w:rPr>
        <w:t xml:space="preserve"> differential</w:t>
      </w:r>
      <w:r w:rsidR="00334DA2">
        <w:rPr>
          <w:rFonts w:ascii="Times New Roman" w:hAnsi="Times New Roman" w:cs="Times New Roman"/>
          <w:sz w:val="24"/>
          <w:szCs w:val="24"/>
        </w:rPr>
        <w:t xml:space="preserve"> exists, </w:t>
      </w:r>
      <w:r w:rsidR="008A155F">
        <w:rPr>
          <w:rFonts w:ascii="Times New Roman" w:hAnsi="Times New Roman" w:cs="Times New Roman"/>
          <w:sz w:val="24"/>
          <w:szCs w:val="24"/>
        </w:rPr>
        <w:t xml:space="preserve">then </w:t>
      </w:r>
      <w:r w:rsidR="00334DA2">
        <w:rPr>
          <w:rFonts w:ascii="Times New Roman" w:hAnsi="Times New Roman" w:cs="Times New Roman"/>
          <w:sz w:val="24"/>
          <w:szCs w:val="24"/>
        </w:rPr>
        <w:t xml:space="preserve">this amount would be returned </w:t>
      </w:r>
      <w:r>
        <w:rPr>
          <w:rFonts w:ascii="Times New Roman" w:hAnsi="Times New Roman" w:cs="Times New Roman"/>
          <w:sz w:val="24"/>
          <w:szCs w:val="24"/>
        </w:rPr>
        <w:t xml:space="preserve"> to ratepayers   </w:t>
      </w:r>
      <w:r w:rsidR="008A155F">
        <w:rPr>
          <w:rFonts w:ascii="Times New Roman" w:hAnsi="Times New Roman" w:cs="Times New Roman"/>
          <w:sz w:val="24"/>
          <w:szCs w:val="24"/>
        </w:rPr>
        <w:t>T</w:t>
      </w:r>
      <w:r>
        <w:rPr>
          <w:rFonts w:ascii="Times New Roman" w:hAnsi="Times New Roman" w:cs="Times New Roman"/>
          <w:sz w:val="24"/>
          <w:szCs w:val="24"/>
        </w:rPr>
        <w:t xml:space="preserve">he </w:t>
      </w:r>
      <w:r w:rsidR="008A155F">
        <w:rPr>
          <w:rFonts w:ascii="Times New Roman" w:hAnsi="Times New Roman" w:cs="Times New Roman"/>
          <w:sz w:val="24"/>
          <w:szCs w:val="24"/>
        </w:rPr>
        <w:t xml:space="preserve">RRTM’s </w:t>
      </w:r>
      <w:r>
        <w:rPr>
          <w:rFonts w:ascii="Times New Roman" w:hAnsi="Times New Roman" w:cs="Times New Roman"/>
          <w:sz w:val="24"/>
          <w:szCs w:val="24"/>
        </w:rPr>
        <w:t xml:space="preserve">reduced scope does not mean that it is not a PCAM; rather, the reduced scope makes it an improperly designed PCAM.  </w:t>
      </w:r>
    </w:p>
    <w:p w14:paraId="69A8EB34" w14:textId="77777777" w:rsidR="00743D40" w:rsidRDefault="00743D40" w:rsidP="00C70B2B">
      <w:pPr>
        <w:spacing w:line="480" w:lineRule="auto"/>
        <w:ind w:left="720"/>
        <w:contextualSpacing/>
        <w:rPr>
          <w:rFonts w:ascii="Times New Roman" w:hAnsi="Times New Roman" w:cs="Times New Roman"/>
          <w:sz w:val="24"/>
          <w:szCs w:val="24"/>
        </w:rPr>
      </w:pPr>
    </w:p>
    <w:p w14:paraId="690D08F7" w14:textId="444F35CB" w:rsidR="007044B8" w:rsidRDefault="008A155F" w:rsidP="00DE4474">
      <w:pPr>
        <w:spacing w:line="480" w:lineRule="auto"/>
        <w:ind w:left="720" w:hanging="720"/>
        <w:contextualSpacing/>
        <w:rPr>
          <w:rFonts w:ascii="Times New Roman" w:hAnsi="Times New Roman" w:cs="Times New Roman"/>
          <w:b/>
          <w:sz w:val="24"/>
          <w:szCs w:val="24"/>
        </w:rPr>
      </w:pPr>
      <w:r>
        <w:rPr>
          <w:rFonts w:ascii="Times New Roman" w:hAnsi="Times New Roman" w:cs="Times New Roman"/>
          <w:sz w:val="24"/>
          <w:szCs w:val="24"/>
        </w:rPr>
        <w:t>Q.</w:t>
      </w:r>
      <w:r>
        <w:rPr>
          <w:rFonts w:ascii="Times New Roman" w:hAnsi="Times New Roman" w:cs="Times New Roman"/>
          <w:sz w:val="24"/>
          <w:szCs w:val="24"/>
        </w:rPr>
        <w:tab/>
      </w:r>
      <w:r w:rsidRPr="008A155F">
        <w:rPr>
          <w:rFonts w:ascii="Times New Roman" w:hAnsi="Times New Roman" w:cs="Times New Roman"/>
          <w:b/>
          <w:sz w:val="24"/>
          <w:szCs w:val="24"/>
        </w:rPr>
        <w:t xml:space="preserve">How should a proper PCAM be designed?  </w:t>
      </w:r>
    </w:p>
    <w:p w14:paraId="747E39F3" w14:textId="5A541660" w:rsidR="00817E92" w:rsidRDefault="008A155F" w:rsidP="00DE4474">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 xml:space="preserve"> </w:t>
      </w:r>
      <w:r>
        <w:rPr>
          <w:rFonts w:ascii="Times New Roman" w:hAnsi="Times New Roman" w:cs="Times New Roman"/>
          <w:b/>
          <w:sz w:val="24"/>
          <w:szCs w:val="24"/>
        </w:rPr>
        <w:tab/>
      </w:r>
      <w:r w:rsidRPr="005B2A2D">
        <w:rPr>
          <w:rFonts w:ascii="Times New Roman" w:hAnsi="Times New Roman" w:cs="Times New Roman"/>
          <w:sz w:val="24"/>
          <w:szCs w:val="24"/>
        </w:rPr>
        <w:t xml:space="preserve">A </w:t>
      </w:r>
      <w:r w:rsidR="005B2A2D">
        <w:rPr>
          <w:rFonts w:ascii="Times New Roman" w:hAnsi="Times New Roman" w:cs="Times New Roman"/>
          <w:sz w:val="24"/>
          <w:szCs w:val="24"/>
        </w:rPr>
        <w:t xml:space="preserve">properly designed </w:t>
      </w:r>
      <w:r w:rsidRPr="005B2A2D">
        <w:rPr>
          <w:rFonts w:ascii="Times New Roman" w:hAnsi="Times New Roman" w:cs="Times New Roman"/>
          <w:sz w:val="24"/>
          <w:szCs w:val="24"/>
        </w:rPr>
        <w:t>PCAM</w:t>
      </w:r>
      <w:r>
        <w:rPr>
          <w:rFonts w:ascii="Times New Roman" w:hAnsi="Times New Roman" w:cs="Times New Roman"/>
          <w:b/>
          <w:sz w:val="24"/>
          <w:szCs w:val="24"/>
        </w:rPr>
        <w:t xml:space="preserve"> </w:t>
      </w:r>
      <w:r w:rsidR="005B2A2D" w:rsidRPr="005B2A2D">
        <w:rPr>
          <w:rFonts w:ascii="Times New Roman" w:hAnsi="Times New Roman" w:cs="Times New Roman"/>
          <w:sz w:val="24"/>
          <w:szCs w:val="24"/>
        </w:rPr>
        <w:t xml:space="preserve">should </w:t>
      </w:r>
      <w:r w:rsidR="005B2A2D">
        <w:rPr>
          <w:rFonts w:ascii="Times New Roman" w:hAnsi="Times New Roman" w:cs="Times New Roman"/>
          <w:sz w:val="24"/>
          <w:szCs w:val="24"/>
        </w:rPr>
        <w:t xml:space="preserve">protect a Company from unexpected </w:t>
      </w:r>
      <w:r w:rsidR="00143C0B">
        <w:rPr>
          <w:rFonts w:ascii="Times New Roman" w:hAnsi="Times New Roman" w:cs="Times New Roman"/>
          <w:sz w:val="24"/>
          <w:szCs w:val="24"/>
        </w:rPr>
        <w:t xml:space="preserve">and significant </w:t>
      </w:r>
      <w:r w:rsidR="005B2A2D">
        <w:rPr>
          <w:rFonts w:ascii="Times New Roman" w:hAnsi="Times New Roman" w:cs="Times New Roman"/>
          <w:sz w:val="24"/>
          <w:szCs w:val="24"/>
        </w:rPr>
        <w:t xml:space="preserve">increases in power costs over a defined period.  </w:t>
      </w:r>
      <w:r w:rsidR="00945AA6">
        <w:rPr>
          <w:rFonts w:ascii="Times New Roman" w:hAnsi="Times New Roman" w:cs="Times New Roman"/>
          <w:sz w:val="24"/>
          <w:szCs w:val="24"/>
        </w:rPr>
        <w:t xml:space="preserve">The Commission’s approval of cost recovery mechanisms such as the PCAM was never premised on protecting a utility from all fluctuations in energy costs.  Rather, these mechanisms were intended to protect the utility and ratepayers from </w:t>
      </w:r>
      <w:r w:rsidR="00143C0B">
        <w:rPr>
          <w:rFonts w:ascii="Times New Roman" w:hAnsi="Times New Roman" w:cs="Times New Roman"/>
          <w:sz w:val="24"/>
          <w:szCs w:val="24"/>
        </w:rPr>
        <w:t xml:space="preserve">short-term and </w:t>
      </w:r>
      <w:r w:rsidR="00945AA6">
        <w:rPr>
          <w:rFonts w:ascii="Times New Roman" w:hAnsi="Times New Roman" w:cs="Times New Roman"/>
          <w:sz w:val="24"/>
          <w:szCs w:val="24"/>
        </w:rPr>
        <w:t xml:space="preserve">significant increases in energy </w:t>
      </w:r>
      <w:r w:rsidR="00C70B2B">
        <w:rPr>
          <w:rFonts w:ascii="Times New Roman" w:hAnsi="Times New Roman" w:cs="Times New Roman"/>
          <w:sz w:val="24"/>
          <w:szCs w:val="24"/>
        </w:rPr>
        <w:t>market prices – not</w:t>
      </w:r>
      <w:r w:rsidR="00736B8F">
        <w:rPr>
          <w:rFonts w:ascii="Times New Roman" w:hAnsi="Times New Roman" w:cs="Times New Roman"/>
          <w:sz w:val="24"/>
          <w:szCs w:val="24"/>
        </w:rPr>
        <w:t xml:space="preserve"> </w:t>
      </w:r>
      <w:r w:rsidR="00C70B2B">
        <w:rPr>
          <w:rFonts w:ascii="Times New Roman" w:hAnsi="Times New Roman" w:cs="Times New Roman"/>
          <w:sz w:val="24"/>
          <w:szCs w:val="24"/>
        </w:rPr>
        <w:t>normal market variation</w:t>
      </w:r>
      <w:r w:rsidR="00736B8F">
        <w:rPr>
          <w:rFonts w:ascii="Times New Roman" w:hAnsi="Times New Roman" w:cs="Times New Roman"/>
          <w:sz w:val="24"/>
          <w:szCs w:val="24"/>
        </w:rPr>
        <w:t xml:space="preserve"> around the baseline.</w:t>
      </w:r>
    </w:p>
    <w:p w14:paraId="377EE9D7" w14:textId="77777777" w:rsidR="00C70B2B" w:rsidRDefault="00C70B2B" w:rsidP="00DE4474">
      <w:pPr>
        <w:spacing w:line="480" w:lineRule="auto"/>
        <w:ind w:left="720" w:hanging="720"/>
        <w:contextualSpacing/>
        <w:rPr>
          <w:rFonts w:ascii="Times New Roman" w:hAnsi="Times New Roman" w:cs="Times New Roman"/>
          <w:sz w:val="24"/>
          <w:szCs w:val="24"/>
        </w:rPr>
      </w:pPr>
    </w:p>
    <w:p w14:paraId="690D08F8" w14:textId="315AFAAF" w:rsidR="007044B8" w:rsidRPr="00293F51" w:rsidRDefault="007044B8" w:rsidP="007044B8">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Why is staff recommending that the Commission reject the proposed RRTM?  </w:t>
      </w:r>
    </w:p>
    <w:p w14:paraId="690D08F9" w14:textId="4D17FA53" w:rsidR="00AD658C" w:rsidRDefault="007044B8" w:rsidP="007044B8">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AD658C">
        <w:rPr>
          <w:rFonts w:ascii="Times New Roman" w:hAnsi="Times New Roman" w:cs="Times New Roman"/>
          <w:sz w:val="24"/>
          <w:szCs w:val="24"/>
        </w:rPr>
        <w:t>First, t</w:t>
      </w:r>
      <w:r>
        <w:rPr>
          <w:rFonts w:ascii="Times New Roman" w:hAnsi="Times New Roman" w:cs="Times New Roman"/>
          <w:sz w:val="24"/>
          <w:szCs w:val="24"/>
        </w:rPr>
        <w:t>he Company’s proposed Mechanism</w:t>
      </w:r>
      <w:r w:rsidR="00550618">
        <w:rPr>
          <w:rFonts w:ascii="Times New Roman" w:hAnsi="Times New Roman" w:cs="Times New Roman"/>
          <w:sz w:val="24"/>
          <w:szCs w:val="24"/>
        </w:rPr>
        <w:t xml:space="preserve"> does not contain </w:t>
      </w:r>
      <w:r>
        <w:rPr>
          <w:rFonts w:ascii="Times New Roman" w:hAnsi="Times New Roman" w:cs="Times New Roman"/>
          <w:sz w:val="24"/>
          <w:szCs w:val="24"/>
        </w:rPr>
        <w:t xml:space="preserve">dead bands or sharing bands, </w:t>
      </w:r>
      <w:r w:rsidR="00AD658C">
        <w:rPr>
          <w:rFonts w:ascii="Times New Roman" w:hAnsi="Times New Roman" w:cs="Times New Roman"/>
          <w:sz w:val="24"/>
          <w:szCs w:val="24"/>
        </w:rPr>
        <w:t xml:space="preserve">which </w:t>
      </w:r>
      <w:r>
        <w:rPr>
          <w:rFonts w:ascii="Times New Roman" w:hAnsi="Times New Roman" w:cs="Times New Roman"/>
          <w:sz w:val="24"/>
          <w:szCs w:val="24"/>
        </w:rPr>
        <w:t xml:space="preserve">the Commission has </w:t>
      </w:r>
      <w:r w:rsidR="00AD658C">
        <w:rPr>
          <w:rFonts w:ascii="Times New Roman" w:hAnsi="Times New Roman" w:cs="Times New Roman"/>
          <w:sz w:val="24"/>
          <w:szCs w:val="24"/>
        </w:rPr>
        <w:t xml:space="preserve">identified as </w:t>
      </w:r>
      <w:r w:rsidR="00AB2E63">
        <w:rPr>
          <w:rFonts w:ascii="Times New Roman" w:hAnsi="Times New Roman" w:cs="Times New Roman"/>
          <w:sz w:val="24"/>
          <w:szCs w:val="24"/>
        </w:rPr>
        <w:t>necessary</w:t>
      </w:r>
      <w:r w:rsidR="00AD658C">
        <w:rPr>
          <w:rFonts w:ascii="Times New Roman" w:hAnsi="Times New Roman" w:cs="Times New Roman"/>
          <w:sz w:val="24"/>
          <w:szCs w:val="24"/>
        </w:rPr>
        <w:t xml:space="preserve"> components of</w:t>
      </w:r>
      <w:r>
        <w:rPr>
          <w:rFonts w:ascii="Times New Roman" w:hAnsi="Times New Roman" w:cs="Times New Roman"/>
          <w:sz w:val="24"/>
          <w:szCs w:val="24"/>
        </w:rPr>
        <w:t xml:space="preserve"> </w:t>
      </w:r>
      <w:r w:rsidR="00AD658C">
        <w:rPr>
          <w:rFonts w:ascii="Times New Roman" w:hAnsi="Times New Roman" w:cs="Times New Roman"/>
          <w:sz w:val="24"/>
          <w:szCs w:val="24"/>
        </w:rPr>
        <w:t xml:space="preserve">a PCAM.  Second, </w:t>
      </w:r>
      <w:r w:rsidR="00EB5D3D">
        <w:rPr>
          <w:rFonts w:ascii="Times New Roman" w:hAnsi="Times New Roman" w:cs="Times New Roman"/>
          <w:sz w:val="24"/>
          <w:szCs w:val="24"/>
        </w:rPr>
        <w:t>the majority of the variation that the Company is claiming to justify the RRTM is nothing more than normal market and weather variation, which the Commission does not include in PCAMs.</w:t>
      </w:r>
      <w:r w:rsidR="003A2B91">
        <w:rPr>
          <w:rFonts w:ascii="Times New Roman" w:hAnsi="Times New Roman" w:cs="Times New Roman"/>
          <w:sz w:val="24"/>
          <w:szCs w:val="24"/>
        </w:rPr>
        <w:t xml:space="preserve">  Finally, </w:t>
      </w:r>
      <w:r w:rsidR="00AD658C">
        <w:rPr>
          <w:rFonts w:ascii="Times New Roman" w:hAnsi="Times New Roman" w:cs="Times New Roman"/>
          <w:sz w:val="24"/>
          <w:szCs w:val="24"/>
        </w:rPr>
        <w:t>it is too narrow in scope, focusing on one small component of the Company’s net power costs</w:t>
      </w:r>
      <w:r w:rsidR="00C1299A">
        <w:rPr>
          <w:rFonts w:ascii="Times New Roman" w:hAnsi="Times New Roman" w:cs="Times New Roman"/>
          <w:sz w:val="24"/>
          <w:szCs w:val="24"/>
        </w:rPr>
        <w:t xml:space="preserve"> (NPC)</w:t>
      </w:r>
      <w:r w:rsidR="00AD658C">
        <w:rPr>
          <w:rFonts w:ascii="Times New Roman" w:hAnsi="Times New Roman" w:cs="Times New Roman"/>
          <w:sz w:val="24"/>
          <w:szCs w:val="24"/>
        </w:rPr>
        <w:t xml:space="preserve">.  </w:t>
      </w:r>
    </w:p>
    <w:p w14:paraId="690D08FA" w14:textId="77777777" w:rsidR="00AD658C" w:rsidRDefault="00AD658C" w:rsidP="007044B8">
      <w:pPr>
        <w:spacing w:line="480" w:lineRule="auto"/>
        <w:ind w:left="720" w:hanging="720"/>
        <w:contextualSpacing/>
        <w:rPr>
          <w:rFonts w:ascii="Times New Roman" w:hAnsi="Times New Roman" w:cs="Times New Roman"/>
          <w:sz w:val="24"/>
          <w:szCs w:val="24"/>
        </w:rPr>
      </w:pPr>
    </w:p>
    <w:p w14:paraId="690D08FB" w14:textId="77777777" w:rsidR="00AD658C" w:rsidRPr="00293F51" w:rsidRDefault="00AD658C" w:rsidP="00AD658C">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Why are dead bands and sharing bands necessary components of an adjustment mechanism?  </w:t>
      </w:r>
    </w:p>
    <w:p w14:paraId="690D08FC" w14:textId="01DF9A17" w:rsidR="00AD658C" w:rsidRDefault="00AD658C" w:rsidP="00AD658C">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lastRenderedPageBreak/>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440DEA">
        <w:rPr>
          <w:rFonts w:ascii="Times New Roman" w:hAnsi="Times New Roman" w:cs="Times New Roman"/>
          <w:sz w:val="24"/>
          <w:szCs w:val="24"/>
        </w:rPr>
        <w:t xml:space="preserve">Dead bands create a strong price signal </w:t>
      </w:r>
      <w:r w:rsidR="00794EE2">
        <w:rPr>
          <w:rFonts w:ascii="Times New Roman" w:hAnsi="Times New Roman" w:cs="Times New Roman"/>
          <w:sz w:val="24"/>
          <w:szCs w:val="24"/>
        </w:rPr>
        <w:t xml:space="preserve">for </w:t>
      </w:r>
      <w:r w:rsidR="00440DEA">
        <w:rPr>
          <w:rFonts w:ascii="Times New Roman" w:hAnsi="Times New Roman" w:cs="Times New Roman"/>
          <w:sz w:val="24"/>
          <w:szCs w:val="24"/>
        </w:rPr>
        <w:t xml:space="preserve">a utility to </w:t>
      </w:r>
      <w:r w:rsidR="0036354F">
        <w:rPr>
          <w:rFonts w:ascii="Times New Roman" w:hAnsi="Times New Roman" w:cs="Times New Roman"/>
          <w:sz w:val="24"/>
          <w:szCs w:val="24"/>
        </w:rPr>
        <w:t xml:space="preserve">effectively </w:t>
      </w:r>
      <w:r w:rsidR="00440DEA">
        <w:rPr>
          <w:rFonts w:ascii="Times New Roman" w:hAnsi="Times New Roman" w:cs="Times New Roman"/>
          <w:sz w:val="24"/>
          <w:szCs w:val="24"/>
        </w:rPr>
        <w:t xml:space="preserve">manage its NPC and keep </w:t>
      </w:r>
      <w:r w:rsidR="0036354F">
        <w:rPr>
          <w:rFonts w:ascii="Times New Roman" w:hAnsi="Times New Roman" w:cs="Times New Roman"/>
          <w:sz w:val="24"/>
          <w:szCs w:val="24"/>
        </w:rPr>
        <w:t xml:space="preserve">power costs </w:t>
      </w:r>
      <w:r w:rsidR="00440DEA">
        <w:rPr>
          <w:rFonts w:ascii="Times New Roman" w:hAnsi="Times New Roman" w:cs="Times New Roman"/>
          <w:sz w:val="24"/>
          <w:szCs w:val="24"/>
        </w:rPr>
        <w:t xml:space="preserve">low.  </w:t>
      </w:r>
      <w:r w:rsidR="001133F3">
        <w:rPr>
          <w:rFonts w:ascii="Times New Roman" w:hAnsi="Times New Roman" w:cs="Times New Roman"/>
          <w:sz w:val="24"/>
          <w:szCs w:val="24"/>
        </w:rPr>
        <w:t xml:space="preserve">The </w:t>
      </w:r>
      <w:r w:rsidR="00440DEA">
        <w:rPr>
          <w:rFonts w:ascii="Times New Roman" w:hAnsi="Times New Roman" w:cs="Times New Roman"/>
          <w:sz w:val="24"/>
          <w:szCs w:val="24"/>
        </w:rPr>
        <w:t>dead band</w:t>
      </w:r>
      <w:r w:rsidR="001133F3">
        <w:rPr>
          <w:rFonts w:ascii="Times New Roman" w:hAnsi="Times New Roman" w:cs="Times New Roman"/>
          <w:sz w:val="24"/>
          <w:szCs w:val="24"/>
        </w:rPr>
        <w:t>s</w:t>
      </w:r>
      <w:r w:rsidR="00440DEA">
        <w:rPr>
          <w:rFonts w:ascii="Times New Roman" w:hAnsi="Times New Roman" w:cs="Times New Roman"/>
          <w:sz w:val="24"/>
          <w:szCs w:val="24"/>
        </w:rPr>
        <w:t xml:space="preserve"> </w:t>
      </w:r>
      <w:r w:rsidR="001133F3">
        <w:rPr>
          <w:rFonts w:ascii="Times New Roman" w:hAnsi="Times New Roman" w:cs="Times New Roman"/>
          <w:sz w:val="24"/>
          <w:szCs w:val="24"/>
        </w:rPr>
        <w:t xml:space="preserve">approved by the Commission </w:t>
      </w:r>
      <w:r w:rsidR="00440DEA">
        <w:rPr>
          <w:rFonts w:ascii="Times New Roman" w:hAnsi="Times New Roman" w:cs="Times New Roman"/>
          <w:sz w:val="24"/>
          <w:szCs w:val="24"/>
        </w:rPr>
        <w:t>create</w:t>
      </w:r>
      <w:r w:rsidR="00E869F7">
        <w:rPr>
          <w:rFonts w:ascii="Times New Roman" w:hAnsi="Times New Roman" w:cs="Times New Roman"/>
          <w:sz w:val="24"/>
          <w:szCs w:val="24"/>
        </w:rPr>
        <w:t xml:space="preserve"> </w:t>
      </w:r>
      <w:r w:rsidR="0071165E">
        <w:rPr>
          <w:rFonts w:ascii="Times New Roman" w:hAnsi="Times New Roman" w:cs="Times New Roman"/>
          <w:sz w:val="24"/>
          <w:szCs w:val="24"/>
        </w:rPr>
        <w:t>upper and lower</w:t>
      </w:r>
      <w:r w:rsidR="00440DEA">
        <w:rPr>
          <w:rFonts w:ascii="Times New Roman" w:hAnsi="Times New Roman" w:cs="Times New Roman"/>
          <w:sz w:val="24"/>
          <w:szCs w:val="24"/>
        </w:rPr>
        <w:t xml:space="preserve"> window</w:t>
      </w:r>
      <w:r w:rsidR="0071165E">
        <w:rPr>
          <w:rFonts w:ascii="Times New Roman" w:hAnsi="Times New Roman" w:cs="Times New Roman"/>
          <w:sz w:val="24"/>
          <w:szCs w:val="24"/>
        </w:rPr>
        <w:t>s</w:t>
      </w:r>
      <w:r w:rsidR="00440DEA">
        <w:rPr>
          <w:rFonts w:ascii="Times New Roman" w:hAnsi="Times New Roman" w:cs="Times New Roman"/>
          <w:sz w:val="24"/>
          <w:szCs w:val="24"/>
        </w:rPr>
        <w:t xml:space="preserve"> </w:t>
      </w:r>
      <w:r w:rsidR="00A55C16">
        <w:rPr>
          <w:rFonts w:ascii="Times New Roman" w:hAnsi="Times New Roman" w:cs="Times New Roman"/>
          <w:sz w:val="24"/>
          <w:szCs w:val="24"/>
        </w:rPr>
        <w:t>around</w:t>
      </w:r>
      <w:r w:rsidR="00440DEA">
        <w:rPr>
          <w:rFonts w:ascii="Times New Roman" w:hAnsi="Times New Roman" w:cs="Times New Roman"/>
          <w:sz w:val="24"/>
          <w:szCs w:val="24"/>
        </w:rPr>
        <w:t xml:space="preserve"> the </w:t>
      </w:r>
      <w:proofErr w:type="gramStart"/>
      <w:r w:rsidR="00440DEA">
        <w:rPr>
          <w:rFonts w:ascii="Times New Roman" w:hAnsi="Times New Roman" w:cs="Times New Roman"/>
          <w:sz w:val="24"/>
          <w:szCs w:val="24"/>
        </w:rPr>
        <w:t>utility’s</w:t>
      </w:r>
      <w:proofErr w:type="gramEnd"/>
      <w:r w:rsidR="00440DEA">
        <w:rPr>
          <w:rFonts w:ascii="Times New Roman" w:hAnsi="Times New Roman" w:cs="Times New Roman"/>
          <w:sz w:val="24"/>
          <w:szCs w:val="24"/>
        </w:rPr>
        <w:t xml:space="preserve"> approved NPC</w:t>
      </w:r>
      <w:r w:rsidR="001133F3">
        <w:rPr>
          <w:rFonts w:ascii="Times New Roman" w:hAnsi="Times New Roman" w:cs="Times New Roman"/>
          <w:sz w:val="24"/>
          <w:szCs w:val="24"/>
        </w:rPr>
        <w:t xml:space="preserve">. </w:t>
      </w:r>
      <w:r w:rsidR="00440DEA">
        <w:rPr>
          <w:rFonts w:ascii="Times New Roman" w:hAnsi="Times New Roman" w:cs="Times New Roman"/>
          <w:sz w:val="24"/>
          <w:szCs w:val="24"/>
        </w:rPr>
        <w:t xml:space="preserve"> </w:t>
      </w:r>
      <w:r w:rsidR="001133F3">
        <w:rPr>
          <w:rFonts w:ascii="Times New Roman" w:hAnsi="Times New Roman" w:cs="Times New Roman"/>
          <w:sz w:val="24"/>
          <w:szCs w:val="24"/>
        </w:rPr>
        <w:t xml:space="preserve">If a company’s </w:t>
      </w:r>
      <w:r w:rsidR="00E869F7">
        <w:rPr>
          <w:rFonts w:ascii="Times New Roman" w:hAnsi="Times New Roman" w:cs="Times New Roman"/>
          <w:sz w:val="24"/>
          <w:szCs w:val="24"/>
        </w:rPr>
        <w:t>actual NPC fall within the</w:t>
      </w:r>
      <w:r w:rsidR="001133F3">
        <w:rPr>
          <w:rFonts w:ascii="Times New Roman" w:hAnsi="Times New Roman" w:cs="Times New Roman"/>
          <w:sz w:val="24"/>
          <w:szCs w:val="24"/>
        </w:rPr>
        <w:t xml:space="preserve"> lower</w:t>
      </w:r>
      <w:r w:rsidR="00E869F7">
        <w:rPr>
          <w:rFonts w:ascii="Times New Roman" w:hAnsi="Times New Roman" w:cs="Times New Roman"/>
          <w:sz w:val="24"/>
          <w:szCs w:val="24"/>
        </w:rPr>
        <w:t xml:space="preserve"> dead</w:t>
      </w:r>
      <w:r w:rsidR="00271A94">
        <w:rPr>
          <w:rFonts w:ascii="Times New Roman" w:hAnsi="Times New Roman" w:cs="Times New Roman"/>
          <w:sz w:val="24"/>
          <w:szCs w:val="24"/>
        </w:rPr>
        <w:t xml:space="preserve"> </w:t>
      </w:r>
      <w:r w:rsidR="00E869F7">
        <w:rPr>
          <w:rFonts w:ascii="Times New Roman" w:hAnsi="Times New Roman" w:cs="Times New Roman"/>
          <w:sz w:val="24"/>
          <w:szCs w:val="24"/>
        </w:rPr>
        <w:t>band</w:t>
      </w:r>
      <w:r w:rsidR="001133F3">
        <w:rPr>
          <w:rFonts w:ascii="Times New Roman" w:hAnsi="Times New Roman" w:cs="Times New Roman"/>
          <w:sz w:val="24"/>
          <w:szCs w:val="24"/>
        </w:rPr>
        <w:t>, then the</w:t>
      </w:r>
      <w:r w:rsidR="00440DEA">
        <w:rPr>
          <w:rFonts w:ascii="Times New Roman" w:hAnsi="Times New Roman" w:cs="Times New Roman"/>
          <w:sz w:val="24"/>
          <w:szCs w:val="24"/>
        </w:rPr>
        <w:t xml:space="preserve"> </w:t>
      </w:r>
      <w:r w:rsidR="00E869F7">
        <w:rPr>
          <w:rFonts w:ascii="Times New Roman" w:hAnsi="Times New Roman" w:cs="Times New Roman"/>
          <w:sz w:val="24"/>
          <w:szCs w:val="24"/>
        </w:rPr>
        <w:t xml:space="preserve">utility and its </w:t>
      </w:r>
      <w:r w:rsidR="00440DEA">
        <w:rPr>
          <w:rFonts w:ascii="Times New Roman" w:hAnsi="Times New Roman" w:cs="Times New Roman"/>
          <w:sz w:val="24"/>
          <w:szCs w:val="24"/>
        </w:rPr>
        <w:t xml:space="preserve">shareholders may keep </w:t>
      </w:r>
      <w:r w:rsidR="001133F3">
        <w:rPr>
          <w:rFonts w:ascii="Times New Roman" w:hAnsi="Times New Roman" w:cs="Times New Roman"/>
          <w:sz w:val="24"/>
          <w:szCs w:val="24"/>
        </w:rPr>
        <w:t>the difference between</w:t>
      </w:r>
      <w:r w:rsidR="003C1FB2">
        <w:rPr>
          <w:rFonts w:ascii="Times New Roman" w:hAnsi="Times New Roman" w:cs="Times New Roman"/>
          <w:sz w:val="24"/>
          <w:szCs w:val="24"/>
        </w:rPr>
        <w:t xml:space="preserve"> </w:t>
      </w:r>
      <w:r w:rsidR="00E869F7">
        <w:rPr>
          <w:rFonts w:ascii="Times New Roman" w:hAnsi="Times New Roman" w:cs="Times New Roman"/>
          <w:sz w:val="24"/>
          <w:szCs w:val="24"/>
        </w:rPr>
        <w:t xml:space="preserve">actual NPC and </w:t>
      </w:r>
      <w:r w:rsidR="00440DEA">
        <w:rPr>
          <w:rFonts w:ascii="Times New Roman" w:hAnsi="Times New Roman" w:cs="Times New Roman"/>
          <w:sz w:val="24"/>
          <w:szCs w:val="24"/>
        </w:rPr>
        <w:t xml:space="preserve">the </w:t>
      </w:r>
      <w:r w:rsidR="00E869F7">
        <w:rPr>
          <w:rFonts w:ascii="Times New Roman" w:hAnsi="Times New Roman" w:cs="Times New Roman"/>
          <w:sz w:val="24"/>
          <w:szCs w:val="24"/>
        </w:rPr>
        <w:t>money the</w:t>
      </w:r>
      <w:r w:rsidR="00440DEA">
        <w:rPr>
          <w:rFonts w:ascii="Times New Roman" w:hAnsi="Times New Roman" w:cs="Times New Roman"/>
          <w:sz w:val="24"/>
          <w:szCs w:val="24"/>
        </w:rPr>
        <w:t xml:space="preserve"> utility collects</w:t>
      </w:r>
      <w:r w:rsidR="00E869F7">
        <w:rPr>
          <w:rFonts w:ascii="Times New Roman" w:hAnsi="Times New Roman" w:cs="Times New Roman"/>
          <w:sz w:val="24"/>
          <w:szCs w:val="24"/>
        </w:rPr>
        <w:t>. If actual NPC falls within the upper dead</w:t>
      </w:r>
      <w:r w:rsidR="00271A94">
        <w:rPr>
          <w:rFonts w:ascii="Times New Roman" w:hAnsi="Times New Roman" w:cs="Times New Roman"/>
          <w:sz w:val="24"/>
          <w:szCs w:val="24"/>
        </w:rPr>
        <w:t xml:space="preserve"> </w:t>
      </w:r>
      <w:r w:rsidR="00E869F7">
        <w:rPr>
          <w:rFonts w:ascii="Times New Roman" w:hAnsi="Times New Roman" w:cs="Times New Roman"/>
          <w:sz w:val="24"/>
          <w:szCs w:val="24"/>
        </w:rPr>
        <w:t>band, the</w:t>
      </w:r>
      <w:r w:rsidR="00440DEA">
        <w:rPr>
          <w:rFonts w:ascii="Times New Roman" w:hAnsi="Times New Roman" w:cs="Times New Roman"/>
          <w:sz w:val="24"/>
          <w:szCs w:val="24"/>
        </w:rPr>
        <w:t xml:space="preserve"> utility</w:t>
      </w:r>
      <w:r w:rsidR="00E869F7">
        <w:rPr>
          <w:rFonts w:ascii="Times New Roman" w:hAnsi="Times New Roman" w:cs="Times New Roman"/>
          <w:sz w:val="24"/>
          <w:szCs w:val="24"/>
        </w:rPr>
        <w:t xml:space="preserve"> and its shareholders</w:t>
      </w:r>
      <w:r w:rsidR="00440DEA">
        <w:rPr>
          <w:rFonts w:ascii="Times New Roman" w:hAnsi="Times New Roman" w:cs="Times New Roman"/>
          <w:sz w:val="24"/>
          <w:szCs w:val="24"/>
        </w:rPr>
        <w:t xml:space="preserve"> must bear </w:t>
      </w:r>
      <w:r w:rsidR="00E869F7">
        <w:rPr>
          <w:rFonts w:ascii="Times New Roman" w:hAnsi="Times New Roman" w:cs="Times New Roman"/>
          <w:sz w:val="24"/>
          <w:szCs w:val="24"/>
        </w:rPr>
        <w:t>the additional costs</w:t>
      </w:r>
      <w:r w:rsidR="00440DEA">
        <w:rPr>
          <w:rFonts w:ascii="Times New Roman" w:hAnsi="Times New Roman" w:cs="Times New Roman"/>
          <w:sz w:val="24"/>
          <w:szCs w:val="24"/>
        </w:rPr>
        <w:t>.</w:t>
      </w:r>
      <w:r w:rsidR="00393277">
        <w:rPr>
          <w:rStyle w:val="FootnoteReference"/>
          <w:rFonts w:ascii="Times New Roman" w:hAnsi="Times New Roman" w:cs="Times New Roman"/>
          <w:sz w:val="24"/>
          <w:szCs w:val="24"/>
        </w:rPr>
        <w:footnoteReference w:id="5"/>
      </w:r>
      <w:r w:rsidR="00440DEA">
        <w:rPr>
          <w:rFonts w:ascii="Times New Roman" w:hAnsi="Times New Roman" w:cs="Times New Roman"/>
          <w:sz w:val="24"/>
          <w:szCs w:val="24"/>
        </w:rPr>
        <w:t xml:space="preserve">  </w:t>
      </w:r>
      <w:r w:rsidR="00165C67">
        <w:rPr>
          <w:rFonts w:ascii="Times New Roman" w:hAnsi="Times New Roman" w:cs="Times New Roman"/>
          <w:sz w:val="24"/>
          <w:szCs w:val="24"/>
        </w:rPr>
        <w:t>The dead bands proposed by Staff in the Company’s 20</w:t>
      </w:r>
      <w:r w:rsidR="006553CA">
        <w:rPr>
          <w:rFonts w:ascii="Times New Roman" w:hAnsi="Times New Roman" w:cs="Times New Roman"/>
          <w:sz w:val="24"/>
          <w:szCs w:val="24"/>
        </w:rPr>
        <w:t>05</w:t>
      </w:r>
      <w:r w:rsidR="00165C67">
        <w:rPr>
          <w:rFonts w:ascii="Times New Roman" w:hAnsi="Times New Roman" w:cs="Times New Roman"/>
          <w:sz w:val="24"/>
          <w:szCs w:val="24"/>
        </w:rPr>
        <w:t xml:space="preserve"> rate case would have provided this incentive.</w:t>
      </w:r>
      <w:r w:rsidR="006553CA">
        <w:rPr>
          <w:rStyle w:val="FootnoteReference"/>
          <w:rFonts w:ascii="Times New Roman" w:hAnsi="Times New Roman" w:cs="Times New Roman"/>
          <w:sz w:val="24"/>
          <w:szCs w:val="24"/>
        </w:rPr>
        <w:footnoteReference w:id="6"/>
      </w:r>
    </w:p>
    <w:p w14:paraId="3EC5CC52" w14:textId="217001B2" w:rsidR="00743D40" w:rsidRDefault="00BA4CA0" w:rsidP="00165C67">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440DEA">
        <w:rPr>
          <w:rFonts w:ascii="Times New Roman" w:hAnsi="Times New Roman" w:cs="Times New Roman"/>
          <w:sz w:val="24"/>
          <w:szCs w:val="24"/>
        </w:rPr>
        <w:t xml:space="preserve">Sharing bands </w:t>
      </w:r>
      <w:r w:rsidR="00736B8F">
        <w:rPr>
          <w:rFonts w:ascii="Times New Roman" w:hAnsi="Times New Roman" w:cs="Times New Roman"/>
          <w:sz w:val="24"/>
          <w:szCs w:val="24"/>
        </w:rPr>
        <w:t xml:space="preserve">allocate costs associated with unexpected market events between </w:t>
      </w:r>
      <w:r w:rsidR="00440DEA">
        <w:rPr>
          <w:rFonts w:ascii="Times New Roman" w:hAnsi="Times New Roman" w:cs="Times New Roman"/>
          <w:sz w:val="24"/>
          <w:szCs w:val="24"/>
        </w:rPr>
        <w:t xml:space="preserve">shareholders and </w:t>
      </w:r>
      <w:r w:rsidR="00E869F7">
        <w:rPr>
          <w:rFonts w:ascii="Times New Roman" w:hAnsi="Times New Roman" w:cs="Times New Roman"/>
          <w:sz w:val="24"/>
          <w:szCs w:val="24"/>
        </w:rPr>
        <w:t xml:space="preserve">ratepayers.  </w:t>
      </w:r>
      <w:r w:rsidR="00736B8F">
        <w:rPr>
          <w:rFonts w:ascii="Times New Roman" w:hAnsi="Times New Roman" w:cs="Times New Roman"/>
          <w:sz w:val="24"/>
          <w:szCs w:val="24"/>
        </w:rPr>
        <w:t xml:space="preserve">In </w:t>
      </w:r>
      <w:r w:rsidR="0071165E">
        <w:rPr>
          <w:rFonts w:ascii="Times New Roman" w:hAnsi="Times New Roman" w:cs="Times New Roman"/>
          <w:sz w:val="24"/>
          <w:szCs w:val="24"/>
        </w:rPr>
        <w:t xml:space="preserve">the </w:t>
      </w:r>
      <w:r w:rsidR="00736B8F">
        <w:rPr>
          <w:rFonts w:ascii="Times New Roman" w:hAnsi="Times New Roman" w:cs="Times New Roman"/>
          <w:sz w:val="24"/>
          <w:szCs w:val="24"/>
        </w:rPr>
        <w:t>operation</w:t>
      </w:r>
      <w:r w:rsidR="0071165E">
        <w:rPr>
          <w:rFonts w:ascii="Times New Roman" w:hAnsi="Times New Roman" w:cs="Times New Roman"/>
          <w:sz w:val="24"/>
          <w:szCs w:val="24"/>
        </w:rPr>
        <w:t xml:space="preserve"> of a PCAM</w:t>
      </w:r>
      <w:r w:rsidR="00736B8F">
        <w:rPr>
          <w:rFonts w:ascii="Times New Roman" w:hAnsi="Times New Roman" w:cs="Times New Roman"/>
          <w:sz w:val="24"/>
          <w:szCs w:val="24"/>
        </w:rPr>
        <w:t xml:space="preserve">, </w:t>
      </w:r>
      <w:r w:rsidR="00440DEA">
        <w:rPr>
          <w:rFonts w:ascii="Times New Roman" w:hAnsi="Times New Roman" w:cs="Times New Roman"/>
          <w:sz w:val="24"/>
          <w:szCs w:val="24"/>
        </w:rPr>
        <w:t xml:space="preserve">once </w:t>
      </w:r>
      <w:r w:rsidR="00ED28E4">
        <w:rPr>
          <w:rFonts w:ascii="Times New Roman" w:hAnsi="Times New Roman" w:cs="Times New Roman"/>
          <w:sz w:val="24"/>
          <w:szCs w:val="24"/>
        </w:rPr>
        <w:t xml:space="preserve">a company’s </w:t>
      </w:r>
      <w:r w:rsidR="00440DEA">
        <w:rPr>
          <w:rFonts w:ascii="Times New Roman" w:hAnsi="Times New Roman" w:cs="Times New Roman"/>
          <w:sz w:val="24"/>
          <w:szCs w:val="24"/>
        </w:rPr>
        <w:t xml:space="preserve">NPC </w:t>
      </w:r>
      <w:r w:rsidR="00ED28E4">
        <w:rPr>
          <w:rFonts w:ascii="Times New Roman" w:hAnsi="Times New Roman" w:cs="Times New Roman"/>
          <w:sz w:val="24"/>
          <w:szCs w:val="24"/>
        </w:rPr>
        <w:t xml:space="preserve">exceeds </w:t>
      </w:r>
      <w:r w:rsidR="00440DEA">
        <w:rPr>
          <w:rFonts w:ascii="Times New Roman" w:hAnsi="Times New Roman" w:cs="Times New Roman"/>
          <w:sz w:val="24"/>
          <w:szCs w:val="24"/>
        </w:rPr>
        <w:t xml:space="preserve">the dead band, the additional </w:t>
      </w:r>
      <w:r w:rsidR="00ED28E4">
        <w:rPr>
          <w:rFonts w:ascii="Times New Roman" w:hAnsi="Times New Roman" w:cs="Times New Roman"/>
          <w:sz w:val="24"/>
          <w:szCs w:val="24"/>
        </w:rPr>
        <w:t xml:space="preserve">and incremental </w:t>
      </w:r>
      <w:r w:rsidR="00440DEA">
        <w:rPr>
          <w:rFonts w:ascii="Times New Roman" w:hAnsi="Times New Roman" w:cs="Times New Roman"/>
          <w:sz w:val="24"/>
          <w:szCs w:val="24"/>
        </w:rPr>
        <w:t>costs or benefits are distributed between shareholders and ratepayers accord</w:t>
      </w:r>
      <w:r w:rsidR="00E869F7">
        <w:rPr>
          <w:rFonts w:ascii="Times New Roman" w:hAnsi="Times New Roman" w:cs="Times New Roman"/>
          <w:sz w:val="24"/>
          <w:szCs w:val="24"/>
        </w:rPr>
        <w:t xml:space="preserve">ing to established guidelines.  </w:t>
      </w:r>
      <w:r w:rsidR="00ED28E4">
        <w:rPr>
          <w:rFonts w:ascii="Times New Roman" w:hAnsi="Times New Roman" w:cs="Times New Roman"/>
          <w:sz w:val="24"/>
          <w:szCs w:val="24"/>
        </w:rPr>
        <w:t>When they are c</w:t>
      </w:r>
      <w:r w:rsidR="00440DEA">
        <w:rPr>
          <w:rFonts w:ascii="Times New Roman" w:hAnsi="Times New Roman" w:cs="Times New Roman"/>
          <w:sz w:val="24"/>
          <w:szCs w:val="24"/>
        </w:rPr>
        <w:t xml:space="preserve">ombined, dead bands and sharing bands </w:t>
      </w:r>
      <w:r w:rsidR="0071165E">
        <w:rPr>
          <w:rFonts w:ascii="Times New Roman" w:hAnsi="Times New Roman" w:cs="Times New Roman"/>
          <w:sz w:val="24"/>
          <w:szCs w:val="24"/>
        </w:rPr>
        <w:t xml:space="preserve">properly </w:t>
      </w:r>
      <w:r w:rsidR="006553CA">
        <w:rPr>
          <w:rFonts w:ascii="Times New Roman" w:hAnsi="Times New Roman" w:cs="Times New Roman"/>
          <w:sz w:val="24"/>
          <w:szCs w:val="24"/>
        </w:rPr>
        <w:t xml:space="preserve">motivate </w:t>
      </w:r>
      <w:r w:rsidR="00ED28E4">
        <w:rPr>
          <w:rFonts w:ascii="Times New Roman" w:hAnsi="Times New Roman" w:cs="Times New Roman"/>
          <w:sz w:val="24"/>
          <w:szCs w:val="24"/>
        </w:rPr>
        <w:t>a</w:t>
      </w:r>
      <w:r w:rsidR="00440DEA">
        <w:rPr>
          <w:rFonts w:ascii="Times New Roman" w:hAnsi="Times New Roman" w:cs="Times New Roman"/>
          <w:sz w:val="24"/>
          <w:szCs w:val="24"/>
        </w:rPr>
        <w:t xml:space="preserve"> utility to </w:t>
      </w:r>
      <w:r w:rsidR="00ED28E4">
        <w:rPr>
          <w:rFonts w:ascii="Times New Roman" w:hAnsi="Times New Roman" w:cs="Times New Roman"/>
          <w:sz w:val="24"/>
          <w:szCs w:val="24"/>
        </w:rPr>
        <w:t xml:space="preserve">effectively </w:t>
      </w:r>
      <w:r w:rsidR="00440DEA">
        <w:rPr>
          <w:rFonts w:ascii="Times New Roman" w:hAnsi="Times New Roman" w:cs="Times New Roman"/>
          <w:sz w:val="24"/>
          <w:szCs w:val="24"/>
        </w:rPr>
        <w:t>mana</w:t>
      </w:r>
      <w:r w:rsidR="00E869F7">
        <w:rPr>
          <w:rFonts w:ascii="Times New Roman" w:hAnsi="Times New Roman" w:cs="Times New Roman"/>
          <w:sz w:val="24"/>
          <w:szCs w:val="24"/>
        </w:rPr>
        <w:t xml:space="preserve">ge its NPC </w:t>
      </w:r>
      <w:r w:rsidR="00ED28E4">
        <w:rPr>
          <w:rFonts w:ascii="Times New Roman" w:hAnsi="Times New Roman" w:cs="Times New Roman"/>
          <w:sz w:val="24"/>
          <w:szCs w:val="24"/>
        </w:rPr>
        <w:t xml:space="preserve">and </w:t>
      </w:r>
      <w:r w:rsidR="00EB294C">
        <w:rPr>
          <w:rFonts w:ascii="Times New Roman" w:hAnsi="Times New Roman" w:cs="Times New Roman"/>
          <w:sz w:val="24"/>
          <w:szCs w:val="24"/>
        </w:rPr>
        <w:t>mitigate the impact</w:t>
      </w:r>
      <w:r w:rsidR="00756C65">
        <w:rPr>
          <w:rFonts w:ascii="Times New Roman" w:hAnsi="Times New Roman" w:cs="Times New Roman"/>
          <w:sz w:val="24"/>
          <w:szCs w:val="24"/>
        </w:rPr>
        <w:t xml:space="preserve"> of </w:t>
      </w:r>
      <w:r w:rsidR="00ED28E4">
        <w:rPr>
          <w:rFonts w:ascii="Times New Roman" w:hAnsi="Times New Roman" w:cs="Times New Roman"/>
          <w:sz w:val="24"/>
          <w:szCs w:val="24"/>
        </w:rPr>
        <w:t xml:space="preserve">unexpected and significant </w:t>
      </w:r>
      <w:r w:rsidR="00EB294C">
        <w:rPr>
          <w:rFonts w:ascii="Times New Roman" w:hAnsi="Times New Roman" w:cs="Times New Roman"/>
          <w:sz w:val="24"/>
          <w:szCs w:val="24"/>
        </w:rPr>
        <w:t>market events by spreading their costs across the utility and its customers.</w:t>
      </w:r>
    </w:p>
    <w:p w14:paraId="11D6B949" w14:textId="45FD4B38" w:rsidR="00165C67" w:rsidRDefault="00BA4CA0" w:rsidP="00165C67">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165C67">
        <w:rPr>
          <w:rFonts w:ascii="Times New Roman" w:hAnsi="Times New Roman" w:cs="Times New Roman"/>
          <w:sz w:val="24"/>
          <w:szCs w:val="24"/>
        </w:rPr>
        <w:t xml:space="preserve">The cost recovery mechanisms approved for </w:t>
      </w:r>
      <w:r w:rsidR="00165C67" w:rsidRPr="005B2A2D">
        <w:rPr>
          <w:rFonts w:ascii="Times New Roman" w:hAnsi="Times New Roman" w:cs="Times New Roman"/>
          <w:sz w:val="24"/>
          <w:szCs w:val="24"/>
        </w:rPr>
        <w:t>Puget Sound</w:t>
      </w:r>
      <w:r w:rsidR="00165C67">
        <w:rPr>
          <w:rFonts w:ascii="Times New Roman" w:hAnsi="Times New Roman" w:cs="Times New Roman"/>
          <w:sz w:val="24"/>
          <w:szCs w:val="24"/>
        </w:rPr>
        <w:t xml:space="preserve"> Energy (PSE) and Avista </w:t>
      </w:r>
      <w:r w:rsidR="00FB57D9">
        <w:rPr>
          <w:rFonts w:ascii="Times New Roman" w:hAnsi="Times New Roman" w:cs="Times New Roman"/>
          <w:sz w:val="24"/>
          <w:szCs w:val="24"/>
        </w:rPr>
        <w:t xml:space="preserve">Utilities </w:t>
      </w:r>
      <w:r w:rsidR="00165C67">
        <w:rPr>
          <w:rFonts w:ascii="Times New Roman" w:hAnsi="Times New Roman" w:cs="Times New Roman"/>
          <w:sz w:val="24"/>
          <w:szCs w:val="24"/>
        </w:rPr>
        <w:t xml:space="preserve">(Avista) are good examples of proper PCAM designs that match the </w:t>
      </w:r>
      <w:r w:rsidR="00165C67">
        <w:rPr>
          <w:rFonts w:ascii="Times New Roman" w:hAnsi="Times New Roman" w:cs="Times New Roman"/>
          <w:sz w:val="24"/>
          <w:szCs w:val="24"/>
        </w:rPr>
        <w:lastRenderedPageBreak/>
        <w:t xml:space="preserve">general principles that I describe above.  For both utilities, the Commission has included dead bands </w:t>
      </w:r>
      <w:r w:rsidR="00756C65">
        <w:rPr>
          <w:rFonts w:ascii="Times New Roman" w:hAnsi="Times New Roman" w:cs="Times New Roman"/>
          <w:sz w:val="24"/>
          <w:szCs w:val="24"/>
        </w:rPr>
        <w:t xml:space="preserve">and sharing bands in the </w:t>
      </w:r>
      <w:r w:rsidR="00165C67">
        <w:rPr>
          <w:rFonts w:ascii="Times New Roman" w:hAnsi="Times New Roman" w:cs="Times New Roman"/>
          <w:sz w:val="24"/>
          <w:szCs w:val="24"/>
        </w:rPr>
        <w:t>mechanism’s design.</w:t>
      </w:r>
      <w:r w:rsidR="008D2011">
        <w:rPr>
          <w:rStyle w:val="FootnoteReference"/>
          <w:rFonts w:ascii="Times New Roman" w:hAnsi="Times New Roman" w:cs="Times New Roman"/>
          <w:sz w:val="24"/>
          <w:szCs w:val="24"/>
        </w:rPr>
        <w:footnoteReference w:id="7"/>
      </w:r>
    </w:p>
    <w:p w14:paraId="450A3EAA" w14:textId="77777777" w:rsidR="00743D40" w:rsidRPr="008A155F" w:rsidRDefault="00743D40" w:rsidP="00165C67">
      <w:pPr>
        <w:spacing w:line="480" w:lineRule="auto"/>
        <w:ind w:left="720"/>
        <w:contextualSpacing/>
        <w:rPr>
          <w:rFonts w:ascii="Times New Roman" w:hAnsi="Times New Roman" w:cs="Times New Roman"/>
          <w:b/>
          <w:sz w:val="24"/>
          <w:szCs w:val="24"/>
        </w:rPr>
      </w:pPr>
    </w:p>
    <w:p w14:paraId="690D08FD" w14:textId="47490C0F" w:rsidR="00440DEA" w:rsidRPr="00525B0F" w:rsidRDefault="00756C65" w:rsidP="00AD658C">
      <w:pPr>
        <w:spacing w:line="480" w:lineRule="auto"/>
        <w:ind w:left="720" w:hanging="720"/>
        <w:contextualSpacing/>
        <w:rPr>
          <w:rFonts w:ascii="Times New Roman" w:hAnsi="Times New Roman" w:cs="Times New Roman"/>
          <w:b/>
          <w:sz w:val="24"/>
          <w:szCs w:val="24"/>
        </w:rPr>
      </w:pPr>
      <w:r w:rsidRPr="00525B0F">
        <w:rPr>
          <w:rFonts w:ascii="Times New Roman" w:hAnsi="Times New Roman" w:cs="Times New Roman"/>
          <w:b/>
          <w:sz w:val="24"/>
          <w:szCs w:val="24"/>
        </w:rPr>
        <w:t xml:space="preserve">Q. </w:t>
      </w:r>
      <w:r w:rsidRPr="00525B0F">
        <w:rPr>
          <w:rFonts w:ascii="Times New Roman" w:hAnsi="Times New Roman" w:cs="Times New Roman"/>
          <w:b/>
          <w:sz w:val="24"/>
          <w:szCs w:val="24"/>
        </w:rPr>
        <w:tab/>
        <w:t>Has Pacific Power sought appro</w:t>
      </w:r>
      <w:r w:rsidR="006B474B">
        <w:rPr>
          <w:rFonts w:ascii="Times New Roman" w:hAnsi="Times New Roman" w:cs="Times New Roman"/>
          <w:b/>
          <w:sz w:val="24"/>
          <w:szCs w:val="24"/>
        </w:rPr>
        <w:t>val for a PCAM or PCAM</w:t>
      </w:r>
      <w:r w:rsidRPr="00525B0F">
        <w:rPr>
          <w:rFonts w:ascii="Times New Roman" w:hAnsi="Times New Roman" w:cs="Times New Roman"/>
          <w:b/>
          <w:sz w:val="24"/>
          <w:szCs w:val="24"/>
        </w:rPr>
        <w:t xml:space="preserve">-like mechanism in prior rate cases? </w:t>
      </w:r>
    </w:p>
    <w:p w14:paraId="690D08FE" w14:textId="17D40FCF" w:rsidR="00440DEA" w:rsidRDefault="00756C65" w:rsidP="00AD658C">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w:t>
      </w:r>
      <w:r w:rsidR="00440DEA">
        <w:rPr>
          <w:rFonts w:ascii="Times New Roman" w:hAnsi="Times New Roman" w:cs="Times New Roman"/>
          <w:sz w:val="24"/>
          <w:szCs w:val="24"/>
        </w:rPr>
        <w:tab/>
      </w:r>
      <w:r>
        <w:rPr>
          <w:rFonts w:ascii="Times New Roman" w:hAnsi="Times New Roman" w:cs="Times New Roman"/>
          <w:sz w:val="24"/>
          <w:szCs w:val="24"/>
        </w:rPr>
        <w:t xml:space="preserve">Yes. </w:t>
      </w:r>
      <w:r w:rsidR="00743D40">
        <w:rPr>
          <w:rFonts w:ascii="Times New Roman" w:hAnsi="Times New Roman" w:cs="Times New Roman"/>
          <w:sz w:val="24"/>
          <w:szCs w:val="24"/>
        </w:rPr>
        <w:t xml:space="preserve"> </w:t>
      </w:r>
      <w:r>
        <w:rPr>
          <w:rFonts w:ascii="Times New Roman" w:hAnsi="Times New Roman" w:cs="Times New Roman"/>
          <w:sz w:val="24"/>
          <w:szCs w:val="24"/>
        </w:rPr>
        <w:t>The</w:t>
      </w:r>
      <w:r w:rsidR="00440DEA">
        <w:rPr>
          <w:rFonts w:ascii="Times New Roman" w:hAnsi="Times New Roman" w:cs="Times New Roman"/>
          <w:sz w:val="24"/>
          <w:szCs w:val="24"/>
        </w:rPr>
        <w:t xml:space="preserve"> Commission </w:t>
      </w:r>
      <w:r w:rsidR="00176EF6">
        <w:rPr>
          <w:rFonts w:ascii="Times New Roman" w:hAnsi="Times New Roman" w:cs="Times New Roman"/>
          <w:sz w:val="24"/>
          <w:szCs w:val="24"/>
        </w:rPr>
        <w:t>denied the Company’s request for a PCAM in the 2005 General Rate Case because it did not include a dead band, noting:</w:t>
      </w:r>
    </w:p>
    <w:p w14:paraId="690D08FF" w14:textId="77777777" w:rsidR="00176EF6" w:rsidRDefault="00176EF6" w:rsidP="00176EF6">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(W</w:t>
      </w:r>
      <w:proofErr w:type="gramStart"/>
      <w:r>
        <w:rPr>
          <w:rFonts w:ascii="Times New Roman" w:hAnsi="Times New Roman" w:cs="Times New Roman"/>
          <w:sz w:val="24"/>
          <w:szCs w:val="24"/>
        </w:rPr>
        <w:t>)</w:t>
      </w:r>
      <w:r w:rsidRPr="00176EF6">
        <w:rPr>
          <w:rFonts w:ascii="Times New Roman" w:hAnsi="Times New Roman" w:cs="Times New Roman"/>
          <w:sz w:val="24"/>
          <w:szCs w:val="24"/>
        </w:rPr>
        <w:t>e</w:t>
      </w:r>
      <w:proofErr w:type="gramEnd"/>
      <w:r w:rsidRPr="00176EF6">
        <w:rPr>
          <w:rFonts w:ascii="Times New Roman" w:hAnsi="Times New Roman" w:cs="Times New Roman"/>
          <w:sz w:val="24"/>
          <w:szCs w:val="24"/>
        </w:rPr>
        <w:t xml:space="preserve"> observe that power cost recovery mechanisms should also apportion risk equitably between ratepayers and shareholders. </w:t>
      </w:r>
      <w:r>
        <w:rPr>
          <w:rFonts w:ascii="Times New Roman" w:hAnsi="Times New Roman" w:cs="Times New Roman"/>
          <w:sz w:val="24"/>
          <w:szCs w:val="24"/>
        </w:rPr>
        <w:t xml:space="preserve">… </w:t>
      </w:r>
      <w:r w:rsidRPr="00176EF6">
        <w:rPr>
          <w:rFonts w:ascii="Times New Roman" w:hAnsi="Times New Roman" w:cs="Times New Roman"/>
          <w:sz w:val="24"/>
          <w:szCs w:val="24"/>
        </w:rPr>
        <w:t>Deadbands and sharing bands are useful mechanisms, not only to allocate risk, but to motivate management to effectively manage or even reduce power costs.</w:t>
      </w:r>
      <w:r>
        <w:rPr>
          <w:rStyle w:val="FootnoteReference"/>
          <w:rFonts w:ascii="Times New Roman" w:hAnsi="Times New Roman" w:cs="Times New Roman"/>
          <w:sz w:val="24"/>
          <w:szCs w:val="24"/>
        </w:rPr>
        <w:footnoteReference w:id="8"/>
      </w:r>
    </w:p>
    <w:p w14:paraId="690D0900" w14:textId="77777777" w:rsidR="00664207" w:rsidRDefault="00664207" w:rsidP="00176EF6">
      <w:pPr>
        <w:spacing w:line="240" w:lineRule="auto"/>
        <w:ind w:left="1440"/>
        <w:contextualSpacing/>
        <w:rPr>
          <w:rFonts w:ascii="Times New Roman" w:hAnsi="Times New Roman" w:cs="Times New Roman"/>
          <w:sz w:val="24"/>
          <w:szCs w:val="24"/>
        </w:rPr>
      </w:pPr>
    </w:p>
    <w:p w14:paraId="690D0901" w14:textId="5A7D668D" w:rsidR="00664207" w:rsidRDefault="00664207" w:rsidP="0066420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t>The Commission also rejected the Company’s PCAM proposal in the 2013 General Rate Case for its lack of dead bands and sharing bands, calling them</w:t>
      </w:r>
    </w:p>
    <w:p w14:paraId="690D0902" w14:textId="77777777" w:rsidR="007044B8" w:rsidRDefault="007044B8" w:rsidP="00664207">
      <w:pPr>
        <w:spacing w:line="240" w:lineRule="auto"/>
        <w:ind w:left="1440"/>
        <w:contextualSpacing/>
        <w:rPr>
          <w:rFonts w:ascii="Times New Roman" w:hAnsi="Times New Roman" w:cs="Times New Roman"/>
          <w:sz w:val="24"/>
          <w:szCs w:val="24"/>
        </w:rPr>
      </w:pPr>
      <w:proofErr w:type="gramStart"/>
      <w:r>
        <w:rPr>
          <w:rFonts w:ascii="Times New Roman" w:hAnsi="Times New Roman" w:cs="Times New Roman"/>
          <w:sz w:val="24"/>
          <w:szCs w:val="24"/>
        </w:rPr>
        <w:t>critically</w:t>
      </w:r>
      <w:proofErr w:type="gramEnd"/>
      <w:r>
        <w:rPr>
          <w:rFonts w:ascii="Times New Roman" w:hAnsi="Times New Roman" w:cs="Times New Roman"/>
          <w:sz w:val="24"/>
          <w:szCs w:val="24"/>
        </w:rPr>
        <w:t xml:space="preserve"> important elements that provide an incentive for the Company to manage carefully its power costs and that protect ratepayers in the event of extraordinary power cost excursions that are beyond th</w:t>
      </w:r>
      <w:r w:rsidR="00664207">
        <w:rPr>
          <w:rFonts w:ascii="Times New Roman" w:hAnsi="Times New Roman" w:cs="Times New Roman"/>
          <w:sz w:val="24"/>
          <w:szCs w:val="24"/>
        </w:rPr>
        <w:t>e Company’s ability to control.</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690D0903" w14:textId="77777777" w:rsidR="00664207" w:rsidRDefault="00664207" w:rsidP="00664207">
      <w:pPr>
        <w:spacing w:line="240" w:lineRule="auto"/>
        <w:ind w:left="1440"/>
        <w:contextualSpacing/>
        <w:rPr>
          <w:rFonts w:ascii="Times New Roman" w:hAnsi="Times New Roman" w:cs="Times New Roman"/>
          <w:sz w:val="24"/>
          <w:szCs w:val="24"/>
        </w:rPr>
      </w:pPr>
    </w:p>
    <w:p w14:paraId="2CC74679" w14:textId="5257B30B" w:rsidR="00743D40" w:rsidRDefault="00664207" w:rsidP="007044B8">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743D40">
        <w:rPr>
          <w:rFonts w:ascii="Times New Roman" w:hAnsi="Times New Roman" w:cs="Times New Roman"/>
          <w:sz w:val="24"/>
          <w:szCs w:val="24"/>
        </w:rPr>
        <w:t>T</w:t>
      </w:r>
      <w:r>
        <w:rPr>
          <w:rFonts w:ascii="Times New Roman" w:hAnsi="Times New Roman" w:cs="Times New Roman"/>
          <w:sz w:val="24"/>
          <w:szCs w:val="24"/>
        </w:rPr>
        <w:t xml:space="preserve">he Commission’s record on </w:t>
      </w:r>
      <w:r w:rsidR="00743D40">
        <w:rPr>
          <w:rFonts w:ascii="Times New Roman" w:hAnsi="Times New Roman" w:cs="Times New Roman"/>
          <w:sz w:val="24"/>
          <w:szCs w:val="24"/>
        </w:rPr>
        <w:t xml:space="preserve">energy cost </w:t>
      </w:r>
      <w:r>
        <w:rPr>
          <w:rFonts w:ascii="Times New Roman" w:hAnsi="Times New Roman" w:cs="Times New Roman"/>
          <w:sz w:val="24"/>
          <w:szCs w:val="24"/>
        </w:rPr>
        <w:t xml:space="preserve">adjustment mechanisms </w:t>
      </w:r>
      <w:r w:rsidR="00743D40">
        <w:rPr>
          <w:rFonts w:ascii="Times New Roman" w:hAnsi="Times New Roman" w:cs="Times New Roman"/>
          <w:sz w:val="24"/>
          <w:szCs w:val="24"/>
        </w:rPr>
        <w:t xml:space="preserve">is clear. </w:t>
      </w:r>
      <w:r w:rsidR="006B492C">
        <w:rPr>
          <w:rFonts w:ascii="Times New Roman" w:hAnsi="Times New Roman" w:cs="Times New Roman"/>
          <w:sz w:val="24"/>
          <w:szCs w:val="24"/>
        </w:rPr>
        <w:t xml:space="preserve"> </w:t>
      </w:r>
      <w:r w:rsidR="00743D40">
        <w:rPr>
          <w:rFonts w:ascii="Times New Roman" w:hAnsi="Times New Roman" w:cs="Times New Roman"/>
          <w:sz w:val="24"/>
          <w:szCs w:val="24"/>
        </w:rPr>
        <w:t>To be approved, a proposed mechanism must</w:t>
      </w:r>
      <w:r w:rsidR="009613CE">
        <w:rPr>
          <w:rFonts w:ascii="Times New Roman" w:hAnsi="Times New Roman" w:cs="Times New Roman"/>
          <w:sz w:val="24"/>
          <w:szCs w:val="24"/>
        </w:rPr>
        <w:t>,</w:t>
      </w:r>
      <w:r w:rsidR="00743D40">
        <w:rPr>
          <w:rFonts w:ascii="Times New Roman" w:hAnsi="Times New Roman" w:cs="Times New Roman"/>
          <w:sz w:val="24"/>
          <w:szCs w:val="24"/>
        </w:rPr>
        <w:t xml:space="preserve"> </w:t>
      </w:r>
      <w:r w:rsidR="000941DF">
        <w:rPr>
          <w:rFonts w:ascii="Times New Roman" w:hAnsi="Times New Roman" w:cs="Times New Roman"/>
          <w:sz w:val="24"/>
          <w:szCs w:val="24"/>
        </w:rPr>
        <w:t xml:space="preserve">at a minimum, </w:t>
      </w:r>
      <w:r w:rsidR="00743D40">
        <w:rPr>
          <w:rFonts w:ascii="Times New Roman" w:hAnsi="Times New Roman" w:cs="Times New Roman"/>
          <w:sz w:val="24"/>
          <w:szCs w:val="24"/>
        </w:rPr>
        <w:t>include</w:t>
      </w:r>
      <w:r>
        <w:rPr>
          <w:rFonts w:ascii="Times New Roman" w:hAnsi="Times New Roman" w:cs="Times New Roman"/>
          <w:sz w:val="24"/>
          <w:szCs w:val="24"/>
        </w:rPr>
        <w:t xml:space="preserve"> dead bands and sharing bands</w:t>
      </w:r>
      <w:r w:rsidR="000941DF">
        <w:rPr>
          <w:rFonts w:ascii="Times New Roman" w:hAnsi="Times New Roman" w:cs="Times New Roman"/>
          <w:sz w:val="24"/>
          <w:szCs w:val="24"/>
        </w:rPr>
        <w:t>. T</w:t>
      </w:r>
      <w:r>
        <w:rPr>
          <w:rFonts w:ascii="Times New Roman" w:hAnsi="Times New Roman" w:cs="Times New Roman"/>
          <w:sz w:val="24"/>
          <w:szCs w:val="24"/>
        </w:rPr>
        <w:t>he RRTM has neither</w:t>
      </w:r>
      <w:r w:rsidR="000941DF">
        <w:rPr>
          <w:rFonts w:ascii="Times New Roman" w:hAnsi="Times New Roman" w:cs="Times New Roman"/>
          <w:sz w:val="24"/>
          <w:szCs w:val="24"/>
        </w:rPr>
        <w:t>.</w:t>
      </w:r>
    </w:p>
    <w:p w14:paraId="0FE987C0" w14:textId="77777777" w:rsidR="00743D40" w:rsidRDefault="00743D40" w:rsidP="007044B8">
      <w:pPr>
        <w:spacing w:line="480" w:lineRule="auto"/>
        <w:ind w:left="720" w:hanging="720"/>
        <w:contextualSpacing/>
        <w:rPr>
          <w:rFonts w:ascii="Times New Roman" w:hAnsi="Times New Roman" w:cs="Times New Roman"/>
          <w:sz w:val="24"/>
          <w:szCs w:val="24"/>
        </w:rPr>
      </w:pPr>
    </w:p>
    <w:p w14:paraId="4D85033F" w14:textId="0D99256A" w:rsidR="00EB5D3D" w:rsidRPr="00293F51" w:rsidRDefault="00EB5D3D" w:rsidP="00EB5D3D">
      <w:pPr>
        <w:spacing w:line="480" w:lineRule="auto"/>
        <w:ind w:left="720" w:hanging="720"/>
        <w:contextualSpacing/>
        <w:rPr>
          <w:rFonts w:ascii="Times New Roman" w:hAnsi="Times New Roman" w:cs="Times New Roman"/>
          <w:b/>
          <w:sz w:val="24"/>
          <w:szCs w:val="24"/>
        </w:rPr>
      </w:pPr>
      <w:r w:rsidRPr="00EB5D3D">
        <w:rPr>
          <w:rFonts w:ascii="Times New Roman" w:hAnsi="Times New Roman" w:cs="Times New Roman"/>
          <w:b/>
          <w:sz w:val="24"/>
          <w:szCs w:val="24"/>
        </w:rPr>
        <w:t xml:space="preserve"> </w:t>
      </w: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Why </w:t>
      </w:r>
      <w:r w:rsidR="00ED7DC1">
        <w:rPr>
          <w:rFonts w:ascii="Times New Roman" w:hAnsi="Times New Roman" w:cs="Times New Roman"/>
          <w:b/>
          <w:sz w:val="24"/>
          <w:szCs w:val="24"/>
        </w:rPr>
        <w:t>do you</w:t>
      </w:r>
      <w:r>
        <w:rPr>
          <w:rFonts w:ascii="Times New Roman" w:hAnsi="Times New Roman" w:cs="Times New Roman"/>
          <w:b/>
          <w:sz w:val="24"/>
          <w:szCs w:val="24"/>
        </w:rPr>
        <w:t xml:space="preserve"> believe that the Company has not demonstrated enough variability in its wind costs to justify the RRTM?  </w:t>
      </w:r>
    </w:p>
    <w:p w14:paraId="02DA5D4F" w14:textId="6E2BAC12" w:rsidR="00EB5D3D" w:rsidRDefault="00EB5D3D" w:rsidP="00EB5D3D">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lastRenderedPageBreak/>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Pr>
          <w:rFonts w:ascii="Times New Roman" w:hAnsi="Times New Roman" w:cs="Times New Roman"/>
          <w:sz w:val="24"/>
          <w:szCs w:val="24"/>
        </w:rPr>
        <w:t xml:space="preserve">The Company’s </w:t>
      </w:r>
      <w:r w:rsidR="00DD4C2E">
        <w:rPr>
          <w:rFonts w:ascii="Times New Roman" w:hAnsi="Times New Roman" w:cs="Times New Roman"/>
          <w:sz w:val="24"/>
          <w:szCs w:val="24"/>
        </w:rPr>
        <w:t xml:space="preserve"> representation</w:t>
      </w:r>
      <w:r>
        <w:rPr>
          <w:rFonts w:ascii="Times New Roman" w:hAnsi="Times New Roman" w:cs="Times New Roman"/>
          <w:sz w:val="24"/>
          <w:szCs w:val="24"/>
        </w:rPr>
        <w:t xml:space="preserve"> that it has under-recovered its power costs associated with wind is largely based on normal </w:t>
      </w:r>
      <w:r w:rsidR="006B474B">
        <w:rPr>
          <w:rFonts w:ascii="Times New Roman" w:hAnsi="Times New Roman" w:cs="Times New Roman"/>
          <w:sz w:val="24"/>
          <w:szCs w:val="24"/>
        </w:rPr>
        <w:t xml:space="preserve">market </w:t>
      </w:r>
      <w:r>
        <w:rPr>
          <w:rFonts w:ascii="Times New Roman" w:hAnsi="Times New Roman" w:cs="Times New Roman"/>
          <w:sz w:val="24"/>
          <w:szCs w:val="24"/>
        </w:rPr>
        <w:t xml:space="preserve">variability, which </w:t>
      </w:r>
      <w:r w:rsidR="00BB497C">
        <w:rPr>
          <w:rFonts w:ascii="Times New Roman" w:hAnsi="Times New Roman" w:cs="Times New Roman"/>
          <w:sz w:val="24"/>
          <w:szCs w:val="24"/>
        </w:rPr>
        <w:t xml:space="preserve">is </w:t>
      </w:r>
      <w:r>
        <w:rPr>
          <w:rFonts w:ascii="Times New Roman" w:hAnsi="Times New Roman" w:cs="Times New Roman"/>
          <w:sz w:val="24"/>
          <w:szCs w:val="24"/>
        </w:rPr>
        <w:t xml:space="preserve">the type of normal variability that the Commission has previously </w:t>
      </w:r>
      <w:r w:rsidR="00EB294C">
        <w:rPr>
          <w:rFonts w:ascii="Times New Roman" w:hAnsi="Times New Roman" w:cs="Times New Roman"/>
          <w:sz w:val="24"/>
          <w:szCs w:val="24"/>
        </w:rPr>
        <w:t>told the Company</w:t>
      </w:r>
      <w:r>
        <w:rPr>
          <w:rFonts w:ascii="Times New Roman" w:hAnsi="Times New Roman" w:cs="Times New Roman"/>
          <w:sz w:val="24"/>
          <w:szCs w:val="24"/>
        </w:rPr>
        <w:t xml:space="preserve"> </w:t>
      </w:r>
      <w:r w:rsidR="00FB57D9">
        <w:rPr>
          <w:rFonts w:ascii="Times New Roman" w:hAnsi="Times New Roman" w:cs="Times New Roman"/>
          <w:sz w:val="24"/>
          <w:szCs w:val="24"/>
        </w:rPr>
        <w:t xml:space="preserve">is </w:t>
      </w:r>
      <w:r>
        <w:rPr>
          <w:rFonts w:ascii="Times New Roman" w:hAnsi="Times New Roman" w:cs="Times New Roman"/>
          <w:sz w:val="24"/>
          <w:szCs w:val="24"/>
        </w:rPr>
        <w:t xml:space="preserve">not </w:t>
      </w:r>
      <w:r w:rsidR="00FB57D9">
        <w:rPr>
          <w:rFonts w:ascii="Times New Roman" w:hAnsi="Times New Roman" w:cs="Times New Roman"/>
          <w:sz w:val="24"/>
          <w:szCs w:val="24"/>
        </w:rPr>
        <w:t xml:space="preserve">recoverable </w:t>
      </w:r>
      <w:r>
        <w:rPr>
          <w:rFonts w:ascii="Times New Roman" w:hAnsi="Times New Roman" w:cs="Times New Roman"/>
          <w:sz w:val="24"/>
          <w:szCs w:val="24"/>
        </w:rPr>
        <w:t xml:space="preserve">in a PCAM: </w:t>
      </w:r>
    </w:p>
    <w:p w14:paraId="0E3A55E0" w14:textId="77777777" w:rsidR="00EB5D3D" w:rsidRDefault="00EB5D3D" w:rsidP="00EB5D3D">
      <w:pPr>
        <w:spacing w:line="240" w:lineRule="auto"/>
        <w:ind w:left="1440"/>
        <w:contextualSpacing/>
        <w:rPr>
          <w:rFonts w:ascii="Times New Roman" w:hAnsi="Times New Roman" w:cs="Times New Roman"/>
          <w:sz w:val="24"/>
          <w:szCs w:val="24"/>
        </w:rPr>
      </w:pPr>
      <w:r w:rsidRPr="00E01994">
        <w:rPr>
          <w:rFonts w:ascii="Times New Roman" w:hAnsi="Times New Roman" w:cs="Times New Roman"/>
          <w:sz w:val="24"/>
          <w:szCs w:val="24"/>
        </w:rPr>
        <w:t>PacifiCorp, however, proposes a PCAM that would protect the Company from any risk of under-recovery, even that due to the ordinary variability in power costs due to normal and foreseeable changes in fuel costs, ordinary variance in hydro conditions, normal variations in weather, and so forth.</w:t>
      </w:r>
      <w:r w:rsidRPr="00E01994">
        <w:t xml:space="preserve"> </w:t>
      </w:r>
      <w:proofErr w:type="gramStart"/>
      <w:r w:rsidRPr="00E01994">
        <w:rPr>
          <w:rFonts w:ascii="Times New Roman" w:hAnsi="Times New Roman" w:cs="Times New Roman"/>
          <w:sz w:val="24"/>
          <w:szCs w:val="24"/>
        </w:rPr>
        <w:t>As the Commission previously observed in co</w:t>
      </w:r>
      <w:r>
        <w:rPr>
          <w:rFonts w:ascii="Times New Roman" w:hAnsi="Times New Roman" w:cs="Times New Roman"/>
          <w:sz w:val="24"/>
          <w:szCs w:val="24"/>
        </w:rPr>
        <w:t>nnection with such a proposal: ‘</w:t>
      </w:r>
      <w:r w:rsidRPr="00E01994">
        <w:rPr>
          <w:rFonts w:ascii="Times New Roman" w:hAnsi="Times New Roman" w:cs="Times New Roman"/>
          <w:sz w:val="24"/>
          <w:szCs w:val="24"/>
        </w:rPr>
        <w:t>This would mark a new and much expanded role for the PCA.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0"/>
      </w:r>
    </w:p>
    <w:p w14:paraId="6EFD325D" w14:textId="77777777" w:rsidR="00EB5D3D" w:rsidRDefault="00EB5D3D" w:rsidP="00EB5D3D">
      <w:pPr>
        <w:spacing w:line="480" w:lineRule="auto"/>
        <w:ind w:left="720" w:hanging="720"/>
        <w:contextualSpacing/>
        <w:rPr>
          <w:rFonts w:ascii="Times New Roman" w:hAnsi="Times New Roman" w:cs="Times New Roman"/>
          <w:sz w:val="24"/>
          <w:szCs w:val="24"/>
        </w:rPr>
      </w:pPr>
    </w:p>
    <w:p w14:paraId="02820F47" w14:textId="40C63740" w:rsidR="00EB5D3D" w:rsidRDefault="006B474B" w:rsidP="00EB5D3D">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EB5D3D">
        <w:rPr>
          <w:rFonts w:ascii="Times New Roman" w:hAnsi="Times New Roman" w:cs="Times New Roman"/>
          <w:sz w:val="24"/>
          <w:szCs w:val="24"/>
        </w:rPr>
        <w:t xml:space="preserve">Company witness </w:t>
      </w:r>
      <w:proofErr w:type="gramStart"/>
      <w:r w:rsidR="00EB5D3D">
        <w:rPr>
          <w:rFonts w:ascii="Times New Roman" w:hAnsi="Times New Roman" w:cs="Times New Roman"/>
          <w:sz w:val="24"/>
          <w:szCs w:val="24"/>
        </w:rPr>
        <w:t xml:space="preserve">Duvall  </w:t>
      </w:r>
      <w:r w:rsidR="00BB497C">
        <w:rPr>
          <w:rFonts w:ascii="Times New Roman" w:hAnsi="Times New Roman" w:cs="Times New Roman"/>
          <w:sz w:val="24"/>
          <w:szCs w:val="24"/>
        </w:rPr>
        <w:t>maintains</w:t>
      </w:r>
      <w:proofErr w:type="gramEnd"/>
      <w:r w:rsidR="00BB497C">
        <w:rPr>
          <w:rFonts w:ascii="Times New Roman" w:hAnsi="Times New Roman" w:cs="Times New Roman"/>
          <w:sz w:val="24"/>
          <w:szCs w:val="24"/>
        </w:rPr>
        <w:t xml:space="preserve"> </w:t>
      </w:r>
      <w:r w:rsidR="00EB5D3D">
        <w:rPr>
          <w:rFonts w:ascii="Times New Roman" w:hAnsi="Times New Roman" w:cs="Times New Roman"/>
          <w:sz w:val="24"/>
          <w:szCs w:val="24"/>
        </w:rPr>
        <w:t>that wind variability in the WCA cost the Company $151.5 million ($34.8 million on a Washington-allocated basis) from 2007-2012.</w:t>
      </w:r>
      <w:r w:rsidR="00EB5D3D">
        <w:rPr>
          <w:rStyle w:val="FootnoteReference"/>
          <w:rFonts w:ascii="Times New Roman" w:hAnsi="Times New Roman" w:cs="Times New Roman"/>
          <w:sz w:val="24"/>
          <w:szCs w:val="24"/>
        </w:rPr>
        <w:footnoteReference w:id="11"/>
      </w:r>
      <w:r w:rsidR="00EB5D3D">
        <w:rPr>
          <w:rFonts w:ascii="Times New Roman" w:hAnsi="Times New Roman" w:cs="Times New Roman"/>
          <w:sz w:val="24"/>
          <w:szCs w:val="24"/>
        </w:rPr>
        <w:t xml:space="preserve">  However, </w:t>
      </w:r>
      <w:r w:rsidR="00876BE7">
        <w:rPr>
          <w:rFonts w:ascii="Times New Roman" w:hAnsi="Times New Roman" w:cs="Times New Roman"/>
          <w:sz w:val="24"/>
          <w:szCs w:val="24"/>
        </w:rPr>
        <w:t xml:space="preserve">Exhibit </w:t>
      </w:r>
      <w:proofErr w:type="gramStart"/>
      <w:r w:rsidR="00876BE7">
        <w:rPr>
          <w:rFonts w:ascii="Times New Roman" w:hAnsi="Times New Roman" w:cs="Times New Roman"/>
          <w:sz w:val="24"/>
          <w:szCs w:val="24"/>
        </w:rPr>
        <w:t>No</w:t>
      </w:r>
      <w:r w:rsidR="003B08D3">
        <w:rPr>
          <w:rFonts w:ascii="Times New Roman" w:hAnsi="Times New Roman" w:cs="Times New Roman"/>
          <w:sz w:val="24"/>
          <w:szCs w:val="24"/>
        </w:rPr>
        <w:t xml:space="preserve"> </w:t>
      </w:r>
      <w:r w:rsidR="00876BE7">
        <w:rPr>
          <w:rFonts w:ascii="Times New Roman" w:hAnsi="Times New Roman" w:cs="Times New Roman"/>
          <w:sz w:val="24"/>
          <w:szCs w:val="24"/>
        </w:rPr>
        <w:t>.</w:t>
      </w:r>
      <w:proofErr w:type="gramEnd"/>
      <w:r w:rsidR="00876BE7">
        <w:rPr>
          <w:rFonts w:ascii="Times New Roman" w:hAnsi="Times New Roman" w:cs="Times New Roman"/>
          <w:sz w:val="24"/>
          <w:szCs w:val="24"/>
        </w:rPr>
        <w:t>___(JBT-2)</w:t>
      </w:r>
      <w:r w:rsidR="00EB5D3D">
        <w:rPr>
          <w:rFonts w:ascii="Times New Roman" w:hAnsi="Times New Roman" w:cs="Times New Roman"/>
          <w:sz w:val="24"/>
          <w:szCs w:val="24"/>
        </w:rPr>
        <w:t xml:space="preserve"> shows that $110.7 million (73.1 percent) of that total is the result of </w:t>
      </w:r>
      <w:r w:rsidR="00876BE7">
        <w:rPr>
          <w:rFonts w:ascii="Times New Roman" w:hAnsi="Times New Roman" w:cs="Times New Roman"/>
          <w:sz w:val="24"/>
          <w:szCs w:val="24"/>
        </w:rPr>
        <w:t xml:space="preserve">the Company’s over-forecasting of </w:t>
      </w:r>
      <w:r w:rsidR="00EB5D3D">
        <w:rPr>
          <w:rFonts w:ascii="Times New Roman" w:hAnsi="Times New Roman" w:cs="Times New Roman"/>
          <w:sz w:val="24"/>
          <w:szCs w:val="24"/>
        </w:rPr>
        <w:t xml:space="preserve">market prices.  For example, in 2009, the Company exceeded its projected wind production by about 13,000 MWh.  </w:t>
      </w:r>
      <w:r w:rsidR="004B5278">
        <w:rPr>
          <w:rFonts w:ascii="Times New Roman" w:hAnsi="Times New Roman" w:cs="Times New Roman"/>
          <w:sz w:val="24"/>
          <w:szCs w:val="24"/>
        </w:rPr>
        <w:t>Despite that higher-than-expected generation, h</w:t>
      </w:r>
      <w:r w:rsidR="00EB5D3D">
        <w:rPr>
          <w:rFonts w:ascii="Times New Roman" w:hAnsi="Times New Roman" w:cs="Times New Roman"/>
          <w:sz w:val="24"/>
          <w:szCs w:val="24"/>
        </w:rPr>
        <w:t xml:space="preserve">ad the RRTM been in place, the Company would </w:t>
      </w:r>
      <w:proofErr w:type="gramStart"/>
      <w:r w:rsidR="00EB5D3D">
        <w:rPr>
          <w:rFonts w:ascii="Times New Roman" w:hAnsi="Times New Roman" w:cs="Times New Roman"/>
          <w:sz w:val="24"/>
          <w:szCs w:val="24"/>
        </w:rPr>
        <w:t>have  recovered</w:t>
      </w:r>
      <w:proofErr w:type="gramEnd"/>
      <w:r w:rsidR="00EB5D3D">
        <w:rPr>
          <w:rFonts w:ascii="Times New Roman" w:hAnsi="Times New Roman" w:cs="Times New Roman"/>
          <w:sz w:val="24"/>
          <w:szCs w:val="24"/>
        </w:rPr>
        <w:t xml:space="preserve"> $17.5 million from WCA ratepayers ($4 million from Washington ratepayers) because the Company over-estimated market prices.  Specifically, the Company projected an average market price of $49.69/MWh.  In fact, the average market price for the period was only $25.89/MWh. </w:t>
      </w:r>
    </w:p>
    <w:p w14:paraId="16989729" w14:textId="2D9494D8" w:rsidR="00EB5D3D" w:rsidRDefault="00BA4CA0" w:rsidP="00EB5D3D">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084497">
        <w:rPr>
          <w:rFonts w:ascii="Times New Roman" w:hAnsi="Times New Roman" w:cs="Times New Roman"/>
          <w:sz w:val="24"/>
          <w:szCs w:val="24"/>
        </w:rPr>
        <w:t>That</w:t>
      </w:r>
      <w:r w:rsidR="00EB5D3D">
        <w:rPr>
          <w:rFonts w:ascii="Times New Roman" w:hAnsi="Times New Roman" w:cs="Times New Roman"/>
          <w:sz w:val="24"/>
          <w:szCs w:val="24"/>
        </w:rPr>
        <w:t xml:space="preserve"> was just one example of the Company’s widely missed forecasts of market prices.  </w:t>
      </w:r>
      <w:proofErr w:type="gramStart"/>
      <w:r w:rsidR="00EB5D3D">
        <w:rPr>
          <w:rFonts w:ascii="Times New Roman" w:hAnsi="Times New Roman" w:cs="Times New Roman"/>
          <w:sz w:val="24"/>
          <w:szCs w:val="24"/>
        </w:rPr>
        <w:t>As Exhibit No.</w:t>
      </w:r>
      <w:proofErr w:type="gramEnd"/>
      <w:r w:rsidR="00EB5D3D">
        <w:rPr>
          <w:rFonts w:ascii="Times New Roman" w:hAnsi="Times New Roman" w:cs="Times New Roman"/>
          <w:sz w:val="24"/>
          <w:szCs w:val="24"/>
        </w:rPr>
        <w:t xml:space="preserve"> __</w:t>
      </w:r>
      <w:proofErr w:type="gramStart"/>
      <w:r w:rsidR="00EB5D3D">
        <w:rPr>
          <w:rFonts w:ascii="Times New Roman" w:hAnsi="Times New Roman" w:cs="Times New Roman"/>
          <w:sz w:val="24"/>
          <w:szCs w:val="24"/>
        </w:rPr>
        <w:t>_(</w:t>
      </w:r>
      <w:proofErr w:type="gramEnd"/>
      <w:r w:rsidR="00EB5D3D">
        <w:rPr>
          <w:rFonts w:ascii="Times New Roman" w:hAnsi="Times New Roman" w:cs="Times New Roman"/>
          <w:sz w:val="24"/>
          <w:szCs w:val="24"/>
        </w:rPr>
        <w:t xml:space="preserve">GND-1CT) shows, Pacific Power’s cumulative wind production forecasts over the period were within about 10 percent of actual </w:t>
      </w:r>
      <w:r w:rsidR="00EB5D3D">
        <w:rPr>
          <w:rFonts w:ascii="Times New Roman" w:hAnsi="Times New Roman" w:cs="Times New Roman"/>
          <w:sz w:val="24"/>
          <w:szCs w:val="24"/>
        </w:rPr>
        <w:lastRenderedPageBreak/>
        <w:t>values, but the Company’s market price projections were, on average, about 96 percent higher than actual market prices.  Given the Company’s poor history of forecasting market prices even in a period that lacked any large market shocks, the RRTM would appear to expose ratepayers to significant, artificial risk.</w:t>
      </w:r>
      <w:r w:rsidR="00EB5D3D" w:rsidRPr="00087499">
        <w:rPr>
          <w:rFonts w:ascii="Times New Roman" w:hAnsi="Times New Roman" w:cs="Times New Roman"/>
          <w:sz w:val="24"/>
          <w:szCs w:val="24"/>
        </w:rPr>
        <w:t xml:space="preserve"> </w:t>
      </w:r>
    </w:p>
    <w:p w14:paraId="4ABA7BC7" w14:textId="61969B31" w:rsidR="00EB5D3D" w:rsidRDefault="00BA4CA0" w:rsidP="00EB5D3D">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EB5D3D">
        <w:rPr>
          <w:rFonts w:ascii="Times New Roman" w:hAnsi="Times New Roman" w:cs="Times New Roman"/>
          <w:sz w:val="24"/>
          <w:szCs w:val="24"/>
        </w:rPr>
        <w:t>Staff recognizes that when market prices are lower than projected, the Company has fewer opportunities to sell electricity into the market and therefore earns less offsetting revenue, which increases NPC.  Conversely, however, if prices are too low for a utility to sell into the market, then the utility may purchase power that is cheaper than what it would produce itself</w:t>
      </w:r>
      <w:r w:rsidR="006B474B">
        <w:rPr>
          <w:rFonts w:ascii="Times New Roman" w:hAnsi="Times New Roman" w:cs="Times New Roman"/>
          <w:sz w:val="24"/>
          <w:szCs w:val="24"/>
        </w:rPr>
        <w:t>, which reduces NPC</w:t>
      </w:r>
      <w:r w:rsidR="00EB5D3D">
        <w:rPr>
          <w:rFonts w:ascii="Times New Roman" w:hAnsi="Times New Roman" w:cs="Times New Roman"/>
          <w:sz w:val="24"/>
          <w:szCs w:val="24"/>
        </w:rPr>
        <w:t xml:space="preserve">.  The RRTM, as presented, makes the illogical argument that Washington ratepayers should </w:t>
      </w:r>
      <w:r w:rsidR="004B5278">
        <w:rPr>
          <w:rFonts w:ascii="Times New Roman" w:hAnsi="Times New Roman" w:cs="Times New Roman"/>
          <w:sz w:val="24"/>
          <w:szCs w:val="24"/>
        </w:rPr>
        <w:t xml:space="preserve">automatically </w:t>
      </w:r>
      <w:r w:rsidR="00EB5D3D">
        <w:rPr>
          <w:rFonts w:ascii="Times New Roman" w:hAnsi="Times New Roman" w:cs="Times New Roman"/>
          <w:sz w:val="24"/>
          <w:szCs w:val="24"/>
        </w:rPr>
        <w:t xml:space="preserve">bear higher costs when market prices fall.  </w:t>
      </w:r>
    </w:p>
    <w:p w14:paraId="7005D9FC" w14:textId="21E344BC" w:rsidR="00EB5D3D" w:rsidRDefault="00BA4CA0" w:rsidP="00EB5D3D">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EB5D3D">
        <w:rPr>
          <w:rFonts w:ascii="Times New Roman" w:hAnsi="Times New Roman" w:cs="Times New Roman"/>
          <w:sz w:val="24"/>
          <w:szCs w:val="24"/>
        </w:rPr>
        <w:tab/>
        <w:t>The “value of wind” that the Company has developed to justify the RRTM is a theoretical construct that does not represent any actual costs that the Company incur</w:t>
      </w:r>
      <w:r w:rsidR="00897454">
        <w:rPr>
          <w:rFonts w:ascii="Times New Roman" w:hAnsi="Times New Roman" w:cs="Times New Roman"/>
          <w:sz w:val="24"/>
          <w:szCs w:val="24"/>
        </w:rPr>
        <w:t>s</w:t>
      </w:r>
      <w:r w:rsidR="00EB5D3D">
        <w:rPr>
          <w:rFonts w:ascii="Times New Roman" w:hAnsi="Times New Roman" w:cs="Times New Roman"/>
          <w:sz w:val="24"/>
          <w:szCs w:val="24"/>
        </w:rPr>
        <w:t>.  Rather, Staff views it as an attempt to monetize normal market fluctuations, which the Commission has clearly stated are not subject to recovery through an adjustment mechanism.</w:t>
      </w:r>
    </w:p>
    <w:p w14:paraId="690D0904" w14:textId="43492199" w:rsidR="00664207" w:rsidRDefault="00664207" w:rsidP="007044B8">
      <w:pPr>
        <w:spacing w:line="480" w:lineRule="auto"/>
        <w:ind w:left="720" w:hanging="720"/>
        <w:contextualSpacing/>
        <w:rPr>
          <w:rFonts w:ascii="Times New Roman" w:hAnsi="Times New Roman" w:cs="Times New Roman"/>
          <w:sz w:val="24"/>
          <w:szCs w:val="24"/>
        </w:rPr>
      </w:pPr>
    </w:p>
    <w:p w14:paraId="690D0906" w14:textId="04859368" w:rsidR="00664207" w:rsidRPr="00293F51" w:rsidRDefault="00664207" w:rsidP="00664207">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sidR="000941DF">
        <w:rPr>
          <w:rFonts w:ascii="Times New Roman" w:hAnsi="Times New Roman" w:cs="Times New Roman"/>
          <w:b/>
          <w:sz w:val="24"/>
          <w:szCs w:val="24"/>
        </w:rPr>
        <w:t>Please explain w</w:t>
      </w:r>
      <w:r>
        <w:rPr>
          <w:rFonts w:ascii="Times New Roman" w:hAnsi="Times New Roman" w:cs="Times New Roman"/>
          <w:b/>
          <w:sz w:val="24"/>
          <w:szCs w:val="24"/>
        </w:rPr>
        <w:t>hy the RRTM</w:t>
      </w:r>
      <w:r w:rsidR="000941DF">
        <w:rPr>
          <w:rFonts w:ascii="Times New Roman" w:hAnsi="Times New Roman" w:cs="Times New Roman"/>
          <w:b/>
          <w:sz w:val="24"/>
          <w:szCs w:val="24"/>
        </w:rPr>
        <w:t xml:space="preserve"> is</w:t>
      </w:r>
      <w:r w:rsidR="00525B0F">
        <w:rPr>
          <w:rFonts w:ascii="Times New Roman" w:hAnsi="Times New Roman" w:cs="Times New Roman"/>
          <w:b/>
          <w:sz w:val="24"/>
          <w:szCs w:val="24"/>
        </w:rPr>
        <w:t xml:space="preserve"> too narrow in scope.</w:t>
      </w:r>
      <w:r>
        <w:rPr>
          <w:rFonts w:ascii="Times New Roman" w:hAnsi="Times New Roman" w:cs="Times New Roman"/>
          <w:b/>
          <w:sz w:val="24"/>
          <w:szCs w:val="24"/>
        </w:rPr>
        <w:t xml:space="preserve">  </w:t>
      </w:r>
    </w:p>
    <w:p w14:paraId="32CA9343" w14:textId="2C1EEDD1" w:rsidR="001571BA" w:rsidRDefault="00664207" w:rsidP="00664207">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544EDB">
        <w:rPr>
          <w:rFonts w:ascii="Times New Roman" w:hAnsi="Times New Roman" w:cs="Times New Roman"/>
          <w:sz w:val="24"/>
          <w:szCs w:val="24"/>
        </w:rPr>
        <w:t xml:space="preserve">A properly designed PCAM should </w:t>
      </w:r>
      <w:r w:rsidR="00C1299A">
        <w:rPr>
          <w:rFonts w:ascii="Times New Roman" w:hAnsi="Times New Roman" w:cs="Times New Roman"/>
          <w:sz w:val="24"/>
          <w:szCs w:val="24"/>
        </w:rPr>
        <w:t>include</w:t>
      </w:r>
      <w:r w:rsidR="00550848">
        <w:rPr>
          <w:rFonts w:ascii="Times New Roman" w:hAnsi="Times New Roman" w:cs="Times New Roman"/>
          <w:sz w:val="24"/>
          <w:szCs w:val="24"/>
        </w:rPr>
        <w:t xml:space="preserve"> all</w:t>
      </w:r>
      <w:r w:rsidR="00C1299A">
        <w:rPr>
          <w:rFonts w:ascii="Times New Roman" w:hAnsi="Times New Roman" w:cs="Times New Roman"/>
          <w:sz w:val="24"/>
          <w:szCs w:val="24"/>
        </w:rPr>
        <w:t xml:space="preserve"> drivers of a company’s NPC</w:t>
      </w:r>
      <w:r w:rsidR="00550848">
        <w:rPr>
          <w:rFonts w:ascii="Times New Roman" w:hAnsi="Times New Roman" w:cs="Times New Roman"/>
          <w:sz w:val="24"/>
          <w:szCs w:val="24"/>
        </w:rPr>
        <w:t xml:space="preserve"> – not just one.</w:t>
      </w:r>
      <w:r w:rsidR="006B492C">
        <w:rPr>
          <w:rFonts w:ascii="Times New Roman" w:hAnsi="Times New Roman" w:cs="Times New Roman"/>
          <w:sz w:val="24"/>
          <w:szCs w:val="24"/>
        </w:rPr>
        <w:t xml:space="preserve"> </w:t>
      </w:r>
      <w:r w:rsidR="00550848">
        <w:rPr>
          <w:rFonts w:ascii="Times New Roman" w:hAnsi="Times New Roman" w:cs="Times New Roman"/>
          <w:sz w:val="24"/>
          <w:szCs w:val="24"/>
        </w:rPr>
        <w:t xml:space="preserve"> </w:t>
      </w:r>
      <w:r w:rsidR="00F152F1">
        <w:rPr>
          <w:rFonts w:ascii="Times New Roman" w:hAnsi="Times New Roman" w:cs="Times New Roman"/>
          <w:sz w:val="24"/>
          <w:szCs w:val="24"/>
        </w:rPr>
        <w:t>In other words, a company’s NPC should i</w:t>
      </w:r>
      <w:r w:rsidR="00833F5A">
        <w:rPr>
          <w:rFonts w:ascii="Times New Roman" w:hAnsi="Times New Roman" w:cs="Times New Roman"/>
          <w:sz w:val="24"/>
          <w:szCs w:val="24"/>
        </w:rPr>
        <w:t xml:space="preserve">nclude costs for all generation resources </w:t>
      </w:r>
      <w:r w:rsidR="00F152F1">
        <w:rPr>
          <w:rFonts w:ascii="Times New Roman" w:hAnsi="Times New Roman" w:cs="Times New Roman"/>
          <w:sz w:val="24"/>
          <w:szCs w:val="24"/>
        </w:rPr>
        <w:t xml:space="preserve">serving Washington customers – not just a few. </w:t>
      </w:r>
    </w:p>
    <w:p w14:paraId="70A0C59E" w14:textId="77777777" w:rsidR="001571BA" w:rsidRDefault="001571BA" w:rsidP="00664207">
      <w:pPr>
        <w:spacing w:line="480" w:lineRule="auto"/>
        <w:ind w:left="720" w:hanging="720"/>
        <w:contextualSpacing/>
        <w:rPr>
          <w:rFonts w:ascii="Times New Roman" w:hAnsi="Times New Roman" w:cs="Times New Roman"/>
          <w:sz w:val="24"/>
          <w:szCs w:val="24"/>
        </w:rPr>
      </w:pPr>
    </w:p>
    <w:p w14:paraId="66F2A650" w14:textId="5E37861B" w:rsidR="00833F5A" w:rsidRDefault="000941DF" w:rsidP="00525B0F">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Pacific Power deploys a diversified fleet of generation resources to serve Washington customers. </w:t>
      </w:r>
      <w:r w:rsidR="006B492C">
        <w:rPr>
          <w:rFonts w:ascii="Times New Roman" w:hAnsi="Times New Roman" w:cs="Times New Roman"/>
          <w:sz w:val="24"/>
          <w:szCs w:val="24"/>
        </w:rPr>
        <w:t xml:space="preserve"> </w:t>
      </w:r>
      <w:r>
        <w:rPr>
          <w:rFonts w:ascii="Times New Roman" w:hAnsi="Times New Roman" w:cs="Times New Roman"/>
          <w:sz w:val="24"/>
          <w:szCs w:val="24"/>
        </w:rPr>
        <w:t xml:space="preserve">In addition to the Company’s wind resources </w:t>
      </w:r>
      <w:r w:rsidR="00550848">
        <w:rPr>
          <w:rFonts w:ascii="Times New Roman" w:hAnsi="Times New Roman" w:cs="Times New Roman"/>
          <w:sz w:val="24"/>
          <w:szCs w:val="24"/>
        </w:rPr>
        <w:t>(</w:t>
      </w:r>
      <w:r w:rsidR="00876BE7">
        <w:rPr>
          <w:rFonts w:ascii="Times New Roman" w:hAnsi="Times New Roman" w:cs="Times New Roman"/>
          <w:sz w:val="24"/>
          <w:szCs w:val="24"/>
        </w:rPr>
        <w:t>which</w:t>
      </w:r>
      <w:r w:rsidR="00CB7CB3">
        <w:rPr>
          <w:rFonts w:ascii="Times New Roman" w:hAnsi="Times New Roman" w:cs="Times New Roman"/>
          <w:sz w:val="24"/>
          <w:szCs w:val="24"/>
        </w:rPr>
        <w:t xml:space="preserve"> would be </w:t>
      </w:r>
      <w:r w:rsidR="00F152F1">
        <w:rPr>
          <w:rFonts w:ascii="Times New Roman" w:hAnsi="Times New Roman" w:cs="Times New Roman"/>
          <w:sz w:val="24"/>
          <w:szCs w:val="24"/>
        </w:rPr>
        <w:t xml:space="preserve">segregated by </w:t>
      </w:r>
      <w:r>
        <w:rPr>
          <w:rFonts w:ascii="Times New Roman" w:hAnsi="Times New Roman" w:cs="Times New Roman"/>
          <w:sz w:val="24"/>
          <w:szCs w:val="24"/>
        </w:rPr>
        <w:t xml:space="preserve">its </w:t>
      </w:r>
      <w:r w:rsidR="00F152F1">
        <w:rPr>
          <w:rFonts w:ascii="Times New Roman" w:hAnsi="Times New Roman" w:cs="Times New Roman"/>
          <w:sz w:val="24"/>
          <w:szCs w:val="24"/>
        </w:rPr>
        <w:t xml:space="preserve">proposed </w:t>
      </w:r>
      <w:r>
        <w:rPr>
          <w:rFonts w:ascii="Times New Roman" w:hAnsi="Times New Roman" w:cs="Times New Roman"/>
          <w:sz w:val="24"/>
          <w:szCs w:val="24"/>
        </w:rPr>
        <w:t>RRTM</w:t>
      </w:r>
      <w:r w:rsidR="00550848">
        <w:rPr>
          <w:rFonts w:ascii="Times New Roman" w:hAnsi="Times New Roman" w:cs="Times New Roman"/>
          <w:sz w:val="24"/>
          <w:szCs w:val="24"/>
        </w:rPr>
        <w:t>)</w:t>
      </w:r>
      <w:r>
        <w:rPr>
          <w:rFonts w:ascii="Times New Roman" w:hAnsi="Times New Roman" w:cs="Times New Roman"/>
          <w:sz w:val="24"/>
          <w:szCs w:val="24"/>
        </w:rPr>
        <w:t>, the Company</w:t>
      </w:r>
      <w:r w:rsidR="00F152F1">
        <w:rPr>
          <w:rFonts w:ascii="Times New Roman" w:hAnsi="Times New Roman" w:cs="Times New Roman"/>
          <w:sz w:val="24"/>
          <w:szCs w:val="24"/>
        </w:rPr>
        <w:t>’s</w:t>
      </w:r>
      <w:r>
        <w:rPr>
          <w:rFonts w:ascii="Times New Roman" w:hAnsi="Times New Roman" w:cs="Times New Roman"/>
          <w:sz w:val="24"/>
          <w:szCs w:val="24"/>
        </w:rPr>
        <w:t xml:space="preserve"> fleet includes hydropower </w:t>
      </w:r>
      <w:r w:rsidR="00F152F1">
        <w:rPr>
          <w:rFonts w:ascii="Times New Roman" w:hAnsi="Times New Roman" w:cs="Times New Roman"/>
          <w:sz w:val="24"/>
          <w:szCs w:val="24"/>
        </w:rPr>
        <w:t>and thermal resources fueled by natural gas and coal.</w:t>
      </w:r>
      <w:r w:rsidR="006B492C">
        <w:rPr>
          <w:rFonts w:ascii="Times New Roman" w:hAnsi="Times New Roman" w:cs="Times New Roman"/>
          <w:sz w:val="24"/>
          <w:szCs w:val="24"/>
        </w:rPr>
        <w:t xml:space="preserve"> </w:t>
      </w:r>
      <w:r w:rsidR="00F152F1">
        <w:rPr>
          <w:rFonts w:ascii="Times New Roman" w:hAnsi="Times New Roman" w:cs="Times New Roman"/>
          <w:sz w:val="24"/>
          <w:szCs w:val="24"/>
        </w:rPr>
        <w:t xml:space="preserve"> </w:t>
      </w:r>
      <w:r w:rsidR="00833F5A">
        <w:rPr>
          <w:rFonts w:ascii="Times New Roman" w:hAnsi="Times New Roman" w:cs="Times New Roman"/>
          <w:sz w:val="24"/>
          <w:szCs w:val="24"/>
        </w:rPr>
        <w:t xml:space="preserve">The </w:t>
      </w:r>
      <w:r w:rsidR="001571BA">
        <w:rPr>
          <w:rFonts w:ascii="Times New Roman" w:hAnsi="Times New Roman" w:cs="Times New Roman"/>
          <w:sz w:val="24"/>
          <w:szCs w:val="24"/>
        </w:rPr>
        <w:t xml:space="preserve">Company’s </w:t>
      </w:r>
      <w:r w:rsidR="00833F5A">
        <w:rPr>
          <w:rFonts w:ascii="Times New Roman" w:hAnsi="Times New Roman" w:cs="Times New Roman"/>
          <w:sz w:val="24"/>
          <w:szCs w:val="24"/>
        </w:rPr>
        <w:t>NPC reflects the expected variability in use</w:t>
      </w:r>
      <w:r w:rsidR="004B5278">
        <w:rPr>
          <w:rFonts w:ascii="Times New Roman" w:hAnsi="Times New Roman" w:cs="Times New Roman"/>
          <w:sz w:val="24"/>
          <w:szCs w:val="24"/>
        </w:rPr>
        <w:t>,</w:t>
      </w:r>
      <w:r w:rsidR="00833F5A">
        <w:rPr>
          <w:rFonts w:ascii="Times New Roman" w:hAnsi="Times New Roman" w:cs="Times New Roman"/>
          <w:sz w:val="24"/>
          <w:szCs w:val="24"/>
        </w:rPr>
        <w:t xml:space="preserve"> and therefore cost</w:t>
      </w:r>
      <w:r w:rsidR="004B5278">
        <w:rPr>
          <w:rFonts w:ascii="Times New Roman" w:hAnsi="Times New Roman" w:cs="Times New Roman"/>
          <w:sz w:val="24"/>
          <w:szCs w:val="24"/>
        </w:rPr>
        <w:t>,</w:t>
      </w:r>
      <w:r w:rsidR="00833F5A">
        <w:rPr>
          <w:rFonts w:ascii="Times New Roman" w:hAnsi="Times New Roman" w:cs="Times New Roman"/>
          <w:sz w:val="24"/>
          <w:szCs w:val="24"/>
        </w:rPr>
        <w:t xml:space="preserve"> for all of these resources. </w:t>
      </w:r>
      <w:r w:rsidR="00897454">
        <w:rPr>
          <w:rFonts w:ascii="Times New Roman" w:hAnsi="Times New Roman" w:cs="Times New Roman"/>
          <w:sz w:val="24"/>
          <w:szCs w:val="24"/>
        </w:rPr>
        <w:t xml:space="preserve"> </w:t>
      </w:r>
    </w:p>
    <w:p w14:paraId="6EAD71C9" w14:textId="2E774E58" w:rsidR="00BC7FB4" w:rsidRDefault="00BA4CA0" w:rsidP="00B65F58">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F152F1">
        <w:rPr>
          <w:rFonts w:ascii="Times New Roman" w:hAnsi="Times New Roman" w:cs="Times New Roman"/>
          <w:sz w:val="24"/>
          <w:szCs w:val="24"/>
        </w:rPr>
        <w:t>For</w:t>
      </w:r>
      <w:r w:rsidR="001571BA">
        <w:rPr>
          <w:rFonts w:ascii="Times New Roman" w:hAnsi="Times New Roman" w:cs="Times New Roman"/>
          <w:sz w:val="24"/>
          <w:szCs w:val="24"/>
        </w:rPr>
        <w:t xml:space="preserve"> example, </w:t>
      </w:r>
      <w:r w:rsidR="009613CE">
        <w:rPr>
          <w:rFonts w:ascii="Times New Roman" w:hAnsi="Times New Roman" w:cs="Times New Roman"/>
          <w:sz w:val="24"/>
          <w:szCs w:val="24"/>
        </w:rPr>
        <w:t xml:space="preserve">the </w:t>
      </w:r>
      <w:r w:rsidR="00084497">
        <w:rPr>
          <w:rFonts w:ascii="Times New Roman" w:hAnsi="Times New Roman" w:cs="Times New Roman"/>
          <w:sz w:val="24"/>
          <w:szCs w:val="24"/>
        </w:rPr>
        <w:t xml:space="preserve">expected variability of </w:t>
      </w:r>
      <w:r w:rsidR="001571BA">
        <w:rPr>
          <w:rFonts w:ascii="Times New Roman" w:hAnsi="Times New Roman" w:cs="Times New Roman"/>
          <w:sz w:val="24"/>
          <w:szCs w:val="24"/>
        </w:rPr>
        <w:t>Pacific Power</w:t>
      </w:r>
      <w:r w:rsidR="00084497">
        <w:rPr>
          <w:rFonts w:ascii="Times New Roman" w:hAnsi="Times New Roman" w:cs="Times New Roman"/>
          <w:sz w:val="24"/>
          <w:szCs w:val="24"/>
        </w:rPr>
        <w:t>’s</w:t>
      </w:r>
      <w:r w:rsidR="001571BA">
        <w:rPr>
          <w:rFonts w:ascii="Times New Roman" w:hAnsi="Times New Roman" w:cs="Times New Roman"/>
          <w:sz w:val="24"/>
          <w:szCs w:val="24"/>
        </w:rPr>
        <w:t xml:space="preserve"> generation flee</w:t>
      </w:r>
      <w:r w:rsidR="00084497">
        <w:rPr>
          <w:rFonts w:ascii="Times New Roman" w:hAnsi="Times New Roman" w:cs="Times New Roman"/>
          <w:sz w:val="24"/>
          <w:szCs w:val="24"/>
        </w:rPr>
        <w:t>t</w:t>
      </w:r>
      <w:r w:rsidR="001571BA">
        <w:rPr>
          <w:rFonts w:ascii="Times New Roman" w:hAnsi="Times New Roman" w:cs="Times New Roman"/>
          <w:sz w:val="24"/>
          <w:szCs w:val="24"/>
        </w:rPr>
        <w:t xml:space="preserve"> is affected by the cost of </w:t>
      </w:r>
      <w:r w:rsidR="00F152F1">
        <w:rPr>
          <w:rFonts w:ascii="Times New Roman" w:hAnsi="Times New Roman" w:cs="Times New Roman"/>
          <w:sz w:val="24"/>
          <w:szCs w:val="24"/>
        </w:rPr>
        <w:t xml:space="preserve">fuel </w:t>
      </w:r>
      <w:r w:rsidR="001571BA">
        <w:rPr>
          <w:rFonts w:ascii="Times New Roman" w:hAnsi="Times New Roman" w:cs="Times New Roman"/>
          <w:sz w:val="24"/>
          <w:szCs w:val="24"/>
        </w:rPr>
        <w:t>necessary to operate its thermal resources.  Another influence on actual NPC is the availability of hydropower and wind energy to meet load.  If the Company’s available generation resources are not sufficient to meet load, then it will purchase power in regional energy markets – at prices determined by the market at the time of purchase.</w:t>
      </w:r>
      <w:r w:rsidR="006B492C">
        <w:rPr>
          <w:rFonts w:ascii="Times New Roman" w:hAnsi="Times New Roman" w:cs="Times New Roman"/>
          <w:sz w:val="24"/>
          <w:szCs w:val="24"/>
        </w:rPr>
        <w:t xml:space="preserve"> </w:t>
      </w:r>
      <w:r w:rsidR="001571BA">
        <w:rPr>
          <w:rFonts w:ascii="Times New Roman" w:hAnsi="Times New Roman" w:cs="Times New Roman"/>
          <w:sz w:val="24"/>
          <w:szCs w:val="24"/>
        </w:rPr>
        <w:t xml:space="preserve"> </w:t>
      </w:r>
      <w:r w:rsidR="00BC7FB4">
        <w:rPr>
          <w:rFonts w:ascii="Times New Roman" w:hAnsi="Times New Roman" w:cs="Times New Roman"/>
          <w:sz w:val="24"/>
          <w:szCs w:val="24"/>
        </w:rPr>
        <w:t xml:space="preserve">Further, these energy markets are also used by the Company to reduce dependence on its own resources during periods of unexpected maintenance or when market prices are lower than its cost to run its own generators. </w:t>
      </w:r>
    </w:p>
    <w:p w14:paraId="5225350A" w14:textId="522567CD" w:rsidR="00BC7FB4" w:rsidRDefault="00BA4CA0" w:rsidP="00B65F58">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BC7FB4">
        <w:rPr>
          <w:rFonts w:ascii="Times New Roman" w:hAnsi="Times New Roman" w:cs="Times New Roman"/>
          <w:sz w:val="24"/>
          <w:szCs w:val="24"/>
        </w:rPr>
        <w:t>The above are just examples of the potential variability the Company could experience in a given period.  The Company’s power cost model takes all of these influences into consideration, but it is just a model.</w:t>
      </w:r>
      <w:r w:rsidR="006B492C">
        <w:rPr>
          <w:rFonts w:ascii="Times New Roman" w:hAnsi="Times New Roman" w:cs="Times New Roman"/>
          <w:sz w:val="24"/>
          <w:szCs w:val="24"/>
        </w:rPr>
        <w:t xml:space="preserve"> </w:t>
      </w:r>
      <w:r w:rsidR="00BC7FB4">
        <w:rPr>
          <w:rFonts w:ascii="Times New Roman" w:hAnsi="Times New Roman" w:cs="Times New Roman"/>
          <w:sz w:val="24"/>
          <w:szCs w:val="24"/>
        </w:rPr>
        <w:t xml:space="preserve"> The actual experience of the Company will determine its actual NPC for the period. </w:t>
      </w:r>
    </w:p>
    <w:p w14:paraId="1E6264E1" w14:textId="2D8BDF21" w:rsidR="00C47E48" w:rsidRDefault="00BA4CA0" w:rsidP="002F3F45">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BC7FB4">
        <w:rPr>
          <w:rFonts w:ascii="Times New Roman" w:hAnsi="Times New Roman" w:cs="Times New Roman"/>
          <w:sz w:val="24"/>
          <w:szCs w:val="24"/>
        </w:rPr>
        <w:t xml:space="preserve">The uncertainty associated with the Company’s actual NPC is why the RRTM should be rejected. </w:t>
      </w:r>
      <w:r w:rsidR="00CA6729">
        <w:rPr>
          <w:rFonts w:ascii="Times New Roman" w:hAnsi="Times New Roman" w:cs="Times New Roman"/>
          <w:sz w:val="24"/>
          <w:szCs w:val="24"/>
        </w:rPr>
        <w:t xml:space="preserve"> Because it only seeks compensation for the variability in available wind generation, it ignores the real possibility that the costs of its other generators may be lower than that expected over the period in question</w:t>
      </w:r>
      <w:r w:rsidR="00C47E48">
        <w:rPr>
          <w:rFonts w:ascii="Times New Roman" w:hAnsi="Times New Roman" w:cs="Times New Roman"/>
          <w:sz w:val="24"/>
          <w:szCs w:val="24"/>
        </w:rPr>
        <w:t xml:space="preserve">. </w:t>
      </w:r>
      <w:r w:rsidR="006B492C">
        <w:rPr>
          <w:rFonts w:ascii="Times New Roman" w:hAnsi="Times New Roman" w:cs="Times New Roman"/>
          <w:sz w:val="24"/>
          <w:szCs w:val="24"/>
        </w:rPr>
        <w:t xml:space="preserve"> </w:t>
      </w:r>
      <w:r w:rsidR="00CA6729">
        <w:rPr>
          <w:rFonts w:ascii="Times New Roman" w:hAnsi="Times New Roman" w:cs="Times New Roman"/>
          <w:sz w:val="24"/>
          <w:szCs w:val="24"/>
        </w:rPr>
        <w:t xml:space="preserve">This is the whole point of resource diversity. </w:t>
      </w:r>
      <w:r w:rsidR="00C47E48">
        <w:rPr>
          <w:rFonts w:ascii="Times New Roman" w:hAnsi="Times New Roman" w:cs="Times New Roman"/>
          <w:sz w:val="24"/>
          <w:szCs w:val="24"/>
        </w:rPr>
        <w:t xml:space="preserve"> </w:t>
      </w:r>
      <w:r w:rsidR="00CA6729">
        <w:rPr>
          <w:rFonts w:ascii="Times New Roman" w:hAnsi="Times New Roman" w:cs="Times New Roman"/>
          <w:sz w:val="24"/>
          <w:szCs w:val="24"/>
        </w:rPr>
        <w:t xml:space="preserve">At any time, certain generators may be out of </w:t>
      </w:r>
      <w:r w:rsidR="00CA6729">
        <w:rPr>
          <w:rFonts w:ascii="Times New Roman" w:hAnsi="Times New Roman" w:cs="Times New Roman"/>
          <w:sz w:val="24"/>
          <w:szCs w:val="24"/>
        </w:rPr>
        <w:lastRenderedPageBreak/>
        <w:t xml:space="preserve">service, out of the market or without water or wind. </w:t>
      </w:r>
      <w:r w:rsidR="006B492C">
        <w:rPr>
          <w:rFonts w:ascii="Times New Roman" w:hAnsi="Times New Roman" w:cs="Times New Roman"/>
          <w:sz w:val="24"/>
          <w:szCs w:val="24"/>
        </w:rPr>
        <w:t xml:space="preserve"> </w:t>
      </w:r>
      <w:r w:rsidR="00876BE7">
        <w:rPr>
          <w:rFonts w:ascii="Times New Roman" w:hAnsi="Times New Roman" w:cs="Times New Roman"/>
          <w:sz w:val="24"/>
          <w:szCs w:val="24"/>
        </w:rPr>
        <w:t>The Company’s resource diversity should usually be sufficient to make up any differences arising from variations, and the Company can go to the market in unusual circumstances for which its resource diversity cannot compensate.</w:t>
      </w:r>
      <w:r w:rsidR="00EB294C">
        <w:rPr>
          <w:rFonts w:ascii="Times New Roman" w:hAnsi="Times New Roman" w:cs="Times New Roman"/>
          <w:sz w:val="24"/>
          <w:szCs w:val="24"/>
        </w:rPr>
        <w:t xml:space="preserve">  A properly designed PCAM considers the net direction of all this movement, not just the movement of a single resource type.</w:t>
      </w:r>
      <w:r w:rsidR="00876BE7">
        <w:rPr>
          <w:rFonts w:ascii="Times New Roman" w:hAnsi="Times New Roman" w:cs="Times New Roman"/>
          <w:sz w:val="24"/>
          <w:szCs w:val="24"/>
        </w:rPr>
        <w:t xml:space="preserve">  </w:t>
      </w:r>
    </w:p>
    <w:p w14:paraId="000872D6" w14:textId="2881A234" w:rsidR="0034089E" w:rsidRDefault="00BA4CA0" w:rsidP="002F3F45">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C47E48">
        <w:rPr>
          <w:rFonts w:ascii="Times New Roman" w:hAnsi="Times New Roman" w:cs="Times New Roman"/>
          <w:sz w:val="24"/>
          <w:szCs w:val="24"/>
        </w:rPr>
        <w:t xml:space="preserve">By segregating wind resources for special cost treatment, the Company ignores the real chance that reduced costs in other areas of its generator portfolio </w:t>
      </w:r>
      <w:r w:rsidR="00876BE7">
        <w:rPr>
          <w:rFonts w:ascii="Times New Roman" w:hAnsi="Times New Roman" w:cs="Times New Roman"/>
          <w:sz w:val="24"/>
          <w:szCs w:val="24"/>
        </w:rPr>
        <w:t>c</w:t>
      </w:r>
      <w:r w:rsidR="00C47E48">
        <w:rPr>
          <w:rFonts w:ascii="Times New Roman" w:hAnsi="Times New Roman" w:cs="Times New Roman"/>
          <w:sz w:val="24"/>
          <w:szCs w:val="24"/>
        </w:rPr>
        <w:t xml:space="preserve">ould </w:t>
      </w:r>
      <w:r w:rsidR="0088450B">
        <w:rPr>
          <w:rFonts w:ascii="Times New Roman" w:hAnsi="Times New Roman" w:cs="Times New Roman"/>
          <w:sz w:val="24"/>
          <w:szCs w:val="24"/>
        </w:rPr>
        <w:t xml:space="preserve">more than </w:t>
      </w:r>
      <w:r w:rsidR="00C47E48">
        <w:rPr>
          <w:rFonts w:ascii="Times New Roman" w:hAnsi="Times New Roman" w:cs="Times New Roman"/>
          <w:sz w:val="24"/>
          <w:szCs w:val="24"/>
        </w:rPr>
        <w:t xml:space="preserve">offset </w:t>
      </w:r>
      <w:r w:rsidR="0088450B">
        <w:rPr>
          <w:rFonts w:ascii="Times New Roman" w:hAnsi="Times New Roman" w:cs="Times New Roman"/>
          <w:sz w:val="24"/>
          <w:szCs w:val="24"/>
        </w:rPr>
        <w:t xml:space="preserve">any difference between the </w:t>
      </w:r>
      <w:r w:rsidR="00C47E48">
        <w:rPr>
          <w:rFonts w:ascii="Times New Roman" w:hAnsi="Times New Roman" w:cs="Times New Roman"/>
          <w:sz w:val="24"/>
          <w:szCs w:val="24"/>
        </w:rPr>
        <w:t>wind energy costs determined by its NPC model</w:t>
      </w:r>
      <w:r w:rsidR="0088450B">
        <w:rPr>
          <w:rFonts w:ascii="Times New Roman" w:hAnsi="Times New Roman" w:cs="Times New Roman"/>
          <w:sz w:val="24"/>
          <w:szCs w:val="24"/>
        </w:rPr>
        <w:t xml:space="preserve"> and in-period actuals</w:t>
      </w:r>
      <w:r w:rsidR="00C47E48">
        <w:rPr>
          <w:rFonts w:ascii="Times New Roman" w:hAnsi="Times New Roman" w:cs="Times New Roman"/>
          <w:sz w:val="24"/>
          <w:szCs w:val="24"/>
        </w:rPr>
        <w:t>.</w:t>
      </w:r>
      <w:r w:rsidR="006B492C">
        <w:rPr>
          <w:rFonts w:ascii="Times New Roman" w:hAnsi="Times New Roman" w:cs="Times New Roman"/>
          <w:sz w:val="24"/>
          <w:szCs w:val="24"/>
        </w:rPr>
        <w:t xml:space="preserve"> </w:t>
      </w:r>
      <w:r w:rsidR="00C47E48">
        <w:rPr>
          <w:rFonts w:ascii="Times New Roman" w:hAnsi="Times New Roman" w:cs="Times New Roman"/>
          <w:sz w:val="24"/>
          <w:szCs w:val="24"/>
        </w:rPr>
        <w:t xml:space="preserve"> </w:t>
      </w:r>
      <w:r w:rsidR="00E76B6F">
        <w:rPr>
          <w:rFonts w:ascii="Times New Roman" w:hAnsi="Times New Roman" w:cs="Times New Roman"/>
          <w:sz w:val="24"/>
          <w:szCs w:val="24"/>
        </w:rPr>
        <w:t xml:space="preserve">Under the </w:t>
      </w:r>
      <w:r w:rsidR="004B5278">
        <w:rPr>
          <w:rFonts w:ascii="Times New Roman" w:hAnsi="Times New Roman" w:cs="Times New Roman"/>
          <w:sz w:val="24"/>
          <w:szCs w:val="24"/>
        </w:rPr>
        <w:t xml:space="preserve">current </w:t>
      </w:r>
      <w:r w:rsidR="00E76B6F">
        <w:rPr>
          <w:rFonts w:ascii="Times New Roman" w:hAnsi="Times New Roman" w:cs="Times New Roman"/>
          <w:sz w:val="24"/>
          <w:szCs w:val="24"/>
        </w:rPr>
        <w:t>regulatory model, Pacific Power is allowed the opportunity to manage its resources to extract efficiencies that reduce its overall NPC.</w:t>
      </w:r>
      <w:r w:rsidR="006B492C">
        <w:rPr>
          <w:rFonts w:ascii="Times New Roman" w:hAnsi="Times New Roman" w:cs="Times New Roman"/>
          <w:sz w:val="24"/>
          <w:szCs w:val="24"/>
        </w:rPr>
        <w:t xml:space="preserve"> </w:t>
      </w:r>
      <w:r w:rsidR="00E76B6F">
        <w:rPr>
          <w:rFonts w:ascii="Times New Roman" w:hAnsi="Times New Roman" w:cs="Times New Roman"/>
          <w:sz w:val="24"/>
          <w:szCs w:val="24"/>
        </w:rPr>
        <w:t xml:space="preserve"> If its overall NPC are lower than modeled, it is allowed to keep the difference. </w:t>
      </w:r>
      <w:r w:rsidR="006B492C">
        <w:rPr>
          <w:rFonts w:ascii="Times New Roman" w:hAnsi="Times New Roman" w:cs="Times New Roman"/>
          <w:sz w:val="24"/>
          <w:szCs w:val="24"/>
        </w:rPr>
        <w:t xml:space="preserve"> </w:t>
      </w:r>
      <w:r w:rsidR="00230CD7">
        <w:rPr>
          <w:rFonts w:ascii="Times New Roman" w:hAnsi="Times New Roman" w:cs="Times New Roman"/>
          <w:sz w:val="24"/>
          <w:szCs w:val="24"/>
        </w:rPr>
        <w:t>Further, power costs tend to fluctuate up and down from year to year.</w:t>
      </w:r>
      <w:r w:rsidR="006B492C">
        <w:rPr>
          <w:rFonts w:ascii="Times New Roman" w:hAnsi="Times New Roman" w:cs="Times New Roman"/>
          <w:sz w:val="24"/>
          <w:szCs w:val="24"/>
        </w:rPr>
        <w:t xml:space="preserve"> </w:t>
      </w:r>
      <w:r w:rsidR="00230CD7">
        <w:rPr>
          <w:rFonts w:ascii="Times New Roman" w:hAnsi="Times New Roman" w:cs="Times New Roman"/>
          <w:sz w:val="24"/>
          <w:szCs w:val="24"/>
        </w:rPr>
        <w:t xml:space="preserve"> If the Company believes it is not allowed to recover higher</w:t>
      </w:r>
      <w:r w:rsidR="00B65F58">
        <w:rPr>
          <w:rFonts w:ascii="Times New Roman" w:hAnsi="Times New Roman" w:cs="Times New Roman"/>
          <w:sz w:val="24"/>
          <w:szCs w:val="24"/>
        </w:rPr>
        <w:t>-</w:t>
      </w:r>
      <w:r w:rsidR="00230CD7">
        <w:rPr>
          <w:rFonts w:ascii="Times New Roman" w:hAnsi="Times New Roman" w:cs="Times New Roman"/>
          <w:sz w:val="24"/>
          <w:szCs w:val="24"/>
        </w:rPr>
        <w:t>than</w:t>
      </w:r>
      <w:r w:rsidR="00B65F58">
        <w:rPr>
          <w:rFonts w:ascii="Times New Roman" w:hAnsi="Times New Roman" w:cs="Times New Roman"/>
          <w:sz w:val="24"/>
          <w:szCs w:val="24"/>
        </w:rPr>
        <w:t>-</w:t>
      </w:r>
      <w:r w:rsidR="00230CD7">
        <w:rPr>
          <w:rFonts w:ascii="Times New Roman" w:hAnsi="Times New Roman" w:cs="Times New Roman"/>
          <w:sz w:val="24"/>
          <w:szCs w:val="24"/>
        </w:rPr>
        <w:t xml:space="preserve">modeled power costs over time, then it needs to review its decision to reject a PCAM consistent with </w:t>
      </w:r>
      <w:r w:rsidR="00AB6CE9">
        <w:rPr>
          <w:rFonts w:ascii="Times New Roman" w:hAnsi="Times New Roman" w:cs="Times New Roman"/>
          <w:sz w:val="24"/>
          <w:szCs w:val="24"/>
        </w:rPr>
        <w:t xml:space="preserve">those approved by the </w:t>
      </w:r>
      <w:r w:rsidR="00230CD7">
        <w:rPr>
          <w:rFonts w:ascii="Times New Roman" w:hAnsi="Times New Roman" w:cs="Times New Roman"/>
          <w:sz w:val="24"/>
          <w:szCs w:val="24"/>
        </w:rPr>
        <w:t>Commission</w:t>
      </w:r>
      <w:r w:rsidR="00AB6CE9">
        <w:rPr>
          <w:rFonts w:ascii="Times New Roman" w:hAnsi="Times New Roman" w:cs="Times New Roman"/>
          <w:sz w:val="24"/>
          <w:szCs w:val="24"/>
        </w:rPr>
        <w:t xml:space="preserve">. </w:t>
      </w:r>
      <w:r w:rsidR="00230CD7">
        <w:rPr>
          <w:rFonts w:ascii="Times New Roman" w:hAnsi="Times New Roman" w:cs="Times New Roman"/>
          <w:sz w:val="24"/>
          <w:szCs w:val="24"/>
        </w:rPr>
        <w:t xml:space="preserve"> </w:t>
      </w:r>
      <w:r w:rsidR="007A7EFA">
        <w:rPr>
          <w:rFonts w:ascii="Times New Roman" w:hAnsi="Times New Roman" w:cs="Times New Roman"/>
          <w:sz w:val="24"/>
          <w:szCs w:val="24"/>
        </w:rPr>
        <w:t xml:space="preserve">A </w:t>
      </w:r>
      <w:r w:rsidR="00AB6CE9">
        <w:rPr>
          <w:rFonts w:ascii="Times New Roman" w:hAnsi="Times New Roman" w:cs="Times New Roman"/>
          <w:sz w:val="24"/>
          <w:szCs w:val="24"/>
        </w:rPr>
        <w:t>PCAM would most effectively deal with its overall NPC.</w:t>
      </w:r>
      <w:r w:rsidR="006B492C">
        <w:rPr>
          <w:rFonts w:ascii="Times New Roman" w:hAnsi="Times New Roman" w:cs="Times New Roman"/>
          <w:sz w:val="24"/>
          <w:szCs w:val="24"/>
        </w:rPr>
        <w:t xml:space="preserve"> </w:t>
      </w:r>
      <w:r w:rsidR="00AB6CE9">
        <w:rPr>
          <w:rFonts w:ascii="Times New Roman" w:hAnsi="Times New Roman" w:cs="Times New Roman"/>
          <w:sz w:val="24"/>
          <w:szCs w:val="24"/>
        </w:rPr>
        <w:t xml:space="preserve"> </w:t>
      </w:r>
      <w:r w:rsidR="007A7EFA">
        <w:rPr>
          <w:rFonts w:ascii="Times New Roman" w:hAnsi="Times New Roman" w:cs="Times New Roman"/>
          <w:sz w:val="24"/>
          <w:szCs w:val="24"/>
        </w:rPr>
        <w:t xml:space="preserve">Singling out wind resources for special treatment </w:t>
      </w:r>
      <w:r w:rsidR="0034089E">
        <w:rPr>
          <w:rFonts w:ascii="Times New Roman" w:hAnsi="Times New Roman" w:cs="Times New Roman"/>
          <w:sz w:val="24"/>
          <w:szCs w:val="24"/>
        </w:rPr>
        <w:t xml:space="preserve">via the RRTM ignores the real issue </w:t>
      </w:r>
      <w:r w:rsidR="00B65F58">
        <w:rPr>
          <w:rFonts w:ascii="Times New Roman" w:hAnsi="Times New Roman" w:cs="Times New Roman"/>
          <w:sz w:val="24"/>
          <w:szCs w:val="24"/>
        </w:rPr>
        <w:t>–</w:t>
      </w:r>
      <w:r w:rsidR="0034089E">
        <w:rPr>
          <w:rFonts w:ascii="Times New Roman" w:hAnsi="Times New Roman" w:cs="Times New Roman"/>
          <w:sz w:val="24"/>
          <w:szCs w:val="24"/>
        </w:rPr>
        <w:t xml:space="preserve"> t</w:t>
      </w:r>
      <w:r w:rsidR="007A7EFA">
        <w:rPr>
          <w:rFonts w:ascii="Times New Roman" w:hAnsi="Times New Roman" w:cs="Times New Roman"/>
          <w:sz w:val="24"/>
          <w:szCs w:val="24"/>
        </w:rPr>
        <w:t xml:space="preserve">he Company’s </w:t>
      </w:r>
      <w:r w:rsidR="0034089E">
        <w:rPr>
          <w:rFonts w:ascii="Times New Roman" w:hAnsi="Times New Roman" w:cs="Times New Roman"/>
          <w:sz w:val="24"/>
          <w:szCs w:val="24"/>
        </w:rPr>
        <w:t xml:space="preserve">overall NPC. </w:t>
      </w:r>
    </w:p>
    <w:p w14:paraId="77E8B7FD" w14:textId="137B5568" w:rsidR="00AD54A8" w:rsidRDefault="00BA4CA0" w:rsidP="002F3F45">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34089E">
        <w:rPr>
          <w:rFonts w:ascii="Times New Roman" w:hAnsi="Times New Roman" w:cs="Times New Roman"/>
          <w:sz w:val="24"/>
          <w:szCs w:val="24"/>
        </w:rPr>
        <w:t xml:space="preserve">The result that I advocate here is consistent with prior Commission orders, as set forth earlier in my testimony. </w:t>
      </w:r>
      <w:r w:rsidR="006B492C">
        <w:rPr>
          <w:rFonts w:ascii="Times New Roman" w:hAnsi="Times New Roman" w:cs="Times New Roman"/>
          <w:sz w:val="24"/>
          <w:szCs w:val="24"/>
        </w:rPr>
        <w:t xml:space="preserve"> </w:t>
      </w:r>
      <w:r w:rsidR="00C1299A">
        <w:rPr>
          <w:rFonts w:ascii="Times New Roman" w:hAnsi="Times New Roman" w:cs="Times New Roman"/>
          <w:sz w:val="24"/>
          <w:szCs w:val="24"/>
        </w:rPr>
        <w:t xml:space="preserve">Similar </w:t>
      </w:r>
      <w:proofErr w:type="gramStart"/>
      <w:r w:rsidR="00C1299A">
        <w:rPr>
          <w:rFonts w:ascii="Times New Roman" w:hAnsi="Times New Roman" w:cs="Times New Roman"/>
          <w:sz w:val="24"/>
          <w:szCs w:val="24"/>
        </w:rPr>
        <w:t>mechanisms  approved</w:t>
      </w:r>
      <w:proofErr w:type="gramEnd"/>
      <w:r w:rsidR="00C1299A">
        <w:rPr>
          <w:rFonts w:ascii="Times New Roman" w:hAnsi="Times New Roman" w:cs="Times New Roman"/>
          <w:sz w:val="24"/>
          <w:szCs w:val="24"/>
        </w:rPr>
        <w:t xml:space="preserve"> for Washington’s other investor-owned utilities have incorporated </w:t>
      </w:r>
      <w:r w:rsidR="009C6617">
        <w:rPr>
          <w:rFonts w:ascii="Times New Roman" w:hAnsi="Times New Roman" w:cs="Times New Roman"/>
          <w:sz w:val="24"/>
          <w:szCs w:val="24"/>
        </w:rPr>
        <w:t xml:space="preserve"> all of the factors affecting those companies</w:t>
      </w:r>
      <w:r w:rsidR="00200444">
        <w:rPr>
          <w:rFonts w:ascii="Times New Roman" w:hAnsi="Times New Roman" w:cs="Times New Roman"/>
          <w:sz w:val="24"/>
          <w:szCs w:val="24"/>
        </w:rPr>
        <w:t>’ NPC</w:t>
      </w:r>
      <w:r w:rsidR="009C6617">
        <w:rPr>
          <w:rFonts w:ascii="Times New Roman" w:hAnsi="Times New Roman" w:cs="Times New Roman"/>
          <w:sz w:val="24"/>
          <w:szCs w:val="24"/>
        </w:rPr>
        <w:t>, with a few minor exceptions.</w:t>
      </w:r>
      <w:r w:rsidR="00C1299A">
        <w:rPr>
          <w:rStyle w:val="FootnoteReference"/>
          <w:rFonts w:ascii="Times New Roman" w:hAnsi="Times New Roman" w:cs="Times New Roman"/>
          <w:sz w:val="24"/>
          <w:szCs w:val="24"/>
        </w:rPr>
        <w:footnoteReference w:id="12"/>
      </w:r>
      <w:r w:rsidR="009C6617">
        <w:rPr>
          <w:rFonts w:ascii="Times New Roman" w:hAnsi="Times New Roman" w:cs="Times New Roman"/>
          <w:sz w:val="24"/>
          <w:szCs w:val="24"/>
        </w:rPr>
        <w:t xml:space="preserve">  </w:t>
      </w:r>
    </w:p>
    <w:p w14:paraId="690D0907" w14:textId="5CE74544" w:rsidR="00664207" w:rsidRDefault="00BA4CA0" w:rsidP="002F3F45">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AD54A8">
        <w:rPr>
          <w:rFonts w:ascii="Times New Roman" w:hAnsi="Times New Roman" w:cs="Times New Roman"/>
          <w:sz w:val="24"/>
          <w:szCs w:val="24"/>
        </w:rPr>
        <w:t>In conclusion</w:t>
      </w:r>
      <w:proofErr w:type="gramStart"/>
      <w:r w:rsidR="00AD54A8">
        <w:rPr>
          <w:rFonts w:ascii="Times New Roman" w:hAnsi="Times New Roman" w:cs="Times New Roman"/>
          <w:sz w:val="24"/>
          <w:szCs w:val="24"/>
        </w:rPr>
        <w:t>,  the</w:t>
      </w:r>
      <w:proofErr w:type="gramEnd"/>
      <w:r w:rsidR="00AD54A8">
        <w:rPr>
          <w:rFonts w:ascii="Times New Roman" w:hAnsi="Times New Roman" w:cs="Times New Roman"/>
          <w:sz w:val="24"/>
          <w:szCs w:val="24"/>
        </w:rPr>
        <w:t xml:space="preserve"> RRTM is an </w:t>
      </w:r>
      <w:r w:rsidR="009C6617">
        <w:rPr>
          <w:rFonts w:ascii="Times New Roman" w:hAnsi="Times New Roman" w:cs="Times New Roman"/>
          <w:sz w:val="24"/>
          <w:szCs w:val="24"/>
        </w:rPr>
        <w:t xml:space="preserve">adjustment mechanism </w:t>
      </w:r>
      <w:r w:rsidR="00AD54A8">
        <w:rPr>
          <w:rFonts w:ascii="Times New Roman" w:hAnsi="Times New Roman" w:cs="Times New Roman"/>
          <w:sz w:val="24"/>
          <w:szCs w:val="24"/>
        </w:rPr>
        <w:t xml:space="preserve">designed to address </w:t>
      </w:r>
      <w:r w:rsidR="009C6617">
        <w:rPr>
          <w:rFonts w:ascii="Times New Roman" w:hAnsi="Times New Roman" w:cs="Times New Roman"/>
          <w:sz w:val="24"/>
          <w:szCs w:val="24"/>
        </w:rPr>
        <w:t xml:space="preserve">a single factor of </w:t>
      </w:r>
      <w:r w:rsidR="00AD54A8">
        <w:rPr>
          <w:rFonts w:ascii="Times New Roman" w:hAnsi="Times New Roman" w:cs="Times New Roman"/>
          <w:sz w:val="24"/>
          <w:szCs w:val="24"/>
        </w:rPr>
        <w:t>the</w:t>
      </w:r>
      <w:r w:rsidR="009C6617">
        <w:rPr>
          <w:rFonts w:ascii="Times New Roman" w:hAnsi="Times New Roman" w:cs="Times New Roman"/>
          <w:sz w:val="24"/>
          <w:szCs w:val="24"/>
        </w:rPr>
        <w:t xml:space="preserve"> utility’s NPC</w:t>
      </w:r>
      <w:r w:rsidR="00AD54A8">
        <w:rPr>
          <w:rFonts w:ascii="Times New Roman" w:hAnsi="Times New Roman" w:cs="Times New Roman"/>
          <w:sz w:val="24"/>
          <w:szCs w:val="24"/>
        </w:rPr>
        <w:t xml:space="preserve">. </w:t>
      </w:r>
      <w:r w:rsidR="006B492C">
        <w:rPr>
          <w:rFonts w:ascii="Times New Roman" w:hAnsi="Times New Roman" w:cs="Times New Roman"/>
          <w:sz w:val="24"/>
          <w:szCs w:val="24"/>
        </w:rPr>
        <w:t xml:space="preserve"> </w:t>
      </w:r>
      <w:r w:rsidR="00AD54A8">
        <w:rPr>
          <w:rFonts w:ascii="Times New Roman" w:hAnsi="Times New Roman" w:cs="Times New Roman"/>
          <w:sz w:val="24"/>
          <w:szCs w:val="24"/>
        </w:rPr>
        <w:t xml:space="preserve">As such, the </w:t>
      </w:r>
      <w:proofErr w:type="gramStart"/>
      <w:r w:rsidR="00AD54A8">
        <w:rPr>
          <w:rFonts w:ascii="Times New Roman" w:hAnsi="Times New Roman" w:cs="Times New Roman"/>
          <w:sz w:val="24"/>
          <w:szCs w:val="24"/>
        </w:rPr>
        <w:t xml:space="preserve">RRTM </w:t>
      </w:r>
      <w:r w:rsidR="009C6617">
        <w:rPr>
          <w:rFonts w:ascii="Times New Roman" w:hAnsi="Times New Roman" w:cs="Times New Roman"/>
          <w:sz w:val="24"/>
          <w:szCs w:val="24"/>
        </w:rPr>
        <w:t xml:space="preserve"> does</w:t>
      </w:r>
      <w:proofErr w:type="gramEnd"/>
      <w:r w:rsidR="009C6617">
        <w:rPr>
          <w:rFonts w:ascii="Times New Roman" w:hAnsi="Times New Roman" w:cs="Times New Roman"/>
          <w:sz w:val="24"/>
          <w:szCs w:val="24"/>
        </w:rPr>
        <w:t xml:space="preserve"> not comply with Commission precedent </w:t>
      </w:r>
      <w:r w:rsidR="00CB7CB3">
        <w:rPr>
          <w:rFonts w:ascii="Times New Roman" w:hAnsi="Times New Roman" w:cs="Times New Roman"/>
          <w:sz w:val="24"/>
          <w:szCs w:val="24"/>
        </w:rPr>
        <w:t xml:space="preserve">and </w:t>
      </w:r>
      <w:r w:rsidR="009C6617">
        <w:rPr>
          <w:rFonts w:ascii="Times New Roman" w:hAnsi="Times New Roman" w:cs="Times New Roman"/>
          <w:sz w:val="24"/>
          <w:szCs w:val="24"/>
        </w:rPr>
        <w:t xml:space="preserve">is unlikely to resolve the </w:t>
      </w:r>
      <w:r w:rsidR="00200444">
        <w:rPr>
          <w:rFonts w:ascii="Times New Roman" w:hAnsi="Times New Roman" w:cs="Times New Roman"/>
          <w:sz w:val="24"/>
          <w:szCs w:val="24"/>
        </w:rPr>
        <w:t>issue</w:t>
      </w:r>
      <w:r w:rsidR="009C6617">
        <w:rPr>
          <w:rFonts w:ascii="Times New Roman" w:hAnsi="Times New Roman" w:cs="Times New Roman"/>
          <w:sz w:val="24"/>
          <w:szCs w:val="24"/>
        </w:rPr>
        <w:t xml:space="preserve"> it is meant to address</w:t>
      </w:r>
      <w:r w:rsidR="00CB7CB3">
        <w:rPr>
          <w:rFonts w:ascii="Times New Roman" w:hAnsi="Times New Roman" w:cs="Times New Roman"/>
          <w:sz w:val="24"/>
          <w:szCs w:val="24"/>
        </w:rPr>
        <w:t xml:space="preserve">. </w:t>
      </w:r>
      <w:r w:rsidR="009C6617">
        <w:rPr>
          <w:rFonts w:ascii="Times New Roman" w:hAnsi="Times New Roman" w:cs="Times New Roman"/>
          <w:sz w:val="24"/>
          <w:szCs w:val="24"/>
        </w:rPr>
        <w:t xml:space="preserve"> </w:t>
      </w:r>
      <w:r w:rsidR="003A2B91">
        <w:rPr>
          <w:rFonts w:ascii="Times New Roman" w:hAnsi="Times New Roman" w:cs="Times New Roman"/>
          <w:sz w:val="24"/>
          <w:szCs w:val="24"/>
        </w:rPr>
        <w:t>For th</w:t>
      </w:r>
      <w:r w:rsidR="00CB7CB3">
        <w:rPr>
          <w:rFonts w:ascii="Times New Roman" w:hAnsi="Times New Roman" w:cs="Times New Roman"/>
          <w:sz w:val="24"/>
          <w:szCs w:val="24"/>
        </w:rPr>
        <w:t>e</w:t>
      </w:r>
      <w:r w:rsidR="003A2B91">
        <w:rPr>
          <w:rFonts w:ascii="Times New Roman" w:hAnsi="Times New Roman" w:cs="Times New Roman"/>
          <w:sz w:val="24"/>
          <w:szCs w:val="24"/>
        </w:rPr>
        <w:t xml:space="preserve">se reasons, </w:t>
      </w:r>
      <w:r w:rsidR="00EB294C">
        <w:rPr>
          <w:rFonts w:ascii="Times New Roman" w:hAnsi="Times New Roman" w:cs="Times New Roman"/>
          <w:sz w:val="24"/>
          <w:szCs w:val="24"/>
        </w:rPr>
        <w:t xml:space="preserve">Staff </w:t>
      </w:r>
      <w:r w:rsidR="003A2B91">
        <w:rPr>
          <w:rFonts w:ascii="Times New Roman" w:hAnsi="Times New Roman" w:cs="Times New Roman"/>
          <w:sz w:val="24"/>
          <w:szCs w:val="24"/>
        </w:rPr>
        <w:t>recommend</w:t>
      </w:r>
      <w:r w:rsidR="00EB294C">
        <w:rPr>
          <w:rFonts w:ascii="Times New Roman" w:hAnsi="Times New Roman" w:cs="Times New Roman"/>
          <w:sz w:val="24"/>
          <w:szCs w:val="24"/>
        </w:rPr>
        <w:t>s</w:t>
      </w:r>
      <w:r w:rsidR="003A2B91">
        <w:rPr>
          <w:rFonts w:ascii="Times New Roman" w:hAnsi="Times New Roman" w:cs="Times New Roman"/>
          <w:sz w:val="24"/>
          <w:szCs w:val="24"/>
        </w:rPr>
        <w:t xml:space="preserve"> that the Commission reject the RRTM.</w:t>
      </w:r>
      <w:r w:rsidR="00897454">
        <w:rPr>
          <w:rFonts w:ascii="Times New Roman" w:hAnsi="Times New Roman" w:cs="Times New Roman"/>
          <w:sz w:val="24"/>
          <w:szCs w:val="24"/>
        </w:rPr>
        <w:t xml:space="preserve">  However, Staff does address the variability in Pacific’s total generation portfolio by proposing a comprehensive PCAM.  Staff witness David Gomez explains staff’s proposal in Exhibit No. </w:t>
      </w:r>
      <w:proofErr w:type="gramStart"/>
      <w:r w:rsidR="00897454">
        <w:rPr>
          <w:rFonts w:ascii="Times New Roman" w:hAnsi="Times New Roman" w:cs="Times New Roman"/>
          <w:sz w:val="24"/>
          <w:szCs w:val="24"/>
        </w:rPr>
        <w:t>___ (DCG-1T)</w:t>
      </w:r>
      <w:r w:rsidR="00E028CA">
        <w:rPr>
          <w:rFonts w:ascii="Times New Roman" w:hAnsi="Times New Roman" w:cs="Times New Roman"/>
          <w:sz w:val="24"/>
          <w:szCs w:val="24"/>
        </w:rPr>
        <w:t xml:space="preserve"> at pages 19-25</w:t>
      </w:r>
      <w:r w:rsidR="00897454">
        <w:rPr>
          <w:rFonts w:ascii="Times New Roman" w:hAnsi="Times New Roman" w:cs="Times New Roman"/>
          <w:sz w:val="24"/>
          <w:szCs w:val="24"/>
        </w:rPr>
        <w:t>.</w:t>
      </w:r>
      <w:proofErr w:type="gramEnd"/>
    </w:p>
    <w:p w14:paraId="690D0910" w14:textId="6D3CCC6F" w:rsidR="00C77494" w:rsidRDefault="00C77494" w:rsidP="00DE4474">
      <w:pPr>
        <w:spacing w:line="480" w:lineRule="auto"/>
        <w:ind w:left="720" w:hanging="720"/>
        <w:contextualSpacing/>
        <w:rPr>
          <w:rFonts w:ascii="Times New Roman" w:hAnsi="Times New Roman" w:cs="Times New Roman"/>
          <w:sz w:val="24"/>
          <w:szCs w:val="24"/>
        </w:rPr>
      </w:pPr>
    </w:p>
    <w:p w14:paraId="690D0911" w14:textId="3A403680" w:rsidR="00894354" w:rsidRDefault="00894354" w:rsidP="00B32F93">
      <w:pPr>
        <w:spacing w:line="480" w:lineRule="auto"/>
        <w:contextualSpacing/>
        <w:jc w:val="center"/>
        <w:rPr>
          <w:rFonts w:ascii="Times New Roman" w:hAnsi="Times New Roman" w:cs="Times New Roman"/>
          <w:b/>
          <w:sz w:val="24"/>
          <w:szCs w:val="24"/>
        </w:rPr>
      </w:pPr>
      <w:r w:rsidRPr="00DE4474">
        <w:rPr>
          <w:rFonts w:ascii="Times New Roman" w:hAnsi="Times New Roman" w:cs="Times New Roman"/>
          <w:b/>
          <w:sz w:val="24"/>
          <w:szCs w:val="24"/>
        </w:rPr>
        <w:t>I</w:t>
      </w:r>
      <w:r>
        <w:rPr>
          <w:rFonts w:ascii="Times New Roman" w:hAnsi="Times New Roman" w:cs="Times New Roman"/>
          <w:b/>
          <w:sz w:val="24"/>
          <w:szCs w:val="24"/>
        </w:rPr>
        <w:t>V.</w:t>
      </w:r>
      <w:r>
        <w:rPr>
          <w:rFonts w:ascii="Times New Roman" w:hAnsi="Times New Roman" w:cs="Times New Roman"/>
          <w:b/>
          <w:sz w:val="24"/>
          <w:szCs w:val="24"/>
        </w:rPr>
        <w:tab/>
        <w:t>COST OF SERVICE</w:t>
      </w:r>
    </w:p>
    <w:p w14:paraId="690D0912" w14:textId="77777777" w:rsidR="004938B5" w:rsidRDefault="004938B5" w:rsidP="002A28A9">
      <w:pPr>
        <w:spacing w:line="480" w:lineRule="auto"/>
        <w:ind w:left="720" w:hanging="720"/>
        <w:contextualSpacing/>
        <w:rPr>
          <w:rFonts w:ascii="Times New Roman" w:hAnsi="Times New Roman" w:cs="Times New Roman"/>
          <w:b/>
          <w:sz w:val="24"/>
          <w:szCs w:val="24"/>
        </w:rPr>
      </w:pPr>
    </w:p>
    <w:p w14:paraId="690D0913" w14:textId="4ED65145" w:rsidR="00736B48" w:rsidRPr="00293F51" w:rsidRDefault="00736B48"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t>You previously mentioned that Pacifi</w:t>
      </w:r>
      <w:r w:rsidR="0001248F">
        <w:rPr>
          <w:rFonts w:ascii="Times New Roman" w:hAnsi="Times New Roman" w:cs="Times New Roman"/>
          <w:b/>
          <w:sz w:val="24"/>
          <w:szCs w:val="24"/>
        </w:rPr>
        <w:t>c Power</w:t>
      </w:r>
      <w:r w:rsidR="004B5278">
        <w:rPr>
          <w:rFonts w:ascii="Times New Roman" w:hAnsi="Times New Roman" w:cs="Times New Roman"/>
          <w:b/>
          <w:sz w:val="24"/>
          <w:szCs w:val="24"/>
        </w:rPr>
        <w:t>’s cost-of-</w:t>
      </w:r>
      <w:r w:rsidRPr="00293F51">
        <w:rPr>
          <w:rFonts w:ascii="Times New Roman" w:hAnsi="Times New Roman" w:cs="Times New Roman"/>
          <w:b/>
          <w:sz w:val="24"/>
          <w:szCs w:val="24"/>
        </w:rPr>
        <w:t>service study addressed three recommendations made by Staff in the previous general rate case</w:t>
      </w:r>
      <w:r w:rsidR="0001248F">
        <w:rPr>
          <w:rFonts w:ascii="Times New Roman" w:hAnsi="Times New Roman" w:cs="Times New Roman"/>
          <w:b/>
          <w:sz w:val="24"/>
          <w:szCs w:val="24"/>
        </w:rPr>
        <w:t xml:space="preserve">.  </w:t>
      </w:r>
      <w:r w:rsidR="0080648C">
        <w:rPr>
          <w:rFonts w:ascii="Times New Roman" w:hAnsi="Times New Roman" w:cs="Times New Roman"/>
          <w:b/>
          <w:sz w:val="24"/>
          <w:szCs w:val="24"/>
        </w:rPr>
        <w:t>What was Staff’s</w:t>
      </w:r>
      <w:r w:rsidRPr="00293F51">
        <w:rPr>
          <w:rFonts w:ascii="Times New Roman" w:hAnsi="Times New Roman" w:cs="Times New Roman"/>
          <w:b/>
          <w:sz w:val="24"/>
          <w:szCs w:val="24"/>
        </w:rPr>
        <w:t xml:space="preserve"> first recommendation</w:t>
      </w:r>
      <w:r w:rsidR="0080648C">
        <w:rPr>
          <w:rFonts w:ascii="Times New Roman" w:hAnsi="Times New Roman" w:cs="Times New Roman"/>
          <w:b/>
          <w:sz w:val="24"/>
          <w:szCs w:val="24"/>
        </w:rPr>
        <w:t>?</w:t>
      </w:r>
      <w:r w:rsidR="0001248F">
        <w:rPr>
          <w:rFonts w:ascii="Times New Roman" w:hAnsi="Times New Roman" w:cs="Times New Roman"/>
          <w:b/>
          <w:sz w:val="24"/>
          <w:szCs w:val="24"/>
        </w:rPr>
        <w:t xml:space="preserve">  </w:t>
      </w:r>
    </w:p>
    <w:p w14:paraId="690D0914" w14:textId="7A4FAC5D" w:rsidR="00736B48" w:rsidRDefault="002F0F94"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sidR="0001248F">
        <w:rPr>
          <w:rFonts w:ascii="Times New Roman" w:hAnsi="Times New Roman" w:cs="Times New Roman"/>
          <w:sz w:val="24"/>
          <w:szCs w:val="24"/>
        </w:rPr>
        <w:t xml:space="preserve">.  </w:t>
      </w:r>
      <w:r w:rsidRPr="00293F51">
        <w:rPr>
          <w:rFonts w:ascii="Times New Roman" w:hAnsi="Times New Roman" w:cs="Times New Roman"/>
          <w:sz w:val="24"/>
          <w:szCs w:val="24"/>
        </w:rPr>
        <w:tab/>
        <w:t>Staff recommended that the C</w:t>
      </w:r>
      <w:r w:rsidR="00736B48" w:rsidRPr="00293F51">
        <w:rPr>
          <w:rFonts w:ascii="Times New Roman" w:hAnsi="Times New Roman" w:cs="Times New Roman"/>
          <w:sz w:val="24"/>
          <w:szCs w:val="24"/>
        </w:rPr>
        <w:t>ompany replace the system diversified load factor (SDLF) methodology that it developed to classify costs as demand-related or energy-related with a methodology that would classify costs by the top 100 winter hours and top 100 summer hours of system demand (200 CP method).</w:t>
      </w:r>
    </w:p>
    <w:p w14:paraId="690D0915" w14:textId="77777777" w:rsidR="002A28A9" w:rsidRPr="00293F51" w:rsidRDefault="002A28A9" w:rsidP="002A28A9">
      <w:pPr>
        <w:spacing w:line="480" w:lineRule="auto"/>
        <w:ind w:left="720" w:hanging="720"/>
        <w:contextualSpacing/>
        <w:rPr>
          <w:rFonts w:ascii="Times New Roman" w:hAnsi="Times New Roman" w:cs="Times New Roman"/>
          <w:sz w:val="24"/>
          <w:szCs w:val="24"/>
        </w:rPr>
      </w:pPr>
    </w:p>
    <w:p w14:paraId="690D0916" w14:textId="71A57A37" w:rsidR="00736B48" w:rsidRPr="00293F51" w:rsidRDefault="00736B48"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sidR="003A2B91">
        <w:rPr>
          <w:rFonts w:ascii="Times New Roman" w:hAnsi="Times New Roman" w:cs="Times New Roman"/>
          <w:b/>
          <w:sz w:val="24"/>
          <w:szCs w:val="24"/>
        </w:rPr>
        <w:t>What was</w:t>
      </w:r>
      <w:r w:rsidRPr="00293F51">
        <w:rPr>
          <w:rFonts w:ascii="Times New Roman" w:hAnsi="Times New Roman" w:cs="Times New Roman"/>
          <w:b/>
          <w:sz w:val="24"/>
          <w:szCs w:val="24"/>
        </w:rPr>
        <w:t xml:space="preserve"> the Company’s response to this recommendation</w:t>
      </w:r>
      <w:r w:rsidR="003A2B91">
        <w:rPr>
          <w:rFonts w:ascii="Times New Roman" w:hAnsi="Times New Roman" w:cs="Times New Roman"/>
          <w:b/>
          <w:sz w:val="24"/>
          <w:szCs w:val="24"/>
        </w:rPr>
        <w:t>?</w:t>
      </w:r>
    </w:p>
    <w:p w14:paraId="690D0917" w14:textId="130D0903" w:rsidR="003F58F9" w:rsidRDefault="00736B48"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sidR="0001248F">
        <w:rPr>
          <w:rFonts w:ascii="Times New Roman" w:hAnsi="Times New Roman" w:cs="Times New Roman"/>
          <w:sz w:val="24"/>
          <w:szCs w:val="24"/>
        </w:rPr>
        <w:t xml:space="preserve">.  </w:t>
      </w:r>
      <w:r w:rsidRPr="00293F51">
        <w:rPr>
          <w:rFonts w:ascii="Times New Roman" w:hAnsi="Times New Roman" w:cs="Times New Roman"/>
          <w:sz w:val="24"/>
          <w:szCs w:val="24"/>
        </w:rPr>
        <w:tab/>
      </w:r>
      <w:r w:rsidR="0001248F">
        <w:rPr>
          <w:rFonts w:ascii="Times New Roman" w:hAnsi="Times New Roman" w:cs="Times New Roman"/>
          <w:sz w:val="24"/>
          <w:szCs w:val="24"/>
        </w:rPr>
        <w:t>Pacific Power</w:t>
      </w:r>
      <w:r w:rsidRPr="00293F51">
        <w:rPr>
          <w:rFonts w:ascii="Times New Roman" w:hAnsi="Times New Roman" w:cs="Times New Roman"/>
          <w:sz w:val="24"/>
          <w:szCs w:val="24"/>
        </w:rPr>
        <w:t xml:space="preserve"> states that using a 200 CP approach to classify costs would </w:t>
      </w:r>
      <w:r w:rsidR="003F58F9" w:rsidRPr="00293F51">
        <w:rPr>
          <w:rFonts w:ascii="Times New Roman" w:hAnsi="Times New Roman" w:cs="Times New Roman"/>
          <w:sz w:val="24"/>
          <w:szCs w:val="24"/>
        </w:rPr>
        <w:t>be inappropriate, as it would diminish the impact of low-load factor customers on the system</w:t>
      </w:r>
      <w:r w:rsidR="0001248F">
        <w:rPr>
          <w:rFonts w:ascii="Times New Roman" w:hAnsi="Times New Roman" w:cs="Times New Roman"/>
          <w:sz w:val="24"/>
          <w:szCs w:val="24"/>
        </w:rPr>
        <w:t xml:space="preserve">.  </w:t>
      </w:r>
      <w:r w:rsidR="003F58F9" w:rsidRPr="00293F51">
        <w:rPr>
          <w:rFonts w:ascii="Times New Roman" w:hAnsi="Times New Roman" w:cs="Times New Roman"/>
          <w:sz w:val="24"/>
          <w:szCs w:val="24"/>
        </w:rPr>
        <w:t xml:space="preserve">Low load-factor customers are those whose peak usage is significantly </w:t>
      </w:r>
      <w:r w:rsidR="003F58F9" w:rsidRPr="00293F51">
        <w:rPr>
          <w:rFonts w:ascii="Times New Roman" w:hAnsi="Times New Roman" w:cs="Times New Roman"/>
          <w:sz w:val="24"/>
          <w:szCs w:val="24"/>
        </w:rPr>
        <w:lastRenderedPageBreak/>
        <w:t>higher than their average usage; the Company states that using a 200 CP approach to classify its demand costs “is not representative of the system requirements necessary to meet peak demand.”</w:t>
      </w:r>
      <w:r w:rsidR="003F58F9" w:rsidRPr="00293F51">
        <w:rPr>
          <w:rStyle w:val="FootnoteReference"/>
          <w:rFonts w:ascii="Times New Roman" w:hAnsi="Times New Roman" w:cs="Times New Roman"/>
          <w:sz w:val="24"/>
          <w:szCs w:val="24"/>
        </w:rPr>
        <w:footnoteReference w:id="13"/>
      </w:r>
      <w:r w:rsidR="002F0F94" w:rsidRPr="00293F51">
        <w:rPr>
          <w:rFonts w:ascii="Times New Roman" w:hAnsi="Times New Roman" w:cs="Times New Roman"/>
          <w:sz w:val="24"/>
          <w:szCs w:val="24"/>
        </w:rPr>
        <w:t xml:space="preserve"> </w:t>
      </w:r>
      <w:r w:rsidR="006B492C">
        <w:rPr>
          <w:rFonts w:ascii="Times New Roman" w:hAnsi="Times New Roman" w:cs="Times New Roman"/>
          <w:sz w:val="24"/>
          <w:szCs w:val="24"/>
        </w:rPr>
        <w:t xml:space="preserve"> </w:t>
      </w:r>
      <w:r w:rsidR="002F0F94" w:rsidRPr="00293F51">
        <w:rPr>
          <w:rFonts w:ascii="Times New Roman" w:hAnsi="Times New Roman" w:cs="Times New Roman"/>
          <w:sz w:val="24"/>
          <w:szCs w:val="24"/>
        </w:rPr>
        <w:t>The Company proposes to continue to use the SDLF methodology to classify costs.</w:t>
      </w:r>
    </w:p>
    <w:p w14:paraId="690D0918" w14:textId="77777777" w:rsidR="002A28A9" w:rsidRPr="00293F51" w:rsidRDefault="002A28A9" w:rsidP="002A28A9">
      <w:pPr>
        <w:spacing w:line="480" w:lineRule="auto"/>
        <w:ind w:left="720" w:hanging="720"/>
        <w:contextualSpacing/>
        <w:rPr>
          <w:rFonts w:ascii="Times New Roman" w:hAnsi="Times New Roman" w:cs="Times New Roman"/>
          <w:sz w:val="24"/>
          <w:szCs w:val="24"/>
        </w:rPr>
      </w:pPr>
    </w:p>
    <w:p w14:paraId="690D0919" w14:textId="77777777" w:rsidR="002F0F94" w:rsidRPr="00293F51" w:rsidRDefault="002F0F94"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t>What is Staff’s position on the Company’s response to the first recommendation?</w:t>
      </w:r>
    </w:p>
    <w:p w14:paraId="690D091A" w14:textId="591AC702" w:rsidR="00736B48" w:rsidRDefault="002F0F94"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sz w:val="24"/>
          <w:szCs w:val="24"/>
        </w:rPr>
        <w:t>A</w:t>
      </w:r>
      <w:r w:rsidR="0001248F">
        <w:rPr>
          <w:rFonts w:ascii="Times New Roman" w:hAnsi="Times New Roman" w:cs="Times New Roman"/>
          <w:sz w:val="24"/>
          <w:szCs w:val="24"/>
        </w:rPr>
        <w:t xml:space="preserve">.  </w:t>
      </w:r>
      <w:r w:rsidRPr="00293F51">
        <w:rPr>
          <w:rFonts w:ascii="Times New Roman" w:hAnsi="Times New Roman" w:cs="Times New Roman"/>
          <w:sz w:val="24"/>
          <w:szCs w:val="24"/>
        </w:rPr>
        <w:tab/>
      </w:r>
      <w:r w:rsidR="00835960">
        <w:rPr>
          <w:rFonts w:ascii="Times New Roman" w:hAnsi="Times New Roman" w:cs="Times New Roman"/>
          <w:sz w:val="24"/>
          <w:szCs w:val="24"/>
        </w:rPr>
        <w:t xml:space="preserve">Upon further review, </w:t>
      </w:r>
      <w:r w:rsidRPr="00293F51">
        <w:rPr>
          <w:rFonts w:ascii="Times New Roman" w:hAnsi="Times New Roman" w:cs="Times New Roman"/>
          <w:sz w:val="24"/>
          <w:szCs w:val="24"/>
        </w:rPr>
        <w:t>Staff concurs that the SDLF approach is preferable to the 200 CP approach for classifying costs</w:t>
      </w:r>
      <w:r w:rsidR="0001248F">
        <w:rPr>
          <w:rFonts w:ascii="Times New Roman" w:hAnsi="Times New Roman" w:cs="Times New Roman"/>
          <w:sz w:val="24"/>
          <w:szCs w:val="24"/>
        </w:rPr>
        <w:t xml:space="preserve">.  </w:t>
      </w:r>
      <w:r w:rsidRPr="00293F51">
        <w:rPr>
          <w:rFonts w:ascii="Times New Roman" w:hAnsi="Times New Roman" w:cs="Times New Roman"/>
          <w:sz w:val="24"/>
          <w:szCs w:val="24"/>
        </w:rPr>
        <w:t xml:space="preserve">Staff recognizes that the consumption patterns of low-load factor customers </w:t>
      </w:r>
      <w:r w:rsidR="003F58F9" w:rsidRPr="00293F51">
        <w:rPr>
          <w:rFonts w:ascii="Times New Roman" w:hAnsi="Times New Roman" w:cs="Times New Roman"/>
          <w:sz w:val="24"/>
          <w:szCs w:val="24"/>
        </w:rPr>
        <w:t>is a major driver of the system peak dem</w:t>
      </w:r>
      <w:r w:rsidRPr="00293F51">
        <w:rPr>
          <w:rFonts w:ascii="Times New Roman" w:hAnsi="Times New Roman" w:cs="Times New Roman"/>
          <w:sz w:val="24"/>
          <w:szCs w:val="24"/>
        </w:rPr>
        <w:t>and that the Company must meet, and that the SDLF approach bett</w:t>
      </w:r>
      <w:r w:rsidR="003A2B91">
        <w:rPr>
          <w:rFonts w:ascii="Times New Roman" w:hAnsi="Times New Roman" w:cs="Times New Roman"/>
          <w:sz w:val="24"/>
          <w:szCs w:val="24"/>
        </w:rPr>
        <w:t>er captures the demands that the</w:t>
      </w:r>
      <w:r w:rsidRPr="00293F51">
        <w:rPr>
          <w:rFonts w:ascii="Times New Roman" w:hAnsi="Times New Roman" w:cs="Times New Roman"/>
          <w:sz w:val="24"/>
          <w:szCs w:val="24"/>
        </w:rPr>
        <w:t>s</w:t>
      </w:r>
      <w:r w:rsidR="003A2B91">
        <w:rPr>
          <w:rFonts w:ascii="Times New Roman" w:hAnsi="Times New Roman" w:cs="Times New Roman"/>
          <w:sz w:val="24"/>
          <w:szCs w:val="24"/>
        </w:rPr>
        <w:t>e</w:t>
      </w:r>
      <w:r w:rsidRPr="00293F51">
        <w:rPr>
          <w:rFonts w:ascii="Times New Roman" w:hAnsi="Times New Roman" w:cs="Times New Roman"/>
          <w:sz w:val="24"/>
          <w:szCs w:val="24"/>
        </w:rPr>
        <w:t xml:space="preserve"> customers impose on the system and classifies those costs appropriately</w:t>
      </w:r>
      <w:r w:rsidR="00B77388">
        <w:rPr>
          <w:rFonts w:ascii="Times New Roman" w:hAnsi="Times New Roman" w:cs="Times New Roman"/>
          <w:sz w:val="24"/>
          <w:szCs w:val="24"/>
        </w:rPr>
        <w:t xml:space="preserve">. </w:t>
      </w:r>
    </w:p>
    <w:p w14:paraId="690D091B" w14:textId="77777777" w:rsidR="002A28A9" w:rsidRPr="00293F51" w:rsidRDefault="002A28A9" w:rsidP="002A28A9">
      <w:pPr>
        <w:spacing w:line="480" w:lineRule="auto"/>
        <w:ind w:left="720" w:hanging="720"/>
        <w:contextualSpacing/>
        <w:rPr>
          <w:rFonts w:ascii="Times New Roman" w:hAnsi="Times New Roman" w:cs="Times New Roman"/>
          <w:b/>
          <w:sz w:val="24"/>
          <w:szCs w:val="24"/>
        </w:rPr>
      </w:pPr>
    </w:p>
    <w:p w14:paraId="690D091C" w14:textId="0E7364DC" w:rsidR="002F0F94" w:rsidRPr="00293F51" w:rsidRDefault="002F0F94"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sidR="0080648C">
        <w:rPr>
          <w:rFonts w:ascii="Times New Roman" w:hAnsi="Times New Roman" w:cs="Times New Roman"/>
          <w:b/>
          <w:sz w:val="24"/>
          <w:szCs w:val="24"/>
        </w:rPr>
        <w:t>What was</w:t>
      </w:r>
      <w:r w:rsidRPr="00293F51">
        <w:rPr>
          <w:rFonts w:ascii="Times New Roman" w:hAnsi="Times New Roman" w:cs="Times New Roman"/>
          <w:b/>
          <w:sz w:val="24"/>
          <w:szCs w:val="24"/>
        </w:rPr>
        <w:t xml:space="preserve"> Staff</w:t>
      </w:r>
      <w:r w:rsidR="006749FD">
        <w:rPr>
          <w:rFonts w:ascii="Times New Roman" w:hAnsi="Times New Roman" w:cs="Times New Roman"/>
          <w:b/>
          <w:sz w:val="24"/>
          <w:szCs w:val="24"/>
        </w:rPr>
        <w:t>’s second recommendation</w:t>
      </w:r>
      <w:r w:rsidR="0080648C">
        <w:rPr>
          <w:rFonts w:ascii="Times New Roman" w:hAnsi="Times New Roman" w:cs="Times New Roman"/>
          <w:b/>
          <w:sz w:val="24"/>
          <w:szCs w:val="24"/>
        </w:rPr>
        <w:t xml:space="preserve"> from the previous general rate case?</w:t>
      </w:r>
    </w:p>
    <w:p w14:paraId="690D091D" w14:textId="73D5593D" w:rsidR="006749FD" w:rsidRDefault="002F0F94"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sidR="0001248F">
        <w:rPr>
          <w:rFonts w:ascii="Times New Roman" w:hAnsi="Times New Roman" w:cs="Times New Roman"/>
          <w:sz w:val="24"/>
          <w:szCs w:val="24"/>
        </w:rPr>
        <w:t xml:space="preserve">.  </w:t>
      </w:r>
      <w:r w:rsidRPr="00293F51">
        <w:rPr>
          <w:rFonts w:ascii="Times New Roman" w:hAnsi="Times New Roman" w:cs="Times New Roman"/>
          <w:sz w:val="24"/>
          <w:szCs w:val="24"/>
        </w:rPr>
        <w:tab/>
        <w:t>Staff recommended that Pacif</w:t>
      </w:r>
      <w:r w:rsidR="0001248F">
        <w:rPr>
          <w:rFonts w:ascii="Times New Roman" w:hAnsi="Times New Roman" w:cs="Times New Roman"/>
          <w:sz w:val="24"/>
          <w:szCs w:val="24"/>
        </w:rPr>
        <w:t>ic Power</w:t>
      </w:r>
      <w:r w:rsidRPr="00293F51">
        <w:rPr>
          <w:rFonts w:ascii="Times New Roman" w:hAnsi="Times New Roman" w:cs="Times New Roman"/>
          <w:sz w:val="24"/>
          <w:szCs w:val="24"/>
        </w:rPr>
        <w:t xml:space="preserve"> apply a new allocation factor to its </w:t>
      </w:r>
      <w:r w:rsidR="000C774A">
        <w:rPr>
          <w:rFonts w:ascii="Times New Roman" w:hAnsi="Times New Roman" w:cs="Times New Roman"/>
          <w:sz w:val="24"/>
          <w:szCs w:val="24"/>
        </w:rPr>
        <w:t xml:space="preserve">renewable, </w:t>
      </w:r>
      <w:r w:rsidRPr="00293F51">
        <w:rPr>
          <w:rFonts w:ascii="Times New Roman" w:hAnsi="Times New Roman" w:cs="Times New Roman"/>
          <w:sz w:val="24"/>
          <w:szCs w:val="24"/>
        </w:rPr>
        <w:t>non-dispatchable generation</w:t>
      </w:r>
      <w:r w:rsidR="000C774A">
        <w:rPr>
          <w:rFonts w:ascii="Times New Roman" w:hAnsi="Times New Roman" w:cs="Times New Roman"/>
          <w:sz w:val="24"/>
          <w:szCs w:val="24"/>
        </w:rPr>
        <w:t xml:space="preserve"> (NDG)</w:t>
      </w:r>
      <w:r w:rsidRPr="00293F51">
        <w:rPr>
          <w:rFonts w:ascii="Times New Roman" w:hAnsi="Times New Roman" w:cs="Times New Roman"/>
          <w:sz w:val="24"/>
          <w:szCs w:val="24"/>
        </w:rPr>
        <w:t xml:space="preserve"> sources</w:t>
      </w:r>
      <w:r w:rsidR="0001248F">
        <w:rPr>
          <w:rFonts w:ascii="Times New Roman" w:hAnsi="Times New Roman" w:cs="Times New Roman"/>
          <w:sz w:val="24"/>
          <w:szCs w:val="24"/>
        </w:rPr>
        <w:t xml:space="preserve">.  </w:t>
      </w:r>
      <w:r w:rsidR="002C3500">
        <w:rPr>
          <w:rFonts w:ascii="Times New Roman" w:hAnsi="Times New Roman" w:cs="Times New Roman"/>
          <w:sz w:val="24"/>
          <w:szCs w:val="24"/>
        </w:rPr>
        <w:t xml:space="preserve">This allocation factor would recognize these resources’ </w:t>
      </w:r>
      <w:r w:rsidR="004B5278">
        <w:rPr>
          <w:rFonts w:ascii="Times New Roman" w:hAnsi="Times New Roman" w:cs="Times New Roman"/>
          <w:sz w:val="24"/>
          <w:szCs w:val="24"/>
        </w:rPr>
        <w:t>variable</w:t>
      </w:r>
      <w:r w:rsidR="002C3500">
        <w:rPr>
          <w:rFonts w:ascii="Times New Roman" w:hAnsi="Times New Roman" w:cs="Times New Roman"/>
          <w:sz w:val="24"/>
          <w:szCs w:val="24"/>
        </w:rPr>
        <w:t xml:space="preserve"> ability to contribute to system peak and proportionately high energy output by </w:t>
      </w:r>
      <w:r w:rsidR="000C774A">
        <w:rPr>
          <w:rFonts w:ascii="Times New Roman" w:hAnsi="Times New Roman" w:cs="Times New Roman"/>
          <w:sz w:val="24"/>
          <w:szCs w:val="24"/>
        </w:rPr>
        <w:t>allocating their costs mostly according to energy consumption</w:t>
      </w:r>
      <w:r w:rsidR="0001248F">
        <w:rPr>
          <w:rFonts w:ascii="Times New Roman" w:hAnsi="Times New Roman" w:cs="Times New Roman"/>
          <w:sz w:val="24"/>
          <w:szCs w:val="24"/>
        </w:rPr>
        <w:t xml:space="preserve">.  </w:t>
      </w:r>
    </w:p>
    <w:p w14:paraId="690D091E" w14:textId="77777777" w:rsidR="002A28A9" w:rsidRDefault="002A28A9" w:rsidP="002A28A9">
      <w:pPr>
        <w:spacing w:line="480" w:lineRule="auto"/>
        <w:ind w:left="720" w:hanging="720"/>
        <w:contextualSpacing/>
        <w:rPr>
          <w:rFonts w:ascii="Times New Roman" w:hAnsi="Times New Roman" w:cs="Times New Roman"/>
          <w:sz w:val="24"/>
          <w:szCs w:val="24"/>
        </w:rPr>
      </w:pPr>
    </w:p>
    <w:p w14:paraId="690D091F" w14:textId="77777777" w:rsidR="006749FD" w:rsidRPr="00293F51" w:rsidRDefault="006749FD"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Why did Staff make this recommendation?</w:t>
      </w:r>
    </w:p>
    <w:p w14:paraId="690D0920" w14:textId="19BE6E51" w:rsidR="002F0F94" w:rsidRDefault="006749FD"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0C774A">
        <w:rPr>
          <w:rFonts w:ascii="Times New Roman" w:hAnsi="Times New Roman" w:cs="Times New Roman"/>
          <w:sz w:val="24"/>
          <w:szCs w:val="24"/>
        </w:rPr>
        <w:t xml:space="preserve">In its 2013 Integrated Resource Plan (IRP), </w:t>
      </w:r>
      <w:r w:rsidR="006B492C">
        <w:rPr>
          <w:rFonts w:ascii="Times New Roman" w:hAnsi="Times New Roman" w:cs="Times New Roman"/>
          <w:sz w:val="24"/>
          <w:szCs w:val="24"/>
        </w:rPr>
        <w:t xml:space="preserve">Pacific Power </w:t>
      </w:r>
      <w:r w:rsidR="000C774A">
        <w:rPr>
          <w:rFonts w:ascii="Times New Roman" w:hAnsi="Times New Roman" w:cs="Times New Roman"/>
          <w:sz w:val="24"/>
          <w:szCs w:val="24"/>
        </w:rPr>
        <w:t xml:space="preserve">determined that on average, its wind resources contribute 4.2 percent of their nameplate capacity at </w:t>
      </w:r>
      <w:r w:rsidR="000C774A">
        <w:rPr>
          <w:rFonts w:ascii="Times New Roman" w:hAnsi="Times New Roman" w:cs="Times New Roman"/>
          <w:sz w:val="24"/>
          <w:szCs w:val="24"/>
        </w:rPr>
        <w:lastRenderedPageBreak/>
        <w:t>system peak.</w:t>
      </w:r>
      <w:r w:rsidR="000C774A">
        <w:rPr>
          <w:rStyle w:val="FootnoteReference"/>
          <w:rFonts w:ascii="Times New Roman" w:hAnsi="Times New Roman" w:cs="Times New Roman"/>
          <w:sz w:val="24"/>
          <w:szCs w:val="24"/>
        </w:rPr>
        <w:footnoteReference w:id="14"/>
      </w:r>
      <w:r w:rsidR="000C774A">
        <w:rPr>
          <w:rFonts w:ascii="Times New Roman" w:hAnsi="Times New Roman" w:cs="Times New Roman"/>
          <w:sz w:val="24"/>
          <w:szCs w:val="24"/>
        </w:rPr>
        <w:t xml:space="preserve"> </w:t>
      </w:r>
      <w:r w:rsidR="006B492C">
        <w:rPr>
          <w:rFonts w:ascii="Times New Roman" w:hAnsi="Times New Roman" w:cs="Times New Roman"/>
          <w:sz w:val="24"/>
          <w:szCs w:val="24"/>
        </w:rPr>
        <w:t xml:space="preserve"> </w:t>
      </w:r>
      <w:r w:rsidR="000C774A">
        <w:rPr>
          <w:rFonts w:ascii="Times New Roman" w:hAnsi="Times New Roman" w:cs="Times New Roman"/>
          <w:sz w:val="24"/>
          <w:szCs w:val="24"/>
        </w:rPr>
        <w:t>Using this capacity credit, Staff recommended that the NDG Factor allocate 4.2 percent of the Company’s wind generation costs on a demand factor and 95.8 percent on an energy factor</w:t>
      </w:r>
      <w:r w:rsidR="0001248F">
        <w:rPr>
          <w:rFonts w:ascii="Times New Roman" w:hAnsi="Times New Roman" w:cs="Times New Roman"/>
          <w:sz w:val="24"/>
          <w:szCs w:val="24"/>
        </w:rPr>
        <w:t xml:space="preserve">.  </w:t>
      </w:r>
    </w:p>
    <w:p w14:paraId="3CAA214C" w14:textId="5D626CE8" w:rsidR="0017268E" w:rsidRDefault="00B32F93" w:rsidP="002A28A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17268E">
        <w:rPr>
          <w:rFonts w:ascii="Times New Roman" w:hAnsi="Times New Roman" w:cs="Times New Roman"/>
          <w:sz w:val="24"/>
          <w:szCs w:val="24"/>
        </w:rPr>
        <w:tab/>
        <w:t>For the 2015 IRP, the Company has adopted a new methodology for calculating the capacity value of its wind resources that results in a peak contribution of 18.1 percent of nameplate capacity.</w:t>
      </w:r>
      <w:r w:rsidR="0017268E">
        <w:rPr>
          <w:rStyle w:val="FootnoteReference"/>
          <w:rFonts w:ascii="Times New Roman" w:hAnsi="Times New Roman" w:cs="Times New Roman"/>
          <w:sz w:val="24"/>
          <w:szCs w:val="24"/>
        </w:rPr>
        <w:footnoteReference w:id="15"/>
      </w:r>
    </w:p>
    <w:p w14:paraId="690D0921" w14:textId="3BF082B5" w:rsidR="000C774A" w:rsidRDefault="00B32F93" w:rsidP="003A2B91">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0C774A">
        <w:rPr>
          <w:rFonts w:ascii="Times New Roman" w:hAnsi="Times New Roman" w:cs="Times New Roman"/>
          <w:sz w:val="24"/>
          <w:szCs w:val="24"/>
        </w:rPr>
        <w:t xml:space="preserve">In addition to the engineering aspects of wind generation outlined above, Staff additionally noted that the NDG allocation </w:t>
      </w:r>
      <w:r w:rsidR="0001248F">
        <w:rPr>
          <w:rFonts w:ascii="Times New Roman" w:hAnsi="Times New Roman" w:cs="Times New Roman"/>
          <w:sz w:val="24"/>
          <w:szCs w:val="24"/>
        </w:rPr>
        <w:t xml:space="preserve">factor would address a mismatch between how the Company recovers its wind resource costs and how it passes back federal tax credits generated by those resources to customers.  Specifically, if the Company continues recovering costs on </w:t>
      </w:r>
      <w:r w:rsidR="00B77388">
        <w:rPr>
          <w:rFonts w:ascii="Times New Roman" w:hAnsi="Times New Roman" w:cs="Times New Roman"/>
          <w:sz w:val="24"/>
          <w:szCs w:val="24"/>
        </w:rPr>
        <w:t xml:space="preserve">a </w:t>
      </w:r>
      <w:r w:rsidR="006749FD">
        <w:rPr>
          <w:rFonts w:ascii="Times New Roman" w:hAnsi="Times New Roman" w:cs="Times New Roman"/>
          <w:sz w:val="24"/>
          <w:szCs w:val="24"/>
        </w:rPr>
        <w:t>factor that includes a high share of demand</w:t>
      </w:r>
      <w:r w:rsidR="0001248F">
        <w:rPr>
          <w:rFonts w:ascii="Times New Roman" w:hAnsi="Times New Roman" w:cs="Times New Roman"/>
          <w:sz w:val="24"/>
          <w:szCs w:val="24"/>
        </w:rPr>
        <w:t>, and returning tax credits through volumetric rates, then customers with high energy consumption would receive a disproportionately large share of the tax credit benefits, while customers with low energy consumption would receive a disproportionately small share of the tax credit benefits.</w:t>
      </w:r>
      <w:r w:rsidR="0001248F">
        <w:rPr>
          <w:rStyle w:val="FootnoteReference"/>
          <w:rFonts w:ascii="Times New Roman" w:hAnsi="Times New Roman" w:cs="Times New Roman"/>
          <w:sz w:val="24"/>
          <w:szCs w:val="24"/>
        </w:rPr>
        <w:footnoteReference w:id="16"/>
      </w:r>
    </w:p>
    <w:p w14:paraId="690D0922" w14:textId="77777777" w:rsidR="002A28A9" w:rsidRDefault="002A28A9" w:rsidP="002A28A9">
      <w:pPr>
        <w:spacing w:line="480" w:lineRule="auto"/>
        <w:ind w:left="720" w:hanging="720"/>
        <w:contextualSpacing/>
        <w:rPr>
          <w:rFonts w:ascii="Times New Roman" w:hAnsi="Times New Roman" w:cs="Times New Roman"/>
          <w:sz w:val="24"/>
          <w:szCs w:val="24"/>
        </w:rPr>
      </w:pPr>
    </w:p>
    <w:p w14:paraId="690D0923" w14:textId="77777777" w:rsidR="0001248F" w:rsidRPr="00293F51" w:rsidRDefault="0001248F"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Please summarize Pacific Power’s response to Staff’s second recommendation.  </w:t>
      </w:r>
    </w:p>
    <w:p w14:paraId="690D0924" w14:textId="56566FDE" w:rsidR="0001248F" w:rsidRDefault="0001248F"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C52E1A">
        <w:rPr>
          <w:rFonts w:ascii="Times New Roman" w:hAnsi="Times New Roman" w:cs="Times New Roman"/>
          <w:sz w:val="24"/>
          <w:szCs w:val="24"/>
        </w:rPr>
        <w:t>The Company prepared the analysis as requested, showing the impact of an NDG allocation on its seven customer classes.  Compared to the Company’s proposed cost of service, the application of the NDG factor would reduce</w:t>
      </w:r>
      <w:r w:rsidR="006749FD">
        <w:rPr>
          <w:rFonts w:ascii="Times New Roman" w:hAnsi="Times New Roman" w:cs="Times New Roman"/>
          <w:sz w:val="24"/>
          <w:szCs w:val="24"/>
        </w:rPr>
        <w:t xml:space="preserve"> the</w:t>
      </w:r>
      <w:r w:rsidR="00C52E1A">
        <w:rPr>
          <w:rFonts w:ascii="Times New Roman" w:hAnsi="Times New Roman" w:cs="Times New Roman"/>
          <w:sz w:val="24"/>
          <w:szCs w:val="24"/>
        </w:rPr>
        <w:t xml:space="preserve"> Residential class’ cost of service by 0.5 percent and increase the remaining classes’ cost</w:t>
      </w:r>
      <w:r w:rsidR="00854C0B">
        <w:rPr>
          <w:rFonts w:ascii="Times New Roman" w:hAnsi="Times New Roman" w:cs="Times New Roman"/>
          <w:sz w:val="24"/>
          <w:szCs w:val="24"/>
        </w:rPr>
        <w:t>s</w:t>
      </w:r>
      <w:r w:rsidR="00C52E1A">
        <w:rPr>
          <w:rFonts w:ascii="Times New Roman" w:hAnsi="Times New Roman" w:cs="Times New Roman"/>
          <w:sz w:val="24"/>
          <w:szCs w:val="24"/>
        </w:rPr>
        <w:t xml:space="preserve"> of service by a </w:t>
      </w:r>
      <w:r w:rsidR="00C52E1A">
        <w:rPr>
          <w:rFonts w:ascii="Times New Roman" w:hAnsi="Times New Roman" w:cs="Times New Roman"/>
          <w:sz w:val="24"/>
          <w:szCs w:val="24"/>
        </w:rPr>
        <w:lastRenderedPageBreak/>
        <w:t>small amount, ranging from 0.07 percent (Small General Service) to 1.23 percent (Street Lighting).</w:t>
      </w:r>
      <w:r w:rsidR="00EF4DBA">
        <w:rPr>
          <w:rStyle w:val="FootnoteReference"/>
          <w:rFonts w:ascii="Times New Roman" w:hAnsi="Times New Roman" w:cs="Times New Roman"/>
          <w:sz w:val="24"/>
          <w:szCs w:val="24"/>
        </w:rPr>
        <w:footnoteReference w:id="17"/>
      </w:r>
      <w:r w:rsidR="00C52E1A">
        <w:rPr>
          <w:rFonts w:ascii="Times New Roman" w:hAnsi="Times New Roman" w:cs="Times New Roman"/>
          <w:sz w:val="24"/>
          <w:szCs w:val="24"/>
        </w:rPr>
        <w:t xml:space="preserve"> </w:t>
      </w:r>
    </w:p>
    <w:p w14:paraId="690D0925" w14:textId="0C757D2F" w:rsidR="006E016F" w:rsidRDefault="0017268E" w:rsidP="00B32F93">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B32F93">
        <w:rPr>
          <w:rFonts w:ascii="Times New Roman" w:hAnsi="Times New Roman" w:cs="Times New Roman"/>
          <w:sz w:val="24"/>
          <w:szCs w:val="24"/>
        </w:rPr>
        <w:tab/>
      </w:r>
      <w:r w:rsidR="00EF4DBA">
        <w:rPr>
          <w:rFonts w:ascii="Times New Roman" w:hAnsi="Times New Roman" w:cs="Times New Roman"/>
          <w:sz w:val="24"/>
          <w:szCs w:val="24"/>
        </w:rPr>
        <w:t>The Comp</w:t>
      </w:r>
      <w:r w:rsidR="00B77388">
        <w:rPr>
          <w:rFonts w:ascii="Times New Roman" w:hAnsi="Times New Roman" w:cs="Times New Roman"/>
          <w:sz w:val="24"/>
          <w:szCs w:val="24"/>
        </w:rPr>
        <w:t>any chose not to apply the NDG f</w:t>
      </w:r>
      <w:r w:rsidR="00EF4DBA">
        <w:rPr>
          <w:rFonts w:ascii="Times New Roman" w:hAnsi="Times New Roman" w:cs="Times New Roman"/>
          <w:sz w:val="24"/>
          <w:szCs w:val="24"/>
        </w:rPr>
        <w:t>actor</w:t>
      </w:r>
      <w:r w:rsidR="00B77388">
        <w:rPr>
          <w:rFonts w:ascii="Times New Roman" w:hAnsi="Times New Roman" w:cs="Times New Roman"/>
          <w:sz w:val="24"/>
          <w:szCs w:val="24"/>
        </w:rPr>
        <w:t xml:space="preserve"> </w:t>
      </w:r>
      <w:r w:rsidR="00EF4DBA">
        <w:rPr>
          <w:rFonts w:ascii="Times New Roman" w:hAnsi="Times New Roman" w:cs="Times New Roman"/>
          <w:sz w:val="24"/>
          <w:szCs w:val="24"/>
        </w:rPr>
        <w:t>in its cost of service study because the allocation factor that it uses for generation facilities “recognizes the combined nature of (generation) resources that are designed to meet peak load and supply the energy needs of its customers.”</w:t>
      </w:r>
      <w:r w:rsidR="00EF4DBA">
        <w:rPr>
          <w:rStyle w:val="FootnoteReference"/>
          <w:rFonts w:ascii="Times New Roman" w:hAnsi="Times New Roman" w:cs="Times New Roman"/>
          <w:sz w:val="24"/>
          <w:szCs w:val="24"/>
        </w:rPr>
        <w:footnoteReference w:id="18"/>
      </w:r>
      <w:r w:rsidR="00EF4DBA">
        <w:rPr>
          <w:rFonts w:ascii="Times New Roman" w:hAnsi="Times New Roman" w:cs="Times New Roman"/>
          <w:sz w:val="24"/>
          <w:szCs w:val="24"/>
        </w:rPr>
        <w:t xml:space="preserve"> </w:t>
      </w:r>
      <w:r w:rsidR="006E016F">
        <w:rPr>
          <w:rFonts w:ascii="Times New Roman" w:hAnsi="Times New Roman" w:cs="Times New Roman"/>
          <w:sz w:val="24"/>
          <w:szCs w:val="24"/>
        </w:rPr>
        <w:t xml:space="preserve"> The Company goes on to assert that s</w:t>
      </w:r>
      <w:r w:rsidR="00EF4DBA">
        <w:rPr>
          <w:rFonts w:ascii="Times New Roman" w:hAnsi="Times New Roman" w:cs="Times New Roman"/>
          <w:sz w:val="24"/>
          <w:szCs w:val="24"/>
        </w:rPr>
        <w:t xml:space="preserve">ingling out wind resources for a different allocation factor would </w:t>
      </w:r>
      <w:r w:rsidR="006E016F">
        <w:rPr>
          <w:rFonts w:ascii="Times New Roman" w:hAnsi="Times New Roman" w:cs="Times New Roman"/>
          <w:sz w:val="24"/>
          <w:szCs w:val="24"/>
        </w:rPr>
        <w:t>alter the dynamic of the current allocation and require Pacific Power to reassess the way it classifies all of its generation resources in the Western Control Area.</w:t>
      </w:r>
      <w:r w:rsidR="006E016F">
        <w:rPr>
          <w:rStyle w:val="FootnoteReference"/>
          <w:rFonts w:ascii="Times New Roman" w:hAnsi="Times New Roman" w:cs="Times New Roman"/>
          <w:sz w:val="24"/>
          <w:szCs w:val="24"/>
        </w:rPr>
        <w:footnoteReference w:id="19"/>
      </w:r>
      <w:r w:rsidR="006E016F">
        <w:rPr>
          <w:rFonts w:ascii="Times New Roman" w:hAnsi="Times New Roman" w:cs="Times New Roman"/>
          <w:sz w:val="24"/>
          <w:szCs w:val="24"/>
        </w:rPr>
        <w:t xml:space="preserve">  The Company </w:t>
      </w:r>
      <w:r w:rsidR="00866CD3">
        <w:rPr>
          <w:rFonts w:ascii="Times New Roman" w:hAnsi="Times New Roman" w:cs="Times New Roman"/>
          <w:sz w:val="24"/>
          <w:szCs w:val="24"/>
        </w:rPr>
        <w:t xml:space="preserve">appears to further imply </w:t>
      </w:r>
      <w:r w:rsidR="006E016F">
        <w:rPr>
          <w:rFonts w:ascii="Times New Roman" w:hAnsi="Times New Roman" w:cs="Times New Roman"/>
          <w:sz w:val="24"/>
          <w:szCs w:val="24"/>
        </w:rPr>
        <w:t xml:space="preserve">that the </w:t>
      </w:r>
      <w:r w:rsidR="00866CD3">
        <w:rPr>
          <w:rFonts w:ascii="Times New Roman" w:hAnsi="Times New Roman" w:cs="Times New Roman"/>
          <w:sz w:val="24"/>
          <w:szCs w:val="24"/>
        </w:rPr>
        <w:t>minor impact of the change does not justify making it.</w:t>
      </w:r>
    </w:p>
    <w:p w14:paraId="690D0926" w14:textId="77777777" w:rsidR="002A28A9" w:rsidRDefault="002A28A9" w:rsidP="002A28A9">
      <w:pPr>
        <w:spacing w:line="480" w:lineRule="auto"/>
        <w:ind w:left="720" w:hanging="720"/>
        <w:contextualSpacing/>
        <w:rPr>
          <w:rFonts w:ascii="Times New Roman" w:hAnsi="Times New Roman" w:cs="Times New Roman"/>
          <w:sz w:val="24"/>
          <w:szCs w:val="24"/>
        </w:rPr>
      </w:pPr>
    </w:p>
    <w:p w14:paraId="690D0927" w14:textId="4F85815F" w:rsidR="006E016F" w:rsidRPr="00293F51" w:rsidRDefault="006E016F"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proofErr w:type="gramStart"/>
      <w:r w:rsidR="00F1004B">
        <w:rPr>
          <w:rFonts w:ascii="Times New Roman" w:hAnsi="Times New Roman" w:cs="Times New Roman"/>
          <w:b/>
          <w:sz w:val="24"/>
          <w:szCs w:val="24"/>
        </w:rPr>
        <w:t xml:space="preserve">Has </w:t>
      </w:r>
      <w:r>
        <w:rPr>
          <w:rFonts w:ascii="Times New Roman" w:hAnsi="Times New Roman" w:cs="Times New Roman"/>
          <w:b/>
          <w:sz w:val="24"/>
          <w:szCs w:val="24"/>
        </w:rPr>
        <w:t xml:space="preserve"> the</w:t>
      </w:r>
      <w:proofErr w:type="gramEnd"/>
      <w:r>
        <w:rPr>
          <w:rFonts w:ascii="Times New Roman" w:hAnsi="Times New Roman" w:cs="Times New Roman"/>
          <w:b/>
          <w:sz w:val="24"/>
          <w:szCs w:val="24"/>
        </w:rPr>
        <w:t xml:space="preserve"> Company’s response</w:t>
      </w:r>
      <w:r w:rsidR="00163E8A">
        <w:rPr>
          <w:rFonts w:ascii="Times New Roman" w:hAnsi="Times New Roman" w:cs="Times New Roman"/>
          <w:b/>
          <w:sz w:val="24"/>
          <w:szCs w:val="24"/>
        </w:rPr>
        <w:t xml:space="preserve"> </w:t>
      </w:r>
      <w:r w:rsidR="00F1004B">
        <w:rPr>
          <w:rFonts w:ascii="Times New Roman" w:hAnsi="Times New Roman" w:cs="Times New Roman"/>
          <w:b/>
          <w:sz w:val="24"/>
          <w:szCs w:val="24"/>
        </w:rPr>
        <w:t>changed Staff’s position</w:t>
      </w:r>
      <w:r w:rsidR="00163E8A">
        <w:rPr>
          <w:rFonts w:ascii="Times New Roman" w:hAnsi="Times New Roman" w:cs="Times New Roman"/>
          <w:b/>
          <w:sz w:val="24"/>
          <w:szCs w:val="24"/>
        </w:rPr>
        <w:t xml:space="preserve"> </w:t>
      </w:r>
      <w:r w:rsidR="00F1004B">
        <w:rPr>
          <w:rFonts w:ascii="Times New Roman" w:hAnsi="Times New Roman" w:cs="Times New Roman"/>
          <w:b/>
          <w:sz w:val="24"/>
          <w:szCs w:val="24"/>
        </w:rPr>
        <w:t>regarding</w:t>
      </w:r>
      <w:r w:rsidR="004B5278">
        <w:rPr>
          <w:rFonts w:ascii="Times New Roman" w:hAnsi="Times New Roman" w:cs="Times New Roman"/>
          <w:b/>
          <w:sz w:val="24"/>
          <w:szCs w:val="24"/>
        </w:rPr>
        <w:t xml:space="preserve"> the</w:t>
      </w:r>
      <w:r w:rsidR="00F1004B">
        <w:rPr>
          <w:rFonts w:ascii="Times New Roman" w:hAnsi="Times New Roman" w:cs="Times New Roman"/>
          <w:b/>
          <w:sz w:val="24"/>
          <w:szCs w:val="24"/>
        </w:rPr>
        <w:t xml:space="preserve"> </w:t>
      </w:r>
      <w:r w:rsidR="0004527B">
        <w:rPr>
          <w:rFonts w:ascii="Times New Roman" w:hAnsi="Times New Roman" w:cs="Times New Roman"/>
          <w:b/>
          <w:sz w:val="24"/>
          <w:szCs w:val="24"/>
        </w:rPr>
        <w:t xml:space="preserve">use of </w:t>
      </w:r>
      <w:r w:rsidR="00F1004B">
        <w:rPr>
          <w:rFonts w:ascii="Times New Roman" w:hAnsi="Times New Roman" w:cs="Times New Roman"/>
          <w:b/>
          <w:sz w:val="24"/>
          <w:szCs w:val="24"/>
        </w:rPr>
        <w:t>the NDG allocation factor</w:t>
      </w:r>
      <w:r>
        <w:rPr>
          <w:rFonts w:ascii="Times New Roman" w:hAnsi="Times New Roman" w:cs="Times New Roman"/>
          <w:b/>
          <w:sz w:val="24"/>
          <w:szCs w:val="24"/>
        </w:rPr>
        <w:t xml:space="preserve">?  </w:t>
      </w:r>
    </w:p>
    <w:p w14:paraId="4581E298" w14:textId="41A0C109" w:rsidR="0062263F" w:rsidRDefault="006E016F" w:rsidP="00B77388">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sidR="00F1004B">
        <w:rPr>
          <w:rFonts w:ascii="Times New Roman" w:hAnsi="Times New Roman" w:cs="Times New Roman"/>
          <w:sz w:val="24"/>
          <w:szCs w:val="24"/>
        </w:rPr>
        <w:t xml:space="preserve">No. </w:t>
      </w:r>
      <w:r w:rsidR="000453AA">
        <w:rPr>
          <w:rFonts w:ascii="Times New Roman" w:hAnsi="Times New Roman" w:cs="Times New Roman"/>
          <w:sz w:val="24"/>
          <w:szCs w:val="24"/>
        </w:rPr>
        <w:t xml:space="preserve"> </w:t>
      </w:r>
      <w:r w:rsidR="0004527B">
        <w:rPr>
          <w:rFonts w:ascii="Times New Roman" w:hAnsi="Times New Roman" w:cs="Times New Roman"/>
          <w:sz w:val="24"/>
          <w:szCs w:val="24"/>
        </w:rPr>
        <w:t>T</w:t>
      </w:r>
      <w:r>
        <w:rPr>
          <w:rFonts w:ascii="Times New Roman" w:hAnsi="Times New Roman" w:cs="Times New Roman"/>
          <w:sz w:val="24"/>
          <w:szCs w:val="24"/>
        </w:rPr>
        <w:t>he</w:t>
      </w:r>
      <w:r w:rsidR="00B77388">
        <w:rPr>
          <w:rFonts w:ascii="Times New Roman" w:hAnsi="Times New Roman" w:cs="Times New Roman"/>
          <w:sz w:val="24"/>
          <w:szCs w:val="24"/>
        </w:rPr>
        <w:t xml:space="preserve"> NDG</w:t>
      </w:r>
      <w:r>
        <w:rPr>
          <w:rFonts w:ascii="Times New Roman" w:hAnsi="Times New Roman" w:cs="Times New Roman"/>
          <w:sz w:val="24"/>
          <w:szCs w:val="24"/>
        </w:rPr>
        <w:t xml:space="preserve"> allocation factor</w:t>
      </w:r>
      <w:r w:rsidR="00F1004B">
        <w:rPr>
          <w:rFonts w:ascii="Times New Roman" w:hAnsi="Times New Roman" w:cs="Times New Roman"/>
          <w:sz w:val="24"/>
          <w:szCs w:val="24"/>
        </w:rPr>
        <w:t xml:space="preserve"> </w:t>
      </w:r>
      <w:r>
        <w:rPr>
          <w:rFonts w:ascii="Times New Roman" w:hAnsi="Times New Roman" w:cs="Times New Roman"/>
          <w:sz w:val="24"/>
          <w:szCs w:val="24"/>
        </w:rPr>
        <w:t>more accurately reflects how wind-related expenses are impo</w:t>
      </w:r>
      <w:r w:rsidR="00B77388">
        <w:rPr>
          <w:rFonts w:ascii="Times New Roman" w:hAnsi="Times New Roman" w:cs="Times New Roman"/>
          <w:sz w:val="24"/>
          <w:szCs w:val="24"/>
        </w:rPr>
        <w:t>sed on Pacific Power’s system.</w:t>
      </w:r>
      <w:r w:rsidR="005B3C78">
        <w:rPr>
          <w:rFonts w:ascii="Times New Roman" w:hAnsi="Times New Roman" w:cs="Times New Roman"/>
          <w:sz w:val="24"/>
          <w:szCs w:val="24"/>
        </w:rPr>
        <w:t xml:space="preserve">  </w:t>
      </w:r>
      <w:r w:rsidR="0004527B">
        <w:rPr>
          <w:rFonts w:ascii="Times New Roman" w:hAnsi="Times New Roman" w:cs="Times New Roman"/>
          <w:sz w:val="24"/>
          <w:szCs w:val="24"/>
        </w:rPr>
        <w:t xml:space="preserve">Even though </w:t>
      </w:r>
      <w:r w:rsidR="005203E6">
        <w:rPr>
          <w:rFonts w:ascii="Times New Roman" w:hAnsi="Times New Roman" w:cs="Times New Roman"/>
          <w:sz w:val="24"/>
          <w:szCs w:val="24"/>
        </w:rPr>
        <w:t>its impact</w:t>
      </w:r>
      <w:r w:rsidR="0004527B">
        <w:rPr>
          <w:rFonts w:ascii="Times New Roman" w:hAnsi="Times New Roman" w:cs="Times New Roman"/>
          <w:sz w:val="24"/>
          <w:szCs w:val="24"/>
        </w:rPr>
        <w:t xml:space="preserve"> </w:t>
      </w:r>
      <w:r w:rsidR="005203E6">
        <w:rPr>
          <w:rFonts w:ascii="Times New Roman" w:hAnsi="Times New Roman" w:cs="Times New Roman"/>
          <w:sz w:val="24"/>
          <w:szCs w:val="24"/>
        </w:rPr>
        <w:t xml:space="preserve">to rates </w:t>
      </w:r>
      <w:r w:rsidR="0004527B">
        <w:rPr>
          <w:rFonts w:ascii="Times New Roman" w:hAnsi="Times New Roman" w:cs="Times New Roman"/>
          <w:sz w:val="24"/>
          <w:szCs w:val="24"/>
        </w:rPr>
        <w:t>is relatively small</w:t>
      </w:r>
      <w:r w:rsidR="005203E6">
        <w:rPr>
          <w:rFonts w:ascii="Times New Roman" w:hAnsi="Times New Roman" w:cs="Times New Roman"/>
          <w:sz w:val="24"/>
          <w:szCs w:val="24"/>
        </w:rPr>
        <w:t xml:space="preserve"> today</w:t>
      </w:r>
      <w:r w:rsidR="0004527B">
        <w:rPr>
          <w:rFonts w:ascii="Times New Roman" w:hAnsi="Times New Roman" w:cs="Times New Roman"/>
          <w:sz w:val="24"/>
          <w:szCs w:val="24"/>
        </w:rPr>
        <w:t xml:space="preserve">, </w:t>
      </w:r>
      <w:r w:rsidR="005203E6">
        <w:rPr>
          <w:rFonts w:ascii="Times New Roman" w:hAnsi="Times New Roman" w:cs="Times New Roman"/>
          <w:sz w:val="24"/>
          <w:szCs w:val="24"/>
        </w:rPr>
        <w:t xml:space="preserve">the NDG allocation factor will produce more accurate rates now and in the future </w:t>
      </w:r>
      <w:r w:rsidR="00163E8A">
        <w:rPr>
          <w:rFonts w:ascii="Times New Roman" w:hAnsi="Times New Roman" w:cs="Times New Roman"/>
          <w:sz w:val="24"/>
          <w:szCs w:val="24"/>
        </w:rPr>
        <w:t>–</w:t>
      </w:r>
      <w:r w:rsidR="0062263F">
        <w:rPr>
          <w:rFonts w:ascii="Times New Roman" w:hAnsi="Times New Roman" w:cs="Times New Roman"/>
          <w:sz w:val="24"/>
          <w:szCs w:val="24"/>
        </w:rPr>
        <w:t xml:space="preserve"> </w:t>
      </w:r>
      <w:r w:rsidR="005203E6">
        <w:rPr>
          <w:rFonts w:ascii="Times New Roman" w:hAnsi="Times New Roman" w:cs="Times New Roman"/>
          <w:sz w:val="24"/>
          <w:szCs w:val="24"/>
        </w:rPr>
        <w:t xml:space="preserve">when wind resources </w:t>
      </w:r>
      <w:r w:rsidR="0062263F">
        <w:rPr>
          <w:rFonts w:ascii="Times New Roman" w:hAnsi="Times New Roman" w:cs="Times New Roman"/>
          <w:sz w:val="24"/>
          <w:szCs w:val="24"/>
        </w:rPr>
        <w:t xml:space="preserve">will </w:t>
      </w:r>
      <w:r w:rsidR="00163E8A">
        <w:rPr>
          <w:rFonts w:ascii="Times New Roman" w:hAnsi="Times New Roman" w:cs="Times New Roman"/>
          <w:sz w:val="24"/>
          <w:szCs w:val="24"/>
        </w:rPr>
        <w:t xml:space="preserve">likely </w:t>
      </w:r>
      <w:r w:rsidR="005203E6">
        <w:rPr>
          <w:rFonts w:ascii="Times New Roman" w:hAnsi="Times New Roman" w:cs="Times New Roman"/>
          <w:sz w:val="24"/>
          <w:szCs w:val="24"/>
        </w:rPr>
        <w:t xml:space="preserve">make up a larger percentage </w:t>
      </w:r>
      <w:r w:rsidR="0062263F">
        <w:rPr>
          <w:rFonts w:ascii="Times New Roman" w:hAnsi="Times New Roman" w:cs="Times New Roman"/>
          <w:sz w:val="24"/>
          <w:szCs w:val="24"/>
        </w:rPr>
        <w:t>of Pacific</w:t>
      </w:r>
      <w:r w:rsidR="005203E6">
        <w:rPr>
          <w:rFonts w:ascii="Times New Roman" w:hAnsi="Times New Roman" w:cs="Times New Roman"/>
          <w:sz w:val="24"/>
          <w:szCs w:val="24"/>
        </w:rPr>
        <w:t xml:space="preserve"> Power’s resource portfolio. </w:t>
      </w:r>
    </w:p>
    <w:p w14:paraId="50CDB9F3" w14:textId="77777777" w:rsidR="0062263F" w:rsidRDefault="0062263F" w:rsidP="00163E8A">
      <w:pPr>
        <w:spacing w:line="480" w:lineRule="auto"/>
        <w:ind w:left="720"/>
        <w:contextualSpacing/>
        <w:rPr>
          <w:rFonts w:ascii="Times New Roman" w:hAnsi="Times New Roman" w:cs="Times New Roman"/>
          <w:sz w:val="24"/>
          <w:szCs w:val="24"/>
        </w:rPr>
      </w:pPr>
    </w:p>
    <w:p w14:paraId="7F638840" w14:textId="7A5C797B" w:rsidR="0062263F" w:rsidRDefault="0062263F" w:rsidP="0062263F">
      <w:pPr>
        <w:spacing w:line="480" w:lineRule="auto"/>
        <w:ind w:left="720" w:hanging="720"/>
        <w:contextualSpacing/>
        <w:rPr>
          <w:rFonts w:ascii="Times New Roman" w:hAnsi="Times New Roman" w:cs="Times New Roman"/>
          <w:sz w:val="24"/>
          <w:szCs w:val="24"/>
        </w:rPr>
      </w:pPr>
      <w:r w:rsidRPr="00163E8A">
        <w:rPr>
          <w:rFonts w:ascii="Times New Roman" w:hAnsi="Times New Roman" w:cs="Times New Roman"/>
          <w:b/>
          <w:sz w:val="24"/>
          <w:szCs w:val="24"/>
        </w:rPr>
        <w:t xml:space="preserve">Q. </w:t>
      </w:r>
      <w:r w:rsidRPr="00163E8A">
        <w:rPr>
          <w:rFonts w:ascii="Times New Roman" w:hAnsi="Times New Roman" w:cs="Times New Roman"/>
          <w:b/>
          <w:sz w:val="24"/>
          <w:szCs w:val="24"/>
        </w:rPr>
        <w:tab/>
        <w:t xml:space="preserve">Please explain how the NDG allocation factor more accurately reflects system </w:t>
      </w:r>
      <w:r w:rsidR="007726E6">
        <w:rPr>
          <w:rFonts w:ascii="Times New Roman" w:hAnsi="Times New Roman" w:cs="Times New Roman"/>
          <w:b/>
          <w:sz w:val="24"/>
          <w:szCs w:val="24"/>
        </w:rPr>
        <w:t>costs</w:t>
      </w:r>
      <w:r w:rsidR="00163E8A">
        <w:rPr>
          <w:rFonts w:ascii="Times New Roman" w:hAnsi="Times New Roman" w:cs="Times New Roman"/>
          <w:b/>
          <w:sz w:val="24"/>
          <w:szCs w:val="24"/>
        </w:rPr>
        <w:t>.</w:t>
      </w:r>
    </w:p>
    <w:p w14:paraId="3AD7EF80" w14:textId="4710B05D" w:rsidR="004903BC" w:rsidRDefault="0062263F" w:rsidP="00917BD7">
      <w:pPr>
        <w:spacing w:line="480" w:lineRule="auto"/>
        <w:ind w:left="720" w:hanging="720"/>
        <w:contextualSpacing/>
        <w:rPr>
          <w:rFonts w:ascii="Times New Roman" w:hAnsi="Times New Roman" w:cs="Times New Roman"/>
          <w:sz w:val="24"/>
          <w:szCs w:val="24"/>
        </w:rPr>
      </w:pPr>
      <w:r w:rsidRPr="00B32F93">
        <w:rPr>
          <w:rFonts w:ascii="Times New Roman" w:hAnsi="Times New Roman" w:cs="Times New Roman"/>
          <w:sz w:val="24"/>
          <w:szCs w:val="24"/>
        </w:rPr>
        <w:lastRenderedPageBreak/>
        <w:t>A.</w:t>
      </w:r>
      <w:r>
        <w:rPr>
          <w:rFonts w:ascii="Times New Roman" w:hAnsi="Times New Roman" w:cs="Times New Roman"/>
          <w:sz w:val="24"/>
          <w:szCs w:val="24"/>
        </w:rPr>
        <w:t xml:space="preserve"> </w:t>
      </w:r>
      <w:r>
        <w:rPr>
          <w:rFonts w:ascii="Times New Roman" w:hAnsi="Times New Roman" w:cs="Times New Roman"/>
          <w:sz w:val="24"/>
          <w:szCs w:val="24"/>
        </w:rPr>
        <w:tab/>
      </w:r>
      <w:r w:rsidR="005B3C78">
        <w:rPr>
          <w:rFonts w:ascii="Times New Roman" w:hAnsi="Times New Roman" w:cs="Times New Roman"/>
          <w:sz w:val="24"/>
          <w:szCs w:val="24"/>
        </w:rPr>
        <w:t>Pacific Power</w:t>
      </w:r>
      <w:r w:rsidR="006E016F">
        <w:rPr>
          <w:rFonts w:ascii="Times New Roman" w:hAnsi="Times New Roman" w:cs="Times New Roman"/>
          <w:sz w:val="24"/>
          <w:szCs w:val="24"/>
        </w:rPr>
        <w:t xml:space="preserve"> has acquired its WCA wind resources </w:t>
      </w:r>
      <w:r w:rsidR="00835960">
        <w:rPr>
          <w:rFonts w:ascii="Times New Roman" w:hAnsi="Times New Roman" w:cs="Times New Roman"/>
          <w:sz w:val="24"/>
          <w:szCs w:val="24"/>
        </w:rPr>
        <w:t xml:space="preserve">primarily </w:t>
      </w:r>
      <w:r w:rsidR="006E016F">
        <w:rPr>
          <w:rFonts w:ascii="Times New Roman" w:hAnsi="Times New Roman" w:cs="Times New Roman"/>
          <w:sz w:val="24"/>
          <w:szCs w:val="24"/>
        </w:rPr>
        <w:t>to meet the renewable portfolio standards (RPS) adopted by WCA states (Washington, Oregon, and California)</w:t>
      </w:r>
      <w:r w:rsidR="0080648C">
        <w:rPr>
          <w:rFonts w:ascii="Times New Roman" w:hAnsi="Times New Roman" w:cs="Times New Roman"/>
          <w:sz w:val="24"/>
          <w:szCs w:val="24"/>
        </w:rPr>
        <w:t>;</w:t>
      </w:r>
      <w:r w:rsidR="0080648C" w:rsidRPr="0080648C">
        <w:rPr>
          <w:rFonts w:ascii="Times New Roman" w:hAnsi="Times New Roman" w:cs="Times New Roman"/>
          <w:sz w:val="24"/>
          <w:szCs w:val="24"/>
        </w:rPr>
        <w:t xml:space="preserve"> </w:t>
      </w:r>
      <w:r w:rsidR="0080648C">
        <w:rPr>
          <w:rFonts w:ascii="Times New Roman" w:hAnsi="Times New Roman" w:cs="Times New Roman"/>
          <w:sz w:val="24"/>
          <w:szCs w:val="24"/>
        </w:rPr>
        <w:t>the Company has stated that any future wind acquisitions in the WCA will be solely driven by RPS compliance needs.</w:t>
      </w:r>
      <w:r w:rsidR="0080648C">
        <w:rPr>
          <w:rStyle w:val="FootnoteReference"/>
          <w:rFonts w:ascii="Times New Roman" w:hAnsi="Times New Roman" w:cs="Times New Roman"/>
          <w:sz w:val="24"/>
          <w:szCs w:val="24"/>
        </w:rPr>
        <w:footnoteReference w:id="20"/>
      </w:r>
      <w:r w:rsidR="006E016F">
        <w:rPr>
          <w:rFonts w:ascii="Times New Roman" w:hAnsi="Times New Roman" w:cs="Times New Roman"/>
          <w:sz w:val="24"/>
          <w:szCs w:val="24"/>
        </w:rPr>
        <w:t xml:space="preserve">  Each of the </w:t>
      </w:r>
      <w:r w:rsidR="0080648C">
        <w:rPr>
          <w:rFonts w:ascii="Times New Roman" w:hAnsi="Times New Roman" w:cs="Times New Roman"/>
          <w:sz w:val="24"/>
          <w:szCs w:val="24"/>
        </w:rPr>
        <w:t xml:space="preserve">WCA </w:t>
      </w:r>
      <w:r w:rsidR="006E016F">
        <w:rPr>
          <w:rFonts w:ascii="Times New Roman" w:hAnsi="Times New Roman" w:cs="Times New Roman"/>
          <w:sz w:val="24"/>
          <w:szCs w:val="24"/>
        </w:rPr>
        <w:t xml:space="preserve">states has adopted an energy-based standard; that is, </w:t>
      </w:r>
      <w:r w:rsidR="005B3C78">
        <w:rPr>
          <w:rFonts w:ascii="Times New Roman" w:hAnsi="Times New Roman" w:cs="Times New Roman"/>
          <w:sz w:val="24"/>
          <w:szCs w:val="24"/>
        </w:rPr>
        <w:t xml:space="preserve">the amount of renewable energy that a utility must </w:t>
      </w:r>
      <w:r>
        <w:rPr>
          <w:rFonts w:ascii="Times New Roman" w:hAnsi="Times New Roman" w:cs="Times New Roman"/>
          <w:sz w:val="24"/>
          <w:szCs w:val="24"/>
        </w:rPr>
        <w:t xml:space="preserve">acquire </w:t>
      </w:r>
      <w:r w:rsidR="005B3C78">
        <w:rPr>
          <w:rFonts w:ascii="Times New Roman" w:hAnsi="Times New Roman" w:cs="Times New Roman"/>
          <w:sz w:val="24"/>
          <w:szCs w:val="24"/>
        </w:rPr>
        <w:t xml:space="preserve">is based on </w:t>
      </w:r>
      <w:r>
        <w:rPr>
          <w:rFonts w:ascii="Times New Roman" w:hAnsi="Times New Roman" w:cs="Times New Roman"/>
          <w:sz w:val="24"/>
          <w:szCs w:val="24"/>
        </w:rPr>
        <w:t xml:space="preserve">the </w:t>
      </w:r>
      <w:r w:rsidR="005B3C78">
        <w:rPr>
          <w:rFonts w:ascii="Times New Roman" w:hAnsi="Times New Roman" w:cs="Times New Roman"/>
          <w:sz w:val="24"/>
          <w:szCs w:val="24"/>
        </w:rPr>
        <w:t>energy it sells.</w:t>
      </w:r>
      <w:r w:rsidR="005B3C78">
        <w:rPr>
          <w:rStyle w:val="FootnoteReference"/>
          <w:rFonts w:ascii="Times New Roman" w:hAnsi="Times New Roman" w:cs="Times New Roman"/>
          <w:sz w:val="24"/>
          <w:szCs w:val="24"/>
        </w:rPr>
        <w:footnoteReference w:id="21"/>
      </w:r>
      <w:r w:rsidR="005B3C78">
        <w:rPr>
          <w:rFonts w:ascii="Times New Roman" w:hAnsi="Times New Roman" w:cs="Times New Roman"/>
          <w:sz w:val="24"/>
          <w:szCs w:val="24"/>
        </w:rPr>
        <w:t xml:space="preserve">  </w:t>
      </w:r>
      <w:r>
        <w:rPr>
          <w:rFonts w:ascii="Times New Roman" w:hAnsi="Times New Roman" w:cs="Times New Roman"/>
          <w:sz w:val="24"/>
          <w:szCs w:val="24"/>
        </w:rPr>
        <w:t xml:space="preserve">In short, higher energy usage results in a higher RPS target. </w:t>
      </w:r>
      <w:r w:rsidR="000453AA">
        <w:rPr>
          <w:rFonts w:ascii="Times New Roman" w:hAnsi="Times New Roman" w:cs="Times New Roman"/>
          <w:sz w:val="24"/>
          <w:szCs w:val="24"/>
        </w:rPr>
        <w:t xml:space="preserve"> </w:t>
      </w:r>
      <w:r w:rsidR="0025411F">
        <w:rPr>
          <w:rFonts w:ascii="Times New Roman" w:hAnsi="Times New Roman" w:cs="Times New Roman"/>
          <w:sz w:val="24"/>
          <w:szCs w:val="24"/>
        </w:rPr>
        <w:t>Since</w:t>
      </w:r>
      <w:r w:rsidR="005B3C78">
        <w:rPr>
          <w:rFonts w:ascii="Times New Roman" w:hAnsi="Times New Roman" w:cs="Times New Roman"/>
          <w:sz w:val="24"/>
          <w:szCs w:val="24"/>
        </w:rPr>
        <w:t xml:space="preserve"> it is energy usage that drives the Company’s need to acquire wind resources</w:t>
      </w:r>
      <w:r w:rsidR="007726E6">
        <w:rPr>
          <w:rFonts w:ascii="Times New Roman" w:hAnsi="Times New Roman" w:cs="Times New Roman"/>
          <w:sz w:val="24"/>
          <w:szCs w:val="24"/>
        </w:rPr>
        <w:t xml:space="preserve">, it is logically consistent to assign the costs of wind energy on the same determinant – </w:t>
      </w:r>
      <w:r w:rsidR="004903BC">
        <w:rPr>
          <w:rFonts w:ascii="Times New Roman" w:hAnsi="Times New Roman" w:cs="Times New Roman"/>
          <w:sz w:val="24"/>
          <w:szCs w:val="24"/>
        </w:rPr>
        <w:t xml:space="preserve">customer </w:t>
      </w:r>
      <w:r w:rsidR="007726E6">
        <w:rPr>
          <w:rFonts w:ascii="Times New Roman" w:hAnsi="Times New Roman" w:cs="Times New Roman"/>
          <w:sz w:val="24"/>
          <w:szCs w:val="24"/>
        </w:rPr>
        <w:t>energy usage</w:t>
      </w:r>
      <w:r w:rsidR="00163E8A">
        <w:rPr>
          <w:rFonts w:ascii="Times New Roman" w:hAnsi="Times New Roman" w:cs="Times New Roman"/>
          <w:sz w:val="24"/>
          <w:szCs w:val="24"/>
        </w:rPr>
        <w:t xml:space="preserve">.  </w:t>
      </w:r>
      <w:r w:rsidR="004903BC">
        <w:rPr>
          <w:rFonts w:ascii="Times New Roman" w:hAnsi="Times New Roman" w:cs="Times New Roman"/>
          <w:sz w:val="24"/>
          <w:szCs w:val="24"/>
        </w:rPr>
        <w:t xml:space="preserve">The </w:t>
      </w:r>
      <w:r w:rsidR="007726E6">
        <w:rPr>
          <w:rFonts w:ascii="Times New Roman" w:hAnsi="Times New Roman" w:cs="Times New Roman"/>
          <w:sz w:val="24"/>
          <w:szCs w:val="24"/>
        </w:rPr>
        <w:t xml:space="preserve">NDG </w:t>
      </w:r>
      <w:r w:rsidR="004903BC">
        <w:rPr>
          <w:rFonts w:ascii="Times New Roman" w:hAnsi="Times New Roman" w:cs="Times New Roman"/>
          <w:sz w:val="24"/>
          <w:szCs w:val="24"/>
        </w:rPr>
        <w:t xml:space="preserve">allocation </w:t>
      </w:r>
      <w:r w:rsidR="007726E6">
        <w:rPr>
          <w:rFonts w:ascii="Times New Roman" w:hAnsi="Times New Roman" w:cs="Times New Roman"/>
          <w:sz w:val="24"/>
          <w:szCs w:val="24"/>
        </w:rPr>
        <w:t xml:space="preserve">factor </w:t>
      </w:r>
      <w:r w:rsidR="004903BC">
        <w:rPr>
          <w:rFonts w:ascii="Times New Roman" w:hAnsi="Times New Roman" w:cs="Times New Roman"/>
          <w:sz w:val="24"/>
          <w:szCs w:val="24"/>
        </w:rPr>
        <w:t xml:space="preserve">more closely </w:t>
      </w:r>
      <w:r w:rsidR="007726E6">
        <w:rPr>
          <w:rFonts w:ascii="Times New Roman" w:hAnsi="Times New Roman" w:cs="Times New Roman"/>
          <w:sz w:val="24"/>
          <w:szCs w:val="24"/>
        </w:rPr>
        <w:t>allocate</w:t>
      </w:r>
      <w:r w:rsidR="004903BC">
        <w:rPr>
          <w:rFonts w:ascii="Times New Roman" w:hAnsi="Times New Roman" w:cs="Times New Roman"/>
          <w:sz w:val="24"/>
          <w:szCs w:val="24"/>
        </w:rPr>
        <w:t>s</w:t>
      </w:r>
      <w:r w:rsidR="007726E6">
        <w:rPr>
          <w:rFonts w:ascii="Times New Roman" w:hAnsi="Times New Roman" w:cs="Times New Roman"/>
          <w:sz w:val="24"/>
          <w:szCs w:val="24"/>
        </w:rPr>
        <w:t xml:space="preserve"> </w:t>
      </w:r>
      <w:r w:rsidR="004903BC">
        <w:rPr>
          <w:rFonts w:ascii="Times New Roman" w:hAnsi="Times New Roman" w:cs="Times New Roman"/>
          <w:sz w:val="24"/>
          <w:szCs w:val="24"/>
        </w:rPr>
        <w:t xml:space="preserve">the costs associated with </w:t>
      </w:r>
      <w:r w:rsidR="007726E6">
        <w:rPr>
          <w:rFonts w:ascii="Times New Roman" w:hAnsi="Times New Roman" w:cs="Times New Roman"/>
          <w:sz w:val="24"/>
          <w:szCs w:val="24"/>
        </w:rPr>
        <w:t xml:space="preserve">wind </w:t>
      </w:r>
      <w:r w:rsidR="00D42819">
        <w:rPr>
          <w:rFonts w:ascii="Times New Roman" w:hAnsi="Times New Roman" w:cs="Times New Roman"/>
          <w:sz w:val="24"/>
          <w:szCs w:val="24"/>
        </w:rPr>
        <w:t>energy to customer usage,</w:t>
      </w:r>
      <w:r w:rsidR="004903BC">
        <w:rPr>
          <w:rFonts w:ascii="Times New Roman" w:hAnsi="Times New Roman" w:cs="Times New Roman"/>
          <w:sz w:val="24"/>
          <w:szCs w:val="24"/>
        </w:rPr>
        <w:t xml:space="preserve"> thus following</w:t>
      </w:r>
      <w:r w:rsidR="00866CD3">
        <w:rPr>
          <w:rFonts w:ascii="Times New Roman" w:hAnsi="Times New Roman" w:cs="Times New Roman"/>
          <w:sz w:val="24"/>
          <w:szCs w:val="24"/>
        </w:rPr>
        <w:t xml:space="preserve"> the principles of cost causation</w:t>
      </w:r>
      <w:r w:rsidR="004903BC">
        <w:rPr>
          <w:rFonts w:ascii="Times New Roman" w:hAnsi="Times New Roman" w:cs="Times New Roman"/>
          <w:sz w:val="24"/>
          <w:szCs w:val="24"/>
        </w:rPr>
        <w:t xml:space="preserve"> and </w:t>
      </w:r>
      <w:r w:rsidR="00D42819">
        <w:rPr>
          <w:rFonts w:ascii="Times New Roman" w:hAnsi="Times New Roman" w:cs="Times New Roman"/>
          <w:sz w:val="24"/>
          <w:szCs w:val="24"/>
        </w:rPr>
        <w:t>allocation</w:t>
      </w:r>
      <w:r w:rsidR="004903BC">
        <w:rPr>
          <w:rFonts w:ascii="Times New Roman" w:hAnsi="Times New Roman" w:cs="Times New Roman"/>
          <w:sz w:val="24"/>
          <w:szCs w:val="24"/>
        </w:rPr>
        <w:t xml:space="preserve">. </w:t>
      </w:r>
      <w:r w:rsidR="007726E6">
        <w:rPr>
          <w:rFonts w:ascii="Times New Roman" w:hAnsi="Times New Roman" w:cs="Times New Roman"/>
          <w:sz w:val="24"/>
          <w:szCs w:val="24"/>
        </w:rPr>
        <w:t xml:space="preserve"> </w:t>
      </w:r>
    </w:p>
    <w:p w14:paraId="0F4D82D9" w14:textId="77777777" w:rsidR="00163E8A" w:rsidRDefault="00163E8A" w:rsidP="00163E8A">
      <w:pPr>
        <w:spacing w:line="480" w:lineRule="auto"/>
        <w:ind w:left="720" w:hanging="720"/>
        <w:contextualSpacing/>
        <w:rPr>
          <w:rFonts w:ascii="Times New Roman" w:hAnsi="Times New Roman" w:cs="Times New Roman"/>
          <w:sz w:val="24"/>
          <w:szCs w:val="24"/>
        </w:rPr>
      </w:pPr>
    </w:p>
    <w:p w14:paraId="4334C3DA" w14:textId="5663E2D0" w:rsidR="004903BC" w:rsidRDefault="004903BC" w:rsidP="00163E8A">
      <w:pPr>
        <w:spacing w:line="480" w:lineRule="auto"/>
        <w:ind w:left="720" w:hanging="720"/>
        <w:contextualSpacing/>
        <w:rPr>
          <w:rFonts w:ascii="Times New Roman" w:hAnsi="Times New Roman" w:cs="Times New Roman"/>
          <w:b/>
          <w:sz w:val="24"/>
          <w:szCs w:val="24"/>
        </w:rPr>
      </w:pPr>
      <w:r w:rsidRPr="00163E8A">
        <w:rPr>
          <w:rFonts w:ascii="Times New Roman" w:hAnsi="Times New Roman" w:cs="Times New Roman"/>
          <w:b/>
          <w:sz w:val="24"/>
          <w:szCs w:val="24"/>
        </w:rPr>
        <w:t xml:space="preserve">Q.  </w:t>
      </w:r>
      <w:r w:rsidRPr="00163E8A">
        <w:rPr>
          <w:rFonts w:ascii="Times New Roman" w:hAnsi="Times New Roman" w:cs="Times New Roman"/>
          <w:b/>
          <w:sz w:val="24"/>
          <w:szCs w:val="24"/>
        </w:rPr>
        <w:tab/>
        <w:t xml:space="preserve">Is there any benefit to delaying the adoption of the NDG allocation factor? </w:t>
      </w:r>
    </w:p>
    <w:p w14:paraId="690D0929" w14:textId="15572CD9" w:rsidR="002A28A9" w:rsidRDefault="004903BC" w:rsidP="00163E8A">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No.</w:t>
      </w:r>
      <w:r w:rsidR="000453AA">
        <w:rPr>
          <w:rFonts w:ascii="Times New Roman" w:hAnsi="Times New Roman" w:cs="Times New Roman"/>
          <w:sz w:val="24"/>
          <w:szCs w:val="24"/>
        </w:rPr>
        <w:t xml:space="preserve"> </w:t>
      </w:r>
      <w:r>
        <w:rPr>
          <w:rFonts w:ascii="Times New Roman" w:hAnsi="Times New Roman" w:cs="Times New Roman"/>
          <w:sz w:val="24"/>
          <w:szCs w:val="24"/>
        </w:rPr>
        <w:t xml:space="preserve"> As noted above, </w:t>
      </w:r>
      <w:r w:rsidR="00866CD3">
        <w:rPr>
          <w:rFonts w:ascii="Times New Roman" w:hAnsi="Times New Roman" w:cs="Times New Roman"/>
          <w:sz w:val="24"/>
          <w:szCs w:val="24"/>
        </w:rPr>
        <w:t xml:space="preserve">the impact </w:t>
      </w:r>
      <w:r w:rsidR="00B77388">
        <w:rPr>
          <w:rFonts w:ascii="Times New Roman" w:hAnsi="Times New Roman" w:cs="Times New Roman"/>
          <w:sz w:val="24"/>
          <w:szCs w:val="24"/>
        </w:rPr>
        <w:t xml:space="preserve">of the NDG </w:t>
      </w:r>
      <w:r>
        <w:rPr>
          <w:rFonts w:ascii="Times New Roman" w:hAnsi="Times New Roman" w:cs="Times New Roman"/>
          <w:sz w:val="24"/>
          <w:szCs w:val="24"/>
        </w:rPr>
        <w:t xml:space="preserve">allocation </w:t>
      </w:r>
      <w:r w:rsidR="00B77388">
        <w:rPr>
          <w:rFonts w:ascii="Times New Roman" w:hAnsi="Times New Roman" w:cs="Times New Roman"/>
          <w:sz w:val="24"/>
          <w:szCs w:val="24"/>
        </w:rPr>
        <w:t xml:space="preserve">factor is </w:t>
      </w:r>
      <w:r>
        <w:rPr>
          <w:rFonts w:ascii="Times New Roman" w:hAnsi="Times New Roman" w:cs="Times New Roman"/>
          <w:sz w:val="24"/>
          <w:szCs w:val="24"/>
        </w:rPr>
        <w:t xml:space="preserve">relatively </w:t>
      </w:r>
      <w:r w:rsidR="00B77388">
        <w:rPr>
          <w:rFonts w:ascii="Times New Roman" w:hAnsi="Times New Roman" w:cs="Times New Roman"/>
          <w:sz w:val="24"/>
          <w:szCs w:val="24"/>
        </w:rPr>
        <w:t>small</w:t>
      </w:r>
      <w:r>
        <w:rPr>
          <w:rFonts w:ascii="Times New Roman" w:hAnsi="Times New Roman" w:cs="Times New Roman"/>
          <w:sz w:val="24"/>
          <w:szCs w:val="24"/>
        </w:rPr>
        <w:t xml:space="preserve"> today</w:t>
      </w:r>
      <w:r w:rsidR="00866CD3">
        <w:rPr>
          <w:rFonts w:ascii="Times New Roman" w:hAnsi="Times New Roman" w:cs="Times New Roman"/>
          <w:sz w:val="24"/>
          <w:szCs w:val="24"/>
        </w:rPr>
        <w:t>, but</w:t>
      </w:r>
      <w:r>
        <w:rPr>
          <w:rFonts w:ascii="Times New Roman" w:hAnsi="Times New Roman" w:cs="Times New Roman"/>
          <w:sz w:val="24"/>
          <w:szCs w:val="24"/>
        </w:rPr>
        <w:t xml:space="preserve"> is expected to increase with the growth of the Company’s wind resource</w:t>
      </w:r>
      <w:r w:rsidR="00165C67">
        <w:rPr>
          <w:rFonts w:ascii="Times New Roman" w:hAnsi="Times New Roman" w:cs="Times New Roman"/>
          <w:sz w:val="24"/>
          <w:szCs w:val="24"/>
        </w:rPr>
        <w:t xml:space="preserve"> portfolio. </w:t>
      </w:r>
      <w:r w:rsidR="000453AA">
        <w:rPr>
          <w:rFonts w:ascii="Times New Roman" w:hAnsi="Times New Roman" w:cs="Times New Roman"/>
          <w:sz w:val="24"/>
          <w:szCs w:val="24"/>
        </w:rPr>
        <w:t xml:space="preserve"> </w:t>
      </w:r>
      <w:r w:rsidR="00165C67">
        <w:rPr>
          <w:rFonts w:ascii="Times New Roman" w:hAnsi="Times New Roman" w:cs="Times New Roman"/>
          <w:sz w:val="24"/>
          <w:szCs w:val="24"/>
        </w:rPr>
        <w:t xml:space="preserve">Importantly, adoption of </w:t>
      </w:r>
      <w:r w:rsidR="00D61E53">
        <w:rPr>
          <w:rFonts w:ascii="Times New Roman" w:hAnsi="Times New Roman" w:cs="Times New Roman"/>
          <w:sz w:val="24"/>
          <w:szCs w:val="24"/>
        </w:rPr>
        <w:t xml:space="preserve">the </w:t>
      </w:r>
      <w:r w:rsidR="00165C67">
        <w:rPr>
          <w:rFonts w:ascii="Times New Roman" w:hAnsi="Times New Roman" w:cs="Times New Roman"/>
          <w:sz w:val="24"/>
          <w:szCs w:val="24"/>
        </w:rPr>
        <w:t>NDG allocation factor</w:t>
      </w:r>
      <w:r w:rsidR="00866CD3">
        <w:rPr>
          <w:rFonts w:ascii="Times New Roman" w:hAnsi="Times New Roman" w:cs="Times New Roman"/>
          <w:sz w:val="24"/>
          <w:szCs w:val="24"/>
        </w:rPr>
        <w:t xml:space="preserve"> </w:t>
      </w:r>
      <w:r w:rsidR="00B77388">
        <w:rPr>
          <w:rFonts w:ascii="Times New Roman" w:hAnsi="Times New Roman" w:cs="Times New Roman"/>
          <w:sz w:val="24"/>
          <w:szCs w:val="24"/>
        </w:rPr>
        <w:t xml:space="preserve">is in line with </w:t>
      </w:r>
      <w:r w:rsidR="00866CD3">
        <w:rPr>
          <w:rFonts w:ascii="Times New Roman" w:hAnsi="Times New Roman" w:cs="Times New Roman"/>
          <w:sz w:val="24"/>
          <w:szCs w:val="24"/>
        </w:rPr>
        <w:t xml:space="preserve">the principle of cost causation. </w:t>
      </w:r>
      <w:r w:rsidR="004B3168">
        <w:rPr>
          <w:rFonts w:ascii="Times New Roman" w:hAnsi="Times New Roman" w:cs="Times New Roman"/>
          <w:sz w:val="24"/>
          <w:szCs w:val="24"/>
        </w:rPr>
        <w:t xml:space="preserve"> While the Commission has identified other policy goals that may justify a divergence from this principle, such as gradualism, Staff maintains that cost causation should be the starting point of the cost of service analysi</w:t>
      </w:r>
      <w:r w:rsidR="003B08D3">
        <w:rPr>
          <w:rFonts w:ascii="Times New Roman" w:hAnsi="Times New Roman" w:cs="Times New Roman"/>
          <w:sz w:val="24"/>
          <w:szCs w:val="24"/>
        </w:rPr>
        <w:t>s.  I</w:t>
      </w:r>
      <w:r w:rsidR="004B3168">
        <w:rPr>
          <w:rFonts w:ascii="Times New Roman" w:hAnsi="Times New Roman" w:cs="Times New Roman"/>
          <w:sz w:val="24"/>
          <w:szCs w:val="24"/>
        </w:rPr>
        <w:t xml:space="preserve">n this instance, the </w:t>
      </w:r>
      <w:r w:rsidR="00B77388">
        <w:rPr>
          <w:rFonts w:ascii="Times New Roman" w:hAnsi="Times New Roman" w:cs="Times New Roman"/>
          <w:sz w:val="24"/>
          <w:szCs w:val="24"/>
        </w:rPr>
        <w:t>NDG</w:t>
      </w:r>
      <w:r w:rsidR="004B3168">
        <w:rPr>
          <w:rFonts w:ascii="Times New Roman" w:hAnsi="Times New Roman" w:cs="Times New Roman"/>
          <w:sz w:val="24"/>
          <w:szCs w:val="24"/>
        </w:rPr>
        <w:t xml:space="preserve"> </w:t>
      </w:r>
      <w:r w:rsidR="000453AA">
        <w:rPr>
          <w:rFonts w:ascii="Times New Roman" w:hAnsi="Times New Roman" w:cs="Times New Roman"/>
          <w:sz w:val="24"/>
          <w:szCs w:val="24"/>
        </w:rPr>
        <w:t>allocation</w:t>
      </w:r>
      <w:r w:rsidR="00165C67">
        <w:rPr>
          <w:rFonts w:ascii="Times New Roman" w:hAnsi="Times New Roman" w:cs="Times New Roman"/>
          <w:sz w:val="24"/>
          <w:szCs w:val="24"/>
        </w:rPr>
        <w:t xml:space="preserve"> </w:t>
      </w:r>
      <w:r w:rsidR="004B3168">
        <w:rPr>
          <w:rFonts w:ascii="Times New Roman" w:hAnsi="Times New Roman" w:cs="Times New Roman"/>
          <w:sz w:val="24"/>
          <w:szCs w:val="24"/>
        </w:rPr>
        <w:t xml:space="preserve">factor assigns costs associated with wind energy </w:t>
      </w:r>
      <w:r w:rsidR="006749FD">
        <w:rPr>
          <w:rFonts w:ascii="Times New Roman" w:hAnsi="Times New Roman" w:cs="Times New Roman"/>
          <w:sz w:val="24"/>
          <w:szCs w:val="24"/>
        </w:rPr>
        <w:t>in a manner that is more reflective of why those costs were incurred</w:t>
      </w:r>
      <w:r w:rsidR="004B3168">
        <w:rPr>
          <w:rFonts w:ascii="Times New Roman" w:hAnsi="Times New Roman" w:cs="Times New Roman"/>
          <w:sz w:val="24"/>
          <w:szCs w:val="24"/>
        </w:rPr>
        <w:t xml:space="preserve">.  </w:t>
      </w:r>
      <w:r w:rsidR="00D61E53">
        <w:rPr>
          <w:rFonts w:ascii="Times New Roman" w:hAnsi="Times New Roman" w:cs="Times New Roman"/>
          <w:sz w:val="24"/>
          <w:szCs w:val="24"/>
        </w:rPr>
        <w:t xml:space="preserve">And since its </w:t>
      </w:r>
      <w:r w:rsidR="00D61E53">
        <w:rPr>
          <w:rFonts w:ascii="Times New Roman" w:hAnsi="Times New Roman" w:cs="Times New Roman"/>
          <w:sz w:val="24"/>
          <w:szCs w:val="24"/>
        </w:rPr>
        <w:lastRenderedPageBreak/>
        <w:t>impact on rate spread is modest, it does not conflict with gradualism or other policy goals that might justify a divergence from cost causation.</w:t>
      </w:r>
    </w:p>
    <w:p w14:paraId="74F592E8" w14:textId="384F76DB" w:rsidR="0017268E" w:rsidRDefault="00B32F93" w:rsidP="00163E8A">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17268E">
        <w:rPr>
          <w:rFonts w:ascii="Times New Roman" w:hAnsi="Times New Roman" w:cs="Times New Roman"/>
          <w:sz w:val="24"/>
          <w:szCs w:val="24"/>
        </w:rPr>
        <w:tab/>
        <w:t xml:space="preserve">For these reasons, </w:t>
      </w:r>
      <w:r w:rsidR="0080648C">
        <w:rPr>
          <w:rFonts w:ascii="Times New Roman" w:hAnsi="Times New Roman" w:cs="Times New Roman"/>
          <w:sz w:val="24"/>
          <w:szCs w:val="24"/>
        </w:rPr>
        <w:t>I have</w:t>
      </w:r>
      <w:r w:rsidR="0017268E">
        <w:rPr>
          <w:rFonts w:ascii="Times New Roman" w:hAnsi="Times New Roman" w:cs="Times New Roman"/>
          <w:sz w:val="24"/>
          <w:szCs w:val="24"/>
        </w:rPr>
        <w:t xml:space="preserve"> included the NDG factor in </w:t>
      </w:r>
      <w:r w:rsidR="0080648C">
        <w:rPr>
          <w:rFonts w:ascii="Times New Roman" w:hAnsi="Times New Roman" w:cs="Times New Roman"/>
          <w:sz w:val="24"/>
          <w:szCs w:val="24"/>
        </w:rPr>
        <w:t xml:space="preserve">Staff’s </w:t>
      </w:r>
      <w:r w:rsidR="0017268E">
        <w:rPr>
          <w:rFonts w:ascii="Times New Roman" w:hAnsi="Times New Roman" w:cs="Times New Roman"/>
          <w:sz w:val="24"/>
          <w:szCs w:val="24"/>
        </w:rPr>
        <w:t>cost-of-service study, calculated to reflect the Company’s updated wind capacity value of 18.1 percent.</w:t>
      </w:r>
    </w:p>
    <w:p w14:paraId="690D092A" w14:textId="77777777" w:rsidR="00B77388" w:rsidRDefault="00B77388" w:rsidP="00B32F93">
      <w:pPr>
        <w:spacing w:line="480" w:lineRule="auto"/>
        <w:contextualSpacing/>
        <w:rPr>
          <w:rFonts w:ascii="Times New Roman" w:hAnsi="Times New Roman" w:cs="Times New Roman"/>
          <w:sz w:val="24"/>
          <w:szCs w:val="24"/>
        </w:rPr>
      </w:pPr>
    </w:p>
    <w:p w14:paraId="690D092B" w14:textId="2AC7CA77" w:rsidR="004B3168" w:rsidRPr="00293F51" w:rsidRDefault="004B3168"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sidR="0080648C">
        <w:rPr>
          <w:rFonts w:ascii="Times New Roman" w:hAnsi="Times New Roman" w:cs="Times New Roman"/>
          <w:b/>
          <w:sz w:val="24"/>
          <w:szCs w:val="24"/>
        </w:rPr>
        <w:t>What was</w:t>
      </w:r>
      <w:r>
        <w:rPr>
          <w:rFonts w:ascii="Times New Roman" w:hAnsi="Times New Roman" w:cs="Times New Roman"/>
          <w:b/>
          <w:sz w:val="24"/>
          <w:szCs w:val="24"/>
        </w:rPr>
        <w:t xml:space="preserve"> Staff’s third recommendation from</w:t>
      </w:r>
      <w:r w:rsidR="0080648C">
        <w:rPr>
          <w:rFonts w:ascii="Times New Roman" w:hAnsi="Times New Roman" w:cs="Times New Roman"/>
          <w:b/>
          <w:sz w:val="24"/>
          <w:szCs w:val="24"/>
        </w:rPr>
        <w:t xml:space="preserve"> the previous general rate case?</w:t>
      </w:r>
    </w:p>
    <w:p w14:paraId="690D092C" w14:textId="77777777" w:rsidR="004B3168" w:rsidRDefault="004B3168"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Pr>
          <w:rFonts w:ascii="Times New Roman" w:hAnsi="Times New Roman" w:cs="Times New Roman"/>
          <w:sz w:val="24"/>
          <w:szCs w:val="24"/>
        </w:rPr>
        <w:t>Staff recommended that Pacific Power directly assign the costs of its corporate account managers</w:t>
      </w:r>
      <w:r w:rsidR="006749FD">
        <w:rPr>
          <w:rFonts w:ascii="Times New Roman" w:hAnsi="Times New Roman" w:cs="Times New Roman"/>
          <w:sz w:val="24"/>
          <w:szCs w:val="24"/>
        </w:rPr>
        <w:t xml:space="preserve"> </w:t>
      </w:r>
      <w:r>
        <w:rPr>
          <w:rFonts w:ascii="Times New Roman" w:hAnsi="Times New Roman" w:cs="Times New Roman"/>
          <w:sz w:val="24"/>
          <w:szCs w:val="24"/>
        </w:rPr>
        <w:t xml:space="preserve">to </w:t>
      </w:r>
      <w:r w:rsidR="006749FD">
        <w:rPr>
          <w:rFonts w:ascii="Times New Roman" w:hAnsi="Times New Roman" w:cs="Times New Roman"/>
          <w:sz w:val="24"/>
          <w:szCs w:val="24"/>
        </w:rPr>
        <w:t xml:space="preserve">the industrial </w:t>
      </w:r>
      <w:r>
        <w:rPr>
          <w:rFonts w:ascii="Times New Roman" w:hAnsi="Times New Roman" w:cs="Times New Roman"/>
          <w:sz w:val="24"/>
          <w:szCs w:val="24"/>
        </w:rPr>
        <w:t>cus</w:t>
      </w:r>
      <w:r w:rsidR="006749FD">
        <w:rPr>
          <w:rFonts w:ascii="Times New Roman" w:hAnsi="Times New Roman" w:cs="Times New Roman"/>
          <w:sz w:val="24"/>
          <w:szCs w:val="24"/>
        </w:rPr>
        <w:t xml:space="preserve">tomer classes that those account managers serve.  </w:t>
      </w:r>
    </w:p>
    <w:p w14:paraId="690D092D" w14:textId="77777777" w:rsidR="002A28A9" w:rsidRPr="00293F51" w:rsidRDefault="002A28A9" w:rsidP="002A28A9">
      <w:pPr>
        <w:spacing w:line="480" w:lineRule="auto"/>
        <w:ind w:left="720" w:hanging="720"/>
        <w:contextualSpacing/>
        <w:rPr>
          <w:rFonts w:ascii="Times New Roman" w:hAnsi="Times New Roman" w:cs="Times New Roman"/>
          <w:sz w:val="24"/>
          <w:szCs w:val="24"/>
        </w:rPr>
      </w:pPr>
    </w:p>
    <w:p w14:paraId="690D092E" w14:textId="5EEB47B8" w:rsidR="006749FD" w:rsidRPr="00293F51" w:rsidRDefault="006749FD"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Why did Staff make this recommendation?</w:t>
      </w:r>
    </w:p>
    <w:p w14:paraId="690D092F" w14:textId="04D6118D" w:rsidR="00B84422" w:rsidRDefault="006749FD"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Corporate account managers are assigned to customers</w:t>
      </w:r>
      <w:r w:rsidR="00B84422">
        <w:rPr>
          <w:rFonts w:ascii="Times New Roman" w:hAnsi="Times New Roman" w:cs="Times New Roman"/>
          <w:sz w:val="24"/>
          <w:szCs w:val="24"/>
        </w:rPr>
        <w:t xml:space="preserve"> with loads of 750 kW or greater.  When one of these customers has an issue with their service, they contact the corporate account manager, rather than the general customer service line that serves the remaining customer classes.</w:t>
      </w:r>
      <w:r w:rsidR="00B84422">
        <w:rPr>
          <w:rStyle w:val="FootnoteReference"/>
          <w:rFonts w:ascii="Times New Roman" w:hAnsi="Times New Roman" w:cs="Times New Roman"/>
          <w:sz w:val="24"/>
          <w:szCs w:val="24"/>
        </w:rPr>
        <w:footnoteReference w:id="22"/>
      </w:r>
      <w:r w:rsidR="00B84422">
        <w:rPr>
          <w:rFonts w:ascii="Times New Roman" w:hAnsi="Times New Roman" w:cs="Times New Roman"/>
          <w:sz w:val="24"/>
          <w:szCs w:val="24"/>
        </w:rPr>
        <w:t xml:space="preserve">  As large industrial customers are the only ones who benefit from these accoun</w:t>
      </w:r>
      <w:r w:rsidR="00D61E53">
        <w:rPr>
          <w:rFonts w:ascii="Times New Roman" w:hAnsi="Times New Roman" w:cs="Times New Roman"/>
          <w:sz w:val="24"/>
          <w:szCs w:val="24"/>
        </w:rPr>
        <w:t xml:space="preserve">t managers, </w:t>
      </w:r>
      <w:r w:rsidR="00B84422">
        <w:rPr>
          <w:rFonts w:ascii="Times New Roman" w:hAnsi="Times New Roman" w:cs="Times New Roman"/>
          <w:sz w:val="24"/>
          <w:szCs w:val="24"/>
        </w:rPr>
        <w:t>the costs associated with the account managers should be directly assigned to the large industrial customers they serve, and not allocated across all customers classes as the Company has done.</w:t>
      </w:r>
    </w:p>
    <w:p w14:paraId="690D0930" w14:textId="77777777" w:rsidR="002A28A9" w:rsidRDefault="002A28A9" w:rsidP="002A28A9">
      <w:pPr>
        <w:spacing w:line="480" w:lineRule="auto"/>
        <w:ind w:left="720" w:hanging="720"/>
        <w:contextualSpacing/>
        <w:rPr>
          <w:rFonts w:ascii="Times New Roman" w:hAnsi="Times New Roman" w:cs="Times New Roman"/>
          <w:sz w:val="24"/>
          <w:szCs w:val="24"/>
        </w:rPr>
      </w:pPr>
    </w:p>
    <w:p w14:paraId="690D0931" w14:textId="77777777" w:rsidR="00B84422" w:rsidRPr="00293F51" w:rsidRDefault="006749FD" w:rsidP="00B32F93">
      <w:pPr>
        <w:keepNext/>
        <w:spacing w:line="480" w:lineRule="auto"/>
        <w:ind w:left="720" w:hanging="720"/>
        <w:contextualSpacing/>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B84422" w:rsidRPr="00293F51">
        <w:rPr>
          <w:rFonts w:ascii="Times New Roman" w:hAnsi="Times New Roman" w:cs="Times New Roman"/>
          <w:b/>
          <w:sz w:val="24"/>
          <w:szCs w:val="24"/>
        </w:rPr>
        <w:t>Q.</w:t>
      </w:r>
      <w:r w:rsidR="00B84422" w:rsidRPr="00293F51">
        <w:rPr>
          <w:rFonts w:ascii="Times New Roman" w:hAnsi="Times New Roman" w:cs="Times New Roman"/>
          <w:b/>
          <w:sz w:val="24"/>
          <w:szCs w:val="24"/>
        </w:rPr>
        <w:tab/>
      </w:r>
      <w:r w:rsidR="00B84422">
        <w:rPr>
          <w:rFonts w:ascii="Times New Roman" w:hAnsi="Times New Roman" w:cs="Times New Roman"/>
          <w:b/>
          <w:sz w:val="24"/>
          <w:szCs w:val="24"/>
        </w:rPr>
        <w:t>Please summarize Pacific Power’s response to Staff’s third recommendation.</w:t>
      </w:r>
    </w:p>
    <w:p w14:paraId="690D0932" w14:textId="77777777" w:rsidR="00B84422" w:rsidRDefault="00B84422"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Pacific Power stated that it would be willing to further explore the recommendation, but did not incorporate it in its cost of service study because of its minimal impact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and the “complex and burdensome” process of isolating individual cost drivers to specific types of customers within the Federal Energy Regulatory Commission’s Uniform System of Accounts.</w:t>
      </w:r>
      <w:r>
        <w:rPr>
          <w:rStyle w:val="FootnoteReference"/>
          <w:rFonts w:ascii="Times New Roman" w:hAnsi="Times New Roman" w:cs="Times New Roman"/>
          <w:sz w:val="24"/>
          <w:szCs w:val="24"/>
        </w:rPr>
        <w:footnoteReference w:id="24"/>
      </w:r>
    </w:p>
    <w:p w14:paraId="690D0933" w14:textId="77777777" w:rsidR="002A28A9" w:rsidRDefault="002A28A9" w:rsidP="002A28A9">
      <w:pPr>
        <w:spacing w:line="480" w:lineRule="auto"/>
        <w:ind w:left="720" w:hanging="720"/>
        <w:contextualSpacing/>
        <w:rPr>
          <w:rFonts w:ascii="Times New Roman" w:hAnsi="Times New Roman" w:cs="Times New Roman"/>
          <w:sz w:val="24"/>
          <w:szCs w:val="24"/>
        </w:rPr>
      </w:pPr>
    </w:p>
    <w:p w14:paraId="690D0934" w14:textId="77777777" w:rsidR="00B84422" w:rsidRPr="00293F51" w:rsidRDefault="00B84422" w:rsidP="002A28A9">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What is Staff’s position on the Company’s response to the third recommendation?  </w:t>
      </w:r>
    </w:p>
    <w:p w14:paraId="690D0935" w14:textId="3051B2E3" w:rsidR="004938B5" w:rsidRDefault="00B84422" w:rsidP="002A28A9">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sidRPr="00293F51">
        <w:rPr>
          <w:rFonts w:ascii="Times New Roman" w:hAnsi="Times New Roman" w:cs="Times New Roman"/>
          <w:sz w:val="24"/>
          <w:szCs w:val="24"/>
        </w:rPr>
        <w:tab/>
      </w:r>
      <w:r>
        <w:rPr>
          <w:rFonts w:ascii="Times New Roman" w:hAnsi="Times New Roman" w:cs="Times New Roman"/>
          <w:sz w:val="24"/>
          <w:szCs w:val="24"/>
        </w:rPr>
        <w:t>Staff maintains its position that the</w:t>
      </w:r>
      <w:r w:rsidR="0014080B">
        <w:rPr>
          <w:rFonts w:ascii="Times New Roman" w:hAnsi="Times New Roman" w:cs="Times New Roman"/>
          <w:sz w:val="24"/>
          <w:szCs w:val="24"/>
        </w:rPr>
        <w:t xml:space="preserve"> costs associated with corporate account managers should be directly assigned to the Large General Service customers on Schedule 48T, which those account managers serve.  </w:t>
      </w:r>
      <w:r w:rsidR="00D42819">
        <w:rPr>
          <w:rFonts w:ascii="Times New Roman" w:hAnsi="Times New Roman" w:cs="Times New Roman"/>
          <w:sz w:val="24"/>
          <w:szCs w:val="24"/>
        </w:rPr>
        <w:t>Staff’s cost-of-</w:t>
      </w:r>
      <w:r w:rsidR="004938B5">
        <w:rPr>
          <w:rFonts w:ascii="Times New Roman" w:hAnsi="Times New Roman" w:cs="Times New Roman"/>
          <w:sz w:val="24"/>
          <w:szCs w:val="24"/>
        </w:rPr>
        <w:t xml:space="preserve">service study reflects this direct assignment.  </w:t>
      </w:r>
      <w:r w:rsidR="00D42819">
        <w:rPr>
          <w:rFonts w:ascii="Times New Roman" w:hAnsi="Times New Roman" w:cs="Times New Roman"/>
          <w:sz w:val="24"/>
          <w:szCs w:val="24"/>
        </w:rPr>
        <w:t>Staff recognizes that the C</w:t>
      </w:r>
      <w:r w:rsidR="0014080B">
        <w:rPr>
          <w:rFonts w:ascii="Times New Roman" w:hAnsi="Times New Roman" w:cs="Times New Roman"/>
          <w:sz w:val="24"/>
          <w:szCs w:val="24"/>
        </w:rPr>
        <w:t>ompany’s analysis of this direct assignment shows that the impacts on cost of service would be a fraction of</w:t>
      </w:r>
      <w:r w:rsidR="00835960">
        <w:rPr>
          <w:rFonts w:ascii="Times New Roman" w:hAnsi="Times New Roman" w:cs="Times New Roman"/>
          <w:sz w:val="24"/>
          <w:szCs w:val="24"/>
        </w:rPr>
        <w:t xml:space="preserve"> a percent for each class, but believes that it is clearly aligned with the principle of cost causation.</w:t>
      </w:r>
      <w:r w:rsidR="004938B5">
        <w:rPr>
          <w:rFonts w:ascii="Times New Roman" w:hAnsi="Times New Roman" w:cs="Times New Roman"/>
          <w:sz w:val="24"/>
          <w:szCs w:val="24"/>
        </w:rPr>
        <w:t xml:space="preserve">  </w:t>
      </w:r>
    </w:p>
    <w:p w14:paraId="483C9A78" w14:textId="77777777" w:rsidR="00892A4D" w:rsidRDefault="00892A4D" w:rsidP="002A28A9">
      <w:pPr>
        <w:spacing w:line="480" w:lineRule="auto"/>
        <w:ind w:left="720" w:hanging="720"/>
        <w:contextualSpacing/>
        <w:rPr>
          <w:rFonts w:ascii="Times New Roman" w:hAnsi="Times New Roman" w:cs="Times New Roman"/>
          <w:sz w:val="24"/>
          <w:szCs w:val="24"/>
        </w:rPr>
      </w:pPr>
    </w:p>
    <w:p w14:paraId="6BAA54C3" w14:textId="23AB16E3" w:rsidR="00892A4D" w:rsidRPr="00293F51" w:rsidRDefault="00892A4D" w:rsidP="00892A4D">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What is the net effect of Staff’s ad</w:t>
      </w:r>
      <w:r w:rsidR="00D42819">
        <w:rPr>
          <w:rFonts w:ascii="Times New Roman" w:hAnsi="Times New Roman" w:cs="Times New Roman"/>
          <w:b/>
          <w:sz w:val="24"/>
          <w:szCs w:val="24"/>
        </w:rPr>
        <w:t>justments to the Company’s cost-of-</w:t>
      </w:r>
      <w:r>
        <w:rPr>
          <w:rFonts w:ascii="Times New Roman" w:hAnsi="Times New Roman" w:cs="Times New Roman"/>
          <w:b/>
          <w:sz w:val="24"/>
          <w:szCs w:val="24"/>
        </w:rPr>
        <w:t xml:space="preserve">service study? </w:t>
      </w:r>
    </w:p>
    <w:p w14:paraId="0082BB8C" w14:textId="27A8A82C" w:rsidR="00892A4D" w:rsidRDefault="00892A4D" w:rsidP="00892A4D">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Exhibit No.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JBT-</w:t>
      </w:r>
      <w:r w:rsidR="008C03F3">
        <w:rPr>
          <w:rFonts w:ascii="Times New Roman" w:hAnsi="Times New Roman" w:cs="Times New Roman"/>
          <w:sz w:val="24"/>
          <w:szCs w:val="24"/>
        </w:rPr>
        <w:t>3</w:t>
      </w:r>
      <w:r>
        <w:rPr>
          <w:rFonts w:ascii="Times New Roman" w:hAnsi="Times New Roman" w:cs="Times New Roman"/>
          <w:sz w:val="24"/>
          <w:szCs w:val="24"/>
        </w:rPr>
        <w:t>) provides a compariso</w:t>
      </w:r>
      <w:r w:rsidR="00D42819">
        <w:rPr>
          <w:rFonts w:ascii="Times New Roman" w:hAnsi="Times New Roman" w:cs="Times New Roman"/>
          <w:sz w:val="24"/>
          <w:szCs w:val="24"/>
        </w:rPr>
        <w:t>n of the Company’s current cost-of-</w:t>
      </w:r>
      <w:r>
        <w:rPr>
          <w:rFonts w:ascii="Times New Roman" w:hAnsi="Times New Roman" w:cs="Times New Roman"/>
          <w:sz w:val="24"/>
          <w:szCs w:val="24"/>
        </w:rPr>
        <w:t xml:space="preserve">service study, the Company’s proposed study, and Staff’s </w:t>
      </w:r>
      <w:r w:rsidR="0080648C">
        <w:rPr>
          <w:rFonts w:ascii="Times New Roman" w:hAnsi="Times New Roman" w:cs="Times New Roman"/>
          <w:sz w:val="24"/>
          <w:szCs w:val="24"/>
        </w:rPr>
        <w:t>current and proposed studies.</w:t>
      </w:r>
    </w:p>
    <w:p w14:paraId="0D73BD66" w14:textId="77777777" w:rsidR="007825A8" w:rsidRDefault="007825A8" w:rsidP="00892A4D">
      <w:pPr>
        <w:spacing w:line="480" w:lineRule="auto"/>
        <w:ind w:left="720" w:hanging="720"/>
        <w:contextualSpacing/>
        <w:rPr>
          <w:rFonts w:ascii="Times New Roman" w:hAnsi="Times New Roman" w:cs="Times New Roman"/>
          <w:sz w:val="24"/>
          <w:szCs w:val="24"/>
        </w:rPr>
      </w:pPr>
    </w:p>
    <w:p w14:paraId="22552E13" w14:textId="4B9EFD1E" w:rsidR="007825A8" w:rsidRPr="00293F51" w:rsidRDefault="007825A8" w:rsidP="007825A8">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lastRenderedPageBreak/>
        <w:t>Q.</w:t>
      </w:r>
      <w:r w:rsidRPr="00293F51">
        <w:rPr>
          <w:rFonts w:ascii="Times New Roman" w:hAnsi="Times New Roman" w:cs="Times New Roman"/>
          <w:b/>
          <w:sz w:val="24"/>
          <w:szCs w:val="24"/>
        </w:rPr>
        <w:tab/>
      </w:r>
      <w:r w:rsidR="00D42819">
        <w:rPr>
          <w:rFonts w:ascii="Times New Roman" w:hAnsi="Times New Roman" w:cs="Times New Roman"/>
          <w:b/>
          <w:sz w:val="24"/>
          <w:szCs w:val="24"/>
        </w:rPr>
        <w:t>How does Staff use the cost-of-</w:t>
      </w:r>
      <w:r>
        <w:rPr>
          <w:rFonts w:ascii="Times New Roman" w:hAnsi="Times New Roman" w:cs="Times New Roman"/>
          <w:b/>
          <w:sz w:val="24"/>
          <w:szCs w:val="24"/>
        </w:rPr>
        <w:t xml:space="preserve">service study to inform its allocation of the revenue increase? </w:t>
      </w:r>
    </w:p>
    <w:p w14:paraId="0045991E" w14:textId="02391C3F" w:rsidR="00A12991" w:rsidRDefault="007825A8" w:rsidP="00A12991">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6B474B">
        <w:rPr>
          <w:rFonts w:ascii="Times New Roman" w:hAnsi="Times New Roman" w:cs="Times New Roman"/>
          <w:sz w:val="24"/>
          <w:szCs w:val="24"/>
        </w:rPr>
        <w:t>An important</w:t>
      </w:r>
      <w:r w:rsidR="00A12991">
        <w:rPr>
          <w:rFonts w:ascii="Times New Roman" w:hAnsi="Times New Roman" w:cs="Times New Roman"/>
          <w:sz w:val="24"/>
          <w:szCs w:val="24"/>
        </w:rPr>
        <w:t xml:space="preserve"> output of the cost of service study is the parity ratio of each customer class.  Parity ratio measures to what degree the Company recovers its costs associated with serving that class.  A parity ratio of 1.0, for example, indicates that a class is paying its exact cost of service, while a ratio of 1.1 indicates that a class is paying 110 percent of its costs and a ratio of 0.9 indicates that a class is only paying 90 percent of its costs.  </w:t>
      </w:r>
    </w:p>
    <w:p w14:paraId="27599C60" w14:textId="09115705" w:rsidR="00A12991" w:rsidRDefault="00B32F93" w:rsidP="00A1299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A12991">
        <w:rPr>
          <w:rFonts w:ascii="Times New Roman" w:hAnsi="Times New Roman" w:cs="Times New Roman"/>
          <w:sz w:val="24"/>
          <w:szCs w:val="24"/>
        </w:rPr>
        <w:tab/>
        <w:t>Staff considers the parity ratio of each class when determining how to allocate the revenue incr</w:t>
      </w:r>
      <w:r w:rsidR="00A86B72">
        <w:rPr>
          <w:rFonts w:ascii="Times New Roman" w:hAnsi="Times New Roman" w:cs="Times New Roman"/>
          <w:sz w:val="24"/>
          <w:szCs w:val="24"/>
        </w:rPr>
        <w:t xml:space="preserve">ease.  Fair rate design is premised upon each class paying a fair share of its costs; therefore, Staff’s proposal allocates the largest share of the </w:t>
      </w:r>
      <w:r w:rsidR="00E6405D">
        <w:rPr>
          <w:rFonts w:ascii="Times New Roman" w:hAnsi="Times New Roman" w:cs="Times New Roman"/>
          <w:sz w:val="24"/>
          <w:szCs w:val="24"/>
        </w:rPr>
        <w:t xml:space="preserve">overall </w:t>
      </w:r>
      <w:r w:rsidR="00A86B72">
        <w:rPr>
          <w:rFonts w:ascii="Times New Roman" w:hAnsi="Times New Roman" w:cs="Times New Roman"/>
          <w:sz w:val="24"/>
          <w:szCs w:val="24"/>
        </w:rPr>
        <w:t>increase to the classes that are currently paying the smallest share of their costs.</w:t>
      </w:r>
    </w:p>
    <w:p w14:paraId="0D5AC58F" w14:textId="77777777" w:rsidR="00A86B72" w:rsidRDefault="00A86B72" w:rsidP="00A12991">
      <w:pPr>
        <w:spacing w:line="480" w:lineRule="auto"/>
        <w:ind w:left="720" w:hanging="720"/>
        <w:contextualSpacing/>
        <w:rPr>
          <w:rFonts w:ascii="Times New Roman" w:hAnsi="Times New Roman" w:cs="Times New Roman"/>
          <w:sz w:val="24"/>
          <w:szCs w:val="24"/>
        </w:rPr>
      </w:pPr>
    </w:p>
    <w:p w14:paraId="72AE2C33" w14:textId="255276A1" w:rsidR="00A86B72" w:rsidRPr="00293F51" w:rsidRDefault="00A86B72" w:rsidP="00A86B72">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Has the Commission established target parity ratios? </w:t>
      </w:r>
    </w:p>
    <w:p w14:paraId="1EE29E56" w14:textId="2082344C" w:rsidR="00A86B72" w:rsidRDefault="00A86B72" w:rsidP="00A86B72">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8C249E">
        <w:rPr>
          <w:rFonts w:ascii="Times New Roman" w:hAnsi="Times New Roman" w:cs="Times New Roman"/>
          <w:sz w:val="24"/>
          <w:szCs w:val="24"/>
        </w:rPr>
        <w:t xml:space="preserve">No.  The Commission has outlined general principles for how parity ratios should be considered when allocating a general rate increase across various classes, but it has not prescribed </w:t>
      </w:r>
      <w:r w:rsidR="004B2DE7">
        <w:rPr>
          <w:rFonts w:ascii="Times New Roman" w:hAnsi="Times New Roman" w:cs="Times New Roman"/>
          <w:sz w:val="24"/>
          <w:szCs w:val="24"/>
        </w:rPr>
        <w:t xml:space="preserve">a specific range into which parity ratios should fall.  For example, in Puget Sound Energy’s last general rate case, the Commission determined that it was appropriate to allocate the increase unevenly across the different classes </w:t>
      </w:r>
      <w:r w:rsidR="003A4ACB">
        <w:rPr>
          <w:rFonts w:ascii="Times New Roman" w:hAnsi="Times New Roman" w:cs="Times New Roman"/>
          <w:sz w:val="24"/>
          <w:szCs w:val="24"/>
        </w:rPr>
        <w:t>to move each class closer to</w:t>
      </w:r>
      <w:r w:rsidR="004B2DE7">
        <w:rPr>
          <w:rFonts w:ascii="Times New Roman" w:hAnsi="Times New Roman" w:cs="Times New Roman"/>
          <w:sz w:val="24"/>
          <w:szCs w:val="24"/>
        </w:rPr>
        <w:t xml:space="preserve"> </w:t>
      </w:r>
      <w:r w:rsidR="003A4ACB">
        <w:rPr>
          <w:rFonts w:ascii="Times New Roman" w:hAnsi="Times New Roman" w:cs="Times New Roman"/>
          <w:sz w:val="24"/>
          <w:szCs w:val="24"/>
        </w:rPr>
        <w:t xml:space="preserve">its </w:t>
      </w:r>
      <w:r w:rsidR="004B2DE7">
        <w:rPr>
          <w:rFonts w:ascii="Times New Roman" w:hAnsi="Times New Roman" w:cs="Times New Roman"/>
          <w:sz w:val="24"/>
          <w:szCs w:val="24"/>
        </w:rPr>
        <w:t>cost o</w:t>
      </w:r>
      <w:r w:rsidR="003A4ACB">
        <w:rPr>
          <w:rFonts w:ascii="Times New Roman" w:hAnsi="Times New Roman" w:cs="Times New Roman"/>
          <w:sz w:val="24"/>
          <w:szCs w:val="24"/>
        </w:rPr>
        <w:t xml:space="preserve">f service, as long as </w:t>
      </w:r>
      <w:r w:rsidR="003B08D3">
        <w:rPr>
          <w:rFonts w:ascii="Times New Roman" w:hAnsi="Times New Roman" w:cs="Times New Roman"/>
          <w:sz w:val="24"/>
          <w:szCs w:val="24"/>
        </w:rPr>
        <w:t>doing so</w:t>
      </w:r>
      <w:r w:rsidR="003A4ACB">
        <w:rPr>
          <w:rFonts w:ascii="Times New Roman" w:hAnsi="Times New Roman" w:cs="Times New Roman"/>
          <w:sz w:val="24"/>
          <w:szCs w:val="24"/>
        </w:rPr>
        <w:t xml:space="preserve"> did not conflict with other principles, like gradualism.</w:t>
      </w:r>
      <w:r w:rsidR="003A4ACB">
        <w:rPr>
          <w:rStyle w:val="FootnoteReference"/>
          <w:rFonts w:ascii="Times New Roman" w:hAnsi="Times New Roman" w:cs="Times New Roman"/>
          <w:sz w:val="24"/>
          <w:szCs w:val="24"/>
        </w:rPr>
        <w:footnoteReference w:id="25"/>
      </w:r>
      <w:r w:rsidR="008C249E">
        <w:rPr>
          <w:rFonts w:ascii="Times New Roman" w:hAnsi="Times New Roman" w:cs="Times New Roman"/>
          <w:sz w:val="24"/>
          <w:szCs w:val="24"/>
        </w:rPr>
        <w:t xml:space="preserve"> </w:t>
      </w:r>
    </w:p>
    <w:p w14:paraId="260911C7" w14:textId="77777777" w:rsidR="005C48AA" w:rsidRDefault="005C48AA" w:rsidP="00A86B72">
      <w:pPr>
        <w:spacing w:line="480" w:lineRule="auto"/>
        <w:ind w:left="720" w:hanging="720"/>
        <w:contextualSpacing/>
        <w:rPr>
          <w:rFonts w:ascii="Times New Roman" w:hAnsi="Times New Roman" w:cs="Times New Roman"/>
          <w:sz w:val="24"/>
          <w:szCs w:val="24"/>
        </w:rPr>
      </w:pPr>
    </w:p>
    <w:p w14:paraId="2612C7FE" w14:textId="5FC1FEDB" w:rsidR="005C48AA" w:rsidRPr="00293F51" w:rsidRDefault="005C48AA" w:rsidP="005C48AA">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lastRenderedPageBreak/>
        <w:t>Q.</w:t>
      </w:r>
      <w:r w:rsidRPr="00293F51">
        <w:rPr>
          <w:rFonts w:ascii="Times New Roman" w:hAnsi="Times New Roman" w:cs="Times New Roman"/>
          <w:b/>
          <w:sz w:val="24"/>
          <w:szCs w:val="24"/>
        </w:rPr>
        <w:tab/>
      </w:r>
      <w:r>
        <w:rPr>
          <w:rFonts w:ascii="Times New Roman" w:hAnsi="Times New Roman" w:cs="Times New Roman"/>
          <w:b/>
          <w:sz w:val="24"/>
          <w:szCs w:val="24"/>
        </w:rPr>
        <w:t xml:space="preserve">Given the Commission’s direction on parity ratios, how does </w:t>
      </w:r>
      <w:r w:rsidR="00914EB1">
        <w:rPr>
          <w:rFonts w:ascii="Times New Roman" w:hAnsi="Times New Roman" w:cs="Times New Roman"/>
          <w:b/>
          <w:sz w:val="24"/>
          <w:szCs w:val="24"/>
        </w:rPr>
        <w:t>S</w:t>
      </w:r>
      <w:r>
        <w:rPr>
          <w:rFonts w:ascii="Times New Roman" w:hAnsi="Times New Roman" w:cs="Times New Roman"/>
          <w:b/>
          <w:sz w:val="24"/>
          <w:szCs w:val="24"/>
        </w:rPr>
        <w:t>taff propose to allocate the</w:t>
      </w:r>
      <w:r w:rsidR="009C67EC">
        <w:rPr>
          <w:rFonts w:ascii="Times New Roman" w:hAnsi="Times New Roman" w:cs="Times New Roman"/>
          <w:b/>
          <w:sz w:val="24"/>
          <w:szCs w:val="24"/>
        </w:rPr>
        <w:t xml:space="preserve"> </w:t>
      </w:r>
      <w:r w:rsidR="00790EBB">
        <w:rPr>
          <w:rFonts w:ascii="Times New Roman" w:hAnsi="Times New Roman" w:cs="Times New Roman"/>
          <w:b/>
          <w:sz w:val="24"/>
          <w:szCs w:val="24"/>
        </w:rPr>
        <w:t>2.41</w:t>
      </w:r>
      <w:r w:rsidR="00914EB1">
        <w:rPr>
          <w:rFonts w:ascii="Times New Roman" w:hAnsi="Times New Roman" w:cs="Times New Roman"/>
          <w:b/>
          <w:sz w:val="24"/>
          <w:szCs w:val="24"/>
        </w:rPr>
        <w:t xml:space="preserve"> </w:t>
      </w:r>
      <w:r>
        <w:rPr>
          <w:rFonts w:ascii="Times New Roman" w:hAnsi="Times New Roman" w:cs="Times New Roman"/>
          <w:b/>
          <w:sz w:val="24"/>
          <w:szCs w:val="24"/>
        </w:rPr>
        <w:t>percent increase across the customer classes?</w:t>
      </w:r>
    </w:p>
    <w:p w14:paraId="398F302B" w14:textId="01943DB0" w:rsidR="005C48AA" w:rsidRDefault="005C48AA" w:rsidP="005C48AA">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 xml:space="preserve">Staff proposes to </w:t>
      </w:r>
      <w:r w:rsidR="00EA5774">
        <w:rPr>
          <w:rFonts w:ascii="Times New Roman" w:hAnsi="Times New Roman" w:cs="Times New Roman"/>
          <w:sz w:val="24"/>
          <w:szCs w:val="24"/>
        </w:rPr>
        <w:t>impose</w:t>
      </w:r>
      <w:r w:rsidR="009C67EC">
        <w:rPr>
          <w:rFonts w:ascii="Times New Roman" w:hAnsi="Times New Roman" w:cs="Times New Roman"/>
          <w:sz w:val="24"/>
          <w:szCs w:val="24"/>
        </w:rPr>
        <w:t xml:space="preserve"> 150 </w:t>
      </w:r>
      <w:r>
        <w:rPr>
          <w:rFonts w:ascii="Times New Roman" w:hAnsi="Times New Roman" w:cs="Times New Roman"/>
          <w:sz w:val="24"/>
          <w:szCs w:val="24"/>
        </w:rPr>
        <w:t xml:space="preserve">percent </w:t>
      </w:r>
      <w:r w:rsidR="009C67EC">
        <w:rPr>
          <w:rFonts w:ascii="Times New Roman" w:hAnsi="Times New Roman" w:cs="Times New Roman"/>
          <w:sz w:val="24"/>
          <w:szCs w:val="24"/>
        </w:rPr>
        <w:t xml:space="preserve">of the </w:t>
      </w:r>
      <w:r>
        <w:rPr>
          <w:rFonts w:ascii="Times New Roman" w:hAnsi="Times New Roman" w:cs="Times New Roman"/>
          <w:sz w:val="24"/>
          <w:szCs w:val="24"/>
        </w:rPr>
        <w:t>increase to the Residential and Dedicate</w:t>
      </w:r>
      <w:r w:rsidR="00EA5774">
        <w:rPr>
          <w:rFonts w:ascii="Times New Roman" w:hAnsi="Times New Roman" w:cs="Times New Roman"/>
          <w:sz w:val="24"/>
          <w:szCs w:val="24"/>
        </w:rPr>
        <w:t xml:space="preserve">d Facilities classes, which </w:t>
      </w:r>
      <w:r w:rsidR="00914EB1">
        <w:rPr>
          <w:rFonts w:ascii="Times New Roman" w:hAnsi="Times New Roman" w:cs="Times New Roman"/>
          <w:sz w:val="24"/>
          <w:szCs w:val="24"/>
        </w:rPr>
        <w:t>ha</w:t>
      </w:r>
      <w:r w:rsidR="00370A79">
        <w:rPr>
          <w:rFonts w:ascii="Times New Roman" w:hAnsi="Times New Roman" w:cs="Times New Roman"/>
          <w:sz w:val="24"/>
          <w:szCs w:val="24"/>
        </w:rPr>
        <w:t>ve current parity ratios of 0.92 and 0.93</w:t>
      </w:r>
      <w:r w:rsidR="00914EB1">
        <w:rPr>
          <w:rFonts w:ascii="Times New Roman" w:hAnsi="Times New Roman" w:cs="Times New Roman"/>
          <w:sz w:val="24"/>
          <w:szCs w:val="24"/>
        </w:rPr>
        <w:t>, respectively</w:t>
      </w:r>
      <w:r w:rsidR="006B474B">
        <w:rPr>
          <w:rFonts w:ascii="Times New Roman" w:hAnsi="Times New Roman" w:cs="Times New Roman"/>
          <w:sz w:val="24"/>
          <w:szCs w:val="24"/>
        </w:rPr>
        <w:t xml:space="preserve">. This results in a </w:t>
      </w:r>
      <w:r w:rsidR="00790EBB">
        <w:rPr>
          <w:rFonts w:ascii="Times New Roman" w:hAnsi="Times New Roman" w:cs="Times New Roman"/>
          <w:sz w:val="24"/>
          <w:szCs w:val="24"/>
        </w:rPr>
        <w:t>3.62</w:t>
      </w:r>
      <w:r w:rsidR="009C67EC">
        <w:rPr>
          <w:rFonts w:ascii="Times New Roman" w:hAnsi="Times New Roman" w:cs="Times New Roman"/>
          <w:sz w:val="24"/>
          <w:szCs w:val="24"/>
        </w:rPr>
        <w:t xml:space="preserve"> </w:t>
      </w:r>
      <w:r w:rsidR="008739A3">
        <w:rPr>
          <w:rFonts w:ascii="Times New Roman" w:hAnsi="Times New Roman" w:cs="Times New Roman"/>
          <w:sz w:val="24"/>
          <w:szCs w:val="24"/>
        </w:rPr>
        <w:t xml:space="preserve">percent </w:t>
      </w:r>
      <w:r w:rsidR="009C67EC">
        <w:rPr>
          <w:rFonts w:ascii="Times New Roman" w:hAnsi="Times New Roman" w:cs="Times New Roman"/>
          <w:sz w:val="24"/>
          <w:szCs w:val="24"/>
        </w:rPr>
        <w:t xml:space="preserve">increase for each class, which </w:t>
      </w:r>
      <w:r w:rsidR="003B08D3">
        <w:rPr>
          <w:rFonts w:ascii="Times New Roman" w:hAnsi="Times New Roman" w:cs="Times New Roman"/>
          <w:sz w:val="24"/>
          <w:szCs w:val="24"/>
        </w:rPr>
        <w:t xml:space="preserve">would </w:t>
      </w:r>
      <w:r w:rsidR="009C67EC">
        <w:rPr>
          <w:rFonts w:ascii="Times New Roman" w:hAnsi="Times New Roman" w:cs="Times New Roman"/>
          <w:sz w:val="24"/>
          <w:szCs w:val="24"/>
        </w:rPr>
        <w:t>bring the Residenti</w:t>
      </w:r>
      <w:r w:rsidR="006B474B">
        <w:rPr>
          <w:rFonts w:ascii="Times New Roman" w:hAnsi="Times New Roman" w:cs="Times New Roman"/>
          <w:sz w:val="24"/>
          <w:szCs w:val="24"/>
        </w:rPr>
        <w:t>al</w:t>
      </w:r>
      <w:r w:rsidR="00370A79">
        <w:rPr>
          <w:rFonts w:ascii="Times New Roman" w:hAnsi="Times New Roman" w:cs="Times New Roman"/>
          <w:sz w:val="24"/>
          <w:szCs w:val="24"/>
        </w:rPr>
        <w:t xml:space="preserve"> class to a parity ratio of 0.95</w:t>
      </w:r>
      <w:r w:rsidR="009C67EC">
        <w:rPr>
          <w:rFonts w:ascii="Times New Roman" w:hAnsi="Times New Roman" w:cs="Times New Roman"/>
          <w:sz w:val="24"/>
          <w:szCs w:val="24"/>
        </w:rPr>
        <w:t xml:space="preserve"> and the Dedicated Faciliti</w:t>
      </w:r>
      <w:r w:rsidR="006B474B">
        <w:rPr>
          <w:rFonts w:ascii="Times New Roman" w:hAnsi="Times New Roman" w:cs="Times New Roman"/>
          <w:sz w:val="24"/>
          <w:szCs w:val="24"/>
        </w:rPr>
        <w:t>es Class to a parity ratio of 0.97</w:t>
      </w:r>
      <w:r w:rsidR="009C67EC">
        <w:rPr>
          <w:rFonts w:ascii="Times New Roman" w:hAnsi="Times New Roman" w:cs="Times New Roman"/>
          <w:sz w:val="24"/>
          <w:szCs w:val="24"/>
        </w:rPr>
        <w:t xml:space="preserve">.  Staff </w:t>
      </w:r>
      <w:r w:rsidR="00C232C6">
        <w:rPr>
          <w:rFonts w:ascii="Times New Roman" w:hAnsi="Times New Roman" w:cs="Times New Roman"/>
          <w:sz w:val="24"/>
          <w:szCs w:val="24"/>
        </w:rPr>
        <w:t xml:space="preserve">also </w:t>
      </w:r>
      <w:r w:rsidR="009C67EC">
        <w:rPr>
          <w:rFonts w:ascii="Times New Roman" w:hAnsi="Times New Roman" w:cs="Times New Roman"/>
          <w:sz w:val="24"/>
          <w:szCs w:val="24"/>
        </w:rPr>
        <w:t xml:space="preserve">proposes to allocate </w:t>
      </w:r>
      <w:r w:rsidR="006B474B">
        <w:rPr>
          <w:rFonts w:ascii="Times New Roman" w:hAnsi="Times New Roman" w:cs="Times New Roman"/>
          <w:sz w:val="24"/>
          <w:szCs w:val="24"/>
        </w:rPr>
        <w:t xml:space="preserve">100 percent of the </w:t>
      </w:r>
      <w:r w:rsidR="009C67EC">
        <w:rPr>
          <w:rFonts w:ascii="Times New Roman" w:hAnsi="Times New Roman" w:cs="Times New Roman"/>
          <w:sz w:val="24"/>
          <w:szCs w:val="24"/>
        </w:rPr>
        <w:t>increase</w:t>
      </w:r>
      <w:r w:rsidR="008739A3">
        <w:rPr>
          <w:rFonts w:ascii="Times New Roman" w:hAnsi="Times New Roman" w:cs="Times New Roman"/>
          <w:sz w:val="24"/>
          <w:szCs w:val="24"/>
        </w:rPr>
        <w:t xml:space="preserve"> to </w:t>
      </w:r>
      <w:r w:rsidR="006B474B">
        <w:rPr>
          <w:rFonts w:ascii="Times New Roman" w:hAnsi="Times New Roman" w:cs="Times New Roman"/>
          <w:sz w:val="24"/>
          <w:szCs w:val="24"/>
        </w:rPr>
        <w:t>the Large General Service (&gt; 1,000 kW) class, bring</w:t>
      </w:r>
      <w:r w:rsidR="00370A79">
        <w:rPr>
          <w:rFonts w:ascii="Times New Roman" w:hAnsi="Times New Roman" w:cs="Times New Roman"/>
          <w:sz w:val="24"/>
          <w:szCs w:val="24"/>
        </w:rPr>
        <w:t>ing it to a parity ratio of 1.02</w:t>
      </w:r>
      <w:r w:rsidR="006B474B">
        <w:rPr>
          <w:rFonts w:ascii="Times New Roman" w:hAnsi="Times New Roman" w:cs="Times New Roman"/>
          <w:sz w:val="24"/>
          <w:szCs w:val="24"/>
        </w:rPr>
        <w:t xml:space="preserve">, and a </w:t>
      </w:r>
      <w:r w:rsidR="00790EBB">
        <w:rPr>
          <w:rFonts w:ascii="Times New Roman" w:hAnsi="Times New Roman" w:cs="Times New Roman"/>
          <w:sz w:val="24"/>
          <w:szCs w:val="24"/>
        </w:rPr>
        <w:t>1.7</w:t>
      </w:r>
      <w:r w:rsidR="006B474B">
        <w:rPr>
          <w:rFonts w:ascii="Times New Roman" w:hAnsi="Times New Roman" w:cs="Times New Roman"/>
          <w:sz w:val="24"/>
          <w:szCs w:val="24"/>
        </w:rPr>
        <w:t xml:space="preserve"> percent increase to the </w:t>
      </w:r>
      <w:r w:rsidR="008739A3">
        <w:rPr>
          <w:rFonts w:ascii="Times New Roman" w:hAnsi="Times New Roman" w:cs="Times New Roman"/>
          <w:sz w:val="24"/>
          <w:szCs w:val="24"/>
        </w:rPr>
        <w:t>Large General Service (&lt; 1,000 kW) class</w:t>
      </w:r>
      <w:r w:rsidR="006B474B">
        <w:rPr>
          <w:rFonts w:ascii="Times New Roman" w:hAnsi="Times New Roman" w:cs="Times New Roman"/>
          <w:sz w:val="24"/>
          <w:szCs w:val="24"/>
        </w:rPr>
        <w:t>, bringing it</w:t>
      </w:r>
      <w:r w:rsidR="008739A3">
        <w:rPr>
          <w:rFonts w:ascii="Times New Roman" w:hAnsi="Times New Roman" w:cs="Times New Roman"/>
          <w:sz w:val="24"/>
          <w:szCs w:val="24"/>
        </w:rPr>
        <w:t xml:space="preserve"> to a parity ratio of </w:t>
      </w:r>
      <w:r w:rsidR="001B1102">
        <w:rPr>
          <w:rFonts w:ascii="Times New Roman" w:hAnsi="Times New Roman" w:cs="Times New Roman"/>
          <w:sz w:val="24"/>
          <w:szCs w:val="24"/>
        </w:rPr>
        <w:t>1.04</w:t>
      </w:r>
      <w:r w:rsidR="006B474B">
        <w:rPr>
          <w:rFonts w:ascii="Times New Roman" w:hAnsi="Times New Roman" w:cs="Times New Roman"/>
          <w:sz w:val="24"/>
          <w:szCs w:val="24"/>
        </w:rPr>
        <w:t xml:space="preserve">. </w:t>
      </w:r>
      <w:r w:rsidR="00CB20EE">
        <w:rPr>
          <w:rFonts w:ascii="Times New Roman" w:hAnsi="Times New Roman" w:cs="Times New Roman"/>
          <w:sz w:val="24"/>
          <w:szCs w:val="24"/>
        </w:rPr>
        <w:t xml:space="preserve"> </w:t>
      </w:r>
      <w:r w:rsidR="006B474B">
        <w:rPr>
          <w:rFonts w:ascii="Times New Roman" w:hAnsi="Times New Roman" w:cs="Times New Roman"/>
          <w:sz w:val="24"/>
          <w:szCs w:val="24"/>
        </w:rPr>
        <w:t xml:space="preserve">Staff </w:t>
      </w:r>
      <w:r w:rsidR="00437932">
        <w:rPr>
          <w:rFonts w:ascii="Times New Roman" w:hAnsi="Times New Roman" w:cs="Times New Roman"/>
          <w:sz w:val="24"/>
          <w:szCs w:val="24"/>
        </w:rPr>
        <w:t>proposes no</w:t>
      </w:r>
      <w:r w:rsidR="006B474B">
        <w:rPr>
          <w:rFonts w:ascii="Times New Roman" w:hAnsi="Times New Roman" w:cs="Times New Roman"/>
          <w:sz w:val="24"/>
          <w:szCs w:val="24"/>
        </w:rPr>
        <w:t xml:space="preserve"> increases for t</w:t>
      </w:r>
      <w:r w:rsidR="008739A3">
        <w:rPr>
          <w:rFonts w:ascii="Times New Roman" w:hAnsi="Times New Roman" w:cs="Times New Roman"/>
          <w:sz w:val="24"/>
          <w:szCs w:val="24"/>
        </w:rPr>
        <w:t>he Small General Service, Agricultural Pumping Service, and Street Lighting classes, which all have a parity ratio of 1.0</w:t>
      </w:r>
      <w:r w:rsidR="00370A79">
        <w:rPr>
          <w:rFonts w:ascii="Times New Roman" w:hAnsi="Times New Roman" w:cs="Times New Roman"/>
          <w:sz w:val="24"/>
          <w:szCs w:val="24"/>
        </w:rPr>
        <w:t>7</w:t>
      </w:r>
      <w:r w:rsidR="008739A3">
        <w:rPr>
          <w:rFonts w:ascii="Times New Roman" w:hAnsi="Times New Roman" w:cs="Times New Roman"/>
          <w:sz w:val="24"/>
          <w:szCs w:val="24"/>
        </w:rPr>
        <w:t xml:space="preserve"> or greater</w:t>
      </w:r>
      <w:r w:rsidR="006B474B">
        <w:rPr>
          <w:rFonts w:ascii="Times New Roman" w:hAnsi="Times New Roman" w:cs="Times New Roman"/>
          <w:sz w:val="24"/>
          <w:szCs w:val="24"/>
        </w:rPr>
        <w:t>.</w:t>
      </w:r>
      <w:r w:rsidR="008739A3">
        <w:rPr>
          <w:rFonts w:ascii="Times New Roman" w:hAnsi="Times New Roman" w:cs="Times New Roman"/>
          <w:sz w:val="24"/>
          <w:szCs w:val="24"/>
        </w:rPr>
        <w:t xml:space="preserve"> </w:t>
      </w:r>
    </w:p>
    <w:p w14:paraId="690D0936" w14:textId="2B5ACDAB" w:rsidR="004938B5" w:rsidRDefault="004938B5" w:rsidP="002A28A9">
      <w:pPr>
        <w:spacing w:line="480" w:lineRule="auto"/>
        <w:ind w:left="720" w:hanging="720"/>
        <w:contextualSpacing/>
        <w:rPr>
          <w:rFonts w:ascii="Times New Roman" w:hAnsi="Times New Roman" w:cs="Times New Roman"/>
          <w:sz w:val="24"/>
          <w:szCs w:val="24"/>
        </w:rPr>
      </w:pPr>
    </w:p>
    <w:p w14:paraId="690D0937" w14:textId="6E8D968E" w:rsidR="004871DC" w:rsidRDefault="004871DC" w:rsidP="00C21822">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RATE DESIGN</w:t>
      </w:r>
    </w:p>
    <w:p w14:paraId="690D0938" w14:textId="77777777" w:rsidR="004871DC" w:rsidRDefault="004871DC" w:rsidP="00894354">
      <w:pPr>
        <w:spacing w:line="480" w:lineRule="auto"/>
        <w:ind w:left="720" w:hanging="720"/>
        <w:contextualSpacing/>
        <w:rPr>
          <w:rFonts w:ascii="Times New Roman" w:hAnsi="Times New Roman" w:cs="Times New Roman"/>
          <w:b/>
          <w:sz w:val="24"/>
          <w:szCs w:val="24"/>
        </w:rPr>
      </w:pPr>
    </w:p>
    <w:p w14:paraId="690D0939" w14:textId="77777777" w:rsidR="004871DC" w:rsidRPr="00293F51" w:rsidRDefault="004871DC" w:rsidP="004871DC">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Please outline Staff’s general goals in its proposed rate design. </w:t>
      </w:r>
    </w:p>
    <w:p w14:paraId="690D093A" w14:textId="48E760CF" w:rsidR="004871DC" w:rsidRDefault="004871DC" w:rsidP="004871DC">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 xml:space="preserve">Staff’s rate design proposal represents an effort to strike a balance between two fundamental, competing goals: ensuring more reliable </w:t>
      </w:r>
      <w:r w:rsidR="008730FE">
        <w:rPr>
          <w:rFonts w:ascii="Times New Roman" w:hAnsi="Times New Roman" w:cs="Times New Roman"/>
          <w:sz w:val="24"/>
          <w:szCs w:val="24"/>
        </w:rPr>
        <w:t xml:space="preserve">recovery </w:t>
      </w:r>
      <w:r>
        <w:rPr>
          <w:rFonts w:ascii="Times New Roman" w:hAnsi="Times New Roman" w:cs="Times New Roman"/>
          <w:sz w:val="24"/>
          <w:szCs w:val="24"/>
        </w:rPr>
        <w:t xml:space="preserve">of fixed costs for Pacific Power and establishing clear price signals for consumers </w:t>
      </w:r>
      <w:r w:rsidR="00080F97">
        <w:rPr>
          <w:rFonts w:ascii="Times New Roman" w:hAnsi="Times New Roman" w:cs="Times New Roman"/>
          <w:sz w:val="24"/>
          <w:szCs w:val="24"/>
        </w:rPr>
        <w:t>in</w:t>
      </w:r>
      <w:r>
        <w:rPr>
          <w:rFonts w:ascii="Times New Roman" w:hAnsi="Times New Roman" w:cs="Times New Roman"/>
          <w:sz w:val="24"/>
          <w:szCs w:val="24"/>
        </w:rPr>
        <w:t xml:space="preserve"> support </w:t>
      </w:r>
      <w:r w:rsidR="00080F97">
        <w:rPr>
          <w:rFonts w:ascii="Times New Roman" w:hAnsi="Times New Roman" w:cs="Times New Roman"/>
          <w:sz w:val="24"/>
          <w:szCs w:val="24"/>
        </w:rPr>
        <w:t xml:space="preserve">of </w:t>
      </w:r>
      <w:r>
        <w:rPr>
          <w:rFonts w:ascii="Times New Roman" w:hAnsi="Times New Roman" w:cs="Times New Roman"/>
          <w:sz w:val="24"/>
          <w:szCs w:val="24"/>
        </w:rPr>
        <w:t xml:space="preserve">policies established by the State of Washington and the Commission to promote </w:t>
      </w:r>
      <w:r w:rsidR="003166FF">
        <w:rPr>
          <w:rFonts w:ascii="Times New Roman" w:hAnsi="Times New Roman" w:cs="Times New Roman"/>
          <w:sz w:val="24"/>
          <w:szCs w:val="24"/>
        </w:rPr>
        <w:t xml:space="preserve">investments in </w:t>
      </w:r>
      <w:r>
        <w:rPr>
          <w:rFonts w:ascii="Times New Roman" w:hAnsi="Times New Roman" w:cs="Times New Roman"/>
          <w:sz w:val="24"/>
          <w:szCs w:val="24"/>
        </w:rPr>
        <w:t xml:space="preserve">energy efficiency </w:t>
      </w:r>
      <w:r w:rsidR="003166FF">
        <w:rPr>
          <w:rFonts w:ascii="Times New Roman" w:hAnsi="Times New Roman" w:cs="Times New Roman"/>
          <w:sz w:val="24"/>
          <w:szCs w:val="24"/>
        </w:rPr>
        <w:t>and renewable energy</w:t>
      </w:r>
      <w:r>
        <w:rPr>
          <w:rFonts w:ascii="Times New Roman" w:hAnsi="Times New Roman" w:cs="Times New Roman"/>
          <w:sz w:val="24"/>
          <w:szCs w:val="24"/>
        </w:rPr>
        <w:t>.</w:t>
      </w:r>
    </w:p>
    <w:p w14:paraId="292A52E2" w14:textId="77777777" w:rsidR="005E4C13" w:rsidRDefault="005E4C13" w:rsidP="004871DC">
      <w:pPr>
        <w:spacing w:line="480" w:lineRule="auto"/>
        <w:ind w:left="720" w:hanging="720"/>
        <w:contextualSpacing/>
        <w:rPr>
          <w:rFonts w:ascii="Times New Roman" w:hAnsi="Times New Roman" w:cs="Times New Roman"/>
          <w:sz w:val="24"/>
          <w:szCs w:val="24"/>
        </w:rPr>
      </w:pPr>
    </w:p>
    <w:p w14:paraId="690D093B" w14:textId="71612F68" w:rsidR="003166FF" w:rsidRDefault="003166FF" w:rsidP="004871DC">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ab/>
        <w:t>Traditional rate design spread</w:t>
      </w:r>
      <w:r w:rsidR="00080F97">
        <w:rPr>
          <w:rFonts w:ascii="Times New Roman" w:hAnsi="Times New Roman" w:cs="Times New Roman"/>
          <w:sz w:val="24"/>
          <w:szCs w:val="24"/>
        </w:rPr>
        <w:t>s</w:t>
      </w:r>
      <w:r w:rsidR="00790EBB">
        <w:rPr>
          <w:rFonts w:ascii="Times New Roman" w:hAnsi="Times New Roman" w:cs="Times New Roman"/>
          <w:sz w:val="24"/>
          <w:szCs w:val="24"/>
        </w:rPr>
        <w:t xml:space="preserve"> a utility’s fixed-</w:t>
      </w:r>
      <w:r>
        <w:rPr>
          <w:rFonts w:ascii="Times New Roman" w:hAnsi="Times New Roman" w:cs="Times New Roman"/>
          <w:sz w:val="24"/>
          <w:szCs w:val="24"/>
        </w:rPr>
        <w:t>cost recovery through the volu</w:t>
      </w:r>
      <w:r w:rsidR="005E4C13">
        <w:rPr>
          <w:rFonts w:ascii="Times New Roman" w:hAnsi="Times New Roman" w:cs="Times New Roman"/>
          <w:sz w:val="24"/>
          <w:szCs w:val="24"/>
        </w:rPr>
        <w:t>metric rates that customers pay</w:t>
      </w:r>
      <w:r>
        <w:rPr>
          <w:rFonts w:ascii="Times New Roman" w:hAnsi="Times New Roman" w:cs="Times New Roman"/>
          <w:sz w:val="24"/>
          <w:szCs w:val="24"/>
        </w:rPr>
        <w:t xml:space="preserve"> based on their usage.  Slowing load growth, due to increased end-use </w:t>
      </w:r>
      <w:r w:rsidR="00080F97">
        <w:rPr>
          <w:rFonts w:ascii="Times New Roman" w:hAnsi="Times New Roman" w:cs="Times New Roman"/>
          <w:sz w:val="24"/>
          <w:szCs w:val="24"/>
        </w:rPr>
        <w:t xml:space="preserve">efficiencies and distributed </w:t>
      </w:r>
      <w:r>
        <w:rPr>
          <w:rFonts w:ascii="Times New Roman" w:hAnsi="Times New Roman" w:cs="Times New Roman"/>
          <w:sz w:val="24"/>
          <w:szCs w:val="24"/>
        </w:rPr>
        <w:t>generation</w:t>
      </w:r>
      <w:r w:rsidR="00080F97">
        <w:rPr>
          <w:rFonts w:ascii="Times New Roman" w:hAnsi="Times New Roman" w:cs="Times New Roman"/>
          <w:sz w:val="24"/>
          <w:szCs w:val="24"/>
        </w:rPr>
        <w:t xml:space="preserve"> (DG)</w:t>
      </w:r>
      <w:r>
        <w:rPr>
          <w:rFonts w:ascii="Times New Roman" w:hAnsi="Times New Roman" w:cs="Times New Roman"/>
          <w:sz w:val="24"/>
          <w:szCs w:val="24"/>
        </w:rPr>
        <w:t xml:space="preserve">, has exposed the underlying faults in this approach, as </w:t>
      </w:r>
      <w:r w:rsidR="00755605">
        <w:rPr>
          <w:rFonts w:ascii="Times New Roman" w:hAnsi="Times New Roman" w:cs="Times New Roman"/>
          <w:sz w:val="24"/>
          <w:szCs w:val="24"/>
        </w:rPr>
        <w:t xml:space="preserve">recently </w:t>
      </w:r>
      <w:r>
        <w:rPr>
          <w:rFonts w:ascii="Times New Roman" w:hAnsi="Times New Roman" w:cs="Times New Roman"/>
          <w:sz w:val="24"/>
          <w:szCs w:val="24"/>
        </w:rPr>
        <w:t xml:space="preserve">explained </w:t>
      </w:r>
      <w:r w:rsidR="00755605">
        <w:rPr>
          <w:rFonts w:ascii="Times New Roman" w:hAnsi="Times New Roman" w:cs="Times New Roman"/>
          <w:sz w:val="24"/>
          <w:szCs w:val="24"/>
        </w:rPr>
        <w:t>by a former New York State Public Service Commissioner</w:t>
      </w:r>
      <w:r>
        <w:rPr>
          <w:rFonts w:ascii="Times New Roman" w:hAnsi="Times New Roman" w:cs="Times New Roman"/>
          <w:sz w:val="24"/>
          <w:szCs w:val="24"/>
        </w:rPr>
        <w:t>:</w:t>
      </w:r>
    </w:p>
    <w:p w14:paraId="690D093C" w14:textId="17BBFC98" w:rsidR="003166FF" w:rsidRDefault="003166FF" w:rsidP="003166FF">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This traditional approach worked well when per-customer energy use was growing.  It produced incremental revenues that helped utilities fund new investments.  In the future, however, as customers opt to deploy DG and other kinds of similar energy resources, per-customer kWh use will likely fall below levels assumed in the electric utility’s most recent rate case.  This will cause the utility to under-recover some of its allowed fixed costs.</w:t>
      </w:r>
      <w:r w:rsidR="000453AA">
        <w:rPr>
          <w:rFonts w:ascii="Times New Roman" w:hAnsi="Times New Roman" w:cs="Times New Roman"/>
          <w:sz w:val="24"/>
          <w:szCs w:val="24"/>
        </w:rPr>
        <w:t xml:space="preserve"> </w:t>
      </w:r>
      <w:r>
        <w:rPr>
          <w:rFonts w:ascii="Times New Roman" w:hAnsi="Times New Roman" w:cs="Times New Roman"/>
          <w:sz w:val="24"/>
          <w:szCs w:val="24"/>
        </w:rPr>
        <w:t xml:space="preserve"> As DG grows, such under-recovery has the potential to materially weaken the utility’s financial integrity and its ability to attract investor capital, which in turn can lead to higher rates.  To avoid this unintended outcome, we need to mo</w:t>
      </w:r>
      <w:r w:rsidR="00835960">
        <w:rPr>
          <w:rFonts w:ascii="Times New Roman" w:hAnsi="Times New Roman" w:cs="Times New Roman"/>
          <w:sz w:val="24"/>
          <w:szCs w:val="24"/>
        </w:rPr>
        <w:t>v</w:t>
      </w:r>
      <w:r>
        <w:rPr>
          <w:rFonts w:ascii="Times New Roman" w:hAnsi="Times New Roman" w:cs="Times New Roman"/>
          <w:sz w:val="24"/>
          <w:szCs w:val="24"/>
        </w:rPr>
        <w:t>e, over time, toward rates that recover fixed network costs through fixed charges to all ratepayers.</w:t>
      </w:r>
      <w:r>
        <w:rPr>
          <w:rStyle w:val="FootnoteReference"/>
          <w:rFonts w:ascii="Times New Roman" w:hAnsi="Times New Roman" w:cs="Times New Roman"/>
          <w:sz w:val="24"/>
          <w:szCs w:val="24"/>
        </w:rPr>
        <w:footnoteReference w:id="26"/>
      </w:r>
    </w:p>
    <w:p w14:paraId="690D093D" w14:textId="77777777" w:rsidR="003166FF" w:rsidRPr="003166FF" w:rsidRDefault="003166FF" w:rsidP="004871DC">
      <w:pPr>
        <w:spacing w:line="480" w:lineRule="auto"/>
        <w:ind w:left="720" w:hanging="720"/>
        <w:contextualSpacing/>
        <w:rPr>
          <w:rFonts w:ascii="Times New Roman" w:hAnsi="Times New Roman" w:cs="Times New Roman"/>
          <w:sz w:val="24"/>
          <w:szCs w:val="24"/>
        </w:rPr>
      </w:pPr>
    </w:p>
    <w:p w14:paraId="177E8109" w14:textId="253A5CEC" w:rsidR="00C07894" w:rsidRDefault="00755605" w:rsidP="00894354">
      <w:pPr>
        <w:spacing w:line="480" w:lineRule="auto"/>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080F97">
        <w:rPr>
          <w:rFonts w:ascii="Times New Roman" w:hAnsi="Times New Roman" w:cs="Times New Roman"/>
          <w:sz w:val="24"/>
          <w:szCs w:val="24"/>
        </w:rPr>
        <w:t xml:space="preserve">Pacific Power is the textbook example of a utility </w:t>
      </w:r>
      <w:r w:rsidR="008730FE">
        <w:rPr>
          <w:rFonts w:ascii="Times New Roman" w:hAnsi="Times New Roman" w:cs="Times New Roman"/>
          <w:sz w:val="24"/>
          <w:szCs w:val="24"/>
        </w:rPr>
        <w:t>with declining sales that has been negatively affected by obsolete rate design</w:t>
      </w:r>
      <w:r w:rsidR="00080F97">
        <w:rPr>
          <w:rFonts w:ascii="Times New Roman" w:hAnsi="Times New Roman" w:cs="Times New Roman"/>
          <w:sz w:val="24"/>
          <w:szCs w:val="24"/>
        </w:rPr>
        <w:t xml:space="preserve">.  </w:t>
      </w:r>
      <w:r w:rsidR="009F3CE9">
        <w:rPr>
          <w:rFonts w:ascii="Times New Roman" w:hAnsi="Times New Roman" w:cs="Times New Roman"/>
          <w:sz w:val="24"/>
          <w:szCs w:val="24"/>
        </w:rPr>
        <w:t xml:space="preserve">Since peaking in 2005, the Company’s annual load in Washington declined by an average of 0.67 percent per year through 2013.  </w:t>
      </w:r>
      <w:r w:rsidR="00917BD7">
        <w:rPr>
          <w:rFonts w:ascii="Times New Roman" w:hAnsi="Times New Roman" w:cs="Times New Roman"/>
          <w:sz w:val="24"/>
          <w:szCs w:val="24"/>
        </w:rPr>
        <w:t>Due to</w:t>
      </w:r>
      <w:r w:rsidR="00790D56">
        <w:rPr>
          <w:rFonts w:ascii="Times New Roman" w:hAnsi="Times New Roman" w:cs="Times New Roman"/>
          <w:sz w:val="24"/>
          <w:szCs w:val="24"/>
        </w:rPr>
        <w:t xml:space="preserve"> a rate design that </w:t>
      </w:r>
      <w:r w:rsidR="00917BD7">
        <w:rPr>
          <w:rFonts w:ascii="Times New Roman" w:hAnsi="Times New Roman" w:cs="Times New Roman"/>
          <w:sz w:val="24"/>
          <w:szCs w:val="24"/>
        </w:rPr>
        <w:t>recovers</w:t>
      </w:r>
      <w:r w:rsidR="00790D56">
        <w:rPr>
          <w:rFonts w:ascii="Times New Roman" w:hAnsi="Times New Roman" w:cs="Times New Roman"/>
          <w:sz w:val="24"/>
          <w:szCs w:val="24"/>
        </w:rPr>
        <w:t xml:space="preserve"> much of the Company’s fixed</w:t>
      </w:r>
      <w:r w:rsidR="00917BD7">
        <w:rPr>
          <w:rFonts w:ascii="Times New Roman" w:hAnsi="Times New Roman" w:cs="Times New Roman"/>
          <w:sz w:val="24"/>
          <w:szCs w:val="24"/>
        </w:rPr>
        <w:t xml:space="preserve"> costs</w:t>
      </w:r>
      <w:r w:rsidR="00790D56">
        <w:rPr>
          <w:rFonts w:ascii="Times New Roman" w:hAnsi="Times New Roman" w:cs="Times New Roman"/>
          <w:sz w:val="24"/>
          <w:szCs w:val="24"/>
        </w:rPr>
        <w:t xml:space="preserve"> t</w:t>
      </w:r>
      <w:r w:rsidR="00917BD7">
        <w:rPr>
          <w:rFonts w:ascii="Times New Roman" w:hAnsi="Times New Roman" w:cs="Times New Roman"/>
          <w:sz w:val="24"/>
          <w:szCs w:val="24"/>
        </w:rPr>
        <w:t>hrough usage-based charges,</w:t>
      </w:r>
      <w:r w:rsidR="00C801B8">
        <w:rPr>
          <w:rFonts w:ascii="Times New Roman" w:hAnsi="Times New Roman" w:cs="Times New Roman"/>
          <w:sz w:val="24"/>
          <w:szCs w:val="24"/>
        </w:rPr>
        <w:t xml:space="preserve"> </w:t>
      </w:r>
      <w:r w:rsidR="00E6405D">
        <w:rPr>
          <w:rFonts w:ascii="Times New Roman" w:hAnsi="Times New Roman" w:cs="Times New Roman"/>
          <w:sz w:val="24"/>
          <w:szCs w:val="24"/>
        </w:rPr>
        <w:t xml:space="preserve">the </w:t>
      </w:r>
      <w:r w:rsidR="00C07894">
        <w:rPr>
          <w:rFonts w:ascii="Times New Roman" w:hAnsi="Times New Roman" w:cs="Times New Roman"/>
          <w:sz w:val="24"/>
          <w:szCs w:val="24"/>
        </w:rPr>
        <w:t xml:space="preserve">Company’s </w:t>
      </w:r>
      <w:r w:rsidR="00C801B8">
        <w:rPr>
          <w:rFonts w:ascii="Times New Roman" w:hAnsi="Times New Roman" w:cs="Times New Roman"/>
          <w:sz w:val="24"/>
          <w:szCs w:val="24"/>
        </w:rPr>
        <w:t xml:space="preserve">declining load </w:t>
      </w:r>
      <w:r w:rsidR="00917BD7">
        <w:rPr>
          <w:rFonts w:ascii="Times New Roman" w:hAnsi="Times New Roman" w:cs="Times New Roman"/>
          <w:sz w:val="24"/>
          <w:szCs w:val="24"/>
        </w:rPr>
        <w:t xml:space="preserve">trend is </w:t>
      </w:r>
      <w:r w:rsidR="003B08D3">
        <w:rPr>
          <w:rFonts w:ascii="Times New Roman" w:hAnsi="Times New Roman" w:cs="Times New Roman"/>
          <w:sz w:val="24"/>
          <w:szCs w:val="24"/>
        </w:rPr>
        <w:t xml:space="preserve">likely </w:t>
      </w:r>
      <w:r w:rsidR="00917BD7">
        <w:rPr>
          <w:rFonts w:ascii="Times New Roman" w:hAnsi="Times New Roman" w:cs="Times New Roman"/>
          <w:sz w:val="24"/>
          <w:szCs w:val="24"/>
        </w:rPr>
        <w:t>the primary reason the Company has not recovered its authorized revenue requirement since at least 2006</w:t>
      </w:r>
      <w:r w:rsidR="00C801B8">
        <w:rPr>
          <w:rFonts w:ascii="Times New Roman" w:hAnsi="Times New Roman" w:cs="Times New Roman"/>
          <w:sz w:val="24"/>
          <w:szCs w:val="24"/>
        </w:rPr>
        <w:t>.</w:t>
      </w:r>
      <w:r w:rsidR="00917BD7">
        <w:rPr>
          <w:rStyle w:val="FootnoteReference"/>
          <w:rFonts w:ascii="Times New Roman" w:hAnsi="Times New Roman" w:cs="Times New Roman"/>
          <w:sz w:val="24"/>
          <w:szCs w:val="24"/>
        </w:rPr>
        <w:footnoteReference w:id="27"/>
      </w:r>
      <w:r w:rsidR="00AD5B97">
        <w:rPr>
          <w:rFonts w:ascii="Times New Roman" w:hAnsi="Times New Roman" w:cs="Times New Roman"/>
          <w:sz w:val="24"/>
          <w:szCs w:val="24"/>
        </w:rPr>
        <w:t xml:space="preserve">  </w:t>
      </w:r>
    </w:p>
    <w:p w14:paraId="690D093E" w14:textId="3DE183F4" w:rsidR="00DE66D5" w:rsidRDefault="00C21822" w:rsidP="00370A79">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AD5B97">
        <w:rPr>
          <w:rFonts w:ascii="Times New Roman" w:hAnsi="Times New Roman" w:cs="Times New Roman"/>
          <w:sz w:val="24"/>
          <w:szCs w:val="24"/>
        </w:rPr>
        <w:t xml:space="preserve">Mandatory energy conservation requirements codified in the Energy Independence Act have contributed to the </w:t>
      </w:r>
      <w:r w:rsidR="00C07894">
        <w:rPr>
          <w:rFonts w:ascii="Times New Roman" w:hAnsi="Times New Roman" w:cs="Times New Roman"/>
          <w:sz w:val="24"/>
          <w:szCs w:val="24"/>
        </w:rPr>
        <w:t xml:space="preserve">Company’s </w:t>
      </w:r>
      <w:r w:rsidR="00AD5B97">
        <w:rPr>
          <w:rFonts w:ascii="Times New Roman" w:hAnsi="Times New Roman" w:cs="Times New Roman"/>
          <w:sz w:val="24"/>
          <w:szCs w:val="24"/>
        </w:rPr>
        <w:t>declining load</w:t>
      </w:r>
      <w:r w:rsidR="00C07894">
        <w:rPr>
          <w:rFonts w:ascii="Times New Roman" w:hAnsi="Times New Roman" w:cs="Times New Roman"/>
          <w:sz w:val="24"/>
          <w:szCs w:val="24"/>
        </w:rPr>
        <w:t>. S</w:t>
      </w:r>
      <w:r w:rsidR="005624EE">
        <w:rPr>
          <w:rFonts w:ascii="Times New Roman" w:hAnsi="Times New Roman" w:cs="Times New Roman"/>
          <w:sz w:val="24"/>
          <w:szCs w:val="24"/>
        </w:rPr>
        <w:t>ince</w:t>
      </w:r>
      <w:r w:rsidR="008730FE">
        <w:rPr>
          <w:rFonts w:ascii="Times New Roman" w:hAnsi="Times New Roman" w:cs="Times New Roman"/>
          <w:sz w:val="24"/>
          <w:szCs w:val="24"/>
        </w:rPr>
        <w:t xml:space="preserve"> the</w:t>
      </w:r>
      <w:r w:rsidR="00006B18">
        <w:rPr>
          <w:rFonts w:ascii="Times New Roman" w:hAnsi="Times New Roman" w:cs="Times New Roman"/>
          <w:sz w:val="24"/>
          <w:szCs w:val="24"/>
        </w:rPr>
        <w:t xml:space="preserve"> </w:t>
      </w:r>
      <w:r w:rsidR="005624EE">
        <w:rPr>
          <w:rFonts w:ascii="Times New Roman" w:hAnsi="Times New Roman" w:cs="Times New Roman"/>
          <w:sz w:val="24"/>
          <w:szCs w:val="24"/>
        </w:rPr>
        <w:t>Act’s conservation</w:t>
      </w:r>
      <w:r w:rsidR="00006B18">
        <w:rPr>
          <w:rFonts w:ascii="Times New Roman" w:hAnsi="Times New Roman" w:cs="Times New Roman"/>
          <w:sz w:val="24"/>
          <w:szCs w:val="24"/>
        </w:rPr>
        <w:t xml:space="preserve"> </w:t>
      </w:r>
      <w:r w:rsidR="005624EE">
        <w:rPr>
          <w:rFonts w:ascii="Times New Roman" w:hAnsi="Times New Roman" w:cs="Times New Roman"/>
          <w:sz w:val="24"/>
          <w:szCs w:val="24"/>
        </w:rPr>
        <w:t xml:space="preserve">requirements began </w:t>
      </w:r>
      <w:r w:rsidR="00006B18">
        <w:rPr>
          <w:rFonts w:ascii="Times New Roman" w:hAnsi="Times New Roman" w:cs="Times New Roman"/>
          <w:sz w:val="24"/>
          <w:szCs w:val="24"/>
        </w:rPr>
        <w:t xml:space="preserve">in 2010, Pacific Power’s efficiency programs have </w:t>
      </w:r>
      <w:r w:rsidR="00006B18">
        <w:rPr>
          <w:rFonts w:ascii="Times New Roman" w:hAnsi="Times New Roman" w:cs="Times New Roman"/>
          <w:sz w:val="24"/>
          <w:szCs w:val="24"/>
        </w:rPr>
        <w:lastRenderedPageBreak/>
        <w:t>saved about 205,000 MWh in Washington</w:t>
      </w:r>
      <w:r w:rsidR="003F555E">
        <w:rPr>
          <w:rFonts w:ascii="Times New Roman" w:hAnsi="Times New Roman" w:cs="Times New Roman"/>
          <w:sz w:val="24"/>
          <w:szCs w:val="24"/>
        </w:rPr>
        <w:t>.</w:t>
      </w:r>
      <w:r w:rsidR="003F555E">
        <w:rPr>
          <w:rStyle w:val="FootnoteReference"/>
          <w:rFonts w:ascii="Times New Roman" w:hAnsi="Times New Roman" w:cs="Times New Roman"/>
          <w:sz w:val="24"/>
          <w:szCs w:val="24"/>
        </w:rPr>
        <w:footnoteReference w:id="28"/>
      </w:r>
      <w:r w:rsidR="003F555E">
        <w:rPr>
          <w:rFonts w:ascii="Times New Roman" w:hAnsi="Times New Roman" w:cs="Times New Roman"/>
          <w:sz w:val="24"/>
          <w:szCs w:val="24"/>
        </w:rPr>
        <w:t xml:space="preserve">  On average, those savings represent 1.27 percent of the utility’s load each year</w:t>
      </w:r>
      <w:r w:rsidR="005624EE">
        <w:rPr>
          <w:rFonts w:ascii="Times New Roman" w:hAnsi="Times New Roman" w:cs="Times New Roman"/>
          <w:sz w:val="24"/>
          <w:szCs w:val="24"/>
        </w:rPr>
        <w:t>.  This is not a trivial amount; the 61,000 MWh that the comp</w:t>
      </w:r>
      <w:r w:rsidR="003B08D3">
        <w:rPr>
          <w:rFonts w:ascii="Times New Roman" w:hAnsi="Times New Roman" w:cs="Times New Roman"/>
          <w:sz w:val="24"/>
          <w:szCs w:val="24"/>
        </w:rPr>
        <w:t>any conserved in 2013 represent</w:t>
      </w:r>
      <w:r w:rsidR="005624EE">
        <w:rPr>
          <w:rFonts w:ascii="Times New Roman" w:hAnsi="Times New Roman" w:cs="Times New Roman"/>
          <w:sz w:val="24"/>
          <w:szCs w:val="24"/>
        </w:rPr>
        <w:t xml:space="preserve"> about $6 million in foregone revenue.</w:t>
      </w:r>
      <w:r w:rsidR="005624EE">
        <w:rPr>
          <w:rStyle w:val="FootnoteReference"/>
          <w:rFonts w:ascii="Times New Roman" w:hAnsi="Times New Roman" w:cs="Times New Roman"/>
          <w:sz w:val="24"/>
          <w:szCs w:val="24"/>
        </w:rPr>
        <w:footnoteReference w:id="29"/>
      </w:r>
      <w:r w:rsidR="00DE66D5">
        <w:rPr>
          <w:rFonts w:ascii="Times New Roman" w:hAnsi="Times New Roman" w:cs="Times New Roman"/>
          <w:sz w:val="24"/>
          <w:szCs w:val="24"/>
        </w:rPr>
        <w:t xml:space="preserve">  </w:t>
      </w:r>
      <w:r w:rsidR="005624EE">
        <w:rPr>
          <w:rFonts w:ascii="Times New Roman" w:hAnsi="Times New Roman" w:cs="Times New Roman"/>
          <w:sz w:val="24"/>
          <w:szCs w:val="24"/>
        </w:rPr>
        <w:t xml:space="preserve">  </w:t>
      </w:r>
    </w:p>
    <w:p w14:paraId="46118808" w14:textId="0A343D74" w:rsidR="00B92F99" w:rsidRDefault="00C21822" w:rsidP="00790D56">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83781B">
        <w:rPr>
          <w:rFonts w:ascii="Times New Roman" w:hAnsi="Times New Roman" w:cs="Times New Roman"/>
          <w:sz w:val="24"/>
          <w:szCs w:val="24"/>
        </w:rPr>
        <w:t>In some instances, t</w:t>
      </w:r>
      <w:r w:rsidR="00DE66D5">
        <w:rPr>
          <w:rFonts w:ascii="Times New Roman" w:hAnsi="Times New Roman" w:cs="Times New Roman"/>
          <w:sz w:val="24"/>
          <w:szCs w:val="24"/>
        </w:rPr>
        <w:t xml:space="preserve">he Commission has sought to overcome </w:t>
      </w:r>
      <w:r w:rsidR="00B92F99">
        <w:rPr>
          <w:rFonts w:ascii="Times New Roman" w:hAnsi="Times New Roman" w:cs="Times New Roman"/>
          <w:sz w:val="24"/>
          <w:szCs w:val="24"/>
        </w:rPr>
        <w:t>a utility’s</w:t>
      </w:r>
      <w:r w:rsidR="00DE66D5">
        <w:rPr>
          <w:rFonts w:ascii="Times New Roman" w:hAnsi="Times New Roman" w:cs="Times New Roman"/>
          <w:sz w:val="24"/>
          <w:szCs w:val="24"/>
        </w:rPr>
        <w:t xml:space="preserve"> natural disincentive to pursue conservation </w:t>
      </w:r>
      <w:r w:rsidR="00370A79">
        <w:rPr>
          <w:rFonts w:ascii="Times New Roman" w:hAnsi="Times New Roman" w:cs="Times New Roman"/>
          <w:sz w:val="24"/>
          <w:szCs w:val="24"/>
        </w:rPr>
        <w:t>by implementing</w:t>
      </w:r>
      <w:r w:rsidR="00CE243E">
        <w:rPr>
          <w:rFonts w:ascii="Times New Roman" w:hAnsi="Times New Roman" w:cs="Times New Roman"/>
          <w:sz w:val="24"/>
          <w:szCs w:val="24"/>
        </w:rPr>
        <w:t xml:space="preserve"> decoupling mechanisms</w:t>
      </w:r>
      <w:r w:rsidR="001B1102">
        <w:rPr>
          <w:rFonts w:ascii="Times New Roman" w:hAnsi="Times New Roman" w:cs="Times New Roman"/>
          <w:sz w:val="24"/>
          <w:szCs w:val="24"/>
        </w:rPr>
        <w:t>,</w:t>
      </w:r>
      <w:r w:rsidR="00E6405D" w:rsidRPr="00E6405D">
        <w:rPr>
          <w:rFonts w:ascii="Times New Roman" w:hAnsi="Times New Roman" w:cs="Times New Roman"/>
          <w:sz w:val="24"/>
          <w:szCs w:val="24"/>
        </w:rPr>
        <w:t xml:space="preserve"> </w:t>
      </w:r>
      <w:r w:rsidR="00E6405D">
        <w:rPr>
          <w:rFonts w:ascii="Times New Roman" w:hAnsi="Times New Roman" w:cs="Times New Roman"/>
          <w:sz w:val="24"/>
          <w:szCs w:val="24"/>
        </w:rPr>
        <w:t xml:space="preserve">which provide a true-up mechanism that allows a utility to recover its fixed costs regardless of actual usage. </w:t>
      </w:r>
      <w:r w:rsidR="00DE66D5">
        <w:rPr>
          <w:rFonts w:ascii="Times New Roman" w:hAnsi="Times New Roman" w:cs="Times New Roman"/>
          <w:sz w:val="24"/>
          <w:szCs w:val="24"/>
        </w:rPr>
        <w:t xml:space="preserve"> </w:t>
      </w:r>
      <w:r w:rsidR="000453AA">
        <w:rPr>
          <w:rFonts w:ascii="Times New Roman" w:hAnsi="Times New Roman" w:cs="Times New Roman"/>
          <w:sz w:val="24"/>
          <w:szCs w:val="24"/>
        </w:rPr>
        <w:t xml:space="preserve"> </w:t>
      </w:r>
      <w:r w:rsidR="003B08D3">
        <w:rPr>
          <w:rFonts w:ascii="Times New Roman" w:hAnsi="Times New Roman" w:cs="Times New Roman"/>
          <w:sz w:val="24"/>
          <w:szCs w:val="24"/>
        </w:rPr>
        <w:t>PSE</w:t>
      </w:r>
      <w:r w:rsidR="00CE243E">
        <w:rPr>
          <w:rFonts w:ascii="Times New Roman" w:hAnsi="Times New Roman" w:cs="Times New Roman"/>
          <w:sz w:val="24"/>
          <w:szCs w:val="24"/>
        </w:rPr>
        <w:t xml:space="preserve"> has such a mechanism in place; </w:t>
      </w:r>
      <w:r w:rsidR="00DE66D5">
        <w:rPr>
          <w:rFonts w:ascii="Times New Roman" w:hAnsi="Times New Roman" w:cs="Times New Roman"/>
          <w:sz w:val="24"/>
          <w:szCs w:val="24"/>
        </w:rPr>
        <w:t>a settlement agreement filed in Avist</w:t>
      </w:r>
      <w:r w:rsidR="003B08D3">
        <w:rPr>
          <w:rFonts w:ascii="Times New Roman" w:hAnsi="Times New Roman" w:cs="Times New Roman"/>
          <w:sz w:val="24"/>
          <w:szCs w:val="24"/>
        </w:rPr>
        <w:t>a</w:t>
      </w:r>
      <w:r w:rsidR="00DE66D5">
        <w:rPr>
          <w:rFonts w:ascii="Times New Roman" w:hAnsi="Times New Roman" w:cs="Times New Roman"/>
          <w:sz w:val="24"/>
          <w:szCs w:val="24"/>
        </w:rPr>
        <w:t xml:space="preserve">’s current rate case would, if approved by the Commission, create </w:t>
      </w:r>
      <w:r w:rsidR="00CE243E">
        <w:rPr>
          <w:rFonts w:ascii="Times New Roman" w:hAnsi="Times New Roman" w:cs="Times New Roman"/>
          <w:sz w:val="24"/>
          <w:szCs w:val="24"/>
        </w:rPr>
        <w:t>one</w:t>
      </w:r>
      <w:r w:rsidR="00DE66D5">
        <w:rPr>
          <w:rFonts w:ascii="Times New Roman" w:hAnsi="Times New Roman" w:cs="Times New Roman"/>
          <w:sz w:val="24"/>
          <w:szCs w:val="24"/>
        </w:rPr>
        <w:t xml:space="preserve"> for that company.  Pacific Power does not have such a me</w:t>
      </w:r>
      <w:r w:rsidR="00790D56">
        <w:rPr>
          <w:rFonts w:ascii="Times New Roman" w:hAnsi="Times New Roman" w:cs="Times New Roman"/>
          <w:sz w:val="24"/>
          <w:szCs w:val="24"/>
        </w:rPr>
        <w:t>chanism and is not requesting one</w:t>
      </w:r>
      <w:r w:rsidR="00DE66D5">
        <w:rPr>
          <w:rFonts w:ascii="Times New Roman" w:hAnsi="Times New Roman" w:cs="Times New Roman"/>
          <w:sz w:val="24"/>
          <w:szCs w:val="24"/>
        </w:rPr>
        <w:t xml:space="preserve"> in this cas</w:t>
      </w:r>
      <w:r w:rsidR="00CE243E">
        <w:rPr>
          <w:rFonts w:ascii="Times New Roman" w:hAnsi="Times New Roman" w:cs="Times New Roman"/>
          <w:sz w:val="24"/>
          <w:szCs w:val="24"/>
        </w:rPr>
        <w:t xml:space="preserve">e.  </w:t>
      </w:r>
    </w:p>
    <w:p w14:paraId="3DD64E29" w14:textId="679BCAFB" w:rsidR="00511EEC" w:rsidRDefault="00C21822" w:rsidP="00370A79">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CE243E">
        <w:rPr>
          <w:rFonts w:ascii="Times New Roman" w:hAnsi="Times New Roman" w:cs="Times New Roman"/>
          <w:sz w:val="24"/>
          <w:szCs w:val="24"/>
        </w:rPr>
        <w:t>Absent decoupling</w:t>
      </w:r>
      <w:r w:rsidR="00DE66D5">
        <w:rPr>
          <w:rFonts w:ascii="Times New Roman" w:hAnsi="Times New Roman" w:cs="Times New Roman"/>
          <w:sz w:val="24"/>
          <w:szCs w:val="24"/>
        </w:rPr>
        <w:t>, Staff believes it is appropriate and necessary to design Pacific Power’s rates in a manner that will shift a greater share of the Company’s fixed-cost recovery from the volumetric component of a customer’s bill to the basic charge</w:t>
      </w:r>
      <w:r w:rsidR="0083781B">
        <w:rPr>
          <w:rFonts w:ascii="Times New Roman" w:hAnsi="Times New Roman" w:cs="Times New Roman"/>
          <w:sz w:val="24"/>
          <w:szCs w:val="24"/>
        </w:rPr>
        <w:t xml:space="preserve">.  This approach will provide a proxy to </w:t>
      </w:r>
      <w:r w:rsidR="00B92F99">
        <w:rPr>
          <w:rFonts w:ascii="Times New Roman" w:hAnsi="Times New Roman" w:cs="Times New Roman"/>
          <w:sz w:val="24"/>
          <w:szCs w:val="24"/>
        </w:rPr>
        <w:t>a</w:t>
      </w:r>
      <w:r w:rsidR="0083781B">
        <w:rPr>
          <w:rFonts w:ascii="Times New Roman" w:hAnsi="Times New Roman" w:cs="Times New Roman"/>
          <w:sz w:val="24"/>
          <w:szCs w:val="24"/>
        </w:rPr>
        <w:t xml:space="preserve"> decoupling m</w:t>
      </w:r>
      <w:r w:rsidR="00511EEC">
        <w:rPr>
          <w:rFonts w:ascii="Times New Roman" w:hAnsi="Times New Roman" w:cs="Times New Roman"/>
          <w:sz w:val="24"/>
          <w:szCs w:val="24"/>
        </w:rPr>
        <w:t xml:space="preserve">echanism </w:t>
      </w:r>
      <w:r w:rsidR="001B1102">
        <w:rPr>
          <w:rFonts w:ascii="Times New Roman" w:hAnsi="Times New Roman" w:cs="Times New Roman"/>
          <w:sz w:val="24"/>
          <w:szCs w:val="24"/>
        </w:rPr>
        <w:t>and</w:t>
      </w:r>
      <w:r w:rsidR="00511EEC">
        <w:rPr>
          <w:rFonts w:ascii="Times New Roman" w:hAnsi="Times New Roman" w:cs="Times New Roman"/>
          <w:sz w:val="24"/>
          <w:szCs w:val="24"/>
        </w:rPr>
        <w:t xml:space="preserve"> insulate the Company against the risk of under-recovering its fixed costs in an era of uncertain load.</w:t>
      </w:r>
      <w:r w:rsidR="006D0D14">
        <w:rPr>
          <w:rFonts w:ascii="Times New Roman" w:hAnsi="Times New Roman" w:cs="Times New Roman"/>
          <w:sz w:val="24"/>
          <w:szCs w:val="24"/>
        </w:rPr>
        <w:t xml:space="preserve"> </w:t>
      </w:r>
      <w:r w:rsidR="00511EEC">
        <w:rPr>
          <w:rFonts w:ascii="Times New Roman" w:hAnsi="Times New Roman" w:cs="Times New Roman"/>
          <w:sz w:val="24"/>
          <w:szCs w:val="24"/>
        </w:rPr>
        <w:t xml:space="preserve"> Staff also notes that the decoupling mechanism granted to Puget Sound Energy has been the subject of controversy and considerable additional evaluation and measurement work; Staff’s proposed rate design in this case may </w:t>
      </w:r>
      <w:r w:rsidR="00511EEC">
        <w:rPr>
          <w:rFonts w:ascii="Times New Roman" w:hAnsi="Times New Roman" w:cs="Times New Roman"/>
          <w:sz w:val="24"/>
          <w:szCs w:val="24"/>
        </w:rPr>
        <w:lastRenderedPageBreak/>
        <w:t xml:space="preserve">provide a more efficient means of pursuing </w:t>
      </w:r>
      <w:r w:rsidR="001B1102">
        <w:rPr>
          <w:rFonts w:ascii="Times New Roman" w:hAnsi="Times New Roman" w:cs="Times New Roman"/>
          <w:sz w:val="24"/>
          <w:szCs w:val="24"/>
        </w:rPr>
        <w:t>the underlying policy goals that decoupling addresses</w:t>
      </w:r>
      <w:r w:rsidR="00511EEC">
        <w:rPr>
          <w:rFonts w:ascii="Times New Roman" w:hAnsi="Times New Roman" w:cs="Times New Roman"/>
          <w:sz w:val="24"/>
          <w:szCs w:val="24"/>
        </w:rPr>
        <w:t xml:space="preserve">. </w:t>
      </w:r>
    </w:p>
    <w:p w14:paraId="690D093F" w14:textId="0DAEF92E" w:rsidR="004871DC" w:rsidRDefault="00C21822" w:rsidP="0091287C">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91287C">
        <w:rPr>
          <w:rFonts w:ascii="Times New Roman" w:hAnsi="Times New Roman" w:cs="Times New Roman"/>
          <w:sz w:val="24"/>
          <w:szCs w:val="24"/>
        </w:rPr>
        <w:t>It</w:t>
      </w:r>
      <w:r w:rsidR="00D2354F">
        <w:rPr>
          <w:rFonts w:ascii="Times New Roman" w:hAnsi="Times New Roman" w:cs="Times New Roman"/>
          <w:sz w:val="24"/>
          <w:szCs w:val="24"/>
        </w:rPr>
        <w:t xml:space="preserve"> is important that the Commission take steps now that will </w:t>
      </w:r>
      <w:r w:rsidR="004362BB">
        <w:rPr>
          <w:rFonts w:ascii="Times New Roman" w:hAnsi="Times New Roman" w:cs="Times New Roman"/>
          <w:sz w:val="24"/>
          <w:szCs w:val="24"/>
        </w:rPr>
        <w:t>reduce the natural disincentive that</w:t>
      </w:r>
      <w:r w:rsidR="00D2354F">
        <w:rPr>
          <w:rFonts w:ascii="Times New Roman" w:hAnsi="Times New Roman" w:cs="Times New Roman"/>
          <w:sz w:val="24"/>
          <w:szCs w:val="24"/>
        </w:rPr>
        <w:t xml:space="preserve"> Pacific Power </w:t>
      </w:r>
      <w:r w:rsidR="004362BB">
        <w:rPr>
          <w:rFonts w:ascii="Times New Roman" w:hAnsi="Times New Roman" w:cs="Times New Roman"/>
          <w:sz w:val="24"/>
          <w:szCs w:val="24"/>
        </w:rPr>
        <w:t xml:space="preserve">faces when considering </w:t>
      </w:r>
      <w:r w:rsidR="00D2354F">
        <w:rPr>
          <w:rFonts w:ascii="Times New Roman" w:hAnsi="Times New Roman" w:cs="Times New Roman"/>
          <w:sz w:val="24"/>
          <w:szCs w:val="24"/>
        </w:rPr>
        <w:t xml:space="preserve">investment in energy efficiency, </w:t>
      </w:r>
      <w:r w:rsidR="00B745FA">
        <w:rPr>
          <w:rFonts w:ascii="Times New Roman" w:hAnsi="Times New Roman" w:cs="Times New Roman"/>
          <w:sz w:val="24"/>
          <w:szCs w:val="24"/>
        </w:rPr>
        <w:t xml:space="preserve">particularly because </w:t>
      </w:r>
      <w:r w:rsidR="00D2354F">
        <w:rPr>
          <w:rFonts w:ascii="Times New Roman" w:hAnsi="Times New Roman" w:cs="Times New Roman"/>
          <w:sz w:val="24"/>
          <w:szCs w:val="24"/>
        </w:rPr>
        <w:t>complying with the proposed carbon emission reduction goal set forth by the Environmental Protection Agency may require Washington utilities to accelerate their conservation programs.</w:t>
      </w:r>
      <w:r w:rsidR="00070DB9">
        <w:rPr>
          <w:rStyle w:val="FootnoteReference"/>
          <w:rFonts w:ascii="Times New Roman" w:hAnsi="Times New Roman" w:cs="Times New Roman"/>
          <w:sz w:val="24"/>
          <w:szCs w:val="24"/>
        </w:rPr>
        <w:footnoteReference w:id="30"/>
      </w:r>
    </w:p>
    <w:p w14:paraId="690D0940" w14:textId="04610FDF" w:rsidR="00A703D8" w:rsidRDefault="00C21822" w:rsidP="0091287C">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D2354F">
        <w:rPr>
          <w:rFonts w:ascii="Times New Roman" w:hAnsi="Times New Roman" w:cs="Times New Roman"/>
          <w:sz w:val="24"/>
          <w:szCs w:val="24"/>
        </w:rPr>
        <w:t>While shifting a greater share of fixed-cost recovery to the basic charge is aligned with Staff’s first goal of ensuring more reliable recovery of fixed costs for Pacific Power, it is in direct conflict with the second goal of creating price signals for customers that encourage</w:t>
      </w:r>
      <w:r w:rsidR="000A3EF8">
        <w:rPr>
          <w:rFonts w:ascii="Times New Roman" w:hAnsi="Times New Roman" w:cs="Times New Roman"/>
          <w:sz w:val="24"/>
          <w:szCs w:val="24"/>
        </w:rPr>
        <w:t xml:space="preserve"> investments in</w:t>
      </w:r>
      <w:r w:rsidR="00D2354F">
        <w:rPr>
          <w:rFonts w:ascii="Times New Roman" w:hAnsi="Times New Roman" w:cs="Times New Roman"/>
          <w:sz w:val="24"/>
          <w:szCs w:val="24"/>
        </w:rPr>
        <w:t xml:space="preserve"> energy efficiency</w:t>
      </w:r>
      <w:r w:rsidR="000A3EF8">
        <w:rPr>
          <w:rFonts w:ascii="Times New Roman" w:hAnsi="Times New Roman" w:cs="Times New Roman"/>
          <w:sz w:val="24"/>
          <w:szCs w:val="24"/>
        </w:rPr>
        <w:t xml:space="preserve"> and distributed energy.  </w:t>
      </w:r>
    </w:p>
    <w:p w14:paraId="690D0941" w14:textId="10B2D4A7" w:rsidR="00D2354F" w:rsidRDefault="00C21822" w:rsidP="0091287C">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A703D8">
        <w:rPr>
          <w:rFonts w:ascii="Times New Roman" w:hAnsi="Times New Roman" w:cs="Times New Roman"/>
          <w:sz w:val="24"/>
          <w:szCs w:val="24"/>
        </w:rPr>
        <w:t>Inclining block rates, which increase the per-kWh charge as consumption increases, are an ef</w:t>
      </w:r>
      <w:r w:rsidR="006B1EC8">
        <w:rPr>
          <w:rFonts w:ascii="Times New Roman" w:hAnsi="Times New Roman" w:cs="Times New Roman"/>
          <w:sz w:val="24"/>
          <w:szCs w:val="24"/>
        </w:rPr>
        <w:t xml:space="preserve">fective </w:t>
      </w:r>
      <w:r w:rsidR="00A703D8">
        <w:rPr>
          <w:rFonts w:ascii="Times New Roman" w:hAnsi="Times New Roman" w:cs="Times New Roman"/>
          <w:sz w:val="24"/>
          <w:szCs w:val="24"/>
        </w:rPr>
        <w:t xml:space="preserve">approach to encouraging efficient usage, because they create a </w:t>
      </w:r>
      <w:r w:rsidR="005E7C9F">
        <w:rPr>
          <w:rFonts w:ascii="Times New Roman" w:hAnsi="Times New Roman" w:cs="Times New Roman"/>
          <w:sz w:val="24"/>
          <w:szCs w:val="24"/>
        </w:rPr>
        <w:t xml:space="preserve">consistent </w:t>
      </w:r>
      <w:r w:rsidR="00A703D8">
        <w:rPr>
          <w:rFonts w:ascii="Times New Roman" w:hAnsi="Times New Roman" w:cs="Times New Roman"/>
          <w:sz w:val="24"/>
          <w:szCs w:val="24"/>
        </w:rPr>
        <w:t>price signal for all customers and require minimal overhead costs to implement.</w:t>
      </w:r>
      <w:r w:rsidR="00A703D8">
        <w:rPr>
          <w:rStyle w:val="FootnoteReference"/>
          <w:rFonts w:ascii="Times New Roman" w:hAnsi="Times New Roman" w:cs="Times New Roman"/>
          <w:sz w:val="24"/>
          <w:szCs w:val="24"/>
        </w:rPr>
        <w:footnoteReference w:id="31"/>
      </w:r>
      <w:r w:rsidR="005E7C9F">
        <w:rPr>
          <w:rFonts w:ascii="Times New Roman" w:hAnsi="Times New Roman" w:cs="Times New Roman"/>
          <w:sz w:val="24"/>
          <w:szCs w:val="24"/>
        </w:rPr>
        <w:t xml:space="preserve">  To effectively encourage </w:t>
      </w:r>
      <w:r w:rsidR="00CE243E">
        <w:rPr>
          <w:rFonts w:ascii="Times New Roman" w:hAnsi="Times New Roman" w:cs="Times New Roman"/>
          <w:sz w:val="24"/>
          <w:szCs w:val="24"/>
        </w:rPr>
        <w:t>high</w:t>
      </w:r>
      <w:r w:rsidR="005E7C9F">
        <w:rPr>
          <w:rFonts w:ascii="Times New Roman" w:hAnsi="Times New Roman" w:cs="Times New Roman"/>
          <w:sz w:val="24"/>
          <w:szCs w:val="24"/>
        </w:rPr>
        <w:t xml:space="preserve"> users to become more efficient, there must be enough of a spread between the block rates for customers to perceive the price signal.</w:t>
      </w:r>
      <w:r w:rsidR="005E7C9F">
        <w:rPr>
          <w:rStyle w:val="FootnoteReference"/>
          <w:rFonts w:ascii="Times New Roman" w:hAnsi="Times New Roman" w:cs="Times New Roman"/>
          <w:sz w:val="24"/>
          <w:szCs w:val="24"/>
        </w:rPr>
        <w:footnoteReference w:id="32"/>
      </w:r>
      <w:r w:rsidR="005E7C9F">
        <w:rPr>
          <w:rFonts w:ascii="Times New Roman" w:hAnsi="Times New Roman" w:cs="Times New Roman"/>
          <w:sz w:val="24"/>
          <w:szCs w:val="24"/>
        </w:rPr>
        <w:t xml:space="preserve">  </w:t>
      </w:r>
      <w:r w:rsidR="00AD5B97">
        <w:rPr>
          <w:rFonts w:ascii="Times New Roman" w:hAnsi="Times New Roman" w:cs="Times New Roman"/>
          <w:sz w:val="24"/>
          <w:szCs w:val="24"/>
        </w:rPr>
        <w:t>However</w:t>
      </w:r>
      <w:r w:rsidR="005E7C9F">
        <w:rPr>
          <w:rFonts w:ascii="Times New Roman" w:hAnsi="Times New Roman" w:cs="Times New Roman"/>
          <w:sz w:val="24"/>
          <w:szCs w:val="24"/>
        </w:rPr>
        <w:t xml:space="preserve">, </w:t>
      </w:r>
      <w:r w:rsidR="006B1EC8">
        <w:rPr>
          <w:rFonts w:ascii="Times New Roman" w:hAnsi="Times New Roman" w:cs="Times New Roman"/>
          <w:sz w:val="24"/>
          <w:szCs w:val="24"/>
        </w:rPr>
        <w:t xml:space="preserve">depending on how they are designed, </w:t>
      </w:r>
      <w:r w:rsidR="0091287C">
        <w:rPr>
          <w:rFonts w:ascii="Times New Roman" w:hAnsi="Times New Roman" w:cs="Times New Roman"/>
          <w:sz w:val="24"/>
          <w:szCs w:val="24"/>
        </w:rPr>
        <w:t xml:space="preserve">inverted </w:t>
      </w:r>
      <w:r w:rsidR="005E7C9F">
        <w:rPr>
          <w:rFonts w:ascii="Times New Roman" w:hAnsi="Times New Roman" w:cs="Times New Roman"/>
          <w:sz w:val="24"/>
          <w:szCs w:val="24"/>
        </w:rPr>
        <w:t>block rates can undermine the goal of ensuring a utility more certainty in its cost recovery if customers respond to the price signal and reduce their usage.</w:t>
      </w:r>
      <w:r w:rsidR="00AD5B97">
        <w:rPr>
          <w:rFonts w:ascii="Times New Roman" w:hAnsi="Times New Roman" w:cs="Times New Roman"/>
          <w:sz w:val="24"/>
          <w:szCs w:val="24"/>
        </w:rPr>
        <w:t xml:space="preserve">  Conversely, allowing a </w:t>
      </w:r>
      <w:r w:rsidR="00AD5B97">
        <w:rPr>
          <w:rFonts w:ascii="Times New Roman" w:hAnsi="Times New Roman" w:cs="Times New Roman"/>
          <w:sz w:val="24"/>
          <w:szCs w:val="24"/>
        </w:rPr>
        <w:lastRenderedPageBreak/>
        <w:t>utility to recover more of its costs through the basic charge reduces the portion of a bill that customers can control by becoming more efficient, which could discourage efficient behavior.</w:t>
      </w:r>
      <w:r w:rsidR="00AC7925" w:rsidRPr="00AC7925">
        <w:rPr>
          <w:rFonts w:ascii="Times New Roman" w:hAnsi="Times New Roman" w:cs="Times New Roman"/>
          <w:sz w:val="24"/>
          <w:szCs w:val="24"/>
        </w:rPr>
        <w:t xml:space="preserve"> </w:t>
      </w:r>
    </w:p>
    <w:p w14:paraId="690D0942" w14:textId="12072DC5" w:rsidR="00AD5B97" w:rsidRDefault="00C21822" w:rsidP="007E2398">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AD5B97">
        <w:rPr>
          <w:rFonts w:ascii="Times New Roman" w:hAnsi="Times New Roman" w:cs="Times New Roman"/>
          <w:sz w:val="24"/>
          <w:szCs w:val="24"/>
        </w:rPr>
        <w:t xml:space="preserve">Staff has considered these competing goals and strived to develop a rate design that strikes a balance between them.  Staff’s rate design </w:t>
      </w:r>
      <w:r w:rsidR="00D31DB6">
        <w:rPr>
          <w:rFonts w:ascii="Times New Roman" w:hAnsi="Times New Roman" w:cs="Times New Roman"/>
          <w:sz w:val="24"/>
          <w:szCs w:val="24"/>
        </w:rPr>
        <w:t xml:space="preserve">achieves this balance </w:t>
      </w:r>
      <w:r w:rsidR="0091287C">
        <w:rPr>
          <w:rFonts w:ascii="Times New Roman" w:hAnsi="Times New Roman" w:cs="Times New Roman"/>
          <w:sz w:val="24"/>
          <w:szCs w:val="24"/>
        </w:rPr>
        <w:t xml:space="preserve">by </w:t>
      </w:r>
      <w:r w:rsidR="00AD5B97">
        <w:rPr>
          <w:rFonts w:ascii="Times New Roman" w:hAnsi="Times New Roman" w:cs="Times New Roman"/>
          <w:sz w:val="24"/>
          <w:szCs w:val="24"/>
        </w:rPr>
        <w:t>increasing the size of the monthly basic charge to provide the Company with some insulation from the impacts of declining load</w:t>
      </w:r>
      <w:r w:rsidR="00CE243E">
        <w:rPr>
          <w:rFonts w:ascii="Times New Roman" w:hAnsi="Times New Roman" w:cs="Times New Roman"/>
          <w:sz w:val="24"/>
          <w:szCs w:val="24"/>
        </w:rPr>
        <w:t>, while adjusting the inclining block structure to offset some of that increase</w:t>
      </w:r>
      <w:r w:rsidR="0091287C">
        <w:rPr>
          <w:rFonts w:ascii="Times New Roman" w:hAnsi="Times New Roman" w:cs="Times New Roman"/>
          <w:sz w:val="24"/>
          <w:szCs w:val="24"/>
        </w:rPr>
        <w:t xml:space="preserve"> for ratepayers</w:t>
      </w:r>
      <w:r w:rsidR="00CE243E">
        <w:rPr>
          <w:rFonts w:ascii="Times New Roman" w:hAnsi="Times New Roman" w:cs="Times New Roman"/>
          <w:sz w:val="24"/>
          <w:szCs w:val="24"/>
        </w:rPr>
        <w:t xml:space="preserve"> and add</w:t>
      </w:r>
      <w:r w:rsidR="0091287C">
        <w:rPr>
          <w:rFonts w:ascii="Times New Roman" w:hAnsi="Times New Roman" w:cs="Times New Roman"/>
          <w:sz w:val="24"/>
          <w:szCs w:val="24"/>
        </w:rPr>
        <w:t>ing</w:t>
      </w:r>
      <w:r w:rsidR="00CE243E">
        <w:rPr>
          <w:rFonts w:ascii="Times New Roman" w:hAnsi="Times New Roman" w:cs="Times New Roman"/>
          <w:sz w:val="24"/>
          <w:szCs w:val="24"/>
        </w:rPr>
        <w:t xml:space="preserve"> a third block to provide a stronger price signal for high residential users to become more efficient</w:t>
      </w:r>
      <w:r w:rsidR="00AD5B97">
        <w:rPr>
          <w:rFonts w:ascii="Times New Roman" w:hAnsi="Times New Roman" w:cs="Times New Roman"/>
          <w:sz w:val="24"/>
          <w:szCs w:val="24"/>
        </w:rPr>
        <w:t xml:space="preserve">. </w:t>
      </w:r>
      <w:r w:rsidR="00AC7925">
        <w:rPr>
          <w:rFonts w:ascii="Times New Roman" w:hAnsi="Times New Roman" w:cs="Times New Roman"/>
          <w:sz w:val="24"/>
          <w:szCs w:val="24"/>
        </w:rPr>
        <w:t xml:space="preserve"> In tandem, Staff’s rate </w:t>
      </w:r>
      <w:proofErr w:type="gramStart"/>
      <w:r w:rsidR="00AC7925">
        <w:rPr>
          <w:rFonts w:ascii="Times New Roman" w:hAnsi="Times New Roman" w:cs="Times New Roman"/>
          <w:sz w:val="24"/>
          <w:szCs w:val="24"/>
        </w:rPr>
        <w:t>design  balances</w:t>
      </w:r>
      <w:proofErr w:type="gramEnd"/>
      <w:r w:rsidR="00AC7925">
        <w:rPr>
          <w:rFonts w:ascii="Times New Roman" w:hAnsi="Times New Roman" w:cs="Times New Roman"/>
          <w:sz w:val="24"/>
          <w:szCs w:val="24"/>
        </w:rPr>
        <w:t xml:space="preserve"> the impact of its proposed changes on both the Company and ratepayers. </w:t>
      </w:r>
    </w:p>
    <w:p w14:paraId="690D0943" w14:textId="77777777" w:rsidR="00006B18" w:rsidRDefault="00006B18" w:rsidP="00894354">
      <w:pPr>
        <w:spacing w:line="480" w:lineRule="auto"/>
        <w:ind w:left="720" w:hanging="720"/>
        <w:contextualSpacing/>
        <w:rPr>
          <w:rFonts w:ascii="Times New Roman" w:hAnsi="Times New Roman" w:cs="Times New Roman"/>
          <w:sz w:val="24"/>
          <w:szCs w:val="24"/>
        </w:rPr>
      </w:pPr>
    </w:p>
    <w:p w14:paraId="690D0944" w14:textId="7493C796" w:rsidR="00CE243E" w:rsidRPr="00293F51" w:rsidRDefault="00C01025" w:rsidP="00CE243E">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917BD7">
        <w:rPr>
          <w:rFonts w:ascii="Times New Roman" w:hAnsi="Times New Roman" w:cs="Times New Roman"/>
          <w:b/>
          <w:sz w:val="24"/>
          <w:szCs w:val="24"/>
        </w:rPr>
        <w:t>Why does Staff propose to increase the monthly basic charge for residen</w:t>
      </w:r>
      <w:r w:rsidR="006C151B">
        <w:rPr>
          <w:rFonts w:ascii="Times New Roman" w:hAnsi="Times New Roman" w:cs="Times New Roman"/>
          <w:b/>
          <w:sz w:val="24"/>
          <w:szCs w:val="24"/>
        </w:rPr>
        <w:t>tia</w:t>
      </w:r>
      <w:r w:rsidR="001B1102">
        <w:rPr>
          <w:rFonts w:ascii="Times New Roman" w:hAnsi="Times New Roman" w:cs="Times New Roman"/>
          <w:b/>
          <w:sz w:val="24"/>
          <w:szCs w:val="24"/>
        </w:rPr>
        <w:t>l customers from $7.75 to $</w:t>
      </w:r>
      <w:r w:rsidR="0091287C">
        <w:rPr>
          <w:rFonts w:ascii="Times New Roman" w:hAnsi="Times New Roman" w:cs="Times New Roman"/>
          <w:b/>
          <w:sz w:val="24"/>
          <w:szCs w:val="24"/>
        </w:rPr>
        <w:t>13</w:t>
      </w:r>
      <w:r w:rsidR="00437932">
        <w:rPr>
          <w:rFonts w:ascii="Times New Roman" w:hAnsi="Times New Roman" w:cs="Times New Roman"/>
          <w:b/>
          <w:sz w:val="24"/>
          <w:szCs w:val="24"/>
        </w:rPr>
        <w:t>.00</w:t>
      </w:r>
      <w:r w:rsidR="00917BD7">
        <w:rPr>
          <w:rFonts w:ascii="Times New Roman" w:hAnsi="Times New Roman" w:cs="Times New Roman"/>
          <w:b/>
          <w:sz w:val="24"/>
          <w:szCs w:val="24"/>
        </w:rPr>
        <w:t>?</w:t>
      </w:r>
    </w:p>
    <w:p w14:paraId="690D0945" w14:textId="15BBA499" w:rsidR="00CE243E" w:rsidRDefault="00CE243E" w:rsidP="00CE243E">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917BD7">
        <w:rPr>
          <w:rFonts w:ascii="Times New Roman" w:hAnsi="Times New Roman" w:cs="Times New Roman"/>
          <w:sz w:val="24"/>
          <w:szCs w:val="24"/>
        </w:rPr>
        <w:t>As I explained above, in the absence of a decoupling mechanism to reduce Pacific Power’s risk o</w:t>
      </w:r>
      <w:r w:rsidR="004362BB">
        <w:rPr>
          <w:rFonts w:ascii="Times New Roman" w:hAnsi="Times New Roman" w:cs="Times New Roman"/>
          <w:sz w:val="24"/>
          <w:szCs w:val="24"/>
        </w:rPr>
        <w:t>f under-recovering fixed costs due to declining load, it is appropriate to shift the distribution of the Company’s cost recovery toward fixed sources of recovery, such as the monthly basic charge.  Staff’s proposal of $</w:t>
      </w:r>
      <w:r w:rsidR="0091287C">
        <w:rPr>
          <w:rFonts w:ascii="Times New Roman" w:hAnsi="Times New Roman" w:cs="Times New Roman"/>
          <w:sz w:val="24"/>
          <w:szCs w:val="24"/>
        </w:rPr>
        <w:t>13</w:t>
      </w:r>
      <w:r w:rsidR="006B1EC8">
        <w:rPr>
          <w:rFonts w:ascii="Times New Roman" w:hAnsi="Times New Roman" w:cs="Times New Roman"/>
          <w:sz w:val="24"/>
          <w:szCs w:val="24"/>
        </w:rPr>
        <w:t>.00</w:t>
      </w:r>
      <w:r w:rsidR="004362BB">
        <w:rPr>
          <w:rFonts w:ascii="Times New Roman" w:hAnsi="Times New Roman" w:cs="Times New Roman"/>
          <w:sz w:val="24"/>
          <w:szCs w:val="24"/>
        </w:rPr>
        <w:t xml:space="preserve"> reflects the impact of moving the Residential customer class’ share of </w:t>
      </w:r>
      <w:r w:rsidR="0091287C">
        <w:rPr>
          <w:rFonts w:ascii="Times New Roman" w:hAnsi="Times New Roman" w:cs="Times New Roman"/>
          <w:sz w:val="24"/>
          <w:szCs w:val="24"/>
        </w:rPr>
        <w:t xml:space="preserve">line </w:t>
      </w:r>
      <w:r w:rsidR="004362BB">
        <w:rPr>
          <w:rFonts w:ascii="Times New Roman" w:hAnsi="Times New Roman" w:cs="Times New Roman"/>
          <w:sz w:val="24"/>
          <w:szCs w:val="24"/>
        </w:rPr>
        <w:t xml:space="preserve">transformer costs into the basic charge.  The basic charge is intended to recover costs that do not vary based on a customer’s use; that is, the costs that the Company incurs when a customer connects to the grid.  </w:t>
      </w:r>
      <w:r w:rsidR="0091287C">
        <w:rPr>
          <w:rFonts w:ascii="Times New Roman" w:hAnsi="Times New Roman" w:cs="Times New Roman"/>
          <w:sz w:val="24"/>
          <w:szCs w:val="24"/>
        </w:rPr>
        <w:t>Line t</w:t>
      </w:r>
      <w:r w:rsidR="004362BB">
        <w:rPr>
          <w:rFonts w:ascii="Times New Roman" w:hAnsi="Times New Roman" w:cs="Times New Roman"/>
          <w:sz w:val="24"/>
          <w:szCs w:val="24"/>
        </w:rPr>
        <w:t xml:space="preserve">ransformers are a fixed component of the distribution system without which a residential customer cannot receive service, and the cost of a </w:t>
      </w:r>
      <w:r w:rsidR="004362BB">
        <w:rPr>
          <w:rFonts w:ascii="Times New Roman" w:hAnsi="Times New Roman" w:cs="Times New Roman"/>
          <w:sz w:val="24"/>
          <w:szCs w:val="24"/>
        </w:rPr>
        <w:lastRenderedPageBreak/>
        <w:t>transformer does not vary based on usage.  Recovering transformer costs through the basic charge accomplishes the goal of providing the Company with more stable recovery of fixed costs while remain</w:t>
      </w:r>
      <w:r w:rsidR="006B1EC8">
        <w:rPr>
          <w:rFonts w:ascii="Times New Roman" w:hAnsi="Times New Roman" w:cs="Times New Roman"/>
          <w:sz w:val="24"/>
          <w:szCs w:val="24"/>
        </w:rPr>
        <w:t>ing aligned with cost-</w:t>
      </w:r>
      <w:r w:rsidR="001F75B5">
        <w:rPr>
          <w:rFonts w:ascii="Times New Roman" w:hAnsi="Times New Roman" w:cs="Times New Roman"/>
          <w:sz w:val="24"/>
          <w:szCs w:val="24"/>
        </w:rPr>
        <w:t>causation principles.</w:t>
      </w:r>
    </w:p>
    <w:p w14:paraId="613DCEBA" w14:textId="77777777" w:rsidR="00AB2452" w:rsidRDefault="00AB2452" w:rsidP="00CE243E">
      <w:pPr>
        <w:spacing w:line="480" w:lineRule="auto"/>
        <w:ind w:left="720" w:hanging="720"/>
        <w:contextualSpacing/>
        <w:rPr>
          <w:rFonts w:ascii="Times New Roman" w:hAnsi="Times New Roman" w:cs="Times New Roman"/>
          <w:sz w:val="24"/>
          <w:szCs w:val="24"/>
        </w:rPr>
      </w:pPr>
    </w:p>
    <w:p w14:paraId="4D55E004" w14:textId="0113D015" w:rsidR="00BC00D8" w:rsidRPr="00293F51" w:rsidRDefault="00AB2452" w:rsidP="00BC00D8">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w:t>
      </w:r>
      <w:r w:rsidR="00BC00D8">
        <w:rPr>
          <w:rFonts w:ascii="Times New Roman" w:hAnsi="Times New Roman" w:cs="Times New Roman"/>
          <w:b/>
          <w:sz w:val="24"/>
          <w:szCs w:val="24"/>
        </w:rPr>
        <w:t>are the sizes and rates associated with the residential blocks in Staff’s proposal?</w:t>
      </w:r>
    </w:p>
    <w:p w14:paraId="0AA8766A" w14:textId="77777777" w:rsidR="00BC00D8" w:rsidRDefault="00AB2452" w:rsidP="00AB2452">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BC00D8">
        <w:rPr>
          <w:rFonts w:ascii="Times New Roman" w:hAnsi="Times New Roman" w:cs="Times New Roman"/>
          <w:sz w:val="24"/>
          <w:szCs w:val="24"/>
        </w:rPr>
        <w:t>Staff is proposing the following residential block sizes and rates:</w:t>
      </w:r>
    </w:p>
    <w:p w14:paraId="79429CDF" w14:textId="465D63B7" w:rsidR="00AB2452" w:rsidRDefault="00BC00D8" w:rsidP="00BC00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Block 1: 0-800 kWh at </w:t>
      </w:r>
      <w:r w:rsidR="006B1EC8">
        <w:rPr>
          <w:rFonts w:ascii="Times New Roman" w:hAnsi="Times New Roman" w:cs="Times New Roman"/>
          <w:sz w:val="24"/>
          <w:szCs w:val="24"/>
        </w:rPr>
        <w:t>6.472</w:t>
      </w:r>
      <w:r w:rsidR="0091287C">
        <w:rPr>
          <w:rFonts w:ascii="Times New Roman" w:hAnsi="Times New Roman" w:cs="Times New Roman"/>
          <w:sz w:val="24"/>
          <w:szCs w:val="24"/>
        </w:rPr>
        <w:t xml:space="preserve"> cents</w:t>
      </w:r>
      <w:r>
        <w:rPr>
          <w:rFonts w:ascii="Times New Roman" w:hAnsi="Times New Roman" w:cs="Times New Roman"/>
          <w:sz w:val="24"/>
          <w:szCs w:val="24"/>
        </w:rPr>
        <w:t xml:space="preserve"> per kWh</w:t>
      </w:r>
    </w:p>
    <w:p w14:paraId="50808D5B" w14:textId="669F6AD5" w:rsidR="00BC00D8" w:rsidRDefault="006B1EC8" w:rsidP="00BC00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Block 2: 801-1700 kWh at 9.17</w:t>
      </w:r>
      <w:r w:rsidR="0091287C">
        <w:rPr>
          <w:rFonts w:ascii="Times New Roman" w:hAnsi="Times New Roman" w:cs="Times New Roman"/>
          <w:sz w:val="24"/>
          <w:szCs w:val="24"/>
        </w:rPr>
        <w:t xml:space="preserve"> cents</w:t>
      </w:r>
      <w:r w:rsidR="00BC00D8">
        <w:rPr>
          <w:rFonts w:ascii="Times New Roman" w:hAnsi="Times New Roman" w:cs="Times New Roman"/>
          <w:sz w:val="24"/>
          <w:szCs w:val="24"/>
        </w:rPr>
        <w:t xml:space="preserve"> per kWh</w:t>
      </w:r>
    </w:p>
    <w:p w14:paraId="4DC4EF21" w14:textId="1AE706B7" w:rsidR="00BC00D8" w:rsidRDefault="00BC00D8" w:rsidP="00BC00D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Blo</w:t>
      </w:r>
      <w:r w:rsidR="006C151B">
        <w:rPr>
          <w:rFonts w:ascii="Times New Roman" w:hAnsi="Times New Roman" w:cs="Times New Roman"/>
          <w:sz w:val="24"/>
          <w:szCs w:val="24"/>
        </w:rPr>
        <w:t>ck</w:t>
      </w:r>
      <w:r w:rsidR="006B1EC8">
        <w:rPr>
          <w:rFonts w:ascii="Times New Roman" w:hAnsi="Times New Roman" w:cs="Times New Roman"/>
          <w:sz w:val="24"/>
          <w:szCs w:val="24"/>
        </w:rPr>
        <w:t xml:space="preserve"> 3: 1701 kWh and up at 11.996 </w:t>
      </w:r>
      <w:r w:rsidR="0091287C">
        <w:rPr>
          <w:rFonts w:ascii="Times New Roman" w:hAnsi="Times New Roman" w:cs="Times New Roman"/>
          <w:sz w:val="24"/>
          <w:szCs w:val="24"/>
        </w:rPr>
        <w:t>cents</w:t>
      </w:r>
      <w:r>
        <w:rPr>
          <w:rFonts w:ascii="Times New Roman" w:hAnsi="Times New Roman" w:cs="Times New Roman"/>
          <w:sz w:val="24"/>
          <w:szCs w:val="24"/>
        </w:rPr>
        <w:t xml:space="preserve"> per kWh</w:t>
      </w:r>
    </w:p>
    <w:p w14:paraId="75FC0360" w14:textId="7033733A" w:rsidR="001F75B5" w:rsidRDefault="00BC00D8" w:rsidP="00BC00D8">
      <w:pPr>
        <w:spacing w:line="480" w:lineRule="auto"/>
        <w:ind w:left="720"/>
        <w:rPr>
          <w:rFonts w:ascii="Times New Roman" w:hAnsi="Times New Roman" w:cs="Times New Roman"/>
          <w:sz w:val="24"/>
          <w:szCs w:val="24"/>
        </w:rPr>
      </w:pPr>
      <w:r>
        <w:rPr>
          <w:rFonts w:ascii="Times New Roman" w:hAnsi="Times New Roman" w:cs="Times New Roman"/>
          <w:sz w:val="24"/>
          <w:szCs w:val="24"/>
        </w:rPr>
        <w:t>I provi</w:t>
      </w:r>
      <w:r w:rsidR="009C2A3A">
        <w:rPr>
          <w:rFonts w:ascii="Times New Roman" w:hAnsi="Times New Roman" w:cs="Times New Roman"/>
          <w:sz w:val="24"/>
          <w:szCs w:val="24"/>
        </w:rPr>
        <w:t xml:space="preserve">de a side-by-side comparison of the monthly residential bill impact on residential users under </w:t>
      </w:r>
      <w:r>
        <w:rPr>
          <w:rFonts w:ascii="Times New Roman" w:hAnsi="Times New Roman" w:cs="Times New Roman"/>
          <w:sz w:val="24"/>
          <w:szCs w:val="24"/>
        </w:rPr>
        <w:t xml:space="preserve">Pacific Power’s current rate structure, the Company’s proposed structure, and Staff’s proposed </w:t>
      </w:r>
      <w:r w:rsidR="009C2A3A">
        <w:rPr>
          <w:rFonts w:ascii="Times New Roman" w:hAnsi="Times New Roman" w:cs="Times New Roman"/>
          <w:sz w:val="24"/>
          <w:szCs w:val="24"/>
        </w:rPr>
        <w:t xml:space="preserve">and alternately proposed </w:t>
      </w:r>
      <w:r>
        <w:rPr>
          <w:rFonts w:ascii="Times New Roman" w:hAnsi="Times New Roman" w:cs="Times New Roman"/>
          <w:sz w:val="24"/>
          <w:szCs w:val="24"/>
        </w:rPr>
        <w:t>structure</w:t>
      </w:r>
      <w:r w:rsidR="009C2A3A">
        <w:rPr>
          <w:rFonts w:ascii="Times New Roman" w:hAnsi="Times New Roman" w:cs="Times New Roman"/>
          <w:sz w:val="24"/>
          <w:szCs w:val="24"/>
        </w:rPr>
        <w:t>s</w:t>
      </w:r>
      <w:r>
        <w:rPr>
          <w:rFonts w:ascii="Times New Roman" w:hAnsi="Times New Roman" w:cs="Times New Roman"/>
          <w:sz w:val="24"/>
          <w:szCs w:val="24"/>
        </w:rPr>
        <w:t xml:space="preserve"> in Exhibit No.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JBT-</w:t>
      </w:r>
      <w:r w:rsidR="000C3F89">
        <w:rPr>
          <w:rFonts w:ascii="Times New Roman" w:hAnsi="Times New Roman" w:cs="Times New Roman"/>
          <w:sz w:val="24"/>
          <w:szCs w:val="24"/>
        </w:rPr>
        <w:t>4</w:t>
      </w:r>
      <w:r>
        <w:rPr>
          <w:rFonts w:ascii="Times New Roman" w:hAnsi="Times New Roman" w:cs="Times New Roman"/>
          <w:sz w:val="24"/>
          <w:szCs w:val="24"/>
        </w:rPr>
        <w:t>)</w:t>
      </w:r>
      <w:r w:rsidR="0091287C">
        <w:rPr>
          <w:rFonts w:ascii="Times New Roman" w:hAnsi="Times New Roman" w:cs="Times New Roman"/>
          <w:sz w:val="24"/>
          <w:szCs w:val="24"/>
        </w:rPr>
        <w:t>.</w:t>
      </w:r>
      <w:r>
        <w:rPr>
          <w:rFonts w:ascii="Times New Roman" w:hAnsi="Times New Roman" w:cs="Times New Roman"/>
          <w:sz w:val="24"/>
          <w:szCs w:val="24"/>
        </w:rPr>
        <w:t xml:space="preserve"> </w:t>
      </w:r>
    </w:p>
    <w:p w14:paraId="72928544" w14:textId="77777777" w:rsidR="0087259E" w:rsidRDefault="0087259E" w:rsidP="001F75B5">
      <w:pPr>
        <w:spacing w:line="480" w:lineRule="auto"/>
        <w:ind w:left="720" w:hanging="720"/>
        <w:contextualSpacing/>
        <w:rPr>
          <w:rFonts w:ascii="Times New Roman" w:hAnsi="Times New Roman" w:cs="Times New Roman"/>
          <w:b/>
          <w:sz w:val="24"/>
          <w:szCs w:val="24"/>
        </w:rPr>
      </w:pPr>
    </w:p>
    <w:p w14:paraId="1D411D76" w14:textId="1766C43F" w:rsidR="001F75B5" w:rsidRPr="00293F51" w:rsidRDefault="001F75B5" w:rsidP="001F75B5">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Please explain Staff’s rationale for </w:t>
      </w:r>
      <w:r w:rsidR="00AB2452">
        <w:rPr>
          <w:rFonts w:ascii="Times New Roman" w:hAnsi="Times New Roman" w:cs="Times New Roman"/>
          <w:b/>
          <w:sz w:val="24"/>
          <w:szCs w:val="24"/>
        </w:rPr>
        <w:t>the three-block rate design and placement of the blocks.</w:t>
      </w:r>
    </w:p>
    <w:p w14:paraId="6613EF9D" w14:textId="78912E82" w:rsidR="001F75B5" w:rsidRDefault="001F75B5" w:rsidP="001F75B5">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AB2452">
        <w:rPr>
          <w:rFonts w:ascii="Times New Roman" w:hAnsi="Times New Roman" w:cs="Times New Roman"/>
          <w:sz w:val="24"/>
          <w:szCs w:val="24"/>
        </w:rPr>
        <w:t xml:space="preserve">Staff’s three-block proposal serves two key purposes: to create a clearer price signal for residential customers to be more efficient and to follow the principles of cost causation by assigning a greater share of Staff’s proposed increase to high-use customers, who impose greater demands (and therefore costs) on the Company’s system.  </w:t>
      </w:r>
    </w:p>
    <w:p w14:paraId="5E7A4149" w14:textId="702ECDB4" w:rsidR="00C2536D" w:rsidRDefault="006C151B" w:rsidP="001F75B5">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C21822">
        <w:rPr>
          <w:rFonts w:ascii="Times New Roman" w:hAnsi="Times New Roman" w:cs="Times New Roman"/>
          <w:sz w:val="24"/>
          <w:szCs w:val="24"/>
        </w:rPr>
        <w:tab/>
      </w:r>
      <w:r>
        <w:rPr>
          <w:rFonts w:ascii="Times New Roman" w:hAnsi="Times New Roman" w:cs="Times New Roman"/>
          <w:sz w:val="24"/>
          <w:szCs w:val="24"/>
        </w:rPr>
        <w:t xml:space="preserve">Staff proposes to increase the size of the first block from 600 kWh to 800 kWh because the first block should correspond to customers’ inelastic usage – that is, the usage required to support basic living </w:t>
      </w:r>
      <w:r w:rsidR="00603B06">
        <w:rPr>
          <w:rFonts w:ascii="Times New Roman" w:hAnsi="Times New Roman" w:cs="Times New Roman"/>
          <w:sz w:val="24"/>
          <w:szCs w:val="24"/>
        </w:rPr>
        <w:t>necessities</w:t>
      </w:r>
      <w:r w:rsidR="008C6919">
        <w:rPr>
          <w:rFonts w:ascii="Times New Roman" w:hAnsi="Times New Roman" w:cs="Times New Roman"/>
          <w:sz w:val="24"/>
          <w:szCs w:val="24"/>
        </w:rPr>
        <w:t xml:space="preserve"> such as refrigeration</w:t>
      </w:r>
      <w:r>
        <w:rPr>
          <w:rFonts w:ascii="Times New Roman" w:hAnsi="Times New Roman" w:cs="Times New Roman"/>
          <w:sz w:val="24"/>
          <w:szCs w:val="24"/>
        </w:rPr>
        <w:t>, cooking</w:t>
      </w:r>
      <w:r w:rsidR="00B933C6">
        <w:rPr>
          <w:rFonts w:ascii="Times New Roman" w:hAnsi="Times New Roman" w:cs="Times New Roman"/>
          <w:sz w:val="24"/>
          <w:szCs w:val="24"/>
        </w:rPr>
        <w:t>,</w:t>
      </w:r>
      <w:r>
        <w:rPr>
          <w:rFonts w:ascii="Times New Roman" w:hAnsi="Times New Roman" w:cs="Times New Roman"/>
          <w:sz w:val="24"/>
          <w:szCs w:val="24"/>
        </w:rPr>
        <w:t xml:space="preserve"> and hot water.  According to data compiled by the Housing and Urban Development Administration, this </w:t>
      </w:r>
      <w:r w:rsidR="00C2536D">
        <w:rPr>
          <w:rFonts w:ascii="Times New Roman" w:hAnsi="Times New Roman" w:cs="Times New Roman"/>
          <w:sz w:val="24"/>
          <w:szCs w:val="24"/>
        </w:rPr>
        <w:t>corresponds to a range of 700</w:t>
      </w:r>
      <w:r>
        <w:rPr>
          <w:rFonts w:ascii="Times New Roman" w:hAnsi="Times New Roman" w:cs="Times New Roman"/>
          <w:sz w:val="24"/>
          <w:szCs w:val="24"/>
        </w:rPr>
        <w:t xml:space="preserve"> to 850 kWh.</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Staff elected to place the first block at 800 kWh for simplicity of billing and because </w:t>
      </w:r>
      <w:r w:rsidR="00C2536D">
        <w:rPr>
          <w:rFonts w:ascii="Times New Roman" w:hAnsi="Times New Roman" w:cs="Times New Roman"/>
          <w:sz w:val="24"/>
          <w:szCs w:val="24"/>
        </w:rPr>
        <w:t xml:space="preserve">Pacific Power’s Washington customers have generally higher average usage than other utilities in the state; setting the block above the midpoint of HUD’s range (775 kWh) is reflective of </w:t>
      </w:r>
      <w:r w:rsidR="005474A6">
        <w:rPr>
          <w:rFonts w:ascii="Times New Roman" w:hAnsi="Times New Roman" w:cs="Times New Roman"/>
          <w:sz w:val="24"/>
          <w:szCs w:val="24"/>
        </w:rPr>
        <w:t xml:space="preserve">local </w:t>
      </w:r>
      <w:r w:rsidR="00C2536D">
        <w:rPr>
          <w:rFonts w:ascii="Times New Roman" w:hAnsi="Times New Roman" w:cs="Times New Roman"/>
          <w:sz w:val="24"/>
          <w:szCs w:val="24"/>
        </w:rPr>
        <w:t>system usage cha</w:t>
      </w:r>
      <w:r w:rsidR="00603B06">
        <w:rPr>
          <w:rFonts w:ascii="Times New Roman" w:hAnsi="Times New Roman" w:cs="Times New Roman"/>
          <w:sz w:val="24"/>
          <w:szCs w:val="24"/>
        </w:rPr>
        <w:t>ra</w:t>
      </w:r>
      <w:r w:rsidR="00C2536D">
        <w:rPr>
          <w:rFonts w:ascii="Times New Roman" w:hAnsi="Times New Roman" w:cs="Times New Roman"/>
          <w:sz w:val="24"/>
          <w:szCs w:val="24"/>
        </w:rPr>
        <w:t>cteristics</w:t>
      </w:r>
      <w:r>
        <w:rPr>
          <w:rFonts w:ascii="Times New Roman" w:hAnsi="Times New Roman" w:cs="Times New Roman"/>
          <w:sz w:val="24"/>
          <w:szCs w:val="24"/>
        </w:rPr>
        <w:t xml:space="preserve">.  </w:t>
      </w:r>
    </w:p>
    <w:p w14:paraId="016ECB7F" w14:textId="14F0FC40" w:rsidR="00141A4F" w:rsidRDefault="00C21822" w:rsidP="00C2536D">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743D58">
        <w:rPr>
          <w:rFonts w:ascii="Times New Roman" w:hAnsi="Times New Roman" w:cs="Times New Roman"/>
          <w:sz w:val="24"/>
          <w:szCs w:val="24"/>
        </w:rPr>
        <w:t xml:space="preserve">Increasing the size of the first block </w:t>
      </w:r>
      <w:r w:rsidR="00C2536D">
        <w:rPr>
          <w:rFonts w:ascii="Times New Roman" w:hAnsi="Times New Roman" w:cs="Times New Roman"/>
          <w:sz w:val="24"/>
          <w:szCs w:val="24"/>
        </w:rPr>
        <w:t xml:space="preserve">also </w:t>
      </w:r>
      <w:r w:rsidR="00743D58">
        <w:rPr>
          <w:rFonts w:ascii="Times New Roman" w:hAnsi="Times New Roman" w:cs="Times New Roman"/>
          <w:sz w:val="24"/>
          <w:szCs w:val="24"/>
        </w:rPr>
        <w:t xml:space="preserve">recognizes the fact that </w:t>
      </w:r>
      <w:r w:rsidR="008C6919">
        <w:rPr>
          <w:rFonts w:ascii="Times New Roman" w:hAnsi="Times New Roman" w:cs="Times New Roman"/>
          <w:sz w:val="24"/>
          <w:szCs w:val="24"/>
        </w:rPr>
        <w:t xml:space="preserve">most </w:t>
      </w:r>
      <w:r w:rsidR="00743D58">
        <w:rPr>
          <w:rFonts w:ascii="Times New Roman" w:hAnsi="Times New Roman" w:cs="Times New Roman"/>
          <w:sz w:val="24"/>
          <w:szCs w:val="24"/>
        </w:rPr>
        <w:t xml:space="preserve">customers have limited capacity for efficiency gains when it comes to basic needs such as </w:t>
      </w:r>
      <w:r w:rsidR="008C6919">
        <w:rPr>
          <w:rFonts w:ascii="Times New Roman" w:hAnsi="Times New Roman" w:cs="Times New Roman"/>
          <w:sz w:val="24"/>
          <w:szCs w:val="24"/>
        </w:rPr>
        <w:t xml:space="preserve">refrigeration, </w:t>
      </w:r>
      <w:r w:rsidR="00743D58">
        <w:rPr>
          <w:rFonts w:ascii="Times New Roman" w:hAnsi="Times New Roman" w:cs="Times New Roman"/>
          <w:sz w:val="24"/>
          <w:szCs w:val="24"/>
        </w:rPr>
        <w:t>cooking</w:t>
      </w:r>
      <w:r w:rsidR="003E2C39">
        <w:rPr>
          <w:rFonts w:ascii="Times New Roman" w:hAnsi="Times New Roman" w:cs="Times New Roman"/>
          <w:sz w:val="24"/>
          <w:szCs w:val="24"/>
        </w:rPr>
        <w:t>,</w:t>
      </w:r>
      <w:r w:rsidR="008C6919">
        <w:rPr>
          <w:rFonts w:ascii="Times New Roman" w:hAnsi="Times New Roman" w:cs="Times New Roman"/>
          <w:sz w:val="24"/>
          <w:szCs w:val="24"/>
        </w:rPr>
        <w:t xml:space="preserve"> and hot water,</w:t>
      </w:r>
      <w:r w:rsidR="003E2C39">
        <w:rPr>
          <w:rFonts w:ascii="Times New Roman" w:hAnsi="Times New Roman" w:cs="Times New Roman"/>
          <w:sz w:val="24"/>
          <w:szCs w:val="24"/>
        </w:rPr>
        <w:t xml:space="preserve"> so there would be </w:t>
      </w:r>
      <w:r w:rsidR="009C2A3A">
        <w:rPr>
          <w:rFonts w:ascii="Times New Roman" w:hAnsi="Times New Roman" w:cs="Times New Roman"/>
          <w:sz w:val="24"/>
          <w:szCs w:val="24"/>
        </w:rPr>
        <w:t xml:space="preserve">little </w:t>
      </w:r>
      <w:r w:rsidR="003E2C39">
        <w:rPr>
          <w:rFonts w:ascii="Times New Roman" w:hAnsi="Times New Roman" w:cs="Times New Roman"/>
          <w:sz w:val="24"/>
          <w:szCs w:val="24"/>
        </w:rPr>
        <w:t>to gain by using a price s</w:t>
      </w:r>
      <w:r w:rsidR="00603B06">
        <w:rPr>
          <w:rFonts w:ascii="Times New Roman" w:hAnsi="Times New Roman" w:cs="Times New Roman"/>
          <w:sz w:val="24"/>
          <w:szCs w:val="24"/>
        </w:rPr>
        <w:t>ignal to motivate more efficien</w:t>
      </w:r>
      <w:r w:rsidR="003E2C39">
        <w:rPr>
          <w:rFonts w:ascii="Times New Roman" w:hAnsi="Times New Roman" w:cs="Times New Roman"/>
          <w:sz w:val="24"/>
          <w:szCs w:val="24"/>
        </w:rPr>
        <w:t>t behavior in this range</w:t>
      </w:r>
      <w:r w:rsidR="00743D58">
        <w:rPr>
          <w:rFonts w:ascii="Times New Roman" w:hAnsi="Times New Roman" w:cs="Times New Roman"/>
          <w:sz w:val="24"/>
          <w:szCs w:val="24"/>
        </w:rPr>
        <w:t xml:space="preserve">.  </w:t>
      </w:r>
    </w:p>
    <w:p w14:paraId="309A577B" w14:textId="78DA1497" w:rsidR="00743D58" w:rsidRDefault="00C21822" w:rsidP="001F75B5">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743D58">
        <w:rPr>
          <w:rFonts w:ascii="Times New Roman" w:hAnsi="Times New Roman" w:cs="Times New Roman"/>
          <w:sz w:val="24"/>
          <w:szCs w:val="24"/>
        </w:rPr>
        <w:tab/>
        <w:t xml:space="preserve">Staff proposes to place the second block at a range of 801 to 1700 kWh to reflect average usage of the system.  If the intent of the third block is to provide a price signal for high users, then the second block should be placed in a position that does not </w:t>
      </w:r>
      <w:r w:rsidR="00B16794">
        <w:rPr>
          <w:rFonts w:ascii="Times New Roman" w:hAnsi="Times New Roman" w:cs="Times New Roman"/>
          <w:sz w:val="24"/>
          <w:szCs w:val="24"/>
        </w:rPr>
        <w:t>impose additional costs on</w:t>
      </w:r>
      <w:r w:rsidR="00743D58">
        <w:rPr>
          <w:rFonts w:ascii="Times New Roman" w:hAnsi="Times New Roman" w:cs="Times New Roman"/>
          <w:sz w:val="24"/>
          <w:szCs w:val="24"/>
        </w:rPr>
        <w:t xml:space="preserve"> average users.  The average Washington residential customer of Pacific Power uses about 1,300 kWh per month on an annual basis, but average usage in the winter </w:t>
      </w:r>
      <w:r w:rsidR="00B16794">
        <w:rPr>
          <w:rFonts w:ascii="Times New Roman" w:hAnsi="Times New Roman" w:cs="Times New Roman"/>
          <w:sz w:val="24"/>
          <w:szCs w:val="24"/>
        </w:rPr>
        <w:t xml:space="preserve">(November through February) </w:t>
      </w:r>
      <w:r w:rsidR="00743D58">
        <w:rPr>
          <w:rFonts w:ascii="Times New Roman" w:hAnsi="Times New Roman" w:cs="Times New Roman"/>
          <w:sz w:val="24"/>
          <w:szCs w:val="24"/>
        </w:rPr>
        <w:t xml:space="preserve">climbs to 1,700 kWh per month.  Setting the end of the </w:t>
      </w:r>
      <w:r w:rsidR="003E2C39">
        <w:rPr>
          <w:rFonts w:ascii="Times New Roman" w:hAnsi="Times New Roman" w:cs="Times New Roman"/>
          <w:sz w:val="24"/>
          <w:szCs w:val="24"/>
        </w:rPr>
        <w:t xml:space="preserve">second block at 1,700 kWh recognizes that most of Pacific Power’s Washington customers rely on electric sources of heating, </w:t>
      </w:r>
      <w:r w:rsidR="003E2C39">
        <w:rPr>
          <w:rFonts w:ascii="Times New Roman" w:hAnsi="Times New Roman" w:cs="Times New Roman"/>
          <w:sz w:val="24"/>
          <w:szCs w:val="24"/>
        </w:rPr>
        <w:lastRenderedPageBreak/>
        <w:t xml:space="preserve">and allows for higher </w:t>
      </w:r>
      <w:r w:rsidR="00B16794">
        <w:rPr>
          <w:rFonts w:ascii="Times New Roman" w:hAnsi="Times New Roman" w:cs="Times New Roman"/>
          <w:sz w:val="24"/>
          <w:szCs w:val="24"/>
        </w:rPr>
        <w:t xml:space="preserve">average </w:t>
      </w:r>
      <w:r w:rsidR="003E2C39">
        <w:rPr>
          <w:rFonts w:ascii="Times New Roman" w:hAnsi="Times New Roman" w:cs="Times New Roman"/>
          <w:sz w:val="24"/>
          <w:szCs w:val="24"/>
        </w:rPr>
        <w:t xml:space="preserve">usage in winter months without a dramatic increase in rates.  </w:t>
      </w:r>
    </w:p>
    <w:p w14:paraId="3638CA1D" w14:textId="66DD0092" w:rsidR="009C2A3A" w:rsidRDefault="00C21822" w:rsidP="009C2A3A">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8C6919">
        <w:rPr>
          <w:rFonts w:ascii="Times New Roman" w:hAnsi="Times New Roman" w:cs="Times New Roman"/>
          <w:sz w:val="24"/>
          <w:szCs w:val="24"/>
        </w:rPr>
        <w:t xml:space="preserve">Under Staff’s proposal, rates for </w:t>
      </w:r>
      <w:r w:rsidR="009C2A3A">
        <w:rPr>
          <w:rFonts w:ascii="Times New Roman" w:hAnsi="Times New Roman" w:cs="Times New Roman"/>
          <w:sz w:val="24"/>
          <w:szCs w:val="24"/>
        </w:rPr>
        <w:t>all usage between 600 kWh and 1,700 kWh</w:t>
      </w:r>
      <w:r w:rsidR="008C6919">
        <w:rPr>
          <w:rFonts w:ascii="Times New Roman" w:hAnsi="Times New Roman" w:cs="Times New Roman"/>
          <w:sz w:val="24"/>
          <w:szCs w:val="24"/>
        </w:rPr>
        <w:t xml:space="preserve"> would be reduced from their current levels</w:t>
      </w:r>
      <w:r w:rsidR="009C2A3A">
        <w:rPr>
          <w:rFonts w:ascii="Times New Roman" w:hAnsi="Times New Roman" w:cs="Times New Roman"/>
          <w:sz w:val="24"/>
          <w:szCs w:val="24"/>
        </w:rPr>
        <w:t>.  For the average customer using 1,300 kWh per month, this corresponds to a benefit of $6.6</w:t>
      </w:r>
      <w:r w:rsidR="008C6919">
        <w:rPr>
          <w:rFonts w:ascii="Times New Roman" w:hAnsi="Times New Roman" w:cs="Times New Roman"/>
          <w:sz w:val="24"/>
          <w:szCs w:val="24"/>
        </w:rPr>
        <w:t>9</w:t>
      </w:r>
      <w:r w:rsidR="009C2A3A">
        <w:rPr>
          <w:rFonts w:ascii="Times New Roman" w:hAnsi="Times New Roman" w:cs="Times New Roman"/>
          <w:sz w:val="24"/>
          <w:szCs w:val="24"/>
        </w:rPr>
        <w:t xml:space="preserve"> per month that offsets the entire basic charge increase and the higher rate for the first block that Staff </w:t>
      </w:r>
      <w:r w:rsidR="005474A6">
        <w:rPr>
          <w:rFonts w:ascii="Times New Roman" w:hAnsi="Times New Roman" w:cs="Times New Roman"/>
          <w:sz w:val="24"/>
          <w:szCs w:val="24"/>
        </w:rPr>
        <w:t>proposes</w:t>
      </w:r>
      <w:r w:rsidR="009C2A3A">
        <w:rPr>
          <w:rFonts w:ascii="Times New Roman" w:hAnsi="Times New Roman" w:cs="Times New Roman"/>
          <w:sz w:val="24"/>
          <w:szCs w:val="24"/>
        </w:rPr>
        <w:t>.  For the average customer using 1</w:t>
      </w:r>
      <w:proofErr w:type="gramStart"/>
      <w:r w:rsidR="009C2A3A">
        <w:rPr>
          <w:rFonts w:ascii="Times New Roman" w:hAnsi="Times New Roman" w:cs="Times New Roman"/>
          <w:sz w:val="24"/>
          <w:szCs w:val="24"/>
        </w:rPr>
        <w:t>,7000</w:t>
      </w:r>
      <w:proofErr w:type="gramEnd"/>
      <w:r w:rsidR="009C2A3A">
        <w:rPr>
          <w:rFonts w:ascii="Times New Roman" w:hAnsi="Times New Roman" w:cs="Times New Roman"/>
          <w:sz w:val="24"/>
          <w:szCs w:val="24"/>
        </w:rPr>
        <w:t xml:space="preserve"> kWh per month</w:t>
      </w:r>
      <w:r w:rsidR="00FA0B53">
        <w:rPr>
          <w:rFonts w:ascii="Times New Roman" w:hAnsi="Times New Roman" w:cs="Times New Roman"/>
          <w:sz w:val="24"/>
          <w:szCs w:val="24"/>
        </w:rPr>
        <w:t xml:space="preserve"> during the winter</w:t>
      </w:r>
      <w:r w:rsidR="009C2A3A">
        <w:rPr>
          <w:rFonts w:ascii="Times New Roman" w:hAnsi="Times New Roman" w:cs="Times New Roman"/>
          <w:sz w:val="24"/>
          <w:szCs w:val="24"/>
        </w:rPr>
        <w:t>, the change in the size and placement of the blocks would c</w:t>
      </w:r>
      <w:r w:rsidR="008C6919">
        <w:rPr>
          <w:rFonts w:ascii="Times New Roman" w:hAnsi="Times New Roman" w:cs="Times New Roman"/>
          <w:sz w:val="24"/>
          <w:szCs w:val="24"/>
        </w:rPr>
        <w:t>reate a monthly benefit of $7.46</w:t>
      </w:r>
      <w:r w:rsidR="009C2A3A">
        <w:rPr>
          <w:rFonts w:ascii="Times New Roman" w:hAnsi="Times New Roman" w:cs="Times New Roman"/>
          <w:sz w:val="24"/>
          <w:szCs w:val="24"/>
        </w:rPr>
        <w:t>.</w:t>
      </w:r>
    </w:p>
    <w:p w14:paraId="7E5966BE" w14:textId="7F177842" w:rsidR="009C2A3A" w:rsidRDefault="00C21822" w:rsidP="009C2A3A">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9C2A3A">
        <w:rPr>
          <w:rFonts w:ascii="Times New Roman" w:hAnsi="Times New Roman" w:cs="Times New Roman"/>
          <w:sz w:val="24"/>
          <w:szCs w:val="24"/>
        </w:rPr>
        <w:t>The net effect of Staff’s proposals are that the average customer using 1,300 kWh would see a bi</w:t>
      </w:r>
      <w:r w:rsidR="00FA0B53">
        <w:rPr>
          <w:rFonts w:ascii="Times New Roman" w:hAnsi="Times New Roman" w:cs="Times New Roman"/>
          <w:sz w:val="24"/>
          <w:szCs w:val="24"/>
        </w:rPr>
        <w:t>ll decrease of $3.04</w:t>
      </w:r>
      <w:r w:rsidR="009C2A3A">
        <w:rPr>
          <w:rFonts w:ascii="Times New Roman" w:hAnsi="Times New Roman" w:cs="Times New Roman"/>
          <w:sz w:val="24"/>
          <w:szCs w:val="24"/>
        </w:rPr>
        <w:t xml:space="preserve"> per month, or about </w:t>
      </w:r>
      <w:r w:rsidR="00FA0B53">
        <w:rPr>
          <w:rFonts w:ascii="Times New Roman" w:hAnsi="Times New Roman" w:cs="Times New Roman"/>
          <w:sz w:val="24"/>
          <w:szCs w:val="24"/>
        </w:rPr>
        <w:t>2.7</w:t>
      </w:r>
      <w:r w:rsidR="009C2A3A">
        <w:rPr>
          <w:rFonts w:ascii="Times New Roman" w:hAnsi="Times New Roman" w:cs="Times New Roman"/>
          <w:sz w:val="24"/>
          <w:szCs w:val="24"/>
        </w:rPr>
        <w:t xml:space="preserve"> percent, and the </w:t>
      </w:r>
      <w:r w:rsidR="005474A6">
        <w:rPr>
          <w:rFonts w:ascii="Times New Roman" w:hAnsi="Times New Roman" w:cs="Times New Roman"/>
          <w:sz w:val="24"/>
          <w:szCs w:val="24"/>
        </w:rPr>
        <w:t xml:space="preserve">customer with </w:t>
      </w:r>
      <w:r w:rsidR="009C2A3A">
        <w:rPr>
          <w:rFonts w:ascii="Times New Roman" w:hAnsi="Times New Roman" w:cs="Times New Roman"/>
          <w:sz w:val="24"/>
          <w:szCs w:val="24"/>
        </w:rPr>
        <w:t xml:space="preserve">average winter </w:t>
      </w:r>
      <w:r w:rsidR="005474A6">
        <w:rPr>
          <w:rFonts w:ascii="Times New Roman" w:hAnsi="Times New Roman" w:cs="Times New Roman"/>
          <w:sz w:val="24"/>
          <w:szCs w:val="24"/>
        </w:rPr>
        <w:t xml:space="preserve">use of </w:t>
      </w:r>
      <w:r w:rsidR="009C2A3A">
        <w:rPr>
          <w:rFonts w:ascii="Times New Roman" w:hAnsi="Times New Roman" w:cs="Times New Roman"/>
          <w:sz w:val="24"/>
          <w:szCs w:val="24"/>
        </w:rPr>
        <w:t>1,700 kWh would see a decrease of $</w:t>
      </w:r>
      <w:r w:rsidR="00FA0B53">
        <w:rPr>
          <w:rFonts w:ascii="Times New Roman" w:hAnsi="Times New Roman" w:cs="Times New Roman"/>
          <w:sz w:val="24"/>
          <w:szCs w:val="24"/>
        </w:rPr>
        <w:t>5.63</w:t>
      </w:r>
      <w:r w:rsidR="009C2A3A">
        <w:rPr>
          <w:rFonts w:ascii="Times New Roman" w:hAnsi="Times New Roman" w:cs="Times New Roman"/>
          <w:sz w:val="24"/>
          <w:szCs w:val="24"/>
        </w:rPr>
        <w:t xml:space="preserve"> per</w:t>
      </w:r>
      <w:r w:rsidR="005474A6">
        <w:rPr>
          <w:rFonts w:ascii="Times New Roman" w:hAnsi="Times New Roman" w:cs="Times New Roman"/>
          <w:sz w:val="24"/>
          <w:szCs w:val="24"/>
        </w:rPr>
        <w:t xml:space="preserve"> winter</w:t>
      </w:r>
      <w:r w:rsidR="009C2A3A">
        <w:rPr>
          <w:rFonts w:ascii="Times New Roman" w:hAnsi="Times New Roman" w:cs="Times New Roman"/>
          <w:sz w:val="24"/>
          <w:szCs w:val="24"/>
        </w:rPr>
        <w:t xml:space="preserve"> month, or </w:t>
      </w:r>
      <w:r w:rsidR="00FA0B53">
        <w:rPr>
          <w:rFonts w:ascii="Times New Roman" w:hAnsi="Times New Roman" w:cs="Times New Roman"/>
          <w:sz w:val="24"/>
          <w:szCs w:val="24"/>
        </w:rPr>
        <w:t>3.7</w:t>
      </w:r>
      <w:r w:rsidR="009C2A3A">
        <w:rPr>
          <w:rFonts w:ascii="Times New Roman" w:hAnsi="Times New Roman" w:cs="Times New Roman"/>
          <w:sz w:val="24"/>
          <w:szCs w:val="24"/>
        </w:rPr>
        <w:t xml:space="preserve"> percent.  </w:t>
      </w:r>
    </w:p>
    <w:p w14:paraId="6D749696" w14:textId="77777777" w:rsidR="00FD0106" w:rsidRDefault="00FD0106" w:rsidP="00141A4F">
      <w:pPr>
        <w:spacing w:line="480" w:lineRule="auto"/>
        <w:ind w:left="720" w:hanging="720"/>
        <w:contextualSpacing/>
        <w:rPr>
          <w:rFonts w:ascii="Times New Roman" w:hAnsi="Times New Roman" w:cs="Times New Roman"/>
          <w:b/>
          <w:sz w:val="24"/>
          <w:szCs w:val="24"/>
        </w:rPr>
      </w:pPr>
    </w:p>
    <w:p w14:paraId="187BA273" w14:textId="66A02569" w:rsidR="00141A4F" w:rsidRPr="00293F51" w:rsidRDefault="00141A4F" w:rsidP="00141A4F">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If Staff’s proposal would decrease rates for the average residential customer, then how would Staff’s proposed </w:t>
      </w:r>
      <w:r w:rsidR="00FA0B53">
        <w:rPr>
          <w:rFonts w:ascii="Times New Roman" w:hAnsi="Times New Roman" w:cs="Times New Roman"/>
          <w:b/>
          <w:sz w:val="24"/>
          <w:szCs w:val="24"/>
        </w:rPr>
        <w:t>3.62</w:t>
      </w:r>
      <w:r>
        <w:rPr>
          <w:rFonts w:ascii="Times New Roman" w:hAnsi="Times New Roman" w:cs="Times New Roman"/>
          <w:b/>
          <w:sz w:val="24"/>
          <w:szCs w:val="24"/>
        </w:rPr>
        <w:t xml:space="preserve"> percent increase be distributed across the Residential class?</w:t>
      </w:r>
    </w:p>
    <w:p w14:paraId="5A13E011" w14:textId="3D1B8E9C" w:rsidR="00141A4F" w:rsidRDefault="00141A4F" w:rsidP="00141A4F">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FD0106">
        <w:rPr>
          <w:rFonts w:ascii="Times New Roman" w:hAnsi="Times New Roman" w:cs="Times New Roman"/>
          <w:sz w:val="24"/>
          <w:szCs w:val="24"/>
        </w:rPr>
        <w:t>Exhibit No. __</w:t>
      </w:r>
      <w:proofErr w:type="gramStart"/>
      <w:r w:rsidR="00FD0106">
        <w:rPr>
          <w:rFonts w:ascii="Times New Roman" w:hAnsi="Times New Roman" w:cs="Times New Roman"/>
          <w:sz w:val="24"/>
          <w:szCs w:val="24"/>
        </w:rPr>
        <w:t>_(</w:t>
      </w:r>
      <w:proofErr w:type="gramEnd"/>
      <w:r w:rsidR="00FD0106">
        <w:rPr>
          <w:rFonts w:ascii="Times New Roman" w:hAnsi="Times New Roman" w:cs="Times New Roman"/>
          <w:sz w:val="24"/>
          <w:szCs w:val="24"/>
        </w:rPr>
        <w:t>JBT-</w:t>
      </w:r>
      <w:r w:rsidR="000C3F89">
        <w:rPr>
          <w:rFonts w:ascii="Times New Roman" w:hAnsi="Times New Roman" w:cs="Times New Roman"/>
          <w:sz w:val="24"/>
          <w:szCs w:val="24"/>
        </w:rPr>
        <w:t>4</w:t>
      </w:r>
      <w:r w:rsidR="00FD0106">
        <w:rPr>
          <w:rFonts w:ascii="Times New Roman" w:hAnsi="Times New Roman" w:cs="Times New Roman"/>
          <w:sz w:val="24"/>
          <w:szCs w:val="24"/>
        </w:rPr>
        <w:t>) shows how the increase would be distributed across customers according to their usage.  Under Staff’s proposal, all reside</w:t>
      </w:r>
      <w:r w:rsidR="009C2A3A">
        <w:rPr>
          <w:rFonts w:ascii="Times New Roman" w:hAnsi="Times New Roman" w:cs="Times New Roman"/>
          <w:sz w:val="24"/>
          <w:szCs w:val="24"/>
        </w:rPr>
        <w:t>ntial customers using between 85</w:t>
      </w:r>
      <w:r w:rsidR="00FD0106">
        <w:rPr>
          <w:rFonts w:ascii="Times New Roman" w:hAnsi="Times New Roman" w:cs="Times New Roman"/>
          <w:sz w:val="24"/>
          <w:szCs w:val="24"/>
        </w:rPr>
        <w:t xml:space="preserve">0 kWh and </w:t>
      </w:r>
      <w:r w:rsidR="009C2A3A">
        <w:rPr>
          <w:rFonts w:ascii="Times New Roman" w:hAnsi="Times New Roman" w:cs="Times New Roman"/>
          <w:sz w:val="24"/>
          <w:szCs w:val="24"/>
        </w:rPr>
        <w:t>1,900</w:t>
      </w:r>
      <w:r w:rsidR="00FD0106">
        <w:rPr>
          <w:rFonts w:ascii="Times New Roman" w:hAnsi="Times New Roman" w:cs="Times New Roman"/>
          <w:sz w:val="24"/>
          <w:szCs w:val="24"/>
        </w:rPr>
        <w:t xml:space="preserve"> kWh would see decreases in their monthly bills. Customers using </w:t>
      </w:r>
      <w:r w:rsidR="009C2A3A">
        <w:rPr>
          <w:rFonts w:ascii="Times New Roman" w:hAnsi="Times New Roman" w:cs="Times New Roman"/>
          <w:sz w:val="24"/>
          <w:szCs w:val="24"/>
        </w:rPr>
        <w:t>fewer</w:t>
      </w:r>
      <w:r w:rsidR="00FD0106">
        <w:rPr>
          <w:rFonts w:ascii="Times New Roman" w:hAnsi="Times New Roman" w:cs="Times New Roman"/>
          <w:sz w:val="24"/>
          <w:szCs w:val="24"/>
        </w:rPr>
        <w:t xml:space="preserve"> than 8</w:t>
      </w:r>
      <w:r w:rsidR="009C2A3A">
        <w:rPr>
          <w:rFonts w:ascii="Times New Roman" w:hAnsi="Times New Roman" w:cs="Times New Roman"/>
          <w:sz w:val="24"/>
          <w:szCs w:val="24"/>
        </w:rPr>
        <w:t>5</w:t>
      </w:r>
      <w:r w:rsidR="00FD0106">
        <w:rPr>
          <w:rFonts w:ascii="Times New Roman" w:hAnsi="Times New Roman" w:cs="Times New Roman"/>
          <w:sz w:val="24"/>
          <w:szCs w:val="24"/>
        </w:rPr>
        <w:t xml:space="preserve">0 kWh would see increases that grow as usage decreases, due to these customers paying the increased basic charge but not receiving the offsetting reductions associated with </w:t>
      </w:r>
      <w:r w:rsidR="00C2536D">
        <w:rPr>
          <w:rFonts w:ascii="Times New Roman" w:hAnsi="Times New Roman" w:cs="Times New Roman"/>
          <w:sz w:val="24"/>
          <w:szCs w:val="24"/>
        </w:rPr>
        <w:t>the placement and rates of the volumetric blocks</w:t>
      </w:r>
      <w:r w:rsidR="00FD0106">
        <w:rPr>
          <w:rFonts w:ascii="Times New Roman" w:hAnsi="Times New Roman" w:cs="Times New Roman"/>
          <w:sz w:val="24"/>
          <w:szCs w:val="24"/>
        </w:rPr>
        <w:t xml:space="preserve">.  The highest </w:t>
      </w:r>
      <w:r w:rsidR="00C2536D">
        <w:rPr>
          <w:rFonts w:ascii="Times New Roman" w:hAnsi="Times New Roman" w:cs="Times New Roman"/>
          <w:sz w:val="24"/>
          <w:szCs w:val="24"/>
        </w:rPr>
        <w:t xml:space="preserve">percentage </w:t>
      </w:r>
      <w:r w:rsidR="00FD0106">
        <w:rPr>
          <w:rFonts w:ascii="Times New Roman" w:hAnsi="Times New Roman" w:cs="Times New Roman"/>
          <w:sz w:val="24"/>
          <w:szCs w:val="24"/>
        </w:rPr>
        <w:t xml:space="preserve">increase would be experienced by customers that use </w:t>
      </w:r>
      <w:r w:rsidR="00FD0106">
        <w:rPr>
          <w:rFonts w:ascii="Times New Roman" w:hAnsi="Times New Roman" w:cs="Times New Roman"/>
          <w:sz w:val="24"/>
          <w:szCs w:val="24"/>
        </w:rPr>
        <w:lastRenderedPageBreak/>
        <w:t>0 kWh in a month, who wo</w:t>
      </w:r>
      <w:r w:rsidR="009C2A3A">
        <w:rPr>
          <w:rFonts w:ascii="Times New Roman" w:hAnsi="Times New Roman" w:cs="Times New Roman"/>
          <w:sz w:val="24"/>
          <w:szCs w:val="24"/>
        </w:rPr>
        <w:t>uld see a bill increase of $5.25</w:t>
      </w:r>
      <w:r w:rsidR="00FD0106">
        <w:rPr>
          <w:rFonts w:ascii="Times New Roman" w:hAnsi="Times New Roman" w:cs="Times New Roman"/>
          <w:sz w:val="24"/>
          <w:szCs w:val="24"/>
        </w:rPr>
        <w:t xml:space="preserve"> (the full basic charge increase), </w:t>
      </w:r>
      <w:r w:rsidR="009C2A3A">
        <w:rPr>
          <w:rFonts w:ascii="Times New Roman" w:hAnsi="Times New Roman" w:cs="Times New Roman"/>
          <w:sz w:val="24"/>
          <w:szCs w:val="24"/>
        </w:rPr>
        <w:t>or 67.7</w:t>
      </w:r>
      <w:r w:rsidR="00FD0106">
        <w:rPr>
          <w:rFonts w:ascii="Times New Roman" w:hAnsi="Times New Roman" w:cs="Times New Roman"/>
          <w:sz w:val="24"/>
          <w:szCs w:val="24"/>
        </w:rPr>
        <w:t xml:space="preserve"> percent.  </w:t>
      </w:r>
      <w:r w:rsidR="00C31E9B">
        <w:rPr>
          <w:rFonts w:ascii="Times New Roman" w:hAnsi="Times New Roman" w:cs="Times New Roman"/>
          <w:sz w:val="24"/>
          <w:szCs w:val="24"/>
        </w:rPr>
        <w:t>However, this is not unreasonable.  The delivery system remains in place ready to serve those customers at all times.</w:t>
      </w:r>
    </w:p>
    <w:p w14:paraId="6DDA1EC1" w14:textId="60D4F68F" w:rsidR="00FD0106" w:rsidRDefault="00FD0106" w:rsidP="00141A4F">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016FA">
        <w:rPr>
          <w:rFonts w:ascii="Times New Roman" w:hAnsi="Times New Roman" w:cs="Times New Roman"/>
          <w:sz w:val="24"/>
          <w:szCs w:val="24"/>
        </w:rPr>
        <w:t>Toward the other</w:t>
      </w:r>
      <w:r>
        <w:rPr>
          <w:rFonts w:ascii="Times New Roman" w:hAnsi="Times New Roman" w:cs="Times New Roman"/>
          <w:sz w:val="24"/>
          <w:szCs w:val="24"/>
        </w:rPr>
        <w:t xml:space="preserve"> end of the spectrum, customers using 2,</w:t>
      </w:r>
      <w:r w:rsidR="009C2A3A">
        <w:rPr>
          <w:rFonts w:ascii="Times New Roman" w:hAnsi="Times New Roman" w:cs="Times New Roman"/>
          <w:sz w:val="24"/>
          <w:szCs w:val="24"/>
        </w:rPr>
        <w:t>000</w:t>
      </w:r>
      <w:r>
        <w:rPr>
          <w:rFonts w:ascii="Times New Roman" w:hAnsi="Times New Roman" w:cs="Times New Roman"/>
          <w:sz w:val="24"/>
          <w:szCs w:val="24"/>
        </w:rPr>
        <w:t xml:space="preserve"> kWh per m</w:t>
      </w:r>
      <w:r w:rsidR="00FA0B53">
        <w:rPr>
          <w:rFonts w:ascii="Times New Roman" w:hAnsi="Times New Roman" w:cs="Times New Roman"/>
          <w:sz w:val="24"/>
          <w:szCs w:val="24"/>
        </w:rPr>
        <w:t>onth would see an increase of $0.91</w:t>
      </w:r>
      <w:r>
        <w:rPr>
          <w:rFonts w:ascii="Times New Roman" w:hAnsi="Times New Roman" w:cs="Times New Roman"/>
          <w:sz w:val="24"/>
          <w:szCs w:val="24"/>
        </w:rPr>
        <w:t xml:space="preserve"> per month, or 0.</w:t>
      </w:r>
      <w:r w:rsidR="00FA0B53">
        <w:rPr>
          <w:rFonts w:ascii="Times New Roman" w:hAnsi="Times New Roman" w:cs="Times New Roman"/>
          <w:sz w:val="24"/>
          <w:szCs w:val="24"/>
        </w:rPr>
        <w:t>5</w:t>
      </w:r>
      <w:r>
        <w:rPr>
          <w:rFonts w:ascii="Times New Roman" w:hAnsi="Times New Roman" w:cs="Times New Roman"/>
          <w:sz w:val="24"/>
          <w:szCs w:val="24"/>
        </w:rPr>
        <w:t xml:space="preserve"> percent.  The magnitude o</w:t>
      </w:r>
      <w:r w:rsidR="00F76EC7">
        <w:rPr>
          <w:rFonts w:ascii="Times New Roman" w:hAnsi="Times New Roman" w:cs="Times New Roman"/>
          <w:sz w:val="24"/>
          <w:szCs w:val="24"/>
        </w:rPr>
        <w:t>f the increase grows with usage</w:t>
      </w:r>
      <w:r w:rsidR="003016FA">
        <w:rPr>
          <w:rFonts w:ascii="Times New Roman" w:hAnsi="Times New Roman" w:cs="Times New Roman"/>
          <w:sz w:val="24"/>
          <w:szCs w:val="24"/>
        </w:rPr>
        <w:t xml:space="preserve"> after that point</w:t>
      </w:r>
      <w:r w:rsidR="00F76EC7">
        <w:rPr>
          <w:rFonts w:ascii="Times New Roman" w:hAnsi="Times New Roman" w:cs="Times New Roman"/>
          <w:sz w:val="24"/>
          <w:szCs w:val="24"/>
        </w:rPr>
        <w:t>.  For example, a customer using 4,000 kWh per month (approximately three times the class average) would see an increase of $</w:t>
      </w:r>
      <w:r w:rsidR="00FA0B53">
        <w:rPr>
          <w:rFonts w:ascii="Times New Roman" w:hAnsi="Times New Roman" w:cs="Times New Roman"/>
          <w:sz w:val="24"/>
          <w:szCs w:val="24"/>
        </w:rPr>
        <w:t>44.49</w:t>
      </w:r>
      <w:r w:rsidR="00F76EC7">
        <w:rPr>
          <w:rFonts w:ascii="Times New Roman" w:hAnsi="Times New Roman" w:cs="Times New Roman"/>
          <w:sz w:val="24"/>
          <w:szCs w:val="24"/>
        </w:rPr>
        <w:t xml:space="preserve">, or </w:t>
      </w:r>
      <w:r w:rsidR="00FA0B53">
        <w:rPr>
          <w:rFonts w:ascii="Times New Roman" w:hAnsi="Times New Roman" w:cs="Times New Roman"/>
          <w:sz w:val="24"/>
          <w:szCs w:val="24"/>
        </w:rPr>
        <w:t>11.7</w:t>
      </w:r>
      <w:r w:rsidR="00F76EC7">
        <w:rPr>
          <w:rFonts w:ascii="Times New Roman" w:hAnsi="Times New Roman" w:cs="Times New Roman"/>
          <w:sz w:val="24"/>
          <w:szCs w:val="24"/>
        </w:rPr>
        <w:t xml:space="preserve"> percent.</w:t>
      </w:r>
    </w:p>
    <w:p w14:paraId="52119842" w14:textId="77777777" w:rsidR="00141A4F" w:rsidRDefault="00141A4F" w:rsidP="001F75B5">
      <w:pPr>
        <w:spacing w:line="480" w:lineRule="auto"/>
        <w:ind w:left="720" w:hanging="720"/>
        <w:contextualSpacing/>
        <w:rPr>
          <w:rFonts w:ascii="Times New Roman" w:hAnsi="Times New Roman" w:cs="Times New Roman"/>
          <w:sz w:val="24"/>
          <w:szCs w:val="24"/>
        </w:rPr>
      </w:pPr>
    </w:p>
    <w:p w14:paraId="2DC9527D" w14:textId="56559DFF" w:rsidR="001B1F41" w:rsidRPr="00293F51" w:rsidRDefault="001B1F41" w:rsidP="001B1F41">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How does Staff </w:t>
      </w:r>
      <w:r w:rsidR="000C3F89">
        <w:rPr>
          <w:rFonts w:ascii="Times New Roman" w:hAnsi="Times New Roman" w:cs="Times New Roman"/>
          <w:b/>
          <w:sz w:val="24"/>
          <w:szCs w:val="24"/>
        </w:rPr>
        <w:t>anticipate</w:t>
      </w:r>
      <w:r>
        <w:rPr>
          <w:rFonts w:ascii="Times New Roman" w:hAnsi="Times New Roman" w:cs="Times New Roman"/>
          <w:b/>
          <w:sz w:val="24"/>
          <w:szCs w:val="24"/>
        </w:rPr>
        <w:t xml:space="preserve"> </w:t>
      </w:r>
      <w:r w:rsidR="000C3F89">
        <w:rPr>
          <w:rFonts w:ascii="Times New Roman" w:hAnsi="Times New Roman" w:cs="Times New Roman"/>
          <w:b/>
          <w:sz w:val="24"/>
          <w:szCs w:val="24"/>
        </w:rPr>
        <w:t>that high-use customers would</w:t>
      </w:r>
      <w:r>
        <w:rPr>
          <w:rFonts w:ascii="Times New Roman" w:hAnsi="Times New Roman" w:cs="Times New Roman"/>
          <w:b/>
          <w:sz w:val="24"/>
          <w:szCs w:val="24"/>
        </w:rPr>
        <w:t xml:space="preserve"> respond to the price signal </w:t>
      </w:r>
      <w:r w:rsidR="000C3F89">
        <w:rPr>
          <w:rFonts w:ascii="Times New Roman" w:hAnsi="Times New Roman" w:cs="Times New Roman"/>
          <w:b/>
          <w:sz w:val="24"/>
          <w:szCs w:val="24"/>
        </w:rPr>
        <w:t xml:space="preserve">its </w:t>
      </w:r>
      <w:r>
        <w:rPr>
          <w:rFonts w:ascii="Times New Roman" w:hAnsi="Times New Roman" w:cs="Times New Roman"/>
          <w:b/>
          <w:sz w:val="24"/>
          <w:szCs w:val="24"/>
        </w:rPr>
        <w:t xml:space="preserve">proposed rate </w:t>
      </w:r>
      <w:r w:rsidR="000C3F89">
        <w:rPr>
          <w:rFonts w:ascii="Times New Roman" w:hAnsi="Times New Roman" w:cs="Times New Roman"/>
          <w:b/>
          <w:sz w:val="24"/>
          <w:szCs w:val="24"/>
        </w:rPr>
        <w:t xml:space="preserve">structure </w:t>
      </w:r>
      <w:r>
        <w:rPr>
          <w:rFonts w:ascii="Times New Roman" w:hAnsi="Times New Roman" w:cs="Times New Roman"/>
          <w:b/>
          <w:sz w:val="24"/>
          <w:szCs w:val="24"/>
        </w:rPr>
        <w:t>would create?</w:t>
      </w:r>
    </w:p>
    <w:p w14:paraId="1F6E4A92" w14:textId="0727769A" w:rsidR="001B1F41" w:rsidRDefault="001B1F41" w:rsidP="001B1F41">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 xml:space="preserve">In economics, the </w:t>
      </w:r>
      <w:r w:rsidR="004D41CD">
        <w:rPr>
          <w:rFonts w:ascii="Times New Roman" w:hAnsi="Times New Roman" w:cs="Times New Roman"/>
          <w:sz w:val="24"/>
          <w:szCs w:val="24"/>
        </w:rPr>
        <w:t xml:space="preserve">relationship between the price of a good and the amount of that good that </w:t>
      </w:r>
      <w:proofErr w:type="gramStart"/>
      <w:r w:rsidR="004D41CD">
        <w:rPr>
          <w:rFonts w:ascii="Times New Roman" w:hAnsi="Times New Roman" w:cs="Times New Roman"/>
          <w:sz w:val="24"/>
          <w:szCs w:val="24"/>
        </w:rPr>
        <w:t>consumers</w:t>
      </w:r>
      <w:proofErr w:type="gramEnd"/>
      <w:r w:rsidR="004D41CD">
        <w:rPr>
          <w:rFonts w:ascii="Times New Roman" w:hAnsi="Times New Roman" w:cs="Times New Roman"/>
          <w:sz w:val="24"/>
          <w:szCs w:val="24"/>
        </w:rPr>
        <w:t xml:space="preserve"> purchase is known as the price elasticity of demand.  This figure is give</w:t>
      </w:r>
      <w:r w:rsidR="000644B3">
        <w:rPr>
          <w:rFonts w:ascii="Times New Roman" w:hAnsi="Times New Roman" w:cs="Times New Roman"/>
          <w:sz w:val="24"/>
          <w:szCs w:val="24"/>
        </w:rPr>
        <w:t xml:space="preserve">n as a percentage, which can be used to predict the rate at which consumers will reduce their purchases of a good if the price increases by a given amount.  The </w:t>
      </w:r>
      <w:r w:rsidR="00603B06">
        <w:rPr>
          <w:rFonts w:ascii="Times New Roman" w:hAnsi="Times New Roman" w:cs="Times New Roman"/>
          <w:sz w:val="24"/>
          <w:szCs w:val="24"/>
        </w:rPr>
        <w:t>formula</w:t>
      </w:r>
      <w:r w:rsidR="00235333">
        <w:rPr>
          <w:rFonts w:ascii="Times New Roman" w:hAnsi="Times New Roman" w:cs="Times New Roman"/>
          <w:sz w:val="24"/>
          <w:szCs w:val="24"/>
        </w:rPr>
        <w:t xml:space="preserve"> for calculating the </w:t>
      </w:r>
      <w:r w:rsidR="000644B3">
        <w:rPr>
          <w:rFonts w:ascii="Times New Roman" w:hAnsi="Times New Roman" w:cs="Times New Roman"/>
          <w:sz w:val="24"/>
          <w:szCs w:val="24"/>
        </w:rPr>
        <w:t>price elasticity of demand is the change in how much consumers purchase divided by the change in price.  For example, if a given item increases in price by 10 percent and consumers b</w:t>
      </w:r>
      <w:r w:rsidR="000C3F89">
        <w:rPr>
          <w:rFonts w:ascii="Times New Roman" w:hAnsi="Times New Roman" w:cs="Times New Roman"/>
          <w:sz w:val="24"/>
          <w:szCs w:val="24"/>
        </w:rPr>
        <w:t>u</w:t>
      </w:r>
      <w:r w:rsidR="000644B3">
        <w:rPr>
          <w:rFonts w:ascii="Times New Roman" w:hAnsi="Times New Roman" w:cs="Times New Roman"/>
          <w:sz w:val="24"/>
          <w:szCs w:val="24"/>
        </w:rPr>
        <w:t>y 10 percent less of that item as a result, then the price elasticity of demand for that item is -1 (-</w:t>
      </w:r>
      <w:r w:rsidR="00FA0B53">
        <w:rPr>
          <w:rFonts w:ascii="Times New Roman" w:hAnsi="Times New Roman" w:cs="Times New Roman"/>
          <w:sz w:val="24"/>
          <w:szCs w:val="24"/>
        </w:rPr>
        <w:t xml:space="preserve">10% change in demand / 10% </w:t>
      </w:r>
      <w:r w:rsidR="000644B3">
        <w:rPr>
          <w:rFonts w:ascii="Times New Roman" w:hAnsi="Times New Roman" w:cs="Times New Roman"/>
          <w:sz w:val="24"/>
          <w:szCs w:val="24"/>
        </w:rPr>
        <w:t xml:space="preserve">change in price).  </w:t>
      </w:r>
      <w:r w:rsidR="00235333">
        <w:rPr>
          <w:rFonts w:ascii="Times New Roman" w:hAnsi="Times New Roman" w:cs="Times New Roman"/>
          <w:sz w:val="24"/>
          <w:szCs w:val="24"/>
        </w:rPr>
        <w:t>Price elasticities of demand are generally negative, since the normal supply/demand relationship indicates that purchases of a good decrease as the price increases.</w:t>
      </w:r>
    </w:p>
    <w:p w14:paraId="4BAC83CD" w14:textId="19EB6F06" w:rsidR="000C3F89" w:rsidRDefault="00C21822" w:rsidP="000C3F89">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0644B3">
        <w:rPr>
          <w:rFonts w:ascii="Times New Roman" w:hAnsi="Times New Roman" w:cs="Times New Roman"/>
          <w:sz w:val="24"/>
          <w:szCs w:val="24"/>
        </w:rPr>
        <w:tab/>
      </w:r>
      <w:r w:rsidR="000C3F89">
        <w:rPr>
          <w:rFonts w:ascii="Times New Roman" w:hAnsi="Times New Roman" w:cs="Times New Roman"/>
          <w:sz w:val="24"/>
          <w:szCs w:val="24"/>
        </w:rPr>
        <w:t xml:space="preserve">Items that have </w:t>
      </w:r>
      <w:proofErr w:type="gramStart"/>
      <w:r w:rsidR="000C3F89">
        <w:rPr>
          <w:rFonts w:ascii="Times New Roman" w:hAnsi="Times New Roman" w:cs="Times New Roman"/>
          <w:sz w:val="24"/>
          <w:szCs w:val="24"/>
        </w:rPr>
        <w:t>an elasticity</w:t>
      </w:r>
      <w:proofErr w:type="gramEnd"/>
      <w:r w:rsidR="000C3F89">
        <w:rPr>
          <w:rFonts w:ascii="Times New Roman" w:hAnsi="Times New Roman" w:cs="Times New Roman"/>
          <w:sz w:val="24"/>
          <w:szCs w:val="24"/>
        </w:rPr>
        <w:t xml:space="preserve"> between 0 and -</w:t>
      </w:r>
      <w:r w:rsidR="00FA0B53">
        <w:rPr>
          <w:rFonts w:ascii="Times New Roman" w:hAnsi="Times New Roman" w:cs="Times New Roman"/>
          <w:sz w:val="24"/>
          <w:szCs w:val="24"/>
        </w:rPr>
        <w:t>1</w:t>
      </w:r>
      <w:r w:rsidR="000C3F89">
        <w:rPr>
          <w:rFonts w:ascii="Times New Roman" w:hAnsi="Times New Roman" w:cs="Times New Roman"/>
          <w:sz w:val="24"/>
          <w:szCs w:val="24"/>
        </w:rPr>
        <w:t xml:space="preserve"> are called inelastic goods – those for which the consumer response to a price change is smaller than the price change.  For example, if the price of an item increases by 10 percent, but purchases of the item only decrease by 5 percent, then elasticity is only -0.5 and demand for the item is considered inelastic.  Electricity generally falls into this category because of a lack of readily available substitutes.  When the price increases, consumers may change their behavior to use less electricity, such as turning off lights when leaving a room.  But there is little that they can do to immediately reduce their usage by a significant amount.</w:t>
      </w:r>
    </w:p>
    <w:p w14:paraId="4DA1DEFD" w14:textId="283C60F4" w:rsidR="000D63BE" w:rsidRDefault="00C21822" w:rsidP="001B1F4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0D63BE">
        <w:rPr>
          <w:rFonts w:ascii="Times New Roman" w:hAnsi="Times New Roman" w:cs="Times New Roman"/>
          <w:sz w:val="24"/>
          <w:szCs w:val="24"/>
        </w:rPr>
        <w:tab/>
        <w:t xml:space="preserve">Over time, however, consumers have more options.  They may be able to invest in more efficient appliances or switch to different fuels for their home energy needs.  Recognizing this fact, economists generally measure the price elasticity of demand separately for the short term and the long term.  </w:t>
      </w:r>
    </w:p>
    <w:p w14:paraId="6C2051A6" w14:textId="552AAC6F" w:rsidR="00F64E0D" w:rsidRDefault="00C21822" w:rsidP="001B1F4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235333">
        <w:rPr>
          <w:rFonts w:ascii="Times New Roman" w:hAnsi="Times New Roman" w:cs="Times New Roman"/>
          <w:sz w:val="24"/>
          <w:szCs w:val="24"/>
        </w:rPr>
        <w:tab/>
        <w:t>Staff has obtained short-term and long-term elasticit</w:t>
      </w:r>
      <w:r w:rsidR="00603B06">
        <w:rPr>
          <w:rFonts w:ascii="Times New Roman" w:hAnsi="Times New Roman" w:cs="Times New Roman"/>
          <w:sz w:val="24"/>
          <w:szCs w:val="24"/>
        </w:rPr>
        <w:t>i</w:t>
      </w:r>
      <w:r w:rsidR="00235333">
        <w:rPr>
          <w:rFonts w:ascii="Times New Roman" w:hAnsi="Times New Roman" w:cs="Times New Roman"/>
          <w:sz w:val="24"/>
          <w:szCs w:val="24"/>
        </w:rPr>
        <w:t>es for residential customers in Washington from a report prepared for the National Renewable Energy Laboratory in 2006.</w:t>
      </w:r>
      <w:r w:rsidR="00235333">
        <w:rPr>
          <w:rStyle w:val="FootnoteReference"/>
          <w:rFonts w:ascii="Times New Roman" w:hAnsi="Times New Roman" w:cs="Times New Roman"/>
          <w:sz w:val="24"/>
          <w:szCs w:val="24"/>
        </w:rPr>
        <w:footnoteReference w:id="34"/>
      </w:r>
      <w:r w:rsidR="00235333">
        <w:rPr>
          <w:rFonts w:ascii="Times New Roman" w:hAnsi="Times New Roman" w:cs="Times New Roman"/>
          <w:sz w:val="24"/>
          <w:szCs w:val="24"/>
        </w:rPr>
        <w:t xml:space="preserve">  </w:t>
      </w:r>
      <w:proofErr w:type="gramStart"/>
      <w:r w:rsidR="00235333">
        <w:rPr>
          <w:rFonts w:ascii="Times New Roman" w:hAnsi="Times New Roman" w:cs="Times New Roman"/>
          <w:sz w:val="24"/>
          <w:szCs w:val="24"/>
        </w:rPr>
        <w:t>In Exhib</w:t>
      </w:r>
      <w:r w:rsidR="00603B06">
        <w:rPr>
          <w:rFonts w:ascii="Times New Roman" w:hAnsi="Times New Roman" w:cs="Times New Roman"/>
          <w:sz w:val="24"/>
          <w:szCs w:val="24"/>
        </w:rPr>
        <w:t>i</w:t>
      </w:r>
      <w:r w:rsidR="00235333">
        <w:rPr>
          <w:rFonts w:ascii="Times New Roman" w:hAnsi="Times New Roman" w:cs="Times New Roman"/>
          <w:sz w:val="24"/>
          <w:szCs w:val="24"/>
        </w:rPr>
        <w:t>t No.</w:t>
      </w:r>
      <w:proofErr w:type="gramEnd"/>
      <w:r w:rsidR="00BA181A">
        <w:rPr>
          <w:rFonts w:ascii="Times New Roman" w:hAnsi="Times New Roman" w:cs="Times New Roman"/>
          <w:sz w:val="24"/>
          <w:szCs w:val="24"/>
        </w:rPr>
        <w:t xml:space="preserve"> </w:t>
      </w:r>
      <w:r w:rsidR="00235333">
        <w:rPr>
          <w:rFonts w:ascii="Times New Roman" w:hAnsi="Times New Roman" w:cs="Times New Roman"/>
          <w:sz w:val="24"/>
          <w:szCs w:val="24"/>
        </w:rPr>
        <w:t>__</w:t>
      </w:r>
      <w:proofErr w:type="gramStart"/>
      <w:r w:rsidR="00235333">
        <w:rPr>
          <w:rFonts w:ascii="Times New Roman" w:hAnsi="Times New Roman" w:cs="Times New Roman"/>
          <w:sz w:val="24"/>
          <w:szCs w:val="24"/>
        </w:rPr>
        <w:t>_(</w:t>
      </w:r>
      <w:proofErr w:type="gramEnd"/>
      <w:r w:rsidR="00235333">
        <w:rPr>
          <w:rFonts w:ascii="Times New Roman" w:hAnsi="Times New Roman" w:cs="Times New Roman"/>
          <w:sz w:val="24"/>
          <w:szCs w:val="24"/>
        </w:rPr>
        <w:t>JBT-</w:t>
      </w:r>
      <w:r w:rsidR="000C3F89">
        <w:rPr>
          <w:rFonts w:ascii="Times New Roman" w:hAnsi="Times New Roman" w:cs="Times New Roman"/>
          <w:sz w:val="24"/>
          <w:szCs w:val="24"/>
        </w:rPr>
        <w:t>4</w:t>
      </w:r>
      <w:r w:rsidR="00235333">
        <w:rPr>
          <w:rFonts w:ascii="Times New Roman" w:hAnsi="Times New Roman" w:cs="Times New Roman"/>
          <w:sz w:val="24"/>
          <w:szCs w:val="24"/>
        </w:rPr>
        <w:t>), I have used these elasticit</w:t>
      </w:r>
      <w:r w:rsidR="00603B06">
        <w:rPr>
          <w:rFonts w:ascii="Times New Roman" w:hAnsi="Times New Roman" w:cs="Times New Roman"/>
          <w:sz w:val="24"/>
          <w:szCs w:val="24"/>
        </w:rPr>
        <w:t>i</w:t>
      </w:r>
      <w:r w:rsidR="00235333">
        <w:rPr>
          <w:rFonts w:ascii="Times New Roman" w:hAnsi="Times New Roman" w:cs="Times New Roman"/>
          <w:sz w:val="24"/>
          <w:szCs w:val="24"/>
        </w:rPr>
        <w:t>es</w:t>
      </w:r>
      <w:r w:rsidR="00BA6588">
        <w:rPr>
          <w:rFonts w:ascii="Times New Roman" w:hAnsi="Times New Roman" w:cs="Times New Roman"/>
          <w:sz w:val="24"/>
          <w:szCs w:val="24"/>
        </w:rPr>
        <w:t xml:space="preserve"> to estimate by how much Pacific Power’s customers might reduce their electricity usage if Staff’s p</w:t>
      </w:r>
      <w:r w:rsidR="00F64E0D">
        <w:rPr>
          <w:rFonts w:ascii="Times New Roman" w:hAnsi="Times New Roman" w:cs="Times New Roman"/>
          <w:sz w:val="24"/>
          <w:szCs w:val="24"/>
        </w:rPr>
        <w:t xml:space="preserve">roposed rates are implemented.  This analysis projects that if Staff’s proposed rate design is implemented, Pacific Power’s residential customers can be </w:t>
      </w:r>
      <w:r w:rsidR="00F64E0D">
        <w:rPr>
          <w:rFonts w:ascii="Times New Roman" w:hAnsi="Times New Roman" w:cs="Times New Roman"/>
          <w:sz w:val="24"/>
          <w:szCs w:val="24"/>
        </w:rPr>
        <w:lastRenderedPageBreak/>
        <w:t xml:space="preserve">expected to reduce their usage in the first year by </w:t>
      </w:r>
      <w:r w:rsidR="00FA0B53">
        <w:rPr>
          <w:rFonts w:ascii="Times New Roman" w:hAnsi="Times New Roman" w:cs="Times New Roman"/>
          <w:sz w:val="24"/>
          <w:szCs w:val="24"/>
        </w:rPr>
        <w:t>0.23</w:t>
      </w:r>
      <w:r w:rsidR="00F64E0D">
        <w:rPr>
          <w:rFonts w:ascii="Times New Roman" w:hAnsi="Times New Roman" w:cs="Times New Roman"/>
          <w:sz w:val="24"/>
          <w:szCs w:val="24"/>
        </w:rPr>
        <w:t xml:space="preserve"> percent; over the long term, that figure will increase t</w:t>
      </w:r>
      <w:r w:rsidR="00FA0B53">
        <w:rPr>
          <w:rFonts w:ascii="Times New Roman" w:hAnsi="Times New Roman" w:cs="Times New Roman"/>
          <w:sz w:val="24"/>
          <w:szCs w:val="24"/>
        </w:rPr>
        <w:t>o 0.47</w:t>
      </w:r>
      <w:r w:rsidR="00F64E0D">
        <w:rPr>
          <w:rFonts w:ascii="Times New Roman" w:hAnsi="Times New Roman" w:cs="Times New Roman"/>
          <w:sz w:val="24"/>
          <w:szCs w:val="24"/>
        </w:rPr>
        <w:t xml:space="preserve"> percent.</w:t>
      </w:r>
      <w:r w:rsidR="00F64E0D">
        <w:rPr>
          <w:rStyle w:val="FootnoteReference"/>
          <w:rFonts w:ascii="Times New Roman" w:hAnsi="Times New Roman" w:cs="Times New Roman"/>
          <w:sz w:val="24"/>
          <w:szCs w:val="24"/>
        </w:rPr>
        <w:footnoteReference w:id="35"/>
      </w:r>
      <w:r w:rsidR="00F64E0D">
        <w:rPr>
          <w:rFonts w:ascii="Times New Roman" w:hAnsi="Times New Roman" w:cs="Times New Roman"/>
          <w:sz w:val="24"/>
          <w:szCs w:val="24"/>
        </w:rPr>
        <w:t xml:space="preserve">  </w:t>
      </w:r>
    </w:p>
    <w:p w14:paraId="230B5AF4" w14:textId="77777777" w:rsidR="00F64E0D" w:rsidRDefault="00F64E0D" w:rsidP="001B1F41">
      <w:pPr>
        <w:spacing w:line="480" w:lineRule="auto"/>
        <w:ind w:left="720" w:hanging="720"/>
        <w:contextualSpacing/>
        <w:rPr>
          <w:rFonts w:ascii="Times New Roman" w:hAnsi="Times New Roman" w:cs="Times New Roman"/>
          <w:sz w:val="24"/>
          <w:szCs w:val="24"/>
        </w:rPr>
      </w:pPr>
    </w:p>
    <w:p w14:paraId="3816E820" w14:textId="2ABA571F" w:rsidR="00F64E0D" w:rsidRPr="00293F51" w:rsidRDefault="00F64E0D" w:rsidP="00F64E0D">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How did you determine those figures?</w:t>
      </w:r>
    </w:p>
    <w:p w14:paraId="463623E5" w14:textId="6BE855DE" w:rsidR="00235333" w:rsidRDefault="00F64E0D" w:rsidP="001B1F41">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BA6588">
        <w:rPr>
          <w:rFonts w:ascii="Times New Roman" w:hAnsi="Times New Roman" w:cs="Times New Roman"/>
          <w:sz w:val="24"/>
          <w:szCs w:val="24"/>
        </w:rPr>
        <w:t xml:space="preserve">I </w:t>
      </w:r>
      <w:r>
        <w:rPr>
          <w:rFonts w:ascii="Times New Roman" w:hAnsi="Times New Roman" w:cs="Times New Roman"/>
          <w:sz w:val="24"/>
          <w:szCs w:val="24"/>
        </w:rPr>
        <w:t>conducted an a</w:t>
      </w:r>
      <w:r w:rsidR="00603B06">
        <w:rPr>
          <w:rFonts w:ascii="Times New Roman" w:hAnsi="Times New Roman" w:cs="Times New Roman"/>
          <w:sz w:val="24"/>
          <w:szCs w:val="24"/>
        </w:rPr>
        <w:t>nalysi</w:t>
      </w:r>
      <w:r>
        <w:rPr>
          <w:rFonts w:ascii="Times New Roman" w:hAnsi="Times New Roman" w:cs="Times New Roman"/>
          <w:sz w:val="24"/>
          <w:szCs w:val="24"/>
        </w:rPr>
        <w:t>s based on</w:t>
      </w:r>
      <w:r w:rsidR="00BA6588">
        <w:rPr>
          <w:rFonts w:ascii="Times New Roman" w:hAnsi="Times New Roman" w:cs="Times New Roman"/>
          <w:sz w:val="24"/>
          <w:szCs w:val="24"/>
        </w:rPr>
        <w:t xml:space="preserve"> the billing groups </w:t>
      </w:r>
      <w:r>
        <w:rPr>
          <w:rFonts w:ascii="Times New Roman" w:hAnsi="Times New Roman" w:cs="Times New Roman"/>
          <w:sz w:val="24"/>
          <w:szCs w:val="24"/>
        </w:rPr>
        <w:t>defined</w:t>
      </w:r>
      <w:r w:rsidR="00BA6588">
        <w:rPr>
          <w:rFonts w:ascii="Times New Roman" w:hAnsi="Times New Roman" w:cs="Times New Roman"/>
          <w:sz w:val="24"/>
          <w:szCs w:val="24"/>
        </w:rPr>
        <w:t xml:space="preserve"> by the Company in its bill study,</w:t>
      </w:r>
      <w:r>
        <w:rPr>
          <w:rStyle w:val="FootnoteReference"/>
          <w:rFonts w:ascii="Times New Roman" w:hAnsi="Times New Roman" w:cs="Times New Roman"/>
          <w:sz w:val="24"/>
          <w:szCs w:val="24"/>
        </w:rPr>
        <w:footnoteReference w:id="36"/>
      </w:r>
      <w:r w:rsidR="00BA6588">
        <w:rPr>
          <w:rFonts w:ascii="Times New Roman" w:hAnsi="Times New Roman" w:cs="Times New Roman"/>
          <w:sz w:val="24"/>
          <w:szCs w:val="24"/>
        </w:rPr>
        <w:t xml:space="preserve"> which groups </w:t>
      </w:r>
      <w:r>
        <w:rPr>
          <w:rFonts w:ascii="Times New Roman" w:hAnsi="Times New Roman" w:cs="Times New Roman"/>
          <w:sz w:val="24"/>
          <w:szCs w:val="24"/>
        </w:rPr>
        <w:t>monthly</w:t>
      </w:r>
      <w:r w:rsidR="00BA6588">
        <w:rPr>
          <w:rFonts w:ascii="Times New Roman" w:hAnsi="Times New Roman" w:cs="Times New Roman"/>
          <w:sz w:val="24"/>
          <w:szCs w:val="24"/>
        </w:rPr>
        <w:t xml:space="preserve"> </w:t>
      </w:r>
      <w:r w:rsidR="00C31E9B">
        <w:rPr>
          <w:rFonts w:ascii="Times New Roman" w:hAnsi="Times New Roman" w:cs="Times New Roman"/>
          <w:sz w:val="24"/>
          <w:szCs w:val="24"/>
        </w:rPr>
        <w:t xml:space="preserve">residential </w:t>
      </w:r>
      <w:r w:rsidR="00BA6588">
        <w:rPr>
          <w:rFonts w:ascii="Times New Roman" w:hAnsi="Times New Roman" w:cs="Times New Roman"/>
          <w:sz w:val="24"/>
          <w:szCs w:val="24"/>
        </w:rPr>
        <w:t>bills in 100-</w:t>
      </w:r>
      <w:r w:rsidR="00D348A2">
        <w:rPr>
          <w:rFonts w:ascii="Times New Roman" w:hAnsi="Times New Roman" w:cs="Times New Roman"/>
          <w:sz w:val="24"/>
          <w:szCs w:val="24"/>
        </w:rPr>
        <w:t xml:space="preserve">kWh increments </w:t>
      </w:r>
      <w:proofErr w:type="gramStart"/>
      <w:r w:rsidR="00D348A2">
        <w:rPr>
          <w:rFonts w:ascii="Times New Roman" w:hAnsi="Times New Roman" w:cs="Times New Roman"/>
          <w:sz w:val="24"/>
          <w:szCs w:val="24"/>
        </w:rPr>
        <w:t xml:space="preserve">up to 3,000 kWh/month, then in a 3,000-3,500 kWh group and a 3,500+ </w:t>
      </w:r>
      <w:r w:rsidR="00561A6D">
        <w:rPr>
          <w:rFonts w:ascii="Times New Roman" w:hAnsi="Times New Roman" w:cs="Times New Roman"/>
          <w:sz w:val="24"/>
          <w:szCs w:val="24"/>
        </w:rPr>
        <w:t xml:space="preserve">kWh </w:t>
      </w:r>
      <w:r w:rsidR="00D348A2">
        <w:rPr>
          <w:rFonts w:ascii="Times New Roman" w:hAnsi="Times New Roman" w:cs="Times New Roman"/>
          <w:sz w:val="24"/>
          <w:szCs w:val="24"/>
        </w:rPr>
        <w:t>group</w:t>
      </w:r>
      <w:proofErr w:type="gramEnd"/>
      <w:r w:rsidR="00D348A2">
        <w:rPr>
          <w:rFonts w:ascii="Times New Roman" w:hAnsi="Times New Roman" w:cs="Times New Roman"/>
          <w:sz w:val="24"/>
          <w:szCs w:val="24"/>
        </w:rPr>
        <w:t>.  I looked at all customers with usage above 2,000 kWh, since those are the customers that would see an increase under Staff’s proposal.  I took all of the Company’s groupings from the bill study and determined the increase that each group would face under Staff’s proposal.  For the 3,000-3,500 kWh group, I used the average increase for all customers within that range; for the 3,500+ kWh group, I used the average increase on all customers with usage between 3,500 kWh and 6,000 kWh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p>
    <w:p w14:paraId="5890A516" w14:textId="1B2B923A" w:rsidR="00561A6D" w:rsidRDefault="00C21822" w:rsidP="001B1F4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561A6D">
        <w:rPr>
          <w:rFonts w:ascii="Times New Roman" w:hAnsi="Times New Roman" w:cs="Times New Roman"/>
          <w:sz w:val="24"/>
          <w:szCs w:val="24"/>
        </w:rPr>
        <w:tab/>
        <w:t xml:space="preserve">For each group, I </w:t>
      </w:r>
      <w:r w:rsidR="00634105">
        <w:rPr>
          <w:rFonts w:ascii="Times New Roman" w:hAnsi="Times New Roman" w:cs="Times New Roman"/>
          <w:sz w:val="24"/>
          <w:szCs w:val="24"/>
        </w:rPr>
        <w:t xml:space="preserve">began with </w:t>
      </w:r>
      <w:r w:rsidR="00561A6D">
        <w:rPr>
          <w:rFonts w:ascii="Times New Roman" w:hAnsi="Times New Roman" w:cs="Times New Roman"/>
          <w:sz w:val="24"/>
          <w:szCs w:val="24"/>
        </w:rPr>
        <w:t xml:space="preserve">the percentage increase </w:t>
      </w:r>
      <w:r w:rsidR="00634105">
        <w:rPr>
          <w:rFonts w:ascii="Times New Roman" w:hAnsi="Times New Roman" w:cs="Times New Roman"/>
          <w:sz w:val="24"/>
          <w:szCs w:val="24"/>
        </w:rPr>
        <w:t>that the group would face under Staff’s proposed rates.  Knowing the</w:t>
      </w:r>
      <w:r w:rsidR="00816ACE">
        <w:rPr>
          <w:rFonts w:ascii="Times New Roman" w:hAnsi="Times New Roman" w:cs="Times New Roman"/>
          <w:sz w:val="24"/>
          <w:szCs w:val="24"/>
        </w:rPr>
        <w:t xml:space="preserve"> change in price and the elasticity, </w:t>
      </w:r>
      <w:r w:rsidR="00561A6D">
        <w:rPr>
          <w:rFonts w:ascii="Times New Roman" w:hAnsi="Times New Roman" w:cs="Times New Roman"/>
          <w:sz w:val="24"/>
          <w:szCs w:val="24"/>
        </w:rPr>
        <w:t xml:space="preserve">solving for the projected reduction in </w:t>
      </w:r>
      <w:r w:rsidR="009D1459">
        <w:rPr>
          <w:rFonts w:ascii="Times New Roman" w:hAnsi="Times New Roman" w:cs="Times New Roman"/>
          <w:sz w:val="24"/>
          <w:szCs w:val="24"/>
        </w:rPr>
        <w:t>usage</w:t>
      </w:r>
      <w:r w:rsidR="00561A6D">
        <w:rPr>
          <w:rFonts w:ascii="Times New Roman" w:hAnsi="Times New Roman" w:cs="Times New Roman"/>
          <w:sz w:val="24"/>
          <w:szCs w:val="24"/>
        </w:rPr>
        <w:t xml:space="preserve"> for each class was a matter of simple algebra.</w:t>
      </w:r>
      <w:r w:rsidR="00634105">
        <w:rPr>
          <w:rStyle w:val="FootnoteReference"/>
          <w:rFonts w:ascii="Times New Roman" w:hAnsi="Times New Roman" w:cs="Times New Roman"/>
          <w:sz w:val="24"/>
          <w:szCs w:val="24"/>
        </w:rPr>
        <w:footnoteReference w:id="38"/>
      </w:r>
      <w:r w:rsidR="00634105">
        <w:rPr>
          <w:rFonts w:ascii="Times New Roman" w:hAnsi="Times New Roman" w:cs="Times New Roman"/>
          <w:sz w:val="24"/>
          <w:szCs w:val="24"/>
        </w:rPr>
        <w:t xml:space="preserve"> </w:t>
      </w:r>
      <w:r w:rsidR="00561A6D">
        <w:rPr>
          <w:rFonts w:ascii="Times New Roman" w:hAnsi="Times New Roman" w:cs="Times New Roman"/>
          <w:sz w:val="24"/>
          <w:szCs w:val="24"/>
        </w:rPr>
        <w:t xml:space="preserve"> I </w:t>
      </w:r>
      <w:r w:rsidR="00634105">
        <w:rPr>
          <w:rFonts w:ascii="Times New Roman" w:hAnsi="Times New Roman" w:cs="Times New Roman"/>
          <w:sz w:val="24"/>
          <w:szCs w:val="24"/>
        </w:rPr>
        <w:t xml:space="preserve">then </w:t>
      </w:r>
      <w:r w:rsidR="00561A6D">
        <w:rPr>
          <w:rFonts w:ascii="Times New Roman" w:hAnsi="Times New Roman" w:cs="Times New Roman"/>
          <w:sz w:val="24"/>
          <w:szCs w:val="24"/>
        </w:rPr>
        <w:t xml:space="preserve">applied the projected reduction for each group to the average monthly usage for the group to determine the average reduction in usage per </w:t>
      </w:r>
      <w:r w:rsidR="00816ACE">
        <w:rPr>
          <w:rFonts w:ascii="Times New Roman" w:hAnsi="Times New Roman" w:cs="Times New Roman"/>
          <w:sz w:val="24"/>
          <w:szCs w:val="24"/>
        </w:rPr>
        <w:t>bill</w:t>
      </w:r>
      <w:r w:rsidR="00561A6D">
        <w:rPr>
          <w:rFonts w:ascii="Times New Roman" w:hAnsi="Times New Roman" w:cs="Times New Roman"/>
          <w:sz w:val="24"/>
          <w:szCs w:val="24"/>
        </w:rPr>
        <w:t xml:space="preserve"> within that </w:t>
      </w:r>
      <w:r w:rsidR="00634105">
        <w:rPr>
          <w:rFonts w:ascii="Times New Roman" w:hAnsi="Times New Roman" w:cs="Times New Roman"/>
          <w:sz w:val="24"/>
          <w:szCs w:val="24"/>
        </w:rPr>
        <w:t>group, and then multiplied that number by the number of bills in the group to determine the aggregate reduction for the group.  Finally, I</w:t>
      </w:r>
      <w:r w:rsidR="00561A6D">
        <w:rPr>
          <w:rFonts w:ascii="Times New Roman" w:hAnsi="Times New Roman" w:cs="Times New Roman"/>
          <w:sz w:val="24"/>
          <w:szCs w:val="24"/>
        </w:rPr>
        <w:t xml:space="preserve"> summed all the </w:t>
      </w:r>
      <w:r w:rsidR="00603B06">
        <w:rPr>
          <w:rFonts w:ascii="Times New Roman" w:hAnsi="Times New Roman" w:cs="Times New Roman"/>
          <w:sz w:val="24"/>
          <w:szCs w:val="24"/>
        </w:rPr>
        <w:lastRenderedPageBreak/>
        <w:t xml:space="preserve">groups </w:t>
      </w:r>
      <w:r w:rsidR="00561A6D">
        <w:rPr>
          <w:rFonts w:ascii="Times New Roman" w:hAnsi="Times New Roman" w:cs="Times New Roman"/>
          <w:sz w:val="24"/>
          <w:szCs w:val="24"/>
        </w:rPr>
        <w:t xml:space="preserve">and divided the total reduction by the Company’s total load per the bill study, which yielded a projected reduction of </w:t>
      </w:r>
      <w:r w:rsidR="00816ACE">
        <w:rPr>
          <w:rFonts w:ascii="Times New Roman" w:hAnsi="Times New Roman" w:cs="Times New Roman"/>
          <w:sz w:val="24"/>
          <w:szCs w:val="24"/>
        </w:rPr>
        <w:t>0.2</w:t>
      </w:r>
      <w:r w:rsidR="009D1459">
        <w:rPr>
          <w:rFonts w:ascii="Times New Roman" w:hAnsi="Times New Roman" w:cs="Times New Roman"/>
          <w:sz w:val="24"/>
          <w:szCs w:val="24"/>
        </w:rPr>
        <w:t>3</w:t>
      </w:r>
      <w:r w:rsidR="00561A6D">
        <w:rPr>
          <w:rFonts w:ascii="Times New Roman" w:hAnsi="Times New Roman" w:cs="Times New Roman"/>
          <w:sz w:val="24"/>
          <w:szCs w:val="24"/>
        </w:rPr>
        <w:t xml:space="preserve"> percent.  I repeated those steps with the long-term elasticity to calculate the total long-term reduction of </w:t>
      </w:r>
      <w:r w:rsidR="00816ACE">
        <w:rPr>
          <w:rFonts w:ascii="Times New Roman" w:hAnsi="Times New Roman" w:cs="Times New Roman"/>
          <w:sz w:val="24"/>
          <w:szCs w:val="24"/>
        </w:rPr>
        <w:t>0.4</w:t>
      </w:r>
      <w:r w:rsidR="009D1459">
        <w:rPr>
          <w:rFonts w:ascii="Times New Roman" w:hAnsi="Times New Roman" w:cs="Times New Roman"/>
          <w:sz w:val="24"/>
          <w:szCs w:val="24"/>
        </w:rPr>
        <w:t>7</w:t>
      </w:r>
      <w:r w:rsidR="00561A6D">
        <w:rPr>
          <w:rFonts w:ascii="Times New Roman" w:hAnsi="Times New Roman" w:cs="Times New Roman"/>
          <w:sz w:val="24"/>
          <w:szCs w:val="24"/>
        </w:rPr>
        <w:t xml:space="preserve"> percent.</w:t>
      </w:r>
    </w:p>
    <w:p w14:paraId="4A03FE06" w14:textId="3FB4DD25" w:rsidR="00816ACE" w:rsidRDefault="00C21822" w:rsidP="001B1F4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816ACE">
        <w:rPr>
          <w:rFonts w:ascii="Times New Roman" w:hAnsi="Times New Roman" w:cs="Times New Roman"/>
          <w:sz w:val="24"/>
          <w:szCs w:val="24"/>
        </w:rPr>
        <w:tab/>
        <w:t xml:space="preserve">While these reductions may appear trivial, they represent a fairly significant source of savings for Pacific Power and its customers.  As a point of reference, the Company’s Washington conservation programs during the 2012-2013 </w:t>
      </w:r>
      <w:proofErr w:type="gramStart"/>
      <w:r w:rsidR="00816ACE">
        <w:rPr>
          <w:rFonts w:ascii="Times New Roman" w:hAnsi="Times New Roman" w:cs="Times New Roman"/>
          <w:sz w:val="24"/>
          <w:szCs w:val="24"/>
        </w:rPr>
        <w:t>biennium</w:t>
      </w:r>
      <w:proofErr w:type="gramEnd"/>
      <w:r w:rsidR="00816ACE">
        <w:rPr>
          <w:rFonts w:ascii="Times New Roman" w:hAnsi="Times New Roman" w:cs="Times New Roman"/>
          <w:sz w:val="24"/>
          <w:szCs w:val="24"/>
        </w:rPr>
        <w:t xml:space="preserve"> saved an average of 55,962 MWh per year at an average annual cost of about $10 million, or $</w:t>
      </w:r>
      <w:r w:rsidR="00D6771B">
        <w:rPr>
          <w:rFonts w:ascii="Times New Roman" w:hAnsi="Times New Roman" w:cs="Times New Roman"/>
          <w:sz w:val="24"/>
          <w:szCs w:val="24"/>
        </w:rPr>
        <w:t>178</w:t>
      </w:r>
      <w:r w:rsidR="00816ACE">
        <w:rPr>
          <w:rFonts w:ascii="Times New Roman" w:hAnsi="Times New Roman" w:cs="Times New Roman"/>
          <w:sz w:val="24"/>
          <w:szCs w:val="24"/>
        </w:rPr>
        <w:t xml:space="preserve"> per MWh.</w:t>
      </w:r>
      <w:r w:rsidR="00D6771B">
        <w:rPr>
          <w:rFonts w:ascii="Times New Roman" w:hAnsi="Times New Roman" w:cs="Times New Roman"/>
          <w:sz w:val="24"/>
          <w:szCs w:val="24"/>
        </w:rPr>
        <w:t xml:space="preserve">  If the long-term savings of 0.4</w:t>
      </w:r>
      <w:r w:rsidR="00634105">
        <w:rPr>
          <w:rFonts w:ascii="Times New Roman" w:hAnsi="Times New Roman" w:cs="Times New Roman"/>
          <w:sz w:val="24"/>
          <w:szCs w:val="24"/>
        </w:rPr>
        <w:t>9</w:t>
      </w:r>
      <w:r w:rsidR="00D6771B">
        <w:rPr>
          <w:rFonts w:ascii="Times New Roman" w:hAnsi="Times New Roman" w:cs="Times New Roman"/>
          <w:sz w:val="24"/>
          <w:szCs w:val="24"/>
        </w:rPr>
        <w:t xml:space="preserve"> percent are achieved, that represents </w:t>
      </w:r>
      <w:r w:rsidR="009D1459">
        <w:rPr>
          <w:rFonts w:ascii="Times New Roman" w:hAnsi="Times New Roman" w:cs="Times New Roman"/>
          <w:sz w:val="24"/>
          <w:szCs w:val="24"/>
        </w:rPr>
        <w:t>7,660</w:t>
      </w:r>
      <w:r w:rsidR="00D6771B">
        <w:rPr>
          <w:rFonts w:ascii="Times New Roman" w:hAnsi="Times New Roman" w:cs="Times New Roman"/>
          <w:sz w:val="24"/>
          <w:szCs w:val="24"/>
        </w:rPr>
        <w:t xml:space="preserve"> M</w:t>
      </w:r>
      <w:r w:rsidR="00634105">
        <w:rPr>
          <w:rFonts w:ascii="Times New Roman" w:hAnsi="Times New Roman" w:cs="Times New Roman"/>
          <w:sz w:val="24"/>
          <w:szCs w:val="24"/>
        </w:rPr>
        <w:t>Wh per year of savings (</w:t>
      </w:r>
      <w:r w:rsidR="009D1459">
        <w:rPr>
          <w:rFonts w:ascii="Times New Roman" w:hAnsi="Times New Roman" w:cs="Times New Roman"/>
          <w:sz w:val="24"/>
          <w:szCs w:val="24"/>
        </w:rPr>
        <w:t>about 14</w:t>
      </w:r>
      <w:r w:rsidR="00D6771B">
        <w:rPr>
          <w:rFonts w:ascii="Times New Roman" w:hAnsi="Times New Roman" w:cs="Times New Roman"/>
          <w:sz w:val="24"/>
          <w:szCs w:val="24"/>
        </w:rPr>
        <w:t xml:space="preserve"> percent of the Company’s annual average) that could be achieved with no additional expenditures on conservation programs.</w:t>
      </w:r>
    </w:p>
    <w:p w14:paraId="659CB1BD" w14:textId="45E750D4" w:rsidR="00A97F4E" w:rsidRDefault="00C21822" w:rsidP="001B1F4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A97F4E">
        <w:rPr>
          <w:rFonts w:ascii="Times New Roman" w:hAnsi="Times New Roman" w:cs="Times New Roman"/>
          <w:sz w:val="24"/>
          <w:szCs w:val="24"/>
        </w:rPr>
        <w:tab/>
        <w:t xml:space="preserve">I should </w:t>
      </w:r>
      <w:r w:rsidR="00634105">
        <w:rPr>
          <w:rFonts w:ascii="Times New Roman" w:hAnsi="Times New Roman" w:cs="Times New Roman"/>
          <w:sz w:val="24"/>
          <w:szCs w:val="24"/>
        </w:rPr>
        <w:t>point out</w:t>
      </w:r>
      <w:r w:rsidR="00A97F4E">
        <w:rPr>
          <w:rFonts w:ascii="Times New Roman" w:hAnsi="Times New Roman" w:cs="Times New Roman"/>
          <w:sz w:val="24"/>
          <w:szCs w:val="24"/>
        </w:rPr>
        <w:t xml:space="preserve"> that these figures are only rough projections; there are a number of other factors that will affect the total </w:t>
      </w:r>
      <w:r w:rsidR="00634105">
        <w:rPr>
          <w:rFonts w:ascii="Times New Roman" w:hAnsi="Times New Roman" w:cs="Times New Roman"/>
          <w:sz w:val="24"/>
          <w:szCs w:val="24"/>
        </w:rPr>
        <w:t>reduction in electricity usage</w:t>
      </w:r>
      <w:r w:rsidR="00A97F4E">
        <w:rPr>
          <w:rFonts w:ascii="Times New Roman" w:hAnsi="Times New Roman" w:cs="Times New Roman"/>
          <w:sz w:val="24"/>
          <w:szCs w:val="24"/>
        </w:rPr>
        <w:t xml:space="preserve">.  </w:t>
      </w:r>
      <w:r w:rsidR="00187BD9">
        <w:rPr>
          <w:rFonts w:ascii="Times New Roman" w:hAnsi="Times New Roman" w:cs="Times New Roman"/>
          <w:sz w:val="24"/>
          <w:szCs w:val="24"/>
        </w:rPr>
        <w:t>Staff’s projection should be interpreted as an upper-bound estimate of the reduced usage that may occur.</w:t>
      </w:r>
    </w:p>
    <w:p w14:paraId="687FC5D1" w14:textId="77777777" w:rsidR="009C041F" w:rsidRDefault="009C041F" w:rsidP="001B1F41">
      <w:pPr>
        <w:spacing w:line="480" w:lineRule="auto"/>
        <w:ind w:left="720" w:hanging="720"/>
        <w:contextualSpacing/>
        <w:rPr>
          <w:rFonts w:ascii="Times New Roman" w:hAnsi="Times New Roman" w:cs="Times New Roman"/>
          <w:sz w:val="24"/>
          <w:szCs w:val="24"/>
        </w:rPr>
      </w:pPr>
    </w:p>
    <w:p w14:paraId="34803A7C" w14:textId="4311EBA9" w:rsidR="009C041F" w:rsidRPr="00293F51" w:rsidRDefault="009C041F" w:rsidP="009C041F">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How does Staff’s proposal address the increased risk that the Company faces if customers respond to this price signal and reduce their usage as Staff has projected?</w:t>
      </w:r>
    </w:p>
    <w:p w14:paraId="36506726" w14:textId="0D42ECD6" w:rsidR="009C041F" w:rsidRDefault="009C041F" w:rsidP="009C041F">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 xml:space="preserve">Staff addresses this concern in the way rates are designed.  </w:t>
      </w:r>
      <w:r w:rsidR="00C75645">
        <w:rPr>
          <w:rFonts w:ascii="Times New Roman" w:hAnsi="Times New Roman" w:cs="Times New Roman"/>
          <w:sz w:val="24"/>
          <w:szCs w:val="24"/>
        </w:rPr>
        <w:t>As I show in Exhibit No.</w:t>
      </w:r>
      <w:r w:rsidR="000802F4">
        <w:rPr>
          <w:rFonts w:ascii="Times New Roman" w:hAnsi="Times New Roman" w:cs="Times New Roman"/>
          <w:sz w:val="24"/>
          <w:szCs w:val="24"/>
        </w:rPr>
        <w:t xml:space="preserve"> </w:t>
      </w:r>
      <w:r w:rsidR="00C75645">
        <w:rPr>
          <w:rFonts w:ascii="Times New Roman" w:hAnsi="Times New Roman" w:cs="Times New Roman"/>
          <w:sz w:val="24"/>
          <w:szCs w:val="24"/>
        </w:rPr>
        <w:t>__</w:t>
      </w:r>
      <w:proofErr w:type="gramStart"/>
      <w:r w:rsidR="00C75645">
        <w:rPr>
          <w:rFonts w:ascii="Times New Roman" w:hAnsi="Times New Roman" w:cs="Times New Roman"/>
          <w:sz w:val="24"/>
          <w:szCs w:val="24"/>
        </w:rPr>
        <w:t>_(</w:t>
      </w:r>
      <w:proofErr w:type="gramEnd"/>
      <w:r w:rsidR="00C75645">
        <w:rPr>
          <w:rFonts w:ascii="Times New Roman" w:hAnsi="Times New Roman" w:cs="Times New Roman"/>
          <w:sz w:val="24"/>
          <w:szCs w:val="24"/>
        </w:rPr>
        <w:t>JBT-</w:t>
      </w:r>
      <w:r w:rsidR="00634105">
        <w:rPr>
          <w:rFonts w:ascii="Times New Roman" w:hAnsi="Times New Roman" w:cs="Times New Roman"/>
          <w:sz w:val="24"/>
          <w:szCs w:val="24"/>
        </w:rPr>
        <w:t>4</w:t>
      </w:r>
      <w:r w:rsidR="00C75645">
        <w:rPr>
          <w:rFonts w:ascii="Times New Roman" w:hAnsi="Times New Roman" w:cs="Times New Roman"/>
          <w:sz w:val="24"/>
          <w:szCs w:val="24"/>
        </w:rPr>
        <w:t>), there are few fixed charges recovered in</w:t>
      </w:r>
      <w:r w:rsidR="00634105">
        <w:rPr>
          <w:rFonts w:ascii="Times New Roman" w:hAnsi="Times New Roman" w:cs="Times New Roman"/>
          <w:sz w:val="24"/>
          <w:szCs w:val="24"/>
        </w:rPr>
        <w:t xml:space="preserve"> the third block.  Of the 1</w:t>
      </w:r>
      <w:r w:rsidR="00C85636">
        <w:rPr>
          <w:rFonts w:ascii="Times New Roman" w:hAnsi="Times New Roman" w:cs="Times New Roman"/>
          <w:sz w:val="24"/>
          <w:szCs w:val="24"/>
        </w:rPr>
        <w:t>1.996</w:t>
      </w:r>
      <w:bookmarkStart w:id="0" w:name="_GoBack"/>
      <w:bookmarkEnd w:id="0"/>
      <w:r w:rsidR="00C75645">
        <w:rPr>
          <w:rFonts w:ascii="Times New Roman" w:hAnsi="Times New Roman" w:cs="Times New Roman"/>
          <w:sz w:val="24"/>
          <w:szCs w:val="24"/>
        </w:rPr>
        <w:t xml:space="preserve">-cent rate for this block, </w:t>
      </w:r>
      <w:r w:rsidR="00634105">
        <w:rPr>
          <w:rFonts w:ascii="Times New Roman" w:hAnsi="Times New Roman" w:cs="Times New Roman"/>
          <w:sz w:val="24"/>
          <w:szCs w:val="24"/>
        </w:rPr>
        <w:t>58</w:t>
      </w:r>
      <w:r w:rsidR="00C75645">
        <w:rPr>
          <w:rFonts w:ascii="Times New Roman" w:hAnsi="Times New Roman" w:cs="Times New Roman"/>
          <w:sz w:val="24"/>
          <w:szCs w:val="24"/>
        </w:rPr>
        <w:t xml:space="preserve"> percent is based on energy costs, so </w:t>
      </w:r>
      <w:r w:rsidR="000802F4">
        <w:rPr>
          <w:rFonts w:ascii="Times New Roman" w:hAnsi="Times New Roman" w:cs="Times New Roman"/>
          <w:sz w:val="24"/>
          <w:szCs w:val="24"/>
        </w:rPr>
        <w:t>any</w:t>
      </w:r>
      <w:r w:rsidR="00C75645">
        <w:rPr>
          <w:rFonts w:ascii="Times New Roman" w:hAnsi="Times New Roman" w:cs="Times New Roman"/>
          <w:sz w:val="24"/>
          <w:szCs w:val="24"/>
        </w:rPr>
        <w:t xml:space="preserve"> reduction in usage in this block should strongly correlate with a reduction in the Company’s </w:t>
      </w:r>
      <w:r w:rsidR="00C75645">
        <w:rPr>
          <w:rFonts w:ascii="Times New Roman" w:hAnsi="Times New Roman" w:cs="Times New Roman"/>
          <w:sz w:val="24"/>
          <w:szCs w:val="24"/>
        </w:rPr>
        <w:lastRenderedPageBreak/>
        <w:t xml:space="preserve">energy-based expenses such </w:t>
      </w:r>
      <w:r w:rsidR="00E25EE1">
        <w:rPr>
          <w:rFonts w:ascii="Times New Roman" w:hAnsi="Times New Roman" w:cs="Times New Roman"/>
          <w:sz w:val="24"/>
          <w:szCs w:val="24"/>
        </w:rPr>
        <w:t xml:space="preserve">as fuel and purchased power.  Under Staff’s proposal, only about </w:t>
      </w:r>
      <w:r w:rsidR="00634105">
        <w:rPr>
          <w:rFonts w:ascii="Times New Roman" w:hAnsi="Times New Roman" w:cs="Times New Roman"/>
          <w:sz w:val="24"/>
          <w:szCs w:val="24"/>
        </w:rPr>
        <w:t>1</w:t>
      </w:r>
      <w:r w:rsidR="001C06FD">
        <w:rPr>
          <w:rFonts w:ascii="Times New Roman" w:hAnsi="Times New Roman" w:cs="Times New Roman"/>
          <w:sz w:val="24"/>
          <w:szCs w:val="24"/>
        </w:rPr>
        <w:t>4</w:t>
      </w:r>
      <w:r w:rsidR="00E25EE1">
        <w:rPr>
          <w:rFonts w:ascii="Times New Roman" w:hAnsi="Times New Roman" w:cs="Times New Roman"/>
          <w:sz w:val="24"/>
          <w:szCs w:val="24"/>
        </w:rPr>
        <w:t xml:space="preserve"> percent of the Company’s fixed costs would be recovered in in the third block, so the risk of under-recovering fixed costs as a result of reduced usage in t</w:t>
      </w:r>
      <w:r w:rsidR="00187BD9">
        <w:rPr>
          <w:rFonts w:ascii="Times New Roman" w:hAnsi="Times New Roman" w:cs="Times New Roman"/>
          <w:sz w:val="24"/>
          <w:szCs w:val="24"/>
        </w:rPr>
        <w:t>he third block is low.</w:t>
      </w:r>
      <w:r w:rsidR="001C06FD">
        <w:rPr>
          <w:rStyle w:val="FootnoteReference"/>
          <w:rFonts w:ascii="Times New Roman" w:hAnsi="Times New Roman" w:cs="Times New Roman"/>
          <w:sz w:val="24"/>
          <w:szCs w:val="24"/>
        </w:rPr>
        <w:footnoteReference w:id="39"/>
      </w:r>
      <w:r w:rsidR="001C06FD">
        <w:rPr>
          <w:rFonts w:ascii="Times New Roman" w:hAnsi="Times New Roman" w:cs="Times New Roman"/>
          <w:sz w:val="24"/>
          <w:szCs w:val="24"/>
        </w:rPr>
        <w:t xml:space="preserve"> </w:t>
      </w:r>
      <w:r w:rsidR="00187BD9">
        <w:rPr>
          <w:rFonts w:ascii="Times New Roman" w:hAnsi="Times New Roman" w:cs="Times New Roman"/>
          <w:sz w:val="24"/>
          <w:szCs w:val="24"/>
        </w:rPr>
        <w:t xml:space="preserve"> In fact, if Staff’</w:t>
      </w:r>
      <w:r w:rsidR="00D6771B">
        <w:rPr>
          <w:rFonts w:ascii="Times New Roman" w:hAnsi="Times New Roman" w:cs="Times New Roman"/>
          <w:sz w:val="24"/>
          <w:szCs w:val="24"/>
        </w:rPr>
        <w:t>s long-term projection of 0.4</w:t>
      </w:r>
      <w:r w:rsidR="009D1459">
        <w:rPr>
          <w:rFonts w:ascii="Times New Roman" w:hAnsi="Times New Roman" w:cs="Times New Roman"/>
          <w:sz w:val="24"/>
          <w:szCs w:val="24"/>
        </w:rPr>
        <w:t>7</w:t>
      </w:r>
      <w:r w:rsidR="00D6771B">
        <w:rPr>
          <w:rFonts w:ascii="Times New Roman" w:hAnsi="Times New Roman" w:cs="Times New Roman"/>
          <w:sz w:val="24"/>
          <w:szCs w:val="24"/>
        </w:rPr>
        <w:t xml:space="preserve"> </w:t>
      </w:r>
      <w:r w:rsidR="00187BD9">
        <w:rPr>
          <w:rFonts w:ascii="Times New Roman" w:hAnsi="Times New Roman" w:cs="Times New Roman"/>
          <w:sz w:val="24"/>
          <w:szCs w:val="24"/>
        </w:rPr>
        <w:t xml:space="preserve">percent reduced usage is realized, then the </w:t>
      </w:r>
      <w:r w:rsidR="00D6771B">
        <w:rPr>
          <w:rFonts w:ascii="Times New Roman" w:hAnsi="Times New Roman" w:cs="Times New Roman"/>
          <w:sz w:val="24"/>
          <w:szCs w:val="24"/>
        </w:rPr>
        <w:t>7,</w:t>
      </w:r>
      <w:r w:rsidR="009D1459">
        <w:rPr>
          <w:rFonts w:ascii="Times New Roman" w:hAnsi="Times New Roman" w:cs="Times New Roman"/>
          <w:sz w:val="24"/>
          <w:szCs w:val="24"/>
        </w:rPr>
        <w:t>660</w:t>
      </w:r>
      <w:r w:rsidR="00187BD9">
        <w:rPr>
          <w:rFonts w:ascii="Times New Roman" w:hAnsi="Times New Roman" w:cs="Times New Roman"/>
          <w:sz w:val="24"/>
          <w:szCs w:val="24"/>
        </w:rPr>
        <w:t xml:space="preserve"> MWh that would be saved in the third block only represent </w:t>
      </w:r>
      <w:r w:rsidR="009D1459">
        <w:rPr>
          <w:rFonts w:ascii="Times New Roman" w:hAnsi="Times New Roman" w:cs="Times New Roman"/>
          <w:sz w:val="24"/>
          <w:szCs w:val="24"/>
        </w:rPr>
        <w:t>2.9</w:t>
      </w:r>
      <w:r w:rsidR="001C06FD">
        <w:rPr>
          <w:rFonts w:ascii="Times New Roman" w:hAnsi="Times New Roman" w:cs="Times New Roman"/>
          <w:sz w:val="24"/>
          <w:szCs w:val="24"/>
        </w:rPr>
        <w:t xml:space="preserve"> </w:t>
      </w:r>
      <w:r w:rsidR="00187BD9">
        <w:rPr>
          <w:rFonts w:ascii="Times New Roman" w:hAnsi="Times New Roman" w:cs="Times New Roman"/>
          <w:sz w:val="24"/>
          <w:szCs w:val="24"/>
        </w:rPr>
        <w:t>perc</w:t>
      </w:r>
      <w:r w:rsidR="000802F4">
        <w:rPr>
          <w:rFonts w:ascii="Times New Roman" w:hAnsi="Times New Roman" w:cs="Times New Roman"/>
          <w:sz w:val="24"/>
          <w:szCs w:val="24"/>
        </w:rPr>
        <w:t xml:space="preserve">ent of total usage in the </w:t>
      </w:r>
      <w:r w:rsidR="00187BD9">
        <w:rPr>
          <w:rFonts w:ascii="Times New Roman" w:hAnsi="Times New Roman" w:cs="Times New Roman"/>
          <w:sz w:val="24"/>
          <w:szCs w:val="24"/>
        </w:rPr>
        <w:t xml:space="preserve">block.  Multiplying the </w:t>
      </w:r>
      <w:r w:rsidR="009D1459">
        <w:rPr>
          <w:rFonts w:ascii="Times New Roman" w:hAnsi="Times New Roman" w:cs="Times New Roman"/>
          <w:sz w:val="24"/>
          <w:szCs w:val="24"/>
        </w:rPr>
        <w:t>2.9</w:t>
      </w:r>
      <w:r w:rsidR="00D6771B">
        <w:rPr>
          <w:rFonts w:ascii="Times New Roman" w:hAnsi="Times New Roman" w:cs="Times New Roman"/>
          <w:sz w:val="24"/>
          <w:szCs w:val="24"/>
        </w:rPr>
        <w:t xml:space="preserve"> percent</w:t>
      </w:r>
      <w:r w:rsidR="00187BD9">
        <w:rPr>
          <w:rFonts w:ascii="Times New Roman" w:hAnsi="Times New Roman" w:cs="Times New Roman"/>
          <w:sz w:val="24"/>
          <w:szCs w:val="24"/>
        </w:rPr>
        <w:t xml:space="preserve"> reduction by the </w:t>
      </w:r>
      <w:r w:rsidR="001C06FD">
        <w:rPr>
          <w:rFonts w:ascii="Times New Roman" w:hAnsi="Times New Roman" w:cs="Times New Roman"/>
          <w:sz w:val="24"/>
          <w:szCs w:val="24"/>
        </w:rPr>
        <w:t>14</w:t>
      </w:r>
      <w:r w:rsidR="00187BD9">
        <w:rPr>
          <w:rFonts w:ascii="Times New Roman" w:hAnsi="Times New Roman" w:cs="Times New Roman"/>
          <w:sz w:val="24"/>
          <w:szCs w:val="24"/>
        </w:rPr>
        <w:t xml:space="preserve"> percent of fixed costs that are recovered in the third block, Staff finds that only about </w:t>
      </w:r>
      <w:r w:rsidR="00D6771B">
        <w:rPr>
          <w:rFonts w:ascii="Times New Roman" w:hAnsi="Times New Roman" w:cs="Times New Roman"/>
          <w:sz w:val="24"/>
          <w:szCs w:val="24"/>
        </w:rPr>
        <w:t>0.</w:t>
      </w:r>
      <w:r w:rsidR="009D1459">
        <w:rPr>
          <w:rFonts w:ascii="Times New Roman" w:hAnsi="Times New Roman" w:cs="Times New Roman"/>
          <w:sz w:val="24"/>
          <w:szCs w:val="24"/>
        </w:rPr>
        <w:t>4</w:t>
      </w:r>
      <w:r w:rsidR="00187BD9">
        <w:rPr>
          <w:rFonts w:ascii="Times New Roman" w:hAnsi="Times New Roman" w:cs="Times New Roman"/>
          <w:sz w:val="24"/>
          <w:szCs w:val="24"/>
        </w:rPr>
        <w:t xml:space="preserve"> percent of the Company’s fixed costs are at risk as a result of the potential for reduced usage created by Staff’s proposed rate design.</w:t>
      </w:r>
      <w:r w:rsidR="009D1459">
        <w:rPr>
          <w:rFonts w:ascii="Times New Roman" w:hAnsi="Times New Roman" w:cs="Times New Roman"/>
          <w:sz w:val="24"/>
          <w:szCs w:val="24"/>
        </w:rPr>
        <w:t xml:space="preserve">  That equates to about $373</w:t>
      </w:r>
      <w:r w:rsidR="001C06FD">
        <w:rPr>
          <w:rFonts w:ascii="Times New Roman" w:hAnsi="Times New Roman" w:cs="Times New Roman"/>
          <w:sz w:val="24"/>
          <w:szCs w:val="24"/>
        </w:rPr>
        <w:t>,000, or 0.1 percent of Staff’s proposed overall revenue requirement.</w:t>
      </w:r>
    </w:p>
    <w:p w14:paraId="6C511325" w14:textId="4D2549BC" w:rsidR="001B1F41" w:rsidRDefault="00C21822" w:rsidP="001A15A1">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187BD9">
        <w:rPr>
          <w:rFonts w:ascii="Times New Roman" w:hAnsi="Times New Roman" w:cs="Times New Roman"/>
          <w:sz w:val="24"/>
          <w:szCs w:val="24"/>
        </w:rPr>
        <w:tab/>
        <w:t xml:space="preserve">Should </w:t>
      </w:r>
      <w:r w:rsidR="008648EF">
        <w:rPr>
          <w:rFonts w:ascii="Times New Roman" w:hAnsi="Times New Roman" w:cs="Times New Roman"/>
          <w:sz w:val="24"/>
          <w:szCs w:val="24"/>
        </w:rPr>
        <w:t xml:space="preserve">the Commission adopt Staff’s proposed rate design and </w:t>
      </w:r>
      <w:r w:rsidR="009D1459">
        <w:rPr>
          <w:rFonts w:ascii="Times New Roman" w:hAnsi="Times New Roman" w:cs="Times New Roman"/>
          <w:sz w:val="24"/>
          <w:szCs w:val="24"/>
        </w:rPr>
        <w:t>Pacific Power</w:t>
      </w:r>
      <w:r w:rsidR="00187BD9">
        <w:rPr>
          <w:rFonts w:ascii="Times New Roman" w:hAnsi="Times New Roman" w:cs="Times New Roman"/>
          <w:sz w:val="24"/>
          <w:szCs w:val="24"/>
        </w:rPr>
        <w:t xml:space="preserve"> remain</w:t>
      </w:r>
      <w:r w:rsidR="009D1459">
        <w:rPr>
          <w:rFonts w:ascii="Times New Roman" w:hAnsi="Times New Roman" w:cs="Times New Roman"/>
          <w:sz w:val="24"/>
          <w:szCs w:val="24"/>
        </w:rPr>
        <w:t>s</w:t>
      </w:r>
      <w:r w:rsidR="00187BD9">
        <w:rPr>
          <w:rFonts w:ascii="Times New Roman" w:hAnsi="Times New Roman" w:cs="Times New Roman"/>
          <w:sz w:val="24"/>
          <w:szCs w:val="24"/>
        </w:rPr>
        <w:t xml:space="preserve"> concerned by </w:t>
      </w:r>
      <w:r w:rsidR="008648EF">
        <w:rPr>
          <w:rFonts w:ascii="Times New Roman" w:hAnsi="Times New Roman" w:cs="Times New Roman"/>
          <w:sz w:val="24"/>
          <w:szCs w:val="24"/>
        </w:rPr>
        <w:t>the third block’s</w:t>
      </w:r>
      <w:r w:rsidR="00187BD9">
        <w:rPr>
          <w:rFonts w:ascii="Times New Roman" w:hAnsi="Times New Roman" w:cs="Times New Roman"/>
          <w:sz w:val="24"/>
          <w:szCs w:val="24"/>
        </w:rPr>
        <w:t xml:space="preserve"> potential impact on </w:t>
      </w:r>
      <w:r w:rsidR="009D1459">
        <w:rPr>
          <w:rFonts w:ascii="Times New Roman" w:hAnsi="Times New Roman" w:cs="Times New Roman"/>
          <w:sz w:val="24"/>
          <w:szCs w:val="24"/>
        </w:rPr>
        <w:t>its</w:t>
      </w:r>
      <w:r w:rsidR="00187BD9">
        <w:rPr>
          <w:rFonts w:ascii="Times New Roman" w:hAnsi="Times New Roman" w:cs="Times New Roman"/>
          <w:sz w:val="24"/>
          <w:szCs w:val="24"/>
        </w:rPr>
        <w:t xml:space="preserve"> </w:t>
      </w:r>
      <w:r w:rsidR="008648EF">
        <w:rPr>
          <w:rFonts w:ascii="Times New Roman" w:hAnsi="Times New Roman" w:cs="Times New Roman"/>
          <w:sz w:val="24"/>
          <w:szCs w:val="24"/>
        </w:rPr>
        <w:t>fixed-cost recovery</w:t>
      </w:r>
      <w:r w:rsidR="00187BD9">
        <w:rPr>
          <w:rFonts w:ascii="Times New Roman" w:hAnsi="Times New Roman" w:cs="Times New Roman"/>
          <w:sz w:val="24"/>
          <w:szCs w:val="24"/>
        </w:rPr>
        <w:t xml:space="preserve">, Staff recommends that the Commission </w:t>
      </w:r>
      <w:r w:rsidR="009D4C0B">
        <w:rPr>
          <w:rFonts w:ascii="Times New Roman" w:hAnsi="Times New Roman" w:cs="Times New Roman"/>
          <w:sz w:val="24"/>
          <w:szCs w:val="24"/>
        </w:rPr>
        <w:t xml:space="preserve">invite </w:t>
      </w:r>
      <w:r w:rsidR="00187BD9">
        <w:rPr>
          <w:rFonts w:ascii="Times New Roman" w:hAnsi="Times New Roman" w:cs="Times New Roman"/>
          <w:sz w:val="24"/>
          <w:szCs w:val="24"/>
        </w:rPr>
        <w:t xml:space="preserve">the Company </w:t>
      </w:r>
      <w:r w:rsidR="00603B06">
        <w:rPr>
          <w:rFonts w:ascii="Times New Roman" w:hAnsi="Times New Roman" w:cs="Times New Roman"/>
          <w:sz w:val="24"/>
          <w:szCs w:val="24"/>
        </w:rPr>
        <w:t>to file a revenue-neutral cost-of-</w:t>
      </w:r>
      <w:r w:rsidR="00187BD9">
        <w:rPr>
          <w:rFonts w:ascii="Times New Roman" w:hAnsi="Times New Roman" w:cs="Times New Roman"/>
          <w:sz w:val="24"/>
          <w:szCs w:val="24"/>
        </w:rPr>
        <w:t>servi</w:t>
      </w:r>
      <w:r w:rsidR="008648EF">
        <w:rPr>
          <w:rFonts w:ascii="Times New Roman" w:hAnsi="Times New Roman" w:cs="Times New Roman"/>
          <w:sz w:val="24"/>
          <w:szCs w:val="24"/>
        </w:rPr>
        <w:t>ce</w:t>
      </w:r>
      <w:r w:rsidR="00603B06">
        <w:rPr>
          <w:rFonts w:ascii="Times New Roman" w:hAnsi="Times New Roman" w:cs="Times New Roman"/>
          <w:sz w:val="24"/>
          <w:szCs w:val="24"/>
        </w:rPr>
        <w:t>/rate design</w:t>
      </w:r>
      <w:r w:rsidR="008648EF">
        <w:rPr>
          <w:rFonts w:ascii="Times New Roman" w:hAnsi="Times New Roman" w:cs="Times New Roman"/>
          <w:sz w:val="24"/>
          <w:szCs w:val="24"/>
        </w:rPr>
        <w:t xml:space="preserve"> proceeding.  If customer response to the proposed rate is greater than anticipated, Pacific Power can request to redesign rates as needed to provide greater certainty in its fixed-cost recovery.</w:t>
      </w:r>
    </w:p>
    <w:p w14:paraId="75601667" w14:textId="77777777" w:rsidR="008648EF" w:rsidRDefault="008648EF" w:rsidP="001F75B5">
      <w:pPr>
        <w:spacing w:line="480" w:lineRule="auto"/>
        <w:ind w:left="720" w:hanging="720"/>
        <w:contextualSpacing/>
        <w:rPr>
          <w:rFonts w:ascii="Times New Roman" w:hAnsi="Times New Roman" w:cs="Times New Roman"/>
          <w:sz w:val="24"/>
          <w:szCs w:val="24"/>
        </w:rPr>
      </w:pPr>
    </w:p>
    <w:p w14:paraId="58BB2F80" w14:textId="3CEE622E" w:rsidR="00F76EC7" w:rsidRPr="00293F51" w:rsidRDefault="00F76EC7" w:rsidP="00F76EC7">
      <w:pPr>
        <w:spacing w:line="480" w:lineRule="auto"/>
        <w:ind w:left="720" w:hanging="720"/>
        <w:contextualSpacing/>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4014AB">
        <w:rPr>
          <w:rFonts w:ascii="Times New Roman" w:hAnsi="Times New Roman" w:cs="Times New Roman"/>
          <w:b/>
          <w:sz w:val="24"/>
          <w:szCs w:val="24"/>
        </w:rPr>
        <w:t>Is Staff proposing a</w:t>
      </w:r>
      <w:r>
        <w:rPr>
          <w:rFonts w:ascii="Times New Roman" w:hAnsi="Times New Roman" w:cs="Times New Roman"/>
          <w:b/>
          <w:sz w:val="24"/>
          <w:szCs w:val="24"/>
        </w:rPr>
        <w:t xml:space="preserve"> </w:t>
      </w:r>
      <w:r w:rsidR="008648EF">
        <w:rPr>
          <w:rFonts w:ascii="Times New Roman" w:hAnsi="Times New Roman" w:cs="Times New Roman"/>
          <w:b/>
          <w:sz w:val="24"/>
          <w:szCs w:val="24"/>
        </w:rPr>
        <w:t xml:space="preserve">special rate </w:t>
      </w:r>
      <w:r w:rsidR="004014AB">
        <w:rPr>
          <w:rFonts w:ascii="Times New Roman" w:hAnsi="Times New Roman" w:cs="Times New Roman"/>
          <w:b/>
          <w:sz w:val="24"/>
          <w:szCs w:val="24"/>
        </w:rPr>
        <w:t>for low-income customers?</w:t>
      </w:r>
    </w:p>
    <w:p w14:paraId="1F8B517E" w14:textId="4D1577DE" w:rsidR="00C61CFF" w:rsidRDefault="00F76EC7" w:rsidP="000A4A8B">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1C06FD">
        <w:rPr>
          <w:rFonts w:ascii="Times New Roman" w:hAnsi="Times New Roman" w:cs="Times New Roman"/>
          <w:sz w:val="24"/>
          <w:szCs w:val="24"/>
        </w:rPr>
        <w:t xml:space="preserve">Not as part of its primary proposal.  </w:t>
      </w:r>
      <w:r w:rsidR="00C61CFF">
        <w:rPr>
          <w:rFonts w:ascii="Times New Roman" w:hAnsi="Times New Roman" w:cs="Times New Roman"/>
          <w:sz w:val="24"/>
          <w:szCs w:val="24"/>
        </w:rPr>
        <w:t>S</w:t>
      </w:r>
      <w:r w:rsidR="004014AB">
        <w:rPr>
          <w:rFonts w:ascii="Times New Roman" w:hAnsi="Times New Roman" w:cs="Times New Roman"/>
          <w:sz w:val="24"/>
          <w:szCs w:val="24"/>
        </w:rPr>
        <w:t xml:space="preserve">taff believes its proposed rate design will </w:t>
      </w:r>
      <w:r w:rsidR="009C041F">
        <w:rPr>
          <w:rFonts w:ascii="Times New Roman" w:hAnsi="Times New Roman" w:cs="Times New Roman"/>
          <w:sz w:val="24"/>
          <w:szCs w:val="24"/>
        </w:rPr>
        <w:t>allow the Company to continue to address the needs of its low-income consumers through its exi</w:t>
      </w:r>
      <w:r w:rsidR="001C06FD">
        <w:rPr>
          <w:rFonts w:ascii="Times New Roman" w:hAnsi="Times New Roman" w:cs="Times New Roman"/>
          <w:sz w:val="24"/>
          <w:szCs w:val="24"/>
        </w:rPr>
        <w:t>s</w:t>
      </w:r>
      <w:r w:rsidR="009C041F">
        <w:rPr>
          <w:rFonts w:ascii="Times New Roman" w:hAnsi="Times New Roman" w:cs="Times New Roman"/>
          <w:sz w:val="24"/>
          <w:szCs w:val="24"/>
        </w:rPr>
        <w:t>ting program</w:t>
      </w:r>
      <w:r w:rsidR="00FA67D3">
        <w:rPr>
          <w:rFonts w:ascii="Times New Roman" w:hAnsi="Times New Roman" w:cs="Times New Roman"/>
          <w:sz w:val="24"/>
          <w:szCs w:val="24"/>
        </w:rPr>
        <w:t>, and that</w:t>
      </w:r>
      <w:r w:rsidR="00611AF6">
        <w:rPr>
          <w:rFonts w:ascii="Times New Roman" w:hAnsi="Times New Roman" w:cs="Times New Roman"/>
          <w:sz w:val="24"/>
          <w:szCs w:val="24"/>
        </w:rPr>
        <w:t xml:space="preserve"> there is no need for additional rates specifically </w:t>
      </w:r>
      <w:r w:rsidR="00611AF6">
        <w:rPr>
          <w:rFonts w:ascii="Times New Roman" w:hAnsi="Times New Roman" w:cs="Times New Roman"/>
          <w:sz w:val="24"/>
          <w:szCs w:val="24"/>
        </w:rPr>
        <w:lastRenderedPageBreak/>
        <w:t>targeted at low-income customers at this time</w:t>
      </w:r>
      <w:r w:rsidR="004014AB">
        <w:rPr>
          <w:rFonts w:ascii="Times New Roman" w:hAnsi="Times New Roman" w:cs="Times New Roman"/>
          <w:sz w:val="24"/>
          <w:szCs w:val="24"/>
        </w:rPr>
        <w:t>.  As I noted before, Staff’s proposed rate design would create a monthly bill decrease for all custom</w:t>
      </w:r>
      <w:r w:rsidR="001C06FD">
        <w:rPr>
          <w:rFonts w:ascii="Times New Roman" w:hAnsi="Times New Roman" w:cs="Times New Roman"/>
          <w:sz w:val="24"/>
          <w:szCs w:val="24"/>
        </w:rPr>
        <w:t>ers whose usage falls between 85</w:t>
      </w:r>
      <w:r w:rsidR="004014AB">
        <w:rPr>
          <w:rFonts w:ascii="Times New Roman" w:hAnsi="Times New Roman" w:cs="Times New Roman"/>
          <w:sz w:val="24"/>
          <w:szCs w:val="24"/>
        </w:rPr>
        <w:t xml:space="preserve">0 and </w:t>
      </w:r>
      <w:r w:rsidR="001C06FD">
        <w:rPr>
          <w:rFonts w:ascii="Times New Roman" w:hAnsi="Times New Roman" w:cs="Times New Roman"/>
          <w:sz w:val="24"/>
          <w:szCs w:val="24"/>
        </w:rPr>
        <w:t>1</w:t>
      </w:r>
      <w:r w:rsidR="004014AB">
        <w:rPr>
          <w:rFonts w:ascii="Times New Roman" w:hAnsi="Times New Roman" w:cs="Times New Roman"/>
          <w:sz w:val="24"/>
          <w:szCs w:val="24"/>
        </w:rPr>
        <w:t>,</w:t>
      </w:r>
      <w:r w:rsidR="001C06FD">
        <w:rPr>
          <w:rFonts w:ascii="Times New Roman" w:hAnsi="Times New Roman" w:cs="Times New Roman"/>
          <w:sz w:val="24"/>
          <w:szCs w:val="24"/>
        </w:rPr>
        <w:t>9</w:t>
      </w:r>
      <w:r w:rsidR="004014AB">
        <w:rPr>
          <w:rFonts w:ascii="Times New Roman" w:hAnsi="Times New Roman" w:cs="Times New Roman"/>
          <w:sz w:val="24"/>
          <w:szCs w:val="24"/>
        </w:rPr>
        <w:t>00 kWh.  As seen in Exhibit No. __</w:t>
      </w:r>
      <w:proofErr w:type="gramStart"/>
      <w:r w:rsidR="004014AB">
        <w:rPr>
          <w:rFonts w:ascii="Times New Roman" w:hAnsi="Times New Roman" w:cs="Times New Roman"/>
          <w:sz w:val="24"/>
          <w:szCs w:val="24"/>
        </w:rPr>
        <w:t>_(</w:t>
      </w:r>
      <w:proofErr w:type="gramEnd"/>
      <w:r w:rsidR="004014AB">
        <w:rPr>
          <w:rFonts w:ascii="Times New Roman" w:hAnsi="Times New Roman" w:cs="Times New Roman"/>
          <w:sz w:val="24"/>
          <w:szCs w:val="24"/>
        </w:rPr>
        <w:t>JBT-</w:t>
      </w:r>
      <w:r w:rsidR="001C06FD">
        <w:rPr>
          <w:rFonts w:ascii="Times New Roman" w:hAnsi="Times New Roman" w:cs="Times New Roman"/>
          <w:sz w:val="24"/>
          <w:szCs w:val="24"/>
        </w:rPr>
        <w:t>5</w:t>
      </w:r>
      <w:r w:rsidR="004014AB">
        <w:rPr>
          <w:rFonts w:ascii="Times New Roman" w:hAnsi="Times New Roman" w:cs="Times New Roman"/>
          <w:sz w:val="24"/>
          <w:szCs w:val="24"/>
        </w:rPr>
        <w:t xml:space="preserve">), </w:t>
      </w:r>
      <w:r w:rsidR="001C06FD">
        <w:rPr>
          <w:rFonts w:ascii="Times New Roman" w:hAnsi="Times New Roman" w:cs="Times New Roman"/>
          <w:sz w:val="24"/>
          <w:szCs w:val="24"/>
        </w:rPr>
        <w:t>47</w:t>
      </w:r>
      <w:r w:rsidR="004014AB">
        <w:rPr>
          <w:rFonts w:ascii="Times New Roman" w:hAnsi="Times New Roman" w:cs="Times New Roman"/>
          <w:sz w:val="24"/>
          <w:szCs w:val="24"/>
        </w:rPr>
        <w:t xml:space="preserve"> percent of all low-income bills fell within this range during the </w:t>
      </w:r>
      <w:r w:rsidR="009D4C0B">
        <w:rPr>
          <w:rFonts w:ascii="Times New Roman" w:hAnsi="Times New Roman" w:cs="Times New Roman"/>
          <w:sz w:val="24"/>
          <w:szCs w:val="24"/>
        </w:rPr>
        <w:t>test period</w:t>
      </w:r>
      <w:r w:rsidR="004014AB">
        <w:rPr>
          <w:rFonts w:ascii="Times New Roman" w:hAnsi="Times New Roman" w:cs="Times New Roman"/>
          <w:sz w:val="24"/>
          <w:szCs w:val="24"/>
        </w:rPr>
        <w:t xml:space="preserve">.  </w:t>
      </w:r>
      <w:r w:rsidR="000A4A8B">
        <w:rPr>
          <w:rFonts w:ascii="Times New Roman" w:hAnsi="Times New Roman" w:cs="Times New Roman"/>
          <w:sz w:val="24"/>
          <w:szCs w:val="24"/>
        </w:rPr>
        <w:t xml:space="preserve">Staff’s proposal would allow </w:t>
      </w:r>
      <w:r w:rsidR="004014AB">
        <w:rPr>
          <w:rFonts w:ascii="Times New Roman" w:hAnsi="Times New Roman" w:cs="Times New Roman"/>
          <w:sz w:val="24"/>
          <w:szCs w:val="24"/>
        </w:rPr>
        <w:t xml:space="preserve">the Company </w:t>
      </w:r>
      <w:r w:rsidR="000A4A8B">
        <w:rPr>
          <w:rFonts w:ascii="Times New Roman" w:hAnsi="Times New Roman" w:cs="Times New Roman"/>
          <w:sz w:val="24"/>
          <w:szCs w:val="24"/>
        </w:rPr>
        <w:t xml:space="preserve">to </w:t>
      </w:r>
      <w:r w:rsidR="004014AB">
        <w:rPr>
          <w:rFonts w:ascii="Times New Roman" w:hAnsi="Times New Roman" w:cs="Times New Roman"/>
          <w:sz w:val="24"/>
          <w:szCs w:val="24"/>
        </w:rPr>
        <w:t>continue to operate its low-income progra</w:t>
      </w:r>
      <w:r w:rsidR="00C61CFF">
        <w:rPr>
          <w:rFonts w:ascii="Times New Roman" w:hAnsi="Times New Roman" w:cs="Times New Roman"/>
          <w:sz w:val="24"/>
          <w:szCs w:val="24"/>
        </w:rPr>
        <w:t xml:space="preserve">m as a credit against all usage above a certain level during winter months, </w:t>
      </w:r>
      <w:r w:rsidR="000A4A8B">
        <w:rPr>
          <w:rFonts w:ascii="Times New Roman" w:hAnsi="Times New Roman" w:cs="Times New Roman"/>
          <w:sz w:val="24"/>
          <w:szCs w:val="24"/>
        </w:rPr>
        <w:t>though Staff recommends that the Company and its implementing partners re-evaluate where that level is set based on the outcome of this case.</w:t>
      </w:r>
      <w:r w:rsidR="00C61CFF">
        <w:rPr>
          <w:rFonts w:ascii="Times New Roman" w:hAnsi="Times New Roman" w:cs="Times New Roman"/>
          <w:sz w:val="24"/>
          <w:szCs w:val="24"/>
        </w:rPr>
        <w:t xml:space="preserve">  </w:t>
      </w:r>
    </w:p>
    <w:p w14:paraId="77CC9C8F" w14:textId="23175FCB" w:rsidR="00F76EC7" w:rsidRDefault="00C21822" w:rsidP="000A4A8B">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0A4A8B">
        <w:rPr>
          <w:rFonts w:ascii="Times New Roman" w:hAnsi="Times New Roman" w:cs="Times New Roman"/>
          <w:sz w:val="24"/>
          <w:szCs w:val="24"/>
        </w:rPr>
        <w:t xml:space="preserve">However, Staff recognizes the potential benefits associated with the Company’s proposal to impose a smaller basic charge for low-income customers, and has prepared an alternate </w:t>
      </w:r>
      <w:r w:rsidR="000802F4">
        <w:rPr>
          <w:rFonts w:ascii="Times New Roman" w:hAnsi="Times New Roman" w:cs="Times New Roman"/>
          <w:sz w:val="24"/>
          <w:szCs w:val="24"/>
        </w:rPr>
        <w:t>recommendation</w:t>
      </w:r>
      <w:r w:rsidR="000A4A8B">
        <w:rPr>
          <w:rFonts w:ascii="Times New Roman" w:hAnsi="Times New Roman" w:cs="Times New Roman"/>
          <w:sz w:val="24"/>
          <w:szCs w:val="24"/>
        </w:rPr>
        <w:t xml:space="preserve"> based on that proposal.  </w:t>
      </w:r>
      <w:r w:rsidR="001B1F41">
        <w:rPr>
          <w:rFonts w:ascii="Times New Roman" w:hAnsi="Times New Roman" w:cs="Times New Roman"/>
          <w:sz w:val="24"/>
          <w:szCs w:val="24"/>
        </w:rPr>
        <w:t xml:space="preserve">I provide a side-by-side comparison </w:t>
      </w:r>
      <w:r w:rsidR="00D31DB6">
        <w:rPr>
          <w:rFonts w:ascii="Times New Roman" w:hAnsi="Times New Roman" w:cs="Times New Roman"/>
          <w:sz w:val="24"/>
          <w:szCs w:val="24"/>
        </w:rPr>
        <w:t xml:space="preserve">of </w:t>
      </w:r>
      <w:r w:rsidR="00611AF6">
        <w:rPr>
          <w:rFonts w:ascii="Times New Roman" w:hAnsi="Times New Roman" w:cs="Times New Roman"/>
          <w:sz w:val="24"/>
          <w:szCs w:val="24"/>
        </w:rPr>
        <w:t>this</w:t>
      </w:r>
      <w:r w:rsidR="001B1F41">
        <w:rPr>
          <w:rFonts w:ascii="Times New Roman" w:hAnsi="Times New Roman" w:cs="Times New Roman"/>
          <w:sz w:val="24"/>
          <w:szCs w:val="24"/>
        </w:rPr>
        <w:t xml:space="preserve"> alternate recommendation, Staff’s primary recommendation, the Company’s recommendation and the current rates in Exhibit No. __</w:t>
      </w:r>
      <w:proofErr w:type="gramStart"/>
      <w:r w:rsidR="001B1F41">
        <w:rPr>
          <w:rFonts w:ascii="Times New Roman" w:hAnsi="Times New Roman" w:cs="Times New Roman"/>
          <w:sz w:val="24"/>
          <w:szCs w:val="24"/>
        </w:rPr>
        <w:t>_(</w:t>
      </w:r>
      <w:proofErr w:type="gramEnd"/>
      <w:r w:rsidR="001B1F41">
        <w:rPr>
          <w:rFonts w:ascii="Times New Roman" w:hAnsi="Times New Roman" w:cs="Times New Roman"/>
          <w:sz w:val="24"/>
          <w:szCs w:val="24"/>
        </w:rPr>
        <w:t>JBT-</w:t>
      </w:r>
      <w:r w:rsidR="00102F83">
        <w:rPr>
          <w:rFonts w:ascii="Times New Roman" w:hAnsi="Times New Roman" w:cs="Times New Roman"/>
          <w:sz w:val="24"/>
          <w:szCs w:val="24"/>
        </w:rPr>
        <w:t>4</w:t>
      </w:r>
      <w:r w:rsidR="001B1F41">
        <w:rPr>
          <w:rFonts w:ascii="Times New Roman" w:hAnsi="Times New Roman" w:cs="Times New Roman"/>
          <w:sz w:val="24"/>
          <w:szCs w:val="24"/>
        </w:rPr>
        <w:t xml:space="preserve">).  </w:t>
      </w:r>
      <w:r w:rsidR="000A4A8B">
        <w:rPr>
          <w:rFonts w:ascii="Times New Roman" w:hAnsi="Times New Roman" w:cs="Times New Roman"/>
          <w:sz w:val="24"/>
          <w:szCs w:val="24"/>
        </w:rPr>
        <w:t>Under staff’s alternate recommendation, the basic charge for low-income customers on Schedul</w:t>
      </w:r>
      <w:r w:rsidR="00102F83">
        <w:rPr>
          <w:rFonts w:ascii="Times New Roman" w:hAnsi="Times New Roman" w:cs="Times New Roman"/>
          <w:sz w:val="24"/>
          <w:szCs w:val="24"/>
        </w:rPr>
        <w:t>e 17 would only increase to $8.5</w:t>
      </w:r>
      <w:r w:rsidR="000A4A8B">
        <w:rPr>
          <w:rFonts w:ascii="Times New Roman" w:hAnsi="Times New Roman" w:cs="Times New Roman"/>
          <w:sz w:val="24"/>
          <w:szCs w:val="24"/>
        </w:rPr>
        <w:t>5</w:t>
      </w:r>
      <w:proofErr w:type="gramStart"/>
      <w:r w:rsidR="001B1F41">
        <w:rPr>
          <w:rFonts w:ascii="Times New Roman" w:hAnsi="Times New Roman" w:cs="Times New Roman"/>
          <w:sz w:val="24"/>
          <w:szCs w:val="24"/>
        </w:rPr>
        <w:t xml:space="preserve">; </w:t>
      </w:r>
      <w:r w:rsidR="000A4A8B">
        <w:rPr>
          <w:rFonts w:ascii="Times New Roman" w:hAnsi="Times New Roman" w:cs="Times New Roman"/>
          <w:sz w:val="24"/>
          <w:szCs w:val="24"/>
        </w:rPr>
        <w:t xml:space="preserve"> that</w:t>
      </w:r>
      <w:proofErr w:type="gramEnd"/>
      <w:r w:rsidR="000A4A8B">
        <w:rPr>
          <w:rFonts w:ascii="Times New Roman" w:hAnsi="Times New Roman" w:cs="Times New Roman"/>
          <w:sz w:val="24"/>
          <w:szCs w:val="24"/>
        </w:rPr>
        <w:t xml:space="preserve"> smaller basic charge </w:t>
      </w:r>
      <w:r w:rsidR="001B1F41">
        <w:rPr>
          <w:rFonts w:ascii="Times New Roman" w:hAnsi="Times New Roman" w:cs="Times New Roman"/>
          <w:sz w:val="24"/>
          <w:szCs w:val="24"/>
        </w:rPr>
        <w:t>would be offset by an increase of the</w:t>
      </w:r>
      <w:r w:rsidR="000A4A8B">
        <w:rPr>
          <w:rFonts w:ascii="Times New Roman" w:hAnsi="Times New Roman" w:cs="Times New Roman"/>
          <w:sz w:val="24"/>
          <w:szCs w:val="24"/>
        </w:rPr>
        <w:t xml:space="preserve"> basic charge for all other</w:t>
      </w:r>
      <w:r w:rsidR="00102F83">
        <w:rPr>
          <w:rFonts w:ascii="Times New Roman" w:hAnsi="Times New Roman" w:cs="Times New Roman"/>
          <w:sz w:val="24"/>
          <w:szCs w:val="24"/>
        </w:rPr>
        <w:t xml:space="preserve"> residential customers to $13.20</w:t>
      </w:r>
      <w:r w:rsidR="000A4A8B">
        <w:rPr>
          <w:rFonts w:ascii="Times New Roman" w:hAnsi="Times New Roman" w:cs="Times New Roman"/>
          <w:sz w:val="24"/>
          <w:szCs w:val="24"/>
        </w:rPr>
        <w:t xml:space="preserve"> per month (an </w:t>
      </w:r>
      <w:r w:rsidR="001B1F41">
        <w:rPr>
          <w:rFonts w:ascii="Times New Roman" w:hAnsi="Times New Roman" w:cs="Times New Roman"/>
          <w:sz w:val="24"/>
          <w:szCs w:val="24"/>
        </w:rPr>
        <w:t xml:space="preserve">incremental </w:t>
      </w:r>
      <w:r w:rsidR="00FA67D3">
        <w:rPr>
          <w:rFonts w:ascii="Times New Roman" w:hAnsi="Times New Roman" w:cs="Times New Roman"/>
          <w:sz w:val="24"/>
          <w:szCs w:val="24"/>
        </w:rPr>
        <w:t>increase of $0.20</w:t>
      </w:r>
      <w:r w:rsidR="000A4A8B">
        <w:rPr>
          <w:rFonts w:ascii="Times New Roman" w:hAnsi="Times New Roman" w:cs="Times New Roman"/>
          <w:sz w:val="24"/>
          <w:szCs w:val="24"/>
        </w:rPr>
        <w:t xml:space="preserve"> per month</w:t>
      </w:r>
      <w:r w:rsidR="000802F4">
        <w:rPr>
          <w:rFonts w:ascii="Times New Roman" w:hAnsi="Times New Roman" w:cs="Times New Roman"/>
          <w:sz w:val="24"/>
          <w:szCs w:val="24"/>
        </w:rPr>
        <w:t>,</w:t>
      </w:r>
      <w:r w:rsidR="000A4A8B">
        <w:rPr>
          <w:rFonts w:ascii="Times New Roman" w:hAnsi="Times New Roman" w:cs="Times New Roman"/>
          <w:sz w:val="24"/>
          <w:szCs w:val="24"/>
        </w:rPr>
        <w:t xml:space="preserve"> or </w:t>
      </w:r>
      <w:r w:rsidR="00FA67D3">
        <w:rPr>
          <w:rFonts w:ascii="Times New Roman" w:hAnsi="Times New Roman" w:cs="Times New Roman"/>
          <w:sz w:val="24"/>
          <w:szCs w:val="24"/>
        </w:rPr>
        <w:t>$2.40</w:t>
      </w:r>
      <w:r w:rsidR="000A4A8B">
        <w:rPr>
          <w:rFonts w:ascii="Times New Roman" w:hAnsi="Times New Roman" w:cs="Times New Roman"/>
          <w:sz w:val="24"/>
          <w:szCs w:val="24"/>
        </w:rPr>
        <w:t xml:space="preserve"> per year).  The size and pricing of the volumetric blocks would be the same as in Staff’s original proposal.  If implemented by the Commission, this alternate proposal would create a year-round benefit for low</w:t>
      </w:r>
      <w:r w:rsidR="00FA67D3">
        <w:rPr>
          <w:rFonts w:ascii="Times New Roman" w:hAnsi="Times New Roman" w:cs="Times New Roman"/>
          <w:sz w:val="24"/>
          <w:szCs w:val="24"/>
        </w:rPr>
        <w:t>-income customers equal to $4.</w:t>
      </w:r>
      <w:r w:rsidR="00102F83">
        <w:rPr>
          <w:rFonts w:ascii="Times New Roman" w:hAnsi="Times New Roman" w:cs="Times New Roman"/>
          <w:sz w:val="24"/>
          <w:szCs w:val="24"/>
        </w:rPr>
        <w:t>45</w:t>
      </w:r>
      <w:r w:rsidR="000A4A8B">
        <w:rPr>
          <w:rFonts w:ascii="Times New Roman" w:hAnsi="Times New Roman" w:cs="Times New Roman"/>
          <w:sz w:val="24"/>
          <w:szCs w:val="24"/>
        </w:rPr>
        <w:t xml:space="preserve"> per mont</w:t>
      </w:r>
      <w:r w:rsidR="00102F83">
        <w:rPr>
          <w:rFonts w:ascii="Times New Roman" w:hAnsi="Times New Roman" w:cs="Times New Roman"/>
          <w:sz w:val="24"/>
          <w:szCs w:val="24"/>
        </w:rPr>
        <w:t>h, or $53.40</w:t>
      </w:r>
      <w:r w:rsidR="000A4A8B">
        <w:rPr>
          <w:rFonts w:ascii="Times New Roman" w:hAnsi="Times New Roman" w:cs="Times New Roman"/>
          <w:sz w:val="24"/>
          <w:szCs w:val="24"/>
        </w:rPr>
        <w:t xml:space="preserve"> per year.  As Pacific Power’s current low-income assistance program is only in effect during the winter months, this proposal would increase the </w:t>
      </w:r>
      <w:r w:rsidR="000A4A8B">
        <w:rPr>
          <w:rFonts w:ascii="Times New Roman" w:hAnsi="Times New Roman" w:cs="Times New Roman"/>
          <w:sz w:val="24"/>
          <w:szCs w:val="24"/>
        </w:rPr>
        <w:lastRenderedPageBreak/>
        <w:t>program’s reach without additional overhead expense and with minimal shifting of costs to other residential customers.</w:t>
      </w:r>
    </w:p>
    <w:p w14:paraId="2CE83DEB" w14:textId="77777777" w:rsidR="007174B2" w:rsidRDefault="007174B2" w:rsidP="000A4A8B">
      <w:pPr>
        <w:spacing w:line="480" w:lineRule="auto"/>
        <w:ind w:left="720"/>
        <w:contextualSpacing/>
        <w:rPr>
          <w:rFonts w:ascii="Times New Roman" w:hAnsi="Times New Roman" w:cs="Times New Roman"/>
          <w:sz w:val="24"/>
          <w:szCs w:val="24"/>
        </w:rPr>
      </w:pPr>
    </w:p>
    <w:p w14:paraId="48B48B45" w14:textId="637C245F" w:rsidR="007174B2" w:rsidRPr="00293F51" w:rsidRDefault="007174B2" w:rsidP="007174B2">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Please summarize Staff’s proposed rates for non-residential customers.</w:t>
      </w:r>
    </w:p>
    <w:p w14:paraId="69594D34" w14:textId="0E2C0A61" w:rsidR="007174B2" w:rsidRDefault="007174B2" w:rsidP="007174B2">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 xml:space="preserve">Staff’s proposal would impose no increase on the three customer classes that are already paying well above their cost of service: Small General Service, Agricultural Pumping Service, and Street Lighting.  </w:t>
      </w:r>
    </w:p>
    <w:p w14:paraId="514FB227" w14:textId="1636F9A8" w:rsidR="007174B2" w:rsidRDefault="00C21822" w:rsidP="007174B2">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7174B2">
        <w:rPr>
          <w:rFonts w:ascii="Times New Roman" w:hAnsi="Times New Roman" w:cs="Times New Roman"/>
          <w:sz w:val="24"/>
          <w:szCs w:val="24"/>
        </w:rPr>
        <w:t xml:space="preserve">The three other non-residential classes – Dedicated Facilities and the two Large General Service classes – would receive increases varying between </w:t>
      </w:r>
      <w:r w:rsidR="00102F83">
        <w:rPr>
          <w:rFonts w:ascii="Times New Roman" w:hAnsi="Times New Roman" w:cs="Times New Roman"/>
          <w:sz w:val="24"/>
          <w:szCs w:val="24"/>
        </w:rPr>
        <w:t>1.7</w:t>
      </w:r>
      <w:r w:rsidR="007174B2">
        <w:rPr>
          <w:rFonts w:ascii="Times New Roman" w:hAnsi="Times New Roman" w:cs="Times New Roman"/>
          <w:sz w:val="24"/>
          <w:szCs w:val="24"/>
        </w:rPr>
        <w:t xml:space="preserve"> percent and </w:t>
      </w:r>
      <w:r w:rsidR="00102F83">
        <w:rPr>
          <w:rFonts w:ascii="Times New Roman" w:hAnsi="Times New Roman" w:cs="Times New Roman"/>
          <w:sz w:val="24"/>
          <w:szCs w:val="24"/>
        </w:rPr>
        <w:t>3.</w:t>
      </w:r>
      <w:r w:rsidR="00166CC7">
        <w:rPr>
          <w:rFonts w:ascii="Times New Roman" w:hAnsi="Times New Roman" w:cs="Times New Roman"/>
          <w:sz w:val="24"/>
          <w:szCs w:val="24"/>
        </w:rPr>
        <w:t>62</w:t>
      </w:r>
      <w:r w:rsidR="007174B2">
        <w:rPr>
          <w:rFonts w:ascii="Times New Roman" w:hAnsi="Times New Roman" w:cs="Times New Roman"/>
          <w:sz w:val="24"/>
          <w:szCs w:val="24"/>
        </w:rPr>
        <w:t xml:space="preserve"> percent.  For these classes, Staff has allocated the increase evenly across the </w:t>
      </w:r>
      <w:r w:rsidR="000802F4">
        <w:rPr>
          <w:rFonts w:ascii="Times New Roman" w:hAnsi="Times New Roman" w:cs="Times New Roman"/>
          <w:sz w:val="24"/>
          <w:szCs w:val="24"/>
        </w:rPr>
        <w:t xml:space="preserve">usage-based </w:t>
      </w:r>
      <w:r w:rsidR="007174B2">
        <w:rPr>
          <w:rFonts w:ascii="Times New Roman" w:hAnsi="Times New Roman" w:cs="Times New Roman"/>
          <w:sz w:val="24"/>
          <w:szCs w:val="24"/>
        </w:rPr>
        <w:t xml:space="preserve">rates within the class, except for </w:t>
      </w:r>
      <w:r w:rsidR="00102F83">
        <w:rPr>
          <w:rFonts w:ascii="Times New Roman" w:hAnsi="Times New Roman" w:cs="Times New Roman"/>
          <w:sz w:val="24"/>
          <w:szCs w:val="24"/>
        </w:rPr>
        <w:t>the basic charge for the Dedicated Facilities class</w:t>
      </w:r>
      <w:r w:rsidR="007174B2">
        <w:rPr>
          <w:rFonts w:ascii="Times New Roman" w:hAnsi="Times New Roman" w:cs="Times New Roman"/>
          <w:sz w:val="24"/>
          <w:szCs w:val="24"/>
        </w:rPr>
        <w:t xml:space="preserve">.  Aside from the different rates arising from Staff’s lower revenue requirement and cost-of-service study adjustments, Staff has made no significant adjustments to the Company’s proposed rates for these classes.  I summarize </w:t>
      </w:r>
      <w:r w:rsidR="00D31DB6">
        <w:rPr>
          <w:rFonts w:ascii="Times New Roman" w:hAnsi="Times New Roman" w:cs="Times New Roman"/>
          <w:sz w:val="24"/>
          <w:szCs w:val="24"/>
        </w:rPr>
        <w:t>S</w:t>
      </w:r>
      <w:r w:rsidR="007174B2">
        <w:rPr>
          <w:rFonts w:ascii="Times New Roman" w:hAnsi="Times New Roman" w:cs="Times New Roman"/>
          <w:sz w:val="24"/>
          <w:szCs w:val="24"/>
        </w:rPr>
        <w:t>taff’s proposed rates for all custome</w:t>
      </w:r>
      <w:r w:rsidR="00102F83">
        <w:rPr>
          <w:rFonts w:ascii="Times New Roman" w:hAnsi="Times New Roman" w:cs="Times New Roman"/>
          <w:sz w:val="24"/>
          <w:szCs w:val="24"/>
        </w:rPr>
        <w:t>r classes in Exhibit No.</w:t>
      </w:r>
      <w:r w:rsidR="000802F4">
        <w:rPr>
          <w:rFonts w:ascii="Times New Roman" w:hAnsi="Times New Roman" w:cs="Times New Roman"/>
          <w:sz w:val="24"/>
          <w:szCs w:val="24"/>
        </w:rPr>
        <w:t xml:space="preserve"> </w:t>
      </w:r>
      <w:r w:rsidR="00102F83">
        <w:rPr>
          <w:rFonts w:ascii="Times New Roman" w:hAnsi="Times New Roman" w:cs="Times New Roman"/>
          <w:sz w:val="24"/>
          <w:szCs w:val="24"/>
        </w:rPr>
        <w:t>__</w:t>
      </w:r>
      <w:proofErr w:type="gramStart"/>
      <w:r w:rsidR="00102F83">
        <w:rPr>
          <w:rFonts w:ascii="Times New Roman" w:hAnsi="Times New Roman" w:cs="Times New Roman"/>
          <w:sz w:val="24"/>
          <w:szCs w:val="24"/>
        </w:rPr>
        <w:t>_(</w:t>
      </w:r>
      <w:proofErr w:type="gramEnd"/>
      <w:r w:rsidR="00102F83">
        <w:rPr>
          <w:rFonts w:ascii="Times New Roman" w:hAnsi="Times New Roman" w:cs="Times New Roman"/>
          <w:sz w:val="24"/>
          <w:szCs w:val="24"/>
        </w:rPr>
        <w:t>JBT-4</w:t>
      </w:r>
      <w:r w:rsidR="007174B2">
        <w:rPr>
          <w:rFonts w:ascii="Times New Roman" w:hAnsi="Times New Roman" w:cs="Times New Roman"/>
          <w:sz w:val="24"/>
          <w:szCs w:val="24"/>
        </w:rPr>
        <w:t>).</w:t>
      </w:r>
    </w:p>
    <w:p w14:paraId="690D0946" w14:textId="77777777" w:rsidR="00CE243E" w:rsidRDefault="00CE243E" w:rsidP="00894354">
      <w:pPr>
        <w:spacing w:line="480" w:lineRule="auto"/>
        <w:ind w:left="720" w:hanging="720"/>
        <w:contextualSpacing/>
        <w:rPr>
          <w:rFonts w:ascii="Times New Roman" w:hAnsi="Times New Roman" w:cs="Times New Roman"/>
          <w:sz w:val="24"/>
          <w:szCs w:val="24"/>
        </w:rPr>
      </w:pPr>
    </w:p>
    <w:p w14:paraId="690D0948" w14:textId="77777777" w:rsidR="00894354" w:rsidRPr="00293F51" w:rsidRDefault="00894354" w:rsidP="00894354">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Did Pacific Power</w:t>
      </w:r>
      <w:r w:rsidR="009648D7">
        <w:rPr>
          <w:rFonts w:ascii="Times New Roman" w:hAnsi="Times New Roman" w:cs="Times New Roman"/>
          <w:b/>
          <w:sz w:val="24"/>
          <w:szCs w:val="24"/>
        </w:rPr>
        <w:t xml:space="preserve"> raise any other issues in its proposed rate design?</w:t>
      </w:r>
      <w:r>
        <w:rPr>
          <w:rFonts w:ascii="Times New Roman" w:hAnsi="Times New Roman" w:cs="Times New Roman"/>
          <w:b/>
          <w:sz w:val="24"/>
          <w:szCs w:val="24"/>
        </w:rPr>
        <w:t xml:space="preserve"> </w:t>
      </w:r>
    </w:p>
    <w:p w14:paraId="690D0949" w14:textId="77777777" w:rsidR="001B1CC7" w:rsidRDefault="00894354" w:rsidP="00894354">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9648D7">
        <w:rPr>
          <w:rFonts w:ascii="Times New Roman" w:hAnsi="Times New Roman" w:cs="Times New Roman"/>
          <w:sz w:val="24"/>
          <w:szCs w:val="24"/>
        </w:rPr>
        <w:t xml:space="preserve">Yes.  The Company </w:t>
      </w:r>
      <w:r w:rsidR="001B1CC7">
        <w:rPr>
          <w:rFonts w:ascii="Times New Roman" w:hAnsi="Times New Roman" w:cs="Times New Roman"/>
          <w:sz w:val="24"/>
          <w:szCs w:val="24"/>
        </w:rPr>
        <w:t>indicated that it intends to propose a different rate structure for residential customers with distributed generation (DG) in its next general rate case filing, and provided a brief outline of the proposal</w:t>
      </w:r>
      <w:r w:rsidR="009648D7">
        <w:rPr>
          <w:rFonts w:ascii="Times New Roman" w:hAnsi="Times New Roman" w:cs="Times New Roman"/>
          <w:sz w:val="24"/>
          <w:szCs w:val="24"/>
        </w:rPr>
        <w:t>.</w:t>
      </w:r>
    </w:p>
    <w:p w14:paraId="690D094A" w14:textId="77777777" w:rsidR="001B1CC7" w:rsidRDefault="001B1CC7" w:rsidP="00894354">
      <w:pPr>
        <w:spacing w:line="480" w:lineRule="auto"/>
        <w:ind w:left="720" w:hanging="720"/>
        <w:contextualSpacing/>
        <w:rPr>
          <w:rFonts w:ascii="Times New Roman" w:hAnsi="Times New Roman" w:cs="Times New Roman"/>
          <w:sz w:val="24"/>
          <w:szCs w:val="24"/>
        </w:rPr>
      </w:pPr>
    </w:p>
    <w:p w14:paraId="690D094B" w14:textId="77777777" w:rsidR="001B1CC7" w:rsidRPr="00293F51" w:rsidRDefault="001B1CC7" w:rsidP="001B1CC7">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Please summarize Pacific Power’s </w:t>
      </w:r>
      <w:r w:rsidR="0017420F">
        <w:rPr>
          <w:rFonts w:ascii="Times New Roman" w:hAnsi="Times New Roman" w:cs="Times New Roman"/>
          <w:b/>
          <w:sz w:val="24"/>
          <w:szCs w:val="24"/>
        </w:rPr>
        <w:t>anticipated</w:t>
      </w:r>
      <w:r>
        <w:rPr>
          <w:rFonts w:ascii="Times New Roman" w:hAnsi="Times New Roman" w:cs="Times New Roman"/>
          <w:b/>
          <w:sz w:val="24"/>
          <w:szCs w:val="24"/>
        </w:rPr>
        <w:t xml:space="preserve"> rate design </w:t>
      </w:r>
      <w:r w:rsidR="0017420F">
        <w:rPr>
          <w:rFonts w:ascii="Times New Roman" w:hAnsi="Times New Roman" w:cs="Times New Roman"/>
          <w:b/>
          <w:sz w:val="24"/>
          <w:szCs w:val="24"/>
        </w:rPr>
        <w:t>proposal</w:t>
      </w:r>
      <w:r>
        <w:rPr>
          <w:rFonts w:ascii="Times New Roman" w:hAnsi="Times New Roman" w:cs="Times New Roman"/>
          <w:b/>
          <w:sz w:val="24"/>
          <w:szCs w:val="24"/>
        </w:rPr>
        <w:t xml:space="preserve"> for residential DG customers.</w:t>
      </w:r>
    </w:p>
    <w:p w14:paraId="690D094C" w14:textId="77777777" w:rsidR="001B1CC7" w:rsidRDefault="001B1CC7" w:rsidP="001B1CC7">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lastRenderedPageBreak/>
        <w:t>A</w:t>
      </w:r>
      <w:r>
        <w:rPr>
          <w:rFonts w:ascii="Times New Roman" w:hAnsi="Times New Roman" w:cs="Times New Roman"/>
          <w:sz w:val="24"/>
          <w:szCs w:val="24"/>
        </w:rPr>
        <w:t xml:space="preserve">.  </w:t>
      </w:r>
      <w:r>
        <w:rPr>
          <w:rFonts w:ascii="Times New Roman" w:hAnsi="Times New Roman" w:cs="Times New Roman"/>
          <w:sz w:val="24"/>
          <w:szCs w:val="24"/>
        </w:rPr>
        <w:tab/>
        <w:t>The Company indicated that it expects to propose a three-part rate design for residential DG customers, similar to the rate design for commercial and industrial customers.</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A three-part rate design includes the basic charge and volumetric usage charge that residential customers already pay, but adds a demand charge that assesses an additional fee based on the customer’s peak usage during the billing cycle.</w:t>
      </w:r>
    </w:p>
    <w:p w14:paraId="690D094D" w14:textId="77777777" w:rsidR="00894354" w:rsidRDefault="009648D7" w:rsidP="00894354">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90D094E" w14:textId="77777777" w:rsidR="001B1CC7" w:rsidRPr="00293F51" w:rsidRDefault="001B1CC7" w:rsidP="001B1CC7">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sidR="00152914">
        <w:rPr>
          <w:rFonts w:ascii="Times New Roman" w:hAnsi="Times New Roman" w:cs="Times New Roman"/>
          <w:b/>
          <w:sz w:val="24"/>
          <w:szCs w:val="24"/>
        </w:rPr>
        <w:t>What justification does the Company provide for this approach?</w:t>
      </w:r>
    </w:p>
    <w:p w14:paraId="690D094F" w14:textId="2E041258" w:rsidR="00F4407C" w:rsidRDefault="001B1CC7" w:rsidP="00F4407C">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17420F">
        <w:rPr>
          <w:rFonts w:ascii="Times New Roman" w:hAnsi="Times New Roman" w:cs="Times New Roman"/>
          <w:sz w:val="24"/>
          <w:szCs w:val="24"/>
        </w:rPr>
        <w:t xml:space="preserve">The Company states that imposing a demand charge on residential DG customers would </w:t>
      </w:r>
      <w:r w:rsidR="00F13C9C">
        <w:rPr>
          <w:rFonts w:ascii="Times New Roman" w:hAnsi="Times New Roman" w:cs="Times New Roman"/>
          <w:sz w:val="24"/>
          <w:szCs w:val="24"/>
        </w:rPr>
        <w:t>provide them with two important incentives</w:t>
      </w:r>
      <w:r w:rsidR="006D0D14">
        <w:rPr>
          <w:rFonts w:ascii="Times New Roman" w:hAnsi="Times New Roman" w:cs="Times New Roman"/>
          <w:sz w:val="24"/>
          <w:szCs w:val="24"/>
        </w:rPr>
        <w:t xml:space="preserve">: </w:t>
      </w:r>
      <w:r w:rsidR="00F13C9C">
        <w:rPr>
          <w:rFonts w:ascii="Times New Roman" w:hAnsi="Times New Roman" w:cs="Times New Roman"/>
          <w:sz w:val="24"/>
          <w:szCs w:val="24"/>
        </w:rPr>
        <w:t xml:space="preserve"> to “(1) avoid rapidly ramping up electricity purchases as distributed generation production wanes or is unavailable; and (2) reduce electricity purchases at peak times.”</w:t>
      </w:r>
      <w:r w:rsidR="00F4407C">
        <w:rPr>
          <w:rStyle w:val="FootnoteReference"/>
          <w:rFonts w:ascii="Times New Roman" w:hAnsi="Times New Roman" w:cs="Times New Roman"/>
          <w:sz w:val="24"/>
          <w:szCs w:val="24"/>
        </w:rPr>
        <w:footnoteReference w:id="41"/>
      </w:r>
      <w:r w:rsidR="00F13C9C">
        <w:rPr>
          <w:rFonts w:ascii="Times New Roman" w:hAnsi="Times New Roman" w:cs="Times New Roman"/>
          <w:sz w:val="24"/>
          <w:szCs w:val="24"/>
        </w:rPr>
        <w:t xml:space="preserve"> </w:t>
      </w:r>
      <w:r w:rsidR="0042038A">
        <w:rPr>
          <w:rFonts w:ascii="Times New Roman" w:hAnsi="Times New Roman" w:cs="Times New Roman"/>
          <w:sz w:val="24"/>
          <w:szCs w:val="24"/>
        </w:rPr>
        <w:t xml:space="preserve"> The Company’</w:t>
      </w:r>
      <w:r w:rsidR="00F4407C">
        <w:rPr>
          <w:rFonts w:ascii="Times New Roman" w:hAnsi="Times New Roman" w:cs="Times New Roman"/>
          <w:sz w:val="24"/>
          <w:szCs w:val="24"/>
        </w:rPr>
        <w:t xml:space="preserve">s arguments appear to rely on studies that have been done in other jurisdictions, which show that as solar DG penetration rates increase, utilities face a situation in which DG customers offset a large share of the utility’s load during the day while the sun is shining, but then require the utility to rapidly bring on resources in the late afternoon as solar production wanes and the utility must </w:t>
      </w:r>
      <w:r w:rsidR="00166CC7">
        <w:rPr>
          <w:rFonts w:ascii="Times New Roman" w:hAnsi="Times New Roman" w:cs="Times New Roman"/>
          <w:sz w:val="24"/>
          <w:szCs w:val="24"/>
        </w:rPr>
        <w:t xml:space="preserve">replace that lost power and ramp up to </w:t>
      </w:r>
      <w:r w:rsidR="00F4407C">
        <w:rPr>
          <w:rFonts w:ascii="Times New Roman" w:hAnsi="Times New Roman" w:cs="Times New Roman"/>
          <w:sz w:val="24"/>
          <w:szCs w:val="24"/>
        </w:rPr>
        <w:t>meet its daily peak, which occurs in the evening hours.</w:t>
      </w:r>
      <w:r w:rsidR="000453AA">
        <w:rPr>
          <w:rFonts w:ascii="Times New Roman" w:hAnsi="Times New Roman" w:cs="Times New Roman"/>
          <w:sz w:val="24"/>
          <w:szCs w:val="24"/>
        </w:rPr>
        <w:t xml:space="preserve"> </w:t>
      </w:r>
      <w:r w:rsidR="00F4407C">
        <w:rPr>
          <w:rFonts w:ascii="Times New Roman" w:hAnsi="Times New Roman" w:cs="Times New Roman"/>
          <w:sz w:val="24"/>
          <w:szCs w:val="24"/>
        </w:rPr>
        <w:t xml:space="preserve"> </w:t>
      </w:r>
      <w:proofErr w:type="gramStart"/>
      <w:r w:rsidR="00F4407C">
        <w:rPr>
          <w:rFonts w:ascii="Times New Roman" w:hAnsi="Times New Roman" w:cs="Times New Roman"/>
          <w:sz w:val="24"/>
          <w:szCs w:val="24"/>
        </w:rPr>
        <w:t>This load shape that has come to be widely known as “The Duck Curve</w:t>
      </w:r>
      <w:r w:rsidR="003F6167">
        <w:rPr>
          <w:rFonts w:ascii="Times New Roman" w:hAnsi="Times New Roman" w:cs="Times New Roman"/>
          <w:sz w:val="24"/>
          <w:szCs w:val="24"/>
        </w:rPr>
        <w:t>.</w:t>
      </w:r>
      <w:r w:rsidR="00F4407C">
        <w:rPr>
          <w:rFonts w:ascii="Times New Roman" w:hAnsi="Times New Roman" w:cs="Times New Roman"/>
          <w:sz w:val="24"/>
          <w:szCs w:val="24"/>
        </w:rPr>
        <w:t>”</w:t>
      </w:r>
      <w:proofErr w:type="gramEnd"/>
      <w:r w:rsidR="00F4407C">
        <w:rPr>
          <w:rStyle w:val="FootnoteReference"/>
          <w:rFonts w:ascii="Times New Roman" w:hAnsi="Times New Roman" w:cs="Times New Roman"/>
          <w:sz w:val="24"/>
          <w:szCs w:val="24"/>
        </w:rPr>
        <w:footnoteReference w:id="42"/>
      </w:r>
    </w:p>
    <w:p w14:paraId="690D0950" w14:textId="68CDBE66" w:rsidR="00F4407C" w:rsidRDefault="00F4407C" w:rsidP="00C21822">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C21822">
        <w:rPr>
          <w:rFonts w:ascii="Times New Roman" w:hAnsi="Times New Roman" w:cs="Times New Roman"/>
          <w:sz w:val="24"/>
          <w:szCs w:val="24"/>
        </w:rPr>
        <w:tab/>
      </w:r>
      <w:r>
        <w:rPr>
          <w:rFonts w:ascii="Times New Roman" w:hAnsi="Times New Roman" w:cs="Times New Roman"/>
          <w:sz w:val="24"/>
          <w:szCs w:val="24"/>
        </w:rPr>
        <w:t xml:space="preserve">The Company concludes that a demand charge would provide residential DG customers with a price signal that would incentivize them to </w:t>
      </w:r>
      <w:r w:rsidR="003F6167">
        <w:rPr>
          <w:rFonts w:ascii="Times New Roman" w:hAnsi="Times New Roman" w:cs="Times New Roman"/>
          <w:sz w:val="24"/>
          <w:szCs w:val="24"/>
        </w:rPr>
        <w:t xml:space="preserve">use less energy as their </w:t>
      </w:r>
      <w:r w:rsidR="003F6167">
        <w:rPr>
          <w:rFonts w:ascii="Times New Roman" w:hAnsi="Times New Roman" w:cs="Times New Roman"/>
          <w:sz w:val="24"/>
          <w:szCs w:val="24"/>
        </w:rPr>
        <w:lastRenderedPageBreak/>
        <w:t xml:space="preserve">solar production fades out, which would decrease the utility’s </w:t>
      </w:r>
      <w:r w:rsidR="00FA67D3">
        <w:rPr>
          <w:rFonts w:ascii="Times New Roman" w:hAnsi="Times New Roman" w:cs="Times New Roman"/>
          <w:sz w:val="24"/>
          <w:szCs w:val="24"/>
        </w:rPr>
        <w:t xml:space="preserve">daily </w:t>
      </w:r>
      <w:r w:rsidR="003F6167">
        <w:rPr>
          <w:rFonts w:ascii="Times New Roman" w:hAnsi="Times New Roman" w:cs="Times New Roman"/>
          <w:sz w:val="24"/>
          <w:szCs w:val="24"/>
        </w:rPr>
        <w:t>peak and the rate at which it would need to bring resources online to meet th</w:t>
      </w:r>
      <w:r w:rsidR="00FA67D3">
        <w:rPr>
          <w:rFonts w:ascii="Times New Roman" w:hAnsi="Times New Roman" w:cs="Times New Roman"/>
          <w:sz w:val="24"/>
          <w:szCs w:val="24"/>
        </w:rPr>
        <w:t>at</w:t>
      </w:r>
      <w:r w:rsidR="003F6167">
        <w:rPr>
          <w:rFonts w:ascii="Times New Roman" w:hAnsi="Times New Roman" w:cs="Times New Roman"/>
          <w:sz w:val="24"/>
          <w:szCs w:val="24"/>
        </w:rPr>
        <w:t xml:space="preserve"> peak.  </w:t>
      </w:r>
    </w:p>
    <w:p w14:paraId="690D0951" w14:textId="77777777" w:rsidR="003F6167" w:rsidRDefault="003F6167" w:rsidP="00F4407C">
      <w:pPr>
        <w:spacing w:line="480" w:lineRule="auto"/>
        <w:ind w:left="720" w:hanging="720"/>
        <w:contextualSpacing/>
        <w:rPr>
          <w:rFonts w:ascii="Times New Roman" w:hAnsi="Times New Roman" w:cs="Times New Roman"/>
          <w:sz w:val="24"/>
          <w:szCs w:val="24"/>
        </w:rPr>
      </w:pPr>
    </w:p>
    <w:p w14:paraId="690D0952" w14:textId="77777777" w:rsidR="003F6167" w:rsidRPr="00293F51" w:rsidRDefault="003F6167" w:rsidP="003F6167">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Please summarize Staff’s response to the Company’s anticipated DG rate proposal.</w:t>
      </w:r>
    </w:p>
    <w:p w14:paraId="690D0953" w14:textId="51AC7A17" w:rsidR="003F6167" w:rsidRDefault="003F6167" w:rsidP="003F6167">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FA67D3">
        <w:rPr>
          <w:rFonts w:ascii="Times New Roman" w:hAnsi="Times New Roman" w:cs="Times New Roman"/>
          <w:sz w:val="24"/>
          <w:szCs w:val="24"/>
        </w:rPr>
        <w:t>I</w:t>
      </w:r>
      <w:r w:rsidR="00087C76">
        <w:rPr>
          <w:rFonts w:ascii="Times New Roman" w:hAnsi="Times New Roman" w:cs="Times New Roman"/>
          <w:sz w:val="24"/>
          <w:szCs w:val="24"/>
        </w:rPr>
        <w:t xml:space="preserve">mposing a demand rate on residential DG customers would be inappropriate because it does not reflect the operations of Pacific Power’s WCA system, it would be unduly discriminatory, and Staff’s proposed rate spread would address many of the potential cost recovery issues associated with DG.  As a result, Staff </w:t>
      </w:r>
      <w:r>
        <w:rPr>
          <w:rFonts w:ascii="Times New Roman" w:hAnsi="Times New Roman" w:cs="Times New Roman"/>
          <w:sz w:val="24"/>
          <w:szCs w:val="24"/>
        </w:rPr>
        <w:t>recommends that the Commission indicate that such a proposal would not be acceptable</w:t>
      </w:r>
      <w:r w:rsidR="00087C76">
        <w:rPr>
          <w:rFonts w:ascii="Times New Roman" w:hAnsi="Times New Roman" w:cs="Times New Roman"/>
          <w:sz w:val="24"/>
          <w:szCs w:val="24"/>
        </w:rPr>
        <w:t xml:space="preserve"> and should not be included in the Company’s next general rate case.</w:t>
      </w:r>
    </w:p>
    <w:p w14:paraId="5EE0346F" w14:textId="300A1D72" w:rsidR="008D041A" w:rsidRDefault="00C21822" w:rsidP="003F6167">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8D041A">
        <w:rPr>
          <w:rFonts w:ascii="Times New Roman" w:hAnsi="Times New Roman" w:cs="Times New Roman"/>
          <w:sz w:val="24"/>
          <w:szCs w:val="24"/>
        </w:rPr>
        <w:tab/>
        <w:t>Staff also notes that distributed generation is the subject of ongoing Commission workshops.  This issue may be better addressed on an industry-wide basis, not as company specific.</w:t>
      </w:r>
    </w:p>
    <w:p w14:paraId="690D0954" w14:textId="77777777" w:rsidR="00087C76" w:rsidRDefault="00087C76" w:rsidP="003F6167">
      <w:pPr>
        <w:spacing w:line="480" w:lineRule="auto"/>
        <w:ind w:left="720" w:hanging="720"/>
        <w:contextualSpacing/>
        <w:rPr>
          <w:rFonts w:ascii="Times New Roman" w:hAnsi="Times New Roman" w:cs="Times New Roman"/>
          <w:sz w:val="24"/>
          <w:szCs w:val="24"/>
        </w:rPr>
      </w:pPr>
    </w:p>
    <w:p w14:paraId="690D0955" w14:textId="77777777" w:rsidR="00087C76" w:rsidRPr="00293F51" w:rsidRDefault="00087C76" w:rsidP="00087C76">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Please explain why the demand rate </w:t>
      </w:r>
      <w:r w:rsidR="00881E2C">
        <w:rPr>
          <w:rFonts w:ascii="Times New Roman" w:hAnsi="Times New Roman" w:cs="Times New Roman"/>
          <w:b/>
          <w:sz w:val="24"/>
          <w:szCs w:val="24"/>
        </w:rPr>
        <w:t xml:space="preserve">for residential DG customers </w:t>
      </w:r>
      <w:r>
        <w:rPr>
          <w:rFonts w:ascii="Times New Roman" w:hAnsi="Times New Roman" w:cs="Times New Roman"/>
          <w:b/>
          <w:sz w:val="24"/>
          <w:szCs w:val="24"/>
        </w:rPr>
        <w:t>would not reflect the operations of Pacific Power’s WCA system.</w:t>
      </w:r>
    </w:p>
    <w:p w14:paraId="690D0956" w14:textId="2FA6B2B9" w:rsidR="00881E2C" w:rsidRDefault="00087C76" w:rsidP="00087C76">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 xml:space="preserve">As I stated above, the Duck Curve and similar studies that have been done in other states represent the challenges that DG poses to an evening-peaking utility, which must rapidly add resources over a small window to replace declining solar output and meet the </w:t>
      </w:r>
      <w:r w:rsidR="00102F83">
        <w:rPr>
          <w:rFonts w:ascii="Times New Roman" w:hAnsi="Times New Roman" w:cs="Times New Roman"/>
          <w:sz w:val="24"/>
          <w:szCs w:val="24"/>
        </w:rPr>
        <w:t>daily</w:t>
      </w:r>
      <w:r>
        <w:rPr>
          <w:rFonts w:ascii="Times New Roman" w:hAnsi="Times New Roman" w:cs="Times New Roman"/>
          <w:sz w:val="24"/>
          <w:szCs w:val="24"/>
        </w:rPr>
        <w:t xml:space="preserve"> peak.  However, in the WCA, Pacific Power is generally not an evening-peaking utility, and is not </w:t>
      </w:r>
      <w:r w:rsidR="00881E2C">
        <w:rPr>
          <w:rFonts w:ascii="Times New Roman" w:hAnsi="Times New Roman" w:cs="Times New Roman"/>
          <w:sz w:val="24"/>
          <w:szCs w:val="24"/>
        </w:rPr>
        <w:t xml:space="preserve">as </w:t>
      </w:r>
      <w:r>
        <w:rPr>
          <w:rFonts w:ascii="Times New Roman" w:hAnsi="Times New Roman" w:cs="Times New Roman"/>
          <w:sz w:val="24"/>
          <w:szCs w:val="24"/>
        </w:rPr>
        <w:t xml:space="preserve">subject to the issues </w:t>
      </w:r>
      <w:r w:rsidR="00021DED">
        <w:rPr>
          <w:rFonts w:ascii="Times New Roman" w:hAnsi="Times New Roman" w:cs="Times New Roman"/>
          <w:sz w:val="24"/>
          <w:szCs w:val="24"/>
        </w:rPr>
        <w:t xml:space="preserve">represented in the Duck Curve.  </w:t>
      </w:r>
    </w:p>
    <w:p w14:paraId="690D0957" w14:textId="3E764C3A" w:rsidR="00881E2C" w:rsidRDefault="00C21822" w:rsidP="007E2398">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881E2C">
        <w:rPr>
          <w:rFonts w:ascii="Times New Roman" w:hAnsi="Times New Roman" w:cs="Times New Roman"/>
          <w:sz w:val="24"/>
          <w:szCs w:val="24"/>
        </w:rPr>
        <w:t xml:space="preserve">Exhibit </w:t>
      </w:r>
      <w:r w:rsidR="00102F83">
        <w:rPr>
          <w:rFonts w:ascii="Times New Roman" w:hAnsi="Times New Roman" w:cs="Times New Roman"/>
          <w:sz w:val="24"/>
          <w:szCs w:val="24"/>
        </w:rPr>
        <w:t>No.</w:t>
      </w:r>
      <w:r w:rsidR="000802F4">
        <w:rPr>
          <w:rFonts w:ascii="Times New Roman" w:hAnsi="Times New Roman" w:cs="Times New Roman"/>
          <w:sz w:val="24"/>
          <w:szCs w:val="24"/>
        </w:rPr>
        <w:t xml:space="preserve"> </w:t>
      </w:r>
      <w:r w:rsidR="00102F83">
        <w:rPr>
          <w:rFonts w:ascii="Times New Roman" w:hAnsi="Times New Roman" w:cs="Times New Roman"/>
          <w:sz w:val="24"/>
          <w:szCs w:val="24"/>
        </w:rPr>
        <w:t>___(JBT-6)</w:t>
      </w:r>
      <w:r w:rsidR="00881E2C">
        <w:rPr>
          <w:rFonts w:ascii="Times New Roman" w:hAnsi="Times New Roman" w:cs="Times New Roman"/>
          <w:sz w:val="24"/>
          <w:szCs w:val="24"/>
        </w:rPr>
        <w:t xml:space="preserve"> shows </w:t>
      </w:r>
      <w:r w:rsidR="00021DED">
        <w:rPr>
          <w:rFonts w:ascii="Times New Roman" w:hAnsi="Times New Roman" w:cs="Times New Roman"/>
          <w:sz w:val="24"/>
          <w:szCs w:val="24"/>
        </w:rPr>
        <w:t>Staff</w:t>
      </w:r>
      <w:r w:rsidR="00881E2C">
        <w:rPr>
          <w:rFonts w:ascii="Times New Roman" w:hAnsi="Times New Roman" w:cs="Times New Roman"/>
          <w:sz w:val="24"/>
          <w:szCs w:val="24"/>
        </w:rPr>
        <w:t>’s comparison of</w:t>
      </w:r>
      <w:r w:rsidR="00021DED">
        <w:rPr>
          <w:rFonts w:ascii="Times New Roman" w:hAnsi="Times New Roman" w:cs="Times New Roman"/>
          <w:sz w:val="24"/>
          <w:szCs w:val="24"/>
        </w:rPr>
        <w:t xml:space="preserve"> the Company’s top </w:t>
      </w:r>
      <w:r w:rsidR="001C0B36">
        <w:rPr>
          <w:rFonts w:ascii="Times New Roman" w:hAnsi="Times New Roman" w:cs="Times New Roman"/>
          <w:sz w:val="24"/>
          <w:szCs w:val="24"/>
        </w:rPr>
        <w:t>200</w:t>
      </w:r>
      <w:r w:rsidR="00881E2C">
        <w:rPr>
          <w:rFonts w:ascii="Times New Roman" w:hAnsi="Times New Roman" w:cs="Times New Roman"/>
          <w:sz w:val="24"/>
          <w:szCs w:val="24"/>
        </w:rPr>
        <w:t xml:space="preserve"> load hours against</w:t>
      </w:r>
      <w:r w:rsidR="00021DED">
        <w:rPr>
          <w:rFonts w:ascii="Times New Roman" w:hAnsi="Times New Roman" w:cs="Times New Roman"/>
          <w:sz w:val="24"/>
          <w:szCs w:val="24"/>
        </w:rPr>
        <w:t xml:space="preserve"> the recorded sunrise and sunset times for Yakima in 2013, </w:t>
      </w:r>
      <w:r w:rsidR="00881E2C">
        <w:rPr>
          <w:rFonts w:ascii="Times New Roman" w:hAnsi="Times New Roman" w:cs="Times New Roman"/>
          <w:sz w:val="24"/>
          <w:szCs w:val="24"/>
        </w:rPr>
        <w:t>which shows that</w:t>
      </w:r>
      <w:r w:rsidR="001C0B36">
        <w:rPr>
          <w:rFonts w:ascii="Times New Roman" w:hAnsi="Times New Roman" w:cs="Times New Roman"/>
          <w:sz w:val="24"/>
          <w:szCs w:val="24"/>
        </w:rPr>
        <w:t xml:space="preserve"> of the top 200 hours that the C</w:t>
      </w:r>
      <w:r w:rsidR="00881E2C">
        <w:rPr>
          <w:rFonts w:ascii="Times New Roman" w:hAnsi="Times New Roman" w:cs="Times New Roman"/>
          <w:sz w:val="24"/>
          <w:szCs w:val="24"/>
        </w:rPr>
        <w:t xml:space="preserve">ompany served </w:t>
      </w:r>
      <w:r w:rsidR="001C0B36">
        <w:rPr>
          <w:rFonts w:ascii="Times New Roman" w:hAnsi="Times New Roman" w:cs="Times New Roman"/>
          <w:sz w:val="24"/>
          <w:szCs w:val="24"/>
        </w:rPr>
        <w:t xml:space="preserve">in the WCA </w:t>
      </w:r>
      <w:r w:rsidR="00881E2C">
        <w:rPr>
          <w:rFonts w:ascii="Times New Roman" w:hAnsi="Times New Roman" w:cs="Times New Roman"/>
          <w:sz w:val="24"/>
          <w:szCs w:val="24"/>
        </w:rPr>
        <w:t>during the test year</w:t>
      </w:r>
      <w:r w:rsidR="00021DED">
        <w:rPr>
          <w:rFonts w:ascii="Times New Roman" w:hAnsi="Times New Roman" w:cs="Times New Roman"/>
          <w:sz w:val="24"/>
          <w:szCs w:val="24"/>
        </w:rPr>
        <w:t>, 124 (62 percent) occurred during daylight ho</w:t>
      </w:r>
      <w:r w:rsidR="00881E2C">
        <w:rPr>
          <w:rFonts w:ascii="Times New Roman" w:hAnsi="Times New Roman" w:cs="Times New Roman"/>
          <w:sz w:val="24"/>
          <w:szCs w:val="24"/>
        </w:rPr>
        <w:t>urs, including 12 of the top 13 hours.</w:t>
      </w:r>
      <w:r w:rsidR="001C0B36">
        <w:rPr>
          <w:rStyle w:val="FootnoteReference"/>
          <w:rFonts w:ascii="Times New Roman" w:hAnsi="Times New Roman" w:cs="Times New Roman"/>
          <w:sz w:val="24"/>
          <w:szCs w:val="24"/>
        </w:rPr>
        <w:footnoteReference w:id="43"/>
      </w:r>
      <w:r w:rsidR="00881E2C">
        <w:rPr>
          <w:rFonts w:ascii="Times New Roman" w:hAnsi="Times New Roman" w:cs="Times New Roman"/>
          <w:sz w:val="24"/>
          <w:szCs w:val="24"/>
        </w:rPr>
        <w:t xml:space="preserve">  It is reasonable to conclude, therefore, that during peak hours, a DG customer is more likely to be producing energy that helps Pacific Power meet load than</w:t>
      </w:r>
      <w:r w:rsidR="001C0B36">
        <w:rPr>
          <w:rFonts w:ascii="Times New Roman" w:hAnsi="Times New Roman" w:cs="Times New Roman"/>
          <w:sz w:val="24"/>
          <w:szCs w:val="24"/>
        </w:rPr>
        <w:t xml:space="preserve"> to be</w:t>
      </w:r>
      <w:r w:rsidR="00881E2C">
        <w:rPr>
          <w:rFonts w:ascii="Times New Roman" w:hAnsi="Times New Roman" w:cs="Times New Roman"/>
          <w:sz w:val="24"/>
          <w:szCs w:val="24"/>
        </w:rPr>
        <w:t xml:space="preserve"> </w:t>
      </w:r>
      <w:r w:rsidR="006D0D14">
        <w:rPr>
          <w:rFonts w:ascii="Times New Roman" w:hAnsi="Times New Roman" w:cs="Times New Roman"/>
          <w:sz w:val="24"/>
          <w:szCs w:val="24"/>
        </w:rPr>
        <w:t>increasing energy usage</w:t>
      </w:r>
      <w:r w:rsidR="00881E2C">
        <w:rPr>
          <w:rFonts w:ascii="Times New Roman" w:hAnsi="Times New Roman" w:cs="Times New Roman"/>
          <w:sz w:val="24"/>
          <w:szCs w:val="24"/>
        </w:rPr>
        <w:t xml:space="preserve"> and </w:t>
      </w:r>
      <w:r w:rsidR="00B12113">
        <w:rPr>
          <w:rFonts w:ascii="Times New Roman" w:hAnsi="Times New Roman" w:cs="Times New Roman"/>
          <w:sz w:val="24"/>
          <w:szCs w:val="24"/>
        </w:rPr>
        <w:t>contributin</w:t>
      </w:r>
      <w:r w:rsidR="006D0D14">
        <w:rPr>
          <w:rFonts w:ascii="Times New Roman" w:hAnsi="Times New Roman" w:cs="Times New Roman"/>
          <w:sz w:val="24"/>
          <w:szCs w:val="24"/>
        </w:rPr>
        <w:t>g to a steeper ramp that the Company</w:t>
      </w:r>
      <w:r w:rsidR="00B12113">
        <w:rPr>
          <w:rFonts w:ascii="Times New Roman" w:hAnsi="Times New Roman" w:cs="Times New Roman"/>
          <w:sz w:val="24"/>
          <w:szCs w:val="24"/>
        </w:rPr>
        <w:t xml:space="preserve"> must meet</w:t>
      </w:r>
      <w:r w:rsidR="00881E2C">
        <w:rPr>
          <w:rFonts w:ascii="Times New Roman" w:hAnsi="Times New Roman" w:cs="Times New Roman"/>
          <w:sz w:val="24"/>
          <w:szCs w:val="24"/>
        </w:rPr>
        <w:t>.</w:t>
      </w:r>
      <w:r w:rsidR="001C0B36">
        <w:rPr>
          <w:rFonts w:ascii="Times New Roman" w:hAnsi="Times New Roman" w:cs="Times New Roman"/>
          <w:sz w:val="24"/>
          <w:szCs w:val="24"/>
        </w:rPr>
        <w:t xml:space="preserve">  Designing a rate around the assumption that solar production is decreasing or unavailable at the time of peak would therefore be erroneous.</w:t>
      </w:r>
    </w:p>
    <w:p w14:paraId="690D0958" w14:textId="70FAB7E9" w:rsidR="00B12113" w:rsidRDefault="00C21822" w:rsidP="007E2398">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1A15A1">
        <w:rPr>
          <w:rFonts w:ascii="Times New Roman" w:hAnsi="Times New Roman" w:cs="Times New Roman"/>
          <w:sz w:val="24"/>
          <w:szCs w:val="24"/>
        </w:rPr>
        <w:t>Staff also notes that</w:t>
      </w:r>
      <w:r w:rsidR="00B12113">
        <w:rPr>
          <w:rFonts w:ascii="Times New Roman" w:hAnsi="Times New Roman" w:cs="Times New Roman"/>
          <w:sz w:val="24"/>
          <w:szCs w:val="24"/>
        </w:rPr>
        <w:t xml:space="preserve"> Pacific Power only </w:t>
      </w:r>
      <w:r w:rsidR="001A15A1">
        <w:rPr>
          <w:rFonts w:ascii="Times New Roman" w:hAnsi="Times New Roman" w:cs="Times New Roman"/>
          <w:sz w:val="24"/>
          <w:szCs w:val="24"/>
        </w:rPr>
        <w:t>had 141</w:t>
      </w:r>
      <w:r w:rsidR="00B12113">
        <w:rPr>
          <w:rFonts w:ascii="Times New Roman" w:hAnsi="Times New Roman" w:cs="Times New Roman"/>
          <w:sz w:val="24"/>
          <w:szCs w:val="24"/>
        </w:rPr>
        <w:t xml:space="preserve"> residential DG customers in its Washington territory</w:t>
      </w:r>
      <w:r w:rsidR="001A15A1">
        <w:rPr>
          <w:rFonts w:ascii="Times New Roman" w:hAnsi="Times New Roman" w:cs="Times New Roman"/>
          <w:sz w:val="24"/>
          <w:szCs w:val="24"/>
        </w:rPr>
        <w:t xml:space="preserve"> in December 2013, which represents 0.1</w:t>
      </w:r>
      <w:r w:rsidR="00B12113">
        <w:rPr>
          <w:rFonts w:ascii="Times New Roman" w:hAnsi="Times New Roman" w:cs="Times New Roman"/>
          <w:sz w:val="24"/>
          <w:szCs w:val="24"/>
        </w:rPr>
        <w:t xml:space="preserve"> percent of its residential customer class.  The Company simply does not have enough DG customers on its Washington system, in Staff’s opinion, to affect Company operations and justify a targeted rate treatment.  </w:t>
      </w:r>
    </w:p>
    <w:p w14:paraId="690D0959" w14:textId="0242E5FB" w:rsidR="00B12113" w:rsidRDefault="00C21822" w:rsidP="007E2398">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sidR="00B12113">
        <w:rPr>
          <w:rFonts w:ascii="Times New Roman" w:hAnsi="Times New Roman" w:cs="Times New Roman"/>
          <w:sz w:val="24"/>
          <w:szCs w:val="24"/>
        </w:rPr>
        <w:t>Staff recognizes that the Company is preparing a detailed new load study that will, among other things, attempt to quantify the impact of residential DG on Company operations.</w:t>
      </w:r>
      <w:r w:rsidR="00D416F8">
        <w:rPr>
          <w:rStyle w:val="FootnoteReference"/>
          <w:rFonts w:ascii="Times New Roman" w:hAnsi="Times New Roman" w:cs="Times New Roman"/>
          <w:sz w:val="24"/>
          <w:szCs w:val="24"/>
        </w:rPr>
        <w:footnoteReference w:id="44"/>
      </w:r>
      <w:r w:rsidR="00B12113">
        <w:rPr>
          <w:rFonts w:ascii="Times New Roman" w:hAnsi="Times New Roman" w:cs="Times New Roman"/>
          <w:sz w:val="24"/>
          <w:szCs w:val="24"/>
        </w:rPr>
        <w:t xml:space="preserve">  Staff is open to considering a special rate treatment for residential DG customers if the load study warrants, but given the current state of ope</w:t>
      </w:r>
      <w:r w:rsidR="00D416F8">
        <w:rPr>
          <w:rFonts w:ascii="Times New Roman" w:hAnsi="Times New Roman" w:cs="Times New Roman"/>
          <w:sz w:val="24"/>
          <w:szCs w:val="24"/>
        </w:rPr>
        <w:t xml:space="preserve">rations, Staff believes that the Company would face a high burden of proof in </w:t>
      </w:r>
      <w:r w:rsidR="00D416F8">
        <w:rPr>
          <w:rFonts w:ascii="Times New Roman" w:hAnsi="Times New Roman" w:cs="Times New Roman"/>
          <w:sz w:val="24"/>
          <w:szCs w:val="24"/>
        </w:rPr>
        <w:lastRenderedPageBreak/>
        <w:t>justifying such an approach</w:t>
      </w:r>
      <w:r w:rsidR="00C16E6E">
        <w:rPr>
          <w:rFonts w:ascii="Times New Roman" w:hAnsi="Times New Roman" w:cs="Times New Roman"/>
          <w:sz w:val="24"/>
          <w:szCs w:val="24"/>
        </w:rPr>
        <w:t>, and is in fact likely to discover other interactions in residential customer usage that may reverse its assumptions</w:t>
      </w:r>
      <w:r w:rsidR="00D416F8">
        <w:rPr>
          <w:rFonts w:ascii="Times New Roman" w:hAnsi="Times New Roman" w:cs="Times New Roman"/>
          <w:sz w:val="24"/>
          <w:szCs w:val="24"/>
        </w:rPr>
        <w:t>.</w:t>
      </w:r>
    </w:p>
    <w:p w14:paraId="690D095A" w14:textId="77777777" w:rsidR="00881E2C" w:rsidRDefault="00881E2C" w:rsidP="00881E2C">
      <w:pPr>
        <w:spacing w:line="480" w:lineRule="auto"/>
        <w:contextualSpacing/>
        <w:rPr>
          <w:rFonts w:ascii="Times New Roman" w:hAnsi="Times New Roman" w:cs="Times New Roman"/>
          <w:sz w:val="24"/>
          <w:szCs w:val="24"/>
        </w:rPr>
      </w:pPr>
    </w:p>
    <w:p w14:paraId="690D095B" w14:textId="77777777" w:rsidR="00881E2C" w:rsidRPr="00293F51" w:rsidRDefault="00881E2C" w:rsidP="00881E2C">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Please explain why the demand rate for residential DG customers would be unduly discriminatory.</w:t>
      </w:r>
    </w:p>
    <w:p w14:paraId="690D095C" w14:textId="4B23FC5D" w:rsidR="00881E2C" w:rsidRDefault="00881E2C" w:rsidP="00881E2C">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FB0274">
        <w:rPr>
          <w:rFonts w:ascii="Times New Roman" w:hAnsi="Times New Roman" w:cs="Times New Roman"/>
          <w:sz w:val="24"/>
          <w:szCs w:val="24"/>
        </w:rPr>
        <w:t xml:space="preserve">The Company’s second point to justify the proposal is that it would </w:t>
      </w:r>
      <w:r w:rsidR="000802F4">
        <w:rPr>
          <w:rFonts w:ascii="Times New Roman" w:hAnsi="Times New Roman" w:cs="Times New Roman"/>
          <w:sz w:val="24"/>
          <w:szCs w:val="24"/>
        </w:rPr>
        <w:t>signal</w:t>
      </w:r>
      <w:r w:rsidR="00FB0274">
        <w:rPr>
          <w:rFonts w:ascii="Times New Roman" w:hAnsi="Times New Roman" w:cs="Times New Roman"/>
          <w:sz w:val="24"/>
          <w:szCs w:val="24"/>
        </w:rPr>
        <w:t xml:space="preserve"> DG customers to “reduce electricity purchases at peak times.”</w:t>
      </w:r>
      <w:r w:rsidR="00FB0274">
        <w:rPr>
          <w:rStyle w:val="FootnoteReference"/>
          <w:rFonts w:ascii="Times New Roman" w:hAnsi="Times New Roman" w:cs="Times New Roman"/>
          <w:sz w:val="24"/>
          <w:szCs w:val="24"/>
        </w:rPr>
        <w:footnoteReference w:id="45"/>
      </w:r>
      <w:r w:rsidR="00FB0274">
        <w:rPr>
          <w:rFonts w:ascii="Times New Roman" w:hAnsi="Times New Roman" w:cs="Times New Roman"/>
          <w:sz w:val="24"/>
          <w:szCs w:val="24"/>
        </w:rPr>
        <w:t xml:space="preserve">  Staff points out, however, that load is the sum of every individual customer’s usage at any given point, and the Company and its customers receive the same benefit in reduced usage from any point on the system.  Singling out DG customers for an additional rate designed to encourage greater efficiency at peak is </w:t>
      </w:r>
      <w:r w:rsidR="001A15A1">
        <w:rPr>
          <w:rFonts w:ascii="Times New Roman" w:hAnsi="Times New Roman" w:cs="Times New Roman"/>
          <w:sz w:val="24"/>
          <w:szCs w:val="24"/>
        </w:rPr>
        <w:t>discriminatory</w:t>
      </w:r>
      <w:r w:rsidR="00FB0274">
        <w:rPr>
          <w:rFonts w:ascii="Times New Roman" w:hAnsi="Times New Roman" w:cs="Times New Roman"/>
          <w:sz w:val="24"/>
          <w:szCs w:val="24"/>
        </w:rPr>
        <w:t xml:space="preserve"> and is another reason that the Commission should tell Pacific Power that the approach the Company is considering for residential DG customers is not acceptable.</w:t>
      </w:r>
    </w:p>
    <w:p w14:paraId="690D095D" w14:textId="77777777" w:rsidR="0080390E" w:rsidRDefault="0080390E" w:rsidP="00881E2C">
      <w:pPr>
        <w:spacing w:line="480" w:lineRule="auto"/>
        <w:ind w:left="720" w:hanging="720"/>
        <w:contextualSpacing/>
        <w:rPr>
          <w:rFonts w:ascii="Times New Roman" w:hAnsi="Times New Roman" w:cs="Times New Roman"/>
          <w:sz w:val="24"/>
          <w:szCs w:val="24"/>
        </w:rPr>
      </w:pPr>
    </w:p>
    <w:p w14:paraId="690D095E" w14:textId="77777777" w:rsidR="0080390E" w:rsidRPr="00293F51" w:rsidRDefault="0080390E" w:rsidP="0080390E">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 xml:space="preserve">Please explain how </w:t>
      </w:r>
      <w:r w:rsidRPr="0080390E">
        <w:rPr>
          <w:rFonts w:ascii="Times New Roman" w:hAnsi="Times New Roman" w:cs="Times New Roman"/>
          <w:b/>
          <w:sz w:val="24"/>
          <w:szCs w:val="24"/>
        </w:rPr>
        <w:t>Staff’s proposed rate spread would address many of the potential cost recovery issues associated with DG</w:t>
      </w:r>
      <w:r>
        <w:rPr>
          <w:rFonts w:ascii="Times New Roman" w:hAnsi="Times New Roman" w:cs="Times New Roman"/>
          <w:b/>
          <w:sz w:val="24"/>
          <w:szCs w:val="24"/>
        </w:rPr>
        <w:t>.</w:t>
      </w:r>
    </w:p>
    <w:p w14:paraId="690D095F" w14:textId="3A007BC0" w:rsidR="0080390E" w:rsidRDefault="0080390E" w:rsidP="0080390E">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33453C">
        <w:rPr>
          <w:rFonts w:ascii="Times New Roman" w:hAnsi="Times New Roman" w:cs="Times New Roman"/>
          <w:sz w:val="24"/>
          <w:szCs w:val="24"/>
        </w:rPr>
        <w:t xml:space="preserve">As </w:t>
      </w:r>
      <w:r w:rsidR="00102F83">
        <w:rPr>
          <w:rFonts w:ascii="Times New Roman" w:hAnsi="Times New Roman" w:cs="Times New Roman"/>
          <w:sz w:val="24"/>
          <w:szCs w:val="24"/>
        </w:rPr>
        <w:t xml:space="preserve">I </w:t>
      </w:r>
      <w:r w:rsidR="0033453C">
        <w:rPr>
          <w:rFonts w:ascii="Times New Roman" w:hAnsi="Times New Roman" w:cs="Times New Roman"/>
          <w:sz w:val="24"/>
          <w:szCs w:val="24"/>
        </w:rPr>
        <w:t xml:space="preserve">previously discussed, when a utility recovers a significant share of its fixed costs through volumetric rates, then a reduction in a customer’s usage – be it from DG or conservation or some other factor – means that the utility recovers </w:t>
      </w:r>
      <w:r w:rsidR="00102F83">
        <w:rPr>
          <w:rFonts w:ascii="Times New Roman" w:hAnsi="Times New Roman" w:cs="Times New Roman"/>
          <w:sz w:val="24"/>
          <w:szCs w:val="24"/>
        </w:rPr>
        <w:t>fewer</w:t>
      </w:r>
      <w:r w:rsidR="0033453C">
        <w:rPr>
          <w:rFonts w:ascii="Times New Roman" w:hAnsi="Times New Roman" w:cs="Times New Roman"/>
          <w:sz w:val="24"/>
          <w:szCs w:val="24"/>
        </w:rPr>
        <w:t xml:space="preserve"> of those fixed costs.  If fixed costs continue to be recovered primarily through volumetric rates, then customers that are unwilling or unable to participate in DG and conservation programs will bear an unequal share of any ensuing rate increases</w:t>
      </w:r>
      <w:r w:rsidR="001D42A7">
        <w:rPr>
          <w:rFonts w:ascii="Times New Roman" w:hAnsi="Times New Roman" w:cs="Times New Roman"/>
          <w:sz w:val="24"/>
          <w:szCs w:val="24"/>
        </w:rPr>
        <w:t xml:space="preserve"> and effectively subsidize customers who have DG and/or are more efficient</w:t>
      </w:r>
      <w:r w:rsidR="0033453C">
        <w:rPr>
          <w:rFonts w:ascii="Times New Roman" w:hAnsi="Times New Roman" w:cs="Times New Roman"/>
          <w:sz w:val="24"/>
          <w:szCs w:val="24"/>
        </w:rPr>
        <w:t>.</w:t>
      </w:r>
      <w:r w:rsidR="001D42A7">
        <w:rPr>
          <w:rFonts w:ascii="Times New Roman" w:hAnsi="Times New Roman" w:cs="Times New Roman"/>
          <w:sz w:val="24"/>
          <w:szCs w:val="24"/>
        </w:rPr>
        <w:t xml:space="preserve">  This </w:t>
      </w:r>
      <w:r w:rsidR="001D42A7">
        <w:rPr>
          <w:rFonts w:ascii="Times New Roman" w:hAnsi="Times New Roman" w:cs="Times New Roman"/>
          <w:sz w:val="24"/>
          <w:szCs w:val="24"/>
        </w:rPr>
        <w:lastRenderedPageBreak/>
        <w:t>issue does not arise from the existence of DG or conservation programs; rather, these programs simply exacerbate the und</w:t>
      </w:r>
      <w:r w:rsidR="006D0D14">
        <w:rPr>
          <w:rFonts w:ascii="Times New Roman" w:hAnsi="Times New Roman" w:cs="Times New Roman"/>
          <w:sz w:val="24"/>
          <w:szCs w:val="24"/>
        </w:rPr>
        <w:t>erlying problems that exist in legacy</w:t>
      </w:r>
      <w:r w:rsidR="001D42A7">
        <w:rPr>
          <w:rFonts w:ascii="Times New Roman" w:hAnsi="Times New Roman" w:cs="Times New Roman"/>
          <w:sz w:val="24"/>
          <w:szCs w:val="24"/>
        </w:rPr>
        <w:t xml:space="preserve"> rate design. </w:t>
      </w:r>
      <w:r w:rsidR="0033453C">
        <w:rPr>
          <w:rFonts w:ascii="Times New Roman" w:hAnsi="Times New Roman" w:cs="Times New Roman"/>
          <w:sz w:val="24"/>
          <w:szCs w:val="24"/>
        </w:rPr>
        <w:t xml:space="preserve">  </w:t>
      </w:r>
    </w:p>
    <w:p w14:paraId="690D0960" w14:textId="60910E1B" w:rsidR="0033453C" w:rsidRDefault="007E2398" w:rsidP="00C21822">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C21822">
        <w:rPr>
          <w:rFonts w:ascii="Times New Roman" w:hAnsi="Times New Roman" w:cs="Times New Roman"/>
          <w:sz w:val="24"/>
          <w:szCs w:val="24"/>
        </w:rPr>
        <w:tab/>
      </w:r>
      <w:r w:rsidR="0033453C">
        <w:rPr>
          <w:rFonts w:ascii="Times New Roman" w:hAnsi="Times New Roman" w:cs="Times New Roman"/>
          <w:sz w:val="24"/>
          <w:szCs w:val="24"/>
        </w:rPr>
        <w:t xml:space="preserve">Staff’s proposed rate design for residential customers </w:t>
      </w:r>
      <w:r w:rsidR="006D0D14">
        <w:rPr>
          <w:rFonts w:ascii="Times New Roman" w:hAnsi="Times New Roman" w:cs="Times New Roman"/>
          <w:sz w:val="24"/>
          <w:szCs w:val="24"/>
        </w:rPr>
        <w:t>addresses</w:t>
      </w:r>
      <w:r w:rsidR="0033453C">
        <w:rPr>
          <w:rFonts w:ascii="Times New Roman" w:hAnsi="Times New Roman" w:cs="Times New Roman"/>
          <w:sz w:val="24"/>
          <w:szCs w:val="24"/>
        </w:rPr>
        <w:t xml:space="preserve"> this concern by </w:t>
      </w:r>
      <w:r w:rsidR="0017268E">
        <w:rPr>
          <w:rFonts w:ascii="Times New Roman" w:hAnsi="Times New Roman" w:cs="Times New Roman"/>
          <w:sz w:val="24"/>
          <w:szCs w:val="24"/>
        </w:rPr>
        <w:t>weakening the link between customer usage and the Company’s fixed-cost recovery</w:t>
      </w:r>
      <w:r w:rsidR="00C8028D">
        <w:rPr>
          <w:rFonts w:ascii="Times New Roman" w:hAnsi="Times New Roman" w:cs="Times New Roman"/>
          <w:sz w:val="24"/>
          <w:szCs w:val="24"/>
        </w:rPr>
        <w:t>.</w:t>
      </w:r>
      <w:r w:rsidR="0017268E">
        <w:rPr>
          <w:rFonts w:ascii="Times New Roman" w:hAnsi="Times New Roman" w:cs="Times New Roman"/>
          <w:sz w:val="24"/>
          <w:szCs w:val="24"/>
        </w:rPr>
        <w:t xml:space="preserve">  By designing a basic charge that includes a larger share of fixed cost and</w:t>
      </w:r>
      <w:r w:rsidR="00C8028D">
        <w:rPr>
          <w:rFonts w:ascii="Times New Roman" w:hAnsi="Times New Roman" w:cs="Times New Roman"/>
          <w:sz w:val="24"/>
          <w:szCs w:val="24"/>
        </w:rPr>
        <w:t xml:space="preserve"> limiting the share of fixed costs that are re</w:t>
      </w:r>
      <w:r w:rsidR="00102F83">
        <w:rPr>
          <w:rFonts w:ascii="Times New Roman" w:hAnsi="Times New Roman" w:cs="Times New Roman"/>
          <w:sz w:val="24"/>
          <w:szCs w:val="24"/>
        </w:rPr>
        <w:t>covered in the third block to 14</w:t>
      </w:r>
      <w:r w:rsidR="00C8028D">
        <w:rPr>
          <w:rFonts w:ascii="Times New Roman" w:hAnsi="Times New Roman" w:cs="Times New Roman"/>
          <w:sz w:val="24"/>
          <w:szCs w:val="24"/>
        </w:rPr>
        <w:t xml:space="preserve"> percent, </w:t>
      </w:r>
      <w:r w:rsidR="0017268E">
        <w:rPr>
          <w:rFonts w:ascii="Times New Roman" w:hAnsi="Times New Roman" w:cs="Times New Roman"/>
          <w:sz w:val="24"/>
          <w:szCs w:val="24"/>
        </w:rPr>
        <w:t>Staff believes that its proposed rates insulate the</w:t>
      </w:r>
      <w:r w:rsidR="00C8028D">
        <w:rPr>
          <w:rFonts w:ascii="Times New Roman" w:hAnsi="Times New Roman" w:cs="Times New Roman"/>
          <w:sz w:val="24"/>
          <w:szCs w:val="24"/>
        </w:rPr>
        <w:t xml:space="preserve"> Company against the impacts of reduced usage associated with self-generation and efficient behavior. </w:t>
      </w:r>
    </w:p>
    <w:p w14:paraId="690D0961" w14:textId="77777777" w:rsidR="00881E2C" w:rsidRDefault="00881E2C" w:rsidP="00881E2C">
      <w:pPr>
        <w:spacing w:line="480" w:lineRule="auto"/>
        <w:contextualSpacing/>
        <w:rPr>
          <w:rFonts w:ascii="Times New Roman" w:hAnsi="Times New Roman" w:cs="Times New Roman"/>
          <w:sz w:val="24"/>
          <w:szCs w:val="24"/>
        </w:rPr>
      </w:pPr>
    </w:p>
    <w:p w14:paraId="12B70D17" w14:textId="0B7D3CA2" w:rsidR="007E2398" w:rsidRPr="00293F51" w:rsidRDefault="007E2398" w:rsidP="007E2398">
      <w:pPr>
        <w:spacing w:line="480" w:lineRule="auto"/>
        <w:ind w:left="720" w:hanging="720"/>
        <w:contextualSpacing/>
        <w:rPr>
          <w:rFonts w:ascii="Times New Roman" w:hAnsi="Times New Roman" w:cs="Times New Roman"/>
          <w:b/>
          <w:sz w:val="24"/>
          <w:szCs w:val="24"/>
        </w:rPr>
      </w:pPr>
      <w:r w:rsidRPr="00293F51">
        <w:rPr>
          <w:rFonts w:ascii="Times New Roman" w:hAnsi="Times New Roman" w:cs="Times New Roman"/>
          <w:b/>
          <w:sz w:val="24"/>
          <w:szCs w:val="24"/>
        </w:rPr>
        <w:t>Q.</w:t>
      </w:r>
      <w:r w:rsidRPr="00293F51">
        <w:rPr>
          <w:rFonts w:ascii="Times New Roman" w:hAnsi="Times New Roman" w:cs="Times New Roman"/>
          <w:b/>
          <w:sz w:val="24"/>
          <w:szCs w:val="24"/>
        </w:rPr>
        <w:tab/>
      </w:r>
      <w:r>
        <w:rPr>
          <w:rFonts w:ascii="Times New Roman" w:hAnsi="Times New Roman" w:cs="Times New Roman"/>
          <w:b/>
          <w:sz w:val="24"/>
          <w:szCs w:val="24"/>
        </w:rPr>
        <w:t>Does this conclude your prepared testimony?</w:t>
      </w:r>
    </w:p>
    <w:p w14:paraId="137DDF5C" w14:textId="55B2DCED" w:rsidR="007E2398" w:rsidRDefault="007E2398" w:rsidP="007E2398">
      <w:pPr>
        <w:spacing w:line="480" w:lineRule="auto"/>
        <w:ind w:left="720" w:hanging="720"/>
        <w:contextualSpacing/>
        <w:rPr>
          <w:rFonts w:ascii="Times New Roman" w:hAnsi="Times New Roman" w:cs="Times New Roman"/>
          <w:sz w:val="24"/>
          <w:szCs w:val="24"/>
        </w:rPr>
      </w:pPr>
      <w:r w:rsidRPr="00293F51">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t xml:space="preserve">Yes.   </w:t>
      </w:r>
    </w:p>
    <w:p w14:paraId="51B92E7D" w14:textId="77777777" w:rsidR="00C21822" w:rsidRDefault="00C21822" w:rsidP="007E2398">
      <w:pPr>
        <w:spacing w:line="480" w:lineRule="auto"/>
        <w:ind w:left="720" w:hanging="720"/>
        <w:contextualSpacing/>
        <w:rPr>
          <w:rFonts w:ascii="Times New Roman" w:hAnsi="Times New Roman" w:cs="Times New Roman"/>
          <w:sz w:val="24"/>
          <w:szCs w:val="24"/>
        </w:rPr>
      </w:pPr>
    </w:p>
    <w:sectPr w:rsidR="00C21822" w:rsidSect="00235BFE">
      <w:footerReference w:type="default" r:id="rId13"/>
      <w:pgSz w:w="12240" w:h="15840"/>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198E3" w14:textId="77777777" w:rsidR="00235BFE" w:rsidRDefault="00235BFE" w:rsidP="003F58F9">
      <w:pPr>
        <w:spacing w:after="0" w:line="240" w:lineRule="auto"/>
      </w:pPr>
      <w:r>
        <w:separator/>
      </w:r>
    </w:p>
  </w:endnote>
  <w:endnote w:type="continuationSeparator" w:id="0">
    <w:p w14:paraId="0B7BFC64" w14:textId="77777777" w:rsidR="00235BFE" w:rsidRDefault="00235BFE" w:rsidP="003F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6F4A" w14:textId="77777777" w:rsidR="00235BFE" w:rsidRPr="00235BFE" w:rsidRDefault="00235BFE" w:rsidP="00235BFE">
    <w:pPr>
      <w:tabs>
        <w:tab w:val="center" w:pos="4680"/>
        <w:tab w:val="right" w:pos="8910"/>
      </w:tabs>
      <w:spacing w:after="0" w:line="240" w:lineRule="auto"/>
      <w:rPr>
        <w:rFonts w:ascii="Times New Roman" w:eastAsia="Calibri" w:hAnsi="Times New Roman" w:cs="Times New Roman"/>
        <w:sz w:val="20"/>
        <w:szCs w:val="20"/>
      </w:rPr>
    </w:pPr>
  </w:p>
  <w:p w14:paraId="06762049" w14:textId="2B28012F" w:rsidR="00235BFE" w:rsidRPr="00235BFE" w:rsidRDefault="00235BFE" w:rsidP="00235BFE">
    <w:pPr>
      <w:tabs>
        <w:tab w:val="center" w:pos="4680"/>
        <w:tab w:val="right" w:pos="8910"/>
      </w:tabs>
      <w:spacing w:after="0" w:line="240" w:lineRule="auto"/>
      <w:rPr>
        <w:rFonts w:ascii="Times New Roman" w:eastAsia="Calibri" w:hAnsi="Times New Roman" w:cs="Times New Roman"/>
        <w:sz w:val="20"/>
        <w:szCs w:val="20"/>
      </w:rPr>
    </w:pPr>
    <w:r w:rsidRPr="00235BFE">
      <w:rPr>
        <w:rFonts w:ascii="Times New Roman" w:eastAsia="Calibri" w:hAnsi="Times New Roman" w:cs="Times New Roman"/>
        <w:sz w:val="20"/>
        <w:szCs w:val="20"/>
      </w:rPr>
      <w:t>TESTIMONY OF</w:t>
    </w:r>
    <w:r>
      <w:rPr>
        <w:rFonts w:ascii="Times New Roman" w:eastAsia="Calibri" w:hAnsi="Times New Roman" w:cs="Times New Roman"/>
        <w:sz w:val="20"/>
        <w:szCs w:val="20"/>
      </w:rPr>
      <w:t xml:space="preserve"> JEREMY TWITCHELL </w:t>
    </w:r>
    <w:r>
      <w:rPr>
        <w:rFonts w:ascii="Times New Roman" w:eastAsia="Calibri" w:hAnsi="Times New Roman" w:cs="Times New Roman"/>
        <w:sz w:val="20"/>
        <w:szCs w:val="20"/>
      </w:rPr>
      <w:tab/>
    </w:r>
    <w:r>
      <w:rPr>
        <w:rFonts w:ascii="Times New Roman" w:eastAsia="Calibri" w:hAnsi="Times New Roman" w:cs="Times New Roman"/>
        <w:sz w:val="20"/>
        <w:szCs w:val="20"/>
      </w:rPr>
      <w:tab/>
      <w:t>Exhibit No. JBT</w:t>
    </w:r>
    <w:r w:rsidRPr="00235BFE">
      <w:rPr>
        <w:rFonts w:ascii="Times New Roman" w:eastAsia="Calibri" w:hAnsi="Times New Roman" w:cs="Times New Roman"/>
        <w:sz w:val="20"/>
        <w:szCs w:val="20"/>
      </w:rPr>
      <w:t>-1T</w:t>
    </w:r>
  </w:p>
  <w:p w14:paraId="1E95BCB7" w14:textId="4C6638CF" w:rsidR="00235BFE" w:rsidRPr="00235BFE" w:rsidRDefault="00235BFE" w:rsidP="00235BFE">
    <w:pPr>
      <w:tabs>
        <w:tab w:val="center" w:pos="4680"/>
        <w:tab w:val="right" w:pos="8910"/>
      </w:tabs>
      <w:spacing w:after="0" w:line="240" w:lineRule="auto"/>
      <w:rPr>
        <w:rFonts w:ascii="Times New Roman" w:eastAsia="Calibri" w:hAnsi="Times New Roman" w:cs="Times New Roman"/>
        <w:sz w:val="20"/>
        <w:szCs w:val="20"/>
      </w:rPr>
    </w:pPr>
    <w:r w:rsidRPr="00235BFE">
      <w:rPr>
        <w:rFonts w:ascii="Times New Roman" w:eastAsia="Calibri" w:hAnsi="Times New Roman" w:cs="Times New Roman"/>
        <w:sz w:val="20"/>
        <w:szCs w:val="20"/>
      </w:rPr>
      <w:t xml:space="preserve">Docket UE-140762, et. </w:t>
    </w:r>
    <w:proofErr w:type="gramStart"/>
    <w:r w:rsidRPr="00235BFE">
      <w:rPr>
        <w:rFonts w:ascii="Times New Roman" w:eastAsia="Calibri" w:hAnsi="Times New Roman" w:cs="Times New Roman"/>
        <w:sz w:val="20"/>
        <w:szCs w:val="20"/>
      </w:rPr>
      <w:t>al</w:t>
    </w:r>
    <w:proofErr w:type="gramEnd"/>
    <w:r w:rsidRPr="00235BFE">
      <w:rPr>
        <w:rFonts w:ascii="Times New Roman" w:eastAsia="Calibri" w:hAnsi="Times New Roman" w:cs="Times New Roman"/>
        <w:sz w:val="20"/>
        <w:szCs w:val="20"/>
      </w:rPr>
      <w:t xml:space="preserve">. </w:t>
    </w:r>
    <w:r w:rsidRPr="00235BFE">
      <w:rPr>
        <w:rFonts w:ascii="Times New Roman" w:eastAsia="Calibri" w:hAnsi="Times New Roman" w:cs="Times New Roman"/>
        <w:sz w:val="20"/>
        <w:szCs w:val="20"/>
      </w:rPr>
      <w:tab/>
    </w:r>
    <w:r w:rsidRPr="00235BFE">
      <w:rPr>
        <w:rFonts w:ascii="Times New Roman" w:eastAsia="Calibri" w:hAnsi="Times New Roman" w:cs="Times New Roman"/>
        <w:sz w:val="20"/>
        <w:szCs w:val="20"/>
      </w:rPr>
      <w:tab/>
      <w:t xml:space="preserve">Page </w:t>
    </w:r>
    <w:r w:rsidRPr="00235BFE">
      <w:rPr>
        <w:rFonts w:ascii="Times New Roman" w:eastAsia="Calibri" w:hAnsi="Times New Roman" w:cs="Times New Roman"/>
        <w:sz w:val="20"/>
        <w:szCs w:val="20"/>
      </w:rPr>
      <w:fldChar w:fldCharType="begin"/>
    </w:r>
    <w:r w:rsidRPr="00235BFE">
      <w:rPr>
        <w:rFonts w:ascii="Times New Roman" w:eastAsia="Calibri" w:hAnsi="Times New Roman" w:cs="Times New Roman"/>
        <w:sz w:val="20"/>
        <w:szCs w:val="20"/>
      </w:rPr>
      <w:instrText xml:space="preserve"> PAGE   \* MERGEFORMAT </w:instrText>
    </w:r>
    <w:r w:rsidRPr="00235BFE">
      <w:rPr>
        <w:rFonts w:ascii="Times New Roman" w:eastAsia="Calibri" w:hAnsi="Times New Roman" w:cs="Times New Roman"/>
        <w:sz w:val="20"/>
        <w:szCs w:val="20"/>
      </w:rPr>
      <w:fldChar w:fldCharType="separate"/>
    </w:r>
    <w:r w:rsidR="00C85636">
      <w:rPr>
        <w:rFonts w:ascii="Times New Roman" w:eastAsia="Calibri" w:hAnsi="Times New Roman" w:cs="Times New Roman"/>
        <w:noProof/>
        <w:sz w:val="20"/>
        <w:szCs w:val="20"/>
      </w:rPr>
      <w:t>i</w:t>
    </w:r>
    <w:r w:rsidRPr="00235BFE">
      <w:rPr>
        <w:rFonts w:ascii="Times New Roman" w:eastAsia="Calibri" w:hAnsi="Times New Roman" w:cs="Times New Roman"/>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50CF" w14:textId="77777777" w:rsidR="00235BFE" w:rsidRPr="00235BFE" w:rsidRDefault="00235BFE" w:rsidP="00235BFE">
    <w:pPr>
      <w:tabs>
        <w:tab w:val="center" w:pos="4680"/>
        <w:tab w:val="right" w:pos="8910"/>
      </w:tabs>
      <w:spacing w:after="0" w:line="240" w:lineRule="auto"/>
      <w:rPr>
        <w:rFonts w:ascii="Times New Roman" w:eastAsia="Calibri" w:hAnsi="Times New Roman" w:cs="Times New Roman"/>
        <w:sz w:val="20"/>
        <w:szCs w:val="20"/>
      </w:rPr>
    </w:pPr>
  </w:p>
  <w:p w14:paraId="52CDDC01" w14:textId="77777777" w:rsidR="00235BFE" w:rsidRPr="00235BFE" w:rsidRDefault="00235BFE" w:rsidP="00235BFE">
    <w:pPr>
      <w:tabs>
        <w:tab w:val="center" w:pos="4680"/>
        <w:tab w:val="right" w:pos="8910"/>
      </w:tabs>
      <w:spacing w:after="0" w:line="240" w:lineRule="auto"/>
      <w:rPr>
        <w:rFonts w:ascii="Times New Roman" w:eastAsia="Calibri" w:hAnsi="Times New Roman" w:cs="Times New Roman"/>
        <w:sz w:val="20"/>
        <w:szCs w:val="20"/>
      </w:rPr>
    </w:pPr>
    <w:r w:rsidRPr="00235BFE">
      <w:rPr>
        <w:rFonts w:ascii="Times New Roman" w:eastAsia="Calibri" w:hAnsi="Times New Roman" w:cs="Times New Roman"/>
        <w:sz w:val="20"/>
        <w:szCs w:val="20"/>
      </w:rPr>
      <w:t>TESTIMONY OF</w:t>
    </w:r>
    <w:r>
      <w:rPr>
        <w:rFonts w:ascii="Times New Roman" w:eastAsia="Calibri" w:hAnsi="Times New Roman" w:cs="Times New Roman"/>
        <w:sz w:val="20"/>
        <w:szCs w:val="20"/>
      </w:rPr>
      <w:t xml:space="preserve"> JEREMY TWITCHELL </w:t>
    </w:r>
    <w:r>
      <w:rPr>
        <w:rFonts w:ascii="Times New Roman" w:eastAsia="Calibri" w:hAnsi="Times New Roman" w:cs="Times New Roman"/>
        <w:sz w:val="20"/>
        <w:szCs w:val="20"/>
      </w:rPr>
      <w:tab/>
    </w:r>
    <w:r>
      <w:rPr>
        <w:rFonts w:ascii="Times New Roman" w:eastAsia="Calibri" w:hAnsi="Times New Roman" w:cs="Times New Roman"/>
        <w:sz w:val="20"/>
        <w:szCs w:val="20"/>
      </w:rPr>
      <w:tab/>
      <w:t>Exhibit No. JBT</w:t>
    </w:r>
    <w:r w:rsidRPr="00235BFE">
      <w:rPr>
        <w:rFonts w:ascii="Times New Roman" w:eastAsia="Calibri" w:hAnsi="Times New Roman" w:cs="Times New Roman"/>
        <w:sz w:val="20"/>
        <w:szCs w:val="20"/>
      </w:rPr>
      <w:t>-1T</w:t>
    </w:r>
  </w:p>
  <w:p w14:paraId="3E7E0527" w14:textId="77777777" w:rsidR="00235BFE" w:rsidRPr="00235BFE" w:rsidRDefault="00235BFE" w:rsidP="00235BFE">
    <w:pPr>
      <w:tabs>
        <w:tab w:val="center" w:pos="4680"/>
        <w:tab w:val="right" w:pos="8910"/>
      </w:tabs>
      <w:spacing w:after="0" w:line="240" w:lineRule="auto"/>
      <w:rPr>
        <w:rFonts w:ascii="Times New Roman" w:eastAsia="Calibri" w:hAnsi="Times New Roman" w:cs="Times New Roman"/>
        <w:sz w:val="20"/>
        <w:szCs w:val="20"/>
      </w:rPr>
    </w:pPr>
    <w:r w:rsidRPr="00235BFE">
      <w:rPr>
        <w:rFonts w:ascii="Times New Roman" w:eastAsia="Calibri" w:hAnsi="Times New Roman" w:cs="Times New Roman"/>
        <w:sz w:val="20"/>
        <w:szCs w:val="20"/>
      </w:rPr>
      <w:t xml:space="preserve">Docket UE-140762, et. </w:t>
    </w:r>
    <w:proofErr w:type="gramStart"/>
    <w:r w:rsidRPr="00235BFE">
      <w:rPr>
        <w:rFonts w:ascii="Times New Roman" w:eastAsia="Calibri" w:hAnsi="Times New Roman" w:cs="Times New Roman"/>
        <w:sz w:val="20"/>
        <w:szCs w:val="20"/>
      </w:rPr>
      <w:t>al</w:t>
    </w:r>
    <w:proofErr w:type="gramEnd"/>
    <w:r w:rsidRPr="00235BFE">
      <w:rPr>
        <w:rFonts w:ascii="Times New Roman" w:eastAsia="Calibri" w:hAnsi="Times New Roman" w:cs="Times New Roman"/>
        <w:sz w:val="20"/>
        <w:szCs w:val="20"/>
      </w:rPr>
      <w:t xml:space="preserve">. </w:t>
    </w:r>
    <w:r w:rsidRPr="00235BFE">
      <w:rPr>
        <w:rFonts w:ascii="Times New Roman" w:eastAsia="Calibri" w:hAnsi="Times New Roman" w:cs="Times New Roman"/>
        <w:sz w:val="20"/>
        <w:szCs w:val="20"/>
      </w:rPr>
      <w:tab/>
    </w:r>
    <w:r w:rsidRPr="00235BFE">
      <w:rPr>
        <w:rFonts w:ascii="Times New Roman" w:eastAsia="Calibri" w:hAnsi="Times New Roman" w:cs="Times New Roman"/>
        <w:sz w:val="20"/>
        <w:szCs w:val="20"/>
      </w:rPr>
      <w:tab/>
      <w:t xml:space="preserve">Page </w:t>
    </w:r>
    <w:r w:rsidRPr="00235BFE">
      <w:rPr>
        <w:rFonts w:ascii="Times New Roman" w:eastAsia="Calibri" w:hAnsi="Times New Roman" w:cs="Times New Roman"/>
        <w:sz w:val="20"/>
        <w:szCs w:val="20"/>
      </w:rPr>
      <w:fldChar w:fldCharType="begin"/>
    </w:r>
    <w:r w:rsidRPr="00235BFE">
      <w:rPr>
        <w:rFonts w:ascii="Times New Roman" w:eastAsia="Calibri" w:hAnsi="Times New Roman" w:cs="Times New Roman"/>
        <w:sz w:val="20"/>
        <w:szCs w:val="20"/>
      </w:rPr>
      <w:instrText xml:space="preserve"> PAGE   \* MERGEFORMAT </w:instrText>
    </w:r>
    <w:r w:rsidRPr="00235BFE">
      <w:rPr>
        <w:rFonts w:ascii="Times New Roman" w:eastAsia="Calibri" w:hAnsi="Times New Roman" w:cs="Times New Roman"/>
        <w:sz w:val="20"/>
        <w:szCs w:val="20"/>
      </w:rPr>
      <w:fldChar w:fldCharType="separate"/>
    </w:r>
    <w:r w:rsidR="00C85636">
      <w:rPr>
        <w:rFonts w:ascii="Times New Roman" w:eastAsia="Calibri" w:hAnsi="Times New Roman" w:cs="Times New Roman"/>
        <w:noProof/>
        <w:sz w:val="20"/>
        <w:szCs w:val="20"/>
      </w:rPr>
      <w:t>34</w:t>
    </w:r>
    <w:r w:rsidRPr="00235BFE">
      <w:rPr>
        <w:rFonts w:ascii="Times New Roman" w:eastAsia="Calibri"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33CBB" w14:textId="77777777" w:rsidR="00235BFE" w:rsidRDefault="00235BFE" w:rsidP="003F58F9">
      <w:pPr>
        <w:spacing w:after="0" w:line="240" w:lineRule="auto"/>
      </w:pPr>
      <w:r>
        <w:separator/>
      </w:r>
    </w:p>
  </w:footnote>
  <w:footnote w:type="continuationSeparator" w:id="0">
    <w:p w14:paraId="63E09878" w14:textId="77777777" w:rsidR="00235BFE" w:rsidRDefault="00235BFE" w:rsidP="003F58F9">
      <w:pPr>
        <w:spacing w:after="0" w:line="240" w:lineRule="auto"/>
      </w:pPr>
      <w:r>
        <w:continuationSeparator/>
      </w:r>
    </w:p>
  </w:footnote>
  <w:footnote w:id="1">
    <w:p w14:paraId="690D0972" w14:textId="77777777" w:rsidR="00235BFE" w:rsidRPr="00EB294C" w:rsidRDefault="00235BFE">
      <w:pPr>
        <w:pStyle w:val="FootnoteText"/>
        <w:rPr>
          <w:rFonts w:ascii="Times New Roman" w:hAnsi="Times New Roman" w:cs="Times New Roman"/>
          <w:i/>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WUTC v. Pacific Power &amp; Light Company,</w:t>
      </w:r>
      <w:r w:rsidRPr="00EB294C">
        <w:rPr>
          <w:rFonts w:ascii="Times New Roman" w:hAnsi="Times New Roman" w:cs="Times New Roman"/>
        </w:rPr>
        <w:t xml:space="preserve"> Docket UE-130043, Partial Settlement Regarding Cost of Service, Rate Spread, and Rate Design ¶ 12.</w:t>
      </w:r>
    </w:p>
  </w:footnote>
  <w:footnote w:id="2">
    <w:p w14:paraId="034518DC" w14:textId="26643AE1"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Exhibit No.__</w:t>
      </w:r>
      <w:proofErr w:type="gramStart"/>
      <w:r w:rsidRPr="00EB294C">
        <w:rPr>
          <w:rFonts w:ascii="Times New Roman" w:hAnsi="Times New Roman" w:cs="Times New Roman"/>
        </w:rPr>
        <w:t>_(</w:t>
      </w:r>
      <w:proofErr w:type="gramEnd"/>
      <w:r w:rsidRPr="00EB294C">
        <w:rPr>
          <w:rFonts w:ascii="Times New Roman" w:hAnsi="Times New Roman" w:cs="Times New Roman"/>
        </w:rPr>
        <w:t>JRS-9).</w:t>
      </w:r>
    </w:p>
  </w:footnote>
  <w:footnote w:id="3">
    <w:p w14:paraId="690D0973"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Direct Testimony of Gregory N. Duvall,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GND-1CT), at 38: 6-10.</w:t>
      </w:r>
    </w:p>
  </w:footnote>
  <w:footnote w:id="4">
    <w:p w14:paraId="690D0974"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WUTC v. Pacific Power &amp; Light Company,</w:t>
      </w:r>
      <w:r w:rsidRPr="00EB294C">
        <w:rPr>
          <w:rFonts w:ascii="Times New Roman" w:hAnsi="Times New Roman" w:cs="Times New Roman"/>
        </w:rPr>
        <w:t xml:space="preserve"> Docket UE-130043,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GND-1CT), at 26: 4-7.</w:t>
      </w:r>
    </w:p>
  </w:footnote>
  <w:footnote w:id="5">
    <w:p w14:paraId="43CE8789" w14:textId="4388A73F"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For a summary of the Commission’s position on the role of dead bands in a PCAM, see </w:t>
      </w:r>
      <w:r w:rsidRPr="00EB294C">
        <w:rPr>
          <w:rFonts w:ascii="Times New Roman" w:hAnsi="Times New Roman" w:cs="Times New Roman"/>
          <w:i/>
        </w:rPr>
        <w:t xml:space="preserve">WUTC vs. PacifiCorp d/b/a Pacific Power &amp; Light Company, </w:t>
      </w:r>
      <w:r w:rsidRPr="00EB294C">
        <w:rPr>
          <w:rFonts w:ascii="Times New Roman" w:hAnsi="Times New Roman" w:cs="Times New Roman"/>
        </w:rPr>
        <w:t xml:space="preserve">Docket UE-050684, Order 04 (April 17, 2006), especially ¶ 93-96.  For a summary of the </w:t>
      </w:r>
      <w:r>
        <w:rPr>
          <w:rFonts w:ascii="Times New Roman" w:hAnsi="Times New Roman" w:cs="Times New Roman"/>
        </w:rPr>
        <w:t xml:space="preserve">structure of dead bands in </w:t>
      </w:r>
      <w:r w:rsidRPr="00EB294C">
        <w:rPr>
          <w:rFonts w:ascii="Times New Roman" w:hAnsi="Times New Roman" w:cs="Times New Roman"/>
        </w:rPr>
        <w:t xml:space="preserve">Avista Corporation’s PCAM, see </w:t>
      </w:r>
      <w:r w:rsidRPr="00EB294C">
        <w:rPr>
          <w:rFonts w:ascii="Times New Roman" w:hAnsi="Times New Roman" w:cs="Times New Roman"/>
          <w:i/>
        </w:rPr>
        <w:t xml:space="preserve">WUTC vs. Avista Corporation d/b/a Avista Utilities, </w:t>
      </w:r>
      <w:r w:rsidRPr="00EB294C">
        <w:rPr>
          <w:rFonts w:ascii="Times New Roman" w:hAnsi="Times New Roman" w:cs="Times New Roman"/>
        </w:rPr>
        <w:t>Docket UE-060181, Order 03.</w:t>
      </w:r>
    </w:p>
  </w:footnote>
  <w:footnote w:id="6">
    <w:p w14:paraId="4C6F546E" w14:textId="7806628A"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 xml:space="preserve">WUTC vs. Pacific Power &amp; Light Company, </w:t>
      </w:r>
      <w:r w:rsidRPr="00EB294C">
        <w:rPr>
          <w:rFonts w:ascii="Times New Roman" w:hAnsi="Times New Roman" w:cs="Times New Roman"/>
        </w:rPr>
        <w:t>Docket UE-050684, Testimony of Alan P. Buckley, pg. 194 at 9-20.</w:t>
      </w:r>
    </w:p>
  </w:footnote>
  <w:footnote w:id="7">
    <w:p w14:paraId="36183E2A" w14:textId="717F6434" w:rsidR="00235BFE" w:rsidRPr="00EB294C" w:rsidRDefault="00235BFE">
      <w:pPr>
        <w:pStyle w:val="FootnoteText"/>
        <w:rPr>
          <w:rFonts w:ascii="Times New Roman" w:hAnsi="Times New Roman" w:cs="Times New Roman"/>
          <w:i/>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WUTC vs. Avista Corporation d/b/a Avista Utilities</w:t>
      </w:r>
      <w:r w:rsidRPr="00EB294C">
        <w:rPr>
          <w:rFonts w:ascii="Times New Roman" w:hAnsi="Times New Roman" w:cs="Times New Roman"/>
        </w:rPr>
        <w:t>, Docket UE-011595, Order 05 (June 18</w:t>
      </w:r>
      <w:proofErr w:type="gramStart"/>
      <w:r w:rsidRPr="00EB294C">
        <w:rPr>
          <w:rFonts w:ascii="Times New Roman" w:hAnsi="Times New Roman" w:cs="Times New Roman"/>
        </w:rPr>
        <w:t>,2002</w:t>
      </w:r>
      <w:proofErr w:type="gramEnd"/>
      <w:r w:rsidRPr="00EB294C">
        <w:rPr>
          <w:rFonts w:ascii="Times New Roman" w:hAnsi="Times New Roman" w:cs="Times New Roman"/>
        </w:rPr>
        <w:t xml:space="preserve">) ¶ 36; </w:t>
      </w:r>
      <w:r w:rsidRPr="00EB294C" w:rsidDel="008D2011">
        <w:rPr>
          <w:rFonts w:ascii="Times New Roman" w:hAnsi="Times New Roman" w:cs="Times New Roman"/>
          <w:i/>
        </w:rPr>
        <w:t>WUTC v. Puget Sound Energy</w:t>
      </w:r>
      <w:r w:rsidRPr="00EB294C" w:rsidDel="008D2011">
        <w:rPr>
          <w:rFonts w:ascii="Times New Roman" w:hAnsi="Times New Roman" w:cs="Times New Roman"/>
        </w:rPr>
        <w:t>, Docket UE-011570, Order 12 (June 20, 2002</w:t>
      </w:r>
      <w:r w:rsidRPr="00EB294C">
        <w:rPr>
          <w:rFonts w:ascii="Times New Roman" w:hAnsi="Times New Roman" w:cs="Times New Roman"/>
        </w:rPr>
        <w:t>) ¶ 22-24.</w:t>
      </w:r>
    </w:p>
  </w:footnote>
  <w:footnote w:id="8">
    <w:p w14:paraId="690D0975"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WUTC v. Pacific Power,</w:t>
      </w:r>
      <w:r w:rsidRPr="00EB294C">
        <w:rPr>
          <w:rFonts w:ascii="Times New Roman" w:hAnsi="Times New Roman" w:cs="Times New Roman"/>
        </w:rPr>
        <w:t xml:space="preserve"> Docket UE-050684, Order 04 (April 17, 2006) ¶ 96.</w:t>
      </w:r>
    </w:p>
  </w:footnote>
  <w:footnote w:id="9">
    <w:p w14:paraId="690D0976" w14:textId="77777777" w:rsidR="00235BFE" w:rsidRPr="00EB294C" w:rsidRDefault="00235BFE" w:rsidP="007044B8">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proofErr w:type="gramStart"/>
      <w:r w:rsidRPr="00EB294C">
        <w:rPr>
          <w:rFonts w:ascii="Times New Roman" w:hAnsi="Times New Roman" w:cs="Times New Roman"/>
          <w:i/>
        </w:rPr>
        <w:t>WUTC v. Pacific Power &amp; Light Company,</w:t>
      </w:r>
      <w:r w:rsidRPr="00EB294C">
        <w:rPr>
          <w:rFonts w:ascii="Times New Roman" w:hAnsi="Times New Roman" w:cs="Times New Roman"/>
        </w:rPr>
        <w:t xml:space="preserve"> Docket UE-130043, Order 05 ¶ 170.</w:t>
      </w:r>
      <w:proofErr w:type="gramEnd"/>
    </w:p>
  </w:footnote>
  <w:footnote w:id="10">
    <w:p w14:paraId="2DCF83BF" w14:textId="77777777" w:rsidR="00235BFE" w:rsidRPr="00EB294C" w:rsidRDefault="00235BFE" w:rsidP="00EB5D3D">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WUTC v. Pacific Power &amp; Light Company,</w:t>
      </w:r>
      <w:r w:rsidRPr="00EB294C">
        <w:rPr>
          <w:rFonts w:ascii="Times New Roman" w:hAnsi="Times New Roman" w:cs="Times New Roman"/>
        </w:rPr>
        <w:t xml:space="preserve"> Docket UE-130043, Order 05</w:t>
      </w:r>
      <w:r w:rsidRPr="00EB294C">
        <w:rPr>
          <w:rFonts w:ascii="Times New Roman" w:hAnsi="Times New Roman" w:cs="Times New Roman"/>
          <w:i/>
        </w:rPr>
        <w:t>,</w:t>
      </w:r>
      <w:r w:rsidRPr="00EB294C">
        <w:rPr>
          <w:rFonts w:ascii="Times New Roman" w:hAnsi="Times New Roman" w:cs="Times New Roman"/>
        </w:rPr>
        <w:t xml:space="preserve"> ¶ 172.</w:t>
      </w:r>
    </w:p>
  </w:footnote>
  <w:footnote w:id="11">
    <w:p w14:paraId="0CFDFFAC" w14:textId="77777777" w:rsidR="00235BFE" w:rsidRPr="00EB294C" w:rsidRDefault="00235BFE" w:rsidP="00EB5D3D">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proofErr w:type="gramStart"/>
      <w:r w:rsidRPr="00EB294C">
        <w:rPr>
          <w:rFonts w:ascii="Times New Roman" w:hAnsi="Times New Roman" w:cs="Times New Roman"/>
        </w:rPr>
        <w:t>Direct testimony of Gregory N. Duvall, Exhibit No.</w:t>
      </w:r>
      <w:proofErr w:type="gramEnd"/>
      <w:r w:rsidRPr="00EB294C">
        <w:rPr>
          <w:rFonts w:ascii="Times New Roman" w:hAnsi="Times New Roman" w:cs="Times New Roman"/>
        </w:rPr>
        <w:t xml:space="preserve"> __</w:t>
      </w:r>
      <w:proofErr w:type="gramStart"/>
      <w:r w:rsidRPr="00EB294C">
        <w:rPr>
          <w:rFonts w:ascii="Times New Roman" w:hAnsi="Times New Roman" w:cs="Times New Roman"/>
        </w:rPr>
        <w:t>_(</w:t>
      </w:r>
      <w:proofErr w:type="gramEnd"/>
      <w:r w:rsidRPr="00EB294C">
        <w:rPr>
          <w:rFonts w:ascii="Times New Roman" w:hAnsi="Times New Roman" w:cs="Times New Roman"/>
        </w:rPr>
        <w:t>GND-1CT), Table 7, Page 42.</w:t>
      </w:r>
    </w:p>
  </w:footnote>
  <w:footnote w:id="12">
    <w:p w14:paraId="690D0977" w14:textId="04CE5790" w:rsidR="00235BFE" w:rsidRPr="00EB294C" w:rsidRDefault="00235BFE" w:rsidP="00C1299A">
      <w:pPr>
        <w:pStyle w:val="FootnoteText"/>
        <w:rPr>
          <w:rFonts w:ascii="Times New Roman" w:hAnsi="Times New Roman" w:cs="Times New Roman"/>
          <w:i/>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sidDel="008D2011">
        <w:rPr>
          <w:rFonts w:ascii="Times New Roman" w:hAnsi="Times New Roman" w:cs="Times New Roman"/>
        </w:rPr>
        <w:t xml:space="preserve">See </w:t>
      </w:r>
      <w:r w:rsidRPr="00EB294C" w:rsidDel="008D2011">
        <w:rPr>
          <w:rFonts w:ascii="Times New Roman" w:hAnsi="Times New Roman" w:cs="Times New Roman"/>
          <w:i/>
        </w:rPr>
        <w:t xml:space="preserve">WUTC v. Avista Corporation, </w:t>
      </w:r>
      <w:r w:rsidRPr="00EB294C" w:rsidDel="008D2011">
        <w:rPr>
          <w:rFonts w:ascii="Times New Roman" w:hAnsi="Times New Roman" w:cs="Times New Roman"/>
        </w:rPr>
        <w:t xml:space="preserve">Docket UE-011595, Order 05 (June 18, 2002) ¶ 35; </w:t>
      </w:r>
      <w:r w:rsidRPr="00EB294C" w:rsidDel="008D2011">
        <w:rPr>
          <w:rFonts w:ascii="Times New Roman" w:hAnsi="Times New Roman" w:cs="Times New Roman"/>
          <w:i/>
        </w:rPr>
        <w:t>WUTC v. Puget Sound Energy</w:t>
      </w:r>
      <w:r w:rsidRPr="00EB294C" w:rsidDel="008D2011">
        <w:rPr>
          <w:rFonts w:ascii="Times New Roman" w:hAnsi="Times New Roman" w:cs="Times New Roman"/>
        </w:rPr>
        <w:t xml:space="preserve">, Docket UE-011570, Order 12 (June 20, 2002) ¶ 23.  </w:t>
      </w:r>
      <w:r w:rsidRPr="00EB294C">
        <w:rPr>
          <w:rFonts w:ascii="Times New Roman" w:hAnsi="Times New Roman" w:cs="Times New Roman"/>
        </w:rPr>
        <w:t xml:space="preserve">For a summary of the limited NPC factors not included in the other companies’ PCAMs, see </w:t>
      </w:r>
      <w:r w:rsidRPr="00EB294C">
        <w:rPr>
          <w:rFonts w:ascii="Times New Roman" w:hAnsi="Times New Roman" w:cs="Times New Roman"/>
          <w:i/>
        </w:rPr>
        <w:t>WUTC v. Pacific Power &amp; Light Company,</w:t>
      </w:r>
      <w:r w:rsidRPr="00EB294C">
        <w:rPr>
          <w:rFonts w:ascii="Times New Roman" w:hAnsi="Times New Roman" w:cs="Times New Roman"/>
        </w:rPr>
        <w:t xml:space="preserve"> Docket UE-050684, </w:t>
      </w:r>
      <w:proofErr w:type="gramStart"/>
      <w:r w:rsidRPr="00EB294C">
        <w:rPr>
          <w:rFonts w:ascii="Times New Roman" w:hAnsi="Times New Roman" w:cs="Times New Roman"/>
        </w:rPr>
        <w:t>Order</w:t>
      </w:r>
      <w:proofErr w:type="gramEnd"/>
      <w:r w:rsidRPr="00EB294C">
        <w:rPr>
          <w:rFonts w:ascii="Times New Roman" w:hAnsi="Times New Roman" w:cs="Times New Roman"/>
        </w:rPr>
        <w:t xml:space="preserve"> 04 ¶ 93.</w:t>
      </w:r>
    </w:p>
  </w:footnote>
  <w:footnote w:id="13">
    <w:p w14:paraId="690D097C"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Direct Testimony of Joelle R.  Steward,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JRS-1T), at 9:19-20.</w:t>
      </w:r>
    </w:p>
  </w:footnote>
  <w:footnote w:id="14">
    <w:p w14:paraId="690D097D" w14:textId="6C3F4F2F"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Pacific Power’s “Integrated Resource Plan,” Volume 1, April 30, 2013, at 93-94.</w:t>
      </w:r>
    </w:p>
  </w:footnote>
  <w:footnote w:id="15">
    <w:p w14:paraId="2DABDBB5" w14:textId="53CDB98E"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Per materials provided at the Sept. 24, 2014, meeting of Pacific Power’s IRP advisory group.</w:t>
      </w:r>
    </w:p>
  </w:footnote>
  <w:footnote w:id="16">
    <w:p w14:paraId="690D097E"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WUTC vs. Pacific Power &amp; Light Company,</w:t>
      </w:r>
      <w:r w:rsidRPr="00EB294C">
        <w:rPr>
          <w:rFonts w:ascii="Times New Roman" w:hAnsi="Times New Roman" w:cs="Times New Roman"/>
        </w:rPr>
        <w:t xml:space="preserve"> Docket UE-130043,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CTM-1T) at 16:9-18.</w:t>
      </w:r>
    </w:p>
  </w:footnote>
  <w:footnote w:id="17">
    <w:p w14:paraId="690D097F"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Steward,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JRS-1T) at 12:Table 1.</w:t>
      </w:r>
    </w:p>
  </w:footnote>
  <w:footnote w:id="18">
    <w:p w14:paraId="690D0980"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 xml:space="preserve">Id. </w:t>
      </w:r>
      <w:r w:rsidRPr="00EB294C">
        <w:rPr>
          <w:rFonts w:ascii="Times New Roman" w:hAnsi="Times New Roman" w:cs="Times New Roman"/>
        </w:rPr>
        <w:t>at 11:7-9.</w:t>
      </w:r>
    </w:p>
  </w:footnote>
  <w:footnote w:id="19">
    <w:p w14:paraId="690D0981"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Id.</w:t>
      </w:r>
      <w:r w:rsidRPr="00EB294C">
        <w:rPr>
          <w:rFonts w:ascii="Times New Roman" w:hAnsi="Times New Roman" w:cs="Times New Roman"/>
        </w:rPr>
        <w:t xml:space="preserve"> at 11:10-12.</w:t>
      </w:r>
    </w:p>
  </w:footnote>
  <w:footnote w:id="20">
    <w:p w14:paraId="44FE6145" w14:textId="77777777" w:rsidR="00235BFE" w:rsidRPr="00EB294C" w:rsidRDefault="00235BFE" w:rsidP="0080648C">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Pacific Power 2013 Integrated Resource Plan, pg. 205.</w:t>
      </w:r>
    </w:p>
  </w:footnote>
  <w:footnote w:id="21">
    <w:p w14:paraId="690D0982"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In Washington, RCW 19.285.040(2) states that a utility’s annual RPS target will be a certain percentage of its load.</w:t>
      </w:r>
    </w:p>
  </w:footnote>
  <w:footnote w:id="22">
    <w:p w14:paraId="690D0983"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WUTC vs. Pacific Power &amp; Light Company,</w:t>
      </w:r>
      <w:r w:rsidRPr="00EB294C">
        <w:rPr>
          <w:rFonts w:ascii="Times New Roman" w:hAnsi="Times New Roman" w:cs="Times New Roman"/>
        </w:rPr>
        <w:t xml:space="preserve"> Docket UE-130043,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CTM-1T) at 21:8-20.</w:t>
      </w:r>
    </w:p>
  </w:footnote>
  <w:footnote w:id="23">
    <w:p w14:paraId="690D0984"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Steward,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JRS-1T) at 12:13.</w:t>
      </w:r>
    </w:p>
  </w:footnote>
  <w:footnote w:id="24">
    <w:p w14:paraId="690D0985"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 xml:space="preserve">Id. </w:t>
      </w:r>
      <w:r w:rsidRPr="00EB294C">
        <w:rPr>
          <w:rFonts w:ascii="Times New Roman" w:hAnsi="Times New Roman" w:cs="Times New Roman"/>
        </w:rPr>
        <w:t>at 13:2-6.</w:t>
      </w:r>
    </w:p>
  </w:footnote>
  <w:footnote w:id="25">
    <w:p w14:paraId="62D748C5" w14:textId="0B72CDE8"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 xml:space="preserve">WUTC vs. Puget Sound Energy, </w:t>
      </w:r>
      <w:r w:rsidRPr="00EB294C">
        <w:rPr>
          <w:rFonts w:ascii="Times New Roman" w:hAnsi="Times New Roman" w:cs="Times New Roman"/>
        </w:rPr>
        <w:t>Docket UE-111048, Order 08 (May 7, 2012) ¶ 336-337.</w:t>
      </w:r>
    </w:p>
  </w:footnote>
  <w:footnote w:id="26">
    <w:p w14:paraId="690D0986"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Robert E. Curry Jr., “The Law of Unintended Consequences.” </w:t>
      </w:r>
      <w:proofErr w:type="gramStart"/>
      <w:r w:rsidRPr="00EB294C">
        <w:rPr>
          <w:rFonts w:ascii="Times New Roman" w:hAnsi="Times New Roman" w:cs="Times New Roman"/>
          <w:i/>
        </w:rPr>
        <w:t>Public Utilities Fortnightly</w:t>
      </w:r>
      <w:r w:rsidRPr="00EB294C">
        <w:rPr>
          <w:rFonts w:ascii="Times New Roman" w:hAnsi="Times New Roman" w:cs="Times New Roman"/>
        </w:rPr>
        <w:t>, March 2013, pgs.</w:t>
      </w:r>
      <w:proofErr w:type="gramEnd"/>
      <w:r w:rsidRPr="00EB294C">
        <w:rPr>
          <w:rFonts w:ascii="Times New Roman" w:hAnsi="Times New Roman" w:cs="Times New Roman"/>
        </w:rPr>
        <w:t xml:space="preserve"> 44-48.</w:t>
      </w:r>
    </w:p>
  </w:footnote>
  <w:footnote w:id="27">
    <w:p w14:paraId="6B92D752" w14:textId="73D824B0" w:rsidR="00235BFE" w:rsidRPr="00EB294C" w:rsidRDefault="00235BFE" w:rsidP="00917BD7">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Direct Testimony of Bryce R. Dalley,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BRD-1T) at 5:9-11.</w:t>
      </w:r>
    </w:p>
  </w:footnote>
  <w:footnote w:id="28">
    <w:p w14:paraId="690D0988"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See </w:t>
      </w:r>
      <w:r w:rsidRPr="00EB294C">
        <w:rPr>
          <w:rFonts w:ascii="Times New Roman" w:hAnsi="Times New Roman" w:cs="Times New Roman"/>
          <w:i/>
        </w:rPr>
        <w:t>In the Matter of PacifiCorp d/b/a Pacific Power &amp; Light Company’s 2010-2011 Biennial Conservation Target under RCW 19.285.040</w:t>
      </w:r>
      <w:r w:rsidRPr="00EB294C">
        <w:rPr>
          <w:rFonts w:ascii="Times New Roman" w:hAnsi="Times New Roman" w:cs="Times New Roman"/>
        </w:rPr>
        <w:t xml:space="preserve">, Docket UE-100170, Order 03 ¶ 5 and </w:t>
      </w:r>
      <w:r w:rsidRPr="00EB294C">
        <w:rPr>
          <w:rFonts w:ascii="Times New Roman" w:hAnsi="Times New Roman" w:cs="Times New Roman"/>
          <w:i/>
        </w:rPr>
        <w:t xml:space="preserve">In the Matter of Pacific Power &amp; Light Company’s 2012-2013 Biennial Conservation Target </w:t>
      </w:r>
      <w:proofErr w:type="gramStart"/>
      <w:r w:rsidRPr="00EB294C">
        <w:rPr>
          <w:rFonts w:ascii="Times New Roman" w:hAnsi="Times New Roman" w:cs="Times New Roman"/>
          <w:i/>
        </w:rPr>
        <w:t>Under</w:t>
      </w:r>
      <w:proofErr w:type="gramEnd"/>
      <w:r w:rsidRPr="00EB294C">
        <w:rPr>
          <w:rFonts w:ascii="Times New Roman" w:hAnsi="Times New Roman" w:cs="Times New Roman"/>
          <w:i/>
        </w:rPr>
        <w:t xml:space="preserve"> RCW 19.285.040</w:t>
      </w:r>
      <w:r w:rsidRPr="00EB294C">
        <w:rPr>
          <w:rFonts w:ascii="Times New Roman" w:hAnsi="Times New Roman" w:cs="Times New Roman"/>
        </w:rPr>
        <w:t>, Docket UE-111880, Order 04 ¶ 12.</w:t>
      </w:r>
    </w:p>
  </w:footnote>
  <w:footnote w:id="29">
    <w:p w14:paraId="690D0989"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This figure assumes that the 61,060 MWh that the Company conserved in 2013 were saved at the margin and therefore would have been billed at the company’s second block, which is currently 9.817 cents/kWh.</w:t>
      </w:r>
    </w:p>
  </w:footnote>
  <w:footnote w:id="30">
    <w:p w14:paraId="015915AE" w14:textId="1B83825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The EPA’s proposed Clean Power Plan consists of four blocks that states may use to meet its proposed emissions reduction goals.  Block four consists of energy efficiency programs; each state’s target was calculated with an assumed conservation rate of 1.5 percent of its load.  As I stated on the previous page, Pacific Power’s efficiency programs currently save about 1.27 percent of its Washington load.  Should the state craft a compliance plan that includes the full 1.5 percent savings from the efficiency block, Pacific Power would likely be asked to accelerate its conservation </w:t>
      </w:r>
      <w:proofErr w:type="gramStart"/>
      <w:r w:rsidRPr="00EB294C">
        <w:rPr>
          <w:rFonts w:ascii="Times New Roman" w:hAnsi="Times New Roman" w:cs="Times New Roman"/>
        </w:rPr>
        <w:t>programs.</w:t>
      </w:r>
      <w:proofErr w:type="gramEnd"/>
    </w:p>
  </w:footnote>
  <w:footnote w:id="31">
    <w:p w14:paraId="690D098A"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proofErr w:type="gramStart"/>
      <w:r w:rsidRPr="00EB294C">
        <w:rPr>
          <w:rFonts w:ascii="Times New Roman" w:hAnsi="Times New Roman" w:cs="Times New Roman"/>
        </w:rPr>
        <w:t>Admad Faruqui, “Inclining Toward Efficiency.”</w:t>
      </w:r>
      <w:proofErr w:type="gramEnd"/>
      <w:r w:rsidRPr="00EB294C">
        <w:rPr>
          <w:rFonts w:ascii="Times New Roman" w:hAnsi="Times New Roman" w:cs="Times New Roman"/>
        </w:rPr>
        <w:t xml:space="preserve"> </w:t>
      </w:r>
      <w:r w:rsidRPr="00EB294C">
        <w:rPr>
          <w:rFonts w:ascii="Times New Roman" w:hAnsi="Times New Roman" w:cs="Times New Roman"/>
          <w:i/>
        </w:rPr>
        <w:t>Public Utilities Fortnightly</w:t>
      </w:r>
      <w:r w:rsidRPr="00EB294C">
        <w:rPr>
          <w:rFonts w:ascii="Times New Roman" w:hAnsi="Times New Roman" w:cs="Times New Roman"/>
        </w:rPr>
        <w:t>, August 2008.</w:t>
      </w:r>
    </w:p>
  </w:footnote>
  <w:footnote w:id="32">
    <w:p w14:paraId="690D098B"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Adam Pollock and Evgenia Shumilkina, “How to Induce Customers to Consume Energy Efficiently: Rate Design Options and Methods.” National Regulatory Research Institute, January 2010.</w:t>
      </w:r>
    </w:p>
  </w:footnote>
  <w:footnote w:id="33">
    <w:p w14:paraId="4996D39E" w14:textId="62C94665"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proofErr w:type="gramStart"/>
      <w:r w:rsidRPr="00EB294C">
        <w:rPr>
          <w:rFonts w:ascii="Times New Roman" w:hAnsi="Times New Roman" w:cs="Times New Roman"/>
        </w:rPr>
        <w:t>Housing and Urban Development Administration Guidebook, Chapter 18, pg. 18-5.</w:t>
      </w:r>
      <w:proofErr w:type="gramEnd"/>
      <w:r w:rsidRPr="00EB294C">
        <w:rPr>
          <w:rFonts w:ascii="Times New Roman" w:hAnsi="Times New Roman" w:cs="Times New Roman"/>
        </w:rPr>
        <w:t xml:space="preserve"> </w:t>
      </w:r>
      <w:proofErr w:type="gramStart"/>
      <w:r w:rsidRPr="00EB294C">
        <w:rPr>
          <w:rFonts w:ascii="Times New Roman" w:hAnsi="Times New Roman" w:cs="Times New Roman"/>
        </w:rPr>
        <w:t>Available at http://www.hud.gov/offices/adm/hudclips/guidebooks/7420.10G/7420g18GUID.pdf.</w:t>
      </w:r>
      <w:proofErr w:type="gramEnd"/>
    </w:p>
  </w:footnote>
  <w:footnote w:id="34">
    <w:p w14:paraId="1F86EFA8" w14:textId="12C5B3E2"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proofErr w:type="gramStart"/>
      <w:r w:rsidRPr="00EB294C">
        <w:rPr>
          <w:rFonts w:ascii="Times New Roman" w:hAnsi="Times New Roman" w:cs="Times New Roman"/>
        </w:rPr>
        <w:t>Bernstein, M.A. and J. Griffin, “Regional Differences in the Price-Elastic</w:t>
      </w:r>
      <w:r>
        <w:rPr>
          <w:rFonts w:ascii="Times New Roman" w:hAnsi="Times New Roman" w:cs="Times New Roman"/>
        </w:rPr>
        <w:t>i</w:t>
      </w:r>
      <w:r w:rsidRPr="00EB294C">
        <w:rPr>
          <w:rFonts w:ascii="Times New Roman" w:hAnsi="Times New Roman" w:cs="Times New Roman"/>
        </w:rPr>
        <w:t>ty of Demand for Energy.”</w:t>
      </w:r>
      <w:proofErr w:type="gramEnd"/>
      <w:r w:rsidRPr="00EB294C">
        <w:rPr>
          <w:rFonts w:ascii="Times New Roman" w:hAnsi="Times New Roman" w:cs="Times New Roman"/>
        </w:rPr>
        <w:t xml:space="preserve"> </w:t>
      </w:r>
      <w:proofErr w:type="gramStart"/>
      <w:r w:rsidRPr="00EB294C">
        <w:rPr>
          <w:rFonts w:ascii="Times New Roman" w:hAnsi="Times New Roman" w:cs="Times New Roman"/>
        </w:rPr>
        <w:t>National Renewable Energy Laboratory, 2006.</w:t>
      </w:r>
      <w:proofErr w:type="gramEnd"/>
      <w:r w:rsidRPr="00EB294C">
        <w:rPr>
          <w:rFonts w:ascii="Times New Roman" w:hAnsi="Times New Roman" w:cs="Times New Roman"/>
        </w:rPr>
        <w:t xml:space="preserve">  For Washington, the researchers calculated </w:t>
      </w:r>
      <w:proofErr w:type="gramStart"/>
      <w:r w:rsidRPr="00EB294C">
        <w:rPr>
          <w:rFonts w:ascii="Times New Roman" w:hAnsi="Times New Roman" w:cs="Times New Roman"/>
        </w:rPr>
        <w:t>a short</w:t>
      </w:r>
      <w:proofErr w:type="gramEnd"/>
      <w:r w:rsidRPr="00EB294C">
        <w:rPr>
          <w:rFonts w:ascii="Times New Roman" w:hAnsi="Times New Roman" w:cs="Times New Roman"/>
        </w:rPr>
        <w:t xml:space="preserve">-term price elasticity for electricity of -0.079 and a long-term price elasticity of -0.161. </w:t>
      </w:r>
    </w:p>
  </w:footnote>
  <w:footnote w:id="35">
    <w:p w14:paraId="5E8597D5" w14:textId="00F6428C"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For the purposes of this analysis, short-term is defined as the first year and long-term is defined as longer than one year.</w:t>
      </w:r>
    </w:p>
  </w:footnote>
  <w:footnote w:id="36">
    <w:p w14:paraId="35AA78F8" w14:textId="67C01E2A"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proofErr w:type="gramStart"/>
      <w:r w:rsidRPr="00EB294C">
        <w:rPr>
          <w:rFonts w:ascii="Times New Roman" w:hAnsi="Times New Roman" w:cs="Times New Roman"/>
        </w:rPr>
        <w:t>Company response to UTC Data Request 48.</w:t>
      </w:r>
      <w:proofErr w:type="gramEnd"/>
    </w:p>
  </w:footnote>
  <w:footnote w:id="37">
    <w:p w14:paraId="1A03E139" w14:textId="6D82100A"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Average usage for customers in the 3,500+ group is 4,497 kWh; analyzing a range between 3,500 and 6,000 kWh likely represents most of the customers that fall into this category and limits the ability of outlying users with </w:t>
      </w:r>
      <w:r>
        <w:rPr>
          <w:rFonts w:ascii="Times New Roman" w:hAnsi="Times New Roman" w:cs="Times New Roman"/>
        </w:rPr>
        <w:t>extremely</w:t>
      </w:r>
      <w:r w:rsidRPr="00EB294C">
        <w:rPr>
          <w:rFonts w:ascii="Times New Roman" w:hAnsi="Times New Roman" w:cs="Times New Roman"/>
        </w:rPr>
        <w:t xml:space="preserve"> high usage to skew the analysis.</w:t>
      </w:r>
    </w:p>
  </w:footnote>
  <w:footnote w:id="38">
    <w:p w14:paraId="05FFF4CA" w14:textId="77777777" w:rsidR="00235BFE" w:rsidRPr="00EB294C" w:rsidRDefault="00235BFE" w:rsidP="00634105">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If Elasticity = ∆Demand / ∆Price, then ∆Demand = Elasticity * ∆Price.</w:t>
      </w:r>
    </w:p>
  </w:footnote>
  <w:footnote w:id="39">
    <w:p w14:paraId="62E24361" w14:textId="529D8473"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For the purposes of this analysis, I define fixed costs as all costs other than the energy component of generation costs.</w:t>
      </w:r>
    </w:p>
  </w:footnote>
  <w:footnote w:id="40">
    <w:p w14:paraId="690D098C"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Direct Testimony of Joelle R.  Steward,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JRS-1T), at 26: 8-10.</w:t>
      </w:r>
    </w:p>
  </w:footnote>
  <w:footnote w:id="41">
    <w:p w14:paraId="690D098D"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 xml:space="preserve">Id, </w:t>
      </w:r>
      <w:r w:rsidRPr="00EB294C">
        <w:rPr>
          <w:rFonts w:ascii="Times New Roman" w:hAnsi="Times New Roman" w:cs="Times New Roman"/>
        </w:rPr>
        <w:t>at 26: 5-8.</w:t>
      </w:r>
    </w:p>
  </w:footnote>
  <w:footnote w:id="42">
    <w:p w14:paraId="690D098E"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For a summary of this issue, see “Fast Facts,” published by the California Independent System Operator and available at </w:t>
      </w:r>
      <w:r w:rsidRPr="00EB294C">
        <w:rPr>
          <w:rStyle w:val="HTMLCite"/>
          <w:rFonts w:ascii="Times New Roman" w:hAnsi="Times New Roman" w:cs="Times New Roman"/>
          <w:lang w:val="en"/>
        </w:rPr>
        <w:t>www.caiso.com/Documents/FlexibleResourcesHelpRenewables_FastFacts.pdf.</w:t>
      </w:r>
    </w:p>
  </w:footnote>
  <w:footnote w:id="43">
    <w:p w14:paraId="690D098F" w14:textId="478971E5"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Pr>
          <w:rFonts w:ascii="Times New Roman" w:hAnsi="Times New Roman" w:cs="Times New Roman"/>
        </w:rPr>
        <w:t xml:space="preserve">I </w:t>
      </w:r>
      <w:r w:rsidRPr="00EB294C">
        <w:rPr>
          <w:rFonts w:ascii="Times New Roman" w:hAnsi="Times New Roman" w:cs="Times New Roman"/>
        </w:rPr>
        <w:t xml:space="preserve">compared the top 200 hours as provided in Pacific Power’s cost-of-service study, Exhibit No.___(JRS-4), “200 Top Hrs” tab, against the recorded sunrise and sunset times for Yakima in 2013 as provided by </w:t>
      </w:r>
      <w:hyperlink r:id="rId1" w:history="1">
        <w:r w:rsidRPr="00EB294C">
          <w:rPr>
            <w:rStyle w:val="Hyperlink"/>
            <w:rFonts w:ascii="Times New Roman" w:hAnsi="Times New Roman" w:cs="Times New Roman"/>
          </w:rPr>
          <w:t>www.sunrisesunset.com</w:t>
        </w:r>
      </w:hyperlink>
      <w:r w:rsidRPr="00EB294C">
        <w:rPr>
          <w:rFonts w:ascii="Times New Roman" w:hAnsi="Times New Roman" w:cs="Times New Roman"/>
        </w:rPr>
        <w:t xml:space="preserve">. </w:t>
      </w:r>
      <w:r>
        <w:rPr>
          <w:rFonts w:ascii="Times New Roman" w:hAnsi="Times New Roman" w:cs="Times New Roman"/>
        </w:rPr>
        <w:t xml:space="preserve">I </w:t>
      </w:r>
      <w:r w:rsidRPr="00EB294C">
        <w:rPr>
          <w:rFonts w:ascii="Times New Roman" w:hAnsi="Times New Roman" w:cs="Times New Roman"/>
        </w:rPr>
        <w:t xml:space="preserve">did not include partial daylight hours when counting the number of peak hours that occurred during daylight. For example, if a peak occurred during the 4 p.m. hour and the sun set at 4:30 p.m., </w:t>
      </w:r>
      <w:r>
        <w:rPr>
          <w:rFonts w:ascii="Times New Roman" w:hAnsi="Times New Roman" w:cs="Times New Roman"/>
        </w:rPr>
        <w:t>I</w:t>
      </w:r>
      <w:r w:rsidRPr="00EB294C">
        <w:rPr>
          <w:rFonts w:ascii="Times New Roman" w:hAnsi="Times New Roman" w:cs="Times New Roman"/>
        </w:rPr>
        <w:t xml:space="preserve"> did not count that as a daylight peak hour. </w:t>
      </w:r>
    </w:p>
  </w:footnote>
  <w:footnote w:id="44">
    <w:p w14:paraId="690D0990" w14:textId="77777777" w:rsidR="00235BFE" w:rsidRPr="00EB294C" w:rsidRDefault="00235BFE">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Direct Testimony of Joelle R.  Steward, Exhibit No.  __</w:t>
      </w:r>
      <w:proofErr w:type="gramStart"/>
      <w:r w:rsidRPr="00EB294C">
        <w:rPr>
          <w:rFonts w:ascii="Times New Roman" w:hAnsi="Times New Roman" w:cs="Times New Roman"/>
        </w:rPr>
        <w:t>_(</w:t>
      </w:r>
      <w:proofErr w:type="gramEnd"/>
      <w:r w:rsidRPr="00EB294C">
        <w:rPr>
          <w:rFonts w:ascii="Times New Roman" w:hAnsi="Times New Roman" w:cs="Times New Roman"/>
        </w:rPr>
        <w:t>JRS-1T), at 25: 16 – 26: 2.</w:t>
      </w:r>
    </w:p>
  </w:footnote>
  <w:footnote w:id="45">
    <w:p w14:paraId="690D0991" w14:textId="77777777" w:rsidR="00235BFE" w:rsidRPr="00EB294C" w:rsidRDefault="00235BFE" w:rsidP="00FB0274">
      <w:pPr>
        <w:pStyle w:val="FootnoteText"/>
        <w:rPr>
          <w:rFonts w:ascii="Times New Roman" w:hAnsi="Times New Roman" w:cs="Times New Roman"/>
        </w:rPr>
      </w:pPr>
      <w:r w:rsidRPr="00EB294C">
        <w:rPr>
          <w:rStyle w:val="FootnoteReference"/>
          <w:rFonts w:ascii="Times New Roman" w:hAnsi="Times New Roman" w:cs="Times New Roman"/>
        </w:rPr>
        <w:footnoteRef/>
      </w:r>
      <w:r w:rsidRPr="00EB294C">
        <w:rPr>
          <w:rFonts w:ascii="Times New Roman" w:hAnsi="Times New Roman" w:cs="Times New Roman"/>
        </w:rPr>
        <w:t xml:space="preserve"> </w:t>
      </w:r>
      <w:r w:rsidRPr="00EB294C">
        <w:rPr>
          <w:rFonts w:ascii="Times New Roman" w:hAnsi="Times New Roman" w:cs="Times New Roman"/>
          <w:i/>
        </w:rPr>
        <w:t>Id.</w:t>
      </w:r>
      <w:r w:rsidRPr="00EB294C">
        <w:rPr>
          <w:rFonts w:ascii="Times New Roman" w:hAnsi="Times New Roman" w:cs="Times New Roman"/>
        </w:rPr>
        <w:t>, at 26: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50F5"/>
    <w:multiLevelType w:val="hybridMultilevel"/>
    <w:tmpl w:val="F6FE0ECA"/>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1">
    <w:nsid w:val="756A2E3D"/>
    <w:multiLevelType w:val="hybridMultilevel"/>
    <w:tmpl w:val="33A6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F2333E5"/>
    <w:multiLevelType w:val="hybridMultilevel"/>
    <w:tmpl w:val="15F849E8"/>
    <w:lvl w:ilvl="0" w:tplc="E0BC2BAE">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48"/>
    <w:rsid w:val="0000411C"/>
    <w:rsid w:val="00006B18"/>
    <w:rsid w:val="0001248F"/>
    <w:rsid w:val="00016E7E"/>
    <w:rsid w:val="00021DED"/>
    <w:rsid w:val="00024AFC"/>
    <w:rsid w:val="00033030"/>
    <w:rsid w:val="000339B5"/>
    <w:rsid w:val="0004527B"/>
    <w:rsid w:val="000453AA"/>
    <w:rsid w:val="0004739C"/>
    <w:rsid w:val="00056CCF"/>
    <w:rsid w:val="000644B3"/>
    <w:rsid w:val="00070DB9"/>
    <w:rsid w:val="0007445B"/>
    <w:rsid w:val="000768CF"/>
    <w:rsid w:val="000802F4"/>
    <w:rsid w:val="00080F97"/>
    <w:rsid w:val="00084497"/>
    <w:rsid w:val="00087499"/>
    <w:rsid w:val="00087C76"/>
    <w:rsid w:val="0009059F"/>
    <w:rsid w:val="000941DF"/>
    <w:rsid w:val="00096BFE"/>
    <w:rsid w:val="000A3EF8"/>
    <w:rsid w:val="000A4A8B"/>
    <w:rsid w:val="000C3F89"/>
    <w:rsid w:val="000C774A"/>
    <w:rsid w:val="000D0968"/>
    <w:rsid w:val="000D63BE"/>
    <w:rsid w:val="00102F83"/>
    <w:rsid w:val="001133F3"/>
    <w:rsid w:val="00116851"/>
    <w:rsid w:val="0014080B"/>
    <w:rsid w:val="00141A4F"/>
    <w:rsid w:val="00143C0B"/>
    <w:rsid w:val="00151F9D"/>
    <w:rsid w:val="00152914"/>
    <w:rsid w:val="00156F2F"/>
    <w:rsid w:val="001571BA"/>
    <w:rsid w:val="00163E8A"/>
    <w:rsid w:val="00165C67"/>
    <w:rsid w:val="00166CC7"/>
    <w:rsid w:val="0017268E"/>
    <w:rsid w:val="0017420F"/>
    <w:rsid w:val="00176EF6"/>
    <w:rsid w:val="00187BD9"/>
    <w:rsid w:val="001A15A1"/>
    <w:rsid w:val="001B1102"/>
    <w:rsid w:val="001B1CC7"/>
    <w:rsid w:val="001B1F41"/>
    <w:rsid w:val="001C06FD"/>
    <w:rsid w:val="001C0B36"/>
    <w:rsid w:val="001D42A7"/>
    <w:rsid w:val="001E3404"/>
    <w:rsid w:val="001F36D5"/>
    <w:rsid w:val="001F47A3"/>
    <w:rsid w:val="001F75B5"/>
    <w:rsid w:val="00200444"/>
    <w:rsid w:val="0021762B"/>
    <w:rsid w:val="0022290D"/>
    <w:rsid w:val="00230CD7"/>
    <w:rsid w:val="00235333"/>
    <w:rsid w:val="00235BFE"/>
    <w:rsid w:val="0025411F"/>
    <w:rsid w:val="00271A94"/>
    <w:rsid w:val="00274B5A"/>
    <w:rsid w:val="0027554B"/>
    <w:rsid w:val="00293F51"/>
    <w:rsid w:val="002A1336"/>
    <w:rsid w:val="002A28A9"/>
    <w:rsid w:val="002C3500"/>
    <w:rsid w:val="002F0F94"/>
    <w:rsid w:val="002F3F45"/>
    <w:rsid w:val="003016FA"/>
    <w:rsid w:val="00302751"/>
    <w:rsid w:val="00303355"/>
    <w:rsid w:val="003166FF"/>
    <w:rsid w:val="003217AA"/>
    <w:rsid w:val="0033453C"/>
    <w:rsid w:val="00334DA2"/>
    <w:rsid w:val="0034089E"/>
    <w:rsid w:val="00355C36"/>
    <w:rsid w:val="0036354F"/>
    <w:rsid w:val="00370A79"/>
    <w:rsid w:val="003813E8"/>
    <w:rsid w:val="00393277"/>
    <w:rsid w:val="00397D90"/>
    <w:rsid w:val="003A2B91"/>
    <w:rsid w:val="003A4ACB"/>
    <w:rsid w:val="003B08D3"/>
    <w:rsid w:val="003B6072"/>
    <w:rsid w:val="003C1FB2"/>
    <w:rsid w:val="003C533F"/>
    <w:rsid w:val="003C6DFD"/>
    <w:rsid w:val="003E2C39"/>
    <w:rsid w:val="003F555E"/>
    <w:rsid w:val="003F58F9"/>
    <w:rsid w:val="003F6167"/>
    <w:rsid w:val="004014AB"/>
    <w:rsid w:val="0042038A"/>
    <w:rsid w:val="004362BB"/>
    <w:rsid w:val="00437932"/>
    <w:rsid w:val="00440DEA"/>
    <w:rsid w:val="00447EDD"/>
    <w:rsid w:val="00454C3B"/>
    <w:rsid w:val="00467D94"/>
    <w:rsid w:val="00474248"/>
    <w:rsid w:val="004871DC"/>
    <w:rsid w:val="004903BC"/>
    <w:rsid w:val="004938B5"/>
    <w:rsid w:val="004A327D"/>
    <w:rsid w:val="004B2DE7"/>
    <w:rsid w:val="004B3168"/>
    <w:rsid w:val="004B46BA"/>
    <w:rsid w:val="004B5278"/>
    <w:rsid w:val="004C2A65"/>
    <w:rsid w:val="004D0F01"/>
    <w:rsid w:val="004D27FC"/>
    <w:rsid w:val="004D41CD"/>
    <w:rsid w:val="004E3C00"/>
    <w:rsid w:val="00511EEC"/>
    <w:rsid w:val="005203E6"/>
    <w:rsid w:val="00525B0F"/>
    <w:rsid w:val="0054187E"/>
    <w:rsid w:val="00544EDB"/>
    <w:rsid w:val="0054510C"/>
    <w:rsid w:val="005474A6"/>
    <w:rsid w:val="00550618"/>
    <w:rsid w:val="00550848"/>
    <w:rsid w:val="00561A6D"/>
    <w:rsid w:val="005624EE"/>
    <w:rsid w:val="00587F51"/>
    <w:rsid w:val="005B2A2D"/>
    <w:rsid w:val="005B3C78"/>
    <w:rsid w:val="005C48AA"/>
    <w:rsid w:val="005D2423"/>
    <w:rsid w:val="005E4C13"/>
    <w:rsid w:val="005E7C9F"/>
    <w:rsid w:val="00603B06"/>
    <w:rsid w:val="00611AF6"/>
    <w:rsid w:val="006200C5"/>
    <w:rsid w:val="0062263F"/>
    <w:rsid w:val="00634105"/>
    <w:rsid w:val="006553CA"/>
    <w:rsid w:val="00664207"/>
    <w:rsid w:val="006663DE"/>
    <w:rsid w:val="006749FD"/>
    <w:rsid w:val="006A451B"/>
    <w:rsid w:val="006B1EC8"/>
    <w:rsid w:val="006B474B"/>
    <w:rsid w:val="006B492C"/>
    <w:rsid w:val="006C151B"/>
    <w:rsid w:val="006D0D14"/>
    <w:rsid w:val="006E016F"/>
    <w:rsid w:val="006F123B"/>
    <w:rsid w:val="00700A56"/>
    <w:rsid w:val="007044B8"/>
    <w:rsid w:val="0071165E"/>
    <w:rsid w:val="007174B2"/>
    <w:rsid w:val="00736B48"/>
    <w:rsid w:val="00736B8F"/>
    <w:rsid w:val="00743D40"/>
    <w:rsid w:val="00743D58"/>
    <w:rsid w:val="00755605"/>
    <w:rsid w:val="00755ECB"/>
    <w:rsid w:val="00756C65"/>
    <w:rsid w:val="0076102B"/>
    <w:rsid w:val="00764AC8"/>
    <w:rsid w:val="007726E6"/>
    <w:rsid w:val="00774745"/>
    <w:rsid w:val="00777FCB"/>
    <w:rsid w:val="00781EDE"/>
    <w:rsid w:val="007825A8"/>
    <w:rsid w:val="00790D56"/>
    <w:rsid w:val="00790EBB"/>
    <w:rsid w:val="00794EE2"/>
    <w:rsid w:val="007A7EFA"/>
    <w:rsid w:val="007B6CFD"/>
    <w:rsid w:val="007E15E8"/>
    <w:rsid w:val="007E2398"/>
    <w:rsid w:val="007F1B05"/>
    <w:rsid w:val="007F7FC4"/>
    <w:rsid w:val="00800CA3"/>
    <w:rsid w:val="0080390E"/>
    <w:rsid w:val="0080648C"/>
    <w:rsid w:val="00806627"/>
    <w:rsid w:val="00816ACE"/>
    <w:rsid w:val="00817E92"/>
    <w:rsid w:val="00833F5A"/>
    <w:rsid w:val="00835960"/>
    <w:rsid w:val="0083781B"/>
    <w:rsid w:val="0085226E"/>
    <w:rsid w:val="00854C0B"/>
    <w:rsid w:val="00864653"/>
    <w:rsid w:val="008648EF"/>
    <w:rsid w:val="00866CD3"/>
    <w:rsid w:val="0087259E"/>
    <w:rsid w:val="008730FE"/>
    <w:rsid w:val="008739A3"/>
    <w:rsid w:val="00876BE7"/>
    <w:rsid w:val="00881E2C"/>
    <w:rsid w:val="00883D8C"/>
    <w:rsid w:val="0088450B"/>
    <w:rsid w:val="00892A4D"/>
    <w:rsid w:val="00894354"/>
    <w:rsid w:val="00897454"/>
    <w:rsid w:val="008A155F"/>
    <w:rsid w:val="008A2F9C"/>
    <w:rsid w:val="008A54B8"/>
    <w:rsid w:val="008A66BE"/>
    <w:rsid w:val="008B5E38"/>
    <w:rsid w:val="008C03F3"/>
    <w:rsid w:val="008C249E"/>
    <w:rsid w:val="008C4F8E"/>
    <w:rsid w:val="008C6919"/>
    <w:rsid w:val="008D041A"/>
    <w:rsid w:val="008D2011"/>
    <w:rsid w:val="00907A1B"/>
    <w:rsid w:val="0091287C"/>
    <w:rsid w:val="009131EB"/>
    <w:rsid w:val="009138D0"/>
    <w:rsid w:val="00914EB1"/>
    <w:rsid w:val="00917BD7"/>
    <w:rsid w:val="00923F8B"/>
    <w:rsid w:val="00945AA6"/>
    <w:rsid w:val="009613CE"/>
    <w:rsid w:val="009648D7"/>
    <w:rsid w:val="00973F56"/>
    <w:rsid w:val="0098477B"/>
    <w:rsid w:val="00992AA1"/>
    <w:rsid w:val="009A16AA"/>
    <w:rsid w:val="009C041F"/>
    <w:rsid w:val="009C2A3A"/>
    <w:rsid w:val="009C6617"/>
    <w:rsid w:val="009C67EC"/>
    <w:rsid w:val="009D1459"/>
    <w:rsid w:val="009D3BE9"/>
    <w:rsid w:val="009D4C0B"/>
    <w:rsid w:val="009E6670"/>
    <w:rsid w:val="009E7449"/>
    <w:rsid w:val="009F36E2"/>
    <w:rsid w:val="009F3CE9"/>
    <w:rsid w:val="00A12991"/>
    <w:rsid w:val="00A17B6C"/>
    <w:rsid w:val="00A308E6"/>
    <w:rsid w:val="00A55C16"/>
    <w:rsid w:val="00A703D8"/>
    <w:rsid w:val="00A70F63"/>
    <w:rsid w:val="00A73853"/>
    <w:rsid w:val="00A85D44"/>
    <w:rsid w:val="00A86B72"/>
    <w:rsid w:val="00A87EE5"/>
    <w:rsid w:val="00A97F4E"/>
    <w:rsid w:val="00AA351F"/>
    <w:rsid w:val="00AA65DC"/>
    <w:rsid w:val="00AB2452"/>
    <w:rsid w:val="00AB2E63"/>
    <w:rsid w:val="00AB6CE9"/>
    <w:rsid w:val="00AC1D29"/>
    <w:rsid w:val="00AC7925"/>
    <w:rsid w:val="00AD54A8"/>
    <w:rsid w:val="00AD5B97"/>
    <w:rsid w:val="00AD658C"/>
    <w:rsid w:val="00AD7D19"/>
    <w:rsid w:val="00B12113"/>
    <w:rsid w:val="00B16794"/>
    <w:rsid w:val="00B32F93"/>
    <w:rsid w:val="00B65F58"/>
    <w:rsid w:val="00B7296A"/>
    <w:rsid w:val="00B745FA"/>
    <w:rsid w:val="00B77388"/>
    <w:rsid w:val="00B84422"/>
    <w:rsid w:val="00B92F99"/>
    <w:rsid w:val="00B933C6"/>
    <w:rsid w:val="00B97061"/>
    <w:rsid w:val="00B97156"/>
    <w:rsid w:val="00BA181A"/>
    <w:rsid w:val="00BA4CA0"/>
    <w:rsid w:val="00BA4CC7"/>
    <w:rsid w:val="00BA59A9"/>
    <w:rsid w:val="00BA6588"/>
    <w:rsid w:val="00BB497C"/>
    <w:rsid w:val="00BC00D8"/>
    <w:rsid w:val="00BC7FB4"/>
    <w:rsid w:val="00BD4037"/>
    <w:rsid w:val="00BF1ADF"/>
    <w:rsid w:val="00C01025"/>
    <w:rsid w:val="00C07894"/>
    <w:rsid w:val="00C1299A"/>
    <w:rsid w:val="00C16E6E"/>
    <w:rsid w:val="00C21822"/>
    <w:rsid w:val="00C232C6"/>
    <w:rsid w:val="00C2536D"/>
    <w:rsid w:val="00C31E9B"/>
    <w:rsid w:val="00C34623"/>
    <w:rsid w:val="00C47E48"/>
    <w:rsid w:val="00C510F8"/>
    <w:rsid w:val="00C52E1A"/>
    <w:rsid w:val="00C61CFF"/>
    <w:rsid w:val="00C70B2B"/>
    <w:rsid w:val="00C75645"/>
    <w:rsid w:val="00C77494"/>
    <w:rsid w:val="00C801B8"/>
    <w:rsid w:val="00C8028D"/>
    <w:rsid w:val="00C845A3"/>
    <w:rsid w:val="00C85636"/>
    <w:rsid w:val="00CA6729"/>
    <w:rsid w:val="00CA7276"/>
    <w:rsid w:val="00CB20EE"/>
    <w:rsid w:val="00CB41E0"/>
    <w:rsid w:val="00CB6EF0"/>
    <w:rsid w:val="00CB7CB3"/>
    <w:rsid w:val="00CC33A1"/>
    <w:rsid w:val="00CC6C72"/>
    <w:rsid w:val="00CE243E"/>
    <w:rsid w:val="00CF078D"/>
    <w:rsid w:val="00D12606"/>
    <w:rsid w:val="00D2354F"/>
    <w:rsid w:val="00D31DB6"/>
    <w:rsid w:val="00D348A2"/>
    <w:rsid w:val="00D416F8"/>
    <w:rsid w:val="00D42819"/>
    <w:rsid w:val="00D47D9A"/>
    <w:rsid w:val="00D61E53"/>
    <w:rsid w:val="00D6771B"/>
    <w:rsid w:val="00DB7232"/>
    <w:rsid w:val="00DD4C2E"/>
    <w:rsid w:val="00DE4474"/>
    <w:rsid w:val="00DE66D5"/>
    <w:rsid w:val="00E01994"/>
    <w:rsid w:val="00E028CA"/>
    <w:rsid w:val="00E03FDE"/>
    <w:rsid w:val="00E25EE1"/>
    <w:rsid w:val="00E442A7"/>
    <w:rsid w:val="00E6405D"/>
    <w:rsid w:val="00E76B6F"/>
    <w:rsid w:val="00E869F7"/>
    <w:rsid w:val="00EA5774"/>
    <w:rsid w:val="00EB000B"/>
    <w:rsid w:val="00EB294C"/>
    <w:rsid w:val="00EB5D3D"/>
    <w:rsid w:val="00EC1D1D"/>
    <w:rsid w:val="00EC336A"/>
    <w:rsid w:val="00EC5456"/>
    <w:rsid w:val="00EC667A"/>
    <w:rsid w:val="00ED105C"/>
    <w:rsid w:val="00ED28E4"/>
    <w:rsid w:val="00ED7DC1"/>
    <w:rsid w:val="00EE307A"/>
    <w:rsid w:val="00EF4DBA"/>
    <w:rsid w:val="00F1004B"/>
    <w:rsid w:val="00F13C9C"/>
    <w:rsid w:val="00F152F1"/>
    <w:rsid w:val="00F24CB2"/>
    <w:rsid w:val="00F34E52"/>
    <w:rsid w:val="00F4407C"/>
    <w:rsid w:val="00F531D9"/>
    <w:rsid w:val="00F64E0D"/>
    <w:rsid w:val="00F66BD5"/>
    <w:rsid w:val="00F76EC7"/>
    <w:rsid w:val="00F854D8"/>
    <w:rsid w:val="00F86D5D"/>
    <w:rsid w:val="00FA0B53"/>
    <w:rsid w:val="00FA67D3"/>
    <w:rsid w:val="00FA6D3C"/>
    <w:rsid w:val="00FB0274"/>
    <w:rsid w:val="00FB57D9"/>
    <w:rsid w:val="00FB65B7"/>
    <w:rsid w:val="00FB7553"/>
    <w:rsid w:val="00FD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5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8F9"/>
    <w:rPr>
      <w:sz w:val="20"/>
      <w:szCs w:val="20"/>
    </w:rPr>
  </w:style>
  <w:style w:type="character" w:styleId="FootnoteReference">
    <w:name w:val="footnote reference"/>
    <w:basedOn w:val="DefaultParagraphFont"/>
    <w:uiPriority w:val="99"/>
    <w:semiHidden/>
    <w:unhideWhenUsed/>
    <w:rsid w:val="003F58F9"/>
    <w:rPr>
      <w:vertAlign w:val="superscript"/>
    </w:rPr>
  </w:style>
  <w:style w:type="paragraph" w:styleId="ListParagraph">
    <w:name w:val="List Paragraph"/>
    <w:basedOn w:val="Normal"/>
    <w:uiPriority w:val="34"/>
    <w:qFormat/>
    <w:rsid w:val="004938B5"/>
    <w:pPr>
      <w:ind w:left="720"/>
      <w:contextualSpacing/>
    </w:pPr>
  </w:style>
  <w:style w:type="character" w:styleId="HTMLCite">
    <w:name w:val="HTML Cite"/>
    <w:basedOn w:val="DefaultParagraphFont"/>
    <w:uiPriority w:val="99"/>
    <w:semiHidden/>
    <w:unhideWhenUsed/>
    <w:rsid w:val="00F4407C"/>
    <w:rPr>
      <w:i w:val="0"/>
      <w:iCs w:val="0"/>
      <w:color w:val="009030"/>
    </w:rPr>
  </w:style>
  <w:style w:type="character" w:styleId="Hyperlink">
    <w:name w:val="Hyperlink"/>
    <w:basedOn w:val="DefaultParagraphFont"/>
    <w:uiPriority w:val="99"/>
    <w:unhideWhenUsed/>
    <w:rsid w:val="001C0B36"/>
    <w:rPr>
      <w:color w:val="0563C1" w:themeColor="hyperlink"/>
      <w:u w:val="single"/>
    </w:rPr>
  </w:style>
  <w:style w:type="paragraph" w:styleId="BalloonText">
    <w:name w:val="Balloon Text"/>
    <w:basedOn w:val="Normal"/>
    <w:link w:val="BalloonTextChar"/>
    <w:uiPriority w:val="99"/>
    <w:semiHidden/>
    <w:unhideWhenUsed/>
    <w:rsid w:val="008A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5F"/>
    <w:rPr>
      <w:rFonts w:ascii="Tahoma" w:hAnsi="Tahoma" w:cs="Tahoma"/>
      <w:sz w:val="16"/>
      <w:szCs w:val="16"/>
    </w:rPr>
  </w:style>
  <w:style w:type="character" w:styleId="CommentReference">
    <w:name w:val="annotation reference"/>
    <w:basedOn w:val="DefaultParagraphFont"/>
    <w:uiPriority w:val="99"/>
    <w:semiHidden/>
    <w:unhideWhenUsed/>
    <w:rsid w:val="00743D40"/>
    <w:rPr>
      <w:sz w:val="16"/>
      <w:szCs w:val="16"/>
    </w:rPr>
  </w:style>
  <w:style w:type="paragraph" w:styleId="CommentText">
    <w:name w:val="annotation text"/>
    <w:basedOn w:val="Normal"/>
    <w:link w:val="CommentTextChar"/>
    <w:uiPriority w:val="99"/>
    <w:semiHidden/>
    <w:unhideWhenUsed/>
    <w:rsid w:val="00743D40"/>
    <w:pPr>
      <w:spacing w:line="240" w:lineRule="auto"/>
    </w:pPr>
    <w:rPr>
      <w:sz w:val="20"/>
      <w:szCs w:val="20"/>
    </w:rPr>
  </w:style>
  <w:style w:type="character" w:customStyle="1" w:styleId="CommentTextChar">
    <w:name w:val="Comment Text Char"/>
    <w:basedOn w:val="DefaultParagraphFont"/>
    <w:link w:val="CommentText"/>
    <w:uiPriority w:val="99"/>
    <w:semiHidden/>
    <w:rsid w:val="00743D40"/>
    <w:rPr>
      <w:sz w:val="20"/>
      <w:szCs w:val="20"/>
    </w:rPr>
  </w:style>
  <w:style w:type="paragraph" w:styleId="CommentSubject">
    <w:name w:val="annotation subject"/>
    <w:basedOn w:val="CommentText"/>
    <w:next w:val="CommentText"/>
    <w:link w:val="CommentSubjectChar"/>
    <w:uiPriority w:val="99"/>
    <w:semiHidden/>
    <w:unhideWhenUsed/>
    <w:rsid w:val="00743D40"/>
    <w:rPr>
      <w:b/>
      <w:bCs/>
    </w:rPr>
  </w:style>
  <w:style w:type="character" w:customStyle="1" w:styleId="CommentSubjectChar">
    <w:name w:val="Comment Subject Char"/>
    <w:basedOn w:val="CommentTextChar"/>
    <w:link w:val="CommentSubject"/>
    <w:uiPriority w:val="99"/>
    <w:semiHidden/>
    <w:rsid w:val="00743D40"/>
    <w:rPr>
      <w:b/>
      <w:bCs/>
      <w:sz w:val="20"/>
      <w:szCs w:val="20"/>
    </w:rPr>
  </w:style>
  <w:style w:type="character" w:styleId="LineNumber">
    <w:name w:val="line number"/>
    <w:basedOn w:val="DefaultParagraphFont"/>
    <w:uiPriority w:val="99"/>
    <w:semiHidden/>
    <w:unhideWhenUsed/>
    <w:rsid w:val="00235BFE"/>
    <w:rPr>
      <w:rFonts w:ascii="Times New Roman" w:hAnsi="Times New Roman"/>
      <w:sz w:val="24"/>
    </w:rPr>
  </w:style>
  <w:style w:type="paragraph" w:styleId="Header">
    <w:name w:val="header"/>
    <w:basedOn w:val="Normal"/>
    <w:link w:val="HeaderChar"/>
    <w:uiPriority w:val="99"/>
    <w:unhideWhenUsed/>
    <w:rsid w:val="00235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BFE"/>
  </w:style>
  <w:style w:type="paragraph" w:styleId="Footer">
    <w:name w:val="footer"/>
    <w:basedOn w:val="Normal"/>
    <w:link w:val="FooterChar"/>
    <w:uiPriority w:val="99"/>
    <w:unhideWhenUsed/>
    <w:rsid w:val="00235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5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8F9"/>
    <w:rPr>
      <w:sz w:val="20"/>
      <w:szCs w:val="20"/>
    </w:rPr>
  </w:style>
  <w:style w:type="character" w:styleId="FootnoteReference">
    <w:name w:val="footnote reference"/>
    <w:basedOn w:val="DefaultParagraphFont"/>
    <w:uiPriority w:val="99"/>
    <w:semiHidden/>
    <w:unhideWhenUsed/>
    <w:rsid w:val="003F58F9"/>
    <w:rPr>
      <w:vertAlign w:val="superscript"/>
    </w:rPr>
  </w:style>
  <w:style w:type="paragraph" w:styleId="ListParagraph">
    <w:name w:val="List Paragraph"/>
    <w:basedOn w:val="Normal"/>
    <w:uiPriority w:val="34"/>
    <w:qFormat/>
    <w:rsid w:val="004938B5"/>
    <w:pPr>
      <w:ind w:left="720"/>
      <w:contextualSpacing/>
    </w:pPr>
  </w:style>
  <w:style w:type="character" w:styleId="HTMLCite">
    <w:name w:val="HTML Cite"/>
    <w:basedOn w:val="DefaultParagraphFont"/>
    <w:uiPriority w:val="99"/>
    <w:semiHidden/>
    <w:unhideWhenUsed/>
    <w:rsid w:val="00F4407C"/>
    <w:rPr>
      <w:i w:val="0"/>
      <w:iCs w:val="0"/>
      <w:color w:val="009030"/>
    </w:rPr>
  </w:style>
  <w:style w:type="character" w:styleId="Hyperlink">
    <w:name w:val="Hyperlink"/>
    <w:basedOn w:val="DefaultParagraphFont"/>
    <w:uiPriority w:val="99"/>
    <w:unhideWhenUsed/>
    <w:rsid w:val="001C0B36"/>
    <w:rPr>
      <w:color w:val="0563C1" w:themeColor="hyperlink"/>
      <w:u w:val="single"/>
    </w:rPr>
  </w:style>
  <w:style w:type="paragraph" w:styleId="BalloonText">
    <w:name w:val="Balloon Text"/>
    <w:basedOn w:val="Normal"/>
    <w:link w:val="BalloonTextChar"/>
    <w:uiPriority w:val="99"/>
    <w:semiHidden/>
    <w:unhideWhenUsed/>
    <w:rsid w:val="008A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5F"/>
    <w:rPr>
      <w:rFonts w:ascii="Tahoma" w:hAnsi="Tahoma" w:cs="Tahoma"/>
      <w:sz w:val="16"/>
      <w:szCs w:val="16"/>
    </w:rPr>
  </w:style>
  <w:style w:type="character" w:styleId="CommentReference">
    <w:name w:val="annotation reference"/>
    <w:basedOn w:val="DefaultParagraphFont"/>
    <w:uiPriority w:val="99"/>
    <w:semiHidden/>
    <w:unhideWhenUsed/>
    <w:rsid w:val="00743D40"/>
    <w:rPr>
      <w:sz w:val="16"/>
      <w:szCs w:val="16"/>
    </w:rPr>
  </w:style>
  <w:style w:type="paragraph" w:styleId="CommentText">
    <w:name w:val="annotation text"/>
    <w:basedOn w:val="Normal"/>
    <w:link w:val="CommentTextChar"/>
    <w:uiPriority w:val="99"/>
    <w:semiHidden/>
    <w:unhideWhenUsed/>
    <w:rsid w:val="00743D40"/>
    <w:pPr>
      <w:spacing w:line="240" w:lineRule="auto"/>
    </w:pPr>
    <w:rPr>
      <w:sz w:val="20"/>
      <w:szCs w:val="20"/>
    </w:rPr>
  </w:style>
  <w:style w:type="character" w:customStyle="1" w:styleId="CommentTextChar">
    <w:name w:val="Comment Text Char"/>
    <w:basedOn w:val="DefaultParagraphFont"/>
    <w:link w:val="CommentText"/>
    <w:uiPriority w:val="99"/>
    <w:semiHidden/>
    <w:rsid w:val="00743D40"/>
    <w:rPr>
      <w:sz w:val="20"/>
      <w:szCs w:val="20"/>
    </w:rPr>
  </w:style>
  <w:style w:type="paragraph" w:styleId="CommentSubject">
    <w:name w:val="annotation subject"/>
    <w:basedOn w:val="CommentText"/>
    <w:next w:val="CommentText"/>
    <w:link w:val="CommentSubjectChar"/>
    <w:uiPriority w:val="99"/>
    <w:semiHidden/>
    <w:unhideWhenUsed/>
    <w:rsid w:val="00743D40"/>
    <w:rPr>
      <w:b/>
      <w:bCs/>
    </w:rPr>
  </w:style>
  <w:style w:type="character" w:customStyle="1" w:styleId="CommentSubjectChar">
    <w:name w:val="Comment Subject Char"/>
    <w:basedOn w:val="CommentTextChar"/>
    <w:link w:val="CommentSubject"/>
    <w:uiPriority w:val="99"/>
    <w:semiHidden/>
    <w:rsid w:val="00743D40"/>
    <w:rPr>
      <w:b/>
      <w:bCs/>
      <w:sz w:val="20"/>
      <w:szCs w:val="20"/>
    </w:rPr>
  </w:style>
  <w:style w:type="character" w:styleId="LineNumber">
    <w:name w:val="line number"/>
    <w:basedOn w:val="DefaultParagraphFont"/>
    <w:uiPriority w:val="99"/>
    <w:semiHidden/>
    <w:unhideWhenUsed/>
    <w:rsid w:val="00235BFE"/>
    <w:rPr>
      <w:rFonts w:ascii="Times New Roman" w:hAnsi="Times New Roman"/>
      <w:sz w:val="24"/>
    </w:rPr>
  </w:style>
  <w:style w:type="paragraph" w:styleId="Header">
    <w:name w:val="header"/>
    <w:basedOn w:val="Normal"/>
    <w:link w:val="HeaderChar"/>
    <w:uiPriority w:val="99"/>
    <w:unhideWhenUsed/>
    <w:rsid w:val="00235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BFE"/>
  </w:style>
  <w:style w:type="paragraph" w:styleId="Footer">
    <w:name w:val="footer"/>
    <w:basedOn w:val="Normal"/>
    <w:link w:val="FooterChar"/>
    <w:uiPriority w:val="99"/>
    <w:unhideWhenUsed/>
    <w:rsid w:val="00235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unrisesuns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2014-10-10T20:48:53+00:00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2E04-11B3-4021-AFEB-1B86363BB500}"/>
</file>

<file path=customXml/itemProps2.xml><?xml version="1.0" encoding="utf-8"?>
<ds:datastoreItem xmlns:ds="http://schemas.openxmlformats.org/officeDocument/2006/customXml" ds:itemID="{C4661D7B-18B3-4075-B58D-5C8300E6915C}"/>
</file>

<file path=customXml/itemProps3.xml><?xml version="1.0" encoding="utf-8"?>
<ds:datastoreItem xmlns:ds="http://schemas.openxmlformats.org/officeDocument/2006/customXml" ds:itemID="{7ABF7270-8A2C-4190-90D5-A41A213CB88A}"/>
</file>

<file path=customXml/itemProps4.xml><?xml version="1.0" encoding="utf-8"?>
<ds:datastoreItem xmlns:ds="http://schemas.openxmlformats.org/officeDocument/2006/customXml" ds:itemID="{73858D18-B50D-4ACC-90AA-DA0E8594DA95}"/>
</file>

<file path=customXml/itemProps5.xml><?xml version="1.0" encoding="utf-8"?>
<ds:datastoreItem xmlns:ds="http://schemas.openxmlformats.org/officeDocument/2006/customXml" ds:itemID="{205552F7-930E-4677-B282-E9949656D52F}"/>
</file>

<file path=docProps/app.xml><?xml version="1.0" encoding="utf-8"?>
<Properties xmlns="http://schemas.openxmlformats.org/officeDocument/2006/extended-properties" xmlns:vt="http://schemas.openxmlformats.org/officeDocument/2006/docPropsVTypes">
  <Template>Normal.dotm</Template>
  <TotalTime>289</TotalTime>
  <Pages>43</Pages>
  <Words>9265</Words>
  <Characters>52815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Twitchell, Jeremy (UTC)</dc:creator>
  <cp:lastModifiedBy>Krista Gross</cp:lastModifiedBy>
  <cp:revision>13</cp:revision>
  <cp:lastPrinted>2014-10-10T16:46:00Z</cp:lastPrinted>
  <dcterms:created xsi:type="dcterms:W3CDTF">2014-10-09T15:31:00Z</dcterms:created>
  <dcterms:modified xsi:type="dcterms:W3CDTF">2014-10-10T16:46:00Z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