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Pr="00F27E5A" w:rsidRDefault="00C3471C" w:rsidP="00C3471C">
      <w:pPr>
        <w:tabs>
          <w:tab w:val="center" w:pos="4680"/>
        </w:tabs>
        <w:ind w:right="-252" w:hanging="360"/>
        <w:jc w:val="both"/>
        <w:rPr>
          <w:b/>
          <w:bCs/>
        </w:rPr>
      </w:pPr>
      <w:r w:rsidRPr="00F27E5A">
        <w:rPr>
          <w:b/>
          <w:bCs/>
        </w:rPr>
        <w:tab/>
      </w:r>
      <w:r w:rsidRPr="00F27E5A">
        <w:rPr>
          <w:b/>
          <w:bCs/>
        </w:rPr>
        <w:tab/>
      </w:r>
      <w:r w:rsidRPr="00F27E5A">
        <w:rPr>
          <w:b/>
          <w:bCs/>
        </w:rPr>
        <w:tab/>
        <w:t xml:space="preserve">Exhibit </w:t>
      </w:r>
      <w:r w:rsidR="00EA5286" w:rsidRPr="00F27E5A">
        <w:rPr>
          <w:b/>
          <w:bCs/>
        </w:rPr>
        <w:t>No.</w:t>
      </w:r>
      <w:r w:rsidR="00940838" w:rsidRPr="00F27E5A">
        <w:rPr>
          <w:b/>
          <w:bCs/>
        </w:rPr>
        <w:t xml:space="preserve"> </w:t>
      </w:r>
      <w:r w:rsidR="00CD5EF2" w:rsidRPr="00F27E5A">
        <w:rPr>
          <w:b/>
          <w:bCs/>
        </w:rPr>
        <w:t>_</w:t>
      </w:r>
      <w:r w:rsidR="00940838" w:rsidRPr="00F27E5A">
        <w:rPr>
          <w:b/>
          <w:bCs/>
        </w:rPr>
        <w:t>_</w:t>
      </w:r>
      <w:r w:rsidR="00CD5EF2" w:rsidRPr="00F27E5A">
        <w:rPr>
          <w:b/>
          <w:bCs/>
        </w:rPr>
        <w:t>_</w:t>
      </w:r>
      <w:r w:rsidR="00CB6378" w:rsidRPr="00F27E5A">
        <w:rPr>
          <w:b/>
          <w:bCs/>
        </w:rPr>
        <w:t xml:space="preserve"> </w:t>
      </w:r>
      <w:r w:rsidR="00783CB8" w:rsidRPr="00F27E5A">
        <w:rPr>
          <w:b/>
          <w:bCs/>
        </w:rPr>
        <w:t>(</w:t>
      </w:r>
      <w:r w:rsidR="002F1187" w:rsidRPr="00F27E5A">
        <w:rPr>
          <w:b/>
          <w:bCs/>
        </w:rPr>
        <w:t>CTM</w:t>
      </w:r>
      <w:r w:rsidR="00783CB8" w:rsidRPr="00F27E5A">
        <w:rPr>
          <w:b/>
          <w:bCs/>
        </w:rPr>
        <w:t>-</w:t>
      </w:r>
      <w:r w:rsidR="0088018B" w:rsidRPr="00F27E5A">
        <w:rPr>
          <w:b/>
          <w:bCs/>
        </w:rPr>
        <w:t>1</w:t>
      </w:r>
      <w:r w:rsidR="00783CB8" w:rsidRPr="00F27E5A">
        <w:rPr>
          <w:b/>
          <w:bCs/>
        </w:rPr>
        <w:t>T)</w:t>
      </w:r>
    </w:p>
    <w:p w:rsidR="00C3471C" w:rsidRPr="00F27E5A" w:rsidRDefault="00C3471C" w:rsidP="00C3471C">
      <w:pPr>
        <w:tabs>
          <w:tab w:val="center" w:pos="4680"/>
        </w:tabs>
        <w:ind w:right="-252" w:hanging="360"/>
        <w:jc w:val="both"/>
        <w:rPr>
          <w:b/>
          <w:bCs/>
        </w:rPr>
      </w:pPr>
      <w:r w:rsidRPr="00F27E5A">
        <w:rPr>
          <w:b/>
          <w:bCs/>
        </w:rPr>
        <w:tab/>
      </w:r>
      <w:r w:rsidRPr="00F27E5A">
        <w:rPr>
          <w:b/>
          <w:bCs/>
        </w:rPr>
        <w:tab/>
      </w:r>
      <w:r w:rsidRPr="00F27E5A">
        <w:rPr>
          <w:b/>
          <w:bCs/>
        </w:rPr>
        <w:tab/>
        <w:t>Docket</w:t>
      </w:r>
      <w:r w:rsidR="00B12659" w:rsidRPr="00F27E5A">
        <w:rPr>
          <w:b/>
          <w:bCs/>
        </w:rPr>
        <w:t xml:space="preserve"> UE-1</w:t>
      </w:r>
      <w:r w:rsidR="00E53319" w:rsidRPr="00F27E5A">
        <w:rPr>
          <w:b/>
          <w:bCs/>
        </w:rPr>
        <w:t>300</w:t>
      </w:r>
      <w:r w:rsidR="0088018B" w:rsidRPr="00F27E5A">
        <w:rPr>
          <w:b/>
          <w:bCs/>
        </w:rPr>
        <w:t>43</w:t>
      </w:r>
    </w:p>
    <w:p w:rsidR="00C3471C" w:rsidRPr="00F27E5A" w:rsidRDefault="00C3471C" w:rsidP="00C3471C">
      <w:pPr>
        <w:tabs>
          <w:tab w:val="center" w:pos="4680"/>
        </w:tabs>
        <w:ind w:right="-252" w:hanging="360"/>
        <w:jc w:val="both"/>
        <w:rPr>
          <w:b/>
          <w:bCs/>
        </w:rPr>
      </w:pPr>
      <w:r w:rsidRPr="00F27E5A">
        <w:rPr>
          <w:b/>
          <w:bCs/>
        </w:rPr>
        <w:tab/>
      </w:r>
      <w:r w:rsidRPr="00F27E5A">
        <w:rPr>
          <w:b/>
          <w:bCs/>
        </w:rPr>
        <w:tab/>
      </w:r>
      <w:r w:rsidRPr="00F27E5A">
        <w:rPr>
          <w:b/>
          <w:bCs/>
        </w:rPr>
        <w:tab/>
        <w:t xml:space="preserve">Witness: </w:t>
      </w:r>
      <w:r w:rsidR="00BD36B5">
        <w:rPr>
          <w:b/>
          <w:bCs/>
        </w:rPr>
        <w:t xml:space="preserve"> </w:t>
      </w:r>
      <w:r w:rsidR="002F1187" w:rsidRPr="00F27E5A">
        <w:rPr>
          <w:b/>
          <w:bCs/>
        </w:rPr>
        <w:t>Christopher T. Mickelson</w:t>
      </w:r>
    </w:p>
    <w:p w:rsidR="00B12659" w:rsidRPr="00F27E5A" w:rsidRDefault="00B12659" w:rsidP="00B12659">
      <w:pPr>
        <w:tabs>
          <w:tab w:val="center" w:pos="4680"/>
        </w:tabs>
        <w:ind w:right="-108" w:hanging="180"/>
        <w:jc w:val="both"/>
        <w:rPr>
          <w:b/>
        </w:rPr>
      </w:pPr>
    </w:p>
    <w:p w:rsidR="00B12659" w:rsidRPr="00F27E5A" w:rsidRDefault="00B12659" w:rsidP="00B12659">
      <w:pPr>
        <w:tabs>
          <w:tab w:val="center" w:pos="4680"/>
        </w:tabs>
        <w:ind w:right="-108" w:hanging="180"/>
        <w:jc w:val="both"/>
        <w:rPr>
          <w:b/>
        </w:rPr>
      </w:pPr>
    </w:p>
    <w:p w:rsidR="00E53319" w:rsidRPr="00F27E5A" w:rsidRDefault="00E53319" w:rsidP="00B12659">
      <w:pPr>
        <w:tabs>
          <w:tab w:val="center" w:pos="4680"/>
        </w:tabs>
        <w:ind w:right="-108" w:hanging="180"/>
        <w:jc w:val="both"/>
        <w:rPr>
          <w:b/>
        </w:rPr>
      </w:pPr>
    </w:p>
    <w:p w:rsidR="00E53319" w:rsidRPr="00F27E5A" w:rsidRDefault="00E53319" w:rsidP="00B12659">
      <w:pPr>
        <w:tabs>
          <w:tab w:val="center" w:pos="4680"/>
        </w:tabs>
        <w:ind w:right="-108" w:hanging="180"/>
        <w:jc w:val="both"/>
        <w:rPr>
          <w:b/>
        </w:rPr>
      </w:pPr>
    </w:p>
    <w:p w:rsidR="00454FDA" w:rsidRDefault="00B12659" w:rsidP="00454FDA">
      <w:pPr>
        <w:tabs>
          <w:tab w:val="center" w:pos="4680"/>
        </w:tabs>
        <w:ind w:right="-108" w:hanging="180"/>
        <w:jc w:val="center"/>
        <w:rPr>
          <w:b/>
        </w:rPr>
      </w:pPr>
      <w:r w:rsidRPr="00F27E5A">
        <w:rPr>
          <w:b/>
        </w:rPr>
        <w:t>BEFORE THE WASHINGTON</w:t>
      </w:r>
    </w:p>
    <w:p w:rsidR="00B12659" w:rsidRPr="00F27E5A" w:rsidRDefault="00B12659" w:rsidP="00454FDA">
      <w:pPr>
        <w:tabs>
          <w:tab w:val="center" w:pos="4680"/>
        </w:tabs>
        <w:ind w:right="-108" w:hanging="180"/>
        <w:jc w:val="center"/>
        <w:rPr>
          <w:b/>
        </w:rPr>
      </w:pPr>
      <w:r w:rsidRPr="00F27E5A">
        <w:rPr>
          <w:b/>
        </w:rPr>
        <w:t>UTILITIES AND TRANSPORTATION COMMISSION</w:t>
      </w:r>
    </w:p>
    <w:p w:rsidR="00701323" w:rsidRPr="00F27E5A" w:rsidRDefault="00701323" w:rsidP="00B12659">
      <w:pPr>
        <w:tabs>
          <w:tab w:val="center" w:pos="4680"/>
        </w:tabs>
        <w:ind w:right="-108" w:hanging="180"/>
        <w:jc w:val="both"/>
        <w:rPr>
          <w:b/>
        </w:rPr>
      </w:pPr>
    </w:p>
    <w:p w:rsidR="00E53319" w:rsidRPr="00F27E5A" w:rsidRDefault="00E53319" w:rsidP="00B12659">
      <w:pPr>
        <w:tabs>
          <w:tab w:val="center" w:pos="4680"/>
        </w:tabs>
        <w:ind w:right="-108" w:hanging="18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27E5A" w:rsidRPr="00F27E5A" w:rsidTr="003B307F">
        <w:tc>
          <w:tcPr>
            <w:tcW w:w="4590" w:type="dxa"/>
            <w:tcBorders>
              <w:top w:val="single" w:sz="6" w:space="0" w:color="FFFFFF"/>
              <w:left w:val="single" w:sz="6" w:space="0" w:color="FFFFFF"/>
              <w:bottom w:val="single" w:sz="7" w:space="0" w:color="000000"/>
              <w:right w:val="single" w:sz="6" w:space="0" w:color="FFFFFF"/>
            </w:tcBorders>
          </w:tcPr>
          <w:p w:rsidR="00E53319" w:rsidRPr="00F27E5A" w:rsidRDefault="00E53319" w:rsidP="003B307F">
            <w:pPr>
              <w:rPr>
                <w:b/>
              </w:rPr>
            </w:pPr>
            <w:r w:rsidRPr="00F27E5A">
              <w:rPr>
                <w:b/>
              </w:rPr>
              <w:t xml:space="preserve">WASHINGTON UTILITIES AND TRANSPORTATION COMMISSION, </w:t>
            </w:r>
          </w:p>
          <w:p w:rsidR="00E53319" w:rsidRPr="00F27E5A" w:rsidRDefault="00E53319" w:rsidP="003B307F">
            <w:pPr>
              <w:rPr>
                <w:b/>
              </w:rPr>
            </w:pPr>
          </w:p>
          <w:p w:rsidR="00E53319" w:rsidRPr="00F27E5A" w:rsidRDefault="00E53319" w:rsidP="003B307F">
            <w:pPr>
              <w:rPr>
                <w:b/>
              </w:rPr>
            </w:pPr>
            <w:r w:rsidRPr="00F27E5A">
              <w:rPr>
                <w:b/>
              </w:rPr>
              <w:tab/>
            </w:r>
            <w:r w:rsidRPr="00F27E5A">
              <w:rPr>
                <w:b/>
              </w:rPr>
              <w:tab/>
              <w:t>Complainant,</w:t>
            </w:r>
          </w:p>
          <w:p w:rsidR="00E53319" w:rsidRPr="00F27E5A" w:rsidRDefault="00E53319" w:rsidP="003B307F">
            <w:pPr>
              <w:rPr>
                <w:b/>
              </w:rPr>
            </w:pPr>
          </w:p>
          <w:p w:rsidR="00E53319" w:rsidRPr="00F27E5A" w:rsidRDefault="00E53319" w:rsidP="003B307F">
            <w:pPr>
              <w:rPr>
                <w:b/>
              </w:rPr>
            </w:pPr>
            <w:r w:rsidRPr="00F27E5A">
              <w:rPr>
                <w:b/>
              </w:rPr>
              <w:tab/>
              <w:t>v.</w:t>
            </w:r>
          </w:p>
          <w:p w:rsidR="00E53319" w:rsidRPr="00F27E5A" w:rsidRDefault="00E53319" w:rsidP="003B307F">
            <w:pPr>
              <w:rPr>
                <w:b/>
              </w:rPr>
            </w:pPr>
          </w:p>
          <w:p w:rsidR="00E53319" w:rsidRPr="00F27E5A" w:rsidRDefault="00E53319" w:rsidP="003B307F">
            <w:pPr>
              <w:rPr>
                <w:b/>
              </w:rPr>
            </w:pPr>
            <w:r w:rsidRPr="00F27E5A">
              <w:rPr>
                <w:b/>
              </w:rPr>
              <w:t>PACIFIC POWER &amp; LIGHT COMPANY</w:t>
            </w:r>
            <w:r w:rsidR="009E5C21" w:rsidRPr="00F27E5A">
              <w:rPr>
                <w:b/>
              </w:rPr>
              <w:t>,</w:t>
            </w:r>
            <w:r w:rsidRPr="00F27E5A">
              <w:rPr>
                <w:b/>
              </w:rPr>
              <w:t xml:space="preserve"> d/b/a PACIFICORP, </w:t>
            </w:r>
          </w:p>
          <w:p w:rsidR="00E53319" w:rsidRPr="00F27E5A" w:rsidRDefault="00E53319" w:rsidP="003B307F">
            <w:pPr>
              <w:rPr>
                <w:b/>
              </w:rPr>
            </w:pPr>
          </w:p>
          <w:p w:rsidR="00E53319" w:rsidRPr="00F27E5A" w:rsidRDefault="00E53319" w:rsidP="003B307F">
            <w:pPr>
              <w:spacing w:after="19"/>
              <w:rPr>
                <w:b/>
              </w:rPr>
            </w:pPr>
            <w:r w:rsidRPr="00F27E5A">
              <w:rPr>
                <w:b/>
              </w:rPr>
              <w:tab/>
            </w:r>
            <w:r w:rsidRPr="00F27E5A">
              <w:rPr>
                <w:b/>
              </w:rPr>
              <w:tab/>
              <w:t>Respondent.</w:t>
            </w:r>
          </w:p>
          <w:p w:rsidR="00E53319" w:rsidRPr="00F27E5A" w:rsidRDefault="00E53319" w:rsidP="003B307F">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E53319" w:rsidRPr="00F27E5A" w:rsidRDefault="00E53319" w:rsidP="003B307F">
            <w:pPr>
              <w:ind w:left="776"/>
              <w:rPr>
                <w:b/>
              </w:rPr>
            </w:pPr>
            <w:r w:rsidRPr="00F27E5A">
              <w:rPr>
                <w:b/>
              </w:rPr>
              <w:t>DOCKET UE-130043</w:t>
            </w:r>
          </w:p>
          <w:p w:rsidR="00E53319" w:rsidRPr="00F27E5A" w:rsidRDefault="00E53319" w:rsidP="003B307F">
            <w:pPr>
              <w:ind w:left="776"/>
              <w:rPr>
                <w:b/>
              </w:rPr>
            </w:pPr>
          </w:p>
          <w:p w:rsidR="00E53319" w:rsidRPr="00F27E5A" w:rsidRDefault="00E53319" w:rsidP="003B307F">
            <w:pPr>
              <w:spacing w:after="19"/>
              <w:ind w:left="776"/>
              <w:rPr>
                <w:b/>
              </w:rPr>
            </w:pPr>
          </w:p>
        </w:tc>
      </w:tr>
    </w:tbl>
    <w:p w:rsidR="00E53319" w:rsidRPr="00F27E5A" w:rsidRDefault="00E53319" w:rsidP="00B12659">
      <w:pPr>
        <w:tabs>
          <w:tab w:val="center" w:pos="4680"/>
        </w:tabs>
        <w:ind w:right="-108" w:hanging="180"/>
        <w:jc w:val="both"/>
        <w:rPr>
          <w:b/>
        </w:rPr>
      </w:pPr>
    </w:p>
    <w:p w:rsidR="00E53319" w:rsidRPr="00F27E5A" w:rsidRDefault="00E53319" w:rsidP="00B12659">
      <w:pPr>
        <w:tabs>
          <w:tab w:val="center" w:pos="4680"/>
        </w:tabs>
        <w:ind w:right="-108" w:hanging="180"/>
        <w:jc w:val="both"/>
        <w:rPr>
          <w:b/>
        </w:rPr>
      </w:pPr>
    </w:p>
    <w:p w:rsidR="00E53319" w:rsidRPr="00F27E5A" w:rsidRDefault="00E53319" w:rsidP="00B12659">
      <w:pPr>
        <w:tabs>
          <w:tab w:val="center" w:pos="4680"/>
        </w:tabs>
        <w:ind w:right="-108" w:hanging="180"/>
        <w:jc w:val="both"/>
        <w:rPr>
          <w:b/>
        </w:rPr>
      </w:pPr>
    </w:p>
    <w:p w:rsidR="00C3471C" w:rsidRPr="00F27E5A" w:rsidRDefault="00C3471C" w:rsidP="00C3471C">
      <w:pPr>
        <w:tabs>
          <w:tab w:val="center" w:pos="4680"/>
        </w:tabs>
        <w:jc w:val="center"/>
        <w:rPr>
          <w:b/>
          <w:bCs/>
        </w:rPr>
      </w:pPr>
      <w:r w:rsidRPr="00F27E5A">
        <w:rPr>
          <w:b/>
          <w:bCs/>
        </w:rPr>
        <w:t>TESTIMONY OF</w:t>
      </w:r>
    </w:p>
    <w:p w:rsidR="00C3471C" w:rsidRPr="00F27E5A" w:rsidRDefault="00C3471C" w:rsidP="00C3471C">
      <w:pPr>
        <w:jc w:val="center"/>
        <w:rPr>
          <w:b/>
          <w:bCs/>
        </w:rPr>
      </w:pPr>
    </w:p>
    <w:p w:rsidR="00C3471C" w:rsidRPr="00F27E5A" w:rsidRDefault="002F1187" w:rsidP="00C3471C">
      <w:pPr>
        <w:tabs>
          <w:tab w:val="center" w:pos="4680"/>
        </w:tabs>
        <w:jc w:val="center"/>
        <w:rPr>
          <w:b/>
          <w:bCs/>
        </w:rPr>
      </w:pPr>
      <w:r w:rsidRPr="00F27E5A">
        <w:rPr>
          <w:b/>
          <w:bCs/>
        </w:rPr>
        <w:t>CHRISTOPHER T. MICKELSON</w:t>
      </w:r>
    </w:p>
    <w:p w:rsidR="00C3471C" w:rsidRPr="00F27E5A" w:rsidRDefault="00C3471C" w:rsidP="00C3471C">
      <w:pPr>
        <w:tabs>
          <w:tab w:val="center" w:pos="4680"/>
        </w:tabs>
        <w:jc w:val="center"/>
        <w:rPr>
          <w:b/>
          <w:bCs/>
        </w:rPr>
      </w:pPr>
    </w:p>
    <w:p w:rsidR="00C3471C" w:rsidRPr="00F27E5A" w:rsidRDefault="00C3471C" w:rsidP="00C3471C">
      <w:pPr>
        <w:tabs>
          <w:tab w:val="center" w:pos="4680"/>
        </w:tabs>
        <w:jc w:val="center"/>
        <w:rPr>
          <w:b/>
          <w:bCs/>
        </w:rPr>
      </w:pPr>
      <w:r w:rsidRPr="00F27E5A">
        <w:rPr>
          <w:b/>
          <w:bCs/>
        </w:rPr>
        <w:t>STAFF OF</w:t>
      </w:r>
    </w:p>
    <w:p w:rsidR="00C3471C" w:rsidRPr="00F27E5A" w:rsidRDefault="00C3471C" w:rsidP="00C3471C">
      <w:pPr>
        <w:tabs>
          <w:tab w:val="center" w:pos="4680"/>
        </w:tabs>
        <w:jc w:val="center"/>
        <w:rPr>
          <w:b/>
          <w:bCs/>
        </w:rPr>
      </w:pPr>
      <w:r w:rsidRPr="00F27E5A">
        <w:rPr>
          <w:b/>
          <w:bCs/>
        </w:rPr>
        <w:t>WASHINGTON UTILITIES AND</w:t>
      </w:r>
    </w:p>
    <w:p w:rsidR="00C3471C" w:rsidRPr="00F27E5A" w:rsidRDefault="00C3471C" w:rsidP="00C3471C">
      <w:pPr>
        <w:tabs>
          <w:tab w:val="center" w:pos="4680"/>
        </w:tabs>
        <w:jc w:val="center"/>
        <w:rPr>
          <w:b/>
          <w:bCs/>
        </w:rPr>
      </w:pPr>
      <w:r w:rsidRPr="00F27E5A">
        <w:rPr>
          <w:b/>
          <w:bCs/>
        </w:rPr>
        <w:t>TRANSPORTATION COMMISSION</w:t>
      </w:r>
    </w:p>
    <w:p w:rsidR="0074370C" w:rsidRPr="00F27E5A" w:rsidRDefault="0074370C" w:rsidP="00C3471C">
      <w:pPr>
        <w:tabs>
          <w:tab w:val="center" w:pos="4680"/>
        </w:tabs>
        <w:jc w:val="center"/>
        <w:rPr>
          <w:b/>
          <w:bCs/>
        </w:rPr>
      </w:pPr>
    </w:p>
    <w:p w:rsidR="009E5C21" w:rsidRPr="00F27E5A" w:rsidRDefault="009E5C21" w:rsidP="00C3471C">
      <w:pPr>
        <w:tabs>
          <w:tab w:val="center" w:pos="4680"/>
        </w:tabs>
        <w:jc w:val="center"/>
        <w:rPr>
          <w:b/>
          <w:bCs/>
        </w:rPr>
      </w:pPr>
    </w:p>
    <w:p w:rsidR="00101D35" w:rsidRPr="00F27E5A" w:rsidRDefault="00101D35" w:rsidP="00C3471C">
      <w:pPr>
        <w:tabs>
          <w:tab w:val="center" w:pos="4680"/>
        </w:tabs>
        <w:jc w:val="center"/>
        <w:rPr>
          <w:b/>
          <w:bCs/>
        </w:rPr>
      </w:pPr>
    </w:p>
    <w:p w:rsidR="00420C37" w:rsidRPr="00F27E5A" w:rsidRDefault="00420C37" w:rsidP="00420C37">
      <w:pPr>
        <w:jc w:val="center"/>
        <w:rPr>
          <w:b/>
          <w:bCs/>
          <w:i/>
        </w:rPr>
      </w:pPr>
      <w:r w:rsidRPr="00F27E5A">
        <w:rPr>
          <w:b/>
          <w:bCs/>
          <w:i/>
        </w:rPr>
        <w:t>Rule 6 and Schedule 300 Service Charges,</w:t>
      </w:r>
    </w:p>
    <w:p w:rsidR="00420C37" w:rsidRPr="00F27E5A" w:rsidRDefault="00420C37" w:rsidP="00420C37">
      <w:pPr>
        <w:jc w:val="center"/>
        <w:rPr>
          <w:b/>
          <w:bCs/>
          <w:i/>
        </w:rPr>
      </w:pPr>
      <w:r w:rsidRPr="00F27E5A">
        <w:rPr>
          <w:b/>
          <w:bCs/>
          <w:i/>
        </w:rPr>
        <w:t>Uncollectible Expense, Conversion Factor,</w:t>
      </w:r>
    </w:p>
    <w:p w:rsidR="00C3471C" w:rsidRPr="00F27E5A" w:rsidRDefault="00464A47" w:rsidP="009E5C21">
      <w:pPr>
        <w:jc w:val="center"/>
        <w:rPr>
          <w:b/>
          <w:bCs/>
          <w:i/>
        </w:rPr>
      </w:pPr>
      <w:r w:rsidRPr="00F27E5A">
        <w:rPr>
          <w:b/>
          <w:bCs/>
          <w:i/>
        </w:rPr>
        <w:t xml:space="preserve">Electric </w:t>
      </w:r>
      <w:r w:rsidR="006F1931" w:rsidRPr="00F27E5A">
        <w:rPr>
          <w:b/>
          <w:bCs/>
          <w:i/>
        </w:rPr>
        <w:t>Cost of Service</w:t>
      </w:r>
      <w:r w:rsidR="00820A91" w:rsidRPr="00F27E5A">
        <w:rPr>
          <w:b/>
          <w:bCs/>
          <w:i/>
        </w:rPr>
        <w:t>, Revenue Allocation</w:t>
      </w:r>
      <w:r w:rsidR="0092519E" w:rsidRPr="00F27E5A">
        <w:rPr>
          <w:b/>
          <w:bCs/>
          <w:i/>
        </w:rPr>
        <w:t>,</w:t>
      </w:r>
      <w:r w:rsidR="009E5C21" w:rsidRPr="00F27E5A">
        <w:rPr>
          <w:b/>
          <w:bCs/>
          <w:i/>
        </w:rPr>
        <w:t xml:space="preserve"> </w:t>
      </w:r>
      <w:r w:rsidR="009C36EE" w:rsidRPr="00F27E5A">
        <w:rPr>
          <w:b/>
          <w:bCs/>
          <w:i/>
        </w:rPr>
        <w:t xml:space="preserve">and </w:t>
      </w:r>
      <w:r w:rsidRPr="00F27E5A">
        <w:rPr>
          <w:b/>
          <w:bCs/>
          <w:i/>
        </w:rPr>
        <w:t>Rate Design</w:t>
      </w:r>
    </w:p>
    <w:p w:rsidR="009E5C21" w:rsidRPr="00F27E5A" w:rsidRDefault="009E5C21" w:rsidP="009E5C21">
      <w:pPr>
        <w:jc w:val="center"/>
        <w:rPr>
          <w:b/>
          <w:bCs/>
          <w:i/>
        </w:rPr>
      </w:pPr>
    </w:p>
    <w:p w:rsidR="00101D35" w:rsidRPr="00F27E5A" w:rsidRDefault="00101D35" w:rsidP="009E5C21">
      <w:pPr>
        <w:jc w:val="center"/>
        <w:rPr>
          <w:b/>
          <w:bCs/>
          <w:i/>
        </w:rPr>
      </w:pPr>
    </w:p>
    <w:p w:rsidR="00EE3F86" w:rsidRPr="00F27E5A" w:rsidRDefault="00EE3F86" w:rsidP="009E5C21">
      <w:pPr>
        <w:jc w:val="center"/>
        <w:rPr>
          <w:b/>
          <w:bCs/>
          <w:i/>
        </w:rPr>
      </w:pPr>
    </w:p>
    <w:p w:rsidR="00C3471C" w:rsidRPr="00F27E5A" w:rsidRDefault="00C3471C" w:rsidP="00C3471C">
      <w:pPr>
        <w:rPr>
          <w:b/>
          <w:bCs/>
        </w:rPr>
      </w:pPr>
    </w:p>
    <w:p w:rsidR="00C3471C" w:rsidRPr="00F27E5A" w:rsidRDefault="009E5C21" w:rsidP="00C3471C">
      <w:pPr>
        <w:tabs>
          <w:tab w:val="center" w:pos="4680"/>
        </w:tabs>
        <w:jc w:val="center"/>
        <w:rPr>
          <w:b/>
          <w:bCs/>
        </w:rPr>
      </w:pPr>
      <w:r w:rsidRPr="00F27E5A">
        <w:rPr>
          <w:b/>
          <w:bCs/>
        </w:rPr>
        <w:t>Ju</w:t>
      </w:r>
      <w:r w:rsidR="00431127" w:rsidRPr="00F27E5A">
        <w:rPr>
          <w:b/>
          <w:bCs/>
        </w:rPr>
        <w:t>ne</w:t>
      </w:r>
      <w:r w:rsidR="00E80CFE" w:rsidRPr="00F27E5A">
        <w:rPr>
          <w:b/>
          <w:bCs/>
        </w:rPr>
        <w:t xml:space="preserve"> </w:t>
      </w:r>
      <w:r w:rsidR="00431127" w:rsidRPr="00F27E5A">
        <w:rPr>
          <w:b/>
          <w:bCs/>
        </w:rPr>
        <w:t>2</w:t>
      </w:r>
      <w:r w:rsidR="00BA0543" w:rsidRPr="00F27E5A">
        <w:rPr>
          <w:b/>
          <w:bCs/>
        </w:rPr>
        <w:t>1</w:t>
      </w:r>
      <w:r w:rsidR="002F1187" w:rsidRPr="00F27E5A">
        <w:rPr>
          <w:b/>
          <w:bCs/>
        </w:rPr>
        <w:t>, 201</w:t>
      </w:r>
      <w:r w:rsidRPr="00F27E5A">
        <w:rPr>
          <w:b/>
          <w:bCs/>
        </w:rPr>
        <w:t>3</w:t>
      </w:r>
    </w:p>
    <w:p w:rsidR="00C3471C" w:rsidRPr="00F27E5A" w:rsidRDefault="00C3471C" w:rsidP="00C3471C">
      <w:pPr>
        <w:tabs>
          <w:tab w:val="center" w:pos="4680"/>
        </w:tabs>
        <w:rPr>
          <w:b/>
          <w:bCs/>
        </w:rPr>
      </w:pPr>
    </w:p>
    <w:p w:rsidR="00C3471C" w:rsidRPr="00F27E5A" w:rsidRDefault="00C3471C" w:rsidP="00C3471C">
      <w:pPr>
        <w:tabs>
          <w:tab w:val="center" w:pos="4680"/>
        </w:tabs>
        <w:sectPr w:rsidR="00C3471C" w:rsidRPr="00F27E5A" w:rsidSect="00C3471C">
          <w:footerReference w:type="default" r:id="rId9"/>
          <w:pgSz w:w="12240" w:h="15840" w:code="1"/>
          <w:pgMar w:top="1440" w:right="1440" w:bottom="1440" w:left="1872" w:header="720" w:footer="720" w:gutter="0"/>
          <w:cols w:space="720"/>
          <w:titlePg/>
          <w:docGrid w:linePitch="360"/>
        </w:sectPr>
      </w:pPr>
      <w:bookmarkStart w:id="0" w:name="_GoBack"/>
      <w:bookmarkEnd w:id="0"/>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rsidR="00641F26" w:rsidRPr="00F27E5A" w:rsidRDefault="00641F26" w:rsidP="006B4E3E">
          <w:pPr>
            <w:pStyle w:val="TOCHeading"/>
            <w:numPr>
              <w:ilvl w:val="0"/>
              <w:numId w:val="0"/>
            </w:numPr>
            <w:jc w:val="center"/>
            <w:rPr>
              <w:rFonts w:ascii="Times New Roman" w:hAnsi="Times New Roman" w:cs="Times New Roman"/>
              <w:color w:val="auto"/>
              <w:sz w:val="24"/>
              <w:szCs w:val="24"/>
            </w:rPr>
          </w:pPr>
          <w:r w:rsidRPr="00F27E5A">
            <w:rPr>
              <w:rFonts w:ascii="Times New Roman" w:hAnsi="Times New Roman" w:cs="Times New Roman"/>
              <w:color w:val="auto"/>
              <w:sz w:val="24"/>
              <w:szCs w:val="24"/>
            </w:rPr>
            <w:t>TABLE OF CONTENTS</w:t>
          </w:r>
        </w:p>
        <w:p w:rsidR="00641F26" w:rsidRPr="00F27E5A" w:rsidRDefault="00641F26" w:rsidP="00641F26">
          <w:pPr>
            <w:rPr>
              <w:lang w:eastAsia="ja-JP"/>
            </w:rPr>
          </w:pPr>
        </w:p>
        <w:p w:rsidR="003B1790" w:rsidRDefault="00297B78">
          <w:pPr>
            <w:pStyle w:val="TOC1"/>
            <w:rPr>
              <w:rFonts w:asciiTheme="minorHAnsi" w:hAnsiTheme="minorHAnsi"/>
              <w:noProof/>
              <w:sz w:val="22"/>
              <w:lang w:eastAsia="en-US"/>
            </w:rPr>
          </w:pPr>
          <w:r w:rsidRPr="00F27E5A">
            <w:fldChar w:fldCharType="begin"/>
          </w:r>
          <w:r w:rsidR="006B4E3E" w:rsidRPr="00F27E5A">
            <w:instrText xml:space="preserve"> TOC \o "1-7" \h \z \u </w:instrText>
          </w:r>
          <w:r w:rsidRPr="00F27E5A">
            <w:fldChar w:fldCharType="separate"/>
          </w:r>
          <w:hyperlink w:anchor="_Toc359312037" w:history="1">
            <w:r w:rsidR="003B1790" w:rsidRPr="00D66290">
              <w:rPr>
                <w:rStyle w:val="Hyperlink"/>
                <w:noProof/>
              </w:rPr>
              <w:t>I.</w:t>
            </w:r>
            <w:r w:rsidR="003B1790">
              <w:rPr>
                <w:rFonts w:asciiTheme="minorHAnsi" w:hAnsiTheme="minorHAnsi"/>
                <w:noProof/>
                <w:sz w:val="22"/>
                <w:lang w:eastAsia="en-US"/>
              </w:rPr>
              <w:tab/>
            </w:r>
            <w:r w:rsidR="003B1790" w:rsidRPr="00D66290">
              <w:rPr>
                <w:rStyle w:val="Hyperlink"/>
                <w:noProof/>
              </w:rPr>
              <w:t>INTRODUCTION</w:t>
            </w:r>
            <w:r w:rsidR="003B1790">
              <w:rPr>
                <w:noProof/>
                <w:webHidden/>
              </w:rPr>
              <w:tab/>
            </w:r>
            <w:r w:rsidR="003B1790">
              <w:rPr>
                <w:noProof/>
                <w:webHidden/>
              </w:rPr>
              <w:fldChar w:fldCharType="begin"/>
            </w:r>
            <w:r w:rsidR="003B1790">
              <w:rPr>
                <w:noProof/>
                <w:webHidden/>
              </w:rPr>
              <w:instrText xml:space="preserve"> PAGEREF _Toc359312037 \h </w:instrText>
            </w:r>
            <w:r w:rsidR="003B1790">
              <w:rPr>
                <w:noProof/>
                <w:webHidden/>
              </w:rPr>
            </w:r>
            <w:r w:rsidR="003B1790">
              <w:rPr>
                <w:noProof/>
                <w:webHidden/>
              </w:rPr>
              <w:fldChar w:fldCharType="separate"/>
            </w:r>
            <w:r w:rsidR="001B6B4E">
              <w:rPr>
                <w:noProof/>
                <w:webHidden/>
              </w:rPr>
              <w:t>1</w:t>
            </w:r>
            <w:r w:rsidR="003B1790">
              <w:rPr>
                <w:noProof/>
                <w:webHidden/>
              </w:rPr>
              <w:fldChar w:fldCharType="end"/>
            </w:r>
          </w:hyperlink>
        </w:p>
        <w:p w:rsidR="003B1790" w:rsidRDefault="001B6B4E">
          <w:pPr>
            <w:pStyle w:val="TOC1"/>
            <w:rPr>
              <w:rFonts w:asciiTheme="minorHAnsi" w:hAnsiTheme="minorHAnsi"/>
              <w:noProof/>
              <w:sz w:val="22"/>
              <w:lang w:eastAsia="en-US"/>
            </w:rPr>
          </w:pPr>
          <w:hyperlink w:anchor="_Toc359312038" w:history="1">
            <w:r w:rsidR="003B1790" w:rsidRPr="00D66290">
              <w:rPr>
                <w:rStyle w:val="Hyperlink"/>
                <w:noProof/>
              </w:rPr>
              <w:t>II.</w:t>
            </w:r>
            <w:r w:rsidR="003B1790">
              <w:rPr>
                <w:rFonts w:asciiTheme="minorHAnsi" w:hAnsiTheme="minorHAnsi"/>
                <w:noProof/>
                <w:sz w:val="22"/>
                <w:lang w:eastAsia="en-US"/>
              </w:rPr>
              <w:tab/>
            </w:r>
            <w:r w:rsidR="003B1790" w:rsidRPr="00D66290">
              <w:rPr>
                <w:rStyle w:val="Hyperlink"/>
                <w:noProof/>
              </w:rPr>
              <w:t>SCOPE AND SUMMARY OF TESTIMONY</w:t>
            </w:r>
            <w:r w:rsidR="003B1790">
              <w:rPr>
                <w:noProof/>
                <w:webHidden/>
              </w:rPr>
              <w:tab/>
            </w:r>
            <w:r w:rsidR="003B1790">
              <w:rPr>
                <w:noProof/>
                <w:webHidden/>
              </w:rPr>
              <w:fldChar w:fldCharType="begin"/>
            </w:r>
            <w:r w:rsidR="003B1790">
              <w:rPr>
                <w:noProof/>
                <w:webHidden/>
              </w:rPr>
              <w:instrText xml:space="preserve"> PAGEREF _Toc359312038 \h </w:instrText>
            </w:r>
            <w:r w:rsidR="003B1790">
              <w:rPr>
                <w:noProof/>
                <w:webHidden/>
              </w:rPr>
            </w:r>
            <w:r w:rsidR="003B1790">
              <w:rPr>
                <w:noProof/>
                <w:webHidden/>
              </w:rPr>
              <w:fldChar w:fldCharType="separate"/>
            </w:r>
            <w:r>
              <w:rPr>
                <w:noProof/>
                <w:webHidden/>
              </w:rPr>
              <w:t>2</w:t>
            </w:r>
            <w:r w:rsidR="003B1790">
              <w:rPr>
                <w:noProof/>
                <w:webHidden/>
              </w:rPr>
              <w:fldChar w:fldCharType="end"/>
            </w:r>
          </w:hyperlink>
        </w:p>
        <w:p w:rsidR="003B1790" w:rsidRDefault="001B6B4E">
          <w:pPr>
            <w:pStyle w:val="TOC1"/>
            <w:rPr>
              <w:rFonts w:asciiTheme="minorHAnsi" w:hAnsiTheme="minorHAnsi"/>
              <w:noProof/>
              <w:sz w:val="22"/>
              <w:lang w:eastAsia="en-US"/>
            </w:rPr>
          </w:pPr>
          <w:hyperlink w:anchor="_Toc359312039" w:history="1">
            <w:r w:rsidR="003B1790" w:rsidRPr="00D66290">
              <w:rPr>
                <w:rStyle w:val="Hyperlink"/>
                <w:noProof/>
              </w:rPr>
              <w:t>III.</w:t>
            </w:r>
            <w:r w:rsidR="003B1790">
              <w:rPr>
                <w:rFonts w:asciiTheme="minorHAnsi" w:hAnsiTheme="minorHAnsi"/>
                <w:noProof/>
                <w:sz w:val="22"/>
                <w:lang w:eastAsia="en-US"/>
              </w:rPr>
              <w:tab/>
            </w:r>
            <w:r w:rsidR="003B1790" w:rsidRPr="00D66290">
              <w:rPr>
                <w:rStyle w:val="Hyperlink"/>
                <w:noProof/>
              </w:rPr>
              <w:t>ELECTRIC ADJUSTMENTS</w:t>
            </w:r>
            <w:r w:rsidR="003B1790">
              <w:rPr>
                <w:noProof/>
                <w:webHidden/>
              </w:rPr>
              <w:tab/>
            </w:r>
            <w:r w:rsidR="003B1790">
              <w:rPr>
                <w:noProof/>
                <w:webHidden/>
              </w:rPr>
              <w:fldChar w:fldCharType="begin"/>
            </w:r>
            <w:r w:rsidR="003B1790">
              <w:rPr>
                <w:noProof/>
                <w:webHidden/>
              </w:rPr>
              <w:instrText xml:space="preserve"> PAGEREF _Toc359312039 \h </w:instrText>
            </w:r>
            <w:r w:rsidR="003B1790">
              <w:rPr>
                <w:noProof/>
                <w:webHidden/>
              </w:rPr>
            </w:r>
            <w:r w:rsidR="003B1790">
              <w:rPr>
                <w:noProof/>
                <w:webHidden/>
              </w:rPr>
              <w:fldChar w:fldCharType="separate"/>
            </w:r>
            <w:r>
              <w:rPr>
                <w:noProof/>
                <w:webHidden/>
              </w:rPr>
              <w:t>7</w:t>
            </w:r>
            <w:r w:rsidR="003B1790">
              <w:rPr>
                <w:noProof/>
                <w:webHidden/>
              </w:rPr>
              <w:fldChar w:fldCharType="end"/>
            </w:r>
          </w:hyperlink>
        </w:p>
        <w:p w:rsidR="003B1790" w:rsidRDefault="001B6B4E">
          <w:pPr>
            <w:pStyle w:val="TOC3"/>
            <w:rPr>
              <w:rFonts w:asciiTheme="minorHAnsi" w:hAnsiTheme="minorHAnsi"/>
              <w:noProof/>
              <w:sz w:val="22"/>
              <w:lang w:eastAsia="en-US"/>
            </w:rPr>
          </w:pPr>
          <w:hyperlink w:anchor="_Toc359312040" w:history="1">
            <w:r w:rsidR="003B1790" w:rsidRPr="00D66290">
              <w:rPr>
                <w:rStyle w:val="Hyperlink"/>
                <w:noProof/>
              </w:rPr>
              <w:t>A.</w:t>
            </w:r>
            <w:r w:rsidR="003B1790">
              <w:rPr>
                <w:rFonts w:asciiTheme="minorHAnsi" w:hAnsiTheme="minorHAnsi"/>
                <w:noProof/>
                <w:sz w:val="22"/>
                <w:lang w:eastAsia="en-US"/>
              </w:rPr>
              <w:tab/>
            </w:r>
            <w:r w:rsidR="003B1790" w:rsidRPr="00D66290">
              <w:rPr>
                <w:rStyle w:val="Hyperlink"/>
                <w:noProof/>
              </w:rPr>
              <w:t>Adjustment 3.8 – Schedule 300 Fee Charge</w:t>
            </w:r>
            <w:r w:rsidR="003B1790">
              <w:rPr>
                <w:noProof/>
                <w:webHidden/>
              </w:rPr>
              <w:tab/>
            </w:r>
            <w:r w:rsidR="003B1790">
              <w:rPr>
                <w:noProof/>
                <w:webHidden/>
              </w:rPr>
              <w:fldChar w:fldCharType="begin"/>
            </w:r>
            <w:r w:rsidR="003B1790">
              <w:rPr>
                <w:noProof/>
                <w:webHidden/>
              </w:rPr>
              <w:instrText xml:space="preserve"> PAGEREF _Toc359312040 \h </w:instrText>
            </w:r>
            <w:r w:rsidR="003B1790">
              <w:rPr>
                <w:noProof/>
                <w:webHidden/>
              </w:rPr>
            </w:r>
            <w:r w:rsidR="003B1790">
              <w:rPr>
                <w:noProof/>
                <w:webHidden/>
              </w:rPr>
              <w:fldChar w:fldCharType="separate"/>
            </w:r>
            <w:r>
              <w:rPr>
                <w:noProof/>
                <w:webHidden/>
              </w:rPr>
              <w:t>7</w:t>
            </w:r>
            <w:r w:rsidR="003B1790">
              <w:rPr>
                <w:noProof/>
                <w:webHidden/>
              </w:rPr>
              <w:fldChar w:fldCharType="end"/>
            </w:r>
          </w:hyperlink>
        </w:p>
        <w:p w:rsidR="003B1790" w:rsidRDefault="001B6B4E">
          <w:pPr>
            <w:pStyle w:val="TOC3"/>
            <w:rPr>
              <w:rFonts w:asciiTheme="minorHAnsi" w:hAnsiTheme="minorHAnsi"/>
              <w:noProof/>
              <w:sz w:val="22"/>
              <w:lang w:eastAsia="en-US"/>
            </w:rPr>
          </w:pPr>
          <w:hyperlink w:anchor="_Toc359312041" w:history="1">
            <w:r w:rsidR="003B1790" w:rsidRPr="00D66290">
              <w:rPr>
                <w:rStyle w:val="Hyperlink"/>
                <w:noProof/>
              </w:rPr>
              <w:t>B.</w:t>
            </w:r>
            <w:r w:rsidR="003B1790">
              <w:rPr>
                <w:rFonts w:asciiTheme="minorHAnsi" w:hAnsiTheme="minorHAnsi"/>
                <w:noProof/>
                <w:sz w:val="22"/>
                <w:lang w:eastAsia="en-US"/>
              </w:rPr>
              <w:tab/>
            </w:r>
            <w:r w:rsidR="003B1790" w:rsidRPr="00D66290">
              <w:rPr>
                <w:rStyle w:val="Hyperlink"/>
                <w:noProof/>
              </w:rPr>
              <w:t>Adjustment 4.12 – Uncollectible Expense</w:t>
            </w:r>
            <w:r w:rsidR="003B1790">
              <w:rPr>
                <w:noProof/>
                <w:webHidden/>
              </w:rPr>
              <w:tab/>
            </w:r>
            <w:r w:rsidR="003B1790">
              <w:rPr>
                <w:noProof/>
                <w:webHidden/>
              </w:rPr>
              <w:fldChar w:fldCharType="begin"/>
            </w:r>
            <w:r w:rsidR="003B1790">
              <w:rPr>
                <w:noProof/>
                <w:webHidden/>
              </w:rPr>
              <w:instrText xml:space="preserve"> PAGEREF _Toc359312041 \h </w:instrText>
            </w:r>
            <w:r w:rsidR="003B1790">
              <w:rPr>
                <w:noProof/>
                <w:webHidden/>
              </w:rPr>
            </w:r>
            <w:r w:rsidR="003B1790">
              <w:rPr>
                <w:noProof/>
                <w:webHidden/>
              </w:rPr>
              <w:fldChar w:fldCharType="separate"/>
            </w:r>
            <w:r>
              <w:rPr>
                <w:noProof/>
                <w:webHidden/>
              </w:rPr>
              <w:t>9</w:t>
            </w:r>
            <w:r w:rsidR="003B1790">
              <w:rPr>
                <w:noProof/>
                <w:webHidden/>
              </w:rPr>
              <w:fldChar w:fldCharType="end"/>
            </w:r>
          </w:hyperlink>
        </w:p>
        <w:p w:rsidR="003B1790" w:rsidRDefault="001B6B4E">
          <w:pPr>
            <w:pStyle w:val="TOC3"/>
            <w:rPr>
              <w:rFonts w:asciiTheme="minorHAnsi" w:hAnsiTheme="minorHAnsi"/>
              <w:noProof/>
              <w:sz w:val="22"/>
              <w:lang w:eastAsia="en-US"/>
            </w:rPr>
          </w:pPr>
          <w:hyperlink w:anchor="_Toc359312042" w:history="1">
            <w:r w:rsidR="003B1790" w:rsidRPr="00D66290">
              <w:rPr>
                <w:rStyle w:val="Hyperlink"/>
                <w:noProof/>
              </w:rPr>
              <w:t>C.</w:t>
            </w:r>
            <w:r w:rsidR="003B1790">
              <w:rPr>
                <w:rFonts w:asciiTheme="minorHAnsi" w:hAnsiTheme="minorHAnsi"/>
                <w:noProof/>
                <w:sz w:val="22"/>
                <w:lang w:eastAsia="en-US"/>
              </w:rPr>
              <w:tab/>
            </w:r>
            <w:r w:rsidR="003B1790" w:rsidRPr="00D66290">
              <w:rPr>
                <w:rStyle w:val="Hyperlink"/>
                <w:noProof/>
              </w:rPr>
              <w:t>Net-to-Gross Conversion Factor</w:t>
            </w:r>
            <w:r w:rsidR="003B1790">
              <w:rPr>
                <w:noProof/>
                <w:webHidden/>
              </w:rPr>
              <w:tab/>
            </w:r>
            <w:r w:rsidR="003B1790">
              <w:rPr>
                <w:noProof/>
                <w:webHidden/>
              </w:rPr>
              <w:fldChar w:fldCharType="begin"/>
            </w:r>
            <w:r w:rsidR="003B1790">
              <w:rPr>
                <w:noProof/>
                <w:webHidden/>
              </w:rPr>
              <w:instrText xml:space="preserve"> PAGEREF _Toc359312042 \h </w:instrText>
            </w:r>
            <w:r w:rsidR="003B1790">
              <w:rPr>
                <w:noProof/>
                <w:webHidden/>
              </w:rPr>
            </w:r>
            <w:r w:rsidR="003B1790">
              <w:rPr>
                <w:noProof/>
                <w:webHidden/>
              </w:rPr>
              <w:fldChar w:fldCharType="separate"/>
            </w:r>
            <w:r>
              <w:rPr>
                <w:noProof/>
                <w:webHidden/>
              </w:rPr>
              <w:t>11</w:t>
            </w:r>
            <w:r w:rsidR="003B1790">
              <w:rPr>
                <w:noProof/>
                <w:webHidden/>
              </w:rPr>
              <w:fldChar w:fldCharType="end"/>
            </w:r>
          </w:hyperlink>
        </w:p>
        <w:p w:rsidR="003B1790" w:rsidRDefault="001B6B4E">
          <w:pPr>
            <w:pStyle w:val="TOC1"/>
            <w:rPr>
              <w:rFonts w:asciiTheme="minorHAnsi" w:hAnsiTheme="minorHAnsi"/>
              <w:noProof/>
              <w:sz w:val="22"/>
              <w:lang w:eastAsia="en-US"/>
            </w:rPr>
          </w:pPr>
          <w:hyperlink w:anchor="_Toc359312043" w:history="1">
            <w:r w:rsidR="003B1790" w:rsidRPr="00D66290">
              <w:rPr>
                <w:rStyle w:val="Hyperlink"/>
                <w:noProof/>
              </w:rPr>
              <w:t>IV.</w:t>
            </w:r>
            <w:r w:rsidR="003B1790">
              <w:rPr>
                <w:rFonts w:asciiTheme="minorHAnsi" w:hAnsiTheme="minorHAnsi"/>
                <w:noProof/>
                <w:sz w:val="22"/>
                <w:lang w:eastAsia="en-US"/>
              </w:rPr>
              <w:tab/>
            </w:r>
            <w:r w:rsidR="003B1790" w:rsidRPr="00D66290">
              <w:rPr>
                <w:rStyle w:val="Hyperlink"/>
                <w:noProof/>
              </w:rPr>
              <w:t>ELECTRIC COST OF SERVICE</w:t>
            </w:r>
            <w:r w:rsidR="003B1790">
              <w:rPr>
                <w:noProof/>
                <w:webHidden/>
              </w:rPr>
              <w:tab/>
            </w:r>
            <w:r w:rsidR="003B1790">
              <w:rPr>
                <w:noProof/>
                <w:webHidden/>
              </w:rPr>
              <w:fldChar w:fldCharType="begin"/>
            </w:r>
            <w:r w:rsidR="003B1790">
              <w:rPr>
                <w:noProof/>
                <w:webHidden/>
              </w:rPr>
              <w:instrText xml:space="preserve"> PAGEREF _Toc359312043 \h </w:instrText>
            </w:r>
            <w:r w:rsidR="003B1790">
              <w:rPr>
                <w:noProof/>
                <w:webHidden/>
              </w:rPr>
            </w:r>
            <w:r w:rsidR="003B1790">
              <w:rPr>
                <w:noProof/>
                <w:webHidden/>
              </w:rPr>
              <w:fldChar w:fldCharType="separate"/>
            </w:r>
            <w:r>
              <w:rPr>
                <w:noProof/>
                <w:webHidden/>
              </w:rPr>
              <w:t>12</w:t>
            </w:r>
            <w:r w:rsidR="003B1790">
              <w:rPr>
                <w:noProof/>
                <w:webHidden/>
              </w:rPr>
              <w:fldChar w:fldCharType="end"/>
            </w:r>
          </w:hyperlink>
        </w:p>
        <w:p w:rsidR="003B1790" w:rsidRDefault="001B6B4E">
          <w:pPr>
            <w:pStyle w:val="TOC1"/>
            <w:rPr>
              <w:rFonts w:asciiTheme="minorHAnsi" w:hAnsiTheme="minorHAnsi"/>
              <w:noProof/>
              <w:sz w:val="22"/>
              <w:lang w:eastAsia="en-US"/>
            </w:rPr>
          </w:pPr>
          <w:hyperlink w:anchor="_Toc359312044" w:history="1">
            <w:r w:rsidR="003B1790" w:rsidRPr="00D66290">
              <w:rPr>
                <w:rStyle w:val="Hyperlink"/>
                <w:noProof/>
              </w:rPr>
              <w:t>V.</w:t>
            </w:r>
            <w:r w:rsidR="003B1790">
              <w:rPr>
                <w:rFonts w:asciiTheme="minorHAnsi" w:hAnsiTheme="minorHAnsi"/>
                <w:noProof/>
                <w:sz w:val="22"/>
                <w:lang w:eastAsia="en-US"/>
              </w:rPr>
              <w:tab/>
            </w:r>
            <w:r w:rsidR="003B1790" w:rsidRPr="00D66290">
              <w:rPr>
                <w:rStyle w:val="Hyperlink"/>
                <w:noProof/>
              </w:rPr>
              <w:t>REVENUE ALLOCATION</w:t>
            </w:r>
            <w:r w:rsidR="003B1790">
              <w:rPr>
                <w:noProof/>
                <w:webHidden/>
              </w:rPr>
              <w:tab/>
            </w:r>
            <w:r w:rsidR="003B1790">
              <w:rPr>
                <w:noProof/>
                <w:webHidden/>
              </w:rPr>
              <w:fldChar w:fldCharType="begin"/>
            </w:r>
            <w:r w:rsidR="003B1790">
              <w:rPr>
                <w:noProof/>
                <w:webHidden/>
              </w:rPr>
              <w:instrText xml:space="preserve"> PAGEREF _Toc359312044 \h </w:instrText>
            </w:r>
            <w:r w:rsidR="003B1790">
              <w:rPr>
                <w:noProof/>
                <w:webHidden/>
              </w:rPr>
            </w:r>
            <w:r w:rsidR="003B1790">
              <w:rPr>
                <w:noProof/>
                <w:webHidden/>
              </w:rPr>
              <w:fldChar w:fldCharType="separate"/>
            </w:r>
            <w:r>
              <w:rPr>
                <w:noProof/>
                <w:webHidden/>
              </w:rPr>
              <w:t>22</w:t>
            </w:r>
            <w:r w:rsidR="003B1790">
              <w:rPr>
                <w:noProof/>
                <w:webHidden/>
              </w:rPr>
              <w:fldChar w:fldCharType="end"/>
            </w:r>
          </w:hyperlink>
        </w:p>
        <w:p w:rsidR="003B1790" w:rsidRDefault="001B6B4E">
          <w:pPr>
            <w:pStyle w:val="TOC1"/>
            <w:rPr>
              <w:rFonts w:asciiTheme="minorHAnsi" w:hAnsiTheme="minorHAnsi"/>
              <w:noProof/>
              <w:sz w:val="22"/>
              <w:lang w:eastAsia="en-US"/>
            </w:rPr>
          </w:pPr>
          <w:hyperlink w:anchor="_Toc359312045" w:history="1">
            <w:r w:rsidR="003B1790" w:rsidRPr="00D66290">
              <w:rPr>
                <w:rStyle w:val="Hyperlink"/>
                <w:noProof/>
              </w:rPr>
              <w:t>VI.</w:t>
            </w:r>
            <w:r w:rsidR="003B1790">
              <w:rPr>
                <w:rFonts w:asciiTheme="minorHAnsi" w:hAnsiTheme="minorHAnsi"/>
                <w:noProof/>
                <w:sz w:val="22"/>
                <w:lang w:eastAsia="en-US"/>
              </w:rPr>
              <w:tab/>
            </w:r>
            <w:r w:rsidR="003B1790" w:rsidRPr="00D66290">
              <w:rPr>
                <w:rStyle w:val="Hyperlink"/>
                <w:noProof/>
              </w:rPr>
              <w:t>RATE DESIGN</w:t>
            </w:r>
            <w:r w:rsidR="003B1790">
              <w:rPr>
                <w:noProof/>
                <w:webHidden/>
              </w:rPr>
              <w:tab/>
            </w:r>
            <w:r w:rsidR="003B1790">
              <w:rPr>
                <w:noProof/>
                <w:webHidden/>
              </w:rPr>
              <w:fldChar w:fldCharType="begin"/>
            </w:r>
            <w:r w:rsidR="003B1790">
              <w:rPr>
                <w:noProof/>
                <w:webHidden/>
              </w:rPr>
              <w:instrText xml:space="preserve"> PAGEREF _Toc359312045 \h </w:instrText>
            </w:r>
            <w:r w:rsidR="003B1790">
              <w:rPr>
                <w:noProof/>
                <w:webHidden/>
              </w:rPr>
            </w:r>
            <w:r w:rsidR="003B1790">
              <w:rPr>
                <w:noProof/>
                <w:webHidden/>
              </w:rPr>
              <w:fldChar w:fldCharType="separate"/>
            </w:r>
            <w:r>
              <w:rPr>
                <w:noProof/>
                <w:webHidden/>
              </w:rPr>
              <w:t>27</w:t>
            </w:r>
            <w:r w:rsidR="003B1790">
              <w:rPr>
                <w:noProof/>
                <w:webHidden/>
              </w:rPr>
              <w:fldChar w:fldCharType="end"/>
            </w:r>
          </w:hyperlink>
        </w:p>
        <w:p w:rsidR="003B1790" w:rsidRDefault="001B6B4E">
          <w:pPr>
            <w:pStyle w:val="TOC3"/>
            <w:rPr>
              <w:rFonts w:asciiTheme="minorHAnsi" w:hAnsiTheme="minorHAnsi"/>
              <w:noProof/>
              <w:sz w:val="22"/>
              <w:lang w:eastAsia="en-US"/>
            </w:rPr>
          </w:pPr>
          <w:hyperlink w:anchor="_Toc359312046" w:history="1">
            <w:r w:rsidR="003B1790" w:rsidRPr="00D66290">
              <w:rPr>
                <w:rStyle w:val="Hyperlink"/>
                <w:noProof/>
              </w:rPr>
              <w:t>A.</w:t>
            </w:r>
            <w:r w:rsidR="003B1790">
              <w:rPr>
                <w:rFonts w:asciiTheme="minorHAnsi" w:hAnsiTheme="minorHAnsi"/>
                <w:noProof/>
                <w:sz w:val="22"/>
                <w:lang w:eastAsia="en-US"/>
              </w:rPr>
              <w:tab/>
            </w:r>
            <w:r w:rsidR="003B1790" w:rsidRPr="00D66290">
              <w:rPr>
                <w:rStyle w:val="Hyperlink"/>
                <w:noProof/>
              </w:rPr>
              <w:t>Residential Schedules</w:t>
            </w:r>
            <w:r w:rsidR="003B1790">
              <w:rPr>
                <w:noProof/>
                <w:webHidden/>
              </w:rPr>
              <w:tab/>
            </w:r>
            <w:r w:rsidR="003B1790">
              <w:rPr>
                <w:noProof/>
                <w:webHidden/>
              </w:rPr>
              <w:fldChar w:fldCharType="begin"/>
            </w:r>
            <w:r w:rsidR="003B1790">
              <w:rPr>
                <w:noProof/>
                <w:webHidden/>
              </w:rPr>
              <w:instrText xml:space="preserve"> PAGEREF _Toc359312046 \h </w:instrText>
            </w:r>
            <w:r w:rsidR="003B1790">
              <w:rPr>
                <w:noProof/>
                <w:webHidden/>
              </w:rPr>
            </w:r>
            <w:r w:rsidR="003B1790">
              <w:rPr>
                <w:noProof/>
                <w:webHidden/>
              </w:rPr>
              <w:fldChar w:fldCharType="separate"/>
            </w:r>
            <w:r>
              <w:rPr>
                <w:noProof/>
                <w:webHidden/>
              </w:rPr>
              <w:t>28</w:t>
            </w:r>
            <w:r w:rsidR="003B1790">
              <w:rPr>
                <w:noProof/>
                <w:webHidden/>
              </w:rPr>
              <w:fldChar w:fldCharType="end"/>
            </w:r>
          </w:hyperlink>
        </w:p>
        <w:p w:rsidR="003B1790" w:rsidRDefault="001B6B4E">
          <w:pPr>
            <w:pStyle w:val="TOC6"/>
            <w:rPr>
              <w:rFonts w:asciiTheme="minorHAnsi" w:eastAsiaTheme="minorEastAsia" w:hAnsiTheme="minorHAnsi" w:cstheme="minorBidi"/>
              <w:noProof/>
              <w:sz w:val="22"/>
              <w:szCs w:val="22"/>
            </w:rPr>
          </w:pPr>
          <w:hyperlink w:anchor="_Toc359312047" w:history="1">
            <w:r w:rsidR="003B1790" w:rsidRPr="00D66290">
              <w:rPr>
                <w:rStyle w:val="Hyperlink"/>
                <w:noProof/>
              </w:rPr>
              <w:t>1.</w:t>
            </w:r>
            <w:r w:rsidR="003B1790">
              <w:rPr>
                <w:rFonts w:asciiTheme="minorHAnsi" w:eastAsiaTheme="minorEastAsia" w:hAnsiTheme="minorHAnsi" w:cstheme="minorBidi"/>
                <w:noProof/>
                <w:sz w:val="22"/>
                <w:szCs w:val="22"/>
              </w:rPr>
              <w:tab/>
            </w:r>
            <w:r w:rsidR="003B1790" w:rsidRPr="00D66290">
              <w:rPr>
                <w:rStyle w:val="Hyperlink"/>
                <w:noProof/>
              </w:rPr>
              <w:t>Monthly Customer Charge</w:t>
            </w:r>
            <w:r w:rsidR="003B1790">
              <w:rPr>
                <w:noProof/>
                <w:webHidden/>
              </w:rPr>
              <w:tab/>
            </w:r>
            <w:r w:rsidR="003B1790">
              <w:rPr>
                <w:noProof/>
                <w:webHidden/>
              </w:rPr>
              <w:fldChar w:fldCharType="begin"/>
            </w:r>
            <w:r w:rsidR="003B1790">
              <w:rPr>
                <w:noProof/>
                <w:webHidden/>
              </w:rPr>
              <w:instrText xml:space="preserve"> PAGEREF _Toc359312047 \h </w:instrText>
            </w:r>
            <w:r w:rsidR="003B1790">
              <w:rPr>
                <w:noProof/>
                <w:webHidden/>
              </w:rPr>
            </w:r>
            <w:r w:rsidR="003B1790">
              <w:rPr>
                <w:noProof/>
                <w:webHidden/>
              </w:rPr>
              <w:fldChar w:fldCharType="separate"/>
            </w:r>
            <w:r>
              <w:rPr>
                <w:noProof/>
                <w:webHidden/>
              </w:rPr>
              <w:t>28</w:t>
            </w:r>
            <w:r w:rsidR="003B1790">
              <w:rPr>
                <w:noProof/>
                <w:webHidden/>
              </w:rPr>
              <w:fldChar w:fldCharType="end"/>
            </w:r>
          </w:hyperlink>
        </w:p>
        <w:p w:rsidR="003B1790" w:rsidRDefault="001B6B4E">
          <w:pPr>
            <w:pStyle w:val="TOC6"/>
            <w:rPr>
              <w:rFonts w:asciiTheme="minorHAnsi" w:eastAsiaTheme="minorEastAsia" w:hAnsiTheme="minorHAnsi" w:cstheme="minorBidi"/>
              <w:noProof/>
              <w:sz w:val="22"/>
              <w:szCs w:val="22"/>
            </w:rPr>
          </w:pPr>
          <w:hyperlink w:anchor="_Toc359312048" w:history="1">
            <w:r w:rsidR="003B1790" w:rsidRPr="00D66290">
              <w:rPr>
                <w:rStyle w:val="Hyperlink"/>
                <w:noProof/>
              </w:rPr>
              <w:t>2.</w:t>
            </w:r>
            <w:r w:rsidR="003B1790">
              <w:rPr>
                <w:rFonts w:asciiTheme="minorHAnsi" w:eastAsiaTheme="minorEastAsia" w:hAnsiTheme="minorHAnsi" w:cstheme="minorBidi"/>
                <w:noProof/>
                <w:sz w:val="22"/>
                <w:szCs w:val="22"/>
              </w:rPr>
              <w:tab/>
            </w:r>
            <w:r w:rsidR="003B1790" w:rsidRPr="00D66290">
              <w:rPr>
                <w:rStyle w:val="Hyperlink"/>
                <w:noProof/>
              </w:rPr>
              <w:t>Volumetric Blocks</w:t>
            </w:r>
            <w:r w:rsidR="003B1790">
              <w:rPr>
                <w:noProof/>
                <w:webHidden/>
              </w:rPr>
              <w:tab/>
            </w:r>
            <w:r w:rsidR="003B1790">
              <w:rPr>
                <w:noProof/>
                <w:webHidden/>
              </w:rPr>
              <w:fldChar w:fldCharType="begin"/>
            </w:r>
            <w:r w:rsidR="003B1790">
              <w:rPr>
                <w:noProof/>
                <w:webHidden/>
              </w:rPr>
              <w:instrText xml:space="preserve"> PAGEREF _Toc359312048 \h </w:instrText>
            </w:r>
            <w:r w:rsidR="003B1790">
              <w:rPr>
                <w:noProof/>
                <w:webHidden/>
              </w:rPr>
            </w:r>
            <w:r w:rsidR="003B1790">
              <w:rPr>
                <w:noProof/>
                <w:webHidden/>
              </w:rPr>
              <w:fldChar w:fldCharType="separate"/>
            </w:r>
            <w:r>
              <w:rPr>
                <w:noProof/>
                <w:webHidden/>
              </w:rPr>
              <w:t>33</w:t>
            </w:r>
            <w:r w:rsidR="003B1790">
              <w:rPr>
                <w:noProof/>
                <w:webHidden/>
              </w:rPr>
              <w:fldChar w:fldCharType="end"/>
            </w:r>
          </w:hyperlink>
        </w:p>
        <w:p w:rsidR="003B1790" w:rsidRDefault="001B6B4E">
          <w:pPr>
            <w:pStyle w:val="TOC6"/>
            <w:rPr>
              <w:rFonts w:asciiTheme="minorHAnsi" w:eastAsiaTheme="minorEastAsia" w:hAnsiTheme="minorHAnsi" w:cstheme="minorBidi"/>
              <w:noProof/>
              <w:sz w:val="22"/>
              <w:szCs w:val="22"/>
            </w:rPr>
          </w:pPr>
          <w:hyperlink w:anchor="_Toc359312049" w:history="1">
            <w:r w:rsidR="003B1790" w:rsidRPr="00D66290">
              <w:rPr>
                <w:rStyle w:val="Hyperlink"/>
                <w:noProof/>
              </w:rPr>
              <w:t>3.</w:t>
            </w:r>
            <w:r w:rsidR="003B1790">
              <w:rPr>
                <w:rFonts w:asciiTheme="minorHAnsi" w:eastAsiaTheme="minorEastAsia" w:hAnsiTheme="minorHAnsi" w:cstheme="minorBidi"/>
                <w:noProof/>
                <w:sz w:val="22"/>
                <w:szCs w:val="22"/>
              </w:rPr>
              <w:tab/>
            </w:r>
            <w:r w:rsidR="003B1790" w:rsidRPr="00D66290">
              <w:rPr>
                <w:rStyle w:val="Hyperlink"/>
                <w:noProof/>
              </w:rPr>
              <w:t>Volumetric Rates</w:t>
            </w:r>
            <w:r w:rsidR="003B1790">
              <w:rPr>
                <w:noProof/>
                <w:webHidden/>
              </w:rPr>
              <w:tab/>
            </w:r>
            <w:r w:rsidR="003B1790">
              <w:rPr>
                <w:noProof/>
                <w:webHidden/>
              </w:rPr>
              <w:fldChar w:fldCharType="begin"/>
            </w:r>
            <w:r w:rsidR="003B1790">
              <w:rPr>
                <w:noProof/>
                <w:webHidden/>
              </w:rPr>
              <w:instrText xml:space="preserve"> PAGEREF _Toc359312049 \h </w:instrText>
            </w:r>
            <w:r w:rsidR="003B1790">
              <w:rPr>
                <w:noProof/>
                <w:webHidden/>
              </w:rPr>
            </w:r>
            <w:r w:rsidR="003B1790">
              <w:rPr>
                <w:noProof/>
                <w:webHidden/>
              </w:rPr>
              <w:fldChar w:fldCharType="separate"/>
            </w:r>
            <w:r>
              <w:rPr>
                <w:noProof/>
                <w:webHidden/>
              </w:rPr>
              <w:t>36</w:t>
            </w:r>
            <w:r w:rsidR="003B1790">
              <w:rPr>
                <w:noProof/>
                <w:webHidden/>
              </w:rPr>
              <w:fldChar w:fldCharType="end"/>
            </w:r>
          </w:hyperlink>
        </w:p>
        <w:p w:rsidR="003B1790" w:rsidRDefault="001B6B4E">
          <w:pPr>
            <w:pStyle w:val="TOC6"/>
            <w:rPr>
              <w:rFonts w:asciiTheme="minorHAnsi" w:eastAsiaTheme="minorEastAsia" w:hAnsiTheme="minorHAnsi" w:cstheme="minorBidi"/>
              <w:noProof/>
              <w:sz w:val="22"/>
              <w:szCs w:val="22"/>
            </w:rPr>
          </w:pPr>
          <w:hyperlink w:anchor="_Toc359312050" w:history="1">
            <w:r w:rsidR="003B1790" w:rsidRPr="00D66290">
              <w:rPr>
                <w:rStyle w:val="Hyperlink"/>
                <w:noProof/>
              </w:rPr>
              <w:t>4.</w:t>
            </w:r>
            <w:r w:rsidR="003B1790">
              <w:rPr>
                <w:rFonts w:asciiTheme="minorHAnsi" w:eastAsiaTheme="minorEastAsia" w:hAnsiTheme="minorHAnsi" w:cstheme="minorBidi"/>
                <w:noProof/>
                <w:sz w:val="22"/>
                <w:szCs w:val="22"/>
              </w:rPr>
              <w:tab/>
            </w:r>
            <w:r w:rsidR="003B1790" w:rsidRPr="00D66290">
              <w:rPr>
                <w:rStyle w:val="Hyperlink"/>
                <w:noProof/>
              </w:rPr>
              <w:t>Overall Impacts of Staff</w:t>
            </w:r>
            <w:r w:rsidR="00C12CE1">
              <w:rPr>
                <w:rStyle w:val="Hyperlink"/>
                <w:noProof/>
              </w:rPr>
              <w:t>’s</w:t>
            </w:r>
            <w:r w:rsidR="003B1790" w:rsidRPr="00D66290">
              <w:rPr>
                <w:rStyle w:val="Hyperlink"/>
                <w:noProof/>
              </w:rPr>
              <w:t xml:space="preserve"> Residential Rate Design</w:t>
            </w:r>
            <w:r w:rsidR="003B1790">
              <w:rPr>
                <w:noProof/>
                <w:webHidden/>
              </w:rPr>
              <w:tab/>
            </w:r>
            <w:r w:rsidR="003B1790">
              <w:rPr>
                <w:noProof/>
                <w:webHidden/>
              </w:rPr>
              <w:fldChar w:fldCharType="begin"/>
            </w:r>
            <w:r w:rsidR="003B1790">
              <w:rPr>
                <w:noProof/>
                <w:webHidden/>
              </w:rPr>
              <w:instrText xml:space="preserve"> PAGEREF _Toc359312050 \h </w:instrText>
            </w:r>
            <w:r w:rsidR="003B1790">
              <w:rPr>
                <w:noProof/>
                <w:webHidden/>
              </w:rPr>
            </w:r>
            <w:r w:rsidR="003B1790">
              <w:rPr>
                <w:noProof/>
                <w:webHidden/>
              </w:rPr>
              <w:fldChar w:fldCharType="separate"/>
            </w:r>
            <w:r>
              <w:rPr>
                <w:noProof/>
                <w:webHidden/>
              </w:rPr>
              <w:t>37</w:t>
            </w:r>
            <w:r w:rsidR="003B1790">
              <w:rPr>
                <w:noProof/>
                <w:webHidden/>
              </w:rPr>
              <w:fldChar w:fldCharType="end"/>
            </w:r>
          </w:hyperlink>
        </w:p>
        <w:p w:rsidR="003B1790" w:rsidRDefault="001B6B4E">
          <w:pPr>
            <w:pStyle w:val="TOC3"/>
            <w:rPr>
              <w:rFonts w:asciiTheme="minorHAnsi" w:hAnsiTheme="minorHAnsi"/>
              <w:noProof/>
              <w:sz w:val="22"/>
              <w:lang w:eastAsia="en-US"/>
            </w:rPr>
          </w:pPr>
          <w:hyperlink w:anchor="_Toc359312051" w:history="1">
            <w:r w:rsidR="003B1790" w:rsidRPr="00D66290">
              <w:rPr>
                <w:rStyle w:val="Hyperlink"/>
                <w:noProof/>
              </w:rPr>
              <w:t>B.</w:t>
            </w:r>
            <w:r w:rsidR="003B1790">
              <w:rPr>
                <w:rFonts w:asciiTheme="minorHAnsi" w:hAnsiTheme="minorHAnsi"/>
                <w:noProof/>
                <w:sz w:val="22"/>
                <w:lang w:eastAsia="en-US"/>
              </w:rPr>
              <w:tab/>
            </w:r>
            <w:r w:rsidR="003B1790" w:rsidRPr="00D66290">
              <w:rPr>
                <w:rStyle w:val="Hyperlink"/>
                <w:noProof/>
              </w:rPr>
              <w:t>Non-Residential Schedules</w:t>
            </w:r>
            <w:r w:rsidR="003B1790">
              <w:rPr>
                <w:noProof/>
                <w:webHidden/>
              </w:rPr>
              <w:tab/>
            </w:r>
            <w:r w:rsidR="003B1790">
              <w:rPr>
                <w:noProof/>
                <w:webHidden/>
              </w:rPr>
              <w:fldChar w:fldCharType="begin"/>
            </w:r>
            <w:r w:rsidR="003B1790">
              <w:rPr>
                <w:noProof/>
                <w:webHidden/>
              </w:rPr>
              <w:instrText xml:space="preserve"> PAGEREF _Toc359312051 \h </w:instrText>
            </w:r>
            <w:r w:rsidR="003B1790">
              <w:rPr>
                <w:noProof/>
                <w:webHidden/>
              </w:rPr>
            </w:r>
            <w:r w:rsidR="003B1790">
              <w:rPr>
                <w:noProof/>
                <w:webHidden/>
              </w:rPr>
              <w:fldChar w:fldCharType="separate"/>
            </w:r>
            <w:r>
              <w:rPr>
                <w:noProof/>
                <w:webHidden/>
              </w:rPr>
              <w:t>41</w:t>
            </w:r>
            <w:r w:rsidR="003B1790">
              <w:rPr>
                <w:noProof/>
                <w:webHidden/>
              </w:rPr>
              <w:fldChar w:fldCharType="end"/>
            </w:r>
          </w:hyperlink>
        </w:p>
        <w:p w:rsidR="003B1790" w:rsidRDefault="001B6B4E">
          <w:pPr>
            <w:pStyle w:val="TOC3"/>
            <w:rPr>
              <w:rFonts w:asciiTheme="minorHAnsi" w:hAnsiTheme="minorHAnsi"/>
              <w:noProof/>
              <w:sz w:val="22"/>
              <w:lang w:eastAsia="en-US"/>
            </w:rPr>
          </w:pPr>
          <w:hyperlink w:anchor="_Toc359312052" w:history="1">
            <w:r w:rsidR="003B1790" w:rsidRPr="00D66290">
              <w:rPr>
                <w:rStyle w:val="Hyperlink"/>
                <w:noProof/>
              </w:rPr>
              <w:t>C.</w:t>
            </w:r>
            <w:r w:rsidR="003B1790">
              <w:rPr>
                <w:rFonts w:asciiTheme="minorHAnsi" w:hAnsiTheme="minorHAnsi"/>
                <w:noProof/>
                <w:sz w:val="22"/>
                <w:lang w:eastAsia="en-US"/>
              </w:rPr>
              <w:tab/>
            </w:r>
            <w:r w:rsidR="003B1790" w:rsidRPr="00D66290">
              <w:rPr>
                <w:rStyle w:val="Hyperlink"/>
                <w:noProof/>
              </w:rPr>
              <w:t>Rule 6 and Schedule 300</w:t>
            </w:r>
            <w:r w:rsidR="003B1790">
              <w:rPr>
                <w:noProof/>
                <w:webHidden/>
              </w:rPr>
              <w:tab/>
            </w:r>
            <w:r w:rsidR="003B1790">
              <w:rPr>
                <w:noProof/>
                <w:webHidden/>
              </w:rPr>
              <w:fldChar w:fldCharType="begin"/>
            </w:r>
            <w:r w:rsidR="003B1790">
              <w:rPr>
                <w:noProof/>
                <w:webHidden/>
              </w:rPr>
              <w:instrText xml:space="preserve"> PAGEREF _Toc359312052 \h </w:instrText>
            </w:r>
            <w:r w:rsidR="003B1790">
              <w:rPr>
                <w:noProof/>
                <w:webHidden/>
              </w:rPr>
            </w:r>
            <w:r w:rsidR="003B1790">
              <w:rPr>
                <w:noProof/>
                <w:webHidden/>
              </w:rPr>
              <w:fldChar w:fldCharType="separate"/>
            </w:r>
            <w:r>
              <w:rPr>
                <w:noProof/>
                <w:webHidden/>
              </w:rPr>
              <w:t>42</w:t>
            </w:r>
            <w:r w:rsidR="003B1790">
              <w:rPr>
                <w:noProof/>
                <w:webHidden/>
              </w:rPr>
              <w:fldChar w:fldCharType="end"/>
            </w:r>
          </w:hyperlink>
        </w:p>
        <w:p w:rsidR="00276957" w:rsidRPr="00F27E5A" w:rsidRDefault="00297B78" w:rsidP="000004F0">
          <w:pPr>
            <w:spacing w:line="360" w:lineRule="auto"/>
            <w:rPr>
              <w:rFonts w:eastAsiaTheme="minorEastAsia" w:cstheme="minorBidi"/>
              <w:szCs w:val="22"/>
              <w:lang w:eastAsia="ja-JP"/>
            </w:rPr>
          </w:pPr>
          <w:r w:rsidRPr="00F27E5A">
            <w:rPr>
              <w:rFonts w:eastAsiaTheme="minorEastAsia" w:cstheme="minorBidi"/>
              <w:szCs w:val="22"/>
              <w:lang w:eastAsia="ja-JP"/>
            </w:rPr>
            <w:fldChar w:fldCharType="end"/>
          </w:r>
          <w:r w:rsidR="00276957" w:rsidRPr="00F27E5A">
            <w:rPr>
              <w:rFonts w:eastAsiaTheme="minorEastAsia" w:cstheme="minorBidi"/>
              <w:szCs w:val="22"/>
              <w:lang w:eastAsia="ja-JP"/>
            </w:rPr>
            <w:br w:type="page"/>
          </w:r>
        </w:p>
        <w:p w:rsidR="00B44F4A" w:rsidRPr="00F27E5A" w:rsidRDefault="00B44F4A" w:rsidP="00641F26">
          <w:pPr>
            <w:spacing w:line="360" w:lineRule="auto"/>
            <w:rPr>
              <w:b/>
              <w:bCs/>
              <w:noProof/>
            </w:rPr>
          </w:pPr>
        </w:p>
        <w:p w:rsidR="00B44F4A" w:rsidRPr="00F27E5A" w:rsidRDefault="00B44F4A" w:rsidP="00B44F4A">
          <w:pPr>
            <w:spacing w:line="360" w:lineRule="auto"/>
            <w:jc w:val="center"/>
            <w:rPr>
              <w:b/>
              <w:bCs/>
              <w:noProof/>
            </w:rPr>
          </w:pPr>
          <w:r w:rsidRPr="00F27E5A">
            <w:rPr>
              <w:b/>
              <w:bCs/>
              <w:noProof/>
            </w:rPr>
            <w:t>LIST OF EXHIBITS</w:t>
          </w:r>
        </w:p>
        <w:p w:rsidR="004E0D94" w:rsidRPr="00F27E5A" w:rsidRDefault="004E0D94" w:rsidP="004E0D94"/>
        <w:p w:rsidR="00B758B7" w:rsidRPr="00F27E5A" w:rsidRDefault="00B758B7" w:rsidP="00B758B7">
          <w:pPr>
            <w:spacing w:line="360" w:lineRule="auto"/>
          </w:pPr>
          <w:r w:rsidRPr="00F27E5A">
            <w:rPr>
              <w:bCs/>
            </w:rPr>
            <w:t>Exhibit No.</w:t>
          </w:r>
          <w:r w:rsidR="00940838" w:rsidRPr="00F27E5A">
            <w:rPr>
              <w:bCs/>
            </w:rPr>
            <w:t xml:space="preserve"> </w:t>
          </w:r>
          <w:r w:rsidRPr="00F27E5A">
            <w:rPr>
              <w:bCs/>
            </w:rPr>
            <w:t>_</w:t>
          </w:r>
          <w:r w:rsidR="00940838" w:rsidRPr="00F27E5A">
            <w:rPr>
              <w:bCs/>
            </w:rPr>
            <w:t>_</w:t>
          </w:r>
          <w:r w:rsidRPr="00F27E5A">
            <w:rPr>
              <w:bCs/>
            </w:rPr>
            <w:t>_ (CTM-</w:t>
          </w:r>
          <w:r w:rsidR="00E242F6" w:rsidRPr="00F27E5A">
            <w:rPr>
              <w:bCs/>
            </w:rPr>
            <w:t>2</w:t>
          </w:r>
          <w:r w:rsidR="00A472FD" w:rsidRPr="00F27E5A">
            <w:rPr>
              <w:bCs/>
            </w:rPr>
            <w:t>)</w:t>
          </w:r>
          <w:r w:rsidR="00BD36B5">
            <w:rPr>
              <w:bCs/>
            </w:rPr>
            <w:t xml:space="preserve">, </w:t>
          </w:r>
          <w:r w:rsidR="007668C6" w:rsidRPr="00F27E5A">
            <w:rPr>
              <w:bCs/>
            </w:rPr>
            <w:t xml:space="preserve">Adjustment 3.8, </w:t>
          </w:r>
          <w:r w:rsidR="00A472FD" w:rsidRPr="00F27E5A">
            <w:rPr>
              <w:bCs/>
            </w:rPr>
            <w:t>Schedule 300 Fee Charge</w:t>
          </w:r>
          <w:r w:rsidR="00BB29A7" w:rsidRPr="00F27E5A">
            <w:rPr>
              <w:bCs/>
            </w:rPr>
            <w:t>s</w:t>
          </w:r>
        </w:p>
        <w:p w:rsidR="004E747D" w:rsidRPr="00F27E5A" w:rsidRDefault="004E747D" w:rsidP="004E747D">
          <w:pPr>
            <w:spacing w:line="360" w:lineRule="auto"/>
          </w:pPr>
          <w:r w:rsidRPr="00F27E5A">
            <w:rPr>
              <w:bCs/>
            </w:rPr>
            <w:t>Exhibit No. ___ (CTM-</w:t>
          </w:r>
          <w:r w:rsidR="00E242F6" w:rsidRPr="00F27E5A">
            <w:rPr>
              <w:bCs/>
            </w:rPr>
            <w:t>3</w:t>
          </w:r>
          <w:r w:rsidRPr="00F27E5A">
            <w:rPr>
              <w:bCs/>
            </w:rPr>
            <w:t>)</w:t>
          </w:r>
          <w:r w:rsidR="00BD36B5">
            <w:rPr>
              <w:bCs/>
            </w:rPr>
            <w:t xml:space="preserve">, </w:t>
          </w:r>
          <w:r w:rsidR="007668C6" w:rsidRPr="00F27E5A">
            <w:rPr>
              <w:bCs/>
            </w:rPr>
            <w:t xml:space="preserve">Adjustment 4.12, </w:t>
          </w:r>
          <w:r w:rsidR="00A472FD" w:rsidRPr="00F27E5A">
            <w:rPr>
              <w:bCs/>
            </w:rPr>
            <w:t>Uncollectible Expense</w:t>
          </w:r>
        </w:p>
        <w:p w:rsidR="004E747D" w:rsidRPr="00F27E5A" w:rsidRDefault="004E747D" w:rsidP="004E747D">
          <w:pPr>
            <w:spacing w:line="360" w:lineRule="auto"/>
          </w:pPr>
          <w:r w:rsidRPr="00F27E5A">
            <w:rPr>
              <w:bCs/>
            </w:rPr>
            <w:t>Exhibit No. ___ (CTM-</w:t>
          </w:r>
          <w:r w:rsidR="00E242F6" w:rsidRPr="00F27E5A">
            <w:rPr>
              <w:bCs/>
            </w:rPr>
            <w:t>4</w:t>
          </w:r>
          <w:r w:rsidRPr="00F27E5A">
            <w:rPr>
              <w:bCs/>
            </w:rPr>
            <w:t>)</w:t>
          </w:r>
          <w:r w:rsidR="00BD36B5">
            <w:rPr>
              <w:bCs/>
            </w:rPr>
            <w:t xml:space="preserve">, </w:t>
          </w:r>
          <w:r w:rsidR="00A472FD" w:rsidRPr="00F27E5A">
            <w:rPr>
              <w:bCs/>
            </w:rPr>
            <w:t>Electric Cost of Service</w:t>
          </w:r>
        </w:p>
        <w:p w:rsidR="00B758B7" w:rsidRPr="00F27E5A" w:rsidRDefault="00B758B7" w:rsidP="004E0D94">
          <w:pPr>
            <w:spacing w:line="360" w:lineRule="auto"/>
          </w:pPr>
          <w:r w:rsidRPr="00F27E5A">
            <w:rPr>
              <w:bCs/>
            </w:rPr>
            <w:t>Exhibit No.</w:t>
          </w:r>
          <w:r w:rsidR="00940838" w:rsidRPr="00F27E5A">
            <w:rPr>
              <w:bCs/>
            </w:rPr>
            <w:t xml:space="preserve"> </w:t>
          </w:r>
          <w:r w:rsidRPr="00F27E5A">
            <w:rPr>
              <w:bCs/>
            </w:rPr>
            <w:t>__</w:t>
          </w:r>
          <w:r w:rsidR="00940838" w:rsidRPr="00F27E5A">
            <w:rPr>
              <w:bCs/>
            </w:rPr>
            <w:t>_</w:t>
          </w:r>
          <w:r w:rsidRPr="00F27E5A">
            <w:rPr>
              <w:bCs/>
            </w:rPr>
            <w:t xml:space="preserve"> (CTM-</w:t>
          </w:r>
          <w:r w:rsidR="00E242F6" w:rsidRPr="00F27E5A">
            <w:rPr>
              <w:bCs/>
            </w:rPr>
            <w:t>5</w:t>
          </w:r>
          <w:r w:rsidRPr="00F27E5A">
            <w:rPr>
              <w:bCs/>
            </w:rPr>
            <w:t>)</w:t>
          </w:r>
          <w:r w:rsidR="00BD36B5">
            <w:rPr>
              <w:bCs/>
            </w:rPr>
            <w:t xml:space="preserve">, </w:t>
          </w:r>
          <w:r w:rsidR="00A472FD" w:rsidRPr="00F27E5A">
            <w:rPr>
              <w:bCs/>
            </w:rPr>
            <w:t xml:space="preserve">Electric </w:t>
          </w:r>
          <w:r w:rsidR="00A472FD" w:rsidRPr="00F27E5A">
            <w:t>Revenue Allocation and Rate Design</w:t>
          </w:r>
        </w:p>
        <w:p w:rsidR="00E42406" w:rsidRPr="00F27E5A" w:rsidRDefault="00276957" w:rsidP="006E6198">
          <w:pPr>
            <w:spacing w:line="360" w:lineRule="auto"/>
            <w:rPr>
              <w:bCs/>
            </w:rPr>
          </w:pPr>
          <w:r w:rsidRPr="00F27E5A">
            <w:rPr>
              <w:bCs/>
            </w:rPr>
            <w:t>Exhibit No.</w:t>
          </w:r>
          <w:r w:rsidR="00940838" w:rsidRPr="00F27E5A">
            <w:rPr>
              <w:bCs/>
            </w:rPr>
            <w:t xml:space="preserve"> </w:t>
          </w:r>
          <w:r w:rsidRPr="00F27E5A">
            <w:rPr>
              <w:bCs/>
            </w:rPr>
            <w:t>_</w:t>
          </w:r>
          <w:r w:rsidR="00940838" w:rsidRPr="00F27E5A">
            <w:rPr>
              <w:bCs/>
            </w:rPr>
            <w:t>_</w:t>
          </w:r>
          <w:r w:rsidRPr="00F27E5A">
            <w:rPr>
              <w:bCs/>
            </w:rPr>
            <w:t>_ (CTM-</w:t>
          </w:r>
          <w:r w:rsidR="00E242F6" w:rsidRPr="00F27E5A">
            <w:rPr>
              <w:bCs/>
            </w:rPr>
            <w:t>6</w:t>
          </w:r>
          <w:r w:rsidRPr="00F27E5A">
            <w:rPr>
              <w:bCs/>
            </w:rPr>
            <w:t>)</w:t>
          </w:r>
          <w:r w:rsidR="00BD36B5">
            <w:rPr>
              <w:bCs/>
            </w:rPr>
            <w:t xml:space="preserve">, </w:t>
          </w:r>
          <w:r w:rsidR="00A472FD" w:rsidRPr="00F27E5A">
            <w:rPr>
              <w:bCs/>
            </w:rPr>
            <w:t>Electric Bill Frequency and Histogram Analysis</w:t>
          </w:r>
        </w:p>
        <w:p w:rsidR="00F27E5A" w:rsidRDefault="00E42406" w:rsidP="006E6198">
          <w:pPr>
            <w:spacing w:line="360" w:lineRule="auto"/>
          </w:pPr>
          <w:r w:rsidRPr="00F27E5A">
            <w:rPr>
              <w:bCs/>
            </w:rPr>
            <w:t>Exhibit No. ___ (CTM-7)</w:t>
          </w:r>
          <w:r w:rsidR="00BD36B5">
            <w:rPr>
              <w:bCs/>
            </w:rPr>
            <w:t xml:space="preserve">, </w:t>
          </w:r>
          <w:r w:rsidRPr="00F27E5A">
            <w:t>Language Revisions to Rule 6</w:t>
          </w:r>
        </w:p>
        <w:p w:rsidR="006E6198" w:rsidRPr="00F27E5A" w:rsidRDefault="00F27E5A" w:rsidP="006E6198">
          <w:pPr>
            <w:spacing w:line="360" w:lineRule="auto"/>
            <w:rPr>
              <w:bCs/>
            </w:rPr>
          </w:pPr>
          <w:r w:rsidRPr="00F27E5A">
            <w:rPr>
              <w:bCs/>
            </w:rPr>
            <w:t>Exhibit No. ___ (CTM-</w:t>
          </w:r>
          <w:r>
            <w:rPr>
              <w:bCs/>
            </w:rPr>
            <w:t>8</w:t>
          </w:r>
          <w:r w:rsidRPr="00F27E5A">
            <w:rPr>
              <w:bCs/>
            </w:rPr>
            <w:t>)</w:t>
          </w:r>
          <w:r w:rsidR="00BD36B5">
            <w:rPr>
              <w:bCs/>
            </w:rPr>
            <w:t xml:space="preserve">, </w:t>
          </w:r>
          <w:r w:rsidRPr="00F27E5A">
            <w:t>Language Revisions to Schedule 300</w:t>
          </w:r>
        </w:p>
      </w:sdtContent>
    </w:sdt>
    <w:p w:rsidR="00FB6F77" w:rsidRPr="00F27E5A" w:rsidRDefault="00B65674" w:rsidP="005A6989">
      <w:pPr>
        <w:sectPr w:rsidR="00FB6F77" w:rsidRPr="00F27E5A" w:rsidSect="00B65674">
          <w:footerReference w:type="default" r:id="rId10"/>
          <w:pgSz w:w="12240" w:h="15840" w:code="1"/>
          <w:pgMar w:top="1440" w:right="1440" w:bottom="1440" w:left="1872" w:header="720" w:footer="720" w:gutter="0"/>
          <w:pgNumType w:fmt="lowerRoman" w:start="1"/>
          <w:cols w:space="720"/>
          <w:docGrid w:linePitch="360"/>
        </w:sectPr>
      </w:pPr>
      <w:r w:rsidRPr="00F27E5A">
        <w:br w:type="page"/>
      </w:r>
    </w:p>
    <w:p w:rsidR="00FB6F77" w:rsidRPr="00F27E5A" w:rsidRDefault="00FB6F77" w:rsidP="00E24E40">
      <w:pPr>
        <w:pStyle w:val="Heading1"/>
        <w:jc w:val="both"/>
      </w:pPr>
      <w:bookmarkStart w:id="1" w:name="_Toc359312037"/>
      <w:r w:rsidRPr="00F27E5A">
        <w:lastRenderedPageBreak/>
        <w:t>INTRODUCTION</w:t>
      </w:r>
      <w:bookmarkEnd w:id="1"/>
    </w:p>
    <w:p w:rsidR="001D211D" w:rsidRPr="00F27E5A" w:rsidRDefault="001D211D" w:rsidP="00641F26">
      <w:pPr>
        <w:pStyle w:val="Question-Testimony"/>
      </w:pPr>
    </w:p>
    <w:p w:rsidR="00C3471C" w:rsidRPr="00F27E5A" w:rsidRDefault="00C3471C" w:rsidP="00641F26">
      <w:pPr>
        <w:pStyle w:val="Question-Testimony"/>
      </w:pPr>
      <w:r w:rsidRPr="00F27E5A">
        <w:t>Q.</w:t>
      </w:r>
      <w:r w:rsidRPr="00F27E5A">
        <w:tab/>
        <w:t xml:space="preserve">Please state your name and business address.  </w:t>
      </w:r>
    </w:p>
    <w:p w:rsidR="00C3471C" w:rsidRPr="00F27E5A" w:rsidRDefault="002F1187" w:rsidP="00641F26">
      <w:pPr>
        <w:pStyle w:val="Answer-Testimony"/>
      </w:pPr>
      <w:r w:rsidRPr="00F27E5A">
        <w:t>A.</w:t>
      </w:r>
      <w:r w:rsidRPr="00F27E5A">
        <w:tab/>
        <w:t>My name is Christopher T</w:t>
      </w:r>
      <w:r w:rsidR="003A238D" w:rsidRPr="00F27E5A">
        <w:t>homas</w:t>
      </w:r>
      <w:r w:rsidRPr="00F27E5A">
        <w:t xml:space="preserve"> Mickelson</w:t>
      </w:r>
      <w:r w:rsidR="00C3471C" w:rsidRPr="00F27E5A">
        <w:t>.  My business address is</w:t>
      </w:r>
      <w:r w:rsidR="00100D8D" w:rsidRPr="00F27E5A">
        <w:t xml:space="preserve"> t</w:t>
      </w:r>
      <w:r w:rsidRPr="00F27E5A">
        <w:t>he Richard Hemstad Building,</w:t>
      </w:r>
      <w:r w:rsidR="00C3471C" w:rsidRPr="00F27E5A">
        <w:t xml:space="preserve"> 1300 S. Evergreen Park Drive S.W., Olympia, W</w:t>
      </w:r>
      <w:r w:rsidR="00100D8D" w:rsidRPr="00F27E5A">
        <w:t>ashington</w:t>
      </w:r>
      <w:r w:rsidR="00233A3C" w:rsidRPr="00F27E5A">
        <w:t xml:space="preserve">  98504.</w:t>
      </w:r>
    </w:p>
    <w:p w:rsidR="00464A47" w:rsidRPr="00F27E5A" w:rsidRDefault="00464A47" w:rsidP="00464A47">
      <w:pPr>
        <w:spacing w:line="480" w:lineRule="auto"/>
        <w:ind w:left="720" w:hanging="720"/>
      </w:pPr>
    </w:p>
    <w:p w:rsidR="00464A47" w:rsidRPr="00F27E5A" w:rsidRDefault="00464A47" w:rsidP="00464A47">
      <w:pPr>
        <w:pStyle w:val="Question-Testimony"/>
      </w:pPr>
      <w:r w:rsidRPr="00F27E5A">
        <w:t>Q.</w:t>
      </w:r>
      <w:r w:rsidRPr="00F27E5A">
        <w:tab/>
        <w:t xml:space="preserve">By whom are you employed and in what capacity?  </w:t>
      </w:r>
    </w:p>
    <w:p w:rsidR="00464A47" w:rsidRPr="00F27E5A" w:rsidRDefault="00464A47" w:rsidP="00464A47">
      <w:pPr>
        <w:pStyle w:val="Answer-Testimony"/>
      </w:pPr>
      <w:r w:rsidRPr="00F27E5A">
        <w:rPr>
          <w:rStyle w:val="Answer-TestimonyChar"/>
        </w:rPr>
        <w:t>A.</w:t>
      </w:r>
      <w:r w:rsidRPr="00F27E5A">
        <w:rPr>
          <w:rStyle w:val="Answer-TestimonyChar"/>
        </w:rPr>
        <w:tab/>
        <w:t>I am employed by the Washington Utilities and Transportation Commission</w:t>
      </w:r>
      <w:r w:rsidRPr="00F27E5A">
        <w:t xml:space="preserve"> (“Commission”) as a Senior Regulatory Analyst in the Energy Section of the Regulatory Services Division.</w:t>
      </w:r>
      <w:r w:rsidR="0092519E" w:rsidRPr="00F27E5A">
        <w:t xml:space="preserve">  A</w:t>
      </w:r>
      <w:r w:rsidRPr="00F27E5A">
        <w:t>mong other duties,</w:t>
      </w:r>
      <w:r w:rsidR="0092519E" w:rsidRPr="00F27E5A">
        <w:t xml:space="preserve"> I am responsible </w:t>
      </w:r>
      <w:r w:rsidRPr="00F27E5A">
        <w:t>for analyzing financial, accounting</w:t>
      </w:r>
      <w:r w:rsidR="004A3B4E" w:rsidRPr="00F27E5A">
        <w:t xml:space="preserve">, </w:t>
      </w:r>
      <w:r w:rsidR="00233A3C" w:rsidRPr="00F27E5A">
        <w:t xml:space="preserve">and </w:t>
      </w:r>
      <w:r w:rsidR="004A3B4E" w:rsidRPr="00F27E5A">
        <w:t>revenue allocation</w:t>
      </w:r>
      <w:r w:rsidR="0092519E" w:rsidRPr="00F27E5A">
        <w:t xml:space="preserve"> and</w:t>
      </w:r>
      <w:r w:rsidRPr="00F27E5A">
        <w:t xml:space="preserve"> rate</w:t>
      </w:r>
      <w:r w:rsidR="004A3B4E" w:rsidRPr="00F27E5A">
        <w:t xml:space="preserve"> design</w:t>
      </w:r>
      <w:r w:rsidR="004D1F27" w:rsidRPr="00F27E5A">
        <w:t xml:space="preserve"> issues in general rate cases,</w:t>
      </w:r>
      <w:r w:rsidRPr="00F27E5A">
        <w:t xml:space="preserve"> accounting petitions, and other tarif</w:t>
      </w:r>
      <w:r w:rsidR="004A3B4E" w:rsidRPr="00F27E5A">
        <w:t>f filings</w:t>
      </w:r>
      <w:r w:rsidR="00AB30D3" w:rsidRPr="00F27E5A">
        <w:t>,</w:t>
      </w:r>
      <w:r w:rsidR="004A3B4E" w:rsidRPr="00F27E5A">
        <w:t xml:space="preserve"> as they pertain to </w:t>
      </w:r>
      <w:r w:rsidR="00233A3C" w:rsidRPr="00F27E5A">
        <w:t xml:space="preserve">the </w:t>
      </w:r>
      <w:r w:rsidR="004A3B4E" w:rsidRPr="00F27E5A">
        <w:t>electric and natural gas companies</w:t>
      </w:r>
      <w:r w:rsidRPr="00F27E5A">
        <w:t xml:space="preserve"> under the jurisdiction of this Commission.</w:t>
      </w:r>
    </w:p>
    <w:p w:rsidR="00464A47" w:rsidRPr="00F27E5A" w:rsidRDefault="00464A47" w:rsidP="00464A47">
      <w:pPr>
        <w:spacing w:line="480" w:lineRule="auto"/>
        <w:ind w:left="720" w:hanging="720"/>
      </w:pPr>
    </w:p>
    <w:p w:rsidR="00464A47" w:rsidRPr="00F27E5A" w:rsidRDefault="00464A47" w:rsidP="00464A47">
      <w:pPr>
        <w:pStyle w:val="Question-Testimony"/>
      </w:pPr>
      <w:r w:rsidRPr="00F27E5A">
        <w:t>Q.</w:t>
      </w:r>
      <w:r w:rsidRPr="00F27E5A">
        <w:tab/>
        <w:t>How long have you been employed by the Commission?</w:t>
      </w:r>
    </w:p>
    <w:p w:rsidR="00464A47" w:rsidRPr="00F27E5A" w:rsidRDefault="00464A47" w:rsidP="00464A47">
      <w:pPr>
        <w:pStyle w:val="Answer-Testimony"/>
      </w:pPr>
      <w:r w:rsidRPr="00F27E5A">
        <w:t>A.</w:t>
      </w:r>
      <w:r w:rsidRPr="00F27E5A">
        <w:tab/>
        <w:t>I have been employed by the Commission since June 2007.</w:t>
      </w:r>
    </w:p>
    <w:p w:rsidR="00464A47" w:rsidRPr="00F27E5A" w:rsidRDefault="00464A47" w:rsidP="00464A47">
      <w:pPr>
        <w:tabs>
          <w:tab w:val="left" w:pos="-1440"/>
        </w:tabs>
        <w:spacing w:line="480" w:lineRule="auto"/>
      </w:pPr>
    </w:p>
    <w:p w:rsidR="00464A47" w:rsidRPr="00F27E5A" w:rsidRDefault="00464A47" w:rsidP="00464A47">
      <w:pPr>
        <w:pStyle w:val="Question-Testimony"/>
      </w:pPr>
      <w:r w:rsidRPr="00F27E5A">
        <w:t>Q.</w:t>
      </w:r>
      <w:r w:rsidRPr="00F27E5A">
        <w:tab/>
        <w:t>Would you please state your educational and professional background?</w:t>
      </w:r>
    </w:p>
    <w:p w:rsidR="00464A47" w:rsidRPr="00F27E5A" w:rsidRDefault="00464A47" w:rsidP="00464A47">
      <w:pPr>
        <w:pStyle w:val="Answer-Testimony"/>
      </w:pPr>
      <w:r w:rsidRPr="00F27E5A">
        <w:t>A.</w:t>
      </w:r>
      <w:r w:rsidRPr="00F27E5A">
        <w:tab/>
        <w:t>I graduated from the University of Washington in 2002</w:t>
      </w:r>
      <w:r w:rsidR="00167B0D" w:rsidRPr="00F27E5A">
        <w:t>,</w:t>
      </w:r>
      <w:r w:rsidRPr="00F27E5A">
        <w:t xml:space="preserve"> receiving a Bachelor of Arts degree in Business Administration.  Since joining the Commission, I have attended several regulatory courses, including the 49th Annual National Association of </w:t>
      </w:r>
      <w:r w:rsidRPr="00F27E5A">
        <w:lastRenderedPageBreak/>
        <w:t>Regulatory Utility Commissioners Regulatory Studies Program held at Michigan State University in East Lansing, Michigan.</w:t>
      </w:r>
    </w:p>
    <w:p w:rsidR="00464A47" w:rsidRPr="00F27E5A" w:rsidRDefault="00D1368A" w:rsidP="00D1368A">
      <w:pPr>
        <w:pStyle w:val="Answer-Testimony"/>
      </w:pPr>
      <w:r w:rsidRPr="00F27E5A">
        <w:tab/>
      </w:r>
      <w:r w:rsidRPr="00F27E5A">
        <w:tab/>
        <w:t>I testi</w:t>
      </w:r>
      <w:r w:rsidR="004A3B4E" w:rsidRPr="00F27E5A">
        <w:t xml:space="preserve">fied </w:t>
      </w:r>
      <w:r w:rsidRPr="00F27E5A">
        <w:t>on Aldyl-A pipe replacement, electric and natural gas cost of services, revenue allocations and rate designs in Avista Corporation’s</w:t>
      </w:r>
      <w:r w:rsidR="00233A3C" w:rsidRPr="00F27E5A">
        <w:t xml:space="preserve"> (“Avista”)</w:t>
      </w:r>
      <w:r w:rsidRPr="00F27E5A">
        <w:t xml:space="preserve"> general rate case</w:t>
      </w:r>
      <w:r w:rsidR="00251FAD">
        <w:t xml:space="preserve"> (“GRC”)</w:t>
      </w:r>
      <w:r w:rsidRPr="00F27E5A">
        <w:t>, Dockets UE-120436 and UG-120437.  In addition, I testi</w:t>
      </w:r>
      <w:r w:rsidR="004A3B4E" w:rsidRPr="00F27E5A">
        <w:t>fied</w:t>
      </w:r>
      <w:r w:rsidRPr="00F27E5A">
        <w:t xml:space="preserve"> on </w:t>
      </w:r>
      <w:r w:rsidR="008D1A1E" w:rsidRPr="00F27E5A">
        <w:t>natural gas revenue requirement, revenue allocation and rate design in Puget Sound Energy</w:t>
      </w:r>
      <w:r w:rsidR="00233A3C" w:rsidRPr="00F27E5A">
        <w:t>, Inc.</w:t>
      </w:r>
      <w:r w:rsidR="008D1A1E" w:rsidRPr="00F27E5A">
        <w:t>’s</w:t>
      </w:r>
      <w:r w:rsidR="00233A3C" w:rsidRPr="00F27E5A">
        <w:t xml:space="preserve"> (“PSE”)</w:t>
      </w:r>
      <w:r w:rsidR="008D1A1E" w:rsidRPr="00F27E5A">
        <w:t xml:space="preserve"> </w:t>
      </w:r>
      <w:r w:rsidR="00251FAD">
        <w:t>GRC</w:t>
      </w:r>
      <w:r w:rsidR="008D1A1E" w:rsidRPr="00F27E5A">
        <w:t xml:space="preserve">, Docket UE-111048 and UG-111049.  </w:t>
      </w:r>
      <w:r w:rsidR="00464A47" w:rsidRPr="00F27E5A">
        <w:t>I was the lead analyst in numerous</w:t>
      </w:r>
      <w:r w:rsidR="004A3B4E" w:rsidRPr="00F27E5A">
        <w:t xml:space="preserve"> other</w:t>
      </w:r>
      <w:r w:rsidR="00464A47" w:rsidRPr="00F27E5A">
        <w:t xml:space="preserve"> tariff applications</w:t>
      </w:r>
      <w:r w:rsidR="004A3B4E" w:rsidRPr="00F27E5A">
        <w:t xml:space="preserve">, </w:t>
      </w:r>
      <w:r w:rsidR="00464A47" w:rsidRPr="00F27E5A">
        <w:t>includ</w:t>
      </w:r>
      <w:r w:rsidR="004A3B4E" w:rsidRPr="00F27E5A">
        <w:t>ing</w:t>
      </w:r>
      <w:r w:rsidR="00464A47" w:rsidRPr="00F27E5A">
        <w:t xml:space="preserve"> </w:t>
      </w:r>
      <w:r w:rsidR="00251FAD">
        <w:t>GRCs</w:t>
      </w:r>
      <w:r w:rsidR="00464A47" w:rsidRPr="00F27E5A">
        <w:t xml:space="preserve"> of Murrey’s Disposal Company, Inc., Docket TG-090097; American Disposal Company, Inc., Docket TG-090098; Washington Water Service Company, Docket UW-090733; and Waste Management of Washington, Inc., Dockets TG-091933 and TG-101080.</w:t>
      </w:r>
    </w:p>
    <w:p w:rsidR="00464A47" w:rsidRPr="00F27E5A" w:rsidRDefault="00464A47" w:rsidP="00464A47">
      <w:pPr>
        <w:pStyle w:val="Answer-Testimony"/>
        <w:ind w:firstLine="720"/>
      </w:pPr>
      <w:r w:rsidRPr="00F27E5A">
        <w:t>I have participated in the development of Commission rules, prepared detailed statistical studies for use by commissioners and other Commission employees, and examined utility and transportation company reports for compliance with Commission regulations.  I have also presented</w:t>
      </w:r>
      <w:r w:rsidR="00B077C8" w:rsidRPr="00F27E5A">
        <w:t xml:space="preserve"> </w:t>
      </w:r>
      <w:r w:rsidRPr="00F27E5A">
        <w:t>Staff recommendations at numerous open public meetings.</w:t>
      </w:r>
    </w:p>
    <w:p w:rsidR="00DC40BC" w:rsidRPr="00F27E5A" w:rsidRDefault="00DC40BC" w:rsidP="00FD5B3E">
      <w:pPr>
        <w:pStyle w:val="BodyTextIndent"/>
      </w:pPr>
    </w:p>
    <w:p w:rsidR="00DC40BC" w:rsidRPr="00F27E5A" w:rsidRDefault="00FB6F77" w:rsidP="008304C3">
      <w:pPr>
        <w:pStyle w:val="Heading1"/>
      </w:pPr>
      <w:bookmarkStart w:id="2" w:name="_Toc359312038"/>
      <w:r w:rsidRPr="00F27E5A">
        <w:t xml:space="preserve">SCOPE AND </w:t>
      </w:r>
      <w:r w:rsidR="003831A5" w:rsidRPr="00F27E5A">
        <w:t>SUMMARY OF TESTIMONY</w:t>
      </w:r>
      <w:bookmarkEnd w:id="2"/>
    </w:p>
    <w:p w:rsidR="00A17616" w:rsidRPr="00F27E5A" w:rsidRDefault="00A17616" w:rsidP="002079C0">
      <w:pPr>
        <w:spacing w:line="480" w:lineRule="auto"/>
      </w:pPr>
    </w:p>
    <w:p w:rsidR="004D3E3B" w:rsidRPr="00F27E5A" w:rsidRDefault="00EB4706" w:rsidP="00B44F4A">
      <w:pPr>
        <w:pStyle w:val="Question-Testimony"/>
      </w:pPr>
      <w:r w:rsidRPr="00F27E5A">
        <w:t>Q.</w:t>
      </w:r>
      <w:r w:rsidRPr="00F27E5A">
        <w:tab/>
      </w:r>
      <w:r w:rsidR="00660396" w:rsidRPr="00F27E5A">
        <w:t xml:space="preserve">What is the </w:t>
      </w:r>
      <w:r w:rsidR="004D3E3B" w:rsidRPr="00F27E5A">
        <w:t>purpose of your testimony</w:t>
      </w:r>
      <w:r w:rsidR="00660396" w:rsidRPr="00F27E5A">
        <w:t>?</w:t>
      </w:r>
    </w:p>
    <w:p w:rsidR="00E9446E" w:rsidRPr="00F27E5A" w:rsidRDefault="004D3E3B" w:rsidP="00E9446E">
      <w:pPr>
        <w:pStyle w:val="Answer-Testimony"/>
      </w:pPr>
      <w:r w:rsidRPr="00F27E5A">
        <w:t>A.</w:t>
      </w:r>
      <w:r w:rsidRPr="00F27E5A">
        <w:tab/>
      </w:r>
      <w:r w:rsidR="004A3B4E" w:rsidRPr="00F27E5A">
        <w:t xml:space="preserve">I present Staff’s recommendations on the following </w:t>
      </w:r>
      <w:r w:rsidR="009D1E68" w:rsidRPr="00F27E5A">
        <w:t>proposals</w:t>
      </w:r>
      <w:r w:rsidR="004A3B4E" w:rsidRPr="00F27E5A">
        <w:t xml:space="preserve"> of </w:t>
      </w:r>
      <w:r w:rsidR="009D1E68" w:rsidRPr="00F27E5A">
        <w:t>Pacific Power &amp; Light Company, d/b/a PacifiCorp (“PacifiCorp” or “the Company”):</w:t>
      </w:r>
    </w:p>
    <w:p w:rsidR="0051706A" w:rsidRPr="00F27E5A" w:rsidRDefault="00233A3C" w:rsidP="00E9446E">
      <w:pPr>
        <w:pStyle w:val="Answer-Testimony"/>
        <w:numPr>
          <w:ilvl w:val="0"/>
          <w:numId w:val="52"/>
        </w:numPr>
      </w:pPr>
      <w:r w:rsidRPr="00F27E5A">
        <w:lastRenderedPageBreak/>
        <w:t>Contested Adjustment 4.12, U</w:t>
      </w:r>
      <w:r w:rsidR="0087514F" w:rsidRPr="00F27E5A">
        <w:t xml:space="preserve">ncollectible </w:t>
      </w:r>
      <w:r w:rsidRPr="00F27E5A">
        <w:t>Ex</w:t>
      </w:r>
      <w:r w:rsidR="0087514F" w:rsidRPr="00F27E5A">
        <w:t>pense</w:t>
      </w:r>
      <w:r w:rsidR="009D1E68" w:rsidRPr="00F27E5A">
        <w:t xml:space="preserve"> </w:t>
      </w:r>
      <w:r w:rsidR="005169D4" w:rsidRPr="00F27E5A">
        <w:t>(Steven R. McDougal).</w:t>
      </w:r>
    </w:p>
    <w:p w:rsidR="00C01B6B" w:rsidRPr="00F27E5A" w:rsidRDefault="00DB168F" w:rsidP="00E9446E">
      <w:pPr>
        <w:pStyle w:val="Answer-Testimony"/>
        <w:numPr>
          <w:ilvl w:val="0"/>
          <w:numId w:val="52"/>
        </w:numPr>
      </w:pPr>
      <w:r w:rsidRPr="00F27E5A">
        <w:t xml:space="preserve">Net-to-Gross Conversion Factor </w:t>
      </w:r>
      <w:r w:rsidR="009D1E68" w:rsidRPr="00F27E5A">
        <w:t>(</w:t>
      </w:r>
      <w:r w:rsidR="007652D4" w:rsidRPr="00F27E5A">
        <w:t xml:space="preserve">Steven R. </w:t>
      </w:r>
      <w:r w:rsidR="009D1E68" w:rsidRPr="00F27E5A">
        <w:t>McDougal)</w:t>
      </w:r>
      <w:r w:rsidR="00C01B6B" w:rsidRPr="00F27E5A">
        <w:t>.</w:t>
      </w:r>
    </w:p>
    <w:p w:rsidR="008870D2" w:rsidRPr="00F27E5A" w:rsidRDefault="00C01B6B" w:rsidP="00E9446E">
      <w:pPr>
        <w:pStyle w:val="Answer-Testimony"/>
        <w:numPr>
          <w:ilvl w:val="0"/>
          <w:numId w:val="52"/>
        </w:numPr>
      </w:pPr>
      <w:r w:rsidRPr="00F27E5A">
        <w:t>The e</w:t>
      </w:r>
      <w:r w:rsidR="009D2441" w:rsidRPr="00F27E5A">
        <w:t xml:space="preserve">lectric </w:t>
      </w:r>
      <w:r w:rsidR="009F13B5" w:rsidRPr="00F27E5A">
        <w:t>cost of service stud</w:t>
      </w:r>
      <w:r w:rsidRPr="00F27E5A">
        <w:t>y</w:t>
      </w:r>
      <w:r w:rsidR="009D1E68" w:rsidRPr="00F27E5A">
        <w:t xml:space="preserve"> (</w:t>
      </w:r>
      <w:r w:rsidR="007652D4" w:rsidRPr="00F27E5A">
        <w:t xml:space="preserve">C. Craig </w:t>
      </w:r>
      <w:r w:rsidR="009D1E68" w:rsidRPr="00F27E5A">
        <w:t>Paice)</w:t>
      </w:r>
      <w:r w:rsidR="008870D2" w:rsidRPr="00F27E5A">
        <w:t>.</w:t>
      </w:r>
    </w:p>
    <w:p w:rsidR="003A238D" w:rsidRPr="00F27E5A" w:rsidRDefault="008870D2" w:rsidP="00E9446E">
      <w:pPr>
        <w:pStyle w:val="Answer-Testimony"/>
        <w:numPr>
          <w:ilvl w:val="0"/>
          <w:numId w:val="52"/>
        </w:numPr>
      </w:pPr>
      <w:r w:rsidRPr="00F27E5A">
        <w:t>R</w:t>
      </w:r>
      <w:r w:rsidR="009D1E68" w:rsidRPr="00F27E5A">
        <w:t xml:space="preserve">evenue </w:t>
      </w:r>
      <w:r w:rsidR="009D2441" w:rsidRPr="00F27E5A">
        <w:t>allocation</w:t>
      </w:r>
      <w:r w:rsidR="009D1E68" w:rsidRPr="00F27E5A">
        <w:t xml:space="preserve"> and r</w:t>
      </w:r>
      <w:r w:rsidR="009D2441" w:rsidRPr="00F27E5A">
        <w:t>ate design</w:t>
      </w:r>
      <w:r w:rsidR="009D1E68" w:rsidRPr="00F27E5A">
        <w:t xml:space="preserve"> (</w:t>
      </w:r>
      <w:r w:rsidR="007652D4" w:rsidRPr="00F27E5A">
        <w:t xml:space="preserve">Joelle R. </w:t>
      </w:r>
      <w:r w:rsidR="009D1E68" w:rsidRPr="00F27E5A">
        <w:t>Steward)</w:t>
      </w:r>
      <w:r w:rsidR="00167B0D" w:rsidRPr="00F27E5A">
        <w:t xml:space="preserve">.  </w:t>
      </w:r>
    </w:p>
    <w:p w:rsidR="0051706A" w:rsidRPr="00F27E5A" w:rsidRDefault="0051706A" w:rsidP="00E9446E">
      <w:pPr>
        <w:pStyle w:val="Answer-Testimony"/>
        <w:numPr>
          <w:ilvl w:val="0"/>
          <w:numId w:val="52"/>
        </w:numPr>
      </w:pPr>
      <w:r w:rsidRPr="00F27E5A">
        <w:t>Revisions to Rule 6 and Schedule 300 regarding service charges and the revenue impact of those revisions as reflected in Adjustment 3.8, Schedule 300 Fee Charge (Barbara A. Coughlin).</w:t>
      </w:r>
    </w:p>
    <w:p w:rsidR="000E7FDD" w:rsidRPr="00F27E5A" w:rsidRDefault="000E7FDD" w:rsidP="00A956B6">
      <w:pPr>
        <w:pStyle w:val="Answer-Testimony"/>
      </w:pPr>
    </w:p>
    <w:p w:rsidR="00A956B6" w:rsidRPr="00F27E5A" w:rsidRDefault="00A956B6" w:rsidP="00A956B6">
      <w:pPr>
        <w:pStyle w:val="Question-Testimony"/>
      </w:pPr>
      <w:r w:rsidRPr="00F27E5A">
        <w:t>Q.</w:t>
      </w:r>
      <w:r w:rsidRPr="00F27E5A">
        <w:tab/>
        <w:t xml:space="preserve">Please summarize your recommendations with respect to </w:t>
      </w:r>
      <w:r w:rsidR="002946A7" w:rsidRPr="00F27E5A">
        <w:t>Adjustment 4.12, Uncollectible Expense</w:t>
      </w:r>
      <w:r w:rsidRPr="00F27E5A">
        <w:t>.</w:t>
      </w:r>
    </w:p>
    <w:p w:rsidR="00420C37" w:rsidRPr="00F27E5A" w:rsidRDefault="00A956B6" w:rsidP="00A956B6">
      <w:pPr>
        <w:pStyle w:val="Answer-Testimony"/>
      </w:pPr>
      <w:r w:rsidRPr="00F27E5A">
        <w:t>A.</w:t>
      </w:r>
      <w:r w:rsidRPr="00F27E5A">
        <w:tab/>
      </w:r>
      <w:r w:rsidR="000E7FDD" w:rsidRPr="00F27E5A">
        <w:t xml:space="preserve">Staff </w:t>
      </w:r>
      <w:r w:rsidR="002946A7" w:rsidRPr="00F27E5A">
        <w:t xml:space="preserve">revised the Company’s </w:t>
      </w:r>
      <w:r w:rsidR="00574E61" w:rsidRPr="00F27E5A">
        <w:t>adjustment</w:t>
      </w:r>
      <w:r w:rsidR="002946A7" w:rsidRPr="00F27E5A">
        <w:t xml:space="preserve"> in two ways</w:t>
      </w:r>
      <w:r w:rsidR="00574E61" w:rsidRPr="00F27E5A">
        <w:t xml:space="preserve">: </w:t>
      </w:r>
      <w:r w:rsidR="00B077C8" w:rsidRPr="00F27E5A">
        <w:t xml:space="preserve"> </w:t>
      </w:r>
      <w:r w:rsidR="00574E61" w:rsidRPr="00F27E5A">
        <w:t xml:space="preserve">(1) </w:t>
      </w:r>
      <w:r w:rsidR="00233A3C" w:rsidRPr="00F27E5A">
        <w:t xml:space="preserve">we </w:t>
      </w:r>
      <w:r w:rsidR="00574E61" w:rsidRPr="00F27E5A">
        <w:t>restated to a 5-year period to norm</w:t>
      </w:r>
      <w:r w:rsidR="00233A3C" w:rsidRPr="00F27E5A">
        <w:t>alize the uncollectible expense;</w:t>
      </w:r>
      <w:r w:rsidR="00574E61" w:rsidRPr="00F27E5A">
        <w:t xml:space="preserve"> and (2) </w:t>
      </w:r>
      <w:r w:rsidR="00233A3C" w:rsidRPr="00F27E5A">
        <w:t xml:space="preserve">we </w:t>
      </w:r>
      <w:r w:rsidR="00574E61" w:rsidRPr="00F27E5A">
        <w:t>proform the uncollectible expense to reflect normalized revenues</w:t>
      </w:r>
      <w:r w:rsidR="004D1F27" w:rsidRPr="00F27E5A">
        <w:t xml:space="preserve">.  </w:t>
      </w:r>
      <w:r w:rsidR="00420C37" w:rsidRPr="00F27E5A">
        <w:t>This assures that the results of operations reflect the normal uncollectible expense associated with bad debts over time.</w:t>
      </w:r>
    </w:p>
    <w:p w:rsidR="00420C37" w:rsidRPr="00F27E5A" w:rsidRDefault="00420C37" w:rsidP="00420C37">
      <w:pPr>
        <w:pStyle w:val="Answer-Testimony"/>
      </w:pPr>
    </w:p>
    <w:p w:rsidR="00420C37" w:rsidRPr="00F27E5A" w:rsidRDefault="00420C37" w:rsidP="00420C37">
      <w:pPr>
        <w:pStyle w:val="Question-Testimony"/>
      </w:pPr>
      <w:r w:rsidRPr="00F27E5A">
        <w:t>Q.</w:t>
      </w:r>
      <w:r w:rsidRPr="00F27E5A">
        <w:tab/>
        <w:t>Please summarize your recommendations with respect to Net-to-Gross Conversion Factor.</w:t>
      </w:r>
    </w:p>
    <w:p w:rsidR="00A956B6" w:rsidRPr="00F27E5A" w:rsidRDefault="00420C37" w:rsidP="00420C37">
      <w:pPr>
        <w:pStyle w:val="Answer-Testimony"/>
      </w:pPr>
      <w:r w:rsidRPr="00F27E5A">
        <w:t>A.</w:t>
      </w:r>
      <w:r w:rsidRPr="00F27E5A">
        <w:tab/>
        <w:t>Staff revised the Company’s net-to-gross conversion factor (“conversion factor”) in two ways:  (1) we reflect Staff’s uncollectible expense; and (2) we remove the deduction of uncollectible expense from the calculation of Washington State utility tax.  This assures that the conversion factor</w:t>
      </w:r>
      <w:r w:rsidR="00C23909" w:rsidRPr="00F27E5A">
        <w:t xml:space="preserve"> is correct when</w:t>
      </w:r>
      <w:r w:rsidRPr="00F27E5A">
        <w:t xml:space="preserve"> used to adjust the net operating income deficiency for revenue sensitive items and federal income tax to determine the total revenue deficiency.</w:t>
      </w:r>
      <w:r w:rsidR="002946A7" w:rsidRPr="00F27E5A" w:rsidDel="00B077C8">
        <w:t xml:space="preserve"> </w:t>
      </w:r>
    </w:p>
    <w:p w:rsidR="00891A10" w:rsidRPr="00F27E5A" w:rsidRDefault="00891A10" w:rsidP="00BE03C9">
      <w:pPr>
        <w:pStyle w:val="Answer-Testimony"/>
      </w:pPr>
    </w:p>
    <w:p w:rsidR="00FC044E" w:rsidRPr="00F27E5A" w:rsidRDefault="00E311DF" w:rsidP="00FC044E">
      <w:pPr>
        <w:pStyle w:val="Question-Testimony"/>
      </w:pPr>
      <w:r w:rsidRPr="00F27E5A">
        <w:t>Q.</w:t>
      </w:r>
      <w:r w:rsidRPr="00F27E5A">
        <w:tab/>
        <w:t>Please summarize your recommendation</w:t>
      </w:r>
      <w:r w:rsidR="004003A6" w:rsidRPr="00F27E5A">
        <w:t>s</w:t>
      </w:r>
      <w:r w:rsidRPr="00F27E5A">
        <w:t xml:space="preserve"> </w:t>
      </w:r>
      <w:r w:rsidR="00601A03" w:rsidRPr="00F27E5A">
        <w:t xml:space="preserve">for </w:t>
      </w:r>
      <w:r w:rsidR="00C838BF" w:rsidRPr="00F27E5A">
        <w:t xml:space="preserve">the </w:t>
      </w:r>
      <w:r w:rsidR="00891A10" w:rsidRPr="00F27E5A">
        <w:t>electric</w:t>
      </w:r>
      <w:r w:rsidRPr="00F27E5A">
        <w:t xml:space="preserve"> </w:t>
      </w:r>
      <w:r w:rsidR="004003A6" w:rsidRPr="00F27E5A">
        <w:t>cost of service</w:t>
      </w:r>
      <w:r w:rsidR="00C838BF" w:rsidRPr="00F27E5A">
        <w:t xml:space="preserve"> study</w:t>
      </w:r>
      <w:r w:rsidR="008870D2" w:rsidRPr="00F27E5A">
        <w:t>.</w:t>
      </w:r>
    </w:p>
    <w:p w:rsidR="00DE1636" w:rsidRPr="00F27E5A" w:rsidRDefault="00FC044E" w:rsidP="000D2CD9">
      <w:pPr>
        <w:pStyle w:val="Answer-Testimony"/>
      </w:pPr>
      <w:r w:rsidRPr="00F27E5A">
        <w:t>A.</w:t>
      </w:r>
      <w:r w:rsidRPr="00F27E5A">
        <w:tab/>
      </w:r>
      <w:r w:rsidR="00BD4861" w:rsidRPr="00F27E5A">
        <w:t>Overall t</w:t>
      </w:r>
      <w:r w:rsidR="002A1C15" w:rsidRPr="00F27E5A">
        <w:t xml:space="preserve">he </w:t>
      </w:r>
      <w:r w:rsidR="003831A5" w:rsidRPr="00F27E5A">
        <w:t>C</w:t>
      </w:r>
      <w:r w:rsidR="002A1C15" w:rsidRPr="00F27E5A">
        <w:t xml:space="preserve">ompany’s </w:t>
      </w:r>
      <w:r w:rsidR="00794B0F" w:rsidRPr="00F27E5A">
        <w:t xml:space="preserve">electric </w:t>
      </w:r>
      <w:r w:rsidR="008A14BC" w:rsidRPr="00F27E5A">
        <w:t>cost of service</w:t>
      </w:r>
      <w:r w:rsidR="00256C92" w:rsidRPr="00F27E5A">
        <w:t xml:space="preserve"> study</w:t>
      </w:r>
      <w:r w:rsidR="002A1C15" w:rsidRPr="00F27E5A">
        <w:t xml:space="preserve"> presents </w:t>
      </w:r>
      <w:r w:rsidR="00233A3C" w:rsidRPr="00F27E5A">
        <w:t xml:space="preserve">fairly </w:t>
      </w:r>
      <w:r w:rsidR="002A1C15" w:rsidRPr="00F27E5A">
        <w:t xml:space="preserve">the costs imposed on the system by customers </w:t>
      </w:r>
      <w:r w:rsidR="00E1477D" w:rsidRPr="00F27E5A">
        <w:t xml:space="preserve">served </w:t>
      </w:r>
      <w:r w:rsidR="00B077C8" w:rsidRPr="00F27E5A">
        <w:t>o</w:t>
      </w:r>
      <w:r w:rsidR="002A1C15" w:rsidRPr="00F27E5A">
        <w:t>n each rate schedule</w:t>
      </w:r>
      <w:r w:rsidR="00BD4861" w:rsidRPr="00F27E5A">
        <w:t xml:space="preserve">. </w:t>
      </w:r>
      <w:r w:rsidR="008C75A5" w:rsidRPr="00F27E5A">
        <w:t xml:space="preserve"> </w:t>
      </w:r>
    </w:p>
    <w:p w:rsidR="00DE1636" w:rsidRPr="00F27E5A" w:rsidRDefault="00BD4861" w:rsidP="00E9446E">
      <w:pPr>
        <w:pStyle w:val="Answer-Testimony"/>
        <w:ind w:firstLine="720"/>
      </w:pPr>
      <w:r w:rsidRPr="00F27E5A">
        <w:t xml:space="preserve">However, there are three </w:t>
      </w:r>
      <w:r w:rsidR="00A37E2B" w:rsidRPr="00F27E5A">
        <w:t>improvements</w:t>
      </w:r>
      <w:r w:rsidRPr="00F27E5A">
        <w:t xml:space="preserve"> that Staff recommends </w:t>
      </w:r>
      <w:r w:rsidR="00DE1636" w:rsidRPr="00F27E5A">
        <w:t>consistent with Staff witness Kendra A. White’s testimony regarding the appropriate West Control Area (“WCA”) allocation factors used to develop Washington per books amounts, but based on the cost of service level.  T</w:t>
      </w:r>
      <w:r w:rsidRPr="00F27E5A">
        <w:t xml:space="preserve">he Commission </w:t>
      </w:r>
      <w:r w:rsidR="00DE1636" w:rsidRPr="00F27E5A">
        <w:t xml:space="preserve">should </w:t>
      </w:r>
      <w:r w:rsidRPr="00F27E5A">
        <w:t xml:space="preserve">order the Company to </w:t>
      </w:r>
      <w:r w:rsidR="00DE1636" w:rsidRPr="00F27E5A">
        <w:t>prepare a cost of service study in its next full GRC that reflects these improvements.</w:t>
      </w:r>
    </w:p>
    <w:p w:rsidR="00233A3C" w:rsidRPr="00F27E5A" w:rsidRDefault="00DE1636" w:rsidP="00E9446E">
      <w:pPr>
        <w:pStyle w:val="Answer-Testimony"/>
        <w:ind w:firstLine="0"/>
      </w:pPr>
      <w:r w:rsidRPr="00F27E5A">
        <w:tab/>
      </w:r>
      <w:r w:rsidR="002A704B" w:rsidRPr="00F27E5A">
        <w:t xml:space="preserve">First, </w:t>
      </w:r>
      <w:r w:rsidR="00233A3C" w:rsidRPr="00F27E5A">
        <w:t xml:space="preserve">in order to develop the peak credit methodology used to weight generation- and transmission-related allocation factors, the Company used </w:t>
      </w:r>
      <w:r w:rsidR="0032444D">
        <w:t xml:space="preserve">the highest hourly demand </w:t>
      </w:r>
      <w:r w:rsidR="00233A3C" w:rsidRPr="00F27E5A">
        <w:t>(“</w:t>
      </w:r>
      <w:r w:rsidR="001606AD">
        <w:t>Load Factor</w:t>
      </w:r>
      <w:r w:rsidR="00233A3C" w:rsidRPr="00F27E5A">
        <w:t xml:space="preserve">”) for </w:t>
      </w:r>
      <w:r w:rsidR="003D5779">
        <w:t xml:space="preserve">the </w:t>
      </w:r>
      <w:r w:rsidR="00C23909" w:rsidRPr="00F27E5A">
        <w:t>WCA</w:t>
      </w:r>
      <w:r w:rsidR="00233A3C" w:rsidRPr="00F27E5A">
        <w:t>.  T</w:t>
      </w:r>
      <w:r w:rsidR="00F568C6" w:rsidRPr="00F27E5A">
        <w:t>he Company should</w:t>
      </w:r>
      <w:r w:rsidR="00B077C8" w:rsidRPr="00F27E5A">
        <w:t>,</w:t>
      </w:r>
      <w:r w:rsidR="00233A3C" w:rsidRPr="00F27E5A">
        <w:t xml:space="preserve"> instead</w:t>
      </w:r>
      <w:r w:rsidR="00B077C8" w:rsidRPr="00F27E5A">
        <w:t>,</w:t>
      </w:r>
      <w:r w:rsidR="00F568C6" w:rsidRPr="00F27E5A">
        <w:t xml:space="preserve"> use </w:t>
      </w:r>
      <w:r w:rsidR="000D2CD9" w:rsidRPr="00F27E5A">
        <w:t xml:space="preserve">the </w:t>
      </w:r>
      <w:r w:rsidR="0032444D">
        <w:t xml:space="preserve">demand value derived by averaging the </w:t>
      </w:r>
      <w:r w:rsidR="000D2CD9" w:rsidRPr="00F27E5A">
        <w:t>highest 100 winter</w:t>
      </w:r>
      <w:r w:rsidR="00EF20B8">
        <w:t xml:space="preserve"> demand</w:t>
      </w:r>
      <w:r w:rsidR="000D2CD9" w:rsidRPr="00F27E5A">
        <w:t xml:space="preserve"> hours and highest 100 summer </w:t>
      </w:r>
      <w:r w:rsidR="00EF20B8">
        <w:t xml:space="preserve">demand </w:t>
      </w:r>
      <w:r w:rsidR="000D2CD9" w:rsidRPr="00F27E5A">
        <w:t>hours (“200 CP”)</w:t>
      </w:r>
      <w:r w:rsidR="00233A3C" w:rsidRPr="00F27E5A">
        <w:t xml:space="preserve"> for that purpose.</w:t>
      </w:r>
    </w:p>
    <w:p w:rsidR="007B06B2" w:rsidRPr="00F27E5A" w:rsidRDefault="00233A3C" w:rsidP="00233A3C">
      <w:pPr>
        <w:pStyle w:val="Answer-Testimony"/>
        <w:ind w:firstLine="720"/>
      </w:pPr>
      <w:r w:rsidRPr="00F27E5A">
        <w:t xml:space="preserve">Second, </w:t>
      </w:r>
      <w:r w:rsidR="006437EC" w:rsidRPr="00F27E5A">
        <w:t>the Company</w:t>
      </w:r>
      <w:r w:rsidR="00BD4861" w:rsidRPr="00F27E5A">
        <w:t xml:space="preserve"> </w:t>
      </w:r>
      <w:r w:rsidR="005A721E" w:rsidRPr="00F27E5A">
        <w:t>allocat</w:t>
      </w:r>
      <w:r w:rsidR="00BD4861" w:rsidRPr="00F27E5A">
        <w:t>ed</w:t>
      </w:r>
      <w:r w:rsidR="005A721E" w:rsidRPr="00F27E5A">
        <w:t xml:space="preserve"> wind plants</w:t>
      </w:r>
      <w:r w:rsidR="0075454C" w:rsidRPr="00F27E5A">
        <w:t>, related expenses, and wind power contracts</w:t>
      </w:r>
      <w:r w:rsidR="005A721E" w:rsidRPr="00F27E5A">
        <w:t xml:space="preserve"> based on a peak-credit</w:t>
      </w:r>
      <w:r w:rsidR="004E42B4" w:rsidRPr="00F27E5A">
        <w:t xml:space="preserve"> factor</w:t>
      </w:r>
      <w:r w:rsidR="00601A03" w:rsidRPr="00F27E5A">
        <w:t>.  T</w:t>
      </w:r>
      <w:r w:rsidR="004E42B4" w:rsidRPr="00F27E5A">
        <w:t>hese costs should</w:t>
      </w:r>
      <w:r w:rsidR="00B077C8" w:rsidRPr="00F27E5A">
        <w:t>,</w:t>
      </w:r>
      <w:r w:rsidR="004E42B4" w:rsidRPr="00F27E5A">
        <w:t xml:space="preserve"> instead</w:t>
      </w:r>
      <w:r w:rsidR="00B077C8" w:rsidRPr="00F27E5A">
        <w:t>,</w:t>
      </w:r>
      <w:r w:rsidR="004E42B4" w:rsidRPr="00F27E5A">
        <w:t xml:space="preserve"> be </w:t>
      </w:r>
      <w:r w:rsidR="0075454C" w:rsidRPr="00F27E5A">
        <w:t xml:space="preserve">allocated </w:t>
      </w:r>
      <w:r w:rsidR="004E42B4" w:rsidRPr="00F27E5A">
        <w:t>based</w:t>
      </w:r>
      <w:r w:rsidR="001E30A6" w:rsidRPr="00F27E5A">
        <w:t xml:space="preserve"> </w:t>
      </w:r>
      <w:r w:rsidR="00B077C8" w:rsidRPr="00F27E5A">
        <w:t>on</w:t>
      </w:r>
      <w:r w:rsidR="00C44E1E" w:rsidRPr="00F27E5A">
        <w:t xml:space="preserve"> the </w:t>
      </w:r>
      <w:r w:rsidR="002A704B" w:rsidRPr="00F27E5A">
        <w:t>resource’s contribution to peak capacity</w:t>
      </w:r>
      <w:r w:rsidR="006437EC" w:rsidRPr="00F27E5A">
        <w:t>.</w:t>
      </w:r>
    </w:p>
    <w:p w:rsidR="006C0DB7" w:rsidRPr="00F27E5A" w:rsidRDefault="007B06B2" w:rsidP="00233A3C">
      <w:pPr>
        <w:pStyle w:val="Answer-Testimony"/>
        <w:ind w:firstLine="720"/>
      </w:pPr>
      <w:r w:rsidRPr="00F27E5A">
        <w:t xml:space="preserve">Finally, </w:t>
      </w:r>
      <w:r w:rsidR="00894132" w:rsidRPr="00F27E5A">
        <w:t>the Company</w:t>
      </w:r>
      <w:r w:rsidR="00BD4861" w:rsidRPr="00F27E5A">
        <w:t xml:space="preserve"> </w:t>
      </w:r>
      <w:r w:rsidR="00894132" w:rsidRPr="00F27E5A">
        <w:t>allocat</w:t>
      </w:r>
      <w:r w:rsidR="00BD4861" w:rsidRPr="00F27E5A">
        <w:t xml:space="preserve">ed </w:t>
      </w:r>
      <w:r w:rsidR="006C0DB7" w:rsidRPr="00F27E5A">
        <w:t>corporate account managers</w:t>
      </w:r>
      <w:r w:rsidR="00306704" w:rsidRPr="00F27E5A">
        <w:t xml:space="preserve"> rather than </w:t>
      </w:r>
      <w:r w:rsidR="00BD4861" w:rsidRPr="00F27E5A">
        <w:t>assigning them directly</w:t>
      </w:r>
      <w:r w:rsidR="00306704" w:rsidRPr="00F27E5A">
        <w:t>.</w:t>
      </w:r>
      <w:r w:rsidR="00894132" w:rsidRPr="00F27E5A">
        <w:rPr>
          <w:rStyle w:val="FootnoteReference"/>
        </w:rPr>
        <w:footnoteReference w:id="1"/>
      </w:r>
      <w:r w:rsidR="00894132" w:rsidRPr="00F27E5A">
        <w:t xml:space="preserve">  These assigned corporate account managers </w:t>
      </w:r>
      <w:r w:rsidR="00306704" w:rsidRPr="00F27E5A">
        <w:t xml:space="preserve">for customers with loads over 750kW </w:t>
      </w:r>
      <w:r w:rsidR="00894132" w:rsidRPr="00F27E5A">
        <w:t>should</w:t>
      </w:r>
      <w:r w:rsidR="00BD4861" w:rsidRPr="00F27E5A">
        <w:t>, instead,</w:t>
      </w:r>
      <w:r w:rsidR="00894132" w:rsidRPr="00F27E5A">
        <w:t xml:space="preserve"> be directly assigned to Schedule 48T, </w:t>
      </w:r>
      <w:r w:rsidR="00FD39A7" w:rsidRPr="00F27E5A">
        <w:t xml:space="preserve">since only customers on Schedule 48T </w:t>
      </w:r>
      <w:r w:rsidR="00894132" w:rsidRPr="00F27E5A">
        <w:t xml:space="preserve">receive </w:t>
      </w:r>
      <w:r w:rsidR="00FD39A7" w:rsidRPr="00F27E5A">
        <w:t xml:space="preserve">this </w:t>
      </w:r>
      <w:r w:rsidR="00894132" w:rsidRPr="00F27E5A">
        <w:t>service.</w:t>
      </w:r>
    </w:p>
    <w:p w:rsidR="008870D2" w:rsidRPr="00F27E5A" w:rsidRDefault="008870D2" w:rsidP="00FC044E">
      <w:pPr>
        <w:pStyle w:val="Answer-Testimony"/>
      </w:pPr>
    </w:p>
    <w:p w:rsidR="008870D2" w:rsidRPr="00F27E5A" w:rsidRDefault="008870D2" w:rsidP="008870D2">
      <w:pPr>
        <w:pStyle w:val="Question-Testimony"/>
      </w:pPr>
      <w:r w:rsidRPr="00F27E5A">
        <w:lastRenderedPageBreak/>
        <w:t>Q.</w:t>
      </w:r>
      <w:r w:rsidRPr="00F27E5A">
        <w:tab/>
        <w:t xml:space="preserve">Please summarize your recommendations </w:t>
      </w:r>
      <w:r w:rsidR="00601A03" w:rsidRPr="00F27E5A">
        <w:t xml:space="preserve">on </w:t>
      </w:r>
      <w:r w:rsidRPr="00F27E5A">
        <w:t>revenue allocation and rate design.</w:t>
      </w:r>
    </w:p>
    <w:p w:rsidR="006437EC" w:rsidRPr="00F27E5A" w:rsidRDefault="008870D2" w:rsidP="008870D2">
      <w:pPr>
        <w:pStyle w:val="Answer-Testimony"/>
      </w:pPr>
      <w:r w:rsidRPr="00F27E5A">
        <w:t>A.</w:t>
      </w:r>
      <w:r w:rsidRPr="00F27E5A">
        <w:tab/>
      </w:r>
      <w:r w:rsidR="006437EC" w:rsidRPr="00F27E5A">
        <w:t>Staff proposes a r</w:t>
      </w:r>
      <w:r w:rsidR="007B06B2" w:rsidRPr="00F27E5A">
        <w:t xml:space="preserve">evenue </w:t>
      </w:r>
      <w:r w:rsidR="00601A03" w:rsidRPr="00F27E5A">
        <w:t>allocation c</w:t>
      </w:r>
      <w:r w:rsidR="006437EC" w:rsidRPr="00F27E5A">
        <w:t xml:space="preserve">onsistent </w:t>
      </w:r>
      <w:r w:rsidR="0051706A" w:rsidRPr="00F27E5A">
        <w:t xml:space="preserve">with </w:t>
      </w:r>
      <w:r w:rsidR="006437EC" w:rsidRPr="00F27E5A">
        <w:t>principles of cost causation</w:t>
      </w:r>
      <w:r w:rsidR="00C23909" w:rsidRPr="00F27E5A">
        <w:t xml:space="preserve"> and other factors the Commission has </w:t>
      </w:r>
      <w:r w:rsidR="00117F78" w:rsidRPr="00F27E5A">
        <w:t xml:space="preserve">traditionally </w:t>
      </w:r>
      <w:r w:rsidR="00C23909" w:rsidRPr="00F27E5A">
        <w:t>considered such as gradualism, fairness and rate stability</w:t>
      </w:r>
      <w:r w:rsidR="00A55A37" w:rsidRPr="00F27E5A">
        <w:t>.</w:t>
      </w:r>
      <w:r w:rsidR="006437EC" w:rsidRPr="00F27E5A">
        <w:t xml:space="preserve">  </w:t>
      </w:r>
      <w:r w:rsidR="004C09CF" w:rsidRPr="00F27E5A">
        <w:t xml:space="preserve">Staff’s </w:t>
      </w:r>
      <w:r w:rsidR="009A6F72" w:rsidRPr="00F27E5A">
        <w:t>r</w:t>
      </w:r>
      <w:r w:rsidR="007B06B2" w:rsidRPr="00F27E5A">
        <w:t>evenue</w:t>
      </w:r>
      <w:r w:rsidR="009A6F72" w:rsidRPr="00F27E5A">
        <w:t xml:space="preserve"> allocation </w:t>
      </w:r>
      <w:r w:rsidR="004C09CF" w:rsidRPr="00F27E5A">
        <w:t xml:space="preserve">differs from the Company’s </w:t>
      </w:r>
      <w:r w:rsidR="009A6F72" w:rsidRPr="00F27E5A">
        <w:t>allocation</w:t>
      </w:r>
      <w:r w:rsidR="004C09CF" w:rsidRPr="00F27E5A">
        <w:t xml:space="preserve"> </w:t>
      </w:r>
      <w:r w:rsidR="007B06B2" w:rsidRPr="00F27E5A">
        <w:t xml:space="preserve">only </w:t>
      </w:r>
      <w:r w:rsidR="004C09CF" w:rsidRPr="00F27E5A">
        <w:t xml:space="preserve">with regard </w:t>
      </w:r>
      <w:r w:rsidR="009A6F72" w:rsidRPr="00F27E5A">
        <w:t xml:space="preserve">to </w:t>
      </w:r>
      <w:r w:rsidR="00B077C8" w:rsidRPr="00F27E5A">
        <w:t xml:space="preserve">the </w:t>
      </w:r>
      <w:r w:rsidR="009A6F72" w:rsidRPr="00F27E5A">
        <w:t xml:space="preserve">magnitude </w:t>
      </w:r>
      <w:r w:rsidR="00DF3061" w:rsidRPr="00F27E5A">
        <w:t xml:space="preserve">of the increase </w:t>
      </w:r>
      <w:r w:rsidR="004C09CF" w:rsidRPr="00F27E5A">
        <w:t>to</w:t>
      </w:r>
      <w:r w:rsidR="009A6F72" w:rsidRPr="00F27E5A">
        <w:t xml:space="preserve"> each </w:t>
      </w:r>
      <w:r w:rsidR="00BD4861" w:rsidRPr="00F27E5A">
        <w:t>s</w:t>
      </w:r>
      <w:r w:rsidR="009A6F72" w:rsidRPr="00F27E5A">
        <w:t>chedule</w:t>
      </w:r>
      <w:r w:rsidR="00E1477D" w:rsidRPr="00F27E5A">
        <w:t xml:space="preserve"> </w:t>
      </w:r>
      <w:r w:rsidR="00BD4861" w:rsidRPr="00F27E5A">
        <w:t xml:space="preserve">in order </w:t>
      </w:r>
      <w:r w:rsidR="00E1477D" w:rsidRPr="00F27E5A">
        <w:t>to reflect Staff’s lower revenue requir</w:t>
      </w:r>
      <w:r w:rsidR="00765E66" w:rsidRPr="00F27E5A">
        <w:t>e</w:t>
      </w:r>
      <w:r w:rsidR="00E1477D" w:rsidRPr="00F27E5A">
        <w:t>ment</w:t>
      </w:r>
      <w:r w:rsidR="009A6F72" w:rsidRPr="00F27E5A">
        <w:t>.</w:t>
      </w:r>
    </w:p>
    <w:p w:rsidR="004D1F27" w:rsidRPr="00F27E5A" w:rsidRDefault="006437EC" w:rsidP="00C74494">
      <w:pPr>
        <w:pStyle w:val="Answer-Testimony"/>
      </w:pPr>
      <w:r w:rsidRPr="00F27E5A">
        <w:tab/>
      </w:r>
      <w:r w:rsidRPr="00F27E5A">
        <w:tab/>
      </w:r>
      <w:r w:rsidR="00F45F78" w:rsidRPr="00F27E5A">
        <w:t xml:space="preserve">As for rate design, Staff </w:t>
      </w:r>
      <w:r w:rsidR="003831A5" w:rsidRPr="00F27E5A">
        <w:t>recommend</w:t>
      </w:r>
      <w:r w:rsidR="00250327" w:rsidRPr="00F27E5A">
        <w:t>s</w:t>
      </w:r>
      <w:r w:rsidR="00D7546E" w:rsidRPr="00F27E5A">
        <w:t xml:space="preserve"> </w:t>
      </w:r>
      <w:r w:rsidR="00091102" w:rsidRPr="00F27E5A">
        <w:t xml:space="preserve">increasing </w:t>
      </w:r>
      <w:r w:rsidR="00C74494" w:rsidRPr="00F27E5A">
        <w:t xml:space="preserve">the </w:t>
      </w:r>
      <w:r w:rsidR="00117F78" w:rsidRPr="00F27E5A">
        <w:t xml:space="preserve">residential </w:t>
      </w:r>
      <w:r w:rsidR="00C74494" w:rsidRPr="00F27E5A">
        <w:t xml:space="preserve">monthly customer charge </w:t>
      </w:r>
      <w:r w:rsidR="0052653C" w:rsidRPr="00F27E5A">
        <w:t xml:space="preserve">from $6.00 </w:t>
      </w:r>
      <w:r w:rsidR="00091102" w:rsidRPr="00F27E5A">
        <w:t>to</w:t>
      </w:r>
      <w:r w:rsidR="003C046B" w:rsidRPr="00F27E5A">
        <w:t xml:space="preserve"> </w:t>
      </w:r>
      <w:r w:rsidR="0076547E" w:rsidRPr="00F27E5A">
        <w:t>$</w:t>
      </w:r>
      <w:r w:rsidR="00091102" w:rsidRPr="00F27E5A">
        <w:t>8</w:t>
      </w:r>
      <w:r w:rsidR="0076547E" w:rsidRPr="00F27E5A">
        <w:t>.</w:t>
      </w:r>
      <w:r w:rsidR="00091102" w:rsidRPr="00F27E5A">
        <w:t>64 to include more fixed cost recovery</w:t>
      </w:r>
      <w:r w:rsidR="004D1F27" w:rsidRPr="00F27E5A">
        <w:t xml:space="preserve">.  Staff also recommends altering the Company’s </w:t>
      </w:r>
      <w:r w:rsidR="00306704" w:rsidRPr="00F27E5A">
        <w:t xml:space="preserve">rate </w:t>
      </w:r>
      <w:r w:rsidR="004D1F27" w:rsidRPr="00F27E5A">
        <w:t xml:space="preserve">design for </w:t>
      </w:r>
      <w:r w:rsidR="006D4DBC" w:rsidRPr="00F27E5A">
        <w:t>Residential</w:t>
      </w:r>
      <w:r w:rsidR="0091379E" w:rsidRPr="00F27E5A">
        <w:t xml:space="preserve"> Schedules 16,</w:t>
      </w:r>
      <w:r w:rsidR="00A55A37" w:rsidRPr="00F27E5A">
        <w:t xml:space="preserve"> </w:t>
      </w:r>
      <w:r w:rsidR="0091379E" w:rsidRPr="00F27E5A">
        <w:t>17, and</w:t>
      </w:r>
      <w:r w:rsidR="00A55A37" w:rsidRPr="00F27E5A">
        <w:t xml:space="preserve"> </w:t>
      </w:r>
      <w:r w:rsidR="0091379E" w:rsidRPr="00F27E5A">
        <w:t>18 (“Residential Schedules”)</w:t>
      </w:r>
      <w:r w:rsidR="00C048AF" w:rsidRPr="00F27E5A">
        <w:t xml:space="preserve"> </w:t>
      </w:r>
      <w:r w:rsidR="004D1F27" w:rsidRPr="00F27E5A">
        <w:t>by:</w:t>
      </w:r>
    </w:p>
    <w:p w:rsidR="004D1F27" w:rsidRPr="00F27E5A" w:rsidRDefault="004D1F27" w:rsidP="004D1F27">
      <w:pPr>
        <w:pStyle w:val="Answer-Testimony"/>
        <w:numPr>
          <w:ilvl w:val="0"/>
          <w:numId w:val="52"/>
        </w:numPr>
      </w:pPr>
      <w:r w:rsidRPr="00F27E5A">
        <w:t xml:space="preserve">Increasing the first block from </w:t>
      </w:r>
      <w:r w:rsidR="00C048AF" w:rsidRPr="00F27E5A">
        <w:t xml:space="preserve">0-600 </w:t>
      </w:r>
      <w:r w:rsidR="00DB2CDA" w:rsidRPr="00F27E5A">
        <w:t>kilowatt-hour</w:t>
      </w:r>
      <w:r w:rsidR="00FD39A7" w:rsidRPr="00F27E5A">
        <w:t>s</w:t>
      </w:r>
      <w:r w:rsidR="00DB2CDA" w:rsidRPr="00F27E5A">
        <w:t xml:space="preserve"> (“</w:t>
      </w:r>
      <w:r w:rsidR="00C048AF" w:rsidRPr="00F27E5A">
        <w:t>kWh</w:t>
      </w:r>
      <w:r w:rsidR="00DB2CDA" w:rsidRPr="00F27E5A">
        <w:t>”)</w:t>
      </w:r>
      <w:r w:rsidR="00C048AF" w:rsidRPr="00F27E5A">
        <w:t xml:space="preserve"> to 0-800</w:t>
      </w:r>
      <w:r w:rsidRPr="00F27E5A">
        <w:t xml:space="preserve"> </w:t>
      </w:r>
      <w:r w:rsidR="00C048AF" w:rsidRPr="00F27E5A">
        <w:t>kWh</w:t>
      </w:r>
      <w:r w:rsidRPr="00F27E5A">
        <w:t>.</w:t>
      </w:r>
    </w:p>
    <w:p w:rsidR="004D1F27" w:rsidRPr="00F27E5A" w:rsidRDefault="0052653C" w:rsidP="004D1F27">
      <w:pPr>
        <w:pStyle w:val="Answer-Testimony"/>
        <w:numPr>
          <w:ilvl w:val="0"/>
          <w:numId w:val="52"/>
        </w:numPr>
      </w:pPr>
      <w:r w:rsidRPr="00F27E5A">
        <w:t>Ad</w:t>
      </w:r>
      <w:r w:rsidR="008470B2">
        <w:t>just</w:t>
      </w:r>
      <w:r w:rsidR="003D5779">
        <w:t>ing</w:t>
      </w:r>
      <w:r w:rsidR="008470B2">
        <w:t xml:space="preserve"> the</w:t>
      </w:r>
      <w:r w:rsidR="004D1F27" w:rsidRPr="00F27E5A">
        <w:t xml:space="preserve"> second </w:t>
      </w:r>
      <w:r w:rsidR="006D4DBC" w:rsidRPr="00F27E5A">
        <w:t>block</w:t>
      </w:r>
      <w:r w:rsidR="004D1F27" w:rsidRPr="00F27E5A">
        <w:t xml:space="preserve"> </w:t>
      </w:r>
      <w:r w:rsidR="003D5779">
        <w:t>to include</w:t>
      </w:r>
      <w:r w:rsidR="004D1F27" w:rsidRPr="00F27E5A">
        <w:t xml:space="preserve"> usage between </w:t>
      </w:r>
      <w:r w:rsidR="006D4DBC" w:rsidRPr="00F27E5A">
        <w:t>800-1,500</w:t>
      </w:r>
      <w:r w:rsidR="004D1F27" w:rsidRPr="00F27E5A">
        <w:t xml:space="preserve"> </w:t>
      </w:r>
      <w:r w:rsidR="006D4DBC" w:rsidRPr="00F27E5A">
        <w:t>kWh</w:t>
      </w:r>
      <w:r w:rsidR="004D1F27" w:rsidRPr="00F27E5A">
        <w:t>.</w:t>
      </w:r>
    </w:p>
    <w:p w:rsidR="004D1F27" w:rsidRPr="00F27E5A" w:rsidRDefault="0052653C" w:rsidP="004D1F27">
      <w:pPr>
        <w:pStyle w:val="Answer-Testimony"/>
        <w:numPr>
          <w:ilvl w:val="0"/>
          <w:numId w:val="52"/>
        </w:numPr>
      </w:pPr>
      <w:r w:rsidRPr="00F27E5A">
        <w:t>Adding</w:t>
      </w:r>
      <w:r w:rsidR="004D1F27" w:rsidRPr="00F27E5A">
        <w:t xml:space="preserve"> a third block for usage </w:t>
      </w:r>
      <w:r w:rsidR="006D4DBC" w:rsidRPr="00F27E5A">
        <w:t>over 1,500</w:t>
      </w:r>
      <w:r w:rsidR="004D1F27" w:rsidRPr="00F27E5A">
        <w:t xml:space="preserve"> </w:t>
      </w:r>
      <w:r w:rsidR="006D4DBC" w:rsidRPr="00F27E5A">
        <w:t>kWh</w:t>
      </w:r>
      <w:r w:rsidR="004D1F27" w:rsidRPr="00F27E5A">
        <w:t>.</w:t>
      </w:r>
    </w:p>
    <w:p w:rsidR="009A6F72" w:rsidRPr="00F27E5A" w:rsidRDefault="0052653C" w:rsidP="004D1F27">
      <w:pPr>
        <w:pStyle w:val="Answer-Testimony"/>
        <w:numPr>
          <w:ilvl w:val="0"/>
          <w:numId w:val="52"/>
        </w:numPr>
      </w:pPr>
      <w:r w:rsidRPr="00F27E5A">
        <w:t>Adding</w:t>
      </w:r>
      <w:r w:rsidR="008F0532" w:rsidRPr="00F27E5A">
        <w:t xml:space="preserve"> a third</w:t>
      </w:r>
      <w:r w:rsidR="008470B2">
        <w:t xml:space="preserve"> block</w:t>
      </w:r>
      <w:r w:rsidR="009A6F72" w:rsidRPr="00F27E5A">
        <w:t xml:space="preserve"> volumetric rate with an equal </w:t>
      </w:r>
      <w:r w:rsidR="008470B2">
        <w:t>cent</w:t>
      </w:r>
      <w:r w:rsidR="0020501E">
        <w:t>s per kWh</w:t>
      </w:r>
      <w:r w:rsidR="008470B2">
        <w:t xml:space="preserve"> </w:t>
      </w:r>
      <w:r w:rsidR="009A6F72" w:rsidRPr="00F27E5A">
        <w:t>differential based on the first two tier rates.</w:t>
      </w:r>
    </w:p>
    <w:p w:rsidR="00C74494" w:rsidRPr="00F27E5A" w:rsidRDefault="0052653C" w:rsidP="004D1F27">
      <w:pPr>
        <w:pStyle w:val="Answer-Testimony"/>
        <w:numPr>
          <w:ilvl w:val="0"/>
          <w:numId w:val="52"/>
        </w:numPr>
      </w:pPr>
      <w:r w:rsidRPr="00F27E5A">
        <w:t>A</w:t>
      </w:r>
      <w:r w:rsidR="00F45F78" w:rsidRPr="00F27E5A">
        <w:t xml:space="preserve">djusting the volumetric </w:t>
      </w:r>
      <w:r w:rsidR="005D2F76" w:rsidRPr="00F27E5A">
        <w:t xml:space="preserve">rates </w:t>
      </w:r>
      <w:r w:rsidR="00F45F78" w:rsidRPr="00F27E5A">
        <w:t>for Residential Schedule</w:t>
      </w:r>
      <w:r w:rsidR="0091379E" w:rsidRPr="00F27E5A">
        <w:t>s</w:t>
      </w:r>
      <w:r w:rsidR="00C048AF" w:rsidRPr="00F27E5A">
        <w:t xml:space="preserve"> </w:t>
      </w:r>
      <w:r w:rsidR="004D1F27" w:rsidRPr="00F27E5A">
        <w:t>by applying a</w:t>
      </w:r>
      <w:r w:rsidR="008F0532" w:rsidRPr="00F27E5A">
        <w:t xml:space="preserve"> weighted </w:t>
      </w:r>
      <w:r w:rsidR="00C74494" w:rsidRPr="00F27E5A">
        <w:t xml:space="preserve">uniform percentage increase </w:t>
      </w:r>
      <w:r w:rsidR="008F0532" w:rsidRPr="00F27E5A">
        <w:t>based on kilowatt-</w:t>
      </w:r>
      <w:r w:rsidR="008F6487" w:rsidRPr="00F27E5A">
        <w:t xml:space="preserve">hour units </w:t>
      </w:r>
      <w:r w:rsidR="00C74494" w:rsidRPr="00F27E5A">
        <w:t>for volumetric rates.</w:t>
      </w:r>
    </w:p>
    <w:p w:rsidR="00757F0D" w:rsidRPr="00F27E5A" w:rsidRDefault="00601A03" w:rsidP="00757F0D">
      <w:pPr>
        <w:pStyle w:val="Answer-Testimony"/>
      </w:pPr>
      <w:r w:rsidRPr="00F27E5A">
        <w:tab/>
      </w:r>
      <w:r w:rsidRPr="00F27E5A">
        <w:tab/>
      </w:r>
      <w:r w:rsidR="008F0532" w:rsidRPr="00F27E5A">
        <w:t xml:space="preserve">For </w:t>
      </w:r>
      <w:r w:rsidRPr="00F27E5A">
        <w:t>Schedules</w:t>
      </w:r>
      <w:r w:rsidR="00765E66" w:rsidRPr="00F27E5A">
        <w:t xml:space="preserve"> 24 </w:t>
      </w:r>
      <w:r w:rsidR="00B168D0" w:rsidRPr="00F27E5A">
        <w:t xml:space="preserve">(Small General Service) </w:t>
      </w:r>
      <w:r w:rsidR="00765E66" w:rsidRPr="00F27E5A">
        <w:t>and 36</w:t>
      </w:r>
      <w:r w:rsidR="00B168D0" w:rsidRPr="00F27E5A">
        <w:t xml:space="preserve"> (Large General Service &lt; 1000 kW)</w:t>
      </w:r>
      <w:r w:rsidR="008F0532" w:rsidRPr="00F27E5A">
        <w:t xml:space="preserve">, Staff recommends the Commission direct the Company to reexamine the </w:t>
      </w:r>
      <w:r w:rsidR="005F07B4" w:rsidRPr="00F27E5A">
        <w:t xml:space="preserve">volumetric </w:t>
      </w:r>
      <w:r w:rsidR="008F0532" w:rsidRPr="00F27E5A">
        <w:t xml:space="preserve">blocks </w:t>
      </w:r>
      <w:r w:rsidR="00BD4861" w:rsidRPr="00F27E5A">
        <w:t xml:space="preserve">in the next GRC </w:t>
      </w:r>
      <w:r w:rsidR="0052653C" w:rsidRPr="00F27E5A">
        <w:t xml:space="preserve">to ensure they </w:t>
      </w:r>
      <w:r w:rsidR="008F0532" w:rsidRPr="00F27E5A">
        <w:t xml:space="preserve">are at appropriate levels and </w:t>
      </w:r>
      <w:r w:rsidR="00765E66" w:rsidRPr="00F27E5A">
        <w:t>g</w:t>
      </w:r>
      <w:r w:rsidR="008F0532" w:rsidRPr="00F27E5A">
        <w:t xml:space="preserve">iving </w:t>
      </w:r>
      <w:r w:rsidR="007530BD" w:rsidRPr="00F27E5A">
        <w:t xml:space="preserve">an </w:t>
      </w:r>
      <w:r w:rsidR="008F0532" w:rsidRPr="00F27E5A">
        <w:t xml:space="preserve">accurate </w:t>
      </w:r>
      <w:r w:rsidR="007530BD" w:rsidRPr="00F27E5A">
        <w:t>price signal</w:t>
      </w:r>
      <w:r w:rsidR="00BA31E3" w:rsidRPr="00F27E5A">
        <w:t xml:space="preserve"> </w:t>
      </w:r>
      <w:r w:rsidR="007652D4" w:rsidRPr="00F27E5A">
        <w:t>to customers.</w:t>
      </w:r>
    </w:p>
    <w:p w:rsidR="0051706A" w:rsidRPr="00F27E5A" w:rsidRDefault="0051706A" w:rsidP="00757F0D">
      <w:pPr>
        <w:pStyle w:val="Answer-Testimony"/>
      </w:pPr>
    </w:p>
    <w:p w:rsidR="0051706A" w:rsidRPr="00F27E5A" w:rsidRDefault="0051706A" w:rsidP="00BD36B5">
      <w:pPr>
        <w:pStyle w:val="Question-Testimony"/>
        <w:keepNext/>
      </w:pPr>
      <w:r w:rsidRPr="00F27E5A">
        <w:lastRenderedPageBreak/>
        <w:t>Q.</w:t>
      </w:r>
      <w:r w:rsidRPr="00F27E5A">
        <w:tab/>
        <w:t>Please summarize your recommendations for Rule 6 and Schedule 300.</w:t>
      </w:r>
    </w:p>
    <w:p w:rsidR="0051706A" w:rsidRPr="00F27E5A" w:rsidRDefault="0051706A" w:rsidP="0051706A">
      <w:pPr>
        <w:pStyle w:val="Answer-Testimony"/>
      </w:pPr>
      <w:r w:rsidRPr="00F27E5A">
        <w:t>A.</w:t>
      </w:r>
      <w:r w:rsidRPr="00F27E5A">
        <w:tab/>
        <w:t xml:space="preserve">PacifiCorp is proposing </w:t>
      </w:r>
      <w:r w:rsidR="00117F78" w:rsidRPr="00F27E5A">
        <w:t>language</w:t>
      </w:r>
      <w:r w:rsidRPr="00F27E5A">
        <w:t xml:space="preserve"> changes to general Rule 6, section I, </w:t>
      </w:r>
      <w:r w:rsidRPr="00F27E5A">
        <w:rPr>
          <w:i/>
        </w:rPr>
        <w:t>Permanent Disconnection and Removal of Company Facilities</w:t>
      </w:r>
      <w:r w:rsidRPr="00F27E5A">
        <w:t xml:space="preserve">, to reflect changes it is also proposing to Schedule 300, </w:t>
      </w:r>
      <w:r w:rsidRPr="00F27E5A">
        <w:rPr>
          <w:i/>
        </w:rPr>
        <w:t>Charges as Defined By The Rules And Regulations</w:t>
      </w:r>
      <w:r w:rsidRPr="00F27E5A">
        <w:t>.  The revisions to Schedule 300 include the establishment of one charge (“Actual Cost, Less Salvage and Depreciation”) for the permanent disconnection and removal of facilities for all types of customers.  Existing charges distinguish between various types of customers.  The proposed revisions to Schedule 300 also include revised charges for reconnection, including a separate charge for reconnection after unauthorized tampering by a customer.</w:t>
      </w:r>
    </w:p>
    <w:p w:rsidR="0051706A" w:rsidRPr="00F27E5A" w:rsidRDefault="0051706A" w:rsidP="0051706A">
      <w:pPr>
        <w:pStyle w:val="Answer-Testimony"/>
        <w:ind w:firstLine="720"/>
      </w:pPr>
      <w:r w:rsidRPr="00F27E5A">
        <w:t xml:space="preserve">The Company’s proposed changes to Rule 6 and Schedule 300 represent fairly the costs imposed on the system by customers and align these charges with current actual costs.  However, the magnitude of the increases proposed by the Company is significant (at least 100 percent).  Therefore, Staff recommends a gradual increase in the current </w:t>
      </w:r>
      <w:r w:rsidR="005D0285" w:rsidRPr="00F27E5A">
        <w:t xml:space="preserve">reconnection </w:t>
      </w:r>
      <w:r w:rsidRPr="00F27E5A">
        <w:t>service charges to actual cost over this and the next couple of GRC</w:t>
      </w:r>
      <w:r w:rsidR="00251FAD">
        <w:t>s</w:t>
      </w:r>
      <w:r w:rsidRPr="00F27E5A">
        <w:t>.  Staff also proposes some clarifying language to Rule 6 and Schedule 300.</w:t>
      </w:r>
    </w:p>
    <w:p w:rsidR="0051706A" w:rsidRPr="00F27E5A" w:rsidRDefault="0051706A" w:rsidP="005D0285">
      <w:pPr>
        <w:pStyle w:val="Answer-Testimony"/>
        <w:ind w:firstLine="720"/>
      </w:pPr>
      <w:r w:rsidRPr="00F27E5A">
        <w:t>Staff agrees with the Company’s methodology for calculating individual charges under Schedule 300, but disagrees with the amount of additional revenue that can be expected.  The additional revenue calculation is contained in Adjustment 3.8, Schedule 300 Fee Charge.</w:t>
      </w:r>
    </w:p>
    <w:p w:rsidR="008F0532" w:rsidRPr="00F27E5A" w:rsidRDefault="008F0532" w:rsidP="00757F0D">
      <w:pPr>
        <w:pStyle w:val="Answer-Testimony"/>
      </w:pPr>
    </w:p>
    <w:p w:rsidR="00757F0D" w:rsidRPr="00F27E5A" w:rsidRDefault="00757F0D" w:rsidP="00BD36B5">
      <w:pPr>
        <w:pStyle w:val="Question-Testimony"/>
        <w:keepNext/>
      </w:pPr>
      <w:r w:rsidRPr="00F27E5A">
        <w:lastRenderedPageBreak/>
        <w:t>Q.</w:t>
      </w:r>
      <w:r w:rsidRPr="00F27E5A">
        <w:tab/>
        <w:t>Do you sponsor any exhibits in support of Staff’s recommendations?</w:t>
      </w:r>
    </w:p>
    <w:p w:rsidR="00757F0D" w:rsidRPr="00F27E5A" w:rsidRDefault="00757F0D" w:rsidP="00757F0D">
      <w:pPr>
        <w:pStyle w:val="Answer-Testimony"/>
      </w:pPr>
      <w:r w:rsidRPr="00F27E5A">
        <w:t>A.</w:t>
      </w:r>
      <w:r w:rsidRPr="00F27E5A">
        <w:tab/>
        <w:t>Yes, I sponsor the following exhibits in support of my testimony:</w:t>
      </w:r>
    </w:p>
    <w:p w:rsidR="001E1863" w:rsidRPr="00F27E5A" w:rsidRDefault="001E1863" w:rsidP="001E1863">
      <w:pPr>
        <w:pStyle w:val="Answer-Testimony"/>
        <w:numPr>
          <w:ilvl w:val="0"/>
          <w:numId w:val="10"/>
        </w:numPr>
      </w:pPr>
      <w:r w:rsidRPr="00F27E5A">
        <w:t>Exhibit No.</w:t>
      </w:r>
      <w:r w:rsidR="00940838" w:rsidRPr="00F27E5A">
        <w:t xml:space="preserve"> </w:t>
      </w:r>
      <w:r w:rsidRPr="00F27E5A">
        <w:t>__</w:t>
      </w:r>
      <w:r w:rsidR="00940838" w:rsidRPr="00F27E5A">
        <w:t xml:space="preserve">_ </w:t>
      </w:r>
      <w:r w:rsidR="00E75CCC" w:rsidRPr="00F27E5A">
        <w:t>(CTM-</w:t>
      </w:r>
      <w:r w:rsidR="00E242F6" w:rsidRPr="00F27E5A">
        <w:t>2</w:t>
      </w:r>
      <w:r w:rsidRPr="00F27E5A">
        <w:t xml:space="preserve">), </w:t>
      </w:r>
      <w:r w:rsidR="007668C6" w:rsidRPr="00F27E5A">
        <w:t xml:space="preserve">Adjustment 3.8, </w:t>
      </w:r>
      <w:r w:rsidR="00A472FD" w:rsidRPr="00F27E5A">
        <w:rPr>
          <w:bCs/>
        </w:rPr>
        <w:t>Schedule 300 Fee Charge</w:t>
      </w:r>
      <w:r w:rsidR="00BB29A7" w:rsidRPr="00F27E5A">
        <w:rPr>
          <w:bCs/>
        </w:rPr>
        <w:t>s</w:t>
      </w:r>
    </w:p>
    <w:p w:rsidR="004E747D" w:rsidRPr="00F27E5A" w:rsidRDefault="004E747D" w:rsidP="004E747D">
      <w:pPr>
        <w:pStyle w:val="Answer-Testimony"/>
        <w:numPr>
          <w:ilvl w:val="0"/>
          <w:numId w:val="10"/>
        </w:numPr>
      </w:pPr>
      <w:r w:rsidRPr="00F27E5A">
        <w:t>Exhibit No. ___</w:t>
      </w:r>
      <w:r w:rsidR="00E75CCC" w:rsidRPr="00F27E5A">
        <w:t xml:space="preserve"> (CTM-</w:t>
      </w:r>
      <w:r w:rsidR="00E242F6" w:rsidRPr="00F27E5A">
        <w:t>3</w:t>
      </w:r>
      <w:r w:rsidRPr="00F27E5A">
        <w:t xml:space="preserve">), </w:t>
      </w:r>
      <w:r w:rsidR="007668C6" w:rsidRPr="00F27E5A">
        <w:t xml:space="preserve">Adjustment 4.12, </w:t>
      </w:r>
      <w:r w:rsidR="00A472FD" w:rsidRPr="00F27E5A">
        <w:rPr>
          <w:bCs/>
        </w:rPr>
        <w:t>Uncollectible Expense</w:t>
      </w:r>
    </w:p>
    <w:p w:rsidR="004E747D" w:rsidRPr="00F27E5A" w:rsidRDefault="004E747D" w:rsidP="004E747D">
      <w:pPr>
        <w:pStyle w:val="Answer-Testimony"/>
        <w:numPr>
          <w:ilvl w:val="0"/>
          <w:numId w:val="10"/>
        </w:numPr>
      </w:pPr>
      <w:r w:rsidRPr="00F27E5A">
        <w:t>Exhibit No. ___</w:t>
      </w:r>
      <w:r w:rsidR="00E75CCC" w:rsidRPr="00F27E5A">
        <w:t xml:space="preserve"> (CTM-</w:t>
      </w:r>
      <w:r w:rsidR="00E242F6" w:rsidRPr="00F27E5A">
        <w:t>4</w:t>
      </w:r>
      <w:r w:rsidRPr="00F27E5A">
        <w:t xml:space="preserve">), </w:t>
      </w:r>
      <w:r w:rsidR="00A472FD" w:rsidRPr="00F27E5A">
        <w:t>Electric Cost of Service</w:t>
      </w:r>
    </w:p>
    <w:p w:rsidR="001E1863" w:rsidRPr="00F27E5A" w:rsidRDefault="001E1863" w:rsidP="001E1863">
      <w:pPr>
        <w:pStyle w:val="Answer-Testimony"/>
        <w:numPr>
          <w:ilvl w:val="0"/>
          <w:numId w:val="10"/>
        </w:numPr>
      </w:pPr>
      <w:r w:rsidRPr="00F27E5A">
        <w:t>Exhibit No.</w:t>
      </w:r>
      <w:r w:rsidR="00940838" w:rsidRPr="00F27E5A">
        <w:t xml:space="preserve"> _</w:t>
      </w:r>
      <w:r w:rsidRPr="00F27E5A">
        <w:t>__</w:t>
      </w:r>
      <w:r w:rsidR="00940838" w:rsidRPr="00F27E5A">
        <w:t xml:space="preserve"> </w:t>
      </w:r>
      <w:r w:rsidR="00E75CCC" w:rsidRPr="00F27E5A">
        <w:t>(CTM-</w:t>
      </w:r>
      <w:r w:rsidR="00E242F6" w:rsidRPr="00F27E5A">
        <w:t>5</w:t>
      </w:r>
      <w:r w:rsidRPr="00F27E5A">
        <w:t xml:space="preserve">), </w:t>
      </w:r>
      <w:r w:rsidR="00A472FD" w:rsidRPr="00F27E5A">
        <w:t>Electric Revenue Allocation and Rate Design</w:t>
      </w:r>
    </w:p>
    <w:p w:rsidR="001E1863" w:rsidRPr="00F27E5A" w:rsidRDefault="001E1863" w:rsidP="001E1863">
      <w:pPr>
        <w:pStyle w:val="Answer-Testimony"/>
        <w:numPr>
          <w:ilvl w:val="0"/>
          <w:numId w:val="10"/>
        </w:numPr>
      </w:pPr>
      <w:r w:rsidRPr="00F27E5A">
        <w:t>Exhibit No.</w:t>
      </w:r>
      <w:r w:rsidR="00940838" w:rsidRPr="00F27E5A">
        <w:t xml:space="preserve"> </w:t>
      </w:r>
      <w:r w:rsidRPr="00F27E5A">
        <w:t>__</w:t>
      </w:r>
      <w:r w:rsidR="00940838" w:rsidRPr="00F27E5A">
        <w:t xml:space="preserve">_ </w:t>
      </w:r>
      <w:r w:rsidR="00E75CCC" w:rsidRPr="00F27E5A">
        <w:t>(CTM-</w:t>
      </w:r>
      <w:r w:rsidR="00E242F6" w:rsidRPr="00F27E5A">
        <w:t>6</w:t>
      </w:r>
      <w:r w:rsidRPr="00F27E5A">
        <w:t xml:space="preserve">), </w:t>
      </w:r>
      <w:r w:rsidR="00A472FD" w:rsidRPr="00F27E5A">
        <w:t>Electric Bill Frequency and Histogram Analysis</w:t>
      </w:r>
    </w:p>
    <w:p w:rsidR="00F27E5A" w:rsidRDefault="00E42406" w:rsidP="00F27E5A">
      <w:pPr>
        <w:pStyle w:val="Answer-Testimony"/>
        <w:numPr>
          <w:ilvl w:val="0"/>
          <w:numId w:val="10"/>
        </w:numPr>
      </w:pPr>
      <w:r w:rsidRPr="00F27E5A">
        <w:t>Exhibit No. ___ (CTM-7), La</w:t>
      </w:r>
      <w:r w:rsidR="00F27E5A">
        <w:t>nguage Revisions to</w:t>
      </w:r>
      <w:r w:rsidRPr="00F27E5A">
        <w:t xml:space="preserve"> Rule 6</w:t>
      </w:r>
    </w:p>
    <w:p w:rsidR="00E42406" w:rsidRPr="00F27E5A" w:rsidRDefault="00F27E5A" w:rsidP="00F27E5A">
      <w:pPr>
        <w:pStyle w:val="Answer-Testimony"/>
        <w:numPr>
          <w:ilvl w:val="0"/>
          <w:numId w:val="10"/>
        </w:numPr>
      </w:pPr>
      <w:r w:rsidRPr="00F27E5A">
        <w:t>Exhibit No. ___ (CTM-</w:t>
      </w:r>
      <w:r>
        <w:t>8</w:t>
      </w:r>
      <w:r w:rsidRPr="00F27E5A">
        <w:t>), Language Revi</w:t>
      </w:r>
      <w:r>
        <w:t>sions to Schedule 300</w:t>
      </w:r>
    </w:p>
    <w:p w:rsidR="00543142" w:rsidRPr="00F27E5A" w:rsidRDefault="00543142" w:rsidP="00543142">
      <w:pPr>
        <w:pStyle w:val="BodyTextIndent"/>
      </w:pPr>
    </w:p>
    <w:p w:rsidR="003B307F" w:rsidRPr="00F27E5A" w:rsidRDefault="003B307F" w:rsidP="003B307F">
      <w:pPr>
        <w:pStyle w:val="Heading1"/>
      </w:pPr>
      <w:bookmarkStart w:id="3" w:name="_Toc359312039"/>
      <w:r w:rsidRPr="00F27E5A">
        <w:t>ELECTRIC ADJUSTMENTS</w:t>
      </w:r>
      <w:bookmarkEnd w:id="3"/>
    </w:p>
    <w:p w:rsidR="00AC666C" w:rsidRPr="00F27E5A" w:rsidRDefault="00AC666C" w:rsidP="00AC666C">
      <w:pPr>
        <w:pStyle w:val="Question-Testimony"/>
      </w:pPr>
    </w:p>
    <w:p w:rsidR="00AC666C" w:rsidRPr="00F27E5A" w:rsidRDefault="00AC666C" w:rsidP="00AC666C">
      <w:pPr>
        <w:pStyle w:val="Question-Testimony"/>
      </w:pPr>
      <w:r w:rsidRPr="00F27E5A">
        <w:t>Q.</w:t>
      </w:r>
      <w:r w:rsidRPr="00F27E5A">
        <w:tab/>
        <w:t xml:space="preserve">Please indicate which </w:t>
      </w:r>
      <w:r w:rsidR="009217D9" w:rsidRPr="00F27E5A">
        <w:t xml:space="preserve">Company ratemaking </w:t>
      </w:r>
      <w:r w:rsidRPr="00F27E5A">
        <w:t xml:space="preserve">adjustments </w:t>
      </w:r>
      <w:r w:rsidR="009217D9" w:rsidRPr="00F27E5A">
        <w:t xml:space="preserve">within your area of responsibility </w:t>
      </w:r>
      <w:r w:rsidRPr="00F27E5A">
        <w:t xml:space="preserve">are contested </w:t>
      </w:r>
      <w:r w:rsidR="009217D9" w:rsidRPr="00F27E5A">
        <w:t xml:space="preserve">by </w:t>
      </w:r>
      <w:r w:rsidRPr="00F27E5A">
        <w:t>Staff.</w:t>
      </w:r>
    </w:p>
    <w:p w:rsidR="00AC666C" w:rsidRPr="00F27E5A" w:rsidRDefault="00AC666C" w:rsidP="00AC666C">
      <w:pPr>
        <w:pStyle w:val="Answer-Testimony"/>
      </w:pPr>
      <w:r w:rsidRPr="00F27E5A">
        <w:t>A.</w:t>
      </w:r>
      <w:r w:rsidRPr="00F27E5A">
        <w:tab/>
        <w:t xml:space="preserve">The following adjustments are contested by Staff: </w:t>
      </w:r>
      <w:r w:rsidR="00B077C8" w:rsidRPr="00F27E5A">
        <w:t xml:space="preserve"> </w:t>
      </w:r>
      <w:r w:rsidRPr="00F27E5A">
        <w:t>1) Adjustment 3.8 – Schedule 300 Fee Charge</w:t>
      </w:r>
      <w:r w:rsidR="00B077C8" w:rsidRPr="00F27E5A">
        <w:t>;</w:t>
      </w:r>
      <w:r w:rsidRPr="00F27E5A">
        <w:t xml:space="preserve"> 2) Adjustment 4.12 – Uncollectible Expenses</w:t>
      </w:r>
      <w:r w:rsidR="00424973">
        <w:t xml:space="preserve">; </w:t>
      </w:r>
      <w:r w:rsidR="00424973" w:rsidRPr="00F27E5A">
        <w:t xml:space="preserve">and </w:t>
      </w:r>
      <w:r w:rsidR="00424973">
        <w:t>3</w:t>
      </w:r>
      <w:r w:rsidR="00424973" w:rsidRPr="00F27E5A">
        <w:t xml:space="preserve">) </w:t>
      </w:r>
      <w:r w:rsidR="00424973">
        <w:t>Net-to-Gross Conversion Factor</w:t>
      </w:r>
      <w:r w:rsidRPr="00F27E5A">
        <w:t>.</w:t>
      </w:r>
    </w:p>
    <w:p w:rsidR="00AC666C" w:rsidRPr="00F27E5A" w:rsidRDefault="00AC666C" w:rsidP="00CA62D9">
      <w:pPr>
        <w:pStyle w:val="Answer-Testimony"/>
      </w:pPr>
    </w:p>
    <w:p w:rsidR="00CA62D9" w:rsidRPr="00F27E5A" w:rsidRDefault="00A72DBD" w:rsidP="00BD36B5">
      <w:pPr>
        <w:pStyle w:val="Heading3"/>
        <w:ind w:left="1440"/>
      </w:pPr>
      <w:bookmarkStart w:id="4" w:name="_Toc359312040"/>
      <w:r w:rsidRPr="00F27E5A">
        <w:t>Adjustment 3.8</w:t>
      </w:r>
      <w:r w:rsidR="00CA62D9" w:rsidRPr="00F27E5A">
        <w:t xml:space="preserve"> – </w:t>
      </w:r>
      <w:r w:rsidRPr="00F27E5A">
        <w:t>Schedule 300 Fee Charge</w:t>
      </w:r>
      <w:bookmarkEnd w:id="4"/>
    </w:p>
    <w:p w:rsidR="00CA62D9" w:rsidRPr="00F27E5A" w:rsidRDefault="00CA62D9" w:rsidP="00CA62D9">
      <w:pPr>
        <w:pStyle w:val="Question-Testimony"/>
      </w:pPr>
    </w:p>
    <w:p w:rsidR="00CA62D9" w:rsidRPr="00F27E5A" w:rsidRDefault="00CA62D9" w:rsidP="00CA62D9">
      <w:pPr>
        <w:pStyle w:val="Question-Testimony"/>
      </w:pPr>
      <w:r w:rsidRPr="00F27E5A">
        <w:t>Q.</w:t>
      </w:r>
      <w:r w:rsidRPr="00F27E5A">
        <w:tab/>
        <w:t>Please</w:t>
      </w:r>
      <w:r w:rsidR="00C85215" w:rsidRPr="00F27E5A">
        <w:t xml:space="preserve"> describe contested Adjustment 3</w:t>
      </w:r>
      <w:r w:rsidRPr="00F27E5A">
        <w:t>.</w:t>
      </w:r>
      <w:r w:rsidR="00C85215" w:rsidRPr="00F27E5A">
        <w:t>8</w:t>
      </w:r>
      <w:r w:rsidRPr="00F27E5A">
        <w:t xml:space="preserve">, </w:t>
      </w:r>
      <w:r w:rsidR="00C85215" w:rsidRPr="00F27E5A">
        <w:t>Schedule 300 Fee Charge</w:t>
      </w:r>
      <w:r w:rsidRPr="00F27E5A">
        <w:t>.</w:t>
      </w:r>
    </w:p>
    <w:p w:rsidR="00457B95" w:rsidRPr="00F27E5A" w:rsidRDefault="00CA62D9" w:rsidP="00543614">
      <w:pPr>
        <w:pStyle w:val="Answer-Testimony"/>
      </w:pPr>
      <w:r w:rsidRPr="00F27E5A">
        <w:t>A.</w:t>
      </w:r>
      <w:r w:rsidRPr="00F27E5A">
        <w:tab/>
      </w:r>
      <w:r w:rsidR="00457B95" w:rsidRPr="00F27E5A">
        <w:t xml:space="preserve">The Company has proposed several changes to Rule 6 and Schedule 300 regarding </w:t>
      </w:r>
      <w:r w:rsidR="00BB5B50" w:rsidRPr="00F27E5A">
        <w:t xml:space="preserve">service </w:t>
      </w:r>
      <w:r w:rsidR="00457B95" w:rsidRPr="00F27E5A">
        <w:t xml:space="preserve">charges </w:t>
      </w:r>
      <w:r w:rsidR="00BB5B50" w:rsidRPr="00F27E5A">
        <w:t xml:space="preserve">and </w:t>
      </w:r>
      <w:r w:rsidR="00457B95" w:rsidRPr="00F27E5A">
        <w:t xml:space="preserve">the removal of plant serving departing customers.  </w:t>
      </w:r>
      <w:r w:rsidR="0097192F" w:rsidRPr="00F27E5A">
        <w:t xml:space="preserve">Staff </w:t>
      </w:r>
      <w:r w:rsidR="00457B95" w:rsidRPr="00F27E5A">
        <w:lastRenderedPageBreak/>
        <w:t xml:space="preserve">Adjustment 3.8 reflects new revenue from </w:t>
      </w:r>
      <w:r w:rsidR="0097192F" w:rsidRPr="00F27E5A">
        <w:t xml:space="preserve">the </w:t>
      </w:r>
      <w:r w:rsidR="0076268C" w:rsidRPr="00F27E5A">
        <w:t xml:space="preserve">lower service charges that </w:t>
      </w:r>
      <w:r w:rsidR="00BB5B50" w:rsidRPr="00F27E5A">
        <w:t>Staff</w:t>
      </w:r>
      <w:r w:rsidR="00457B95" w:rsidRPr="00F27E5A">
        <w:t xml:space="preserve"> propose</w:t>
      </w:r>
      <w:r w:rsidR="0076268C" w:rsidRPr="00F27E5A">
        <w:t>s</w:t>
      </w:r>
      <w:r w:rsidR="00A545D3" w:rsidRPr="00F27E5A">
        <w:t xml:space="preserve"> and I </w:t>
      </w:r>
      <w:r w:rsidR="00B168D0" w:rsidRPr="00F27E5A">
        <w:t>discuss</w:t>
      </w:r>
      <w:r w:rsidR="00BD4861" w:rsidRPr="00F27E5A">
        <w:t xml:space="preserve"> in </w:t>
      </w:r>
      <w:r w:rsidR="00B168D0" w:rsidRPr="00F27E5A">
        <w:t>the final section of</w:t>
      </w:r>
      <w:r w:rsidR="00A545D3" w:rsidRPr="00F27E5A">
        <w:t xml:space="preserve"> my testimony</w:t>
      </w:r>
      <w:r w:rsidR="00E900D5" w:rsidRPr="00F27E5A">
        <w:t>.</w:t>
      </w:r>
    </w:p>
    <w:p w:rsidR="005E52FE" w:rsidRPr="00F27E5A" w:rsidRDefault="005E52FE" w:rsidP="006841A9">
      <w:pPr>
        <w:pStyle w:val="Answer-Testimony"/>
      </w:pPr>
    </w:p>
    <w:p w:rsidR="005E52FE" w:rsidRPr="00F27E5A" w:rsidRDefault="005E52FE" w:rsidP="005E52FE">
      <w:pPr>
        <w:pStyle w:val="Question-Testimony"/>
      </w:pPr>
      <w:r w:rsidRPr="00F27E5A">
        <w:t>Q.</w:t>
      </w:r>
      <w:r w:rsidRPr="00F27E5A">
        <w:tab/>
        <w:t xml:space="preserve">Are there any </w:t>
      </w:r>
      <w:r w:rsidR="007652D4" w:rsidRPr="00F27E5A">
        <w:t>other differences</w:t>
      </w:r>
      <w:r w:rsidRPr="00F27E5A">
        <w:t xml:space="preserve"> between Staff</w:t>
      </w:r>
      <w:r w:rsidR="00D25BAE" w:rsidRPr="00F27E5A">
        <w:t xml:space="preserve"> and Company </w:t>
      </w:r>
      <w:r w:rsidRPr="00F27E5A">
        <w:t>Adjustment 3.8?</w:t>
      </w:r>
    </w:p>
    <w:p w:rsidR="00543614" w:rsidRPr="00F27E5A" w:rsidRDefault="005E52FE" w:rsidP="00A6530A">
      <w:pPr>
        <w:pStyle w:val="Answer-Testimony"/>
      </w:pPr>
      <w:r w:rsidRPr="00F27E5A">
        <w:t>A.</w:t>
      </w:r>
      <w:r w:rsidRPr="00F27E5A">
        <w:tab/>
      </w:r>
      <w:r w:rsidR="00D25BAE" w:rsidRPr="00F27E5A">
        <w:t xml:space="preserve">Yes.  </w:t>
      </w:r>
      <w:r w:rsidRPr="00F27E5A">
        <w:t>T</w:t>
      </w:r>
      <w:r w:rsidR="00457B95" w:rsidRPr="00F27E5A">
        <w:t xml:space="preserve">here are two </w:t>
      </w:r>
      <w:r w:rsidR="00A545D3" w:rsidRPr="00F27E5A">
        <w:t xml:space="preserve">other </w:t>
      </w:r>
      <w:r w:rsidR="00457B95" w:rsidRPr="00F27E5A">
        <w:t xml:space="preserve">areas of disagreement between Staff and PacifiCorp </w:t>
      </w:r>
      <w:r w:rsidR="00FD39A7" w:rsidRPr="00F27E5A">
        <w:t xml:space="preserve">also </w:t>
      </w:r>
      <w:r w:rsidR="00457B95" w:rsidRPr="00F27E5A">
        <w:t xml:space="preserve">regarding </w:t>
      </w:r>
      <w:r w:rsidR="00543614" w:rsidRPr="00F27E5A">
        <w:t xml:space="preserve">the amount of additional revenue </w:t>
      </w:r>
      <w:r w:rsidR="00A229AE" w:rsidRPr="00F27E5A">
        <w:t xml:space="preserve">to be included in Adjustment 3.8 </w:t>
      </w:r>
      <w:r w:rsidR="00FD39A7" w:rsidRPr="00F27E5A">
        <w:t xml:space="preserve">due to </w:t>
      </w:r>
      <w:r w:rsidR="00A229AE" w:rsidRPr="00F27E5A">
        <w:t>the revisions to Schedule 300</w:t>
      </w:r>
      <w:r w:rsidR="00543614" w:rsidRPr="00F27E5A">
        <w:t>.</w:t>
      </w:r>
    </w:p>
    <w:p w:rsidR="00FD4C6A" w:rsidRPr="00F27E5A" w:rsidRDefault="00457B95" w:rsidP="00543614">
      <w:pPr>
        <w:pStyle w:val="Answer-Testimony"/>
        <w:ind w:firstLine="720"/>
      </w:pPr>
      <w:r w:rsidRPr="00F27E5A">
        <w:t>First, Staff’s a</w:t>
      </w:r>
      <w:r w:rsidR="00CA62D9" w:rsidRPr="00F27E5A">
        <w:t xml:space="preserve">djustment, shown on </w:t>
      </w:r>
      <w:r w:rsidR="007668C6" w:rsidRPr="00F27E5A">
        <w:t>Exhibit No.__ (CTM-</w:t>
      </w:r>
      <w:r w:rsidR="00BB1CF1" w:rsidRPr="00F27E5A">
        <w:t>2</w:t>
      </w:r>
      <w:r w:rsidRPr="00F27E5A">
        <w:t xml:space="preserve">), pages 1 through </w:t>
      </w:r>
      <w:r w:rsidR="00BB5B50" w:rsidRPr="00F27E5A">
        <w:t>2</w:t>
      </w:r>
      <w:r w:rsidR="00CA62D9" w:rsidRPr="00F27E5A">
        <w:t xml:space="preserve">, </w:t>
      </w:r>
      <w:r w:rsidRPr="00F27E5A">
        <w:t xml:space="preserve">was calculated by taking the </w:t>
      </w:r>
      <w:r w:rsidR="00DB168F" w:rsidRPr="00F27E5A">
        <w:t>number of times Schedule 300 service charges have been applied over the last 5 years</w:t>
      </w:r>
      <w:r w:rsidR="00FD4C6A" w:rsidRPr="00F27E5A">
        <w:t xml:space="preserve"> (12 months-ended June 2012, June 2011, June 2010, June 2009, and June 2008)</w:t>
      </w:r>
      <w:r w:rsidR="00A545D3" w:rsidRPr="00F27E5A">
        <w:t>,</w:t>
      </w:r>
      <w:r w:rsidR="00FD4C6A" w:rsidRPr="00F27E5A">
        <w:t xml:space="preserve"> dropping the highest and lowest years for each service charge, and averaging the remaining periods</w:t>
      </w:r>
      <w:r w:rsidR="00A229AE" w:rsidRPr="00F27E5A">
        <w:t>,</w:t>
      </w:r>
      <w:r w:rsidR="00FD4C6A" w:rsidRPr="00F27E5A">
        <w:t xml:space="preserve"> to come up with a </w:t>
      </w:r>
      <w:r w:rsidR="00AA5460" w:rsidRPr="00F27E5A">
        <w:t>representative</w:t>
      </w:r>
      <w:r w:rsidR="00FD4C6A" w:rsidRPr="00F27E5A">
        <w:t xml:space="preserve"> number of times that these service charges ha</w:t>
      </w:r>
      <w:r w:rsidR="004A3216">
        <w:t xml:space="preserve">ve been applied in the past.  </w:t>
      </w:r>
      <w:r w:rsidR="00FD4C6A" w:rsidRPr="00F27E5A">
        <w:t>In contrast, the Company</w:t>
      </w:r>
      <w:r w:rsidR="000F0E54" w:rsidRPr="00F27E5A">
        <w:t xml:space="preserve"> took the actual number of times the service charges were applied in the test year and multiplied them by the new service charge amounts.  This approach is deficient since service charge</w:t>
      </w:r>
      <w:r w:rsidR="00A229AE" w:rsidRPr="00F27E5A">
        <w:t xml:space="preserve"> revenues</w:t>
      </w:r>
      <w:r w:rsidR="000F0E54" w:rsidRPr="00F27E5A">
        <w:t xml:space="preserve"> will vary from year to year</w:t>
      </w:r>
      <w:r w:rsidR="00FD4C6A" w:rsidRPr="00F27E5A">
        <w:t>.</w:t>
      </w:r>
      <w:r w:rsidR="000F0E54" w:rsidRPr="00F27E5A">
        <w:t xml:space="preserve">  Staff’s approach assures that the results of operations reflect the normal revenue </w:t>
      </w:r>
      <w:r w:rsidR="00A229AE" w:rsidRPr="00F27E5A">
        <w:t>collected from</w:t>
      </w:r>
      <w:r w:rsidR="000F0E54" w:rsidRPr="00F27E5A">
        <w:t xml:space="preserve"> these service charges over time.</w:t>
      </w:r>
    </w:p>
    <w:p w:rsidR="00FD4C6A" w:rsidRPr="00F27E5A" w:rsidRDefault="00FD4C6A" w:rsidP="00FD4C6A">
      <w:pPr>
        <w:pStyle w:val="Question-Testimony"/>
      </w:pPr>
    </w:p>
    <w:p w:rsidR="00A545D3" w:rsidRPr="00F27E5A" w:rsidRDefault="00FD4C6A" w:rsidP="00A545D3">
      <w:pPr>
        <w:pStyle w:val="Question-Testimony"/>
      </w:pPr>
      <w:r w:rsidRPr="00F27E5A">
        <w:t>Q.</w:t>
      </w:r>
      <w:r w:rsidRPr="00F27E5A">
        <w:tab/>
      </w:r>
      <w:r w:rsidR="00F9362C" w:rsidRPr="00F27E5A">
        <w:t xml:space="preserve">What is the </w:t>
      </w:r>
      <w:r w:rsidRPr="00F27E5A">
        <w:t xml:space="preserve">second area of disagreement </w:t>
      </w:r>
      <w:r w:rsidR="00A545D3" w:rsidRPr="00F27E5A">
        <w:t>between Staff and the Company in calculating the impact of Adjustment 3.8?</w:t>
      </w:r>
    </w:p>
    <w:p w:rsidR="00CA62D9" w:rsidRPr="00F27E5A" w:rsidRDefault="00FD4C6A" w:rsidP="00E900D5">
      <w:pPr>
        <w:pStyle w:val="Answer-Testimony"/>
      </w:pPr>
      <w:r w:rsidRPr="00F27E5A">
        <w:t>A.</w:t>
      </w:r>
      <w:r w:rsidRPr="00F27E5A">
        <w:tab/>
        <w:t>I corrected two errors in the Company’s calculation.  First, the Company adjustment includes incorrectly a “Field Visit</w:t>
      </w:r>
      <w:r w:rsidR="00A229AE" w:rsidRPr="00F27E5A">
        <w:t xml:space="preserve"> Charge</w:t>
      </w:r>
      <w:r w:rsidRPr="00F27E5A">
        <w:t xml:space="preserve">” of $25 even though the Company’s </w:t>
      </w:r>
      <w:r w:rsidRPr="00F27E5A">
        <w:lastRenderedPageBreak/>
        <w:t>current and proposed tariffs show a $15 charge.  The second Company error was to include a</w:t>
      </w:r>
      <w:r w:rsidR="00A229AE" w:rsidRPr="00F27E5A">
        <w:t xml:space="preserve">n </w:t>
      </w:r>
      <w:r w:rsidRPr="00F27E5A">
        <w:t xml:space="preserve">“Office Hour Reconnection” charge of $20, when the Company’s current </w:t>
      </w:r>
      <w:r w:rsidR="00CB119E" w:rsidRPr="00F27E5A">
        <w:t>tariff shows</w:t>
      </w:r>
      <w:r w:rsidRPr="00F27E5A">
        <w:t xml:space="preserve"> a $25 charge.</w:t>
      </w:r>
    </w:p>
    <w:p w:rsidR="00FD4C6A" w:rsidRPr="00F27E5A" w:rsidRDefault="00CB119E" w:rsidP="00CA62D9">
      <w:pPr>
        <w:pStyle w:val="Answer-Testimony"/>
      </w:pPr>
      <w:r w:rsidRPr="00F27E5A">
        <w:tab/>
      </w:r>
      <w:r w:rsidRPr="00F27E5A">
        <w:tab/>
        <w:t xml:space="preserve">My adjustment to correct both of these errors decreases revenue by $22,855.  </w:t>
      </w:r>
      <w:r w:rsidR="00FD4C6A" w:rsidRPr="00F27E5A">
        <w:t>Staff’s overall A</w:t>
      </w:r>
      <w:r w:rsidR="00CA62D9" w:rsidRPr="00F27E5A">
        <w:t>djustment</w:t>
      </w:r>
      <w:r w:rsidR="00FD4C6A" w:rsidRPr="00F27E5A">
        <w:t xml:space="preserve"> 3.8 </w:t>
      </w:r>
      <w:r w:rsidR="00CA62D9" w:rsidRPr="00F27E5A">
        <w:t>increases</w:t>
      </w:r>
      <w:r w:rsidR="00543614" w:rsidRPr="00F27E5A">
        <w:t xml:space="preserve"> </w:t>
      </w:r>
      <w:r w:rsidR="00945FDE" w:rsidRPr="00F27E5A">
        <w:t xml:space="preserve">other </w:t>
      </w:r>
      <w:r w:rsidR="006F0997" w:rsidRPr="00F27E5A">
        <w:t xml:space="preserve">revenue </w:t>
      </w:r>
      <w:r w:rsidR="00543614" w:rsidRPr="00F27E5A">
        <w:t>by $</w:t>
      </w:r>
      <w:r w:rsidR="00C03506" w:rsidRPr="00F27E5A">
        <w:t>63,404</w:t>
      </w:r>
      <w:r w:rsidR="006F0997" w:rsidRPr="00F27E5A">
        <w:t xml:space="preserve">, </w:t>
      </w:r>
      <w:r w:rsidR="00FD4C6A" w:rsidRPr="00F27E5A">
        <w:t xml:space="preserve">compared to the Company’s overall adjustment to other </w:t>
      </w:r>
      <w:r w:rsidR="00E900D5" w:rsidRPr="00F27E5A">
        <w:t>revenue</w:t>
      </w:r>
      <w:r w:rsidR="00FD4C6A" w:rsidRPr="00F27E5A">
        <w:t xml:space="preserve"> </w:t>
      </w:r>
      <w:r w:rsidR="00F9362C" w:rsidRPr="00F27E5A">
        <w:t>of</w:t>
      </w:r>
      <w:r w:rsidR="00FD4C6A" w:rsidRPr="00F27E5A">
        <w:t xml:space="preserve"> $</w:t>
      </w:r>
      <w:r w:rsidR="00B24057" w:rsidRPr="00F27E5A">
        <w:t>84,850</w:t>
      </w:r>
      <w:r w:rsidR="00FD4C6A" w:rsidRPr="00F27E5A">
        <w:t>.</w:t>
      </w:r>
    </w:p>
    <w:p w:rsidR="00C85215" w:rsidRPr="00F27E5A" w:rsidRDefault="00C85215" w:rsidP="003B307F">
      <w:pPr>
        <w:pStyle w:val="Answer-Testimony"/>
      </w:pPr>
    </w:p>
    <w:p w:rsidR="003B307F" w:rsidRPr="00F27E5A" w:rsidRDefault="003B307F" w:rsidP="00BD36B5">
      <w:pPr>
        <w:pStyle w:val="Heading3"/>
        <w:ind w:left="1440"/>
      </w:pPr>
      <w:bookmarkStart w:id="5" w:name="_Toc359312041"/>
      <w:r w:rsidRPr="00F27E5A">
        <w:t>Adjustment 4.12 –</w:t>
      </w:r>
      <w:r w:rsidR="0087514F" w:rsidRPr="00F27E5A">
        <w:t xml:space="preserve"> Uncollecti</w:t>
      </w:r>
      <w:r w:rsidRPr="00F27E5A">
        <w:t>ble Expense</w:t>
      </w:r>
      <w:bookmarkEnd w:id="5"/>
    </w:p>
    <w:p w:rsidR="003B307F" w:rsidRPr="00F27E5A" w:rsidRDefault="003B307F" w:rsidP="003B307F">
      <w:pPr>
        <w:pStyle w:val="Question-Testimony"/>
      </w:pPr>
    </w:p>
    <w:p w:rsidR="003B307F" w:rsidRPr="00F27E5A" w:rsidRDefault="003B307F" w:rsidP="003B307F">
      <w:pPr>
        <w:pStyle w:val="Question-Testimony"/>
      </w:pPr>
      <w:r w:rsidRPr="00F27E5A">
        <w:t>Q.</w:t>
      </w:r>
      <w:r w:rsidRPr="00F27E5A">
        <w:tab/>
        <w:t>Please</w:t>
      </w:r>
      <w:r w:rsidR="00CA62D9" w:rsidRPr="00F27E5A">
        <w:t xml:space="preserve"> describe contested Adjustment 4</w:t>
      </w:r>
      <w:r w:rsidRPr="00F27E5A">
        <w:t>.</w:t>
      </w:r>
      <w:r w:rsidR="00CA62D9" w:rsidRPr="00F27E5A">
        <w:t>12</w:t>
      </w:r>
      <w:r w:rsidRPr="00F27E5A">
        <w:t xml:space="preserve">, </w:t>
      </w:r>
      <w:r w:rsidR="00A472FD" w:rsidRPr="00F27E5A">
        <w:t>Uncollecti</w:t>
      </w:r>
      <w:r w:rsidR="00CA62D9" w:rsidRPr="00F27E5A">
        <w:t>ble Expense</w:t>
      </w:r>
      <w:r w:rsidRPr="00F27E5A">
        <w:t>.</w:t>
      </w:r>
    </w:p>
    <w:p w:rsidR="00195B6E" w:rsidRPr="00F27E5A" w:rsidRDefault="003B307F" w:rsidP="003B307F">
      <w:pPr>
        <w:pStyle w:val="Answer-Testimony"/>
      </w:pPr>
      <w:r w:rsidRPr="00F27E5A">
        <w:t>A.</w:t>
      </w:r>
      <w:r w:rsidRPr="00F27E5A">
        <w:tab/>
      </w:r>
      <w:r w:rsidR="00195B6E" w:rsidRPr="00F27E5A">
        <w:t>PacifiCorp calculated its adjustment by applying the per books uncollectible rate (per books uncollectible expense divided by per book Washington general business revenue) to the normalized level of Washington general business revenue.</w:t>
      </w:r>
      <w:r w:rsidR="00195B6E" w:rsidRPr="00F27E5A">
        <w:rPr>
          <w:rStyle w:val="FootnoteReference"/>
        </w:rPr>
        <w:footnoteReference w:id="2"/>
      </w:r>
    </w:p>
    <w:p w:rsidR="00ED5C79" w:rsidRPr="00F27E5A" w:rsidRDefault="00DF0008" w:rsidP="00FB4972">
      <w:pPr>
        <w:pStyle w:val="Answer-Testimony"/>
        <w:ind w:firstLine="720"/>
      </w:pPr>
      <w:r w:rsidRPr="00F27E5A">
        <w:t>Staff</w:t>
      </w:r>
      <w:r w:rsidR="009C6389" w:rsidRPr="00F27E5A">
        <w:t xml:space="preserve"> made two </w:t>
      </w:r>
      <w:r w:rsidR="0076268C" w:rsidRPr="00F27E5A">
        <w:t xml:space="preserve">revisions to the Company’s </w:t>
      </w:r>
      <w:r w:rsidR="00AC666C" w:rsidRPr="00F27E5A">
        <w:t>adjustment</w:t>
      </w:r>
      <w:r w:rsidR="00195B6E" w:rsidRPr="00F27E5A">
        <w:t>.  First,</w:t>
      </w:r>
      <w:r w:rsidR="00041670" w:rsidRPr="00F27E5A">
        <w:t xml:space="preserve"> </w:t>
      </w:r>
      <w:r w:rsidR="004A3216">
        <w:t>I</w:t>
      </w:r>
      <w:r w:rsidR="009A07F7" w:rsidRPr="00F27E5A">
        <w:t xml:space="preserve"> </w:t>
      </w:r>
      <w:r w:rsidR="00524FF3" w:rsidRPr="00F27E5A">
        <w:t>include a restating adjustment</w:t>
      </w:r>
      <w:r w:rsidR="00041670" w:rsidRPr="00F27E5A">
        <w:t xml:space="preserve"> to</w:t>
      </w:r>
      <w:r w:rsidR="009C6389" w:rsidRPr="00F27E5A">
        <w:t xml:space="preserve"> </w:t>
      </w:r>
      <w:r w:rsidR="00AC666C" w:rsidRPr="00F27E5A">
        <w:t xml:space="preserve">normalize </w:t>
      </w:r>
      <w:r w:rsidR="00041670" w:rsidRPr="00F27E5A">
        <w:t>uncollectible expenses</w:t>
      </w:r>
      <w:r w:rsidR="007B6348" w:rsidRPr="00F27E5A">
        <w:t xml:space="preserve">.  </w:t>
      </w:r>
      <w:r w:rsidR="004A3216">
        <w:t>Staff</w:t>
      </w:r>
      <w:r w:rsidR="007B6348" w:rsidRPr="00F27E5A">
        <w:t xml:space="preserve"> did this</w:t>
      </w:r>
      <w:r w:rsidR="00AC666C" w:rsidRPr="00F27E5A">
        <w:t xml:space="preserve"> by taking the bad debts for the last five years</w:t>
      </w:r>
      <w:r w:rsidR="00D30CD0" w:rsidRPr="00F27E5A">
        <w:t xml:space="preserve"> (</w:t>
      </w:r>
      <w:r w:rsidR="00384E8C" w:rsidRPr="00F27E5A">
        <w:t>12</w:t>
      </w:r>
      <w:r w:rsidR="00ED5C79" w:rsidRPr="00F27E5A">
        <w:t xml:space="preserve"> months-ended</w:t>
      </w:r>
      <w:r w:rsidR="00384E8C" w:rsidRPr="00F27E5A">
        <w:t xml:space="preserve"> </w:t>
      </w:r>
      <w:r w:rsidR="00D30CD0" w:rsidRPr="00F27E5A">
        <w:t xml:space="preserve">June 2012, </w:t>
      </w:r>
      <w:r w:rsidR="00FB0915" w:rsidRPr="00F27E5A">
        <w:t>June 2011</w:t>
      </w:r>
      <w:r w:rsidR="00D30CD0" w:rsidRPr="00F27E5A">
        <w:t xml:space="preserve">, </w:t>
      </w:r>
      <w:r w:rsidR="00FB0915" w:rsidRPr="00F27E5A">
        <w:t>June 2010</w:t>
      </w:r>
      <w:r w:rsidR="00D30CD0" w:rsidRPr="00F27E5A">
        <w:t>,</w:t>
      </w:r>
      <w:r w:rsidR="00FB0915" w:rsidRPr="00F27E5A">
        <w:t xml:space="preserve"> June 2009, and June 2008</w:t>
      </w:r>
      <w:r w:rsidR="00D30CD0" w:rsidRPr="00F27E5A">
        <w:t>)</w:t>
      </w:r>
      <w:r w:rsidR="007170B9" w:rsidRPr="00F27E5A">
        <w:t>,</w:t>
      </w:r>
      <w:r w:rsidR="00AC115C" w:rsidRPr="00F27E5A">
        <w:rPr>
          <w:rStyle w:val="FootnoteReference"/>
        </w:rPr>
        <w:footnoteReference w:id="3"/>
      </w:r>
      <w:r w:rsidR="00AC666C" w:rsidRPr="00F27E5A">
        <w:t xml:space="preserve"> removing the</w:t>
      </w:r>
      <w:r w:rsidR="00041670" w:rsidRPr="00F27E5A">
        <w:t xml:space="preserve"> years with</w:t>
      </w:r>
      <w:r w:rsidR="00AC666C" w:rsidRPr="00F27E5A">
        <w:t xml:space="preserve"> </w:t>
      </w:r>
      <w:r w:rsidR="00041670" w:rsidRPr="00F27E5A">
        <w:t xml:space="preserve">the </w:t>
      </w:r>
      <w:r w:rsidR="00AC666C" w:rsidRPr="00F27E5A">
        <w:t>high</w:t>
      </w:r>
      <w:r w:rsidR="00041670" w:rsidRPr="00F27E5A">
        <w:t xml:space="preserve">est </w:t>
      </w:r>
      <w:r w:rsidR="00AC666C" w:rsidRPr="00F27E5A">
        <w:t>and low</w:t>
      </w:r>
      <w:r w:rsidR="00041670" w:rsidRPr="00F27E5A">
        <w:t>est</w:t>
      </w:r>
      <w:r w:rsidR="00AC666C" w:rsidRPr="00F27E5A">
        <w:t xml:space="preserve"> </w:t>
      </w:r>
      <w:r w:rsidR="00041670" w:rsidRPr="00F27E5A">
        <w:t>percentage write-offs to revenue</w:t>
      </w:r>
      <w:r w:rsidR="00AC666C" w:rsidRPr="00F27E5A">
        <w:t>,</w:t>
      </w:r>
      <w:r w:rsidR="00ED5C79" w:rsidRPr="00F27E5A">
        <w:t xml:space="preserve"> and</w:t>
      </w:r>
      <w:r w:rsidR="00AC666C" w:rsidRPr="00F27E5A">
        <w:t xml:space="preserve"> then calculating the average of the remaining three </w:t>
      </w:r>
      <w:r w:rsidR="00545F4C" w:rsidRPr="00F27E5A">
        <w:t>periods</w:t>
      </w:r>
      <w:r w:rsidR="00195B6E" w:rsidRPr="00F27E5A">
        <w:t>.  Second,</w:t>
      </w:r>
      <w:r w:rsidR="009C6389" w:rsidRPr="00F27E5A">
        <w:t xml:space="preserve"> </w:t>
      </w:r>
      <w:r w:rsidR="004A3216">
        <w:t>I</w:t>
      </w:r>
      <w:r w:rsidR="009A07F7" w:rsidRPr="00F27E5A">
        <w:t xml:space="preserve"> </w:t>
      </w:r>
      <w:r w:rsidR="00524FF3" w:rsidRPr="00F27E5A">
        <w:t xml:space="preserve">include a </w:t>
      </w:r>
      <w:r w:rsidR="00F2789D" w:rsidRPr="00F27E5A">
        <w:t>pro</w:t>
      </w:r>
      <w:r w:rsidR="00F2789D">
        <w:t xml:space="preserve"> </w:t>
      </w:r>
      <w:r w:rsidR="00F2789D" w:rsidRPr="00F27E5A">
        <w:t>forma</w:t>
      </w:r>
      <w:r w:rsidR="00524FF3" w:rsidRPr="00F27E5A">
        <w:t xml:space="preserve"> adjustment to</w:t>
      </w:r>
      <w:r w:rsidR="00545F4C" w:rsidRPr="00F27E5A">
        <w:t xml:space="preserve"> uncollectible expense to reflect normalized revenues</w:t>
      </w:r>
      <w:r w:rsidR="00AC666C" w:rsidRPr="00F27E5A">
        <w:t>.</w:t>
      </w:r>
    </w:p>
    <w:p w:rsidR="00ED5C79" w:rsidRPr="00F27E5A" w:rsidRDefault="00ED5C79" w:rsidP="00ED5C79">
      <w:pPr>
        <w:pStyle w:val="Question-Testimony"/>
      </w:pPr>
    </w:p>
    <w:p w:rsidR="00ED5C79" w:rsidRPr="00F27E5A" w:rsidRDefault="00ED5C79" w:rsidP="00BD36B5">
      <w:pPr>
        <w:pStyle w:val="Question-Testimony"/>
        <w:keepNext/>
      </w:pPr>
      <w:r w:rsidRPr="00F27E5A">
        <w:lastRenderedPageBreak/>
        <w:t>Q.</w:t>
      </w:r>
      <w:r w:rsidRPr="00F27E5A">
        <w:tab/>
        <w:t xml:space="preserve">Please explain why Staff’s approach </w:t>
      </w:r>
      <w:r w:rsidR="00DB168F" w:rsidRPr="00F27E5A">
        <w:t>should be adopted by the Commission</w:t>
      </w:r>
      <w:r w:rsidRPr="00F27E5A">
        <w:t>.</w:t>
      </w:r>
    </w:p>
    <w:p w:rsidR="00B24057" w:rsidRPr="00F27E5A" w:rsidRDefault="00ED5C79" w:rsidP="00FD43F6">
      <w:pPr>
        <w:pStyle w:val="Answer-Testimony"/>
      </w:pPr>
      <w:r w:rsidRPr="00F27E5A">
        <w:t>A.</w:t>
      </w:r>
      <w:r w:rsidRPr="00F27E5A">
        <w:tab/>
      </w:r>
      <w:r w:rsidR="00FD43F6" w:rsidRPr="00F27E5A">
        <w:t>First</w:t>
      </w:r>
      <w:r w:rsidR="00545F4C" w:rsidRPr="00F27E5A">
        <w:t>, b</w:t>
      </w:r>
      <w:r w:rsidR="00D30CD0" w:rsidRPr="00F27E5A">
        <w:t>ad debt experience in a given year can vary significantly due to credit actions taken during th</w:t>
      </w:r>
      <w:r w:rsidRPr="00F27E5A">
        <w:t>at</w:t>
      </w:r>
      <w:r w:rsidR="00D30CD0" w:rsidRPr="00F27E5A">
        <w:t xml:space="preserve"> year </w:t>
      </w:r>
      <w:r w:rsidRPr="00F27E5A">
        <w:t xml:space="preserve">and </w:t>
      </w:r>
      <w:r w:rsidR="00D30CD0" w:rsidRPr="00F27E5A">
        <w:t>the preceding year</w:t>
      </w:r>
      <w:r w:rsidRPr="00F27E5A">
        <w:t>,</w:t>
      </w:r>
      <w:r w:rsidR="00D30CD0" w:rsidRPr="00F27E5A">
        <w:t xml:space="preserve"> and other factors.</w:t>
      </w:r>
      <w:r w:rsidR="001A239C" w:rsidRPr="00F27E5A">
        <w:t xml:space="preserve">  </w:t>
      </w:r>
      <w:r w:rsidRPr="00F27E5A">
        <w:t xml:space="preserve">Staff’s approach is, therefore, </w:t>
      </w:r>
      <w:r w:rsidR="00D30CD0" w:rsidRPr="00F27E5A">
        <w:t xml:space="preserve">more reasonable than the Company’s proposal because </w:t>
      </w:r>
      <w:r w:rsidR="00DB168F" w:rsidRPr="00F27E5A">
        <w:t>Staff</w:t>
      </w:r>
      <w:r w:rsidR="00D30CD0" w:rsidRPr="00F27E5A">
        <w:t xml:space="preserve"> more accurately captures a normalized amount of bad debt to build into rates.  </w:t>
      </w:r>
      <w:r w:rsidRPr="00F27E5A">
        <w:t>N</w:t>
      </w:r>
      <w:r w:rsidR="00AC666C" w:rsidRPr="00F27E5A">
        <w:t xml:space="preserve">ormalizing the bad debt adjustment is </w:t>
      </w:r>
      <w:r w:rsidRPr="00F27E5A">
        <w:t xml:space="preserve">also </w:t>
      </w:r>
      <w:r w:rsidR="00AC666C" w:rsidRPr="00F27E5A">
        <w:t xml:space="preserve">consistent with the approach </w:t>
      </w:r>
      <w:r w:rsidRPr="00F27E5A">
        <w:t xml:space="preserve">applied </w:t>
      </w:r>
      <w:r w:rsidR="00AC666C" w:rsidRPr="00F27E5A">
        <w:t xml:space="preserve">by </w:t>
      </w:r>
      <w:r w:rsidR="008B52B2" w:rsidRPr="00F27E5A">
        <w:t>PSE</w:t>
      </w:r>
      <w:r w:rsidR="00B24057" w:rsidRPr="00F27E5A">
        <w:t xml:space="preserve"> since calendar year 2004</w:t>
      </w:r>
      <w:r w:rsidR="001A239C" w:rsidRPr="00F27E5A">
        <w:t>.</w:t>
      </w:r>
      <w:r w:rsidR="00D30CD0" w:rsidRPr="00F27E5A">
        <w:rPr>
          <w:rStyle w:val="FootnoteReference"/>
        </w:rPr>
        <w:footnoteReference w:id="4"/>
      </w:r>
    </w:p>
    <w:p w:rsidR="00FD43F6" w:rsidRPr="00F27E5A" w:rsidRDefault="00FD43F6" w:rsidP="00B24057">
      <w:pPr>
        <w:pStyle w:val="Answer-Testimony"/>
        <w:ind w:firstLine="720"/>
      </w:pPr>
      <w:r w:rsidRPr="00F27E5A">
        <w:t xml:space="preserve">Second, </w:t>
      </w:r>
      <w:r w:rsidR="007B6348" w:rsidRPr="00F27E5A">
        <w:t>Staff and Company differ on the correct</w:t>
      </w:r>
      <w:r w:rsidR="00B168D0" w:rsidRPr="00F27E5A">
        <w:t xml:space="preserve"> </w:t>
      </w:r>
      <w:r w:rsidR="005C769A" w:rsidRPr="00F27E5A">
        <w:t xml:space="preserve">presentation for an adjustment to </w:t>
      </w:r>
      <w:r w:rsidRPr="00F27E5A">
        <w:t>uncollectible expense to reflect normalized revenues</w:t>
      </w:r>
      <w:r w:rsidR="00195B6E" w:rsidRPr="00F27E5A">
        <w:t>.</w:t>
      </w:r>
      <w:r w:rsidRPr="00F27E5A">
        <w:t xml:space="preserve">  The Company made the adjustment as a restating adjustment, while Staff made the adjustment as a </w:t>
      </w:r>
      <w:r w:rsidR="004A3216">
        <w:t xml:space="preserve">pro </w:t>
      </w:r>
      <w:r w:rsidR="00F2789D" w:rsidRPr="00F27E5A">
        <w:t>form</w:t>
      </w:r>
      <w:r w:rsidR="004A3216">
        <w:t>a</w:t>
      </w:r>
      <w:r w:rsidRPr="00F27E5A">
        <w:t xml:space="preserve"> adjustment.</w:t>
      </w:r>
      <w:r w:rsidR="005C769A" w:rsidRPr="00F27E5A">
        <w:t xml:space="preserve">  Staff</w:t>
      </w:r>
      <w:r w:rsidR="002D3BF4" w:rsidRPr="00F27E5A">
        <w:t>’s presentation is superior</w:t>
      </w:r>
      <w:r w:rsidR="005C769A" w:rsidRPr="00F27E5A">
        <w:t xml:space="preserve"> because </w:t>
      </w:r>
      <w:r w:rsidR="007B6348" w:rsidRPr="00F27E5A">
        <w:t xml:space="preserve">it recognizes that </w:t>
      </w:r>
      <w:r w:rsidR="005C769A" w:rsidRPr="00F27E5A">
        <w:t xml:space="preserve">an adjustment </w:t>
      </w:r>
      <w:r w:rsidR="007B6348" w:rsidRPr="00F27E5A">
        <w:t xml:space="preserve">cannot be made </w:t>
      </w:r>
      <w:r w:rsidR="005C769A" w:rsidRPr="00F27E5A">
        <w:t xml:space="preserve">for bad debts until you have Washington’s per books restated for normalized revenues; therefore, causing all adjustments from that point forward to be </w:t>
      </w:r>
      <w:r w:rsidR="004A3216">
        <w:t xml:space="preserve">pro </w:t>
      </w:r>
      <w:r w:rsidR="00F2789D" w:rsidRPr="00F27E5A">
        <w:t>form</w:t>
      </w:r>
      <w:r w:rsidR="004A3216">
        <w:t>a</w:t>
      </w:r>
      <w:r w:rsidR="005C769A" w:rsidRPr="00F27E5A">
        <w:t xml:space="preserve"> adjustments.</w:t>
      </w:r>
    </w:p>
    <w:p w:rsidR="00AC666C" w:rsidRPr="00F27E5A" w:rsidRDefault="002D3BF4" w:rsidP="00B24057">
      <w:pPr>
        <w:pStyle w:val="Answer-Testimony"/>
        <w:ind w:firstLine="720"/>
      </w:pPr>
      <w:r w:rsidRPr="00F27E5A">
        <w:t>T</w:t>
      </w:r>
      <w:r w:rsidR="00AC666C" w:rsidRPr="00F27E5A">
        <w:t xml:space="preserve">he </w:t>
      </w:r>
      <w:r w:rsidR="007636B5" w:rsidRPr="00F27E5A">
        <w:t>calculation of Staff’s adjustment</w:t>
      </w:r>
      <w:r w:rsidR="00524FF3" w:rsidRPr="00F27E5A">
        <w:t xml:space="preserve"> is</w:t>
      </w:r>
      <w:r w:rsidR="00AC666C" w:rsidRPr="00F27E5A">
        <w:t xml:space="preserve"> shown </w:t>
      </w:r>
      <w:r w:rsidR="007863E1" w:rsidRPr="00F27E5A">
        <w:t xml:space="preserve">in Exhibit No. ___ (CTM-3), </w:t>
      </w:r>
      <w:r w:rsidR="00AC666C" w:rsidRPr="00F27E5A">
        <w:t>page</w:t>
      </w:r>
      <w:r w:rsidR="00EA49F0" w:rsidRPr="00F27E5A">
        <w:t>s</w:t>
      </w:r>
      <w:r w:rsidR="00AC666C" w:rsidRPr="00F27E5A">
        <w:t xml:space="preserve"> </w:t>
      </w:r>
      <w:r w:rsidR="00C34E29" w:rsidRPr="00F27E5A">
        <w:t>1</w:t>
      </w:r>
      <w:r w:rsidR="007863E1" w:rsidRPr="00F27E5A">
        <w:t>-</w:t>
      </w:r>
      <w:r w:rsidR="007636B5" w:rsidRPr="00F27E5A">
        <w:t>3</w:t>
      </w:r>
      <w:r w:rsidR="00AC666C" w:rsidRPr="00F27E5A">
        <w:t xml:space="preserve">.  </w:t>
      </w:r>
      <w:r w:rsidRPr="00F27E5A">
        <w:t xml:space="preserve">The </w:t>
      </w:r>
      <w:r w:rsidR="00545F4C" w:rsidRPr="00F27E5A">
        <w:t>restating</w:t>
      </w:r>
      <w:r w:rsidR="00F22DF1" w:rsidRPr="00F27E5A">
        <w:t xml:space="preserve"> </w:t>
      </w:r>
      <w:r w:rsidR="00AC666C" w:rsidRPr="00F27E5A">
        <w:t>adjustment</w:t>
      </w:r>
      <w:r w:rsidR="00EA49F0" w:rsidRPr="00F27E5A">
        <w:t xml:space="preserve"> </w:t>
      </w:r>
      <w:r w:rsidR="00F22DF1" w:rsidRPr="00F27E5A">
        <w:t xml:space="preserve">part </w:t>
      </w:r>
      <w:r w:rsidR="00EA49F0" w:rsidRPr="00F27E5A">
        <w:t>decreases bad debt expense by $</w:t>
      </w:r>
      <w:r w:rsidR="00545F4C" w:rsidRPr="00F27E5A">
        <w:t>156,349, increases federal income taxes by $54,722,</w:t>
      </w:r>
      <w:r w:rsidR="00EA49F0" w:rsidRPr="00F27E5A">
        <w:t xml:space="preserve"> and </w:t>
      </w:r>
      <w:r w:rsidR="00C34E29" w:rsidRPr="00F27E5A">
        <w:t>in</w:t>
      </w:r>
      <w:r w:rsidR="00D30CD0" w:rsidRPr="00F27E5A">
        <w:t>c</w:t>
      </w:r>
      <w:r w:rsidR="00AC666C" w:rsidRPr="00F27E5A">
        <w:t>rease</w:t>
      </w:r>
      <w:r w:rsidR="00D30CD0" w:rsidRPr="00F27E5A">
        <w:t>s</w:t>
      </w:r>
      <w:r w:rsidR="00AC666C" w:rsidRPr="00F27E5A">
        <w:t xml:space="preserve"> net operating income </w:t>
      </w:r>
      <w:r w:rsidR="00D30CD0" w:rsidRPr="00F27E5A">
        <w:t xml:space="preserve">by </w:t>
      </w:r>
      <w:r w:rsidR="00AC666C" w:rsidRPr="00F27E5A">
        <w:t>$</w:t>
      </w:r>
      <w:r w:rsidR="00545F4C" w:rsidRPr="00F27E5A">
        <w:t>101,627</w:t>
      </w:r>
      <w:r w:rsidR="00863219" w:rsidRPr="00F27E5A">
        <w:t>.</w:t>
      </w:r>
      <w:r w:rsidR="00545F4C" w:rsidRPr="00F27E5A">
        <w:t xml:space="preserve">  </w:t>
      </w:r>
      <w:r w:rsidR="00F22DF1" w:rsidRPr="00F27E5A">
        <w:t xml:space="preserve">The </w:t>
      </w:r>
      <w:r w:rsidR="004A3216">
        <w:t xml:space="preserve">pro </w:t>
      </w:r>
      <w:r w:rsidR="00F2789D" w:rsidRPr="00F27E5A">
        <w:t>form</w:t>
      </w:r>
      <w:r w:rsidR="004A3216">
        <w:t>a</w:t>
      </w:r>
      <w:r w:rsidR="00F22DF1" w:rsidRPr="00F27E5A">
        <w:t xml:space="preserve"> </w:t>
      </w:r>
      <w:r w:rsidR="00545F4C" w:rsidRPr="00F27E5A">
        <w:t xml:space="preserve">adjustment </w:t>
      </w:r>
      <w:r w:rsidR="00F22DF1" w:rsidRPr="00F27E5A">
        <w:t xml:space="preserve">part </w:t>
      </w:r>
      <w:r w:rsidR="00545F4C" w:rsidRPr="00F27E5A">
        <w:t>increases bad debt expense by $82,677, compared to the Company’s adjustment of $88,</w:t>
      </w:r>
      <w:r w:rsidR="007636B5" w:rsidRPr="00F27E5A">
        <w:t>426</w:t>
      </w:r>
      <w:r w:rsidR="00545F4C" w:rsidRPr="00F27E5A">
        <w:t>.</w:t>
      </w:r>
    </w:p>
    <w:p w:rsidR="00FE36C2" w:rsidRPr="00F27E5A" w:rsidRDefault="00FE36C2" w:rsidP="00FE36C2">
      <w:pPr>
        <w:pStyle w:val="Question-Testimony"/>
      </w:pPr>
    </w:p>
    <w:p w:rsidR="005169D4" w:rsidRPr="00F27E5A" w:rsidRDefault="005169D4" w:rsidP="00A16EBE">
      <w:pPr>
        <w:pStyle w:val="Heading3"/>
        <w:ind w:left="1440"/>
      </w:pPr>
      <w:bookmarkStart w:id="6" w:name="_Toc359312042"/>
      <w:r w:rsidRPr="00F27E5A">
        <w:lastRenderedPageBreak/>
        <w:t>Net-to-Gross Conversion Factor</w:t>
      </w:r>
      <w:bookmarkEnd w:id="6"/>
    </w:p>
    <w:p w:rsidR="005169D4" w:rsidRPr="00F27E5A" w:rsidRDefault="005169D4" w:rsidP="00BD36B5">
      <w:pPr>
        <w:pStyle w:val="Answer-Testimony"/>
        <w:keepNext/>
      </w:pPr>
    </w:p>
    <w:p w:rsidR="005169D4" w:rsidRPr="00F27E5A" w:rsidRDefault="005169D4" w:rsidP="005169D4">
      <w:pPr>
        <w:pStyle w:val="Question-Testimony"/>
      </w:pPr>
      <w:r w:rsidRPr="00F27E5A">
        <w:t>Q.</w:t>
      </w:r>
      <w:r w:rsidRPr="00F27E5A">
        <w:tab/>
        <w:t xml:space="preserve">Please </w:t>
      </w:r>
      <w:r w:rsidR="00B168D0" w:rsidRPr="00F27E5A">
        <w:t>explain the purpose of the Net-to-Gross Conversion Factor</w:t>
      </w:r>
      <w:r w:rsidRPr="00F27E5A">
        <w:t>.</w:t>
      </w:r>
    </w:p>
    <w:p w:rsidR="005169D4" w:rsidRPr="00F27E5A" w:rsidRDefault="005169D4" w:rsidP="005169D4">
      <w:pPr>
        <w:pStyle w:val="Answer-Testimony"/>
      </w:pPr>
      <w:r w:rsidRPr="00F27E5A">
        <w:t>A.</w:t>
      </w:r>
      <w:r w:rsidRPr="00F27E5A">
        <w:tab/>
        <w:t>The conversion factor is used to adjust the net operating income deficiency for revenue sensitive items and federal income tax to determine the total revenue deficiency.  The revenue sensitive items are the Washington State utility tax, the Commission’s annual filing fee, and bad debts.</w:t>
      </w:r>
    </w:p>
    <w:p w:rsidR="005169D4" w:rsidRPr="00F27E5A" w:rsidRDefault="005169D4" w:rsidP="005169D4">
      <w:pPr>
        <w:pStyle w:val="Answer-Testimony"/>
      </w:pPr>
    </w:p>
    <w:p w:rsidR="005169D4" w:rsidRPr="00F27E5A" w:rsidRDefault="005169D4" w:rsidP="005169D4">
      <w:pPr>
        <w:pStyle w:val="Question-Testimony"/>
      </w:pPr>
      <w:r w:rsidRPr="00F27E5A">
        <w:t>Q.</w:t>
      </w:r>
      <w:r w:rsidRPr="00F27E5A">
        <w:tab/>
        <w:t>Does revising the Company’s Adjustment 4.12, Uncollectible Expense</w:t>
      </w:r>
      <w:r w:rsidR="00706400" w:rsidRPr="00F27E5A">
        <w:t>, as you explained earlier, hav</w:t>
      </w:r>
      <w:r w:rsidRPr="00F27E5A">
        <w:t xml:space="preserve">e an effect on the conversion factor </w:t>
      </w:r>
      <w:r w:rsidR="007B6348" w:rsidRPr="00F27E5A">
        <w:t xml:space="preserve">Staff </w:t>
      </w:r>
      <w:r w:rsidRPr="00F27E5A">
        <w:t>used to determine revenue requirement?</w:t>
      </w:r>
    </w:p>
    <w:p w:rsidR="005169D4" w:rsidRPr="00F27E5A" w:rsidRDefault="005169D4" w:rsidP="00420C37">
      <w:pPr>
        <w:pStyle w:val="Answer-Testimony"/>
      </w:pPr>
      <w:r w:rsidRPr="00F27E5A">
        <w:t>A.</w:t>
      </w:r>
      <w:r w:rsidRPr="00F27E5A">
        <w:tab/>
        <w:t>Yes.  Adjusting bad debts</w:t>
      </w:r>
      <w:r w:rsidR="00B168D0" w:rsidRPr="00F27E5A">
        <w:t xml:space="preserve"> </w:t>
      </w:r>
      <w:r w:rsidR="00706400" w:rsidRPr="00F27E5A">
        <w:t xml:space="preserve">for the reasons </w:t>
      </w:r>
      <w:r w:rsidR="00B168D0" w:rsidRPr="00F27E5A">
        <w:t xml:space="preserve">I </w:t>
      </w:r>
      <w:r w:rsidR="00706400" w:rsidRPr="00F27E5A">
        <w:t>stated earlier regarding Adjustment 4.12,</w:t>
      </w:r>
      <w:r w:rsidRPr="00F27E5A">
        <w:t xml:space="preserve"> has an effect on the conversion factor.  </w:t>
      </w:r>
      <w:r w:rsidR="00706400" w:rsidRPr="00F27E5A">
        <w:t>Staff’s A</w:t>
      </w:r>
      <w:r w:rsidRPr="00F27E5A">
        <w:t xml:space="preserve">djustment </w:t>
      </w:r>
      <w:r w:rsidR="00706400" w:rsidRPr="00F27E5A">
        <w:t xml:space="preserve">4.12 </w:t>
      </w:r>
      <w:r w:rsidRPr="00F27E5A">
        <w:t xml:space="preserve">decreases the bad debts used in the conversion factor from 0.7255 percent to 0.6783 percent.  </w:t>
      </w:r>
    </w:p>
    <w:p w:rsidR="005169D4" w:rsidRPr="00F27E5A" w:rsidRDefault="00420C37" w:rsidP="00C4448F">
      <w:pPr>
        <w:pStyle w:val="Answer-Testimony"/>
      </w:pPr>
      <w:r w:rsidRPr="00F27E5A">
        <w:tab/>
      </w:r>
      <w:r w:rsidR="00706400" w:rsidRPr="00F27E5A">
        <w:tab/>
        <w:t xml:space="preserve">Moreover, </w:t>
      </w:r>
      <w:r w:rsidR="005169D4" w:rsidRPr="00F27E5A">
        <w:t>the Company</w:t>
      </w:r>
      <w:r w:rsidR="00706400" w:rsidRPr="00F27E5A">
        <w:t xml:space="preserve"> did not remove the deduction for</w:t>
      </w:r>
      <w:r w:rsidR="005169D4" w:rsidRPr="00F27E5A">
        <w:t xml:space="preserve"> bad debts</w:t>
      </w:r>
      <w:r w:rsidR="00706400" w:rsidRPr="00F27E5A">
        <w:t>,</w:t>
      </w:r>
      <w:r w:rsidR="005169D4" w:rsidRPr="00F27E5A">
        <w:t xml:space="preserve"> </w:t>
      </w:r>
      <w:r w:rsidR="00706400" w:rsidRPr="00F27E5A">
        <w:t xml:space="preserve">as required by RCW 82.16.050, </w:t>
      </w:r>
      <w:r w:rsidR="005169D4" w:rsidRPr="00F27E5A">
        <w:t>in computing the Washington State utility tax</w:t>
      </w:r>
      <w:r w:rsidR="00B168D0" w:rsidRPr="00F27E5A">
        <w:t xml:space="preserve"> component of the conversion factor.  I corrected that error</w:t>
      </w:r>
      <w:r w:rsidR="00117F78" w:rsidRPr="00F27E5A">
        <w:t>,</w:t>
      </w:r>
      <w:r w:rsidR="00B168D0" w:rsidRPr="00F27E5A">
        <w:t xml:space="preserve"> </w:t>
      </w:r>
      <w:r w:rsidR="005169D4" w:rsidRPr="00F27E5A">
        <w:t xml:space="preserve">which </w:t>
      </w:r>
      <w:r w:rsidR="004129E4" w:rsidRPr="00F27E5A">
        <w:t>de</w:t>
      </w:r>
      <w:r w:rsidR="00B168D0" w:rsidRPr="00F27E5A">
        <w:t>c</w:t>
      </w:r>
      <w:r w:rsidR="00090311" w:rsidRPr="00F27E5A">
        <w:t>r</w:t>
      </w:r>
      <w:r w:rsidR="00B168D0" w:rsidRPr="00F27E5A">
        <w:t xml:space="preserve">eased this component of the conversion factor </w:t>
      </w:r>
      <w:r w:rsidR="005169D4" w:rsidRPr="00F27E5A">
        <w:t xml:space="preserve">from </w:t>
      </w:r>
      <w:r w:rsidR="004129E4" w:rsidRPr="00F27E5A">
        <w:t xml:space="preserve">3.8734 percent to </w:t>
      </w:r>
      <w:r w:rsidR="00090311" w:rsidRPr="00F27E5A">
        <w:t>3.847</w:t>
      </w:r>
      <w:r w:rsidR="004129E4" w:rsidRPr="00F27E5A">
        <w:t>1</w:t>
      </w:r>
      <w:r w:rsidR="00090311" w:rsidRPr="00F27E5A">
        <w:t xml:space="preserve"> percent.</w:t>
      </w:r>
    </w:p>
    <w:p w:rsidR="005169D4" w:rsidRPr="00F27E5A" w:rsidRDefault="00706400" w:rsidP="00C4448F">
      <w:pPr>
        <w:pStyle w:val="Answer-Testimony"/>
        <w:ind w:firstLine="720"/>
      </w:pPr>
      <w:r w:rsidRPr="00F27E5A">
        <w:t>Overall, Staff’s</w:t>
      </w:r>
      <w:r w:rsidR="005169D4" w:rsidRPr="00F27E5A">
        <w:t xml:space="preserve"> conversion factor</w:t>
      </w:r>
      <w:r w:rsidR="00117F78" w:rsidRPr="00F27E5A">
        <w:t>, as</w:t>
      </w:r>
      <w:r w:rsidR="00BC5278" w:rsidRPr="00F27E5A">
        <w:t xml:space="preserve"> </w:t>
      </w:r>
      <w:r w:rsidR="005169D4" w:rsidRPr="00F27E5A">
        <w:t>shown on Exhibit No. ___(CTM-3), page 4 is 61.92</w:t>
      </w:r>
      <w:r w:rsidR="00420C37" w:rsidRPr="00F27E5A">
        <w:t>8</w:t>
      </w:r>
      <w:r w:rsidR="005169D4" w:rsidRPr="00F27E5A">
        <w:t>0 percent, compared to PacifiCorp’s proposed conversion factor of 61.8810 percent.  The treatment of bad debts is the only difference between Staff and Company conversion factors.</w:t>
      </w:r>
    </w:p>
    <w:p w:rsidR="00C40AD8" w:rsidRPr="00F27E5A" w:rsidRDefault="00C40AD8" w:rsidP="00C44947">
      <w:pPr>
        <w:pStyle w:val="Answer-Testimony"/>
      </w:pPr>
    </w:p>
    <w:p w:rsidR="00980C24" w:rsidRPr="00F27E5A" w:rsidRDefault="008A14BC" w:rsidP="00C4448F">
      <w:pPr>
        <w:pStyle w:val="Heading1"/>
      </w:pPr>
      <w:bookmarkStart w:id="7" w:name="_Toc359312043"/>
      <w:r w:rsidRPr="00F27E5A">
        <w:lastRenderedPageBreak/>
        <w:t>ELECTRIC</w:t>
      </w:r>
      <w:r w:rsidR="00955041" w:rsidRPr="00F27E5A">
        <w:t xml:space="preserve"> </w:t>
      </w:r>
      <w:r w:rsidR="007B4B29" w:rsidRPr="00F27E5A">
        <w:t xml:space="preserve">COST OF </w:t>
      </w:r>
      <w:r w:rsidR="00955041" w:rsidRPr="00F27E5A">
        <w:t>SERVICE</w:t>
      </w:r>
      <w:bookmarkEnd w:id="7"/>
    </w:p>
    <w:p w:rsidR="0002192E" w:rsidRPr="00F27E5A" w:rsidRDefault="0002192E" w:rsidP="0002192E">
      <w:pPr>
        <w:pStyle w:val="Answer-Testimony"/>
      </w:pPr>
    </w:p>
    <w:p w:rsidR="0002192E" w:rsidRPr="00F27E5A" w:rsidRDefault="0002192E" w:rsidP="0002192E">
      <w:pPr>
        <w:pStyle w:val="Question-Testimony"/>
      </w:pPr>
      <w:r w:rsidRPr="00F27E5A">
        <w:t>Q.</w:t>
      </w:r>
      <w:r w:rsidRPr="00F27E5A">
        <w:tab/>
        <w:t>What does a cost of service study measure?</w:t>
      </w:r>
    </w:p>
    <w:p w:rsidR="004C2599" w:rsidRPr="00F27E5A" w:rsidRDefault="0002192E" w:rsidP="0002192E">
      <w:pPr>
        <w:pStyle w:val="Answer-Testimony"/>
      </w:pPr>
      <w:r w:rsidRPr="00F27E5A">
        <w:t>A.</w:t>
      </w:r>
      <w:r w:rsidRPr="00F27E5A">
        <w:tab/>
        <w:t>A cost of service study measures</w:t>
      </w:r>
      <w:r w:rsidR="004C193E" w:rsidRPr="00F27E5A">
        <w:t xml:space="preserve"> whether the revenue provided by customers recovers th</w:t>
      </w:r>
      <w:r w:rsidR="00CD188D" w:rsidRPr="00F27E5A">
        <w:t>e cost to serv</w:t>
      </w:r>
      <w:r w:rsidR="003E0848" w:rsidRPr="00F27E5A">
        <w:t>e those customers</w:t>
      </w:r>
      <w:r w:rsidR="00CF37E5" w:rsidRPr="00F27E5A">
        <w:t xml:space="preserve">.  This is done </w:t>
      </w:r>
      <w:r w:rsidR="003E0848" w:rsidRPr="00F27E5A">
        <w:t>by apportioning</w:t>
      </w:r>
      <w:r w:rsidR="00CD188D" w:rsidRPr="00F27E5A">
        <w:t xml:space="preserve"> the </w:t>
      </w:r>
      <w:r w:rsidR="00CF37E5" w:rsidRPr="00F27E5A">
        <w:t xml:space="preserve">Washington per books </w:t>
      </w:r>
      <w:r w:rsidR="00CD188D" w:rsidRPr="00F27E5A">
        <w:t xml:space="preserve">revenue, expenses, and rate base to </w:t>
      </w:r>
      <w:r w:rsidR="007E7EAB" w:rsidRPr="00F27E5A">
        <w:t xml:space="preserve">defined </w:t>
      </w:r>
      <w:r w:rsidR="00CD188D" w:rsidRPr="00F27E5A">
        <w:t>groups of customers.</w:t>
      </w:r>
    </w:p>
    <w:p w:rsidR="0002192E" w:rsidRPr="00F27E5A" w:rsidRDefault="0002192E" w:rsidP="0002192E">
      <w:pPr>
        <w:pStyle w:val="Answer-Testimony"/>
      </w:pPr>
    </w:p>
    <w:p w:rsidR="004C2599" w:rsidRPr="00F27E5A" w:rsidRDefault="004C2599" w:rsidP="004C2599">
      <w:pPr>
        <w:pStyle w:val="Question-Testimony"/>
      </w:pPr>
      <w:r w:rsidRPr="00F27E5A">
        <w:t>Q.</w:t>
      </w:r>
      <w:r w:rsidRPr="00F27E5A">
        <w:tab/>
        <w:t>Did Staff review the Company’s proposed electric cost of service study?</w:t>
      </w:r>
    </w:p>
    <w:p w:rsidR="00117F78" w:rsidRPr="00F27E5A" w:rsidRDefault="004C2599" w:rsidP="005D0285">
      <w:pPr>
        <w:pStyle w:val="Answer-Testimony"/>
      </w:pPr>
      <w:r w:rsidRPr="00F27E5A">
        <w:t>A.</w:t>
      </w:r>
      <w:r w:rsidRPr="00F27E5A">
        <w:tab/>
        <w:t xml:space="preserve">Yes.  </w:t>
      </w:r>
      <w:r w:rsidR="00117F78" w:rsidRPr="00F27E5A">
        <w:t>The Company’s electric cost of se</w:t>
      </w:r>
      <w:r w:rsidR="0064556B">
        <w:t xml:space="preserve">rvice study is contained in Company witness </w:t>
      </w:r>
      <w:r w:rsidR="00117F78" w:rsidRPr="00F27E5A">
        <w:t>Paice’s Exhibit No. ___ (CCP-5).  Staff adjusted the Company’s study to ref</w:t>
      </w:r>
      <w:r w:rsidR="00532629" w:rsidRPr="00F27E5A">
        <w:t xml:space="preserve">lect:  (1) Staff witness </w:t>
      </w:r>
      <w:r w:rsidR="00117F78" w:rsidRPr="00F27E5A">
        <w:t>White’s recommendation regarding WCA allocations; and (2) Staff’s lower revenue requirement recommendation.  Staff’s cost of service study is included in my Exhibit No. __ (CTM-4).</w:t>
      </w:r>
    </w:p>
    <w:p w:rsidR="00F22DF1" w:rsidRPr="00F27E5A" w:rsidRDefault="00F22DF1" w:rsidP="005D0285">
      <w:pPr>
        <w:pStyle w:val="Answer-Testimony"/>
        <w:ind w:firstLine="720"/>
      </w:pPr>
      <w:r w:rsidRPr="00F27E5A">
        <w:t>Overall t</w:t>
      </w:r>
      <w:r w:rsidR="001E30A6" w:rsidRPr="00F27E5A">
        <w:t xml:space="preserve">he Company’s electric cost of service study presents fairly the costs imposed on the system by the customers </w:t>
      </w:r>
      <w:r w:rsidR="00E1477D" w:rsidRPr="00F27E5A">
        <w:t>served on</w:t>
      </w:r>
      <w:r w:rsidR="001E30A6" w:rsidRPr="00F27E5A">
        <w:t xml:space="preserve"> each rate schedule</w:t>
      </w:r>
      <w:r w:rsidR="009D16AD" w:rsidRPr="00F27E5A">
        <w:t xml:space="preserve">.  However, </w:t>
      </w:r>
      <w:r w:rsidR="00DE1636" w:rsidRPr="00F27E5A">
        <w:t>Staff recommends</w:t>
      </w:r>
      <w:r w:rsidR="001E30A6" w:rsidRPr="00F27E5A">
        <w:t xml:space="preserve"> three </w:t>
      </w:r>
      <w:r w:rsidR="009D16AD" w:rsidRPr="00F27E5A">
        <w:t>improvements</w:t>
      </w:r>
      <w:r w:rsidRPr="00F27E5A">
        <w:t xml:space="preserve"> that </w:t>
      </w:r>
      <w:r w:rsidR="0064556B">
        <w:t xml:space="preserve">the Company should include in a cost of service study in its next full general rate case, as </w:t>
      </w:r>
      <w:r w:rsidR="00DE1636" w:rsidRPr="00F27E5A">
        <w:t>I discuss later in my testimony</w:t>
      </w:r>
      <w:r w:rsidR="001E30A6" w:rsidRPr="00F27E5A">
        <w:t xml:space="preserve">.  </w:t>
      </w:r>
    </w:p>
    <w:p w:rsidR="00B93FB1" w:rsidRPr="00F27E5A" w:rsidRDefault="00B93FB1" w:rsidP="00995BE8">
      <w:pPr>
        <w:pStyle w:val="Answer-Testimony"/>
      </w:pPr>
    </w:p>
    <w:p w:rsidR="00B93FB1" w:rsidRPr="00F27E5A" w:rsidRDefault="00B93FB1" w:rsidP="00B93FB1">
      <w:pPr>
        <w:pStyle w:val="Question-Testimony"/>
      </w:pPr>
      <w:r w:rsidRPr="00F27E5A">
        <w:t>Q.</w:t>
      </w:r>
      <w:r w:rsidRPr="00F27E5A">
        <w:tab/>
        <w:t>What are the typical outputs of a cost of service study?</w:t>
      </w:r>
    </w:p>
    <w:p w:rsidR="00B93FB1" w:rsidRPr="00F27E5A" w:rsidRDefault="00B93FB1" w:rsidP="00B93FB1">
      <w:pPr>
        <w:pStyle w:val="Answer-Testimony"/>
      </w:pPr>
      <w:r w:rsidRPr="00F27E5A">
        <w:t>A.</w:t>
      </w:r>
      <w:r w:rsidRPr="00F27E5A">
        <w:tab/>
        <w:t>Typically, the outputs of a cost of service study are parity ratios for each customer class.</w:t>
      </w:r>
    </w:p>
    <w:p w:rsidR="00B93FB1" w:rsidRPr="00F27E5A" w:rsidRDefault="00B93FB1" w:rsidP="00B93FB1">
      <w:pPr>
        <w:pStyle w:val="Answer-Testimony"/>
      </w:pPr>
    </w:p>
    <w:p w:rsidR="00B93FB1" w:rsidRPr="00F27E5A" w:rsidRDefault="00B93FB1" w:rsidP="00B93FB1">
      <w:pPr>
        <w:pStyle w:val="Question-Testimony"/>
      </w:pPr>
      <w:r w:rsidRPr="00F27E5A">
        <w:lastRenderedPageBreak/>
        <w:t>Q.</w:t>
      </w:r>
      <w:r w:rsidRPr="00F27E5A">
        <w:tab/>
        <w:t>What is a parity ratio?</w:t>
      </w:r>
    </w:p>
    <w:p w:rsidR="00B93FB1" w:rsidRPr="00F27E5A" w:rsidRDefault="00B93FB1" w:rsidP="00B93FB1">
      <w:pPr>
        <w:pStyle w:val="Answer-Testimony"/>
      </w:pPr>
      <w:r w:rsidRPr="00F27E5A">
        <w:t>A.</w:t>
      </w:r>
      <w:r w:rsidRPr="00F27E5A">
        <w:tab/>
        <w:t>A parity ratio indicates how close a particular rate schedule is to covering its cost of service.  For example, if a rate schedule is producing revenues that are 100 percent of its cost of service, that rate schedule has a parity ratio of 1.00.  If a rate schedule covers only 70 percent of its cost of service, it has a parity ratio of 0.70.  If a rate schedule covers 130 percent of its cost of service, its parity ratio is 1.30.</w:t>
      </w:r>
    </w:p>
    <w:p w:rsidR="00B93FB1" w:rsidRPr="00F27E5A" w:rsidRDefault="00B93FB1" w:rsidP="00B93FB1">
      <w:pPr>
        <w:pStyle w:val="Answer-Testimony"/>
      </w:pPr>
    </w:p>
    <w:p w:rsidR="00B93FB1" w:rsidRPr="00F27E5A" w:rsidRDefault="00B93FB1" w:rsidP="00B93FB1">
      <w:pPr>
        <w:pStyle w:val="Question-Testimony"/>
      </w:pPr>
      <w:r w:rsidRPr="00F27E5A">
        <w:t>Q.</w:t>
      </w:r>
      <w:r w:rsidRPr="00F27E5A">
        <w:tab/>
        <w:t>What are the parity ratio results under current rates in this case?</w:t>
      </w:r>
    </w:p>
    <w:p w:rsidR="00B93FB1" w:rsidRPr="00F27E5A" w:rsidRDefault="00B93FB1" w:rsidP="00280AE9">
      <w:pPr>
        <w:pStyle w:val="Answer-Testimony"/>
      </w:pPr>
      <w:r w:rsidRPr="00F27E5A">
        <w:t>A.</w:t>
      </w:r>
      <w:r w:rsidRPr="00F27E5A">
        <w:tab/>
        <w:t>Table 1 below compares parity ratios under current rates between Company and Staff cost of service studies.</w:t>
      </w:r>
      <w:r w:rsidRPr="00F27E5A">
        <w:rPr>
          <w:rStyle w:val="FootnoteReference"/>
        </w:rPr>
        <w:footnoteReference w:id="5"/>
      </w:r>
      <w:r w:rsidRPr="00F27E5A">
        <w:t xml:space="preserve">  The results are based on the respective WCA interstate cost allocation methods each party uses to develop its recommendation for the rate year.</w:t>
      </w:r>
    </w:p>
    <w:tbl>
      <w:tblPr>
        <w:tblpPr w:leftFromText="187" w:rightFromText="187" w:vertAnchor="text" w:horzAnchor="page" w:tblpX="2634" w:tblpY="8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95"/>
        <w:gridCol w:w="1260"/>
        <w:gridCol w:w="1350"/>
      </w:tblGrid>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jc w:val="center"/>
              <w:rPr>
                <w:b/>
              </w:rPr>
            </w:pPr>
            <w:r w:rsidRPr="00F27E5A">
              <w:rPr>
                <w:b/>
              </w:rPr>
              <w:t>Customer Class</w:t>
            </w:r>
          </w:p>
        </w:tc>
        <w:tc>
          <w:tcPr>
            <w:tcW w:w="1260" w:type="dxa"/>
            <w:vAlign w:val="center"/>
          </w:tcPr>
          <w:p w:rsidR="00B93FB1" w:rsidRPr="00F27E5A" w:rsidRDefault="00B93FB1" w:rsidP="00B93FB1">
            <w:pPr>
              <w:pStyle w:val="answer"/>
              <w:keepNext/>
              <w:spacing w:before="60" w:after="60" w:line="240" w:lineRule="auto"/>
              <w:ind w:left="0" w:firstLine="0"/>
              <w:jc w:val="center"/>
              <w:rPr>
                <w:b/>
              </w:rPr>
            </w:pPr>
            <w:r w:rsidRPr="00F27E5A">
              <w:rPr>
                <w:b/>
              </w:rPr>
              <w:t>Company WCA Current</w:t>
            </w:r>
          </w:p>
        </w:tc>
        <w:tc>
          <w:tcPr>
            <w:tcW w:w="1350" w:type="dxa"/>
            <w:vAlign w:val="center"/>
          </w:tcPr>
          <w:p w:rsidR="00B93FB1" w:rsidRPr="00F27E5A" w:rsidRDefault="00B93FB1" w:rsidP="00B93FB1">
            <w:pPr>
              <w:pStyle w:val="answer"/>
              <w:keepNext/>
              <w:spacing w:before="60" w:after="60" w:line="240" w:lineRule="auto"/>
              <w:ind w:left="0" w:firstLine="0"/>
              <w:jc w:val="center"/>
              <w:rPr>
                <w:b/>
              </w:rPr>
            </w:pPr>
            <w:r w:rsidRPr="00F27E5A">
              <w:rPr>
                <w:b/>
              </w:rPr>
              <w:t>Staff WCA Current</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Total System</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1.000</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1.000</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Residential (Schedule 16, 17, and 18)</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0.970</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0.966</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Small General Service (Schedule 24)</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1.094</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1.094</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Large General Service &lt; 1,000 (Schedule 36)</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1.023</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1.023</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Large General Service &gt; 1,000 (Schedule 48T)</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0.980</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0.985</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Dedicated Facilities (Schedule 48T)</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0.927</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0.936</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Agricultural Pumping Service (Schedule 40)</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1.104</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1.111</w:t>
            </w:r>
          </w:p>
        </w:tc>
      </w:tr>
      <w:tr w:rsidR="00F27E5A" w:rsidRPr="00F27E5A" w:rsidTr="00B93FB1">
        <w:trPr>
          <w:cantSplit/>
        </w:trPr>
        <w:tc>
          <w:tcPr>
            <w:tcW w:w="4795" w:type="dxa"/>
            <w:vAlign w:val="center"/>
          </w:tcPr>
          <w:p w:rsidR="00B93FB1" w:rsidRPr="00F27E5A" w:rsidRDefault="00B93FB1" w:rsidP="00B93FB1">
            <w:pPr>
              <w:pStyle w:val="answer"/>
              <w:keepNext/>
              <w:spacing w:before="60" w:after="60" w:line="240" w:lineRule="auto"/>
              <w:ind w:left="0" w:firstLine="0"/>
            </w:pPr>
            <w:r w:rsidRPr="00F27E5A">
              <w:t>Street Lighting (Schedules 15, 51-54, and 57)</w:t>
            </w:r>
          </w:p>
        </w:tc>
        <w:tc>
          <w:tcPr>
            <w:tcW w:w="1260" w:type="dxa"/>
            <w:vAlign w:val="center"/>
          </w:tcPr>
          <w:p w:rsidR="00B93FB1" w:rsidRPr="00F27E5A" w:rsidRDefault="00B93FB1" w:rsidP="00B93FB1">
            <w:pPr>
              <w:pStyle w:val="answer"/>
              <w:keepNext/>
              <w:spacing w:before="60" w:after="60" w:line="240" w:lineRule="auto"/>
              <w:ind w:left="0" w:firstLine="0"/>
              <w:jc w:val="center"/>
            </w:pPr>
            <w:r w:rsidRPr="00F27E5A">
              <w:t>1.172</w:t>
            </w:r>
          </w:p>
        </w:tc>
        <w:tc>
          <w:tcPr>
            <w:tcW w:w="1350" w:type="dxa"/>
            <w:vAlign w:val="center"/>
          </w:tcPr>
          <w:p w:rsidR="00B93FB1" w:rsidRPr="00F27E5A" w:rsidRDefault="00B93FB1" w:rsidP="00B93FB1">
            <w:pPr>
              <w:pStyle w:val="answer"/>
              <w:keepNext/>
              <w:spacing w:before="60" w:after="60" w:line="240" w:lineRule="auto"/>
              <w:ind w:left="0" w:firstLine="0"/>
              <w:jc w:val="center"/>
            </w:pPr>
            <w:r w:rsidRPr="00F27E5A">
              <w:t>1.186</w:t>
            </w:r>
          </w:p>
        </w:tc>
      </w:tr>
    </w:tbl>
    <w:p w:rsidR="00B93FB1" w:rsidRPr="00F27E5A" w:rsidRDefault="00B93FB1" w:rsidP="00B93FB1">
      <w:pPr>
        <w:pStyle w:val="Answer-Testimony"/>
        <w:jc w:val="center"/>
      </w:pPr>
      <w:r w:rsidRPr="00F27E5A">
        <w:t>Table 1:  Summary of Parity Ratios</w:t>
      </w:r>
    </w:p>
    <w:p w:rsidR="00B93FB1" w:rsidRPr="00A56D46" w:rsidRDefault="00B93FB1" w:rsidP="00B93FB1">
      <w:pPr>
        <w:pStyle w:val="Answer-Testimony"/>
        <w:rPr>
          <w:color w:val="FFFFFF" w:themeColor="background1"/>
        </w:rPr>
      </w:pPr>
      <w:r w:rsidRPr="00A56D46">
        <w:rPr>
          <w:color w:val="FFFFFF" w:themeColor="background1"/>
        </w:rPr>
        <w:t>R</w:t>
      </w:r>
    </w:p>
    <w:p w:rsidR="00B93FB1" w:rsidRPr="00A56D46" w:rsidRDefault="00B93FB1" w:rsidP="00B93FB1">
      <w:pPr>
        <w:pStyle w:val="Answer-Testimony"/>
        <w:rPr>
          <w:color w:val="FFFFFF" w:themeColor="background1"/>
        </w:rPr>
      </w:pPr>
      <w:r w:rsidRPr="00A56D46">
        <w:rPr>
          <w:color w:val="FFFFFF" w:themeColor="background1"/>
        </w:rPr>
        <w:t>R</w:t>
      </w:r>
    </w:p>
    <w:p w:rsidR="00B93FB1" w:rsidRPr="00A56D46" w:rsidRDefault="00B93FB1" w:rsidP="00B93FB1">
      <w:pPr>
        <w:pStyle w:val="Answer-Testimony"/>
        <w:rPr>
          <w:color w:val="FFFFFF" w:themeColor="background1"/>
        </w:rPr>
      </w:pPr>
    </w:p>
    <w:p w:rsidR="00B93FB1" w:rsidRPr="00A56D46" w:rsidRDefault="00B93FB1" w:rsidP="00B93FB1">
      <w:pPr>
        <w:pStyle w:val="Answer-Testimony"/>
        <w:rPr>
          <w:color w:val="FFFFFF" w:themeColor="background1"/>
        </w:rPr>
      </w:pPr>
    </w:p>
    <w:p w:rsidR="00B93FB1" w:rsidRPr="00A56D46" w:rsidRDefault="00B93FB1" w:rsidP="00B93FB1">
      <w:pPr>
        <w:pStyle w:val="Answer-Testimony"/>
        <w:rPr>
          <w:color w:val="FFFFFF" w:themeColor="background1"/>
        </w:rPr>
      </w:pPr>
    </w:p>
    <w:p w:rsidR="00B93FB1" w:rsidRPr="00A56D46" w:rsidRDefault="00B93FB1" w:rsidP="00B93FB1">
      <w:pPr>
        <w:pStyle w:val="Answer-Testimony"/>
        <w:rPr>
          <w:color w:val="FFFFFF" w:themeColor="background1"/>
        </w:rPr>
      </w:pPr>
      <w:r w:rsidRPr="00A56D46">
        <w:rPr>
          <w:color w:val="FFFFFF" w:themeColor="background1"/>
        </w:rPr>
        <w:t>R</w:t>
      </w:r>
    </w:p>
    <w:p w:rsidR="00B93FB1" w:rsidRPr="00A56D46" w:rsidRDefault="00B93FB1" w:rsidP="00B93FB1">
      <w:pPr>
        <w:pStyle w:val="Answer-Testimony"/>
        <w:rPr>
          <w:color w:val="FFFFFF" w:themeColor="background1"/>
        </w:rPr>
      </w:pPr>
      <w:r w:rsidRPr="00A56D46">
        <w:rPr>
          <w:color w:val="FFFFFF" w:themeColor="background1"/>
        </w:rPr>
        <w:t>R</w:t>
      </w:r>
    </w:p>
    <w:p w:rsidR="00B93FB1" w:rsidRPr="00F27E5A" w:rsidRDefault="00B93FB1" w:rsidP="00B93FB1">
      <w:pPr>
        <w:pStyle w:val="Answer-Testimony"/>
      </w:pPr>
    </w:p>
    <w:p w:rsidR="00B93FB1" w:rsidRPr="00F27E5A" w:rsidRDefault="00B93FB1" w:rsidP="00B93FB1">
      <w:pPr>
        <w:pStyle w:val="Question-Testimony"/>
        <w:rPr>
          <w:bCs w:val="0"/>
        </w:rPr>
      </w:pPr>
    </w:p>
    <w:p w:rsidR="00B93FB1" w:rsidRPr="00F27E5A" w:rsidRDefault="00B93FB1" w:rsidP="00BD36B5">
      <w:pPr>
        <w:pStyle w:val="Question-Testimony"/>
        <w:keepNext/>
      </w:pPr>
      <w:r w:rsidRPr="00F27E5A">
        <w:lastRenderedPageBreak/>
        <w:t>Q.</w:t>
      </w:r>
      <w:r w:rsidRPr="00F27E5A">
        <w:tab/>
        <w:t>What does this table show?</w:t>
      </w:r>
    </w:p>
    <w:p w:rsidR="00B93FB1" w:rsidRPr="00F27E5A" w:rsidRDefault="00B93FB1" w:rsidP="00B93FB1">
      <w:pPr>
        <w:pStyle w:val="Answer-Testimony"/>
      </w:pPr>
      <w:r w:rsidRPr="00F27E5A">
        <w:t>A.</w:t>
      </w:r>
      <w:r w:rsidRPr="00F27E5A">
        <w:tab/>
        <w:t xml:space="preserve">The table shows that using the Company’s proposed WCA </w:t>
      </w:r>
      <w:r w:rsidR="00A37E2B" w:rsidRPr="00F27E5A">
        <w:t xml:space="preserve">allocations </w:t>
      </w:r>
      <w:r w:rsidRPr="00F27E5A">
        <w:t>slightly shifts cost between differen</w:t>
      </w:r>
      <w:r w:rsidR="003370B0" w:rsidRPr="00F27E5A">
        <w:t>t</w:t>
      </w:r>
      <w:r w:rsidRPr="00F27E5A">
        <w:t xml:space="preserve"> </w:t>
      </w:r>
      <w:r w:rsidR="003370B0" w:rsidRPr="00F27E5A">
        <w:t>s</w:t>
      </w:r>
      <w:r w:rsidRPr="00F27E5A">
        <w:t>chedules within the cost of service study</w:t>
      </w:r>
      <w:r w:rsidR="003370B0" w:rsidRPr="00F27E5A">
        <w:t>, as</w:t>
      </w:r>
      <w:r w:rsidRPr="00F27E5A">
        <w:t xml:space="preserve"> compared to </w:t>
      </w:r>
      <w:r w:rsidR="005F2140" w:rsidRPr="00F27E5A">
        <w:t xml:space="preserve">using </w:t>
      </w:r>
      <w:r w:rsidRPr="00F27E5A">
        <w:t>Staff’s WCA</w:t>
      </w:r>
      <w:r w:rsidR="00A37E2B" w:rsidRPr="00F27E5A">
        <w:t xml:space="preserve"> allocations</w:t>
      </w:r>
      <w:r w:rsidRPr="00F27E5A">
        <w:t>.</w:t>
      </w:r>
    </w:p>
    <w:p w:rsidR="00B93FB1" w:rsidRPr="00F27E5A" w:rsidRDefault="00B93FB1" w:rsidP="00B93FB1">
      <w:pPr>
        <w:pStyle w:val="Question-Testimony"/>
        <w:tabs>
          <w:tab w:val="left" w:pos="1766"/>
        </w:tabs>
        <w:rPr>
          <w:b w:val="0"/>
        </w:rPr>
      </w:pPr>
    </w:p>
    <w:p w:rsidR="00B93FB1" w:rsidRPr="00F27E5A" w:rsidRDefault="00B93FB1" w:rsidP="00B93FB1">
      <w:pPr>
        <w:pStyle w:val="Question-Testimony"/>
      </w:pPr>
      <w:r w:rsidRPr="00F27E5A">
        <w:t>Q.</w:t>
      </w:r>
      <w:r w:rsidRPr="00F27E5A">
        <w:tab/>
        <w:t xml:space="preserve">Does that table provide a fair representation of each customer class contribution to the overall </w:t>
      </w:r>
      <w:r w:rsidR="00476660" w:rsidRPr="00F27E5A">
        <w:t>cost of service</w:t>
      </w:r>
      <w:r w:rsidRPr="00F27E5A">
        <w:t>?</w:t>
      </w:r>
    </w:p>
    <w:p w:rsidR="00B93FB1" w:rsidRPr="00F27E5A" w:rsidRDefault="00B93FB1" w:rsidP="00B93FB1">
      <w:pPr>
        <w:pStyle w:val="Answer-Testimony"/>
      </w:pPr>
      <w:r w:rsidRPr="00F27E5A">
        <w:t>A.</w:t>
      </w:r>
      <w:r w:rsidRPr="00F27E5A">
        <w:tab/>
        <w:t>Yes.  While Staff’s different revenue requirement and a</w:t>
      </w:r>
      <w:r w:rsidR="005F2140" w:rsidRPr="00F27E5A">
        <w:t>llocations</w:t>
      </w:r>
      <w:r w:rsidRPr="00F27E5A">
        <w:t xml:space="preserve"> change the resulting parity ratios somewhat, the relative proportion of each schedule’s contribution to the total remains approximately the same.  However, the Company does not allocate the revenue increase among the schedules per its cost of service study.  Therefore, the inequities between the rate schedules remain.  I address that issue </w:t>
      </w:r>
      <w:r w:rsidR="003370B0" w:rsidRPr="00F27E5A">
        <w:t>in the Revenue Allocation section of my testimony.</w:t>
      </w:r>
    </w:p>
    <w:p w:rsidR="00F22DF1" w:rsidRPr="00F27E5A" w:rsidRDefault="00F22DF1" w:rsidP="00995BE8">
      <w:pPr>
        <w:pStyle w:val="Answer-Testimony"/>
      </w:pPr>
    </w:p>
    <w:p w:rsidR="00F22DF1" w:rsidRPr="00F27E5A" w:rsidRDefault="00F22DF1" w:rsidP="00995BE8">
      <w:pPr>
        <w:pStyle w:val="Question-Testimony"/>
      </w:pPr>
      <w:r w:rsidRPr="00F27E5A">
        <w:t>Q.</w:t>
      </w:r>
      <w:r w:rsidRPr="00F27E5A">
        <w:tab/>
      </w:r>
      <w:r w:rsidR="00B93FB1" w:rsidRPr="00F27E5A">
        <w:t>You stated ea</w:t>
      </w:r>
      <w:r w:rsidR="00763B06" w:rsidRPr="00F27E5A">
        <w:t>r</w:t>
      </w:r>
      <w:r w:rsidR="00B93FB1" w:rsidRPr="00F27E5A">
        <w:t xml:space="preserve">lier that </w:t>
      </w:r>
      <w:r w:rsidR="00BE7FFA" w:rsidRPr="00F27E5A">
        <w:t>the Company’s electric cost of service study presents fairly the costs imposed on the system by each customer class, but there are</w:t>
      </w:r>
      <w:r w:rsidR="00E11927" w:rsidRPr="00F27E5A">
        <w:t xml:space="preserve"> </w:t>
      </w:r>
      <w:r w:rsidR="00763B06" w:rsidRPr="00F27E5A">
        <w:t xml:space="preserve">three </w:t>
      </w:r>
      <w:r w:rsidR="005F2140" w:rsidRPr="00F27E5A">
        <w:t>improvements</w:t>
      </w:r>
      <w:r w:rsidR="00763B06" w:rsidRPr="00F27E5A">
        <w:t xml:space="preserve"> </w:t>
      </w:r>
      <w:r w:rsidR="00BE7FFA" w:rsidRPr="00F27E5A">
        <w:t>that Staff would recommend</w:t>
      </w:r>
      <w:r w:rsidR="00E11927" w:rsidRPr="00F27E5A">
        <w:t>.</w:t>
      </w:r>
      <w:r w:rsidR="00763B06" w:rsidRPr="00F27E5A">
        <w:t xml:space="preserve">  Please explain the first revision.</w:t>
      </w:r>
    </w:p>
    <w:p w:rsidR="00E11927" w:rsidRDefault="00E11927" w:rsidP="00E11927">
      <w:pPr>
        <w:pStyle w:val="Answer-Testimony"/>
      </w:pPr>
      <w:r w:rsidRPr="00F27E5A">
        <w:t>A.</w:t>
      </w:r>
      <w:r w:rsidRPr="00F27E5A">
        <w:tab/>
        <w:t xml:space="preserve">The Company’s current cost of service study revises the </w:t>
      </w:r>
      <w:r w:rsidR="008302B4" w:rsidRPr="00F27E5A">
        <w:t xml:space="preserve">established </w:t>
      </w:r>
      <w:r w:rsidRPr="00F27E5A">
        <w:t xml:space="preserve">peak credit methodology for generation- and transmission-costs.  According to </w:t>
      </w:r>
      <w:r w:rsidR="0064556B">
        <w:t xml:space="preserve">Company witness </w:t>
      </w:r>
      <w:r w:rsidRPr="00F27E5A">
        <w:t xml:space="preserve">Paice, the prior method was “a peak credit method based on capacity cost data from the Firm Capacity Sales Agreement between Bonneville Power Administration (“BPA”) and the Company.”  However, “since the BPA Firm </w:t>
      </w:r>
      <w:r w:rsidRPr="00F27E5A">
        <w:lastRenderedPageBreak/>
        <w:t>Capacity Sales Agreement expired in 2011, the Company proposes a revised peak credit method calculation that uses the West Control Area system diversified load factor (“SDLF”) to determine the portion of generation and transmission costs that are demand-related.”</w:t>
      </w:r>
      <w:r w:rsidRPr="00F27E5A">
        <w:rPr>
          <w:rStyle w:val="FootnoteReference"/>
        </w:rPr>
        <w:footnoteReference w:id="6"/>
      </w:r>
      <w:r w:rsidR="008302B4" w:rsidRPr="00F27E5A">
        <w:t xml:space="preserve">  The change to SDLF very slightly increases </w:t>
      </w:r>
      <w:r w:rsidR="00BE7FFA" w:rsidRPr="00F27E5A">
        <w:t xml:space="preserve">(3 percent) </w:t>
      </w:r>
      <w:r w:rsidR="008302B4" w:rsidRPr="00F27E5A">
        <w:t>the overall generation- and transmission-costs that are classified as demand.</w:t>
      </w:r>
      <w:r w:rsidR="008302B4" w:rsidRPr="00F27E5A">
        <w:rPr>
          <w:rStyle w:val="FootnoteReference"/>
        </w:rPr>
        <w:footnoteReference w:id="7"/>
      </w:r>
    </w:p>
    <w:p w:rsidR="004351FA" w:rsidRPr="00F27E5A" w:rsidRDefault="00E11927" w:rsidP="00E11927">
      <w:pPr>
        <w:pStyle w:val="Answer-Testimony"/>
        <w:ind w:firstLine="720"/>
      </w:pPr>
      <w:r w:rsidRPr="00F27E5A">
        <w:t>The Company’s proposed SDLF method</w:t>
      </w:r>
      <w:r w:rsidR="00532629" w:rsidRPr="00F27E5A">
        <w:t xml:space="preserve">, </w:t>
      </w:r>
      <w:r w:rsidR="00BE7FFA" w:rsidRPr="00F27E5A">
        <w:t xml:space="preserve">also known as </w:t>
      </w:r>
      <w:r w:rsidR="00655EB5">
        <w:t>“Load Factor”</w:t>
      </w:r>
      <w:r w:rsidR="00532629" w:rsidRPr="00F27E5A">
        <w:t>,</w:t>
      </w:r>
      <w:r w:rsidRPr="00F27E5A">
        <w:t xml:space="preserve"> is a less complex way to determine </w:t>
      </w:r>
      <w:r w:rsidR="00B46DE3">
        <w:t xml:space="preserve">the </w:t>
      </w:r>
      <w:r w:rsidRPr="00F27E5A">
        <w:t>allocation of costs.  However, consistent with Staff witness White’s testimony regarding interstate cost allocation, Staff recommends us</w:t>
      </w:r>
      <w:r w:rsidR="003D5779">
        <w:t xml:space="preserve">ing a </w:t>
      </w:r>
      <w:r w:rsidR="002B62DB">
        <w:t xml:space="preserve">demand value derived by averaging </w:t>
      </w:r>
      <w:r w:rsidRPr="00F27E5A">
        <w:t xml:space="preserve">the highest 100 winter </w:t>
      </w:r>
      <w:r w:rsidR="00EF20B8">
        <w:t xml:space="preserve">demand </w:t>
      </w:r>
      <w:r w:rsidRPr="00F27E5A">
        <w:t>hours and highest 100 summer</w:t>
      </w:r>
      <w:r w:rsidR="00EF20B8">
        <w:t xml:space="preserve"> demand</w:t>
      </w:r>
      <w:r w:rsidRPr="00F27E5A">
        <w:t xml:space="preserve"> hours (“200 CP”) for cost of service study purposes.  The 200 CP method </w:t>
      </w:r>
      <w:r w:rsidR="004351FA" w:rsidRPr="00F27E5A">
        <w:t>uses</w:t>
      </w:r>
      <w:r w:rsidRPr="00F27E5A">
        <w:t xml:space="preserve"> a larger data set, consistent with Commission precedent</w:t>
      </w:r>
      <w:r w:rsidR="004351FA" w:rsidRPr="00F27E5A">
        <w:t xml:space="preserve"> that </w:t>
      </w:r>
      <w:r w:rsidRPr="00F27E5A">
        <w:t>it is “preferable to use data from a longer period of time, to remove variations due to unusual weather and to achieve greater stability</w:t>
      </w:r>
      <w:r w:rsidR="004351FA" w:rsidRPr="00F27E5A">
        <w:t>.</w:t>
      </w:r>
      <w:r w:rsidRPr="00F27E5A">
        <w:t>”</w:t>
      </w:r>
      <w:r w:rsidRPr="00F27E5A">
        <w:rPr>
          <w:rStyle w:val="FootnoteReference"/>
        </w:rPr>
        <w:footnoteReference w:id="8"/>
      </w:r>
      <w:r w:rsidR="004351FA" w:rsidRPr="00F27E5A">
        <w:t xml:space="preserve">  The Commission has also stated that the:</w:t>
      </w:r>
    </w:p>
    <w:p w:rsidR="00E11927" w:rsidRPr="00F27E5A" w:rsidRDefault="004351FA" w:rsidP="005D0285">
      <w:pPr>
        <w:pStyle w:val="Answer-Testimony"/>
        <w:spacing w:line="240" w:lineRule="auto"/>
        <w:ind w:left="1440" w:firstLine="0"/>
        <w:rPr>
          <w:rStyle w:val="Strong"/>
        </w:rPr>
      </w:pPr>
      <w:r w:rsidRPr="00F27E5A">
        <w:rPr>
          <w:rStyle w:val="Strong"/>
        </w:rPr>
        <w:t>[P]</w:t>
      </w:r>
      <w:r w:rsidR="00E11927" w:rsidRPr="00F27E5A">
        <w:rPr>
          <w:rStyle w:val="Strong"/>
        </w:rPr>
        <w:t xml:space="preserve">roper period over which to allocate the demand-related costs of peaking resources is the hours when they are expected to be used.  The 200 hour proposal by </w:t>
      </w:r>
      <w:r w:rsidRPr="00F27E5A">
        <w:rPr>
          <w:rStyle w:val="Strong"/>
        </w:rPr>
        <w:t>[PSE]</w:t>
      </w:r>
      <w:r w:rsidR="00E11927" w:rsidRPr="00F27E5A">
        <w:rPr>
          <w:rStyle w:val="Strong"/>
        </w:rPr>
        <w:t xml:space="preserve"> is reasonably representative of the system peak and the actual resources put into place to serve that peak.</w:t>
      </w:r>
      <w:r w:rsidR="00E11927" w:rsidRPr="003B1790">
        <w:rPr>
          <w:rStyle w:val="Strong"/>
          <w:vertAlign w:val="superscript"/>
        </w:rPr>
        <w:footnoteReference w:id="9"/>
      </w:r>
    </w:p>
    <w:p w:rsidR="004351FA" w:rsidRPr="00F27E5A" w:rsidRDefault="004351FA" w:rsidP="00995BE8">
      <w:pPr>
        <w:pStyle w:val="Answer-Testimony"/>
      </w:pPr>
    </w:p>
    <w:p w:rsidR="00980C24" w:rsidRPr="00F27E5A" w:rsidRDefault="004351FA" w:rsidP="00995BE8">
      <w:pPr>
        <w:pStyle w:val="Answer-Testimony"/>
      </w:pPr>
      <w:r w:rsidRPr="00F27E5A">
        <w:tab/>
        <w:t>The 200 CP method Staff recommends is also supported by this precedent.</w:t>
      </w:r>
    </w:p>
    <w:p w:rsidR="00C01B6B" w:rsidRPr="00F27E5A" w:rsidRDefault="00C01B6B" w:rsidP="00980C24">
      <w:pPr>
        <w:pStyle w:val="Answer-Testimony"/>
      </w:pPr>
    </w:p>
    <w:p w:rsidR="00BE7FFA" w:rsidRPr="00F27E5A" w:rsidRDefault="00D909DC" w:rsidP="005D0285">
      <w:pPr>
        <w:pStyle w:val="Question-Testimony"/>
      </w:pPr>
      <w:r w:rsidRPr="00F27E5A">
        <w:lastRenderedPageBreak/>
        <w:t>Q.</w:t>
      </w:r>
      <w:r w:rsidRPr="00F27E5A">
        <w:tab/>
        <w:t xml:space="preserve">What is the second </w:t>
      </w:r>
      <w:r w:rsidR="005F2140" w:rsidRPr="00F27E5A">
        <w:t>improvement</w:t>
      </w:r>
      <w:r w:rsidRPr="00F27E5A">
        <w:t xml:space="preserve"> to the Company’s cost of service study that Staff recommends</w:t>
      </w:r>
      <w:r w:rsidR="00BE7FFA" w:rsidRPr="00F27E5A">
        <w:t>?</w:t>
      </w:r>
    </w:p>
    <w:p w:rsidR="00322BE8" w:rsidRDefault="00D909DC" w:rsidP="00DC34B1">
      <w:pPr>
        <w:pStyle w:val="Answer-Testimony"/>
      </w:pPr>
      <w:r w:rsidRPr="00F27E5A">
        <w:t>A.</w:t>
      </w:r>
      <w:r w:rsidRPr="00F27E5A">
        <w:tab/>
        <w:t xml:space="preserve">Staff </w:t>
      </w:r>
      <w:r w:rsidR="00DB70AF">
        <w:t>believes problems are developing from</w:t>
      </w:r>
      <w:r w:rsidRPr="00F27E5A">
        <w:t xml:space="preserve"> the Company’s allocation of </w:t>
      </w:r>
      <w:r w:rsidR="00FD39A7" w:rsidRPr="00F27E5A">
        <w:t xml:space="preserve">non-dispatchable generation </w:t>
      </w:r>
      <w:r w:rsidRPr="00F27E5A">
        <w:t xml:space="preserve">plants, related expenses, and </w:t>
      </w:r>
      <w:r w:rsidR="00FD39A7" w:rsidRPr="00F27E5A">
        <w:t xml:space="preserve">non-dispatchable generation </w:t>
      </w:r>
      <w:r w:rsidRPr="00F27E5A">
        <w:t xml:space="preserve">power contracts based on a peak-credit factor from the cost of service study. </w:t>
      </w:r>
      <w:r w:rsidR="003370B0" w:rsidRPr="00F27E5A">
        <w:t xml:space="preserve"> </w:t>
      </w:r>
      <w:r w:rsidR="00322BE8">
        <w:t>A</w:t>
      </w:r>
      <w:r w:rsidR="00322BE8" w:rsidRPr="00F27E5A">
        <w:t>llocation factor</w:t>
      </w:r>
      <w:r w:rsidR="00322BE8">
        <w:t>s</w:t>
      </w:r>
      <w:r w:rsidR="00322BE8" w:rsidRPr="00F27E5A">
        <w:t xml:space="preserve"> </w:t>
      </w:r>
      <w:r w:rsidR="00322BE8">
        <w:t>based on</w:t>
      </w:r>
      <w:r w:rsidR="00322BE8" w:rsidRPr="00F27E5A">
        <w:t xml:space="preserve"> a resource’s contribution to peak capacity</w:t>
      </w:r>
      <w:r w:rsidR="00322BE8">
        <w:t xml:space="preserve"> have become problematic</w:t>
      </w:r>
      <w:r w:rsidR="00322BE8" w:rsidRPr="00F27E5A">
        <w:t xml:space="preserve"> due to the Company setting “aside additional balancing reserves every hour to ensure that it has adequate capacity.”</w:t>
      </w:r>
      <w:r w:rsidR="00322BE8" w:rsidRPr="00F27E5A">
        <w:rPr>
          <w:rStyle w:val="FootnoteReference"/>
          <w:bCs/>
        </w:rPr>
        <w:footnoteReference w:id="10"/>
      </w:r>
      <w:r w:rsidR="00322BE8">
        <w:t xml:space="preserve"> </w:t>
      </w:r>
    </w:p>
    <w:p w:rsidR="005D352C" w:rsidRPr="00F27E5A" w:rsidRDefault="005D352C" w:rsidP="00DC34B1">
      <w:pPr>
        <w:pStyle w:val="Answer-Testimony"/>
      </w:pPr>
      <w:r w:rsidRPr="00F27E5A">
        <w:tab/>
      </w:r>
      <w:r w:rsidRPr="00F27E5A">
        <w:tab/>
        <w:t xml:space="preserve">In addition, </w:t>
      </w:r>
      <w:r w:rsidR="001C465C" w:rsidRPr="00F27E5A">
        <w:t xml:space="preserve">problems involving the </w:t>
      </w:r>
      <w:r w:rsidR="007063A9">
        <w:t>alignment of cost</w:t>
      </w:r>
      <w:r w:rsidR="00DB70AF">
        <w:t>s</w:t>
      </w:r>
      <w:r w:rsidR="007063A9">
        <w:t xml:space="preserve"> and benefits </w:t>
      </w:r>
      <w:r w:rsidR="001C465C" w:rsidRPr="00F27E5A">
        <w:t>arise</w:t>
      </w:r>
      <w:r w:rsidR="008B52B2" w:rsidRPr="00F27E5A">
        <w:t xml:space="preserve"> if</w:t>
      </w:r>
      <w:r w:rsidR="00D36CC6" w:rsidRPr="00F27E5A">
        <w:t>,</w:t>
      </w:r>
      <w:r w:rsidR="008B52B2" w:rsidRPr="00F27E5A">
        <w:t xml:space="preserve"> </w:t>
      </w:r>
      <w:r w:rsidR="00C94EF1" w:rsidRPr="00F27E5A">
        <w:t>at a later date</w:t>
      </w:r>
      <w:r w:rsidR="00D36CC6" w:rsidRPr="00F27E5A">
        <w:t>,</w:t>
      </w:r>
      <w:r w:rsidR="00C94EF1" w:rsidRPr="00F27E5A">
        <w:t xml:space="preserve"> </w:t>
      </w:r>
      <w:r w:rsidR="008B52B2" w:rsidRPr="00F27E5A">
        <w:t xml:space="preserve">the Company receives </w:t>
      </w:r>
      <w:r w:rsidRPr="00F27E5A">
        <w:t>grants from the U.S. Department of Treasury</w:t>
      </w:r>
      <w:r w:rsidR="00C94EF1" w:rsidRPr="00F27E5A">
        <w:t xml:space="preserve"> and </w:t>
      </w:r>
      <w:r w:rsidR="008B52B2" w:rsidRPr="00F27E5A">
        <w:t xml:space="preserve">the </w:t>
      </w:r>
      <w:r w:rsidRPr="00F27E5A">
        <w:t xml:space="preserve">Commission </w:t>
      </w:r>
      <w:r w:rsidR="008B52B2" w:rsidRPr="00F27E5A">
        <w:t>cho</w:t>
      </w:r>
      <w:r w:rsidR="00C94EF1" w:rsidRPr="00F27E5A">
        <w:t>os</w:t>
      </w:r>
      <w:r w:rsidR="008B52B2" w:rsidRPr="00F27E5A">
        <w:t>e</w:t>
      </w:r>
      <w:r w:rsidR="00C94EF1" w:rsidRPr="00F27E5A">
        <w:t>s</w:t>
      </w:r>
      <w:r w:rsidR="008B52B2" w:rsidRPr="00F27E5A">
        <w:t xml:space="preserve"> to </w:t>
      </w:r>
      <w:r w:rsidRPr="00F27E5A">
        <w:t>p</w:t>
      </w:r>
      <w:r w:rsidR="00417B80" w:rsidRPr="00F27E5A">
        <w:t xml:space="preserve">ass back </w:t>
      </w:r>
      <w:r w:rsidR="00B76FD2" w:rsidRPr="00F27E5A">
        <w:t>a</w:t>
      </w:r>
      <w:r w:rsidR="00417B80" w:rsidRPr="00F27E5A">
        <w:t xml:space="preserve"> </w:t>
      </w:r>
      <w:r w:rsidR="008B52B2" w:rsidRPr="00F27E5A">
        <w:t>grant through a s</w:t>
      </w:r>
      <w:r w:rsidRPr="00F27E5A">
        <w:t>eparate</w:t>
      </w:r>
      <w:r w:rsidR="008B52B2" w:rsidRPr="00F27E5A">
        <w:t xml:space="preserve"> tracker</w:t>
      </w:r>
      <w:r w:rsidR="00C94EF1" w:rsidRPr="00F27E5A">
        <w:t xml:space="preserve">.  </w:t>
      </w:r>
      <w:r w:rsidR="001C465C" w:rsidRPr="00F27E5A">
        <w:t xml:space="preserve">This is </w:t>
      </w:r>
      <w:r w:rsidR="00650516" w:rsidRPr="00F27E5A">
        <w:t>due to the way costs are collect</w:t>
      </w:r>
      <w:r w:rsidR="001C465C" w:rsidRPr="00F27E5A">
        <w:t>ed</w:t>
      </w:r>
      <w:r w:rsidR="00BE7FFA" w:rsidRPr="00F27E5A">
        <w:t xml:space="preserve">: </w:t>
      </w:r>
      <w:r w:rsidR="00650516" w:rsidRPr="00F27E5A">
        <w:t xml:space="preserve"> </w:t>
      </w:r>
      <w:r w:rsidR="00BD6B2A" w:rsidRPr="00F27E5A">
        <w:t xml:space="preserve">in </w:t>
      </w:r>
      <w:r w:rsidR="00650516" w:rsidRPr="00F27E5A">
        <w:t xml:space="preserve">part from demand </w:t>
      </w:r>
      <w:r w:rsidR="001C465C" w:rsidRPr="00F27E5A">
        <w:t xml:space="preserve">charges </w:t>
      </w:r>
      <w:r w:rsidR="00650516" w:rsidRPr="00F27E5A">
        <w:t xml:space="preserve">and </w:t>
      </w:r>
      <w:r w:rsidR="00BD6B2A" w:rsidRPr="00F27E5A">
        <w:t xml:space="preserve">in </w:t>
      </w:r>
      <w:r w:rsidR="00650516" w:rsidRPr="00F27E5A">
        <w:t>part from energy</w:t>
      </w:r>
      <w:r w:rsidR="001C465C" w:rsidRPr="00F27E5A">
        <w:t xml:space="preserve"> charges</w:t>
      </w:r>
      <w:r w:rsidR="00650516" w:rsidRPr="00F27E5A">
        <w:t xml:space="preserve">, while the benefits </w:t>
      </w:r>
      <w:r w:rsidR="001C465C" w:rsidRPr="00F27E5A">
        <w:t xml:space="preserve">in a tracker </w:t>
      </w:r>
      <w:r w:rsidR="00650516" w:rsidRPr="00F27E5A">
        <w:t xml:space="preserve">are given back strictly through energy </w:t>
      </w:r>
      <w:r w:rsidR="001C465C" w:rsidRPr="00F27E5A">
        <w:t>charges.</w:t>
      </w:r>
      <w:r w:rsidR="00650516" w:rsidRPr="00F27E5A">
        <w:t xml:space="preserve">  </w:t>
      </w:r>
      <w:r w:rsidR="001C465C" w:rsidRPr="00F27E5A">
        <w:t>Thus</w:t>
      </w:r>
      <w:r w:rsidR="00FD163C" w:rsidRPr="00F27E5A">
        <w:t>, larger</w:t>
      </w:r>
      <w:r w:rsidR="00650516" w:rsidRPr="00F27E5A">
        <w:t xml:space="preserve"> energy users receive a larger portion of </w:t>
      </w:r>
      <w:r w:rsidR="001C465C" w:rsidRPr="00F27E5A">
        <w:t xml:space="preserve">tracker </w:t>
      </w:r>
      <w:r w:rsidR="00650516" w:rsidRPr="00F27E5A">
        <w:t>benefits compared to the actual costs they pay.</w:t>
      </w:r>
      <w:r w:rsidR="001C465C" w:rsidRPr="00F27E5A">
        <w:t xml:space="preserve">  </w:t>
      </w:r>
      <w:r w:rsidR="00DB70AF">
        <w:t>Allocating</w:t>
      </w:r>
      <w:r w:rsidR="001C465C" w:rsidRPr="00F27E5A">
        <w:t xml:space="preserve"> </w:t>
      </w:r>
      <w:r w:rsidR="001E4FB8" w:rsidRPr="00F27E5A">
        <w:t xml:space="preserve">solar and </w:t>
      </w:r>
      <w:r w:rsidR="001C465C" w:rsidRPr="00F27E5A">
        <w:t>wind resources and related expenses</w:t>
      </w:r>
      <w:r w:rsidR="00DB70AF">
        <w:t xml:space="preserve"> on an energy-only basis</w:t>
      </w:r>
      <w:r w:rsidR="001C465C" w:rsidRPr="00F27E5A">
        <w:t xml:space="preserve"> cures this problem by</w:t>
      </w:r>
      <w:r w:rsidR="001E4FB8" w:rsidRPr="00F27E5A">
        <w:t xml:space="preserve"> </w:t>
      </w:r>
      <w:r w:rsidR="00DB70AF">
        <w:t>removing</w:t>
      </w:r>
      <w:r w:rsidR="00DB70AF" w:rsidRPr="00F27E5A">
        <w:t xml:space="preserve"> </w:t>
      </w:r>
      <w:r w:rsidR="001E4FB8" w:rsidRPr="00F27E5A">
        <w:t>the costs being collected through a demand allocation; thus</w:t>
      </w:r>
      <w:r w:rsidR="00571F92" w:rsidRPr="00F27E5A">
        <w:t>,</w:t>
      </w:r>
      <w:r w:rsidR="001E4FB8" w:rsidRPr="00F27E5A">
        <w:t xml:space="preserve"> </w:t>
      </w:r>
      <w:r w:rsidR="00DB70AF">
        <w:t>ensur</w:t>
      </w:r>
      <w:r w:rsidR="001E4FB8" w:rsidRPr="00F27E5A">
        <w:t xml:space="preserve">ing </w:t>
      </w:r>
      <w:r w:rsidR="00571F92" w:rsidRPr="00F27E5A">
        <w:t>that</w:t>
      </w:r>
      <w:r w:rsidR="001E4FB8" w:rsidRPr="00F27E5A">
        <w:t xml:space="preserve"> cost</w:t>
      </w:r>
      <w:r w:rsidR="00571F92" w:rsidRPr="00F27E5A">
        <w:t>s are</w:t>
      </w:r>
      <w:r w:rsidR="001E4FB8" w:rsidRPr="00F27E5A">
        <w:t xml:space="preserve"> collected and benefits </w:t>
      </w:r>
      <w:r w:rsidR="00571F92" w:rsidRPr="00F27E5A">
        <w:t xml:space="preserve">are </w:t>
      </w:r>
      <w:r w:rsidR="001E4FB8" w:rsidRPr="00F27E5A">
        <w:t xml:space="preserve">received </w:t>
      </w:r>
      <w:r w:rsidR="00E01DA2">
        <w:t xml:space="preserve">in the same manner, </w:t>
      </w:r>
      <w:r w:rsidR="001E4FB8" w:rsidRPr="00F27E5A">
        <w:t>through energy charges.</w:t>
      </w:r>
      <w:r w:rsidR="00417B80" w:rsidRPr="00F27E5A">
        <w:rPr>
          <w:rStyle w:val="FootnoteReference"/>
        </w:rPr>
        <w:footnoteReference w:id="11"/>
      </w:r>
    </w:p>
    <w:p w:rsidR="008470B2" w:rsidRPr="00524F9B" w:rsidRDefault="008470B2" w:rsidP="008470B2">
      <w:pPr>
        <w:pStyle w:val="Question-Testimony"/>
      </w:pPr>
    </w:p>
    <w:p w:rsidR="008470B2" w:rsidRPr="007E50F7" w:rsidRDefault="008470B2" w:rsidP="00BD36B5">
      <w:pPr>
        <w:pStyle w:val="Question-Testimony"/>
        <w:keepNext/>
      </w:pPr>
      <w:r w:rsidRPr="007E50F7">
        <w:lastRenderedPageBreak/>
        <w:t>Q.</w:t>
      </w:r>
      <w:r w:rsidRPr="007E50F7">
        <w:tab/>
      </w:r>
      <w:r>
        <w:t xml:space="preserve">How are non-dispatchable generation resources currently being allocated? </w:t>
      </w:r>
    </w:p>
    <w:p w:rsidR="008470B2" w:rsidRDefault="008470B2" w:rsidP="008470B2">
      <w:pPr>
        <w:pStyle w:val="Answer-Testimony"/>
      </w:pPr>
      <w:r w:rsidRPr="007E50F7">
        <w:t>A.</w:t>
      </w:r>
      <w:r>
        <w:t xml:space="preserve"> </w:t>
      </w:r>
      <w:r>
        <w:tab/>
        <w:t>Non-dispatchable generation (“NDG”) resources are currently being allocated to Washington using the allocation factors Situs (“S”), System Generation (“SG”), and Control Area Generation West (“CAGW”).</w:t>
      </w:r>
      <w:r>
        <w:rPr>
          <w:rStyle w:val="FootnoteReference"/>
        </w:rPr>
        <w:footnoteReference w:id="12"/>
      </w:r>
    </w:p>
    <w:p w:rsidR="008470B2" w:rsidRDefault="008470B2" w:rsidP="008470B2">
      <w:pPr>
        <w:pStyle w:val="Question-Testimony"/>
      </w:pPr>
    </w:p>
    <w:p w:rsidR="008470B2" w:rsidRPr="0012306B" w:rsidRDefault="008470B2" w:rsidP="0012306B">
      <w:pPr>
        <w:pStyle w:val="Question-Testimony"/>
      </w:pPr>
      <w:r w:rsidRPr="0012306B">
        <w:t>Q.</w:t>
      </w:r>
      <w:r w:rsidRPr="0012306B">
        <w:tab/>
        <w:t>Why is it appropriate to consider an alternative allocation factor for the apportionment of non-dispatchable generation resources?</w:t>
      </w:r>
    </w:p>
    <w:p w:rsidR="008470B2" w:rsidRDefault="008470B2" w:rsidP="008470B2">
      <w:pPr>
        <w:pStyle w:val="Answer-Testimony"/>
      </w:pPr>
      <w:r w:rsidRPr="007E50F7">
        <w:t>A.</w:t>
      </w:r>
      <w:r>
        <w:t xml:space="preserve"> </w:t>
      </w:r>
      <w:r>
        <w:tab/>
        <w:t xml:space="preserve">Staff believes the changing energy </w:t>
      </w:r>
      <w:r w:rsidR="004F35E2">
        <w:t xml:space="preserve">industry </w:t>
      </w:r>
      <w:r>
        <w:t xml:space="preserve">landscape requires a reexamination of the apportionment of </w:t>
      </w:r>
      <w:r w:rsidR="004F35E2">
        <w:t xml:space="preserve">the four </w:t>
      </w:r>
      <w:r>
        <w:t xml:space="preserve">subaccounts related to generation: Steam, Nuclear, Hydraulic, and Other.  The Company’s system now includes enough renewable generation to consider a separate and more specific allocation factor for the apportionment of </w:t>
      </w:r>
      <w:r w:rsidR="00DB70AF">
        <w:t>the</w:t>
      </w:r>
      <w:r>
        <w:t xml:space="preserve"> non-dispatchable generation resources</w:t>
      </w:r>
      <w:r w:rsidR="00DB70AF">
        <w:t xml:space="preserve"> found in the </w:t>
      </w:r>
      <w:r w:rsidR="003D5779">
        <w:t>“</w:t>
      </w:r>
      <w:r w:rsidR="00DB70AF">
        <w:t>Other</w:t>
      </w:r>
      <w:r w:rsidR="003D5779">
        <w:t>”</w:t>
      </w:r>
      <w:r w:rsidR="00DB70AF">
        <w:t xml:space="preserve"> subaccount</w:t>
      </w:r>
      <w:r>
        <w:t>.</w:t>
      </w:r>
    </w:p>
    <w:p w:rsidR="008470B2" w:rsidRDefault="008470B2" w:rsidP="008470B2">
      <w:pPr>
        <w:pStyle w:val="Answer-Testimony"/>
      </w:pPr>
    </w:p>
    <w:p w:rsidR="008470B2" w:rsidRPr="007E50F7" w:rsidRDefault="008470B2" w:rsidP="008470B2">
      <w:pPr>
        <w:pStyle w:val="Question-Testimony"/>
      </w:pPr>
      <w:r>
        <w:t>Q.</w:t>
      </w:r>
      <w:r>
        <w:tab/>
        <w:t xml:space="preserve">What is your proposal for addressing the allocation of NDG resources? </w:t>
      </w:r>
    </w:p>
    <w:p w:rsidR="008470B2" w:rsidRDefault="008470B2" w:rsidP="008470B2">
      <w:pPr>
        <w:pStyle w:val="Answer-Testimony"/>
      </w:pPr>
      <w:r w:rsidRPr="007E50F7">
        <w:t>A.</w:t>
      </w:r>
      <w:r>
        <w:tab/>
        <w:t xml:space="preserve">Staff recommends the Commission require the Company to provide the information necessary for Staff to </w:t>
      </w:r>
      <w:r w:rsidR="00322BE8">
        <w:t>review</w:t>
      </w:r>
      <w:r>
        <w:t xml:space="preserve"> a new NDG allocation factor for the apportionment of non-dispatchable generation resources</w:t>
      </w:r>
      <w:r w:rsidR="004B7F88">
        <w:t xml:space="preserve">, </w:t>
      </w:r>
      <w:r w:rsidR="004B7F88" w:rsidRPr="00F27E5A">
        <w:t>related expenses, and non-dispatchable generation power contracts</w:t>
      </w:r>
      <w:r>
        <w:t>.</w:t>
      </w:r>
      <w:r w:rsidR="003D5779">
        <w:t xml:space="preserve">  This information would be included by the Company in its next full </w:t>
      </w:r>
      <w:r w:rsidR="004A3216">
        <w:t>GRC</w:t>
      </w:r>
      <w:r w:rsidR="003D5779">
        <w:t xml:space="preserve"> filing</w:t>
      </w:r>
      <w:r w:rsidR="004A3216">
        <w:t xml:space="preserve">.  </w:t>
      </w:r>
    </w:p>
    <w:p w:rsidR="008470B2" w:rsidRPr="00AE674F" w:rsidRDefault="008470B2" w:rsidP="008470B2">
      <w:pPr>
        <w:pStyle w:val="Answer-Testimony"/>
      </w:pPr>
    </w:p>
    <w:p w:rsidR="008470B2" w:rsidRDefault="008470B2" w:rsidP="00BD36B5">
      <w:pPr>
        <w:pStyle w:val="Question-Testimony"/>
        <w:keepNext/>
      </w:pPr>
      <w:r>
        <w:lastRenderedPageBreak/>
        <w:t>Q.</w:t>
      </w:r>
      <w:r>
        <w:tab/>
        <w:t>Where w</w:t>
      </w:r>
      <w:r w:rsidR="00322BE8">
        <w:t xml:space="preserve">ould a </w:t>
      </w:r>
      <w:r>
        <w:t>new NGD allocation factor be applied?</w:t>
      </w:r>
    </w:p>
    <w:p w:rsidR="008470B2" w:rsidRDefault="008470B2" w:rsidP="008470B2">
      <w:pPr>
        <w:pStyle w:val="Answer-Testimony"/>
      </w:pPr>
      <w:r>
        <w:t>A.</w:t>
      </w:r>
      <w:r>
        <w:tab/>
        <w:t xml:space="preserve">Staff recommends the continued use of the current allocation factors for the S and SG accounts.  However, the NDG allocation factor would be substituted anywhere CAGW is being applied to non-dispatchable generation resources.  The NDG allocation factor will apportion subaccounts for plant, expenses, and contracts related to non-dispatchable generation, such as wind, solar, etc.  </w:t>
      </w:r>
      <w:r w:rsidR="0064556B">
        <w:t>T</w:t>
      </w:r>
      <w:r>
        <w:t>he Company will identify subaccounts related to non-dispatchable generation</w:t>
      </w:r>
      <w:r w:rsidRPr="00AF7B1E">
        <w:t xml:space="preserve"> </w:t>
      </w:r>
      <w:r>
        <w:t>in the next GRC.  The subaccounts will be determined from Federal Energy Regulatory Commission (“FERC”)</w:t>
      </w:r>
      <w:r w:rsidR="00402354">
        <w:t xml:space="preserve">: Other Production Plant </w:t>
      </w:r>
      <w:r>
        <w:t>Accounts 340-346</w:t>
      </w:r>
      <w:r w:rsidR="00402354">
        <w:t>; and Other Power Generation Accounts 550-554</w:t>
      </w:r>
      <w:r>
        <w:t>.</w:t>
      </w:r>
    </w:p>
    <w:p w:rsidR="008470B2" w:rsidRDefault="008470B2" w:rsidP="008470B2">
      <w:pPr>
        <w:pStyle w:val="Answer-Testimony"/>
      </w:pPr>
    </w:p>
    <w:p w:rsidR="008470B2" w:rsidRPr="007E50F7" w:rsidRDefault="008470B2" w:rsidP="008470B2">
      <w:pPr>
        <w:pStyle w:val="Question-Testimony"/>
      </w:pPr>
      <w:r w:rsidRPr="007E50F7">
        <w:t>Q.</w:t>
      </w:r>
      <w:r w:rsidRPr="007E50F7">
        <w:tab/>
      </w:r>
      <w:r>
        <w:t>Please describe Staff’s recommendation regarding the NGD allocation factor itself.</w:t>
      </w:r>
    </w:p>
    <w:p w:rsidR="008470B2" w:rsidRDefault="008470B2" w:rsidP="0012306B">
      <w:pPr>
        <w:pStyle w:val="Answer-Testimony"/>
      </w:pPr>
      <w:r w:rsidRPr="007E50F7">
        <w:t>A.</w:t>
      </w:r>
      <w:r>
        <w:tab/>
        <w:t xml:space="preserve">Staff reserves our final recommendation regarding the exact NGD allocation factor until we have reviewed the </w:t>
      </w:r>
      <w:r w:rsidR="00771D39">
        <w:t>information we ask the Commission to order the Company to file in its next general rate case</w:t>
      </w:r>
      <w:r>
        <w:t xml:space="preserve">.  Staff </w:t>
      </w:r>
      <w:r w:rsidR="00771D39">
        <w:t xml:space="preserve">also </w:t>
      </w:r>
      <w:r>
        <w:t>encourages the Company to consider other alternative allocation factors consistent with the engineering realities of non-dispatchable generation or provide an argument for why the continued use</w:t>
      </w:r>
      <w:r w:rsidR="00402354">
        <w:t xml:space="preserve"> of CAGW results in fair, just, </w:t>
      </w:r>
      <w:r>
        <w:t>and reasonable rates for Washington ratepayers.</w:t>
      </w:r>
    </w:p>
    <w:p w:rsidR="0064556B" w:rsidRDefault="008470B2" w:rsidP="00771D39">
      <w:pPr>
        <w:pStyle w:val="Answer-Testimony"/>
      </w:pPr>
      <w:r>
        <w:tab/>
      </w:r>
      <w:r>
        <w:tab/>
      </w:r>
      <w:r w:rsidR="00771D39">
        <w:t>Nevertheless, t</w:t>
      </w:r>
      <w:r w:rsidRPr="004E453E">
        <w:t xml:space="preserve">he NDG allocation factor </w:t>
      </w:r>
      <w:r>
        <w:t>that Staff</w:t>
      </w:r>
      <w:r w:rsidR="00771D39">
        <w:t>’s</w:t>
      </w:r>
      <w:r>
        <w:t xml:space="preserve"> </w:t>
      </w:r>
      <w:r w:rsidR="00771D39">
        <w:t xml:space="preserve">initially </w:t>
      </w:r>
      <w:r>
        <w:t xml:space="preserve">considers reasonable </w:t>
      </w:r>
      <w:r w:rsidRPr="004E453E">
        <w:t xml:space="preserve">is similar to the CAGW allocation factor it </w:t>
      </w:r>
      <w:r>
        <w:t>would</w:t>
      </w:r>
      <w:r w:rsidRPr="00A9110F">
        <w:t xml:space="preserve"> replac</w:t>
      </w:r>
      <w:r>
        <w:t>e</w:t>
      </w:r>
      <w:r w:rsidRPr="00A9110F">
        <w:t xml:space="preserve"> in that the base percentages for NDG will be </w:t>
      </w:r>
      <w:r w:rsidRPr="00DD3751">
        <w:t xml:space="preserve">a demand component based on 200 CP </w:t>
      </w:r>
      <w:r w:rsidRPr="00350F38">
        <w:t xml:space="preserve">and </w:t>
      </w:r>
      <w:r w:rsidR="00771D39">
        <w:t>an</w:t>
      </w:r>
      <w:r w:rsidRPr="00350F38">
        <w:t xml:space="preserve"> energy </w:t>
      </w:r>
      <w:r w:rsidRPr="00350F38">
        <w:lastRenderedPageBreak/>
        <w:t>component determined by C</w:t>
      </w:r>
      <w:r w:rsidR="00402354">
        <w:t xml:space="preserve">ontrol </w:t>
      </w:r>
      <w:r w:rsidRPr="00350F38">
        <w:t>A</w:t>
      </w:r>
      <w:r w:rsidR="00402354">
        <w:t xml:space="preserve">rea </w:t>
      </w:r>
      <w:r w:rsidRPr="00350F38">
        <w:t>E</w:t>
      </w:r>
      <w:r w:rsidR="00402354">
        <w:t xml:space="preserve">nergy </w:t>
      </w:r>
      <w:r w:rsidRPr="00350F38">
        <w:t>W</w:t>
      </w:r>
      <w:r w:rsidR="00402354">
        <w:t>est (“CAEW”)</w:t>
      </w:r>
      <w:r w:rsidRPr="00350F38">
        <w:t>.</w:t>
      </w:r>
      <w:r w:rsidRPr="00350F38">
        <w:rPr>
          <w:rStyle w:val="FootnoteReference"/>
        </w:rPr>
        <w:footnoteReference w:id="13"/>
      </w:r>
      <w:r w:rsidRPr="00350F38">
        <w:t xml:space="preserve">  </w:t>
      </w:r>
      <w:r w:rsidRPr="0012306B">
        <w:t>The difference between NDG and CAGW would be in the weighting of the base percentages.  Instead of the</w:t>
      </w:r>
      <w:r w:rsidR="00402354">
        <w:t xml:space="preserve"> Company’s</w:t>
      </w:r>
      <w:r w:rsidRPr="0012306B">
        <w:t xml:space="preserve"> </w:t>
      </w:r>
      <w:r w:rsidR="004A3216">
        <w:t>load factor</w:t>
      </w:r>
      <w:r w:rsidR="00402354">
        <w:t xml:space="preserve"> </w:t>
      </w:r>
      <w:r w:rsidRPr="0012306B">
        <w:t xml:space="preserve">weighting, the weighting would be based on the ability of non-dispatchable generation to contribute </w:t>
      </w:r>
      <w:r w:rsidRPr="000D5C7D">
        <w:t xml:space="preserve">to peak demand.   This ability is termed the “capacity credit” within PacifiCorp’s 2013 </w:t>
      </w:r>
      <w:r w:rsidRPr="00350F38">
        <w:t>Integrated Resource Plan (“IRP”).</w:t>
      </w:r>
      <w:r w:rsidRPr="00350F38">
        <w:rPr>
          <w:rStyle w:val="FootnoteReference"/>
        </w:rPr>
        <w:footnoteReference w:id="14"/>
      </w:r>
      <w:r w:rsidRPr="00350F38">
        <w:t xml:space="preserve">  </w:t>
      </w:r>
    </w:p>
    <w:p w:rsidR="0064556B" w:rsidRPr="00454FDA" w:rsidRDefault="0064556B" w:rsidP="00771D39">
      <w:pPr>
        <w:pStyle w:val="Answer-Testimony"/>
        <w:rPr>
          <w:b/>
        </w:rPr>
      </w:pPr>
    </w:p>
    <w:p w:rsidR="0064556B" w:rsidRPr="00454FDA" w:rsidRDefault="0064556B" w:rsidP="00771D39">
      <w:pPr>
        <w:pStyle w:val="Answer-Testimony"/>
        <w:rPr>
          <w:b/>
        </w:rPr>
      </w:pPr>
      <w:r w:rsidRPr="00454FDA">
        <w:rPr>
          <w:b/>
        </w:rPr>
        <w:t>Q.</w:t>
      </w:r>
      <w:r w:rsidRPr="00454FDA">
        <w:rPr>
          <w:b/>
        </w:rPr>
        <w:tab/>
        <w:t>Please explain the capacity credit in more detail.</w:t>
      </w:r>
    </w:p>
    <w:p w:rsidR="008470B2" w:rsidRPr="004E071F" w:rsidRDefault="0064556B" w:rsidP="00771D39">
      <w:pPr>
        <w:pStyle w:val="Answer-Testimony"/>
      </w:pPr>
      <w:r>
        <w:t>A.</w:t>
      </w:r>
      <w:r>
        <w:tab/>
      </w:r>
      <w:r w:rsidR="008470B2" w:rsidRPr="00350F38">
        <w:t>The capacity credit percentage will equal the demand component, where one minus the capacity credit will equal the energy component.</w:t>
      </w:r>
    </w:p>
    <w:p w:rsidR="008470B2" w:rsidRDefault="008470B2" w:rsidP="008470B2">
      <w:pPr>
        <w:pStyle w:val="Answer-Testimony"/>
        <w:ind w:firstLine="720"/>
      </w:pPr>
      <w:r>
        <w:t xml:space="preserve">Staff recommends using a capacity credit that is largely consistent with the methodology described in the 2013 IRP.  The following excerpt from the IRP explains the calculation of the capacity credit: </w:t>
      </w:r>
    </w:p>
    <w:p w:rsidR="008470B2" w:rsidRDefault="008470B2" w:rsidP="008470B2">
      <w:pPr>
        <w:pStyle w:val="Answer-Testimony"/>
        <w:spacing w:line="240" w:lineRule="auto"/>
        <w:ind w:left="1080" w:firstLine="0"/>
      </w:pPr>
      <w:r>
        <w:t xml:space="preserve">Rather than using a statistical approach to derive peak load carrying capabilities for each resource, the Company now determines aggregate peak capacity credits for each resource type by analyzing historical generation data for the period 2007 through 2010.  For wind resources, PacifiCorp calculated the capacity credit for each year by first summing the hourly generation for all the wind resources for each hour of the year and dividing the hourly generation by the aggregate nameplate capacity to get hourly capacity factors.  The average capacity factor for the 100 highest summer peak hours in the year is then calculated.  Finally the wind credit is multiplied to 0.90, or 90 percent, to reflect the Company’s assumption that there is a 90 percent probability that the wind resources will generate at the annual historical level in future years.  The resulting annual capacity credit, averaged for the four years of historical data, is 4.2 percent.  Since the Company has no historical data for solar resources, a similar set of calculation was performed based on simulated hourly solar profiles that use historic meteorological solar radiation data for five locations across the Company’s service territory.  The capacity credit for solar resources is 13.6 </w:t>
      </w:r>
      <w:r>
        <w:lastRenderedPageBreak/>
        <w:t>percent assuming that most installations are optimized for energy output rather than peak capacity.</w:t>
      </w:r>
      <w:r>
        <w:rPr>
          <w:rStyle w:val="FootnoteReference"/>
        </w:rPr>
        <w:footnoteReference w:id="15"/>
      </w:r>
      <w:r>
        <w:t xml:space="preserve"> </w:t>
      </w:r>
    </w:p>
    <w:p w:rsidR="008470B2" w:rsidRPr="0012306B" w:rsidRDefault="008470B2" w:rsidP="00771D39">
      <w:pPr>
        <w:pStyle w:val="Answer-Testimony"/>
      </w:pPr>
    </w:p>
    <w:p w:rsidR="008470B2" w:rsidRDefault="008470B2" w:rsidP="00771D39">
      <w:pPr>
        <w:pStyle w:val="Answer-Testimony"/>
        <w:ind w:firstLine="720"/>
      </w:pPr>
      <w:r w:rsidRPr="0012306B">
        <w:t>Staff’s proposal for the calculation of the capacity credit differs slightly from the calculation</w:t>
      </w:r>
      <w:r>
        <w:t xml:space="preserve"> provided in the 2013 IRP.  Staff recommends using 200 CP instead of the 100 summer hours used in the IRP.</w:t>
      </w:r>
      <w:r>
        <w:rPr>
          <w:rStyle w:val="FootnoteReference"/>
        </w:rPr>
        <w:footnoteReference w:id="16"/>
      </w:r>
      <w:r>
        <w:t xml:space="preserve">  If </w:t>
      </w:r>
      <w:r w:rsidR="00402354">
        <w:t>the Company</w:t>
      </w:r>
      <w:r>
        <w:t xml:space="preserve"> changes its methodology for calculating the capacity credit in future years, Staff recommends reviewing the NDG allocation factor at that time.</w:t>
      </w:r>
    </w:p>
    <w:p w:rsidR="008470B2" w:rsidRDefault="008470B2" w:rsidP="008470B2">
      <w:pPr>
        <w:pStyle w:val="Answer-Testimony"/>
        <w:ind w:firstLine="720"/>
      </w:pPr>
      <w:r>
        <w:t>For other non-dispatchable resources, Staff similarly recommends the use of a capacity credit consistent with the methodology outlined in the IRP,</w:t>
      </w:r>
      <w:r>
        <w:rPr>
          <w:rStyle w:val="FootnoteReference"/>
        </w:rPr>
        <w:footnoteReference w:id="17"/>
      </w:r>
      <w:r>
        <w:t xml:space="preserve"> though again using 200 CP based on WCA hours.</w:t>
      </w:r>
    </w:p>
    <w:p w:rsidR="008470B2" w:rsidRDefault="008470B2" w:rsidP="003B1790">
      <w:pPr>
        <w:pStyle w:val="Answer-Testimony"/>
      </w:pPr>
    </w:p>
    <w:p w:rsidR="008470B2" w:rsidRPr="007E50F7" w:rsidRDefault="008470B2" w:rsidP="008470B2">
      <w:pPr>
        <w:pStyle w:val="Question-Testimony"/>
      </w:pPr>
      <w:r w:rsidRPr="007E50F7">
        <w:t>Q.</w:t>
      </w:r>
      <w:r w:rsidRPr="007E50F7">
        <w:tab/>
      </w:r>
      <w:r>
        <w:t>What is the basis for Staff’s recommendation for revising this allocation factor for NDG?</w:t>
      </w:r>
    </w:p>
    <w:p w:rsidR="008470B2" w:rsidRDefault="008470B2" w:rsidP="0012306B">
      <w:pPr>
        <w:pStyle w:val="Answer-Testimony"/>
      </w:pPr>
      <w:r w:rsidRPr="007E50F7">
        <w:t>A.</w:t>
      </w:r>
      <w:r w:rsidRPr="009C3BD0">
        <w:t xml:space="preserve"> </w:t>
      </w:r>
      <w:r>
        <w:tab/>
        <w:t xml:space="preserve">The NDG allocation factor should be changed due to the non-dispatchable nature of </w:t>
      </w:r>
      <w:r w:rsidR="00D63DE2">
        <w:t>wind and solar</w:t>
      </w:r>
      <w:r>
        <w:t xml:space="preserve">.  While it is true that every source of generation has a different ability to meet peak, </w:t>
      </w:r>
      <w:r w:rsidR="00D63DE2">
        <w:t>wind and solar</w:t>
      </w:r>
      <w:r>
        <w:t xml:space="preserve"> </w:t>
      </w:r>
      <w:r w:rsidR="00D63DE2">
        <w:t>have a reduced</w:t>
      </w:r>
      <w:r>
        <w:t xml:space="preserve"> ability to meet peak demand</w:t>
      </w:r>
      <w:r w:rsidR="00FC1BBD">
        <w:t>.  G</w:t>
      </w:r>
      <w:r>
        <w:t>eneration is only available when the wind blows</w:t>
      </w:r>
      <w:r w:rsidR="00FC1BBD">
        <w:t xml:space="preserve"> at particular velocity range </w:t>
      </w:r>
      <w:r>
        <w:t xml:space="preserve">or </w:t>
      </w:r>
      <w:r w:rsidR="00FC1BBD">
        <w:t xml:space="preserve">when </w:t>
      </w:r>
      <w:r>
        <w:t xml:space="preserve">the sun shines.  The ability to meet peak demand is critical when considering the peak credit ratio that is used to weight the CAGW allocation factor.  The peak credit method captures a state’s usage of the system at a time of peak simultaneous </w:t>
      </w:r>
      <w:r>
        <w:lastRenderedPageBreak/>
        <w:t>demand.</w:t>
      </w:r>
      <w:r>
        <w:rPr>
          <w:rStyle w:val="FootnoteReference"/>
        </w:rPr>
        <w:footnoteReference w:id="18"/>
      </w:r>
      <w:r>
        <w:t xml:space="preserve">  If non-dispatchable generation resources have a reduced capacity to meet peak, the capacity component of the weighting should reflect this reduction.</w:t>
      </w:r>
    </w:p>
    <w:p w:rsidR="008470B2" w:rsidRDefault="008470B2">
      <w:pPr>
        <w:pStyle w:val="Answer-Testimony"/>
        <w:ind w:firstLine="720"/>
      </w:pPr>
      <w:r>
        <w:t>The exploration of this allocation factor change is particularly ripe, given the general review of allocation factors and the Company’s signal that wind has a material impact on its system.  Within the current rate case, the Company updated the costs of wind integration into the revenue requirement model.</w:t>
      </w:r>
      <w:r>
        <w:rPr>
          <w:rStyle w:val="FootnoteReference"/>
        </w:rPr>
        <w:footnoteReference w:id="19"/>
      </w:r>
    </w:p>
    <w:p w:rsidR="00772AB8" w:rsidRDefault="00772AB8" w:rsidP="00454FDA">
      <w:pPr>
        <w:pStyle w:val="Answer-Testimony"/>
      </w:pPr>
    </w:p>
    <w:p w:rsidR="00BE7FFA" w:rsidRPr="00F27E5A" w:rsidRDefault="00D36CC6" w:rsidP="005D0285">
      <w:pPr>
        <w:pStyle w:val="Question-Testimony"/>
      </w:pPr>
      <w:r w:rsidRPr="00F27E5A">
        <w:t>Q.</w:t>
      </w:r>
      <w:r w:rsidRPr="00F27E5A">
        <w:tab/>
        <w:t xml:space="preserve">What is </w:t>
      </w:r>
      <w:r w:rsidR="00C12B9F" w:rsidRPr="00F27E5A">
        <w:t>the third and final</w:t>
      </w:r>
      <w:r w:rsidRPr="00F27E5A">
        <w:t xml:space="preserve"> </w:t>
      </w:r>
      <w:r w:rsidR="005F2140" w:rsidRPr="00F27E5A">
        <w:t>improvement</w:t>
      </w:r>
      <w:r w:rsidRPr="00F27E5A">
        <w:t xml:space="preserve"> to the Company’s cost of service study that Staff recommends</w:t>
      </w:r>
      <w:r w:rsidR="00BE7FFA" w:rsidRPr="00F27E5A">
        <w:t>?</w:t>
      </w:r>
    </w:p>
    <w:p w:rsidR="00D36CC6" w:rsidRPr="00F27E5A" w:rsidRDefault="00C12B9F" w:rsidP="00DC34B1">
      <w:pPr>
        <w:pStyle w:val="Answer-Testimony"/>
      </w:pPr>
      <w:r w:rsidRPr="00F27E5A">
        <w:t>A.</w:t>
      </w:r>
      <w:r w:rsidRPr="00F27E5A">
        <w:tab/>
        <w:t>The Company allocated corporate account managers rather than assigning them directly.</w:t>
      </w:r>
      <w:r w:rsidRPr="00F27E5A">
        <w:rPr>
          <w:rStyle w:val="FootnoteReference"/>
          <w:bCs/>
        </w:rPr>
        <w:footnoteReference w:id="20"/>
      </w:r>
      <w:r w:rsidRPr="00F27E5A">
        <w:t xml:space="preserve">  These assigned corporate account managers for customers with loads over 750kW should, instead, be directly assigned to Schedule 48T, where all of these customers receive service.</w:t>
      </w:r>
    </w:p>
    <w:p w:rsidR="00D36CC6" w:rsidRPr="00F27E5A" w:rsidRDefault="00D36CC6" w:rsidP="005D0285">
      <w:pPr>
        <w:pStyle w:val="Answer-Testimony"/>
      </w:pPr>
    </w:p>
    <w:p w:rsidR="00CD7798" w:rsidRPr="00F27E5A" w:rsidRDefault="00CD7798" w:rsidP="00CD7798">
      <w:pPr>
        <w:pStyle w:val="Question-Testimony"/>
      </w:pPr>
      <w:r w:rsidRPr="00F27E5A">
        <w:t xml:space="preserve">Q. </w:t>
      </w:r>
      <w:r w:rsidRPr="00F27E5A">
        <w:tab/>
        <w:t>What is the basis for Staff’s recommendation regarding direct assignment of corporate account managers?</w:t>
      </w:r>
    </w:p>
    <w:p w:rsidR="00C12B9F" w:rsidRPr="00F27E5A" w:rsidRDefault="00CD7798" w:rsidP="00CD7798">
      <w:pPr>
        <w:pStyle w:val="Answer-Testimony"/>
      </w:pPr>
      <w:r w:rsidRPr="00F27E5A">
        <w:t>A.</w:t>
      </w:r>
      <w:r w:rsidRPr="00F27E5A">
        <w:tab/>
        <w:t>A corporate account manager is typical</w:t>
      </w:r>
      <w:r w:rsidR="00281424" w:rsidRPr="00F27E5A">
        <w:t>ly</w:t>
      </w:r>
      <w:r w:rsidRPr="00F27E5A">
        <w:t xml:space="preserve"> </w:t>
      </w:r>
      <w:r w:rsidR="006B2B86" w:rsidRPr="00F27E5A">
        <w:t>assigned to v</w:t>
      </w:r>
      <w:r w:rsidRPr="00F27E5A">
        <w:t xml:space="preserve">ery large </w:t>
      </w:r>
      <w:r w:rsidR="006B2B86" w:rsidRPr="00F27E5A">
        <w:t xml:space="preserve">customers that have </w:t>
      </w:r>
      <w:r w:rsidR="00C12B9F" w:rsidRPr="00F27E5A">
        <w:t xml:space="preserve">special service </w:t>
      </w:r>
      <w:r w:rsidR="004C2A67" w:rsidRPr="00F27E5A">
        <w:t xml:space="preserve">needs.  </w:t>
      </w:r>
      <w:r w:rsidR="006B2B86" w:rsidRPr="00F27E5A">
        <w:t>I</w:t>
      </w:r>
      <w:r w:rsidR="004C2A67" w:rsidRPr="00F27E5A">
        <w:t xml:space="preserve">f something goes wrong </w:t>
      </w:r>
      <w:r w:rsidR="006B2B86" w:rsidRPr="00F27E5A">
        <w:t xml:space="preserve">with service, </w:t>
      </w:r>
      <w:r w:rsidR="004C2A67" w:rsidRPr="00F27E5A">
        <w:t>the c</w:t>
      </w:r>
      <w:r w:rsidR="006B2B86" w:rsidRPr="00F27E5A">
        <w:t>ustomer</w:t>
      </w:r>
      <w:r w:rsidR="004C2A67" w:rsidRPr="00F27E5A">
        <w:t xml:space="preserve"> w</w:t>
      </w:r>
      <w:r w:rsidR="00C12B9F" w:rsidRPr="00F27E5A">
        <w:t>ill</w:t>
      </w:r>
      <w:r w:rsidR="004C2A67" w:rsidRPr="00F27E5A">
        <w:t xml:space="preserve"> call their assigned corporate account manager to get the issue </w:t>
      </w:r>
      <w:r w:rsidR="00892E73" w:rsidRPr="00F27E5A">
        <w:t>re</w:t>
      </w:r>
      <w:r w:rsidR="004C2A67" w:rsidRPr="00F27E5A">
        <w:t xml:space="preserve">solved, while the average </w:t>
      </w:r>
      <w:r w:rsidR="00892E73" w:rsidRPr="00F27E5A">
        <w:t xml:space="preserve">ratepayer </w:t>
      </w:r>
      <w:r w:rsidR="004C2A67" w:rsidRPr="00F27E5A">
        <w:t xml:space="preserve">would </w:t>
      </w:r>
      <w:r w:rsidR="00892E73" w:rsidRPr="00F27E5A">
        <w:t>call the general customer service phone line</w:t>
      </w:r>
      <w:r w:rsidR="00281424" w:rsidRPr="00F27E5A">
        <w:t>.</w:t>
      </w:r>
    </w:p>
    <w:p w:rsidR="0051706A" w:rsidRPr="00F27E5A" w:rsidRDefault="00C12B9F" w:rsidP="005D0285">
      <w:pPr>
        <w:pStyle w:val="Answer-Testimony"/>
        <w:tabs>
          <w:tab w:val="left" w:pos="180"/>
        </w:tabs>
        <w:ind w:firstLine="720"/>
      </w:pPr>
      <w:r w:rsidRPr="00F27E5A">
        <w:lastRenderedPageBreak/>
        <w:t xml:space="preserve">Therefore, the additional costs attributable to </w:t>
      </w:r>
      <w:r w:rsidR="004C2A67" w:rsidRPr="00F27E5A">
        <w:t>this special treatment should be directly assigned</w:t>
      </w:r>
      <w:r w:rsidRPr="00F27E5A">
        <w:t xml:space="preserve"> to Schedule 48T where these customers receive service, instead of spreading these costs to all customer classes, as the Company has done.  It is not appropriate to spread these costs to those other customer classes for which corporate account managers provide no services.  T</w:t>
      </w:r>
      <w:r w:rsidR="00CD7798" w:rsidRPr="00F27E5A">
        <w:t xml:space="preserve">he Company </w:t>
      </w:r>
      <w:r w:rsidR="00892E73" w:rsidRPr="00F27E5A">
        <w:t>sh</w:t>
      </w:r>
      <w:r w:rsidR="00CD7798" w:rsidRPr="00F27E5A">
        <w:t>ould create a subaccount to track corporate account manager costs and directly assign th</w:t>
      </w:r>
      <w:r w:rsidRPr="00F27E5A">
        <w:t>ose</w:t>
      </w:r>
      <w:r w:rsidR="00CD7798" w:rsidRPr="00F27E5A">
        <w:t xml:space="preserve"> costs to Schedule 48T</w:t>
      </w:r>
      <w:r w:rsidR="00763B06" w:rsidRPr="00F27E5A">
        <w:t>.</w:t>
      </w:r>
    </w:p>
    <w:p w:rsidR="00BE7FFA" w:rsidRPr="00F27E5A" w:rsidRDefault="00BE7FFA" w:rsidP="005D0285">
      <w:pPr>
        <w:pStyle w:val="Answer-Testimony"/>
        <w:tabs>
          <w:tab w:val="left" w:pos="180"/>
        </w:tabs>
      </w:pPr>
    </w:p>
    <w:p w:rsidR="00BE7FFA" w:rsidRPr="00F27E5A" w:rsidRDefault="00BE7FFA" w:rsidP="005D0285">
      <w:pPr>
        <w:pStyle w:val="Question-Testimony"/>
      </w:pPr>
      <w:r w:rsidRPr="00F27E5A">
        <w:t>Q.</w:t>
      </w:r>
      <w:r w:rsidRPr="00F27E5A">
        <w:tab/>
      </w:r>
      <w:r w:rsidR="00532629" w:rsidRPr="00F27E5A">
        <w:t>Do you have a recommendation for reflecting these three improvements in the Company’s cost of service presentation?</w:t>
      </w:r>
    </w:p>
    <w:p w:rsidR="00532629" w:rsidRPr="00F27E5A" w:rsidRDefault="00532629" w:rsidP="005D0285">
      <w:pPr>
        <w:pStyle w:val="Answer-Testimony"/>
      </w:pPr>
      <w:r w:rsidRPr="00F27E5A">
        <w:t>A.</w:t>
      </w:r>
      <w:r w:rsidRPr="00F27E5A">
        <w:tab/>
        <w:t>Yes.  I recommend that the Commission order the Company in its next general rate case to present a cost of service study that includes these improvements.  This process is intended to be consistent with Staff witness White’s recommendation for a report on inter-state cost allocations.</w:t>
      </w:r>
    </w:p>
    <w:p w:rsidR="008A14BC" w:rsidRPr="00F27E5A" w:rsidRDefault="008A14BC" w:rsidP="008A14BC">
      <w:pPr>
        <w:pStyle w:val="Answer-Testimony"/>
        <w:ind w:left="0" w:firstLine="0"/>
      </w:pPr>
    </w:p>
    <w:p w:rsidR="008A14BC" w:rsidRPr="00F27E5A" w:rsidRDefault="006B2B86" w:rsidP="005F2140">
      <w:pPr>
        <w:pStyle w:val="Heading1"/>
      </w:pPr>
      <w:bookmarkStart w:id="8" w:name="_Toc359312044"/>
      <w:r w:rsidRPr="00F27E5A">
        <w:t>REVENUE ALLOCATION</w:t>
      </w:r>
      <w:bookmarkEnd w:id="8"/>
    </w:p>
    <w:p w:rsidR="000905D9" w:rsidRPr="00F27E5A" w:rsidRDefault="000905D9" w:rsidP="000905D9">
      <w:pPr>
        <w:pStyle w:val="BodyTextIndent"/>
      </w:pPr>
    </w:p>
    <w:p w:rsidR="000905D9" w:rsidRPr="00F27E5A" w:rsidRDefault="000905D9" w:rsidP="000905D9">
      <w:pPr>
        <w:pStyle w:val="Question-Testimony"/>
      </w:pPr>
      <w:r w:rsidRPr="00F27E5A">
        <w:t>Q.</w:t>
      </w:r>
      <w:r w:rsidRPr="00F27E5A">
        <w:tab/>
        <w:t>Please explain the general concept of r</w:t>
      </w:r>
      <w:r w:rsidR="00C87022" w:rsidRPr="00F27E5A">
        <w:t>evenue allocation</w:t>
      </w:r>
      <w:r w:rsidRPr="00F27E5A">
        <w:t>.</w:t>
      </w:r>
    </w:p>
    <w:p w:rsidR="000905D9" w:rsidRPr="00F27E5A" w:rsidRDefault="000905D9" w:rsidP="000905D9">
      <w:pPr>
        <w:pStyle w:val="Answer-Testimony"/>
      </w:pPr>
      <w:r w:rsidRPr="00F27E5A">
        <w:t>A.</w:t>
      </w:r>
      <w:r w:rsidRPr="00F27E5A">
        <w:tab/>
      </w:r>
      <w:r w:rsidR="00CA3B4C" w:rsidRPr="00F27E5A">
        <w:t>R</w:t>
      </w:r>
      <w:r w:rsidRPr="00F27E5A">
        <w:t>evenue allocation, also known as “rate spread”</w:t>
      </w:r>
      <w:r w:rsidR="00584882" w:rsidRPr="00F27E5A">
        <w:t>,</w:t>
      </w:r>
      <w:r w:rsidRPr="00F27E5A">
        <w:t xml:space="preserve"> is the process of determining the portion of total revenues to be collected from each rate schedule.</w:t>
      </w:r>
    </w:p>
    <w:p w:rsidR="00FE5FD1" w:rsidRPr="00F27E5A" w:rsidRDefault="00FE5FD1" w:rsidP="00FE5FD1">
      <w:pPr>
        <w:pStyle w:val="Answer-Testimony"/>
      </w:pPr>
    </w:p>
    <w:p w:rsidR="00FE5FD1" w:rsidRPr="00F27E5A" w:rsidRDefault="00FE5FD1" w:rsidP="00FE5FD1">
      <w:pPr>
        <w:pStyle w:val="Question-Testimony"/>
      </w:pPr>
      <w:r w:rsidRPr="00F27E5A">
        <w:t>Q.</w:t>
      </w:r>
      <w:r w:rsidRPr="00F27E5A">
        <w:tab/>
        <w:t xml:space="preserve">How should the Commission use </w:t>
      </w:r>
      <w:r w:rsidR="00D10E54" w:rsidRPr="00F27E5A">
        <w:t xml:space="preserve">the </w:t>
      </w:r>
      <w:r w:rsidRPr="00F27E5A">
        <w:t xml:space="preserve">parity ratios </w:t>
      </w:r>
      <w:r w:rsidR="00763B06" w:rsidRPr="00F27E5A">
        <w:t xml:space="preserve">you presented </w:t>
      </w:r>
      <w:r w:rsidR="006B2B86" w:rsidRPr="00F27E5A">
        <w:t xml:space="preserve">earlier </w:t>
      </w:r>
      <w:r w:rsidR="00D10E54" w:rsidRPr="00F27E5A">
        <w:t xml:space="preserve">from the cost of service study </w:t>
      </w:r>
      <w:r w:rsidR="0006430B" w:rsidRPr="00F27E5A">
        <w:t xml:space="preserve">to </w:t>
      </w:r>
      <w:r w:rsidRPr="00F27E5A">
        <w:t>allocat</w:t>
      </w:r>
      <w:r w:rsidR="0006430B" w:rsidRPr="00F27E5A">
        <w:t>e</w:t>
      </w:r>
      <w:r w:rsidRPr="00F27E5A">
        <w:t xml:space="preserve"> revenues in this case?</w:t>
      </w:r>
    </w:p>
    <w:p w:rsidR="00FE5FD1" w:rsidRPr="00F27E5A" w:rsidRDefault="00FE5FD1" w:rsidP="00FE5FD1">
      <w:pPr>
        <w:pStyle w:val="Answer-Testimony"/>
        <w:rPr>
          <w:b/>
        </w:rPr>
      </w:pPr>
      <w:r w:rsidRPr="00F27E5A">
        <w:lastRenderedPageBreak/>
        <w:t>A.</w:t>
      </w:r>
      <w:r w:rsidRPr="00F27E5A">
        <w:tab/>
        <w:t>The Commission should consider parity ratios as an important part of the process.  Overall, the Commission should move rate schedules closer to parity if they are significantly out of parity.</w:t>
      </w:r>
    </w:p>
    <w:p w:rsidR="00FE5FD1" w:rsidRPr="00F27E5A" w:rsidRDefault="00FE5FD1" w:rsidP="00FE5FD1">
      <w:pPr>
        <w:pStyle w:val="Answer-Testimony"/>
        <w:rPr>
          <w:b/>
        </w:rPr>
      </w:pPr>
      <w:r w:rsidRPr="00F27E5A">
        <w:tab/>
      </w:r>
      <w:r w:rsidRPr="00F27E5A">
        <w:tab/>
        <w:t xml:space="preserve">However, parity is not the only factor.  The Commission </w:t>
      </w:r>
      <w:r w:rsidR="006B2B86" w:rsidRPr="00F27E5A">
        <w:t>has stated that it will</w:t>
      </w:r>
      <w:r w:rsidRPr="00F27E5A">
        <w:t xml:space="preserve"> also consider </w:t>
      </w:r>
      <w:r w:rsidR="00E600EC" w:rsidRPr="00F27E5A">
        <w:t>“</w:t>
      </w:r>
      <w:r w:rsidRPr="00F27E5A">
        <w:t xml:space="preserve">fairness, perceptions of equity, economic conditions in the service territory, </w:t>
      </w:r>
      <w:r w:rsidR="00E74F17" w:rsidRPr="00F27E5A">
        <w:t xml:space="preserve">gradualism, </w:t>
      </w:r>
      <w:r w:rsidRPr="00F27E5A">
        <w:t>and rate stability.</w:t>
      </w:r>
      <w:r w:rsidR="00E600EC" w:rsidRPr="00F27E5A">
        <w:t>”</w:t>
      </w:r>
      <w:r w:rsidRPr="00F27E5A">
        <w:rPr>
          <w:rStyle w:val="FootnoteReference"/>
        </w:rPr>
        <w:footnoteReference w:id="21"/>
      </w:r>
      <w:r w:rsidR="00C71FF0" w:rsidRPr="00F27E5A">
        <w:t xml:space="preserve">  </w:t>
      </w:r>
      <w:r w:rsidR="00D10E54" w:rsidRPr="00F27E5A">
        <w:t xml:space="preserve">I discuss each of </w:t>
      </w:r>
      <w:r w:rsidR="00C71FF0" w:rsidRPr="00F27E5A">
        <w:t xml:space="preserve">these considerations later </w:t>
      </w:r>
      <w:r w:rsidR="00D10E54" w:rsidRPr="00F27E5A">
        <w:t xml:space="preserve">in </w:t>
      </w:r>
      <w:r w:rsidR="00C71FF0" w:rsidRPr="00F27E5A">
        <w:t>my testimony.</w:t>
      </w:r>
    </w:p>
    <w:p w:rsidR="00FE5FD1" w:rsidRPr="00F27E5A" w:rsidRDefault="00FE5FD1" w:rsidP="00FE5FD1">
      <w:pPr>
        <w:pStyle w:val="Question-Testimony"/>
      </w:pPr>
    </w:p>
    <w:p w:rsidR="00FE5FD1" w:rsidRPr="00F27E5A" w:rsidRDefault="00FE5FD1" w:rsidP="00FE5FD1">
      <w:pPr>
        <w:pStyle w:val="Question-Testimony"/>
      </w:pPr>
      <w:r w:rsidRPr="00F27E5A">
        <w:t>Q.</w:t>
      </w:r>
      <w:r w:rsidRPr="00F27E5A">
        <w:tab/>
        <w:t xml:space="preserve">Is it practical to </w:t>
      </w:r>
      <w:r w:rsidR="00763B06" w:rsidRPr="00F27E5A">
        <w:t xml:space="preserve">allocate revenues in a manner that </w:t>
      </w:r>
      <w:r w:rsidRPr="00F27E5A">
        <w:t>achieve</w:t>
      </w:r>
      <w:r w:rsidR="00763B06" w:rsidRPr="00F27E5A">
        <w:t>s</w:t>
      </w:r>
      <w:r w:rsidRPr="00F27E5A">
        <w:t xml:space="preserve"> a parity ratio of 1.00 for every rate schedule?</w:t>
      </w:r>
    </w:p>
    <w:p w:rsidR="00FE5FD1" w:rsidRPr="00F27E5A" w:rsidRDefault="00FE5FD1" w:rsidP="00FE5FD1">
      <w:pPr>
        <w:pStyle w:val="Answer-Testimony"/>
      </w:pPr>
      <w:r w:rsidRPr="00F27E5A">
        <w:t>A.</w:t>
      </w:r>
      <w:r w:rsidRPr="00F27E5A">
        <w:tab/>
        <w:t xml:space="preserve">No.  For one thing, the assumptions and results of </w:t>
      </w:r>
      <w:r w:rsidR="00763B06" w:rsidRPr="00F27E5A">
        <w:t>any</w:t>
      </w:r>
      <w:r w:rsidRPr="00F27E5A">
        <w:t xml:space="preserve"> cost of service study are often disputed among the parties.  It is a matter of informed judgment to determine how much of the average rate increase is fairly apportioned to each schedule.  </w:t>
      </w:r>
      <w:r w:rsidR="00763B06" w:rsidRPr="00F27E5A">
        <w:t>For example</w:t>
      </w:r>
      <w:r w:rsidR="00D10E54" w:rsidRPr="00F27E5A">
        <w:t xml:space="preserve">, </w:t>
      </w:r>
      <w:r w:rsidRPr="00F27E5A">
        <w:t>if a rate schedule is at 95 percent parity or 105 percent parity, that likely justifies an equal percentage increase.</w:t>
      </w:r>
    </w:p>
    <w:p w:rsidR="003E0CC4" w:rsidRPr="00F27E5A" w:rsidRDefault="003E0CC4" w:rsidP="003E0CC4">
      <w:pPr>
        <w:pStyle w:val="Question-Testimony"/>
      </w:pPr>
    </w:p>
    <w:p w:rsidR="003E0CC4" w:rsidRPr="00F27E5A" w:rsidRDefault="003E0CC4" w:rsidP="003E0CC4">
      <w:pPr>
        <w:pStyle w:val="Question-Testimony"/>
      </w:pPr>
      <w:r w:rsidRPr="00F27E5A">
        <w:t>Q.</w:t>
      </w:r>
      <w:r w:rsidRPr="00F27E5A">
        <w:tab/>
      </w:r>
      <w:r w:rsidR="00D10E54" w:rsidRPr="00F27E5A">
        <w:t>Where are the imbalances shown in the results of the cost of service study?</w:t>
      </w:r>
    </w:p>
    <w:p w:rsidR="006B2B86" w:rsidRPr="00F27E5A" w:rsidRDefault="003E0CC4" w:rsidP="003E0CC4">
      <w:pPr>
        <w:pStyle w:val="Answer-Testimony"/>
      </w:pPr>
      <w:r w:rsidRPr="00F27E5A">
        <w:t>A.</w:t>
      </w:r>
      <w:r w:rsidRPr="00F27E5A">
        <w:tab/>
        <w:t xml:space="preserve">As the </w:t>
      </w:r>
      <w:r w:rsidR="001A1F78" w:rsidRPr="00F27E5A">
        <w:t>T</w:t>
      </w:r>
      <w:r w:rsidRPr="00F27E5A">
        <w:t>able</w:t>
      </w:r>
      <w:r w:rsidR="001A1F78" w:rsidRPr="00F27E5A">
        <w:t xml:space="preserve"> </w:t>
      </w:r>
      <w:r w:rsidR="00476660" w:rsidRPr="00F27E5A">
        <w:t>1</w:t>
      </w:r>
      <w:r w:rsidRPr="00F27E5A">
        <w:t xml:space="preserve"> </w:t>
      </w:r>
      <w:r w:rsidR="00584882" w:rsidRPr="00F27E5A">
        <w:t xml:space="preserve">above </w:t>
      </w:r>
      <w:r w:rsidRPr="00F27E5A">
        <w:t xml:space="preserve">shows, </w:t>
      </w:r>
      <w:r w:rsidR="00264C9B" w:rsidRPr="00F27E5A">
        <w:t xml:space="preserve">the </w:t>
      </w:r>
      <w:r w:rsidR="00487D61" w:rsidRPr="00F27E5A">
        <w:t xml:space="preserve">greatest </w:t>
      </w:r>
      <w:r w:rsidR="00D10E54" w:rsidRPr="00F27E5A">
        <w:t xml:space="preserve">parity </w:t>
      </w:r>
      <w:r w:rsidR="00264C9B" w:rsidRPr="00F27E5A">
        <w:t>imbalances are reflected in</w:t>
      </w:r>
      <w:r w:rsidR="006B2B86" w:rsidRPr="00F27E5A">
        <w:t>:</w:t>
      </w:r>
    </w:p>
    <w:p w:rsidR="006B2B86" w:rsidRPr="00F27E5A" w:rsidRDefault="007D73A0" w:rsidP="00281424">
      <w:pPr>
        <w:pStyle w:val="Answer-Testimony"/>
        <w:numPr>
          <w:ilvl w:val="0"/>
          <w:numId w:val="31"/>
        </w:numPr>
      </w:pPr>
      <w:r w:rsidRPr="00F27E5A">
        <w:t>Dedicated Facilities</w:t>
      </w:r>
      <w:r w:rsidR="00EC6C80" w:rsidRPr="00F27E5A">
        <w:t xml:space="preserve"> Schedule 4</w:t>
      </w:r>
      <w:r w:rsidRPr="00F27E5A">
        <w:t>8T</w:t>
      </w:r>
      <w:r w:rsidR="00763B06" w:rsidRPr="00F27E5A">
        <w:t>,</w:t>
      </w:r>
      <w:r w:rsidR="001A1F78" w:rsidRPr="00F27E5A">
        <w:t xml:space="preserve"> </w:t>
      </w:r>
      <w:r w:rsidRPr="00F27E5A">
        <w:t xml:space="preserve">covering </w:t>
      </w:r>
      <w:r w:rsidR="001A1F78" w:rsidRPr="00F27E5A">
        <w:t>9</w:t>
      </w:r>
      <w:r w:rsidRPr="00F27E5A">
        <w:t>3.6</w:t>
      </w:r>
      <w:r w:rsidR="001A1F78" w:rsidRPr="00F27E5A">
        <w:t xml:space="preserve"> percent of its cost of service</w:t>
      </w:r>
      <w:r w:rsidR="00146A9C" w:rsidRPr="00F27E5A">
        <w:t>;</w:t>
      </w:r>
    </w:p>
    <w:p w:rsidR="006B2B86" w:rsidRPr="00F27E5A" w:rsidRDefault="007D73A0" w:rsidP="00281424">
      <w:pPr>
        <w:pStyle w:val="Answer-Testimony"/>
        <w:numPr>
          <w:ilvl w:val="0"/>
          <w:numId w:val="31"/>
        </w:numPr>
      </w:pPr>
      <w:r w:rsidRPr="00F27E5A">
        <w:t>Small General Service Schedule 24</w:t>
      </w:r>
      <w:r w:rsidR="006B2B86" w:rsidRPr="00F27E5A">
        <w:t>,</w:t>
      </w:r>
      <w:r w:rsidRPr="00F27E5A">
        <w:t xml:space="preserve"> cover</w:t>
      </w:r>
      <w:r w:rsidR="006B2B86" w:rsidRPr="00F27E5A">
        <w:t>ing</w:t>
      </w:r>
      <w:r w:rsidRPr="00F27E5A">
        <w:t xml:space="preserve"> 109.4 percent of its cost of service</w:t>
      </w:r>
      <w:r w:rsidR="006B2B86" w:rsidRPr="00F27E5A">
        <w:t>;</w:t>
      </w:r>
    </w:p>
    <w:p w:rsidR="006B2B86" w:rsidRPr="00F27E5A" w:rsidRDefault="007D73A0" w:rsidP="00281424">
      <w:pPr>
        <w:pStyle w:val="Answer-Testimony"/>
        <w:numPr>
          <w:ilvl w:val="0"/>
          <w:numId w:val="31"/>
        </w:numPr>
      </w:pPr>
      <w:r w:rsidRPr="00F27E5A">
        <w:t>Agricultural Pumping Service</w:t>
      </w:r>
      <w:r w:rsidR="00264C9B" w:rsidRPr="00F27E5A">
        <w:t xml:space="preserve"> </w:t>
      </w:r>
      <w:r w:rsidRPr="00F27E5A">
        <w:t>Sch</w:t>
      </w:r>
      <w:r w:rsidR="001A1F78" w:rsidRPr="00F27E5A">
        <w:t>edule</w:t>
      </w:r>
      <w:r w:rsidR="00264C9B" w:rsidRPr="00F27E5A">
        <w:t xml:space="preserve"> </w:t>
      </w:r>
      <w:r w:rsidRPr="00F27E5A">
        <w:t>40</w:t>
      </w:r>
      <w:r w:rsidR="006B2B86" w:rsidRPr="00F27E5A">
        <w:t>,</w:t>
      </w:r>
      <w:r w:rsidR="001A1F78" w:rsidRPr="00F27E5A">
        <w:t xml:space="preserve"> cover</w:t>
      </w:r>
      <w:r w:rsidR="006B2B86" w:rsidRPr="00F27E5A">
        <w:t>ing</w:t>
      </w:r>
      <w:r w:rsidR="001A1F78" w:rsidRPr="00F27E5A">
        <w:t xml:space="preserve"> 1</w:t>
      </w:r>
      <w:r w:rsidRPr="00F27E5A">
        <w:t>1</w:t>
      </w:r>
      <w:r w:rsidR="00BF14F4" w:rsidRPr="00F27E5A">
        <w:t>1</w:t>
      </w:r>
      <w:r w:rsidRPr="00F27E5A">
        <w:t>.1</w:t>
      </w:r>
      <w:r w:rsidR="001A1F78" w:rsidRPr="00F27E5A">
        <w:t xml:space="preserve"> percent of its cost of service</w:t>
      </w:r>
      <w:r w:rsidR="006B2B86" w:rsidRPr="00F27E5A">
        <w:t>;</w:t>
      </w:r>
      <w:r w:rsidR="001A1F78" w:rsidRPr="00F27E5A">
        <w:t xml:space="preserve"> </w:t>
      </w:r>
      <w:r w:rsidR="00281424" w:rsidRPr="00F27E5A">
        <w:t>and</w:t>
      </w:r>
    </w:p>
    <w:p w:rsidR="006B2B86" w:rsidRPr="00F27E5A" w:rsidRDefault="007D73A0" w:rsidP="00281424">
      <w:pPr>
        <w:pStyle w:val="Answer-Testimony"/>
        <w:numPr>
          <w:ilvl w:val="0"/>
          <w:numId w:val="31"/>
        </w:numPr>
      </w:pPr>
      <w:r w:rsidRPr="00F27E5A">
        <w:lastRenderedPageBreak/>
        <w:t>Street Lighting</w:t>
      </w:r>
      <w:r w:rsidR="00264C9B" w:rsidRPr="00F27E5A">
        <w:t xml:space="preserve"> Schedules </w:t>
      </w:r>
      <w:r w:rsidRPr="00F27E5A">
        <w:t>15,</w:t>
      </w:r>
      <w:r w:rsidR="007F37A0" w:rsidRPr="00F27E5A">
        <w:t xml:space="preserve"> 51-</w:t>
      </w:r>
      <w:r w:rsidRPr="00F27E5A">
        <w:t>5</w:t>
      </w:r>
      <w:r w:rsidR="007F37A0" w:rsidRPr="00F27E5A">
        <w:t>4</w:t>
      </w:r>
      <w:r w:rsidRPr="00F27E5A">
        <w:t>,</w:t>
      </w:r>
      <w:r w:rsidR="00264C9B" w:rsidRPr="00F27E5A">
        <w:t xml:space="preserve"> and </w:t>
      </w:r>
      <w:r w:rsidRPr="00F27E5A">
        <w:t>57</w:t>
      </w:r>
      <w:r w:rsidR="006B2B86" w:rsidRPr="00F27E5A">
        <w:t>, covering</w:t>
      </w:r>
      <w:r w:rsidR="00264C9B" w:rsidRPr="00F27E5A">
        <w:t xml:space="preserve"> cover 11</w:t>
      </w:r>
      <w:r w:rsidRPr="00F27E5A">
        <w:t>8.</w:t>
      </w:r>
      <w:r w:rsidR="006573B4" w:rsidRPr="00F27E5A">
        <w:t>6</w:t>
      </w:r>
      <w:r w:rsidR="00264C9B" w:rsidRPr="00F27E5A">
        <w:t xml:space="preserve"> percent of </w:t>
      </w:r>
      <w:r w:rsidR="00763B06" w:rsidRPr="00F27E5A">
        <w:t>their</w:t>
      </w:r>
      <w:r w:rsidR="00264C9B" w:rsidRPr="00F27E5A">
        <w:t xml:space="preserve"> cost of service</w:t>
      </w:r>
      <w:r w:rsidR="00281424" w:rsidRPr="00F27E5A">
        <w:t>.</w:t>
      </w:r>
    </w:p>
    <w:p w:rsidR="003E0CC4" w:rsidRPr="00F27E5A" w:rsidRDefault="001A1F78" w:rsidP="00281424">
      <w:pPr>
        <w:pStyle w:val="Answer-Testimony"/>
        <w:ind w:firstLine="0"/>
      </w:pPr>
      <w:r w:rsidRPr="00F27E5A">
        <w:t xml:space="preserve">The other rate schedules are within </w:t>
      </w:r>
      <w:r w:rsidR="00D10E54" w:rsidRPr="00F27E5A">
        <w:t xml:space="preserve">an acceptable range of </w:t>
      </w:r>
      <w:r w:rsidRPr="00F27E5A">
        <w:t>covering their particular cost of service</w:t>
      </w:r>
      <w:r w:rsidR="003E0CC4" w:rsidRPr="00F27E5A">
        <w:t>.</w:t>
      </w:r>
    </w:p>
    <w:p w:rsidR="003E0CC4" w:rsidRPr="00F27E5A" w:rsidRDefault="003E0CC4" w:rsidP="00C87022">
      <w:pPr>
        <w:pStyle w:val="Answer-Testimony"/>
      </w:pPr>
    </w:p>
    <w:p w:rsidR="00434467" w:rsidRPr="00F27E5A" w:rsidRDefault="00434467" w:rsidP="00434467">
      <w:pPr>
        <w:pStyle w:val="Question-Testimony"/>
      </w:pPr>
      <w:r w:rsidRPr="00F27E5A">
        <w:t>Q.</w:t>
      </w:r>
      <w:r w:rsidRPr="00F27E5A">
        <w:tab/>
      </w:r>
      <w:r w:rsidR="00763B06" w:rsidRPr="00F27E5A">
        <w:t>W</w:t>
      </w:r>
      <w:r w:rsidRPr="00F27E5A">
        <w:t>hy are the parity ratios so out of balance</w:t>
      </w:r>
      <w:r w:rsidR="00763B06" w:rsidRPr="00F27E5A">
        <w:t xml:space="preserve"> for the specific schedules you listed</w:t>
      </w:r>
      <w:r w:rsidRPr="00F27E5A">
        <w:t>?</w:t>
      </w:r>
    </w:p>
    <w:p w:rsidR="00434467" w:rsidRPr="00F27E5A" w:rsidRDefault="00434467" w:rsidP="00434467">
      <w:pPr>
        <w:pStyle w:val="Answer-Testimony"/>
      </w:pPr>
      <w:r w:rsidRPr="00F27E5A">
        <w:t>A.</w:t>
      </w:r>
      <w:r w:rsidRPr="00F27E5A">
        <w:tab/>
        <w:t>This is likely due to the equal percentage increases that were applied in the past several general rate cases, most of which involved settlements</w:t>
      </w:r>
      <w:r w:rsidR="006B2B86" w:rsidRPr="00F27E5A">
        <w:t xml:space="preserve"> adopted by the Commission</w:t>
      </w:r>
      <w:r w:rsidRPr="00F27E5A">
        <w:t>.</w:t>
      </w:r>
    </w:p>
    <w:p w:rsidR="00434467" w:rsidRPr="00F27E5A" w:rsidRDefault="00434467" w:rsidP="00C87022">
      <w:pPr>
        <w:pStyle w:val="Answer-Testimony"/>
      </w:pPr>
    </w:p>
    <w:p w:rsidR="003E0CC4" w:rsidRPr="00F27E5A" w:rsidRDefault="003E0CC4" w:rsidP="003E0CC4">
      <w:pPr>
        <w:pStyle w:val="Question-Testimony"/>
      </w:pPr>
      <w:r w:rsidRPr="00F27E5A">
        <w:t>Q.</w:t>
      </w:r>
      <w:r w:rsidRPr="00F27E5A">
        <w:tab/>
        <w:t>What is Staff’s recommendation on revenue allocation?</w:t>
      </w:r>
    </w:p>
    <w:p w:rsidR="003E0CC4" w:rsidRPr="00F27E5A" w:rsidRDefault="003E0CC4" w:rsidP="003E0CC4">
      <w:pPr>
        <w:pStyle w:val="Answer-Testimony"/>
      </w:pPr>
      <w:r w:rsidRPr="00F27E5A">
        <w:t>A.</w:t>
      </w:r>
      <w:r w:rsidRPr="00F27E5A">
        <w:tab/>
      </w:r>
      <w:r w:rsidR="00D10E54" w:rsidRPr="00F27E5A">
        <w:t xml:space="preserve">Based on </w:t>
      </w:r>
      <w:r w:rsidRPr="00F27E5A">
        <w:t xml:space="preserve">Staff’s recommended overall revenue </w:t>
      </w:r>
      <w:r w:rsidR="00C2151C" w:rsidRPr="00F27E5A">
        <w:t>inc</w:t>
      </w:r>
      <w:r w:rsidRPr="00F27E5A">
        <w:t xml:space="preserve">rease of </w:t>
      </w:r>
      <w:r w:rsidR="00C2151C" w:rsidRPr="00F27E5A">
        <w:t>4</w:t>
      </w:r>
      <w:r w:rsidR="00704120" w:rsidRPr="00F27E5A">
        <w:t>.</w:t>
      </w:r>
      <w:r w:rsidR="0002759E" w:rsidRPr="00F27E5A">
        <w:t>8</w:t>
      </w:r>
      <w:r w:rsidR="00B935E0">
        <w:t>2</w:t>
      </w:r>
      <w:r w:rsidRPr="00F27E5A">
        <w:t xml:space="preserve"> percent</w:t>
      </w:r>
      <w:r w:rsidR="00D10E54" w:rsidRPr="00F27E5A">
        <w:t xml:space="preserve">, and in </w:t>
      </w:r>
      <w:r w:rsidRPr="00F27E5A">
        <w:t xml:space="preserve">order to move </w:t>
      </w:r>
      <w:r w:rsidR="00C2151C" w:rsidRPr="00F27E5A">
        <w:t xml:space="preserve">all </w:t>
      </w:r>
      <w:r w:rsidR="00D10E54" w:rsidRPr="00F27E5A">
        <w:t>S</w:t>
      </w:r>
      <w:r w:rsidRPr="00F27E5A">
        <w:t>chedules closer to parity, Staff recommends the following increases:</w:t>
      </w:r>
    </w:p>
    <w:p w:rsidR="003E0CC4" w:rsidRPr="00F27E5A" w:rsidRDefault="003E0CC4" w:rsidP="003E0CC4">
      <w:pPr>
        <w:pStyle w:val="Answer-Testimony"/>
        <w:numPr>
          <w:ilvl w:val="0"/>
          <w:numId w:val="31"/>
        </w:numPr>
      </w:pPr>
      <w:r w:rsidRPr="00F27E5A">
        <w:t>Schedule</w:t>
      </w:r>
      <w:r w:rsidR="00EA3348" w:rsidRPr="00F27E5A">
        <w:t>s</w:t>
      </w:r>
      <w:r w:rsidRPr="00F27E5A">
        <w:t xml:space="preserve"> 1</w:t>
      </w:r>
      <w:r w:rsidR="00EA3348" w:rsidRPr="00F27E5A">
        <w:t>6</w:t>
      </w:r>
      <w:r w:rsidR="007F37A0" w:rsidRPr="00F27E5A">
        <w:t>-</w:t>
      </w:r>
      <w:r w:rsidR="00EA3348" w:rsidRPr="00F27E5A">
        <w:t>18</w:t>
      </w:r>
      <w:r w:rsidRPr="00F27E5A">
        <w:t>, Residential, get a</w:t>
      </w:r>
      <w:r w:rsidR="00832957" w:rsidRPr="00F27E5A">
        <w:t>n</w:t>
      </w:r>
      <w:r w:rsidRPr="00F27E5A">
        <w:t xml:space="preserve"> increase of </w:t>
      </w:r>
      <w:r w:rsidR="00C2151C" w:rsidRPr="00F27E5A">
        <w:t>5</w:t>
      </w:r>
      <w:r w:rsidRPr="00F27E5A">
        <w:t>.</w:t>
      </w:r>
      <w:r w:rsidR="00797263">
        <w:t>54</w:t>
      </w:r>
      <w:r w:rsidRPr="00F27E5A">
        <w:t xml:space="preserve"> percent.</w:t>
      </w:r>
    </w:p>
    <w:p w:rsidR="003E0CC4" w:rsidRPr="00F27E5A" w:rsidRDefault="00832957" w:rsidP="003E0CC4">
      <w:pPr>
        <w:pStyle w:val="Answer-Testimony"/>
        <w:numPr>
          <w:ilvl w:val="0"/>
          <w:numId w:val="31"/>
        </w:numPr>
      </w:pPr>
      <w:r w:rsidRPr="00F27E5A">
        <w:t>Schedule</w:t>
      </w:r>
      <w:r w:rsidR="007F37A0" w:rsidRPr="00F27E5A">
        <w:t xml:space="preserve"> </w:t>
      </w:r>
      <w:r w:rsidRPr="00F27E5A">
        <w:t>2</w:t>
      </w:r>
      <w:r w:rsidR="007F37A0" w:rsidRPr="00F27E5A">
        <w:t>4</w:t>
      </w:r>
      <w:r w:rsidRPr="00F27E5A">
        <w:t xml:space="preserve">, </w:t>
      </w:r>
      <w:r w:rsidR="007F37A0" w:rsidRPr="00F27E5A">
        <w:t xml:space="preserve">Small </w:t>
      </w:r>
      <w:r w:rsidRPr="00F27E5A">
        <w:t>General Service, get</w:t>
      </w:r>
      <w:r w:rsidR="00763B06" w:rsidRPr="00F27E5A">
        <w:t>s</w:t>
      </w:r>
      <w:r w:rsidR="003E0CC4" w:rsidRPr="00F27E5A">
        <w:t xml:space="preserve"> a</w:t>
      </w:r>
      <w:r w:rsidR="00C2151C" w:rsidRPr="00F27E5A">
        <w:t>n</w:t>
      </w:r>
      <w:r w:rsidR="003E0CC4" w:rsidRPr="00F27E5A">
        <w:t xml:space="preserve"> </w:t>
      </w:r>
      <w:r w:rsidR="00C2151C" w:rsidRPr="00F27E5A">
        <w:t>in</w:t>
      </w:r>
      <w:r w:rsidR="00704120" w:rsidRPr="00F27E5A">
        <w:t>crease</w:t>
      </w:r>
      <w:r w:rsidR="003E0CC4" w:rsidRPr="00F27E5A">
        <w:t xml:space="preserve"> of </w:t>
      </w:r>
      <w:r w:rsidR="00755A31" w:rsidRPr="00F27E5A">
        <w:t>2</w:t>
      </w:r>
      <w:r w:rsidR="003E0CC4" w:rsidRPr="00F27E5A">
        <w:t>.</w:t>
      </w:r>
      <w:r w:rsidR="00755A31" w:rsidRPr="00F27E5A">
        <w:t>4</w:t>
      </w:r>
      <w:r w:rsidR="00797263">
        <w:t>1</w:t>
      </w:r>
      <w:r w:rsidR="003E0CC4" w:rsidRPr="00F27E5A">
        <w:t xml:space="preserve"> percent.</w:t>
      </w:r>
    </w:p>
    <w:p w:rsidR="003E0CC4" w:rsidRPr="00F27E5A" w:rsidRDefault="007F37A0" w:rsidP="003E0CC4">
      <w:pPr>
        <w:pStyle w:val="Answer-Testimony"/>
        <w:numPr>
          <w:ilvl w:val="0"/>
          <w:numId w:val="31"/>
        </w:numPr>
      </w:pPr>
      <w:r w:rsidRPr="00F27E5A">
        <w:t>Schedule</w:t>
      </w:r>
      <w:r w:rsidR="003E0CC4" w:rsidRPr="00F27E5A">
        <w:t xml:space="preserve"> </w:t>
      </w:r>
      <w:r w:rsidRPr="00F27E5A">
        <w:t>36</w:t>
      </w:r>
      <w:r w:rsidR="003E0CC4" w:rsidRPr="00F27E5A">
        <w:t>, Large General Service</w:t>
      </w:r>
      <w:r w:rsidRPr="00F27E5A">
        <w:t xml:space="preserve"> &lt;1,000 kW</w:t>
      </w:r>
      <w:r w:rsidR="003E0CC4" w:rsidRPr="00F27E5A">
        <w:t>, get</w:t>
      </w:r>
      <w:r w:rsidR="00763B06" w:rsidRPr="00F27E5A">
        <w:t>s</w:t>
      </w:r>
      <w:r w:rsidR="003E0CC4" w:rsidRPr="00F27E5A">
        <w:t xml:space="preserve"> a</w:t>
      </w:r>
      <w:r w:rsidR="00C2151C" w:rsidRPr="00F27E5A">
        <w:t>n</w:t>
      </w:r>
      <w:r w:rsidR="003E0CC4" w:rsidRPr="00F27E5A">
        <w:t xml:space="preserve"> </w:t>
      </w:r>
      <w:r w:rsidR="00C2151C" w:rsidRPr="00F27E5A">
        <w:t>in</w:t>
      </w:r>
      <w:r w:rsidR="003E0CC4" w:rsidRPr="00F27E5A">
        <w:t xml:space="preserve">crease of </w:t>
      </w:r>
      <w:r w:rsidR="00C2151C" w:rsidRPr="00F27E5A">
        <w:t>4</w:t>
      </w:r>
      <w:r w:rsidR="003E0CC4" w:rsidRPr="00F27E5A">
        <w:t>.</w:t>
      </w:r>
      <w:r w:rsidR="00797263">
        <w:t>58</w:t>
      </w:r>
      <w:r w:rsidR="003E0CC4" w:rsidRPr="00F27E5A">
        <w:t xml:space="preserve"> percent.</w:t>
      </w:r>
    </w:p>
    <w:p w:rsidR="007F37A0" w:rsidRPr="00F27E5A" w:rsidRDefault="007F37A0" w:rsidP="007F37A0">
      <w:pPr>
        <w:pStyle w:val="Answer-Testimony"/>
        <w:numPr>
          <w:ilvl w:val="0"/>
          <w:numId w:val="31"/>
        </w:numPr>
      </w:pPr>
      <w:r w:rsidRPr="00F27E5A">
        <w:t>Schedule 48T, Large General Service &gt;1,000 kW, get</w:t>
      </w:r>
      <w:r w:rsidR="00763B06" w:rsidRPr="00F27E5A">
        <w:t>s</w:t>
      </w:r>
      <w:r w:rsidRPr="00F27E5A">
        <w:t xml:space="preserve"> a</w:t>
      </w:r>
      <w:r w:rsidR="00C2151C" w:rsidRPr="00F27E5A">
        <w:t>n</w:t>
      </w:r>
      <w:r w:rsidRPr="00F27E5A">
        <w:t xml:space="preserve"> </w:t>
      </w:r>
      <w:r w:rsidR="00C2151C" w:rsidRPr="00F27E5A">
        <w:t>in</w:t>
      </w:r>
      <w:r w:rsidRPr="00F27E5A">
        <w:t xml:space="preserve">crease of </w:t>
      </w:r>
      <w:r w:rsidR="00B935E0">
        <w:t>5.54</w:t>
      </w:r>
      <w:r w:rsidRPr="00F27E5A">
        <w:t xml:space="preserve"> percent.</w:t>
      </w:r>
    </w:p>
    <w:p w:rsidR="003E0CC4" w:rsidRPr="00F27E5A" w:rsidRDefault="003E0CC4" w:rsidP="003E0CC4">
      <w:pPr>
        <w:pStyle w:val="Answer-Testimony"/>
        <w:numPr>
          <w:ilvl w:val="0"/>
          <w:numId w:val="31"/>
        </w:numPr>
      </w:pPr>
      <w:r w:rsidRPr="00F27E5A">
        <w:t xml:space="preserve">Schedule </w:t>
      </w:r>
      <w:r w:rsidR="007F37A0" w:rsidRPr="00F27E5A">
        <w:t>48T</w:t>
      </w:r>
      <w:r w:rsidRPr="00F27E5A">
        <w:t xml:space="preserve">, </w:t>
      </w:r>
      <w:r w:rsidR="00C2151C" w:rsidRPr="00F27E5A">
        <w:t>Dedicated Facilities</w:t>
      </w:r>
      <w:r w:rsidRPr="00F27E5A">
        <w:t>, get</w:t>
      </w:r>
      <w:r w:rsidR="00763B06" w:rsidRPr="00F27E5A">
        <w:t>s</w:t>
      </w:r>
      <w:r w:rsidRPr="00F27E5A">
        <w:t xml:space="preserve"> </w:t>
      </w:r>
      <w:r w:rsidR="00704120" w:rsidRPr="00F27E5A">
        <w:t>an</w:t>
      </w:r>
      <w:r w:rsidR="00D10E54" w:rsidRPr="00F27E5A">
        <w:t xml:space="preserve"> </w:t>
      </w:r>
      <w:r w:rsidRPr="00F27E5A">
        <w:t xml:space="preserve">increase of </w:t>
      </w:r>
      <w:r w:rsidR="00C2151C" w:rsidRPr="00F27E5A">
        <w:t>6</w:t>
      </w:r>
      <w:r w:rsidRPr="00F27E5A">
        <w:t>.</w:t>
      </w:r>
      <w:r w:rsidR="00B935E0">
        <w:t>75</w:t>
      </w:r>
      <w:r w:rsidRPr="00F27E5A">
        <w:t xml:space="preserve"> percent.</w:t>
      </w:r>
    </w:p>
    <w:p w:rsidR="003E0CC4" w:rsidRPr="00F27E5A" w:rsidRDefault="003E0CC4" w:rsidP="003E0CC4">
      <w:pPr>
        <w:pStyle w:val="Answer-Testimony"/>
        <w:numPr>
          <w:ilvl w:val="0"/>
          <w:numId w:val="31"/>
        </w:numPr>
      </w:pPr>
      <w:r w:rsidRPr="00F27E5A">
        <w:t xml:space="preserve">Schedule </w:t>
      </w:r>
      <w:r w:rsidR="00EA3348" w:rsidRPr="00F27E5A">
        <w:t>4</w:t>
      </w:r>
      <w:r w:rsidRPr="00F27E5A">
        <w:t xml:space="preserve">0, </w:t>
      </w:r>
      <w:r w:rsidR="00EA3348" w:rsidRPr="00F27E5A">
        <w:t xml:space="preserve">Agricultural </w:t>
      </w:r>
      <w:r w:rsidRPr="00F27E5A">
        <w:t>Pumping, get</w:t>
      </w:r>
      <w:r w:rsidR="00763B06" w:rsidRPr="00F27E5A">
        <w:t>s</w:t>
      </w:r>
      <w:r w:rsidR="00704120" w:rsidRPr="00F27E5A">
        <w:t xml:space="preserve"> an</w:t>
      </w:r>
      <w:r w:rsidR="00D10E54" w:rsidRPr="00F27E5A">
        <w:t xml:space="preserve"> </w:t>
      </w:r>
      <w:r w:rsidRPr="00F27E5A">
        <w:t xml:space="preserve">increase of </w:t>
      </w:r>
      <w:r w:rsidR="00755A31" w:rsidRPr="00F27E5A">
        <w:t>2</w:t>
      </w:r>
      <w:r w:rsidRPr="00F27E5A">
        <w:t>.</w:t>
      </w:r>
      <w:r w:rsidR="00755A31" w:rsidRPr="00F27E5A">
        <w:t>4</w:t>
      </w:r>
      <w:r w:rsidR="00797263">
        <w:t>1</w:t>
      </w:r>
      <w:r w:rsidRPr="00F27E5A">
        <w:t xml:space="preserve"> percent.</w:t>
      </w:r>
    </w:p>
    <w:p w:rsidR="003E0CC4" w:rsidRPr="00F27E5A" w:rsidRDefault="003E0CC4" w:rsidP="003E0CC4">
      <w:pPr>
        <w:pStyle w:val="Answer-Testimony"/>
        <w:numPr>
          <w:ilvl w:val="0"/>
          <w:numId w:val="31"/>
        </w:numPr>
      </w:pPr>
      <w:r w:rsidRPr="00F27E5A">
        <w:t>Schedule</w:t>
      </w:r>
      <w:r w:rsidR="00B43481" w:rsidRPr="00F27E5A">
        <w:t>s</w:t>
      </w:r>
      <w:r w:rsidRPr="00F27E5A">
        <w:t xml:space="preserve"> </w:t>
      </w:r>
      <w:r w:rsidR="007F37A0" w:rsidRPr="00F27E5A">
        <w:t>15, 51-54, and 57</w:t>
      </w:r>
      <w:r w:rsidRPr="00F27E5A">
        <w:t xml:space="preserve">, Street Lighting, </w:t>
      </w:r>
      <w:r w:rsidR="00C2151C" w:rsidRPr="00F27E5A">
        <w:t>get no</w:t>
      </w:r>
      <w:r w:rsidR="00D10E54" w:rsidRPr="00F27E5A">
        <w:t xml:space="preserve"> </w:t>
      </w:r>
      <w:r w:rsidR="00C2151C" w:rsidRPr="00F27E5A">
        <w:t>increase</w:t>
      </w:r>
      <w:r w:rsidRPr="00F27E5A">
        <w:t>.</w:t>
      </w:r>
    </w:p>
    <w:p w:rsidR="003E0CC4" w:rsidRPr="00F27E5A" w:rsidRDefault="003E0CC4" w:rsidP="003E0CC4">
      <w:pPr>
        <w:pStyle w:val="Answer-Testimony"/>
      </w:pPr>
    </w:p>
    <w:p w:rsidR="003E0CC4" w:rsidRPr="00F27E5A" w:rsidRDefault="003E0CC4" w:rsidP="003E0CC4">
      <w:pPr>
        <w:pStyle w:val="Question-Testimony"/>
      </w:pPr>
      <w:r w:rsidRPr="00F27E5A">
        <w:lastRenderedPageBreak/>
        <w:t>Q.</w:t>
      </w:r>
      <w:r w:rsidRPr="00F27E5A">
        <w:tab/>
        <w:t>Please explain why Schedule</w:t>
      </w:r>
      <w:r w:rsidR="00F43C51" w:rsidRPr="00F27E5A">
        <w:t>s</w:t>
      </w:r>
      <w:r w:rsidRPr="00F27E5A">
        <w:t xml:space="preserve"> </w:t>
      </w:r>
      <w:r w:rsidR="00F43C51" w:rsidRPr="00F27E5A">
        <w:t>15, 24, 36, 40, 5</w:t>
      </w:r>
      <w:r w:rsidRPr="00F27E5A">
        <w:t>1</w:t>
      </w:r>
      <w:r w:rsidR="00F43C51" w:rsidRPr="00F27E5A">
        <w:t>-54</w:t>
      </w:r>
      <w:r w:rsidR="00C61091" w:rsidRPr="00F27E5A">
        <w:t xml:space="preserve"> </w:t>
      </w:r>
      <w:r w:rsidR="00F43C51" w:rsidRPr="00F27E5A">
        <w:t>and 57</w:t>
      </w:r>
      <w:r w:rsidRPr="00F27E5A">
        <w:t xml:space="preserve"> get a</w:t>
      </w:r>
      <w:r w:rsidR="000559D0" w:rsidRPr="00F27E5A">
        <w:t>n</w:t>
      </w:r>
      <w:r w:rsidR="00F43C51" w:rsidRPr="00F27E5A">
        <w:t xml:space="preserve"> average or below average</w:t>
      </w:r>
      <w:r w:rsidRPr="00F27E5A">
        <w:t xml:space="preserve"> increase, while Schedules</w:t>
      </w:r>
      <w:r w:rsidR="00F43C51" w:rsidRPr="00F27E5A">
        <w:t xml:space="preserve"> 16-18 and the 48T</w:t>
      </w:r>
      <w:r w:rsidRPr="00F27E5A">
        <w:t xml:space="preserve"> get a </w:t>
      </w:r>
      <w:r w:rsidR="000559D0" w:rsidRPr="00F27E5A">
        <w:t>higher</w:t>
      </w:r>
      <w:r w:rsidRPr="00F27E5A">
        <w:t xml:space="preserve"> than average </w:t>
      </w:r>
      <w:r w:rsidR="00F43C51" w:rsidRPr="00F27E5A">
        <w:t>increase</w:t>
      </w:r>
      <w:r w:rsidRPr="00F27E5A">
        <w:t>.</w:t>
      </w:r>
    </w:p>
    <w:p w:rsidR="00210128" w:rsidRPr="00F27E5A" w:rsidRDefault="001F4EBF" w:rsidP="00461C56">
      <w:pPr>
        <w:pStyle w:val="Answer-Testimony"/>
      </w:pPr>
      <w:r w:rsidRPr="00F27E5A">
        <w:t>A.</w:t>
      </w:r>
      <w:r w:rsidRPr="00F27E5A">
        <w:tab/>
        <w:t xml:space="preserve">Staff proposes a gradual move toward parity for those schedules that are not close to parity.  </w:t>
      </w:r>
      <w:r w:rsidR="00D10E54" w:rsidRPr="00F27E5A">
        <w:t xml:space="preserve">In the context of </w:t>
      </w:r>
      <w:r w:rsidR="00763B06" w:rsidRPr="00F27E5A">
        <w:t xml:space="preserve">moving </w:t>
      </w:r>
      <w:r w:rsidR="00D10E54" w:rsidRPr="00F27E5A">
        <w:t xml:space="preserve">all schedules </w:t>
      </w:r>
      <w:r w:rsidR="000559D0" w:rsidRPr="00F27E5A">
        <w:t>gradually to reduce parity ratio imbalances</w:t>
      </w:r>
      <w:r w:rsidR="00D10E54" w:rsidRPr="00F27E5A">
        <w:t xml:space="preserve">, Staff applied </w:t>
      </w:r>
      <w:r w:rsidR="00487D61" w:rsidRPr="00F27E5A">
        <w:t>a</w:t>
      </w:r>
      <w:r w:rsidR="00D10E54" w:rsidRPr="00F27E5A">
        <w:t xml:space="preserve">n average </w:t>
      </w:r>
      <w:r w:rsidR="00F43C51" w:rsidRPr="00F27E5A">
        <w:t>or below average in</w:t>
      </w:r>
      <w:r w:rsidR="00D10E54" w:rsidRPr="00F27E5A">
        <w:t xml:space="preserve">crease to those schedules that are </w:t>
      </w:r>
      <w:r w:rsidR="00487D61" w:rsidRPr="00F27E5A">
        <w:t>above</w:t>
      </w:r>
      <w:r w:rsidR="00D10E54" w:rsidRPr="00F27E5A">
        <w:t xml:space="preserve"> their cost of service, and a</w:t>
      </w:r>
      <w:r w:rsidR="00F43C51" w:rsidRPr="00F27E5A">
        <w:t xml:space="preserve"> higher than average </w:t>
      </w:r>
      <w:r w:rsidR="00D10E54" w:rsidRPr="00F27E5A">
        <w:t xml:space="preserve">increase for </w:t>
      </w:r>
      <w:r w:rsidR="00476660" w:rsidRPr="00F27E5A">
        <w:t xml:space="preserve">those </w:t>
      </w:r>
      <w:r w:rsidR="00D10E54" w:rsidRPr="00F27E5A">
        <w:t>schedules that are under-</w:t>
      </w:r>
      <w:r w:rsidR="00476660" w:rsidRPr="00F27E5A">
        <w:t>contributing to</w:t>
      </w:r>
      <w:r w:rsidR="00D10E54" w:rsidRPr="00F27E5A">
        <w:t xml:space="preserve"> their cost of service.</w:t>
      </w:r>
      <w:r w:rsidR="00932206" w:rsidRPr="00F27E5A">
        <w:t xml:space="preserve">  </w:t>
      </w:r>
      <w:r w:rsidR="003E0CC4" w:rsidRPr="00F27E5A">
        <w:t xml:space="preserve">To reach </w:t>
      </w:r>
      <w:r w:rsidR="00476660" w:rsidRPr="00F27E5A">
        <w:t xml:space="preserve">complete </w:t>
      </w:r>
      <w:r w:rsidR="003E0CC4" w:rsidRPr="00F27E5A">
        <w:t>parity</w:t>
      </w:r>
      <w:r w:rsidR="000559D0" w:rsidRPr="00F27E5A">
        <w:t xml:space="preserve"> at </w:t>
      </w:r>
      <w:r w:rsidR="00C61091" w:rsidRPr="00F27E5A">
        <w:t xml:space="preserve">existing </w:t>
      </w:r>
      <w:r w:rsidR="000559D0" w:rsidRPr="00F27E5A">
        <w:t>rates</w:t>
      </w:r>
      <w:r w:rsidR="00210128" w:rsidRPr="00F27E5A">
        <w:t>:</w:t>
      </w:r>
      <w:r w:rsidR="003E0CC4" w:rsidRPr="00F27E5A">
        <w:t xml:space="preserve"> </w:t>
      </w:r>
    </w:p>
    <w:p w:rsidR="00210128" w:rsidRPr="00F27E5A" w:rsidRDefault="003E0CC4" w:rsidP="00932206">
      <w:pPr>
        <w:pStyle w:val="Answer-Testimony"/>
        <w:numPr>
          <w:ilvl w:val="0"/>
          <w:numId w:val="31"/>
        </w:numPr>
      </w:pPr>
      <w:r w:rsidRPr="00F27E5A">
        <w:t>Residential Schedule</w:t>
      </w:r>
      <w:r w:rsidR="00F43C51" w:rsidRPr="00F27E5A">
        <w:t>s</w:t>
      </w:r>
      <w:r w:rsidRPr="00F27E5A">
        <w:t xml:space="preserve"> 1</w:t>
      </w:r>
      <w:r w:rsidR="00F43C51" w:rsidRPr="00F27E5A">
        <w:t>6-18</w:t>
      </w:r>
      <w:r w:rsidRPr="00F27E5A">
        <w:t xml:space="preserve"> </w:t>
      </w:r>
      <w:r w:rsidR="00476660" w:rsidRPr="00F27E5A">
        <w:t xml:space="preserve">would </w:t>
      </w:r>
      <w:r w:rsidRPr="00F27E5A">
        <w:t>require a</w:t>
      </w:r>
      <w:r w:rsidR="00C61091" w:rsidRPr="00F27E5A">
        <w:t xml:space="preserve">pproximately an </w:t>
      </w:r>
      <w:r w:rsidR="00EE19C7" w:rsidRPr="00F27E5A">
        <w:t>8.</w:t>
      </w:r>
      <w:r w:rsidR="0002759E" w:rsidRPr="00F27E5A">
        <w:t>6</w:t>
      </w:r>
      <w:r w:rsidRPr="00F27E5A">
        <w:t xml:space="preserve"> percent </w:t>
      </w:r>
      <w:r w:rsidR="00210128" w:rsidRPr="00F27E5A">
        <w:t xml:space="preserve">rate </w:t>
      </w:r>
      <w:r w:rsidR="00C4453F" w:rsidRPr="00F27E5A">
        <w:t>increase;</w:t>
      </w:r>
    </w:p>
    <w:p w:rsidR="00210128" w:rsidRPr="00F27E5A" w:rsidRDefault="001A5EE2" w:rsidP="00932206">
      <w:pPr>
        <w:pStyle w:val="Answer-Testimony"/>
        <w:numPr>
          <w:ilvl w:val="0"/>
          <w:numId w:val="31"/>
        </w:numPr>
      </w:pPr>
      <w:r w:rsidRPr="00F27E5A">
        <w:t xml:space="preserve">Small </w:t>
      </w:r>
      <w:r w:rsidR="003E0CC4" w:rsidRPr="00F27E5A">
        <w:t>Gen</w:t>
      </w:r>
      <w:r w:rsidRPr="00F27E5A">
        <w:t>eral Service Schedule 24</w:t>
      </w:r>
      <w:r w:rsidR="003E0CC4" w:rsidRPr="00F27E5A">
        <w:t xml:space="preserve"> would require a rate decrease of approximately </w:t>
      </w:r>
      <w:r w:rsidR="00EE19C7" w:rsidRPr="00F27E5A">
        <w:t>4</w:t>
      </w:r>
      <w:r w:rsidR="0002759E" w:rsidRPr="00F27E5A">
        <w:t>.1</w:t>
      </w:r>
      <w:r w:rsidR="003E0CC4" w:rsidRPr="00F27E5A">
        <w:t xml:space="preserve"> percent</w:t>
      </w:r>
      <w:r w:rsidR="00476660" w:rsidRPr="00F27E5A">
        <w:t>;</w:t>
      </w:r>
    </w:p>
    <w:p w:rsidR="00210128" w:rsidRPr="00F27E5A" w:rsidRDefault="00EE19C7" w:rsidP="00932206">
      <w:pPr>
        <w:pStyle w:val="Answer-Testimony"/>
        <w:numPr>
          <w:ilvl w:val="0"/>
          <w:numId w:val="31"/>
        </w:numPr>
      </w:pPr>
      <w:r w:rsidRPr="00F27E5A">
        <w:t xml:space="preserve">Large General Service less than 1,000 kWh </w:t>
      </w:r>
      <w:r w:rsidR="003E0CC4" w:rsidRPr="00F27E5A">
        <w:t xml:space="preserve">Schedule </w:t>
      </w:r>
      <w:r w:rsidRPr="00F27E5A">
        <w:t>36</w:t>
      </w:r>
      <w:r w:rsidR="003E0CC4" w:rsidRPr="00F27E5A">
        <w:t xml:space="preserve"> would </w:t>
      </w:r>
      <w:r w:rsidR="00476660" w:rsidRPr="00F27E5A">
        <w:t>require</w:t>
      </w:r>
      <w:r w:rsidR="003E0CC4" w:rsidRPr="00F27E5A">
        <w:t xml:space="preserve"> a rate </w:t>
      </w:r>
      <w:r w:rsidRPr="00F27E5A">
        <w:t>in</w:t>
      </w:r>
      <w:r w:rsidR="003E0CC4" w:rsidRPr="00F27E5A">
        <w:t xml:space="preserve">crease of approximately </w:t>
      </w:r>
      <w:r w:rsidRPr="00F27E5A">
        <w:t>2.</w:t>
      </w:r>
      <w:r w:rsidR="0002759E" w:rsidRPr="00F27E5A">
        <w:t>4</w:t>
      </w:r>
      <w:r w:rsidR="003E0CC4" w:rsidRPr="00F27E5A">
        <w:t xml:space="preserve"> percen</w:t>
      </w:r>
      <w:r w:rsidR="00C4453F" w:rsidRPr="00F27E5A">
        <w:t>t;</w:t>
      </w:r>
    </w:p>
    <w:p w:rsidR="00210128" w:rsidRPr="00F27E5A" w:rsidRDefault="00EE19C7" w:rsidP="00932206">
      <w:pPr>
        <w:pStyle w:val="Answer-Testimony"/>
        <w:numPr>
          <w:ilvl w:val="0"/>
          <w:numId w:val="31"/>
        </w:numPr>
      </w:pPr>
      <w:r w:rsidRPr="00F27E5A">
        <w:t xml:space="preserve">Large General Service greater than 1,000 kWh </w:t>
      </w:r>
      <w:r w:rsidR="00C61091" w:rsidRPr="00F27E5A">
        <w:t xml:space="preserve">Schedules </w:t>
      </w:r>
      <w:r w:rsidRPr="00F27E5A">
        <w:t>48</w:t>
      </w:r>
      <w:r w:rsidR="00C61091" w:rsidRPr="00F27E5A">
        <w:t xml:space="preserve"> would </w:t>
      </w:r>
      <w:r w:rsidR="00476660" w:rsidRPr="00F27E5A">
        <w:t>require</w:t>
      </w:r>
      <w:r w:rsidR="00C61091" w:rsidRPr="00F27E5A">
        <w:t xml:space="preserve"> a </w:t>
      </w:r>
      <w:r w:rsidRPr="00F27E5A">
        <w:t>rate increase of approximately 6.</w:t>
      </w:r>
      <w:r w:rsidR="0002759E" w:rsidRPr="00F27E5A">
        <w:t>4</w:t>
      </w:r>
      <w:r w:rsidR="00C61091" w:rsidRPr="00F27E5A">
        <w:t xml:space="preserve"> percent</w:t>
      </w:r>
      <w:r w:rsidR="00476660" w:rsidRPr="00F27E5A">
        <w:t>;</w:t>
      </w:r>
    </w:p>
    <w:p w:rsidR="00210128" w:rsidRPr="00F27E5A" w:rsidRDefault="00EE19C7" w:rsidP="00932206">
      <w:pPr>
        <w:pStyle w:val="Answer-Testimony"/>
        <w:numPr>
          <w:ilvl w:val="0"/>
          <w:numId w:val="31"/>
        </w:numPr>
      </w:pPr>
      <w:r w:rsidRPr="00F27E5A">
        <w:t xml:space="preserve">Dedicated Facilities </w:t>
      </w:r>
      <w:r w:rsidR="00C61091" w:rsidRPr="00F27E5A">
        <w:t xml:space="preserve">Schedule </w:t>
      </w:r>
      <w:r w:rsidRPr="00F27E5A">
        <w:t>48T</w:t>
      </w:r>
      <w:r w:rsidR="00C61091" w:rsidRPr="00F27E5A">
        <w:t xml:space="preserve"> </w:t>
      </w:r>
      <w:r w:rsidRPr="00F27E5A">
        <w:t xml:space="preserve">would </w:t>
      </w:r>
      <w:r w:rsidR="00476660" w:rsidRPr="00F27E5A">
        <w:t>require</w:t>
      </w:r>
      <w:r w:rsidRPr="00F27E5A">
        <w:t xml:space="preserve"> a rate increase of approximately 11.</w:t>
      </w:r>
      <w:r w:rsidR="0002759E" w:rsidRPr="00F27E5A">
        <w:t>6</w:t>
      </w:r>
      <w:r w:rsidRPr="00F27E5A">
        <w:t xml:space="preserve"> percent</w:t>
      </w:r>
      <w:r w:rsidR="00476660" w:rsidRPr="00F27E5A">
        <w:t>;</w:t>
      </w:r>
    </w:p>
    <w:p w:rsidR="00210128" w:rsidRPr="00F27E5A" w:rsidRDefault="00EE19C7" w:rsidP="00932206">
      <w:pPr>
        <w:pStyle w:val="Answer-Testimony"/>
        <w:numPr>
          <w:ilvl w:val="0"/>
          <w:numId w:val="31"/>
        </w:numPr>
      </w:pPr>
      <w:r w:rsidRPr="00F27E5A">
        <w:t xml:space="preserve">Agricultural Pumping Service Schedule 40 would </w:t>
      </w:r>
      <w:r w:rsidR="00476660" w:rsidRPr="00F27E5A">
        <w:t>require</w:t>
      </w:r>
      <w:r w:rsidRPr="00F27E5A">
        <w:t xml:space="preserve"> a rate decrease of approximately 5.</w:t>
      </w:r>
      <w:r w:rsidR="0002759E" w:rsidRPr="00F27E5A">
        <w:t>4</w:t>
      </w:r>
      <w:r w:rsidRPr="00F27E5A">
        <w:t xml:space="preserve"> percent</w:t>
      </w:r>
      <w:r w:rsidR="00476660" w:rsidRPr="00F27E5A">
        <w:t>;</w:t>
      </w:r>
      <w:r w:rsidRPr="00F27E5A">
        <w:t xml:space="preserve"> </w:t>
      </w:r>
      <w:r w:rsidR="00210128" w:rsidRPr="00F27E5A">
        <w:t>and</w:t>
      </w:r>
    </w:p>
    <w:p w:rsidR="00210128" w:rsidRPr="00F27E5A" w:rsidRDefault="00EE19C7" w:rsidP="00932206">
      <w:pPr>
        <w:pStyle w:val="Answer-Testimony"/>
        <w:numPr>
          <w:ilvl w:val="0"/>
          <w:numId w:val="31"/>
        </w:numPr>
      </w:pPr>
      <w:r w:rsidRPr="00F27E5A">
        <w:t xml:space="preserve">Street Lighting Schedules 15, 51-54, and 57 </w:t>
      </w:r>
      <w:r w:rsidR="00C61091" w:rsidRPr="00F27E5A">
        <w:t xml:space="preserve">would require a rate </w:t>
      </w:r>
      <w:r w:rsidRPr="00F27E5A">
        <w:t>de</w:t>
      </w:r>
      <w:r w:rsidR="00C61091" w:rsidRPr="00F27E5A">
        <w:t xml:space="preserve">crease of approximately </w:t>
      </w:r>
      <w:r w:rsidRPr="00F27E5A">
        <w:t>11.</w:t>
      </w:r>
      <w:r w:rsidR="00797263">
        <w:t>7</w:t>
      </w:r>
      <w:r w:rsidR="00C61091" w:rsidRPr="00F27E5A">
        <w:t xml:space="preserve"> percent</w:t>
      </w:r>
      <w:r w:rsidR="00461C56" w:rsidRPr="00F27E5A">
        <w:t>.</w:t>
      </w:r>
    </w:p>
    <w:p w:rsidR="003E0CC4" w:rsidRPr="00F27E5A" w:rsidRDefault="00476660" w:rsidP="00932206">
      <w:pPr>
        <w:pStyle w:val="Answer-Testimony"/>
        <w:ind w:firstLine="0"/>
      </w:pPr>
      <w:r w:rsidRPr="00F27E5A">
        <w:lastRenderedPageBreak/>
        <w:t>In Staff’s judgment, the more gradual approach we recommend is preferable.</w:t>
      </w:r>
    </w:p>
    <w:p w:rsidR="00476660" w:rsidRPr="00F27E5A" w:rsidRDefault="00476660" w:rsidP="00461C56">
      <w:pPr>
        <w:pStyle w:val="Answer-Testimony"/>
      </w:pPr>
    </w:p>
    <w:p w:rsidR="00476660" w:rsidRPr="00F27E5A" w:rsidRDefault="00476660" w:rsidP="001253C5">
      <w:pPr>
        <w:pStyle w:val="Question-Testimony"/>
      </w:pPr>
      <w:r w:rsidRPr="00F27E5A">
        <w:t>Q.</w:t>
      </w:r>
      <w:r w:rsidRPr="00F27E5A">
        <w:tab/>
        <w:t>What are the parity ratios after applying Staff’s proposed revenue allocation?</w:t>
      </w:r>
    </w:p>
    <w:p w:rsidR="00A56D46" w:rsidRPr="00772AB8" w:rsidRDefault="00476660">
      <w:pPr>
        <w:pStyle w:val="Answer-Testimony"/>
      </w:pPr>
      <w:r w:rsidRPr="0012306B">
        <w:t>A.</w:t>
      </w:r>
      <w:r w:rsidRPr="0012306B">
        <w:tab/>
      </w:r>
      <w:r w:rsidR="00A21EAB" w:rsidRPr="0012306B">
        <w:t xml:space="preserve">Table </w:t>
      </w:r>
      <w:r w:rsidR="007E4E7C" w:rsidRPr="00B00592">
        <w:t>2</w:t>
      </w:r>
      <w:r w:rsidR="00A21EAB" w:rsidRPr="00B00592">
        <w:t xml:space="preserve"> below</w:t>
      </w:r>
      <w:r w:rsidR="002D7DCE" w:rsidRPr="00B00592">
        <w:t xml:space="preserve"> shows </w:t>
      </w:r>
      <w:r w:rsidR="002D7DCE" w:rsidRPr="003B1790">
        <w:t>t</w:t>
      </w:r>
      <w:r w:rsidR="003E0CC4" w:rsidRPr="003B1790">
        <w:t>h</w:t>
      </w:r>
      <w:r w:rsidR="001A5EE2" w:rsidRPr="003B1790">
        <w:t xml:space="preserve">at Staff moved all </w:t>
      </w:r>
      <w:r w:rsidR="00584882" w:rsidRPr="003B1790">
        <w:t>s</w:t>
      </w:r>
      <w:r w:rsidR="001A5EE2" w:rsidRPr="003B1790">
        <w:t xml:space="preserve">chedules within approximately 5 percent of parity, which is typically an acceptable range, with the exception of Street Lighting Schedules 15, 51-54, and 57.  </w:t>
      </w:r>
      <w:r w:rsidR="007E7EAB" w:rsidRPr="003B1790">
        <w:t xml:space="preserve">These results are </w:t>
      </w:r>
      <w:r w:rsidRPr="003B1790">
        <w:t>shown</w:t>
      </w:r>
      <w:r w:rsidR="007E7EAB" w:rsidRPr="003B1790">
        <w:t xml:space="preserve"> in the summary of results from the cost of service study on </w:t>
      </w:r>
      <w:r w:rsidRPr="003B1790">
        <w:t>my</w:t>
      </w:r>
      <w:r w:rsidR="007E7EAB" w:rsidRPr="003B1790">
        <w:t xml:space="preserve"> </w:t>
      </w:r>
      <w:r w:rsidRPr="003B1790">
        <w:t>E</w:t>
      </w:r>
      <w:r w:rsidR="007E7EAB" w:rsidRPr="003B1790">
        <w:t>xhibit No. ___</w:t>
      </w:r>
      <w:r w:rsidR="00D10E54" w:rsidRPr="003B1790">
        <w:t xml:space="preserve"> </w:t>
      </w:r>
      <w:r w:rsidR="007E7EAB" w:rsidRPr="003B1790">
        <w:t>(CTM-</w:t>
      </w:r>
      <w:r w:rsidR="007E4E7C" w:rsidRPr="003B1790">
        <w:t>4</w:t>
      </w:r>
      <w:r w:rsidR="007E7EAB" w:rsidRPr="003B1790">
        <w:t>)</w:t>
      </w:r>
      <w:r w:rsidR="00210128" w:rsidRPr="003B1790">
        <w:t xml:space="preserve">, </w:t>
      </w:r>
      <w:r w:rsidR="001253C5" w:rsidRPr="003B1790">
        <w:t xml:space="preserve">page </w:t>
      </w:r>
      <w:r w:rsidRPr="003B1790">
        <w:t>2, column O.</w:t>
      </w:r>
    </w:p>
    <w:tbl>
      <w:tblPr>
        <w:tblpPr w:leftFromText="187" w:rightFromText="187" w:vertAnchor="text" w:horzAnchor="page" w:tblpX="2634" w:tblpY="818"/>
        <w:tblOverlap w:val="never"/>
        <w:tblW w:w="7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tblGrid>
      <w:tr w:rsidR="00F27E5A" w:rsidRPr="00F27E5A" w:rsidTr="00B4363A">
        <w:trPr>
          <w:cantSplit/>
        </w:trPr>
        <w:tc>
          <w:tcPr>
            <w:tcW w:w="4691" w:type="dxa"/>
            <w:vAlign w:val="center"/>
          </w:tcPr>
          <w:p w:rsidR="00B4363A" w:rsidRPr="00F27E5A" w:rsidRDefault="00B4363A" w:rsidP="005A05E0">
            <w:pPr>
              <w:pStyle w:val="answer"/>
              <w:keepNext/>
              <w:spacing w:before="60" w:after="60" w:line="240" w:lineRule="auto"/>
              <w:ind w:left="0" w:firstLine="0"/>
              <w:jc w:val="center"/>
              <w:rPr>
                <w:b/>
              </w:rPr>
            </w:pPr>
            <w:r w:rsidRPr="00F27E5A">
              <w:rPr>
                <w:b/>
              </w:rPr>
              <w:t>Customer Class</w:t>
            </w:r>
          </w:p>
        </w:tc>
        <w:tc>
          <w:tcPr>
            <w:tcW w:w="1296" w:type="dxa"/>
            <w:vAlign w:val="center"/>
          </w:tcPr>
          <w:p w:rsidR="00B4363A" w:rsidRPr="00F27E5A" w:rsidRDefault="00B4363A" w:rsidP="005A05E0">
            <w:pPr>
              <w:pStyle w:val="answer"/>
              <w:keepNext/>
              <w:spacing w:before="60" w:after="60" w:line="240" w:lineRule="auto"/>
              <w:ind w:left="0" w:firstLine="0"/>
              <w:jc w:val="center"/>
              <w:rPr>
                <w:b/>
              </w:rPr>
            </w:pPr>
            <w:r w:rsidRPr="00F27E5A">
              <w:rPr>
                <w:b/>
              </w:rPr>
              <w:t>Current</w:t>
            </w:r>
          </w:p>
        </w:tc>
        <w:tc>
          <w:tcPr>
            <w:tcW w:w="1296" w:type="dxa"/>
            <w:vAlign w:val="center"/>
          </w:tcPr>
          <w:p w:rsidR="00B4363A" w:rsidRPr="00F27E5A" w:rsidRDefault="00B4363A" w:rsidP="005A05E0">
            <w:pPr>
              <w:pStyle w:val="answer"/>
              <w:keepNext/>
              <w:spacing w:before="60" w:after="60" w:line="240" w:lineRule="auto"/>
              <w:ind w:left="0" w:firstLine="0"/>
              <w:jc w:val="center"/>
              <w:rPr>
                <w:b/>
              </w:rPr>
            </w:pPr>
            <w:r w:rsidRPr="00F27E5A">
              <w:rPr>
                <w:b/>
              </w:rPr>
              <w:t>Staff Proposal</w:t>
            </w:r>
          </w:p>
        </w:tc>
      </w:tr>
      <w:tr w:rsidR="00F27E5A" w:rsidRPr="00F27E5A" w:rsidTr="00B4363A">
        <w:trPr>
          <w:cantSplit/>
        </w:trPr>
        <w:tc>
          <w:tcPr>
            <w:tcW w:w="4691" w:type="dxa"/>
            <w:vAlign w:val="center"/>
          </w:tcPr>
          <w:p w:rsidR="00B4363A" w:rsidRPr="00F27E5A" w:rsidRDefault="00B4363A" w:rsidP="005E4EBD">
            <w:pPr>
              <w:pStyle w:val="answer"/>
              <w:keepNext/>
              <w:spacing w:before="60" w:after="60" w:line="240" w:lineRule="auto"/>
              <w:ind w:left="0" w:firstLine="0"/>
            </w:pPr>
            <w:r w:rsidRPr="00F27E5A">
              <w:t>Total System</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1.000</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1.000</w:t>
            </w:r>
          </w:p>
        </w:tc>
      </w:tr>
      <w:tr w:rsidR="00F27E5A" w:rsidRPr="00F27E5A" w:rsidTr="00B4363A">
        <w:trPr>
          <w:cantSplit/>
        </w:trPr>
        <w:tc>
          <w:tcPr>
            <w:tcW w:w="4691" w:type="dxa"/>
            <w:vAlign w:val="center"/>
          </w:tcPr>
          <w:p w:rsidR="00B4363A" w:rsidRPr="00F27E5A" w:rsidRDefault="00B4363A" w:rsidP="005E4EBD">
            <w:pPr>
              <w:pStyle w:val="answer"/>
              <w:keepNext/>
              <w:spacing w:before="60" w:after="60" w:line="240" w:lineRule="auto"/>
              <w:ind w:left="0" w:firstLine="0"/>
            </w:pPr>
            <w:r w:rsidRPr="00F27E5A">
              <w:t>Residential (Schedule 16, 17, and 18)</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0.966</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0.972</w:t>
            </w:r>
          </w:p>
        </w:tc>
      </w:tr>
      <w:tr w:rsidR="00F27E5A" w:rsidRPr="00F27E5A" w:rsidTr="00B4363A">
        <w:trPr>
          <w:cantSplit/>
        </w:trPr>
        <w:tc>
          <w:tcPr>
            <w:tcW w:w="4691" w:type="dxa"/>
            <w:vAlign w:val="center"/>
          </w:tcPr>
          <w:p w:rsidR="00B4363A" w:rsidRPr="00F27E5A" w:rsidRDefault="00B4363A" w:rsidP="005E4EBD">
            <w:pPr>
              <w:pStyle w:val="answer"/>
              <w:keepNext/>
              <w:spacing w:before="60" w:after="60" w:line="240" w:lineRule="auto"/>
              <w:ind w:left="0" w:firstLine="0"/>
            </w:pPr>
            <w:r w:rsidRPr="00F27E5A">
              <w:t>Small General Service (Schedule 24)</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1.094</w:t>
            </w:r>
          </w:p>
        </w:tc>
        <w:tc>
          <w:tcPr>
            <w:tcW w:w="1296" w:type="dxa"/>
            <w:vAlign w:val="center"/>
          </w:tcPr>
          <w:p w:rsidR="00B4363A" w:rsidRPr="00F27E5A" w:rsidRDefault="00B4363A" w:rsidP="00C032D7">
            <w:pPr>
              <w:pStyle w:val="answer"/>
              <w:keepNext/>
              <w:spacing w:before="60" w:after="60" w:line="240" w:lineRule="auto"/>
              <w:ind w:left="0" w:firstLine="0"/>
              <w:jc w:val="center"/>
            </w:pPr>
            <w:r w:rsidRPr="00F27E5A">
              <w:t>1.06</w:t>
            </w:r>
            <w:r w:rsidR="00C032D7" w:rsidRPr="00F27E5A">
              <w:t>8</w:t>
            </w:r>
          </w:p>
        </w:tc>
      </w:tr>
      <w:tr w:rsidR="007063A9" w:rsidRPr="00F27E5A" w:rsidTr="00B4363A">
        <w:trPr>
          <w:cantSplit/>
        </w:trPr>
        <w:tc>
          <w:tcPr>
            <w:tcW w:w="4691" w:type="dxa"/>
            <w:vAlign w:val="center"/>
          </w:tcPr>
          <w:p w:rsidR="007063A9" w:rsidRPr="00F27E5A" w:rsidRDefault="007063A9" w:rsidP="007063A9">
            <w:pPr>
              <w:pStyle w:val="answer"/>
              <w:keepNext/>
              <w:spacing w:before="60" w:after="60" w:line="240" w:lineRule="auto"/>
              <w:ind w:left="0" w:firstLine="0"/>
            </w:pPr>
            <w:r w:rsidRPr="00D43FE4">
              <w:t>Large General Service &lt; 1,000 (Schedule 36)</w:t>
            </w:r>
          </w:p>
        </w:tc>
        <w:tc>
          <w:tcPr>
            <w:tcW w:w="1296" w:type="dxa"/>
            <w:vAlign w:val="center"/>
          </w:tcPr>
          <w:p w:rsidR="007063A9" w:rsidRPr="00F27E5A" w:rsidRDefault="007063A9" w:rsidP="00BE7462">
            <w:pPr>
              <w:pStyle w:val="answer"/>
              <w:keepNext/>
              <w:spacing w:before="60" w:after="60" w:line="240" w:lineRule="auto"/>
              <w:ind w:left="0" w:firstLine="0"/>
              <w:jc w:val="center"/>
            </w:pPr>
            <w:r w:rsidRPr="00962C66">
              <w:t>1.02</w:t>
            </w:r>
            <w:r w:rsidR="00BE7462">
              <w:t>4</w:t>
            </w:r>
          </w:p>
        </w:tc>
        <w:tc>
          <w:tcPr>
            <w:tcW w:w="1296" w:type="dxa"/>
            <w:vAlign w:val="center"/>
          </w:tcPr>
          <w:p w:rsidR="007063A9" w:rsidRPr="00F27E5A" w:rsidRDefault="007063A9" w:rsidP="003530EC">
            <w:pPr>
              <w:pStyle w:val="answer"/>
              <w:keepNext/>
              <w:spacing w:before="60" w:after="60" w:line="240" w:lineRule="auto"/>
              <w:ind w:left="0" w:firstLine="0"/>
              <w:jc w:val="center"/>
            </w:pPr>
            <w:r w:rsidRPr="007063A9">
              <w:t>1.02</w:t>
            </w:r>
            <w:r w:rsidR="003530EC">
              <w:t>1</w:t>
            </w:r>
          </w:p>
        </w:tc>
      </w:tr>
      <w:tr w:rsidR="00F27E5A" w:rsidRPr="00F27E5A" w:rsidTr="00B4363A">
        <w:trPr>
          <w:cantSplit/>
        </w:trPr>
        <w:tc>
          <w:tcPr>
            <w:tcW w:w="4691" w:type="dxa"/>
            <w:vAlign w:val="center"/>
          </w:tcPr>
          <w:p w:rsidR="00B4363A" w:rsidRPr="00F27E5A" w:rsidRDefault="00B4363A" w:rsidP="005E4EBD">
            <w:pPr>
              <w:pStyle w:val="answer"/>
              <w:keepNext/>
              <w:spacing w:before="60" w:after="60" w:line="240" w:lineRule="auto"/>
              <w:ind w:left="0" w:firstLine="0"/>
            </w:pPr>
            <w:r w:rsidRPr="00F27E5A">
              <w:t>Large General Service &gt; 1,000 (Schedule 48T)</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0.985</w:t>
            </w:r>
          </w:p>
        </w:tc>
        <w:tc>
          <w:tcPr>
            <w:tcW w:w="1296" w:type="dxa"/>
            <w:vAlign w:val="center"/>
          </w:tcPr>
          <w:p w:rsidR="00B4363A" w:rsidRPr="00F27E5A" w:rsidRDefault="00B4363A" w:rsidP="00C032D7">
            <w:pPr>
              <w:pStyle w:val="answer"/>
              <w:keepNext/>
              <w:spacing w:before="60" w:after="60" w:line="240" w:lineRule="auto"/>
              <w:ind w:left="0" w:firstLine="0"/>
              <w:jc w:val="center"/>
            </w:pPr>
            <w:r w:rsidRPr="00F27E5A">
              <w:t>0.99</w:t>
            </w:r>
            <w:r w:rsidR="00C032D7" w:rsidRPr="00F27E5A">
              <w:t>2</w:t>
            </w:r>
          </w:p>
        </w:tc>
      </w:tr>
      <w:tr w:rsidR="00F27E5A" w:rsidRPr="00F27E5A" w:rsidTr="00B4363A">
        <w:trPr>
          <w:cantSplit/>
        </w:trPr>
        <w:tc>
          <w:tcPr>
            <w:tcW w:w="4691" w:type="dxa"/>
            <w:vAlign w:val="center"/>
          </w:tcPr>
          <w:p w:rsidR="00B4363A" w:rsidRPr="00F27E5A" w:rsidRDefault="00B4363A" w:rsidP="005E4EBD">
            <w:pPr>
              <w:pStyle w:val="answer"/>
              <w:keepNext/>
              <w:spacing w:before="60" w:after="60" w:line="240" w:lineRule="auto"/>
              <w:ind w:left="0" w:firstLine="0"/>
            </w:pPr>
            <w:r w:rsidRPr="00F27E5A">
              <w:t>Dedicated Facilities (Schedule 48T)</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0.936</w:t>
            </w:r>
          </w:p>
        </w:tc>
        <w:tc>
          <w:tcPr>
            <w:tcW w:w="1296" w:type="dxa"/>
            <w:vAlign w:val="center"/>
          </w:tcPr>
          <w:p w:rsidR="00B4363A" w:rsidRPr="00F27E5A" w:rsidRDefault="00B4363A" w:rsidP="00C032D7">
            <w:pPr>
              <w:pStyle w:val="answer"/>
              <w:keepNext/>
              <w:spacing w:before="60" w:after="60" w:line="240" w:lineRule="auto"/>
              <w:ind w:left="0" w:firstLine="0"/>
              <w:jc w:val="center"/>
            </w:pPr>
            <w:r w:rsidRPr="00F27E5A">
              <w:t>0.95</w:t>
            </w:r>
            <w:r w:rsidR="003530EC">
              <w:t>7</w:t>
            </w:r>
          </w:p>
        </w:tc>
      </w:tr>
      <w:tr w:rsidR="00F27E5A" w:rsidRPr="00F27E5A" w:rsidTr="00B4363A">
        <w:trPr>
          <w:cantSplit/>
        </w:trPr>
        <w:tc>
          <w:tcPr>
            <w:tcW w:w="4691" w:type="dxa"/>
            <w:vAlign w:val="center"/>
          </w:tcPr>
          <w:p w:rsidR="00B4363A" w:rsidRPr="00F27E5A" w:rsidRDefault="00B4363A" w:rsidP="005E4EBD">
            <w:pPr>
              <w:pStyle w:val="answer"/>
              <w:keepNext/>
              <w:spacing w:before="60" w:after="60" w:line="240" w:lineRule="auto"/>
              <w:ind w:left="0" w:firstLine="0"/>
            </w:pPr>
            <w:r w:rsidRPr="00F27E5A">
              <w:t>Agricultural Pumping Service (Schedule 40)</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1.111</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1.082</w:t>
            </w:r>
          </w:p>
        </w:tc>
      </w:tr>
      <w:tr w:rsidR="00F27E5A" w:rsidRPr="00F27E5A" w:rsidTr="00B4363A">
        <w:trPr>
          <w:cantSplit/>
        </w:trPr>
        <w:tc>
          <w:tcPr>
            <w:tcW w:w="4691" w:type="dxa"/>
            <w:vAlign w:val="center"/>
          </w:tcPr>
          <w:p w:rsidR="00B4363A" w:rsidRPr="00F27E5A" w:rsidRDefault="00B4363A" w:rsidP="005E4EBD">
            <w:pPr>
              <w:pStyle w:val="answer"/>
              <w:keepNext/>
              <w:spacing w:before="60" w:after="60" w:line="240" w:lineRule="auto"/>
              <w:ind w:left="0" w:firstLine="0"/>
            </w:pPr>
            <w:r w:rsidRPr="00F27E5A">
              <w:t>Street Lighting (Schedules 15, 51-54, and 57)</w:t>
            </w:r>
          </w:p>
        </w:tc>
        <w:tc>
          <w:tcPr>
            <w:tcW w:w="1296" w:type="dxa"/>
            <w:vAlign w:val="center"/>
          </w:tcPr>
          <w:p w:rsidR="00B4363A" w:rsidRPr="00F27E5A" w:rsidRDefault="00B4363A" w:rsidP="005E4EBD">
            <w:pPr>
              <w:pStyle w:val="answer"/>
              <w:keepNext/>
              <w:spacing w:before="60" w:after="60" w:line="240" w:lineRule="auto"/>
              <w:ind w:left="0" w:firstLine="0"/>
              <w:jc w:val="center"/>
            </w:pPr>
            <w:r w:rsidRPr="00F27E5A">
              <w:t>1.186</w:t>
            </w:r>
          </w:p>
        </w:tc>
        <w:tc>
          <w:tcPr>
            <w:tcW w:w="1296" w:type="dxa"/>
            <w:vAlign w:val="center"/>
          </w:tcPr>
          <w:p w:rsidR="00B4363A" w:rsidRPr="00F27E5A" w:rsidRDefault="00B4363A" w:rsidP="00C032D7">
            <w:pPr>
              <w:pStyle w:val="answer"/>
              <w:keepNext/>
              <w:spacing w:before="60" w:after="60" w:line="240" w:lineRule="auto"/>
              <w:ind w:left="0" w:firstLine="0"/>
              <w:jc w:val="center"/>
            </w:pPr>
            <w:r w:rsidRPr="00F27E5A">
              <w:t>1.13</w:t>
            </w:r>
            <w:r w:rsidR="00C032D7" w:rsidRPr="00F27E5A">
              <w:t>2</w:t>
            </w:r>
          </w:p>
        </w:tc>
      </w:tr>
    </w:tbl>
    <w:p w:rsidR="007E7EAB" w:rsidRPr="00F27E5A" w:rsidRDefault="007E7EAB" w:rsidP="007E7EAB">
      <w:pPr>
        <w:pStyle w:val="Answer-Testimony"/>
        <w:jc w:val="center"/>
      </w:pPr>
      <w:r w:rsidRPr="00F27E5A">
        <w:t xml:space="preserve">Table </w:t>
      </w:r>
      <w:r w:rsidR="007E4E7C" w:rsidRPr="00F27E5A">
        <w:t>2</w:t>
      </w:r>
      <w:r w:rsidRPr="00F27E5A">
        <w:t>:  Summary of Parity Ratios</w:t>
      </w:r>
    </w:p>
    <w:p w:rsidR="007E7EAB" w:rsidRPr="00A56D46" w:rsidRDefault="007E7EAB" w:rsidP="007E7EAB">
      <w:pPr>
        <w:pStyle w:val="Answer-Testimony"/>
        <w:rPr>
          <w:color w:val="FFFFFF" w:themeColor="background1"/>
        </w:rPr>
      </w:pPr>
      <w:r w:rsidRPr="00A56D46">
        <w:rPr>
          <w:color w:val="FFFFFF" w:themeColor="background1"/>
        </w:rPr>
        <w:t>R</w:t>
      </w:r>
    </w:p>
    <w:p w:rsidR="00C2151C" w:rsidRPr="00A56D46" w:rsidRDefault="007E7EAB" w:rsidP="007E7EAB">
      <w:pPr>
        <w:pStyle w:val="Answer-Testimony"/>
        <w:rPr>
          <w:color w:val="FFFFFF" w:themeColor="background1"/>
        </w:rPr>
      </w:pPr>
      <w:r w:rsidRPr="00A56D46">
        <w:rPr>
          <w:color w:val="FFFFFF" w:themeColor="background1"/>
        </w:rPr>
        <w:t>R</w:t>
      </w:r>
    </w:p>
    <w:p w:rsidR="00C2151C" w:rsidRPr="00A56D46" w:rsidRDefault="00C2151C" w:rsidP="007E7EAB">
      <w:pPr>
        <w:pStyle w:val="Answer-Testimony"/>
        <w:rPr>
          <w:color w:val="FFFFFF" w:themeColor="background1"/>
        </w:rPr>
      </w:pPr>
    </w:p>
    <w:p w:rsidR="00C2151C" w:rsidRPr="00A56D46" w:rsidRDefault="00C2151C" w:rsidP="007E7EAB">
      <w:pPr>
        <w:pStyle w:val="Answer-Testimony"/>
        <w:rPr>
          <w:color w:val="FFFFFF" w:themeColor="background1"/>
        </w:rPr>
      </w:pPr>
    </w:p>
    <w:p w:rsidR="007E7EAB" w:rsidRPr="00A56D46" w:rsidRDefault="007E7EAB" w:rsidP="007E7EAB">
      <w:pPr>
        <w:pStyle w:val="Answer-Testimony"/>
        <w:rPr>
          <w:color w:val="FFFFFF" w:themeColor="background1"/>
        </w:rPr>
      </w:pPr>
      <w:r w:rsidRPr="00A56D46">
        <w:rPr>
          <w:color w:val="FFFFFF" w:themeColor="background1"/>
        </w:rPr>
        <w:t>R</w:t>
      </w:r>
    </w:p>
    <w:p w:rsidR="007E7EAB" w:rsidRPr="00A56D46" w:rsidRDefault="007E7EAB" w:rsidP="007E7EAB">
      <w:pPr>
        <w:pStyle w:val="Answer-Testimony"/>
        <w:rPr>
          <w:color w:val="FFFFFF" w:themeColor="background1"/>
        </w:rPr>
      </w:pPr>
      <w:r w:rsidRPr="00A56D46">
        <w:rPr>
          <w:color w:val="FFFFFF" w:themeColor="background1"/>
        </w:rPr>
        <w:t>R</w:t>
      </w:r>
    </w:p>
    <w:p w:rsidR="007E7EAB" w:rsidRPr="00A56D46" w:rsidRDefault="007E7EAB" w:rsidP="007E7EAB">
      <w:pPr>
        <w:pStyle w:val="Answer-Testimony"/>
        <w:rPr>
          <w:color w:val="FFFFFF" w:themeColor="background1"/>
        </w:rPr>
      </w:pPr>
      <w:r w:rsidRPr="00A56D46">
        <w:rPr>
          <w:color w:val="FFFFFF" w:themeColor="background1"/>
        </w:rPr>
        <w:t>R</w:t>
      </w:r>
    </w:p>
    <w:p w:rsidR="007E7EAB" w:rsidRPr="00A56D46" w:rsidRDefault="007E7EAB" w:rsidP="007E7EAB">
      <w:pPr>
        <w:pStyle w:val="Question-Testimony"/>
        <w:rPr>
          <w:color w:val="FFFFFF" w:themeColor="background1"/>
        </w:rPr>
      </w:pPr>
      <w:r w:rsidRPr="00A56D46">
        <w:rPr>
          <w:color w:val="FFFFFF" w:themeColor="background1"/>
        </w:rPr>
        <w:t>R</w:t>
      </w:r>
    </w:p>
    <w:p w:rsidR="007E7EAB" w:rsidRPr="00F27E5A" w:rsidRDefault="007E7EAB" w:rsidP="007E7EAB">
      <w:pPr>
        <w:pStyle w:val="Question-Testimony"/>
      </w:pPr>
      <w:r w:rsidRPr="00A56D46">
        <w:rPr>
          <w:color w:val="FFFFFF" w:themeColor="background1"/>
        </w:rPr>
        <w:t>R</w:t>
      </w:r>
    </w:p>
    <w:p w:rsidR="008C55C9" w:rsidRPr="00F27E5A" w:rsidRDefault="008C55C9" w:rsidP="008C55C9">
      <w:pPr>
        <w:pStyle w:val="Question-Testimony"/>
      </w:pPr>
      <w:r w:rsidRPr="00F27E5A">
        <w:t>Q.</w:t>
      </w:r>
      <w:r w:rsidRPr="00F27E5A">
        <w:tab/>
      </w:r>
      <w:r w:rsidR="00476660" w:rsidRPr="00F27E5A">
        <w:t>D</w:t>
      </w:r>
      <w:r w:rsidRPr="00F27E5A">
        <w:t xml:space="preserve">oes </w:t>
      </w:r>
      <w:r w:rsidR="00476660" w:rsidRPr="00F27E5A">
        <w:t xml:space="preserve">Staff’s </w:t>
      </w:r>
      <w:r w:rsidRPr="00F27E5A">
        <w:t>proposal reflect consideration</w:t>
      </w:r>
      <w:r w:rsidR="00476660" w:rsidRPr="00F27E5A">
        <w:t>s</w:t>
      </w:r>
      <w:r w:rsidRPr="00F27E5A">
        <w:t xml:space="preserve"> of fairness, equity, economic conditions</w:t>
      </w:r>
      <w:r w:rsidR="00B4363A" w:rsidRPr="00F27E5A">
        <w:t>, gradualism,</w:t>
      </w:r>
      <w:r w:rsidRPr="00F27E5A">
        <w:t xml:space="preserve"> and rate stability?</w:t>
      </w:r>
    </w:p>
    <w:p w:rsidR="00D10E54" w:rsidRPr="00F27E5A" w:rsidRDefault="008C55C9" w:rsidP="00107408">
      <w:pPr>
        <w:pStyle w:val="Answer-Testimony"/>
      </w:pPr>
      <w:r w:rsidRPr="00F27E5A">
        <w:t>A.</w:t>
      </w:r>
      <w:r w:rsidRPr="00F27E5A">
        <w:tab/>
      </w:r>
      <w:r w:rsidR="00476660" w:rsidRPr="00F27E5A">
        <w:t xml:space="preserve">Yes.  </w:t>
      </w:r>
      <w:r w:rsidR="00107408" w:rsidRPr="00F27E5A">
        <w:t xml:space="preserve">Staff’s recommendation emphasizes the customer class relationship to parity and customer bill impacts.  The parity </w:t>
      </w:r>
      <w:r w:rsidR="00476660" w:rsidRPr="00F27E5A">
        <w:t>ratio</w:t>
      </w:r>
      <w:r w:rsidR="00107408" w:rsidRPr="00F27E5A">
        <w:t xml:space="preserve">s discussed earlier in my testimony indicate that some classes currently pay less than it costs to serve them, and other </w:t>
      </w:r>
      <w:r w:rsidR="00107408" w:rsidRPr="00F27E5A">
        <w:lastRenderedPageBreak/>
        <w:t>classes pay more than it costs to serve them.  Because this relationship between costs and revenues varies by customer class, the Company’s earned return also varies by customer class.  By adjusting rate spread, classes can be brought closer to paying the costs incurred to serve the class</w:t>
      </w:r>
      <w:r w:rsidR="00476660" w:rsidRPr="00F27E5A">
        <w:t>,</w:t>
      </w:r>
      <w:r w:rsidR="00107408" w:rsidRPr="00F27E5A">
        <w:t xml:space="preserve"> and class level rates of return can be brought closer to the system average rate of return.  </w:t>
      </w:r>
    </w:p>
    <w:p w:rsidR="009F5AB0" w:rsidRPr="00F27E5A" w:rsidRDefault="00D10E54" w:rsidP="00107408">
      <w:pPr>
        <w:pStyle w:val="Answer-Testimony"/>
      </w:pPr>
      <w:r w:rsidRPr="00F27E5A">
        <w:tab/>
      </w:r>
      <w:r w:rsidRPr="00F27E5A">
        <w:tab/>
      </w:r>
      <w:r w:rsidR="00107408" w:rsidRPr="00F27E5A">
        <w:t xml:space="preserve">Staff’s long-term goal is to </w:t>
      </w:r>
      <w:r w:rsidR="001253C5" w:rsidRPr="00F27E5A">
        <w:t xml:space="preserve">move towards </w:t>
      </w:r>
      <w:r w:rsidR="00107408" w:rsidRPr="00F27E5A">
        <w:t>parity for each class, and the recommended rate spread is designed to move classes toward those levels without producing unacceptably large customer impacts.</w:t>
      </w:r>
    </w:p>
    <w:p w:rsidR="00107408" w:rsidRPr="00F27E5A" w:rsidRDefault="00555DC2" w:rsidP="00584882">
      <w:pPr>
        <w:pStyle w:val="Answer-Testimony"/>
        <w:ind w:firstLine="720"/>
      </w:pPr>
      <w:r w:rsidRPr="00F27E5A">
        <w:t>Staff</w:t>
      </w:r>
      <w:r w:rsidR="009F5AB0" w:rsidRPr="00F27E5A">
        <w:t xml:space="preserve"> also</w:t>
      </w:r>
      <w:r w:rsidRPr="00F27E5A">
        <w:t xml:space="preserve"> recognizes th</w:t>
      </w:r>
      <w:r w:rsidR="00210128" w:rsidRPr="00F27E5A">
        <w:t>at</w:t>
      </w:r>
      <w:r w:rsidRPr="00F27E5A">
        <w:t xml:space="preserve"> </w:t>
      </w:r>
      <w:r w:rsidR="00103139" w:rsidRPr="00F27E5A">
        <w:t xml:space="preserve">current </w:t>
      </w:r>
      <w:r w:rsidRPr="00F27E5A">
        <w:t xml:space="preserve">economic conditions </w:t>
      </w:r>
      <w:r w:rsidR="00210128" w:rsidRPr="00F27E5A">
        <w:t>in</w:t>
      </w:r>
      <w:r w:rsidR="00103139" w:rsidRPr="00F27E5A">
        <w:t xml:space="preserve"> the Company’s </w:t>
      </w:r>
      <w:r w:rsidRPr="00F27E5A">
        <w:t xml:space="preserve">service area </w:t>
      </w:r>
      <w:r w:rsidR="005D1068" w:rsidRPr="00F27E5A">
        <w:t xml:space="preserve">do </w:t>
      </w:r>
      <w:r w:rsidRPr="00F27E5A">
        <w:t xml:space="preserve">not warrant </w:t>
      </w:r>
      <w:r w:rsidR="00103139" w:rsidRPr="00F27E5A">
        <w:t>a complete shift to</w:t>
      </w:r>
      <w:r w:rsidR="009F5AB0" w:rsidRPr="00F27E5A">
        <w:t xml:space="preserve"> the</w:t>
      </w:r>
      <w:r w:rsidR="00103139" w:rsidRPr="00F27E5A">
        <w:t xml:space="preserve"> cost o</w:t>
      </w:r>
      <w:r w:rsidR="009F5AB0" w:rsidRPr="00F27E5A">
        <w:t>f</w:t>
      </w:r>
      <w:r w:rsidR="00103139" w:rsidRPr="00F27E5A">
        <w:t xml:space="preserve"> service</w:t>
      </w:r>
      <w:r w:rsidR="00487D61" w:rsidRPr="00F27E5A">
        <w:t xml:space="preserve">.  In addition, parity ratios change with actual usage, so setting rates for 100 percent parity every year would create </w:t>
      </w:r>
      <w:r w:rsidR="00103139" w:rsidRPr="00F27E5A">
        <w:t>rate instability.</w:t>
      </w:r>
      <w:r w:rsidR="009F5AB0" w:rsidRPr="00F27E5A">
        <w:t xml:space="preserve">  Therefore, Staff is applying the concept of gradualism in small and discrete increments to reduce these imbalances, </w:t>
      </w:r>
      <w:r w:rsidR="00584882" w:rsidRPr="00F27E5A">
        <w:t>rather than</w:t>
      </w:r>
      <w:r w:rsidR="00210128" w:rsidRPr="00F27E5A">
        <w:t xml:space="preserve"> </w:t>
      </w:r>
      <w:r w:rsidR="009F5AB0" w:rsidRPr="00F27E5A">
        <w:t>abrupt strokes</w:t>
      </w:r>
      <w:r w:rsidR="00210128" w:rsidRPr="00F27E5A">
        <w:t xml:space="preserve"> toward full parity without consideration of other important factors</w:t>
      </w:r>
      <w:r w:rsidR="009F5AB0" w:rsidRPr="00F27E5A">
        <w:t>.</w:t>
      </w:r>
    </w:p>
    <w:p w:rsidR="007F107D" w:rsidRPr="00F27E5A" w:rsidRDefault="007F107D" w:rsidP="007D03B1">
      <w:pPr>
        <w:pStyle w:val="Answer-Testimony"/>
      </w:pPr>
    </w:p>
    <w:p w:rsidR="008A14BC" w:rsidRPr="00F27E5A" w:rsidRDefault="00584882" w:rsidP="005D0285">
      <w:pPr>
        <w:pStyle w:val="Heading1"/>
        <w:numPr>
          <w:ilvl w:val="0"/>
          <w:numId w:val="0"/>
        </w:numPr>
        <w:jc w:val="center"/>
      </w:pPr>
      <w:bookmarkStart w:id="9" w:name="_Toc359312045"/>
      <w:r w:rsidRPr="00F27E5A">
        <w:t>VI.</w:t>
      </w:r>
      <w:r w:rsidRPr="00F27E5A">
        <w:tab/>
      </w:r>
      <w:r w:rsidR="00210128" w:rsidRPr="00F27E5A">
        <w:t>RATE DESIGN</w:t>
      </w:r>
      <w:bookmarkEnd w:id="9"/>
    </w:p>
    <w:p w:rsidR="008A14BC" w:rsidRPr="00F27E5A" w:rsidRDefault="008A14BC" w:rsidP="008A14BC">
      <w:pPr>
        <w:pStyle w:val="BodyTextIndent"/>
      </w:pPr>
    </w:p>
    <w:p w:rsidR="008A14BC" w:rsidRPr="00F27E5A" w:rsidRDefault="008A14BC" w:rsidP="008A14BC">
      <w:pPr>
        <w:pStyle w:val="Question-Testimony"/>
      </w:pPr>
      <w:r w:rsidRPr="00F27E5A">
        <w:t>Q.</w:t>
      </w:r>
      <w:r w:rsidRPr="00F27E5A">
        <w:tab/>
        <w:t xml:space="preserve">Please explain the general concept of </w:t>
      </w:r>
      <w:r w:rsidR="00AE6A9F" w:rsidRPr="00F27E5A">
        <w:t xml:space="preserve">electric </w:t>
      </w:r>
      <w:r w:rsidRPr="00F27E5A">
        <w:t>rate design.</w:t>
      </w:r>
    </w:p>
    <w:p w:rsidR="008A14BC" w:rsidRPr="00F27E5A" w:rsidRDefault="008A14BC" w:rsidP="008A14BC">
      <w:pPr>
        <w:pStyle w:val="Answer-Testimony"/>
      </w:pPr>
      <w:r w:rsidRPr="00F27E5A">
        <w:t>A.</w:t>
      </w:r>
      <w:r w:rsidRPr="00F27E5A">
        <w:tab/>
      </w:r>
      <w:r w:rsidR="00AE6A9F" w:rsidRPr="00F27E5A">
        <w:t>Electric r</w:t>
      </w:r>
      <w:r w:rsidRPr="00F27E5A">
        <w:t xml:space="preserve">ate design takes total allocated revenue for each </w:t>
      </w:r>
      <w:r w:rsidR="00AE6A9F" w:rsidRPr="00F27E5A">
        <w:t xml:space="preserve">electric </w:t>
      </w:r>
      <w:r w:rsidRPr="00F27E5A">
        <w:t xml:space="preserve">rate schedule and determines the specific charges within the schedule, such as the </w:t>
      </w:r>
      <w:r w:rsidR="00B935E0">
        <w:t>monthly customer charge</w:t>
      </w:r>
      <w:r w:rsidRPr="00F27E5A">
        <w:t>, the demand charge per kilowatt, and the cents per kilowatt-hour (kWh).</w:t>
      </w:r>
    </w:p>
    <w:p w:rsidR="00AA261E" w:rsidRPr="00F27E5A" w:rsidRDefault="00AA261E" w:rsidP="008A14BC">
      <w:pPr>
        <w:pStyle w:val="Answer-Testimony"/>
      </w:pPr>
    </w:p>
    <w:p w:rsidR="00AA261E" w:rsidRPr="00F27E5A" w:rsidRDefault="00AA261E" w:rsidP="00BD36B5">
      <w:pPr>
        <w:pStyle w:val="Question-Testimony"/>
        <w:keepNext/>
      </w:pPr>
      <w:r w:rsidRPr="00F27E5A">
        <w:lastRenderedPageBreak/>
        <w:t>Q.</w:t>
      </w:r>
      <w:r w:rsidRPr="00F27E5A">
        <w:tab/>
        <w:t>What are Staff’s rate design</w:t>
      </w:r>
      <w:r w:rsidR="00E6719F" w:rsidRPr="00F27E5A">
        <w:t xml:space="preserve"> </w:t>
      </w:r>
      <w:r w:rsidRPr="00F27E5A">
        <w:t>proposals?</w:t>
      </w:r>
    </w:p>
    <w:p w:rsidR="00AA261E" w:rsidRPr="00F27E5A" w:rsidRDefault="00AA261E" w:rsidP="008F6487">
      <w:pPr>
        <w:pStyle w:val="Answer-Testimony"/>
      </w:pPr>
      <w:r w:rsidRPr="00F27E5A">
        <w:t>A.</w:t>
      </w:r>
      <w:r w:rsidRPr="00F27E5A">
        <w:tab/>
        <w:t xml:space="preserve">Staff proposes </w:t>
      </w:r>
      <w:r w:rsidR="008F6487" w:rsidRPr="00F27E5A">
        <w:t xml:space="preserve">four </w:t>
      </w:r>
      <w:r w:rsidRPr="00F27E5A">
        <w:t>changes</w:t>
      </w:r>
      <w:r w:rsidR="00AE6A9F" w:rsidRPr="00F27E5A">
        <w:t xml:space="preserve"> to the rate design in </w:t>
      </w:r>
      <w:r w:rsidR="00074F54" w:rsidRPr="00F27E5A">
        <w:t>PacifiCorp</w:t>
      </w:r>
      <w:r w:rsidR="00AE6A9F" w:rsidRPr="00F27E5A">
        <w:t xml:space="preserve">’s current </w:t>
      </w:r>
      <w:r w:rsidR="00210128" w:rsidRPr="00F27E5A">
        <w:t>Residential S</w:t>
      </w:r>
      <w:r w:rsidR="00AE6A9F" w:rsidRPr="00F27E5A">
        <w:t>chedules</w:t>
      </w:r>
      <w:r w:rsidRPr="00F27E5A">
        <w:t xml:space="preserve">: </w:t>
      </w:r>
      <w:r w:rsidR="00210128" w:rsidRPr="00F27E5A">
        <w:t xml:space="preserve"> </w:t>
      </w:r>
      <w:r w:rsidRPr="00F27E5A">
        <w:t>(1) Increase the</w:t>
      </w:r>
      <w:r w:rsidR="00AE6A9F" w:rsidRPr="00F27E5A">
        <w:t xml:space="preserve"> monthly customer</w:t>
      </w:r>
      <w:r w:rsidRPr="00F27E5A">
        <w:t xml:space="preserve"> charge </w:t>
      </w:r>
      <w:r w:rsidR="00EE17A0" w:rsidRPr="00F27E5A">
        <w:t xml:space="preserve">for Residential Schedules 16, 17 and 18 from $6.00 to $8.64 </w:t>
      </w:r>
      <w:r w:rsidRPr="00F27E5A">
        <w:t xml:space="preserve">to include more fixed costs; (2) Adjust volumetric blocks for </w:t>
      </w:r>
      <w:r w:rsidR="00210128" w:rsidRPr="00F27E5A">
        <w:t xml:space="preserve">the </w:t>
      </w:r>
      <w:r w:rsidRPr="00F27E5A">
        <w:t>Residential Schedule</w:t>
      </w:r>
      <w:r w:rsidR="008F6487" w:rsidRPr="00F27E5A">
        <w:t>s</w:t>
      </w:r>
      <w:r w:rsidRPr="00F27E5A">
        <w:t>;</w:t>
      </w:r>
      <w:r w:rsidR="008F6487" w:rsidRPr="00F27E5A">
        <w:t xml:space="preserve"> (3) Create a </w:t>
      </w:r>
      <w:r w:rsidR="00210128" w:rsidRPr="00F27E5A">
        <w:t>r</w:t>
      </w:r>
      <w:r w:rsidR="001253C5" w:rsidRPr="00F27E5A">
        <w:t xml:space="preserve">esidential </w:t>
      </w:r>
      <w:r w:rsidR="008F6487" w:rsidRPr="00F27E5A">
        <w:t>third-</w:t>
      </w:r>
      <w:r w:rsidR="0020501E">
        <w:t>block</w:t>
      </w:r>
      <w:r w:rsidR="0020501E" w:rsidRPr="00F27E5A">
        <w:t xml:space="preserve"> </w:t>
      </w:r>
      <w:r w:rsidR="00B935E0">
        <w:t xml:space="preserve">and </w:t>
      </w:r>
      <w:r w:rsidR="00B935E0" w:rsidRPr="00F27E5A">
        <w:t xml:space="preserve">volumetric </w:t>
      </w:r>
      <w:r w:rsidR="00210128" w:rsidRPr="00F27E5A">
        <w:t xml:space="preserve">rate </w:t>
      </w:r>
      <w:r w:rsidR="008F6487" w:rsidRPr="00F27E5A">
        <w:t xml:space="preserve">based on the </w:t>
      </w:r>
      <w:r w:rsidR="0020501E">
        <w:t xml:space="preserve">cents per kWh </w:t>
      </w:r>
      <w:r w:rsidR="008F6487" w:rsidRPr="00F27E5A">
        <w:t>differential between the first two volumetric rates; and (4</w:t>
      </w:r>
      <w:r w:rsidRPr="00F27E5A">
        <w:t xml:space="preserve">) Set a </w:t>
      </w:r>
      <w:r w:rsidR="008F6487" w:rsidRPr="00F27E5A">
        <w:t xml:space="preserve">weighted </w:t>
      </w:r>
      <w:r w:rsidRPr="00F27E5A">
        <w:t>uniform percentage increase</w:t>
      </w:r>
      <w:r w:rsidR="008F6487" w:rsidRPr="00F27E5A">
        <w:t xml:space="preserve"> based on kilowatt-hour units</w:t>
      </w:r>
      <w:r w:rsidRPr="00F27E5A">
        <w:t xml:space="preserve"> for volumetric</w:t>
      </w:r>
      <w:r w:rsidR="008F6487" w:rsidRPr="00F27E5A">
        <w:t xml:space="preserve"> rates in Residential Schedules</w:t>
      </w:r>
      <w:r w:rsidRPr="00F27E5A">
        <w:t>.</w:t>
      </w:r>
    </w:p>
    <w:p w:rsidR="00E6719F" w:rsidRPr="00F27E5A" w:rsidRDefault="00E6719F" w:rsidP="008F6487">
      <w:pPr>
        <w:pStyle w:val="Answer-Testimony"/>
      </w:pPr>
      <w:r w:rsidRPr="00F27E5A">
        <w:tab/>
      </w:r>
      <w:r w:rsidRPr="00F27E5A">
        <w:tab/>
        <w:t xml:space="preserve">Staff also recommends </w:t>
      </w:r>
      <w:r w:rsidR="00C4453F" w:rsidRPr="00F27E5A">
        <w:t>revisions</w:t>
      </w:r>
      <w:r w:rsidRPr="00F27E5A">
        <w:t xml:space="preserve"> to the Company’s proposals regarding Rule 6 and Schedule 300.</w:t>
      </w:r>
    </w:p>
    <w:p w:rsidR="00E6719F" w:rsidRPr="00F27E5A" w:rsidRDefault="00E6719F" w:rsidP="008F6487">
      <w:pPr>
        <w:pStyle w:val="Answer-Testimony"/>
      </w:pPr>
    </w:p>
    <w:p w:rsidR="00E6719F" w:rsidRPr="00F27E5A" w:rsidRDefault="00E6719F" w:rsidP="00BD36B5">
      <w:pPr>
        <w:pStyle w:val="Heading3"/>
        <w:ind w:left="1440"/>
      </w:pPr>
      <w:bookmarkStart w:id="10" w:name="_Toc359312046"/>
      <w:r w:rsidRPr="00F27E5A">
        <w:t>Residential Schedules</w:t>
      </w:r>
      <w:bookmarkEnd w:id="10"/>
    </w:p>
    <w:p w:rsidR="00040A50" w:rsidRPr="00F27E5A" w:rsidRDefault="00040A50" w:rsidP="00AA261E">
      <w:pPr>
        <w:pStyle w:val="Answer-Testimony"/>
      </w:pPr>
    </w:p>
    <w:p w:rsidR="0022334C" w:rsidRPr="00F27E5A" w:rsidRDefault="0022334C" w:rsidP="00BD36B5">
      <w:pPr>
        <w:pStyle w:val="Heading6"/>
      </w:pPr>
      <w:bookmarkStart w:id="11" w:name="_Toc359312047"/>
      <w:r w:rsidRPr="00F27E5A">
        <w:t xml:space="preserve">Monthly </w:t>
      </w:r>
      <w:r w:rsidR="000D7DC5" w:rsidRPr="00F27E5A">
        <w:t>Customer</w:t>
      </w:r>
      <w:r w:rsidRPr="00F27E5A">
        <w:t xml:space="preserve"> Charge</w:t>
      </w:r>
      <w:bookmarkEnd w:id="11"/>
    </w:p>
    <w:p w:rsidR="00283D84" w:rsidRPr="00F27E5A" w:rsidRDefault="00283D84" w:rsidP="00283D84">
      <w:pPr>
        <w:pStyle w:val="Question-Testimony"/>
      </w:pPr>
    </w:p>
    <w:p w:rsidR="00283D84" w:rsidRPr="00F27E5A" w:rsidRDefault="00283D84" w:rsidP="00283D84">
      <w:pPr>
        <w:pStyle w:val="Question-Testimony"/>
      </w:pPr>
      <w:r w:rsidRPr="00F27E5A">
        <w:t>Q.</w:t>
      </w:r>
      <w:r w:rsidRPr="00F27E5A">
        <w:tab/>
        <w:t xml:space="preserve">What </w:t>
      </w:r>
      <w:r w:rsidR="00201F89" w:rsidRPr="00F27E5A">
        <w:t xml:space="preserve">does </w:t>
      </w:r>
      <w:r w:rsidRPr="00F27E5A">
        <w:t xml:space="preserve">Staff propose for the </w:t>
      </w:r>
      <w:r w:rsidR="00584882" w:rsidRPr="00F27E5A">
        <w:t xml:space="preserve">residential </w:t>
      </w:r>
      <w:r w:rsidRPr="00F27E5A">
        <w:t>monthly customer charge given Staff’s lower recommend</w:t>
      </w:r>
      <w:r w:rsidR="00EE17A0" w:rsidRPr="00F27E5A">
        <w:t>ed</w:t>
      </w:r>
      <w:r w:rsidRPr="00F27E5A">
        <w:t xml:space="preserve"> revenue requirement?</w:t>
      </w:r>
    </w:p>
    <w:p w:rsidR="00283D84" w:rsidRPr="00F27E5A" w:rsidRDefault="00283D84" w:rsidP="00283D84">
      <w:pPr>
        <w:pStyle w:val="Answer-Testimony"/>
      </w:pPr>
      <w:r w:rsidRPr="00F27E5A">
        <w:t>A.</w:t>
      </w:r>
      <w:r w:rsidRPr="00F27E5A">
        <w:tab/>
        <w:t xml:space="preserve">Staff proposes to increase the monthly customer charge for Residential Schedules </w:t>
      </w:r>
      <w:r w:rsidR="00EE17A0" w:rsidRPr="00F27E5A">
        <w:t xml:space="preserve">16, 17 and 18 </w:t>
      </w:r>
      <w:r w:rsidRPr="00F27E5A">
        <w:t>from $6.00 to $8.64.</w:t>
      </w:r>
      <w:r w:rsidR="00201F89" w:rsidRPr="00F27E5A">
        <w:t xml:space="preserve">  This compares to the Company’s proposal to increase the charge</w:t>
      </w:r>
      <w:r w:rsidR="00CD723D" w:rsidRPr="00F27E5A">
        <w:t xml:space="preserve"> from $6.00 to $10.00.</w:t>
      </w:r>
    </w:p>
    <w:p w:rsidR="00CD723D" w:rsidRPr="00F27E5A" w:rsidRDefault="00CD723D" w:rsidP="00283D84">
      <w:pPr>
        <w:pStyle w:val="Answer-Testimony"/>
      </w:pPr>
    </w:p>
    <w:p w:rsidR="00434467" w:rsidRPr="00F27E5A" w:rsidRDefault="00434467" w:rsidP="00BD36B5">
      <w:pPr>
        <w:pStyle w:val="Question-Testimony"/>
        <w:keepNext/>
      </w:pPr>
      <w:r w:rsidRPr="00F27E5A">
        <w:lastRenderedPageBreak/>
        <w:t>Q.</w:t>
      </w:r>
      <w:r w:rsidRPr="00F27E5A">
        <w:tab/>
      </w:r>
      <w:r w:rsidR="00EE17A0" w:rsidRPr="00F27E5A">
        <w:t>Is</w:t>
      </w:r>
      <w:r w:rsidRPr="00F27E5A">
        <w:t xml:space="preserve"> Staff’s proposed monthly customer charge cost based?</w:t>
      </w:r>
    </w:p>
    <w:p w:rsidR="008A14BC" w:rsidRPr="00F27E5A" w:rsidRDefault="00434467" w:rsidP="0022334C">
      <w:pPr>
        <w:pStyle w:val="Answer-Testimony"/>
      </w:pPr>
      <w:r w:rsidRPr="00F27E5A">
        <w:t>A.</w:t>
      </w:r>
      <w:r w:rsidRPr="00F27E5A">
        <w:tab/>
        <w:t xml:space="preserve">Yes.  </w:t>
      </w:r>
      <w:r w:rsidR="003602A5" w:rsidRPr="00F27E5A">
        <w:t xml:space="preserve">I show the cost basis for </w:t>
      </w:r>
      <w:r w:rsidR="009F4996" w:rsidRPr="00F27E5A">
        <w:t>th</w:t>
      </w:r>
      <w:r w:rsidR="00584882" w:rsidRPr="00F27E5A">
        <w:t>is</w:t>
      </w:r>
      <w:r w:rsidR="009F4996" w:rsidRPr="00F27E5A">
        <w:t xml:space="preserve"> price level in </w:t>
      </w:r>
      <w:r w:rsidR="008A14BC" w:rsidRPr="00F27E5A">
        <w:t xml:space="preserve">my </w:t>
      </w:r>
      <w:r w:rsidR="00B36DD6" w:rsidRPr="00F27E5A">
        <w:t>Exhibit No.</w:t>
      </w:r>
      <w:r w:rsidRPr="00F27E5A">
        <w:t xml:space="preserve"> </w:t>
      </w:r>
      <w:r w:rsidR="00B36DD6" w:rsidRPr="00F27E5A">
        <w:t>__</w:t>
      </w:r>
      <w:r w:rsidRPr="00F27E5A">
        <w:t>_</w:t>
      </w:r>
      <w:r w:rsidR="00B36DD6" w:rsidRPr="00F27E5A">
        <w:t xml:space="preserve"> (CTM-</w:t>
      </w:r>
      <w:r w:rsidR="00283D84" w:rsidRPr="00F27E5A">
        <w:t>4</w:t>
      </w:r>
      <w:r w:rsidR="00955041" w:rsidRPr="00F27E5A">
        <w:t>)</w:t>
      </w:r>
      <w:r w:rsidR="003E5495" w:rsidRPr="00F27E5A">
        <w:t xml:space="preserve"> at</w:t>
      </w:r>
      <w:r w:rsidR="008A14BC" w:rsidRPr="00F27E5A">
        <w:t xml:space="preserve"> page </w:t>
      </w:r>
      <w:r w:rsidR="00655D72" w:rsidRPr="00F27E5A">
        <w:t>3</w:t>
      </w:r>
      <w:r w:rsidR="007A1000" w:rsidRPr="00F27E5A">
        <w:t xml:space="preserve">, line </w:t>
      </w:r>
      <w:r w:rsidR="00655D72" w:rsidRPr="00F27E5A">
        <w:t>31</w:t>
      </w:r>
      <w:r w:rsidR="008A14BC" w:rsidRPr="00F27E5A">
        <w:t>.</w:t>
      </w:r>
    </w:p>
    <w:p w:rsidR="00283D84" w:rsidRPr="00F27E5A" w:rsidRDefault="00283D84" w:rsidP="00283D84">
      <w:pPr>
        <w:pStyle w:val="Answer-Testimony"/>
      </w:pPr>
    </w:p>
    <w:p w:rsidR="00283D84" w:rsidRPr="00F27E5A" w:rsidRDefault="00283D84" w:rsidP="001253C5">
      <w:pPr>
        <w:pStyle w:val="Question-Testimony"/>
      </w:pPr>
      <w:r w:rsidRPr="00F27E5A">
        <w:t>Q.</w:t>
      </w:r>
      <w:r w:rsidRPr="00F27E5A">
        <w:tab/>
      </w:r>
      <w:r w:rsidR="00EE17A0" w:rsidRPr="00F27E5A">
        <w:t>Please explain</w:t>
      </w:r>
      <w:r w:rsidRPr="00F27E5A">
        <w:t xml:space="preserve"> the </w:t>
      </w:r>
      <w:r w:rsidR="00CD723D" w:rsidRPr="00F27E5A">
        <w:t xml:space="preserve">difference </w:t>
      </w:r>
      <w:r w:rsidRPr="00F27E5A">
        <w:t xml:space="preserve">between the Company and Staff proposed </w:t>
      </w:r>
      <w:r w:rsidR="00584882" w:rsidRPr="00F27E5A">
        <w:t>r</w:t>
      </w:r>
      <w:r w:rsidR="00CD723D" w:rsidRPr="00F27E5A">
        <w:t xml:space="preserve">esidential </w:t>
      </w:r>
      <w:r w:rsidRPr="00F27E5A">
        <w:t>monthly customer charges?</w:t>
      </w:r>
    </w:p>
    <w:p w:rsidR="000C1405" w:rsidRPr="00F27E5A" w:rsidRDefault="00283D84" w:rsidP="00CF582B">
      <w:pPr>
        <w:pStyle w:val="Answer-Testimony"/>
      </w:pPr>
      <w:r w:rsidRPr="00F27E5A">
        <w:t>A.</w:t>
      </w:r>
      <w:r w:rsidRPr="00F27E5A">
        <w:tab/>
      </w:r>
      <w:r w:rsidR="000C1405" w:rsidRPr="00F27E5A">
        <w:t>A m</w:t>
      </w:r>
      <w:r w:rsidRPr="00F27E5A">
        <w:t>onthly customer charge, also known as the “basic charge,” covers costs such as the cost of meters, service drops, meter reading, and billing.</w:t>
      </w:r>
      <w:r w:rsidRPr="00F27E5A">
        <w:rPr>
          <w:rStyle w:val="FootnoteReference"/>
        </w:rPr>
        <w:footnoteReference w:id="22"/>
      </w:r>
      <w:r w:rsidRPr="00F27E5A">
        <w:t xml:space="preserve">  </w:t>
      </w:r>
      <w:r w:rsidR="000C1405" w:rsidRPr="00F27E5A">
        <w:t>This is appropriate because these are customer-related costs that</w:t>
      </w:r>
      <w:r w:rsidRPr="00F27E5A">
        <w:t xml:space="preserve"> vary with </w:t>
      </w:r>
      <w:r w:rsidR="00027DA6" w:rsidRPr="00F27E5A">
        <w:t>the number of customers. They</w:t>
      </w:r>
      <w:r w:rsidRPr="00F27E5A">
        <w:t xml:space="preserve"> </w:t>
      </w:r>
      <w:r w:rsidR="000C1405" w:rsidRPr="00F27E5A">
        <w:t>are not demand-related costs that</w:t>
      </w:r>
      <w:r w:rsidRPr="00F27E5A">
        <w:t xml:space="preserve"> vary with </w:t>
      </w:r>
      <w:r w:rsidR="00BD6B2A" w:rsidRPr="00F27E5A">
        <w:t xml:space="preserve">peak </w:t>
      </w:r>
      <w:r w:rsidRPr="00F27E5A">
        <w:t>usage</w:t>
      </w:r>
      <w:r w:rsidR="00BD6B2A" w:rsidRPr="00F27E5A">
        <w:t>, nor are the</w:t>
      </w:r>
      <w:r w:rsidR="009A0B61" w:rsidRPr="00F27E5A">
        <w:t>y</w:t>
      </w:r>
      <w:r w:rsidR="00BD6B2A" w:rsidRPr="00F27E5A">
        <w:t xml:space="preserve"> energy-related costs that vary with consumption</w:t>
      </w:r>
      <w:r w:rsidR="00027DA6" w:rsidRPr="00F27E5A">
        <w:t xml:space="preserve">.  </w:t>
      </w:r>
      <w:r w:rsidR="000C1405" w:rsidRPr="00F27E5A">
        <w:t>Staff</w:t>
      </w:r>
      <w:r w:rsidR="00B935E0">
        <w:t>’s</w:t>
      </w:r>
      <w:r w:rsidR="000C1405" w:rsidRPr="00F27E5A">
        <w:t xml:space="preserve"> basic charge proposal </w:t>
      </w:r>
      <w:r w:rsidR="00B935E0">
        <w:t>is</w:t>
      </w:r>
      <w:r w:rsidR="000C1405" w:rsidRPr="00F27E5A">
        <w:t xml:space="preserve"> consistent with this principle.</w:t>
      </w:r>
    </w:p>
    <w:p w:rsidR="000E1111" w:rsidRPr="00F27E5A" w:rsidRDefault="00027DA6" w:rsidP="00CF582B">
      <w:pPr>
        <w:pStyle w:val="Answer-Testimony"/>
        <w:ind w:firstLine="720"/>
      </w:pPr>
      <w:r w:rsidRPr="00F27E5A">
        <w:t>However</w:t>
      </w:r>
      <w:r w:rsidR="00283D84" w:rsidRPr="00F27E5A">
        <w:t xml:space="preserve">, </w:t>
      </w:r>
      <w:r w:rsidRPr="00F27E5A">
        <w:t>without supporting evidence</w:t>
      </w:r>
      <w:r w:rsidR="00283D84" w:rsidRPr="00F27E5A">
        <w:t xml:space="preserve"> or analysis</w:t>
      </w:r>
      <w:r w:rsidRPr="00F27E5A">
        <w:t xml:space="preserve">, the Company also seeks to </w:t>
      </w:r>
      <w:r w:rsidR="009A0B61" w:rsidRPr="00F27E5A">
        <w:t>recover</w:t>
      </w:r>
      <w:r w:rsidR="00283D84" w:rsidRPr="00F27E5A">
        <w:t xml:space="preserve"> </w:t>
      </w:r>
      <w:r w:rsidRPr="00F27E5A">
        <w:t xml:space="preserve">in the basic charge </w:t>
      </w:r>
      <w:r w:rsidR="00283D84" w:rsidRPr="00F27E5A">
        <w:t>working capital, bad debts, miscellaneous general expenses, and other accounts.</w:t>
      </w:r>
      <w:r w:rsidRPr="00F27E5A">
        <w:rPr>
          <w:rStyle w:val="FootnoteReference"/>
        </w:rPr>
        <w:footnoteReference w:id="23"/>
      </w:r>
      <w:r w:rsidR="00283D84" w:rsidRPr="00F27E5A">
        <w:t xml:space="preserve">  </w:t>
      </w:r>
      <w:r w:rsidR="004029E4" w:rsidRPr="00F27E5A">
        <w:t xml:space="preserve">This proposal is </w:t>
      </w:r>
      <w:r w:rsidR="00CD723D" w:rsidRPr="00F27E5A">
        <w:t>in</w:t>
      </w:r>
      <w:r w:rsidR="004029E4" w:rsidRPr="00F27E5A">
        <w:t>consistent with the principle that the basic charge should recover only costs associated with each customer. Therefore, Staff removed working capital, bad debts, and other miscellaneous general expenses from the basic charge.</w:t>
      </w:r>
    </w:p>
    <w:p w:rsidR="004029E4" w:rsidRPr="00F27E5A" w:rsidRDefault="004029E4" w:rsidP="000E1111">
      <w:pPr>
        <w:pStyle w:val="BodyTextIndent"/>
      </w:pPr>
    </w:p>
    <w:p w:rsidR="000E1111" w:rsidRPr="00F27E5A" w:rsidRDefault="000E1111" w:rsidP="000E1111">
      <w:pPr>
        <w:pStyle w:val="Question-Testimony"/>
      </w:pPr>
      <w:r w:rsidRPr="00F27E5A">
        <w:t>Q.</w:t>
      </w:r>
      <w:r w:rsidRPr="00F27E5A">
        <w:tab/>
        <w:t xml:space="preserve">Why is Staff proposing to increase the </w:t>
      </w:r>
      <w:r w:rsidR="009A0B61" w:rsidRPr="00F27E5A">
        <w:t>r</w:t>
      </w:r>
      <w:r w:rsidR="00CD723D" w:rsidRPr="00F27E5A">
        <w:t xml:space="preserve">esidential </w:t>
      </w:r>
      <w:r w:rsidRPr="00F27E5A">
        <w:t>basic charge</w:t>
      </w:r>
      <w:r w:rsidR="0030547F" w:rsidRPr="00F27E5A">
        <w:t xml:space="preserve"> at all</w:t>
      </w:r>
      <w:r w:rsidRPr="00F27E5A">
        <w:t>?</w:t>
      </w:r>
    </w:p>
    <w:p w:rsidR="000E1111" w:rsidRPr="00F27E5A" w:rsidRDefault="000E1111" w:rsidP="000E1111">
      <w:pPr>
        <w:pStyle w:val="Answer-Testimony"/>
      </w:pPr>
      <w:r w:rsidRPr="00F27E5A">
        <w:t>A.</w:t>
      </w:r>
      <w:r w:rsidRPr="00F27E5A">
        <w:tab/>
        <w:t>Staff propos</w:t>
      </w:r>
      <w:r w:rsidR="000C1405" w:rsidRPr="00F27E5A">
        <w:t>es</w:t>
      </w:r>
      <w:r w:rsidRPr="00F27E5A">
        <w:t xml:space="preserve"> to increase the basic charge so that customers will pay an amount that </w:t>
      </w:r>
      <w:r w:rsidR="007063A9">
        <w:t xml:space="preserve">provides more recovery of </w:t>
      </w:r>
      <w:r w:rsidRPr="00F27E5A">
        <w:t xml:space="preserve">fixed costs incurred by the Company to serve customers </w:t>
      </w:r>
      <w:r w:rsidRPr="00F27E5A">
        <w:lastRenderedPageBreak/>
        <w:t xml:space="preserve">regardless of the level of energy usage.  When customer-related </w:t>
      </w:r>
      <w:r w:rsidR="007063A9">
        <w:t xml:space="preserve">fixed </w:t>
      </w:r>
      <w:r w:rsidRPr="00F27E5A">
        <w:t xml:space="preserve">costs are not entirely collected through the basic charge, the Company collects the remaining portion of the customer-related fixed costs through per kWh charges, which ultimately results in </w:t>
      </w:r>
      <w:r w:rsidR="00487D61" w:rsidRPr="00F27E5A">
        <w:t xml:space="preserve">intra-schedule </w:t>
      </w:r>
      <w:r w:rsidRPr="00F27E5A">
        <w:t>cross-subsidization.  In other words, if customer-related</w:t>
      </w:r>
      <w:r w:rsidR="007063A9">
        <w:t xml:space="preserve"> fixed</w:t>
      </w:r>
      <w:r w:rsidRPr="00F27E5A">
        <w:t xml:space="preserve"> costs are collected through volumetric rates, those customers with above-average consumption are paying more than their fair share of customer-related fixed costs, thus subsidizing customers with below-average usage who are paying less than their fair share.</w:t>
      </w:r>
    </w:p>
    <w:p w:rsidR="000E1111" w:rsidRPr="00F27E5A" w:rsidRDefault="000E1111" w:rsidP="000E1111">
      <w:pPr>
        <w:pStyle w:val="Answer-Testimony"/>
        <w:ind w:firstLine="720"/>
      </w:pPr>
      <w:r w:rsidRPr="00F27E5A">
        <w:t>In addition, the collection of customer-related costs through volumetric charges can lead to over- or under-collection of the fixed costs, because electricity sales fluctuate with weather, the economy, energy efficiencies, conservation, and self-generation.</w:t>
      </w:r>
      <w:r w:rsidRPr="00F27E5A">
        <w:rPr>
          <w:rStyle w:val="FootnoteReference"/>
        </w:rPr>
        <w:footnoteReference w:id="24"/>
      </w:r>
    </w:p>
    <w:p w:rsidR="000E1111" w:rsidRPr="00F27E5A" w:rsidRDefault="000E1111" w:rsidP="000E1111">
      <w:pPr>
        <w:pStyle w:val="Answer-Testimony"/>
        <w:ind w:firstLine="720"/>
      </w:pPr>
      <w:r w:rsidRPr="00F27E5A">
        <w:t>Removing customer-related</w:t>
      </w:r>
      <w:r w:rsidR="007063A9">
        <w:t xml:space="preserve"> fixed</w:t>
      </w:r>
      <w:r w:rsidRPr="00F27E5A">
        <w:t xml:space="preserve"> costs from volumetric sales is</w:t>
      </w:r>
      <w:r w:rsidR="0030547F" w:rsidRPr="00F27E5A">
        <w:t>,</w:t>
      </w:r>
      <w:r w:rsidRPr="00F27E5A">
        <w:t xml:space="preserve"> therefore</w:t>
      </w:r>
      <w:r w:rsidR="0030547F" w:rsidRPr="00F27E5A">
        <w:t>,</w:t>
      </w:r>
      <w:r w:rsidRPr="00F27E5A">
        <w:t xml:space="preserve"> beneficial on two fronts</w:t>
      </w:r>
      <w:r w:rsidR="009A0B61" w:rsidRPr="00F27E5A">
        <w:t>.  First,</w:t>
      </w:r>
      <w:r w:rsidR="0030547F" w:rsidRPr="00F27E5A">
        <w:t xml:space="preserve"> </w:t>
      </w:r>
      <w:r w:rsidRPr="00F27E5A">
        <w:t>it removes some of the disincentive utilities currently experience regarding the promotion of energy efficiency and conservation</w:t>
      </w:r>
      <w:r w:rsidR="009A0B61" w:rsidRPr="00F27E5A">
        <w:t>.  Second,</w:t>
      </w:r>
      <w:r w:rsidRPr="00F27E5A">
        <w:t xml:space="preserve"> it improves the certainty of recovery of customer-related fixed costs.</w:t>
      </w:r>
    </w:p>
    <w:p w:rsidR="000E1111" w:rsidRPr="00F27E5A" w:rsidRDefault="000E1111" w:rsidP="00495799">
      <w:pPr>
        <w:pStyle w:val="Answer-Testimony"/>
      </w:pPr>
    </w:p>
    <w:p w:rsidR="00495799" w:rsidRPr="00F27E5A" w:rsidRDefault="00495799" w:rsidP="00495799">
      <w:pPr>
        <w:pStyle w:val="Question-Testimony"/>
      </w:pPr>
      <w:r w:rsidRPr="00F27E5A">
        <w:t>Q.</w:t>
      </w:r>
      <w:r w:rsidRPr="00F27E5A">
        <w:tab/>
        <w:t>Will Staff’s proposal to increase the basic charge harm l</w:t>
      </w:r>
      <w:r w:rsidR="001E57EB">
        <w:t>ow-</w:t>
      </w:r>
      <w:r w:rsidRPr="00F27E5A">
        <w:t>income customers?</w:t>
      </w:r>
    </w:p>
    <w:p w:rsidR="00495799" w:rsidRPr="00F27E5A" w:rsidRDefault="00495799" w:rsidP="00495799">
      <w:pPr>
        <w:pStyle w:val="Answer-Testimony"/>
      </w:pPr>
      <w:r w:rsidRPr="00F27E5A">
        <w:t>A.</w:t>
      </w:r>
      <w:r w:rsidRPr="00F27E5A">
        <w:tab/>
        <w:t>No.  In fact, the increase in the basic charge will actually help the average l</w:t>
      </w:r>
      <w:r w:rsidR="001E57EB">
        <w:t>ow-</w:t>
      </w:r>
      <w:r w:rsidRPr="00F27E5A">
        <w:t>income customer.  Studies have shown that the housing stock for most l</w:t>
      </w:r>
      <w:r w:rsidR="001E57EB">
        <w:t>ow-</w:t>
      </w:r>
      <w:r w:rsidRPr="00F27E5A">
        <w:t>income customers</w:t>
      </w:r>
      <w:r w:rsidR="008A5D51" w:rsidRPr="00F27E5A">
        <w:t xml:space="preserve"> </w:t>
      </w:r>
      <w:r w:rsidRPr="00F27E5A">
        <w:t>is relatively inefficient, resulting in above-average usage</w:t>
      </w:r>
      <w:r w:rsidR="0030547F" w:rsidRPr="00F27E5A">
        <w:t>.</w:t>
      </w:r>
      <w:r w:rsidRPr="00F27E5A">
        <w:rPr>
          <w:rStyle w:val="FootnoteReference"/>
        </w:rPr>
        <w:footnoteReference w:id="25"/>
      </w:r>
      <w:r w:rsidRPr="00F27E5A">
        <w:t xml:space="preserve"> </w:t>
      </w:r>
      <w:r w:rsidR="00B935E0">
        <w:t xml:space="preserve"> </w:t>
      </w:r>
      <w:r w:rsidR="0030547F" w:rsidRPr="00F27E5A">
        <w:t>S</w:t>
      </w:r>
      <w:r w:rsidRPr="00F27E5A">
        <w:t xml:space="preserve">pecifically, </w:t>
      </w:r>
      <w:r w:rsidRPr="00F27E5A">
        <w:lastRenderedPageBreak/>
        <w:t>l</w:t>
      </w:r>
      <w:r w:rsidR="001E57EB">
        <w:t>ow-</w:t>
      </w:r>
      <w:r w:rsidRPr="00F27E5A">
        <w:t>income customers have an average monthly usage of 1,</w:t>
      </w:r>
      <w:r w:rsidR="000E1111" w:rsidRPr="00F27E5A">
        <w:t>331</w:t>
      </w:r>
      <w:r w:rsidRPr="00F27E5A">
        <w:t xml:space="preserve"> kWh</w:t>
      </w:r>
      <w:r w:rsidR="000E1111" w:rsidRPr="00F27E5A">
        <w:rPr>
          <w:rStyle w:val="FootnoteReference"/>
        </w:rPr>
        <w:footnoteReference w:id="26"/>
      </w:r>
      <w:r w:rsidRPr="00F27E5A">
        <w:t xml:space="preserve"> compared to other customers, who have an average monthly usage of 1,</w:t>
      </w:r>
      <w:r w:rsidR="000E1111" w:rsidRPr="00F27E5A">
        <w:t>278</w:t>
      </w:r>
      <w:r w:rsidRPr="00F27E5A">
        <w:t xml:space="preserve"> kWh.</w:t>
      </w:r>
      <w:r w:rsidRPr="00F27E5A">
        <w:rPr>
          <w:rStyle w:val="FootnoteReference"/>
        </w:rPr>
        <w:footnoteReference w:id="27"/>
      </w:r>
    </w:p>
    <w:p w:rsidR="00495799" w:rsidRPr="00F27E5A" w:rsidRDefault="00495799" w:rsidP="00495799">
      <w:pPr>
        <w:pStyle w:val="Answer-Testimony"/>
      </w:pPr>
      <w:r w:rsidRPr="00F27E5A">
        <w:tab/>
      </w:r>
      <w:r w:rsidRPr="00F27E5A">
        <w:tab/>
        <w:t>As I just explained, customers with above-average usage subsidize customers with below-average usage</w:t>
      </w:r>
      <w:r w:rsidR="0030547F" w:rsidRPr="00F27E5A">
        <w:t>,</w:t>
      </w:r>
      <w:r w:rsidRPr="00F27E5A">
        <w:t xml:space="preserve"> if customer-related costs are included in volumetric charges.  Therefore, moving more of the customer-related fixed costs to the basic charge will help l</w:t>
      </w:r>
      <w:r w:rsidR="001E57EB">
        <w:t>ow-</w:t>
      </w:r>
      <w:r w:rsidRPr="00F27E5A">
        <w:t xml:space="preserve">income customers by reducing the amount they subsidize other customers with lower usage, including customers with non-electric heating </w:t>
      </w:r>
      <w:r w:rsidR="009A0B61" w:rsidRPr="00F27E5A">
        <w:t>such as</w:t>
      </w:r>
      <w:r w:rsidRPr="00F27E5A">
        <w:t xml:space="preserve"> natural gas, wood,</w:t>
      </w:r>
      <w:r w:rsidR="00F933AF" w:rsidRPr="00F27E5A">
        <w:t xml:space="preserve"> and</w:t>
      </w:r>
      <w:r w:rsidRPr="00F27E5A">
        <w:t xml:space="preserve"> propane</w:t>
      </w:r>
      <w:r w:rsidR="009A0B61" w:rsidRPr="00F27E5A">
        <w:t>.</w:t>
      </w:r>
    </w:p>
    <w:p w:rsidR="00495799" w:rsidRPr="00F27E5A" w:rsidRDefault="00495799" w:rsidP="00495799">
      <w:pPr>
        <w:pStyle w:val="Answer-Testimony"/>
      </w:pPr>
    </w:p>
    <w:p w:rsidR="00495799" w:rsidRPr="00F27E5A" w:rsidRDefault="00495799" w:rsidP="00495799">
      <w:pPr>
        <w:pStyle w:val="Question-Testimony"/>
        <w:keepNext/>
      </w:pPr>
      <w:r w:rsidRPr="00F27E5A">
        <w:t>Q.</w:t>
      </w:r>
      <w:r w:rsidRPr="00F27E5A">
        <w:tab/>
        <w:t xml:space="preserve">Is </w:t>
      </w:r>
      <w:r w:rsidR="0030547F" w:rsidRPr="00F27E5A">
        <w:t>Staff’s proposed</w:t>
      </w:r>
      <w:r w:rsidRPr="00F27E5A">
        <w:t xml:space="preserve"> increase to the </w:t>
      </w:r>
      <w:r w:rsidR="009A0B61" w:rsidRPr="00F27E5A">
        <w:t xml:space="preserve">residential </w:t>
      </w:r>
      <w:r w:rsidRPr="00F27E5A">
        <w:t xml:space="preserve">basic charge in addition to </w:t>
      </w:r>
      <w:r w:rsidR="0030547F" w:rsidRPr="00F27E5A">
        <w:t xml:space="preserve">proposed </w:t>
      </w:r>
      <w:r w:rsidRPr="00F27E5A">
        <w:t>changes in volumetric rates</w:t>
      </w:r>
      <w:r w:rsidR="008A5D51" w:rsidRPr="00F27E5A">
        <w:t xml:space="preserve"> that you discuss in a later section of your testimony</w:t>
      </w:r>
      <w:r w:rsidRPr="00F27E5A">
        <w:t xml:space="preserve">? </w:t>
      </w:r>
    </w:p>
    <w:p w:rsidR="00495799" w:rsidRPr="00F27E5A" w:rsidRDefault="00495799" w:rsidP="00495799">
      <w:pPr>
        <w:pStyle w:val="Answer-Testimony"/>
      </w:pPr>
      <w:r w:rsidRPr="00F27E5A">
        <w:t>A.</w:t>
      </w:r>
      <w:r w:rsidRPr="00F27E5A">
        <w:tab/>
        <w:t>Yes.  However, the volumetric charge increase is less than it would be if there was no</w:t>
      </w:r>
      <w:r w:rsidR="008A5D51" w:rsidRPr="00F27E5A">
        <w:t xml:space="preserve"> </w:t>
      </w:r>
      <w:r w:rsidRPr="00F27E5A">
        <w:t xml:space="preserve">increase in the basic charge.  The revenue requirement for the Company drives the total increase in rates.  Without an increase to the basic charge, a greater amount of the revenue requirement would need to be </w:t>
      </w:r>
      <w:r w:rsidR="008A5D51" w:rsidRPr="00F27E5A">
        <w:t>collected</w:t>
      </w:r>
      <w:r w:rsidRPr="00F27E5A">
        <w:t xml:space="preserve"> through larger increases to the volumetric charges.</w:t>
      </w:r>
    </w:p>
    <w:p w:rsidR="00A56D46" w:rsidRPr="00772AB8" w:rsidRDefault="00495799">
      <w:pPr>
        <w:pStyle w:val="Answer-Testimony"/>
        <w:ind w:firstLine="720"/>
      </w:pPr>
      <w:r w:rsidRPr="0012306B">
        <w:t>For customers with usage levels consistent with l</w:t>
      </w:r>
      <w:r w:rsidR="001E57EB">
        <w:t>ow-</w:t>
      </w:r>
      <w:r w:rsidRPr="0012306B">
        <w:t>income customers, Staff’s revised rates are between 0.</w:t>
      </w:r>
      <w:r w:rsidR="00325898">
        <w:t>9</w:t>
      </w:r>
      <w:r w:rsidR="00CA7C06" w:rsidRPr="00772AB8">
        <w:t xml:space="preserve"> percent</w:t>
      </w:r>
      <w:r w:rsidRPr="00772AB8">
        <w:t xml:space="preserve"> and </w:t>
      </w:r>
      <w:r w:rsidR="00CA7C06" w:rsidRPr="00772AB8">
        <w:t>1.</w:t>
      </w:r>
      <w:r w:rsidR="00325898">
        <w:t>0</w:t>
      </w:r>
      <w:r w:rsidR="00CA7C06" w:rsidRPr="00772AB8">
        <w:t xml:space="preserve"> percent</w:t>
      </w:r>
      <w:r w:rsidRPr="00772AB8">
        <w:t xml:space="preserve"> lower with the basic charge increase</w:t>
      </w:r>
      <w:r w:rsidR="00245C9C" w:rsidRPr="00772AB8">
        <w:t>,</w:t>
      </w:r>
      <w:r w:rsidRPr="00772AB8">
        <w:t xml:space="preserve"> than they would have been if th</w:t>
      </w:r>
      <w:r w:rsidR="00245C9C" w:rsidRPr="00772AB8">
        <w:t>e same</w:t>
      </w:r>
      <w:r w:rsidRPr="00772AB8">
        <w:t xml:space="preserve"> amount of revenue were collected strictly through increases to volumetric charges, as seen in the following Table </w:t>
      </w:r>
      <w:r w:rsidR="007E4E7C" w:rsidRPr="00772AB8">
        <w:t>3</w:t>
      </w:r>
      <w:r w:rsidRPr="00772AB8">
        <w:t>:</w:t>
      </w:r>
    </w:p>
    <w:tbl>
      <w:tblPr>
        <w:tblpPr w:leftFromText="187" w:rightFromText="187" w:vertAnchor="text" w:horzAnchor="page" w:tblpX="2634" w:tblpY="818"/>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75"/>
        <w:gridCol w:w="1620"/>
        <w:gridCol w:w="1588"/>
        <w:gridCol w:w="1296"/>
      </w:tblGrid>
      <w:tr w:rsidR="00F27E5A" w:rsidRPr="00F27E5A" w:rsidTr="000E1111">
        <w:trPr>
          <w:cantSplit/>
        </w:trPr>
        <w:tc>
          <w:tcPr>
            <w:tcW w:w="4075" w:type="dxa"/>
            <w:vMerge w:val="restart"/>
            <w:vAlign w:val="bottom"/>
          </w:tcPr>
          <w:p w:rsidR="00495799" w:rsidRPr="00F27E5A" w:rsidRDefault="00495799" w:rsidP="000E1111">
            <w:pPr>
              <w:pStyle w:val="answer"/>
              <w:keepNext/>
              <w:spacing w:before="60" w:after="60" w:line="240" w:lineRule="auto"/>
              <w:ind w:left="0" w:firstLine="0"/>
              <w:jc w:val="center"/>
              <w:rPr>
                <w:b/>
              </w:rPr>
            </w:pPr>
            <w:r w:rsidRPr="00F27E5A">
              <w:rPr>
                <w:b/>
              </w:rPr>
              <w:lastRenderedPageBreak/>
              <w:t>Usage in kWh</w:t>
            </w:r>
          </w:p>
        </w:tc>
        <w:tc>
          <w:tcPr>
            <w:tcW w:w="4504" w:type="dxa"/>
            <w:gridSpan w:val="3"/>
            <w:vAlign w:val="center"/>
          </w:tcPr>
          <w:p w:rsidR="00495799" w:rsidRPr="00F27E5A" w:rsidRDefault="00495799" w:rsidP="000E1111">
            <w:pPr>
              <w:pStyle w:val="answer"/>
              <w:keepNext/>
              <w:spacing w:before="60" w:after="60" w:line="240" w:lineRule="auto"/>
              <w:ind w:left="0" w:firstLine="0"/>
              <w:jc w:val="center"/>
              <w:rPr>
                <w:b/>
              </w:rPr>
            </w:pPr>
            <w:r w:rsidRPr="00F27E5A">
              <w:rPr>
                <w:b/>
              </w:rPr>
              <w:t>Total Bill per Rate Design Option</w:t>
            </w:r>
          </w:p>
        </w:tc>
      </w:tr>
      <w:tr w:rsidR="00F27E5A" w:rsidRPr="00F27E5A" w:rsidTr="000E1111">
        <w:trPr>
          <w:cantSplit/>
        </w:trPr>
        <w:tc>
          <w:tcPr>
            <w:tcW w:w="4075" w:type="dxa"/>
            <w:vMerge/>
            <w:vAlign w:val="center"/>
          </w:tcPr>
          <w:p w:rsidR="00495799" w:rsidRPr="00F27E5A" w:rsidRDefault="00495799" w:rsidP="000E1111">
            <w:pPr>
              <w:pStyle w:val="answer"/>
              <w:keepNext/>
              <w:spacing w:before="60" w:after="60" w:line="240" w:lineRule="auto"/>
              <w:ind w:left="0" w:firstLine="0"/>
              <w:jc w:val="center"/>
              <w:rPr>
                <w:b/>
              </w:rPr>
            </w:pPr>
          </w:p>
        </w:tc>
        <w:tc>
          <w:tcPr>
            <w:tcW w:w="1620" w:type="dxa"/>
            <w:vAlign w:val="center"/>
          </w:tcPr>
          <w:p w:rsidR="00495799" w:rsidRPr="00F27E5A" w:rsidRDefault="00495799" w:rsidP="000E1111">
            <w:pPr>
              <w:pStyle w:val="answer"/>
              <w:keepNext/>
              <w:spacing w:before="60" w:after="60" w:line="240" w:lineRule="auto"/>
              <w:ind w:left="0" w:firstLine="0"/>
              <w:jc w:val="center"/>
              <w:rPr>
                <w:b/>
              </w:rPr>
            </w:pPr>
            <w:r w:rsidRPr="00F27E5A">
              <w:rPr>
                <w:b/>
              </w:rPr>
              <w:t>Basic Rate = $6.00</w:t>
            </w:r>
          </w:p>
        </w:tc>
        <w:tc>
          <w:tcPr>
            <w:tcW w:w="1588" w:type="dxa"/>
            <w:vAlign w:val="center"/>
          </w:tcPr>
          <w:p w:rsidR="00495799" w:rsidRPr="00F27E5A" w:rsidRDefault="00495799" w:rsidP="00CC7364">
            <w:pPr>
              <w:pStyle w:val="answer"/>
              <w:keepNext/>
              <w:spacing w:before="60" w:after="60" w:line="240" w:lineRule="auto"/>
              <w:ind w:left="0" w:firstLine="0"/>
              <w:jc w:val="center"/>
              <w:rPr>
                <w:b/>
              </w:rPr>
            </w:pPr>
            <w:r w:rsidRPr="00F27E5A">
              <w:rPr>
                <w:b/>
              </w:rPr>
              <w:t>Basic Rate = $</w:t>
            </w:r>
            <w:r w:rsidR="00CC7364" w:rsidRPr="00F27E5A">
              <w:rPr>
                <w:b/>
              </w:rPr>
              <w:t>8</w:t>
            </w:r>
            <w:r w:rsidRPr="00F27E5A">
              <w:rPr>
                <w:b/>
              </w:rPr>
              <w:t>.</w:t>
            </w:r>
            <w:r w:rsidR="00CC7364" w:rsidRPr="00F27E5A">
              <w:rPr>
                <w:b/>
              </w:rPr>
              <w:t>6</w:t>
            </w:r>
            <w:r w:rsidRPr="00F27E5A">
              <w:rPr>
                <w:b/>
              </w:rPr>
              <w:t>4</w:t>
            </w:r>
          </w:p>
        </w:tc>
        <w:tc>
          <w:tcPr>
            <w:tcW w:w="1296" w:type="dxa"/>
            <w:vAlign w:val="center"/>
          </w:tcPr>
          <w:p w:rsidR="00495799" w:rsidRPr="00F27E5A" w:rsidRDefault="00495799" w:rsidP="000E1111">
            <w:pPr>
              <w:pStyle w:val="answer"/>
              <w:keepNext/>
              <w:spacing w:before="60" w:after="60" w:line="240" w:lineRule="auto"/>
              <w:ind w:left="0" w:firstLine="0"/>
              <w:jc w:val="center"/>
              <w:rPr>
                <w:b/>
              </w:rPr>
            </w:pPr>
            <w:r w:rsidRPr="00F27E5A">
              <w:rPr>
                <w:b/>
              </w:rPr>
              <w:t>% Difference</w:t>
            </w:r>
          </w:p>
        </w:tc>
      </w:tr>
      <w:tr w:rsidR="00F27E5A" w:rsidRPr="00F27E5A" w:rsidTr="000E1111">
        <w:trPr>
          <w:cantSplit/>
        </w:trPr>
        <w:tc>
          <w:tcPr>
            <w:tcW w:w="4075" w:type="dxa"/>
            <w:vAlign w:val="center"/>
          </w:tcPr>
          <w:p w:rsidR="00495799" w:rsidRPr="00F27E5A" w:rsidRDefault="00495799" w:rsidP="000E1111">
            <w:pPr>
              <w:pStyle w:val="answer"/>
              <w:keepNext/>
              <w:spacing w:before="60" w:after="60" w:line="240" w:lineRule="auto"/>
              <w:ind w:left="0" w:firstLine="0"/>
            </w:pPr>
            <w:r w:rsidRPr="00F27E5A">
              <w:t>1,000</w:t>
            </w:r>
          </w:p>
        </w:tc>
        <w:tc>
          <w:tcPr>
            <w:tcW w:w="1620" w:type="dxa"/>
            <w:vAlign w:val="center"/>
          </w:tcPr>
          <w:p w:rsidR="00495799" w:rsidRPr="00F27E5A" w:rsidRDefault="00495799" w:rsidP="00325898">
            <w:pPr>
              <w:pStyle w:val="answer"/>
              <w:keepNext/>
              <w:spacing w:before="60" w:after="60" w:line="240" w:lineRule="auto"/>
              <w:ind w:left="0" w:firstLine="0"/>
              <w:jc w:val="center"/>
            </w:pPr>
            <w:r w:rsidRPr="00F27E5A">
              <w:t>$</w:t>
            </w:r>
            <w:r w:rsidR="00325898">
              <w:t>81</w:t>
            </w:r>
            <w:r w:rsidRPr="00F27E5A">
              <w:t>.</w:t>
            </w:r>
            <w:r w:rsidR="001003AA" w:rsidRPr="00F27E5A">
              <w:t>2</w:t>
            </w:r>
            <w:r w:rsidR="00325898">
              <w:t>9</w:t>
            </w:r>
          </w:p>
        </w:tc>
        <w:tc>
          <w:tcPr>
            <w:tcW w:w="1588" w:type="dxa"/>
            <w:vAlign w:val="center"/>
          </w:tcPr>
          <w:p w:rsidR="00495799" w:rsidRPr="00F27E5A" w:rsidRDefault="001003AA" w:rsidP="00325898">
            <w:pPr>
              <w:pStyle w:val="answer"/>
              <w:keepNext/>
              <w:spacing w:before="60" w:after="60" w:line="240" w:lineRule="auto"/>
              <w:ind w:left="0" w:firstLine="0"/>
              <w:jc w:val="center"/>
            </w:pPr>
            <w:r w:rsidRPr="00F27E5A">
              <w:t>$</w:t>
            </w:r>
            <w:r w:rsidR="00325898">
              <w:t>80</w:t>
            </w:r>
            <w:r w:rsidRPr="00F27E5A">
              <w:t>.</w:t>
            </w:r>
            <w:r w:rsidR="00325898">
              <w:t>57</w:t>
            </w:r>
          </w:p>
        </w:tc>
        <w:tc>
          <w:tcPr>
            <w:tcW w:w="1296" w:type="dxa"/>
            <w:vAlign w:val="center"/>
          </w:tcPr>
          <w:p w:rsidR="00495799" w:rsidRPr="00F27E5A" w:rsidRDefault="00CA7C06" w:rsidP="001003AA">
            <w:pPr>
              <w:pStyle w:val="answer"/>
              <w:keepNext/>
              <w:spacing w:before="60" w:after="60" w:line="240" w:lineRule="auto"/>
              <w:ind w:left="0" w:firstLine="0"/>
              <w:jc w:val="center"/>
            </w:pPr>
            <w:r w:rsidRPr="00F27E5A">
              <w:t>-</w:t>
            </w:r>
            <w:r w:rsidR="001003AA" w:rsidRPr="00F27E5A">
              <w:t>0</w:t>
            </w:r>
            <w:r w:rsidR="00495799" w:rsidRPr="00F27E5A">
              <w:t>.</w:t>
            </w:r>
            <w:r w:rsidR="00325898">
              <w:t>9</w:t>
            </w:r>
            <w:r w:rsidR="00495799" w:rsidRPr="00F27E5A">
              <w:t>%</w:t>
            </w:r>
          </w:p>
        </w:tc>
      </w:tr>
      <w:tr w:rsidR="00F27E5A" w:rsidRPr="00F27E5A" w:rsidTr="000E1111">
        <w:trPr>
          <w:cantSplit/>
        </w:trPr>
        <w:tc>
          <w:tcPr>
            <w:tcW w:w="4075" w:type="dxa"/>
            <w:vAlign w:val="center"/>
          </w:tcPr>
          <w:p w:rsidR="00495799" w:rsidRPr="00F27E5A" w:rsidRDefault="00495799" w:rsidP="000E1111">
            <w:pPr>
              <w:pStyle w:val="answer"/>
              <w:keepNext/>
              <w:spacing w:before="60" w:after="60" w:line="240" w:lineRule="auto"/>
              <w:ind w:left="0" w:firstLine="0"/>
            </w:pPr>
            <w:r w:rsidRPr="00F27E5A">
              <w:t>1,100</w:t>
            </w:r>
          </w:p>
        </w:tc>
        <w:tc>
          <w:tcPr>
            <w:tcW w:w="1620" w:type="dxa"/>
            <w:vAlign w:val="center"/>
          </w:tcPr>
          <w:p w:rsidR="00495799" w:rsidRPr="00F27E5A" w:rsidRDefault="00CA7C06" w:rsidP="00325898">
            <w:pPr>
              <w:pStyle w:val="answer"/>
              <w:keepNext/>
              <w:spacing w:before="60" w:after="60" w:line="240" w:lineRule="auto"/>
              <w:ind w:left="0" w:firstLine="0"/>
              <w:jc w:val="center"/>
            </w:pPr>
            <w:r w:rsidRPr="00F27E5A">
              <w:t>$</w:t>
            </w:r>
            <w:r w:rsidR="00325898">
              <w:t>91</w:t>
            </w:r>
            <w:r w:rsidRPr="00F27E5A">
              <w:t>.</w:t>
            </w:r>
            <w:r w:rsidR="00325898">
              <w:t>24</w:t>
            </w:r>
          </w:p>
        </w:tc>
        <w:tc>
          <w:tcPr>
            <w:tcW w:w="1588" w:type="dxa"/>
            <w:vAlign w:val="center"/>
          </w:tcPr>
          <w:p w:rsidR="00495799" w:rsidRPr="00F27E5A" w:rsidRDefault="00CA7C06" w:rsidP="00325898">
            <w:pPr>
              <w:pStyle w:val="answer"/>
              <w:keepNext/>
              <w:spacing w:before="60" w:after="60" w:line="240" w:lineRule="auto"/>
              <w:ind w:left="0" w:firstLine="0"/>
              <w:jc w:val="center"/>
            </w:pPr>
            <w:r w:rsidRPr="00F27E5A">
              <w:t>$</w:t>
            </w:r>
            <w:r w:rsidR="00325898">
              <w:t>90</w:t>
            </w:r>
            <w:r w:rsidRPr="00F27E5A">
              <w:t>.</w:t>
            </w:r>
            <w:r w:rsidR="00325898">
              <w:t>39</w:t>
            </w:r>
          </w:p>
        </w:tc>
        <w:tc>
          <w:tcPr>
            <w:tcW w:w="1296" w:type="dxa"/>
            <w:vAlign w:val="center"/>
          </w:tcPr>
          <w:p w:rsidR="00495799" w:rsidRPr="00F27E5A" w:rsidRDefault="000410D9" w:rsidP="00CA263D">
            <w:pPr>
              <w:pStyle w:val="answer"/>
              <w:keepNext/>
              <w:spacing w:before="60" w:after="60" w:line="240" w:lineRule="auto"/>
              <w:ind w:left="0" w:firstLine="0"/>
              <w:jc w:val="center"/>
            </w:pPr>
            <w:r w:rsidRPr="00F27E5A">
              <w:t>-0.</w:t>
            </w:r>
            <w:r w:rsidR="00CA263D" w:rsidRPr="00F27E5A">
              <w:t>9</w:t>
            </w:r>
            <w:r w:rsidR="00495799" w:rsidRPr="00F27E5A">
              <w:t>%</w:t>
            </w:r>
          </w:p>
        </w:tc>
      </w:tr>
      <w:tr w:rsidR="00F27E5A" w:rsidRPr="00F27E5A" w:rsidTr="000E1111">
        <w:trPr>
          <w:cantSplit/>
        </w:trPr>
        <w:tc>
          <w:tcPr>
            <w:tcW w:w="4075" w:type="dxa"/>
            <w:vAlign w:val="center"/>
          </w:tcPr>
          <w:p w:rsidR="00495799" w:rsidRPr="00F27E5A" w:rsidRDefault="00495799" w:rsidP="000E1111">
            <w:pPr>
              <w:pStyle w:val="answer"/>
              <w:keepNext/>
              <w:spacing w:before="60" w:after="60" w:line="240" w:lineRule="auto"/>
              <w:ind w:left="0" w:firstLine="0"/>
            </w:pPr>
            <w:r w:rsidRPr="00F27E5A">
              <w:t>1,200</w:t>
            </w:r>
          </w:p>
        </w:tc>
        <w:tc>
          <w:tcPr>
            <w:tcW w:w="1620" w:type="dxa"/>
            <w:vAlign w:val="center"/>
          </w:tcPr>
          <w:p w:rsidR="00495799" w:rsidRPr="00F27E5A" w:rsidRDefault="000410D9" w:rsidP="00325898">
            <w:pPr>
              <w:pStyle w:val="answer"/>
              <w:keepNext/>
              <w:spacing w:before="60" w:after="60" w:line="240" w:lineRule="auto"/>
              <w:ind w:left="0" w:firstLine="0"/>
              <w:jc w:val="center"/>
            </w:pPr>
            <w:r w:rsidRPr="00F27E5A">
              <w:t>$</w:t>
            </w:r>
            <w:r w:rsidR="00325898">
              <w:t>101</w:t>
            </w:r>
            <w:r w:rsidRPr="00F27E5A">
              <w:t>.</w:t>
            </w:r>
            <w:r w:rsidR="00325898">
              <w:t>18</w:t>
            </w:r>
          </w:p>
        </w:tc>
        <w:tc>
          <w:tcPr>
            <w:tcW w:w="1588" w:type="dxa"/>
            <w:vAlign w:val="center"/>
          </w:tcPr>
          <w:p w:rsidR="00495799" w:rsidRPr="00F27E5A" w:rsidRDefault="000410D9" w:rsidP="00325898">
            <w:pPr>
              <w:pStyle w:val="answer"/>
              <w:keepNext/>
              <w:spacing w:before="60" w:after="60" w:line="240" w:lineRule="auto"/>
              <w:ind w:left="0" w:firstLine="0"/>
              <w:jc w:val="center"/>
            </w:pPr>
            <w:r w:rsidRPr="00F27E5A">
              <w:t>$</w:t>
            </w:r>
            <w:r w:rsidR="00325898">
              <w:t>100</w:t>
            </w:r>
            <w:r w:rsidRPr="00F27E5A">
              <w:t>.</w:t>
            </w:r>
            <w:r w:rsidR="00325898">
              <w:t>21</w:t>
            </w:r>
          </w:p>
        </w:tc>
        <w:tc>
          <w:tcPr>
            <w:tcW w:w="1296" w:type="dxa"/>
            <w:vAlign w:val="center"/>
          </w:tcPr>
          <w:p w:rsidR="00495799" w:rsidRPr="00F27E5A" w:rsidRDefault="00325898" w:rsidP="000E1111">
            <w:pPr>
              <w:pStyle w:val="answer"/>
              <w:keepNext/>
              <w:spacing w:before="60" w:after="60" w:line="240" w:lineRule="auto"/>
              <w:ind w:left="0" w:firstLine="0"/>
              <w:jc w:val="center"/>
            </w:pPr>
            <w:r>
              <w:t>-1.0</w:t>
            </w:r>
            <w:r w:rsidR="00495799" w:rsidRPr="00F27E5A">
              <w:t>%</w:t>
            </w:r>
          </w:p>
        </w:tc>
      </w:tr>
      <w:tr w:rsidR="00F27E5A" w:rsidRPr="00F27E5A" w:rsidTr="000E1111">
        <w:trPr>
          <w:cantSplit/>
        </w:trPr>
        <w:tc>
          <w:tcPr>
            <w:tcW w:w="4075" w:type="dxa"/>
            <w:vAlign w:val="center"/>
          </w:tcPr>
          <w:p w:rsidR="00495799" w:rsidRPr="00F27E5A" w:rsidRDefault="00495799" w:rsidP="000E1111">
            <w:pPr>
              <w:pStyle w:val="answer"/>
              <w:keepNext/>
              <w:spacing w:before="60" w:after="60" w:line="240" w:lineRule="auto"/>
              <w:ind w:left="0" w:firstLine="0"/>
            </w:pPr>
            <w:r w:rsidRPr="00F27E5A">
              <w:t>1,300</w:t>
            </w:r>
          </w:p>
        </w:tc>
        <w:tc>
          <w:tcPr>
            <w:tcW w:w="1620" w:type="dxa"/>
            <w:vAlign w:val="center"/>
          </w:tcPr>
          <w:p w:rsidR="00495799" w:rsidRPr="00F27E5A" w:rsidRDefault="000410D9" w:rsidP="00325898">
            <w:pPr>
              <w:pStyle w:val="answer"/>
              <w:keepNext/>
              <w:spacing w:before="60" w:after="60" w:line="240" w:lineRule="auto"/>
              <w:ind w:left="0" w:firstLine="0"/>
              <w:jc w:val="center"/>
            </w:pPr>
            <w:r w:rsidRPr="00F27E5A">
              <w:t>$1</w:t>
            </w:r>
            <w:r w:rsidR="00325898">
              <w:t>11</w:t>
            </w:r>
            <w:r w:rsidRPr="00F27E5A">
              <w:t>.</w:t>
            </w:r>
            <w:r w:rsidR="00325898">
              <w:t>12</w:t>
            </w:r>
          </w:p>
        </w:tc>
        <w:tc>
          <w:tcPr>
            <w:tcW w:w="1588" w:type="dxa"/>
            <w:vAlign w:val="center"/>
          </w:tcPr>
          <w:p w:rsidR="00495799" w:rsidRPr="00F27E5A" w:rsidRDefault="000410D9" w:rsidP="00325898">
            <w:pPr>
              <w:pStyle w:val="answer"/>
              <w:keepNext/>
              <w:spacing w:before="60" w:after="60" w:line="240" w:lineRule="auto"/>
              <w:ind w:left="0" w:firstLine="0"/>
              <w:jc w:val="center"/>
            </w:pPr>
            <w:r w:rsidRPr="00F27E5A">
              <w:t>$1</w:t>
            </w:r>
            <w:r w:rsidR="00325898">
              <w:t>1</w:t>
            </w:r>
            <w:r w:rsidRPr="00F27E5A">
              <w:t>0.</w:t>
            </w:r>
            <w:r w:rsidR="00325898">
              <w:t>03</w:t>
            </w:r>
          </w:p>
        </w:tc>
        <w:tc>
          <w:tcPr>
            <w:tcW w:w="1296" w:type="dxa"/>
            <w:vAlign w:val="center"/>
          </w:tcPr>
          <w:p w:rsidR="00495799" w:rsidRPr="00F27E5A" w:rsidRDefault="00CA7C06" w:rsidP="00CA263D">
            <w:pPr>
              <w:pStyle w:val="answer"/>
              <w:keepNext/>
              <w:spacing w:before="60" w:after="60" w:line="240" w:lineRule="auto"/>
              <w:ind w:left="0" w:firstLine="0"/>
              <w:jc w:val="center"/>
            </w:pPr>
            <w:r w:rsidRPr="00F27E5A">
              <w:t>-1</w:t>
            </w:r>
            <w:r w:rsidR="00495799" w:rsidRPr="00F27E5A">
              <w:t>.</w:t>
            </w:r>
            <w:r w:rsidR="00325898">
              <w:t>0</w:t>
            </w:r>
            <w:r w:rsidR="00495799" w:rsidRPr="00F27E5A">
              <w:t>%</w:t>
            </w:r>
          </w:p>
        </w:tc>
      </w:tr>
      <w:tr w:rsidR="00F27E5A" w:rsidRPr="00F27E5A" w:rsidTr="000E1111">
        <w:trPr>
          <w:cantSplit/>
        </w:trPr>
        <w:tc>
          <w:tcPr>
            <w:tcW w:w="4075" w:type="dxa"/>
            <w:vAlign w:val="center"/>
          </w:tcPr>
          <w:p w:rsidR="00495799" w:rsidRPr="00F27E5A" w:rsidRDefault="00495799" w:rsidP="000E1111">
            <w:pPr>
              <w:pStyle w:val="answer"/>
              <w:keepNext/>
              <w:spacing w:before="60" w:after="60" w:line="240" w:lineRule="auto"/>
              <w:ind w:left="0" w:firstLine="0"/>
            </w:pPr>
            <w:r w:rsidRPr="00F27E5A">
              <w:t>1,400</w:t>
            </w:r>
          </w:p>
        </w:tc>
        <w:tc>
          <w:tcPr>
            <w:tcW w:w="1620" w:type="dxa"/>
            <w:vAlign w:val="center"/>
          </w:tcPr>
          <w:p w:rsidR="00495799" w:rsidRPr="00F27E5A" w:rsidRDefault="000410D9" w:rsidP="00325898">
            <w:pPr>
              <w:pStyle w:val="answer"/>
              <w:keepNext/>
              <w:spacing w:before="60" w:after="60" w:line="240" w:lineRule="auto"/>
              <w:ind w:left="0" w:firstLine="0"/>
              <w:jc w:val="center"/>
            </w:pPr>
            <w:r w:rsidRPr="00F27E5A">
              <w:t>$1</w:t>
            </w:r>
            <w:r w:rsidR="00325898">
              <w:t>2</w:t>
            </w:r>
            <w:r w:rsidRPr="00F27E5A">
              <w:t>1.</w:t>
            </w:r>
            <w:r w:rsidR="00325898">
              <w:t>06</w:t>
            </w:r>
          </w:p>
        </w:tc>
        <w:tc>
          <w:tcPr>
            <w:tcW w:w="1588" w:type="dxa"/>
            <w:vAlign w:val="center"/>
          </w:tcPr>
          <w:p w:rsidR="00495799" w:rsidRPr="00F27E5A" w:rsidRDefault="000410D9" w:rsidP="00325898">
            <w:pPr>
              <w:pStyle w:val="answer"/>
              <w:keepNext/>
              <w:spacing w:before="60" w:after="60" w:line="240" w:lineRule="auto"/>
              <w:ind w:left="0" w:firstLine="0"/>
              <w:jc w:val="center"/>
            </w:pPr>
            <w:r w:rsidRPr="00F27E5A">
              <w:t>$11</w:t>
            </w:r>
            <w:r w:rsidR="00325898">
              <w:t>9</w:t>
            </w:r>
            <w:r w:rsidRPr="00F27E5A">
              <w:t>.</w:t>
            </w:r>
            <w:r w:rsidR="00325898">
              <w:t>85</w:t>
            </w:r>
          </w:p>
        </w:tc>
        <w:tc>
          <w:tcPr>
            <w:tcW w:w="1296" w:type="dxa"/>
            <w:vAlign w:val="center"/>
          </w:tcPr>
          <w:p w:rsidR="00495799" w:rsidRPr="00F27E5A" w:rsidRDefault="00CA7C06" w:rsidP="00CA7C06">
            <w:pPr>
              <w:pStyle w:val="answer"/>
              <w:keepNext/>
              <w:spacing w:before="60" w:after="60" w:line="240" w:lineRule="auto"/>
              <w:ind w:left="0" w:firstLine="0"/>
              <w:jc w:val="center"/>
            </w:pPr>
            <w:r w:rsidRPr="00F27E5A">
              <w:t>-1</w:t>
            </w:r>
            <w:r w:rsidR="00495799" w:rsidRPr="00F27E5A">
              <w:t>.</w:t>
            </w:r>
            <w:r w:rsidR="00325898">
              <w:t>0</w:t>
            </w:r>
            <w:r w:rsidR="00495799" w:rsidRPr="00F27E5A">
              <w:t>%</w:t>
            </w:r>
          </w:p>
        </w:tc>
      </w:tr>
      <w:tr w:rsidR="00F27E5A" w:rsidRPr="00F27E5A" w:rsidTr="000E1111">
        <w:trPr>
          <w:cantSplit/>
        </w:trPr>
        <w:tc>
          <w:tcPr>
            <w:tcW w:w="4075" w:type="dxa"/>
            <w:vAlign w:val="center"/>
          </w:tcPr>
          <w:p w:rsidR="00495799" w:rsidRPr="00F27E5A" w:rsidRDefault="00495799" w:rsidP="000E1111">
            <w:pPr>
              <w:pStyle w:val="answer"/>
              <w:keepNext/>
              <w:spacing w:before="60" w:after="60" w:line="240" w:lineRule="auto"/>
              <w:ind w:left="0" w:firstLine="0"/>
            </w:pPr>
            <w:r w:rsidRPr="00F27E5A">
              <w:t>1,500</w:t>
            </w:r>
          </w:p>
        </w:tc>
        <w:tc>
          <w:tcPr>
            <w:tcW w:w="1620" w:type="dxa"/>
            <w:vAlign w:val="center"/>
          </w:tcPr>
          <w:p w:rsidR="00495799" w:rsidRPr="00F27E5A" w:rsidRDefault="000410D9" w:rsidP="00325898">
            <w:pPr>
              <w:pStyle w:val="answer"/>
              <w:keepNext/>
              <w:spacing w:before="60" w:after="60" w:line="240" w:lineRule="auto"/>
              <w:ind w:left="0" w:firstLine="0"/>
              <w:jc w:val="center"/>
            </w:pPr>
            <w:r w:rsidRPr="00F27E5A">
              <w:t>$13</w:t>
            </w:r>
            <w:r w:rsidR="00325898">
              <w:t>1</w:t>
            </w:r>
            <w:r w:rsidRPr="00F27E5A">
              <w:t>.</w:t>
            </w:r>
            <w:r w:rsidR="00325898">
              <w:t>00</w:t>
            </w:r>
          </w:p>
        </w:tc>
        <w:tc>
          <w:tcPr>
            <w:tcW w:w="1588" w:type="dxa"/>
            <w:vAlign w:val="center"/>
          </w:tcPr>
          <w:p w:rsidR="00495799" w:rsidRPr="00F27E5A" w:rsidRDefault="00495799" w:rsidP="00325898">
            <w:pPr>
              <w:pStyle w:val="answer"/>
              <w:keepNext/>
              <w:spacing w:before="60" w:after="60" w:line="240" w:lineRule="auto"/>
              <w:ind w:left="0" w:firstLine="0"/>
              <w:jc w:val="center"/>
            </w:pPr>
            <w:r w:rsidRPr="00F27E5A">
              <w:t>$12</w:t>
            </w:r>
            <w:r w:rsidR="00325898">
              <w:t>9</w:t>
            </w:r>
            <w:r w:rsidR="000410D9" w:rsidRPr="00F27E5A">
              <w:t>.</w:t>
            </w:r>
            <w:r w:rsidR="00325898">
              <w:t>67</w:t>
            </w:r>
          </w:p>
        </w:tc>
        <w:tc>
          <w:tcPr>
            <w:tcW w:w="1296" w:type="dxa"/>
            <w:vAlign w:val="center"/>
          </w:tcPr>
          <w:p w:rsidR="00495799" w:rsidRPr="00F27E5A" w:rsidRDefault="00CA263D" w:rsidP="00325898">
            <w:pPr>
              <w:pStyle w:val="answer"/>
              <w:keepNext/>
              <w:spacing w:before="60" w:after="60" w:line="240" w:lineRule="auto"/>
              <w:ind w:left="0" w:firstLine="0"/>
              <w:jc w:val="center"/>
            </w:pPr>
            <w:r w:rsidRPr="00F27E5A">
              <w:t>-1.</w:t>
            </w:r>
            <w:r w:rsidR="00325898">
              <w:t>0</w:t>
            </w:r>
            <w:r w:rsidR="00495799" w:rsidRPr="00F27E5A">
              <w:t>%</w:t>
            </w:r>
          </w:p>
        </w:tc>
      </w:tr>
    </w:tbl>
    <w:p w:rsidR="00495799" w:rsidRPr="00F27E5A" w:rsidRDefault="00495799" w:rsidP="00495799">
      <w:pPr>
        <w:pStyle w:val="Answer-Testimony"/>
        <w:jc w:val="center"/>
      </w:pPr>
      <w:r w:rsidRPr="00F27E5A">
        <w:t xml:space="preserve">Table </w:t>
      </w:r>
      <w:r w:rsidR="007E4E7C" w:rsidRPr="00F27E5A">
        <w:t>3</w:t>
      </w:r>
      <w:r w:rsidRPr="00F27E5A">
        <w:t>: Crossover Chart</w:t>
      </w:r>
    </w:p>
    <w:p w:rsidR="00495799" w:rsidRPr="00F27E5A" w:rsidRDefault="00495799" w:rsidP="00495799">
      <w:pPr>
        <w:pStyle w:val="Answer-Testimony"/>
      </w:pPr>
    </w:p>
    <w:p w:rsidR="00495799" w:rsidRPr="00A56D46" w:rsidRDefault="00495799" w:rsidP="00495799">
      <w:pPr>
        <w:pStyle w:val="Answer-Testimony"/>
        <w:rPr>
          <w:color w:val="FFFFFF" w:themeColor="background1"/>
        </w:rPr>
      </w:pPr>
      <w:r w:rsidRPr="00A56D46">
        <w:rPr>
          <w:color w:val="FFFFFF" w:themeColor="background1"/>
        </w:rPr>
        <w:t>R</w:t>
      </w:r>
    </w:p>
    <w:p w:rsidR="00495799" w:rsidRPr="00A56D46" w:rsidRDefault="00495799" w:rsidP="00495799">
      <w:pPr>
        <w:pStyle w:val="Answer-Testimony"/>
        <w:rPr>
          <w:color w:val="FFFFFF" w:themeColor="background1"/>
        </w:rPr>
      </w:pPr>
      <w:r w:rsidRPr="00A56D46">
        <w:rPr>
          <w:color w:val="FFFFFF" w:themeColor="background1"/>
        </w:rPr>
        <w:t>R</w:t>
      </w:r>
    </w:p>
    <w:p w:rsidR="00495799" w:rsidRPr="00A56D46" w:rsidRDefault="00495799" w:rsidP="00495799">
      <w:pPr>
        <w:pStyle w:val="Answer-Testimony"/>
        <w:rPr>
          <w:color w:val="FFFFFF" w:themeColor="background1"/>
        </w:rPr>
      </w:pPr>
      <w:r w:rsidRPr="00A56D46">
        <w:rPr>
          <w:color w:val="FFFFFF" w:themeColor="background1"/>
        </w:rPr>
        <w:t>R</w:t>
      </w:r>
    </w:p>
    <w:p w:rsidR="00495799" w:rsidRPr="00A56D46" w:rsidRDefault="00495799" w:rsidP="00495799">
      <w:pPr>
        <w:pStyle w:val="Answer-Testimony"/>
        <w:rPr>
          <w:color w:val="FFFFFF" w:themeColor="background1"/>
        </w:rPr>
      </w:pPr>
    </w:p>
    <w:p w:rsidR="00495799" w:rsidRPr="00A56D46" w:rsidRDefault="00495799" w:rsidP="00495799">
      <w:pPr>
        <w:pStyle w:val="Answer-Testimony"/>
        <w:rPr>
          <w:color w:val="FFFFFF" w:themeColor="background1"/>
        </w:rPr>
      </w:pPr>
      <w:r w:rsidRPr="00A56D46">
        <w:rPr>
          <w:color w:val="FFFFFF" w:themeColor="background1"/>
        </w:rPr>
        <w:t>R</w:t>
      </w:r>
    </w:p>
    <w:p w:rsidR="00495799" w:rsidRPr="00A56D46" w:rsidRDefault="00495799" w:rsidP="00495799">
      <w:pPr>
        <w:pStyle w:val="Answer-Testimony"/>
        <w:rPr>
          <w:color w:val="FFFFFF" w:themeColor="background1"/>
        </w:rPr>
      </w:pPr>
      <w:r w:rsidRPr="00A56D46">
        <w:rPr>
          <w:color w:val="FFFFFF" w:themeColor="background1"/>
        </w:rPr>
        <w:t>R</w:t>
      </w:r>
    </w:p>
    <w:p w:rsidR="00495799" w:rsidRPr="00A56D46" w:rsidRDefault="00495799" w:rsidP="00495799">
      <w:pPr>
        <w:pStyle w:val="Question-Testimony"/>
        <w:rPr>
          <w:color w:val="FFFFFF" w:themeColor="background1"/>
        </w:rPr>
      </w:pPr>
      <w:r w:rsidRPr="00A56D46">
        <w:rPr>
          <w:color w:val="FFFFFF" w:themeColor="background1"/>
        </w:rPr>
        <w:t>R</w:t>
      </w:r>
    </w:p>
    <w:p w:rsidR="00495799" w:rsidRPr="00F27E5A" w:rsidRDefault="00495799" w:rsidP="00495799">
      <w:pPr>
        <w:pStyle w:val="Question-Testimony"/>
      </w:pPr>
      <w:r w:rsidRPr="00F27E5A">
        <w:t>Q.</w:t>
      </w:r>
      <w:r w:rsidRPr="00F27E5A">
        <w:tab/>
        <w:t xml:space="preserve">Will increasing the basic charge send the wrong price signal to </w:t>
      </w:r>
      <w:r w:rsidR="009A0B61" w:rsidRPr="00F27E5A">
        <w:t xml:space="preserve">residential </w:t>
      </w:r>
      <w:r w:rsidRPr="00F27E5A">
        <w:t>customers?</w:t>
      </w:r>
    </w:p>
    <w:p w:rsidR="00495799" w:rsidRPr="00F27E5A" w:rsidRDefault="00495799" w:rsidP="00495799">
      <w:pPr>
        <w:pStyle w:val="Answer-Testimony"/>
      </w:pPr>
      <w:r w:rsidRPr="00F27E5A">
        <w:t>A.</w:t>
      </w:r>
      <w:r w:rsidRPr="00F27E5A">
        <w:tab/>
        <w:t xml:space="preserve">No.  The increase to the basic charge sends the correct price signal because it recovers the fixed costs the Company incurs directly to serve that customer, </w:t>
      </w:r>
      <w:r w:rsidR="009A0B61" w:rsidRPr="00F27E5A">
        <w:t>such as the cost of the</w:t>
      </w:r>
      <w:r w:rsidRPr="00F27E5A">
        <w:t xml:space="preserve"> service drop and the meter.</w:t>
      </w:r>
    </w:p>
    <w:p w:rsidR="00495799" w:rsidRPr="00F27E5A" w:rsidRDefault="00495799" w:rsidP="00495799">
      <w:pPr>
        <w:pStyle w:val="Answer-Testimony"/>
      </w:pPr>
    </w:p>
    <w:p w:rsidR="00495799" w:rsidRPr="00F27E5A" w:rsidRDefault="00495799" w:rsidP="00495799">
      <w:pPr>
        <w:pStyle w:val="Question-Testimony"/>
      </w:pPr>
      <w:r w:rsidRPr="00F27E5A">
        <w:t>Q.</w:t>
      </w:r>
      <w:r w:rsidRPr="00F27E5A">
        <w:tab/>
        <w:t xml:space="preserve">Is Staff’s </w:t>
      </w:r>
      <w:r w:rsidR="00245C9C" w:rsidRPr="00F27E5A">
        <w:t xml:space="preserve">recommended </w:t>
      </w:r>
      <w:r w:rsidRPr="00F27E5A">
        <w:t>level of customer charge appropriate?</w:t>
      </w:r>
    </w:p>
    <w:p w:rsidR="00495799" w:rsidRPr="00F27E5A" w:rsidRDefault="00495799" w:rsidP="00495799">
      <w:pPr>
        <w:pStyle w:val="Answer-Testimony"/>
        <w:rPr>
          <w:b/>
        </w:rPr>
      </w:pPr>
      <w:r w:rsidRPr="00B935E0">
        <w:rPr>
          <w:bCs/>
        </w:rPr>
        <w:t>A.</w:t>
      </w:r>
      <w:r w:rsidRPr="00F27E5A">
        <w:rPr>
          <w:b/>
          <w:bCs/>
        </w:rPr>
        <w:tab/>
      </w:r>
      <w:r w:rsidRPr="00F27E5A">
        <w:rPr>
          <w:bCs/>
        </w:rPr>
        <w:t xml:space="preserve">Yes.  </w:t>
      </w:r>
      <w:r w:rsidRPr="00F27E5A">
        <w:t>In a 2007</w:t>
      </w:r>
      <w:r w:rsidR="00245C9C" w:rsidRPr="00F27E5A">
        <w:t xml:space="preserve"> general rate case</w:t>
      </w:r>
      <w:r w:rsidR="00043512" w:rsidRPr="00F27E5A">
        <w:t xml:space="preserve"> order for</w:t>
      </w:r>
      <w:r w:rsidRPr="00F27E5A">
        <w:t xml:space="preserve"> PSE, the Commission identified the appropriate level of </w:t>
      </w:r>
      <w:r w:rsidR="009A0B61" w:rsidRPr="00F27E5A">
        <w:t xml:space="preserve">a </w:t>
      </w:r>
      <w:r w:rsidRPr="00F27E5A">
        <w:t>customer charge as follows</w:t>
      </w:r>
      <w:r w:rsidRPr="00F27E5A">
        <w:rPr>
          <w:bCs/>
        </w:rPr>
        <w:t>:</w:t>
      </w:r>
    </w:p>
    <w:p w:rsidR="00495799" w:rsidRPr="00F27E5A" w:rsidRDefault="00245C9C" w:rsidP="00495799">
      <w:pPr>
        <w:pStyle w:val="Answer-Testimony"/>
        <w:spacing w:line="240" w:lineRule="auto"/>
        <w:ind w:left="1440" w:firstLine="0"/>
      </w:pPr>
      <w:r w:rsidRPr="00F27E5A">
        <w:t>[A]</w:t>
      </w:r>
      <w:r w:rsidR="00495799" w:rsidRPr="00F27E5A">
        <w:t>n increase in the customer charge…will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customer charge.</w:t>
      </w:r>
      <w:r w:rsidR="00495799" w:rsidRPr="00F27E5A">
        <w:rPr>
          <w:rStyle w:val="FootnoteReference"/>
        </w:rPr>
        <w:footnoteReference w:id="28"/>
      </w:r>
    </w:p>
    <w:p w:rsidR="00495799" w:rsidRPr="00F27E5A" w:rsidRDefault="00495799" w:rsidP="00495799">
      <w:pPr>
        <w:pStyle w:val="Answer-Testimony"/>
        <w:spacing w:line="240" w:lineRule="auto"/>
      </w:pPr>
    </w:p>
    <w:p w:rsidR="00495799" w:rsidRPr="00F27E5A" w:rsidRDefault="00495799" w:rsidP="00495799">
      <w:pPr>
        <w:pStyle w:val="Answer-Testimony"/>
      </w:pPr>
      <w:r w:rsidRPr="00F27E5A">
        <w:lastRenderedPageBreak/>
        <w:tab/>
        <w:t>Staff’s proposed $</w:t>
      </w:r>
      <w:r w:rsidR="009C0BE0" w:rsidRPr="00F27E5A">
        <w:t>8</w:t>
      </w:r>
      <w:r w:rsidRPr="00F27E5A">
        <w:t>.</w:t>
      </w:r>
      <w:r w:rsidR="009C0BE0" w:rsidRPr="00F27E5A">
        <w:t>6</w:t>
      </w:r>
      <w:r w:rsidRPr="00F27E5A">
        <w:t xml:space="preserve">4 customer charge for </w:t>
      </w:r>
      <w:r w:rsidR="009A0B61" w:rsidRPr="00F27E5A">
        <w:t>residential</w:t>
      </w:r>
      <w:r w:rsidRPr="00F27E5A">
        <w:t xml:space="preserve"> customers meets this “balance point” because it represents 2</w:t>
      </w:r>
      <w:r w:rsidR="00FE0D9C" w:rsidRPr="00F27E5A">
        <w:t>1</w:t>
      </w:r>
      <w:r w:rsidRPr="00F27E5A">
        <w:t>.</w:t>
      </w:r>
      <w:r w:rsidR="00FE0D9C" w:rsidRPr="00F27E5A">
        <w:t>0</w:t>
      </w:r>
      <w:r w:rsidRPr="00F27E5A">
        <w:t xml:space="preserve"> percent of the fixed costs allocated to residential customers</w:t>
      </w:r>
      <w:r w:rsidRPr="00F27E5A">
        <w:rPr>
          <w:rStyle w:val="FootnoteReference"/>
        </w:rPr>
        <w:footnoteReference w:id="29"/>
      </w:r>
      <w:r w:rsidRPr="00F27E5A">
        <w:t xml:space="preserve"> and equals </w:t>
      </w:r>
      <w:r w:rsidR="00FE0D9C" w:rsidRPr="00F27E5A">
        <w:t>8</w:t>
      </w:r>
      <w:r w:rsidRPr="00F27E5A">
        <w:t>.</w:t>
      </w:r>
      <w:r w:rsidR="00FE0D9C" w:rsidRPr="00F27E5A">
        <w:t>0</w:t>
      </w:r>
      <w:r w:rsidRPr="00F27E5A">
        <w:t xml:space="preserve"> percent of an average customer’s total bill.  These percentages are within the limits the Commission approved in the PSE order I quoted.</w:t>
      </w:r>
    </w:p>
    <w:p w:rsidR="0022334C" w:rsidRPr="00F27E5A" w:rsidRDefault="0022334C" w:rsidP="0022334C">
      <w:pPr>
        <w:pStyle w:val="Answer-Testimony"/>
      </w:pPr>
    </w:p>
    <w:p w:rsidR="0022334C" w:rsidRPr="00F27E5A" w:rsidRDefault="0022334C" w:rsidP="00BD36B5">
      <w:pPr>
        <w:pStyle w:val="Heading6"/>
      </w:pPr>
      <w:bookmarkStart w:id="12" w:name="_Toc359312048"/>
      <w:r w:rsidRPr="00F27E5A">
        <w:t>Volumetric Blocks</w:t>
      </w:r>
      <w:bookmarkEnd w:id="12"/>
    </w:p>
    <w:p w:rsidR="0022334C" w:rsidRPr="00F27E5A" w:rsidRDefault="0022334C" w:rsidP="0022334C">
      <w:pPr>
        <w:pStyle w:val="Question-Testimony"/>
      </w:pPr>
    </w:p>
    <w:p w:rsidR="008A14BC" w:rsidRPr="00F27E5A" w:rsidRDefault="008A14BC" w:rsidP="002429C8">
      <w:pPr>
        <w:pStyle w:val="Question-Testimony"/>
      </w:pPr>
      <w:r w:rsidRPr="00F27E5A">
        <w:t>Q.</w:t>
      </w:r>
      <w:r w:rsidRPr="00F27E5A">
        <w:tab/>
        <w:t>Please</w:t>
      </w:r>
      <w:r w:rsidR="000F739B" w:rsidRPr="00F27E5A">
        <w:t xml:space="preserve"> summarize Staff’s proposed change to the </w:t>
      </w:r>
      <w:r w:rsidRPr="00F27E5A">
        <w:t>volumetric block</w:t>
      </w:r>
      <w:r w:rsidR="000F739B" w:rsidRPr="00F27E5A">
        <w:t xml:space="preserve"> design</w:t>
      </w:r>
      <w:r w:rsidRPr="00F27E5A">
        <w:t xml:space="preserve"> for </w:t>
      </w:r>
      <w:r w:rsidR="008A5D51" w:rsidRPr="00F27E5A">
        <w:t xml:space="preserve">the </w:t>
      </w:r>
      <w:r w:rsidRPr="00F27E5A">
        <w:t>Residential Schedule</w:t>
      </w:r>
      <w:r w:rsidR="00DB0567" w:rsidRPr="00F27E5A">
        <w:t>s</w:t>
      </w:r>
      <w:r w:rsidRPr="00F27E5A">
        <w:t>.</w:t>
      </w:r>
    </w:p>
    <w:p w:rsidR="009A0B61" w:rsidRPr="00F27E5A" w:rsidRDefault="008A14BC" w:rsidP="002429C8">
      <w:pPr>
        <w:pStyle w:val="Answer-Testimony"/>
      </w:pPr>
      <w:r w:rsidRPr="00F27E5A">
        <w:t>A.</w:t>
      </w:r>
      <w:r w:rsidRPr="00F27E5A">
        <w:tab/>
      </w:r>
      <w:r w:rsidR="00B30897" w:rsidRPr="00F27E5A">
        <w:t>Staff recommends</w:t>
      </w:r>
      <w:r w:rsidR="009A0B61" w:rsidRPr="00F27E5A">
        <w:t>:</w:t>
      </w:r>
    </w:p>
    <w:p w:rsidR="009A0B61" w:rsidRPr="00F27E5A" w:rsidRDefault="009A0B61" w:rsidP="005D0285">
      <w:pPr>
        <w:pStyle w:val="Answer-Testimony"/>
        <w:numPr>
          <w:ilvl w:val="0"/>
          <w:numId w:val="61"/>
        </w:numPr>
      </w:pPr>
      <w:r w:rsidRPr="00F27E5A">
        <w:t>C</w:t>
      </w:r>
      <w:r w:rsidR="00511931" w:rsidRPr="00F27E5A">
        <w:t xml:space="preserve">hanging </w:t>
      </w:r>
      <w:r w:rsidR="00B30897" w:rsidRPr="00F27E5A">
        <w:t xml:space="preserve">the first block from </w:t>
      </w:r>
      <w:r w:rsidR="00423389" w:rsidRPr="00F27E5A">
        <w:t xml:space="preserve">0 – </w:t>
      </w:r>
      <w:r w:rsidR="00B30897" w:rsidRPr="00F27E5A">
        <w:t>600</w:t>
      </w:r>
      <w:r w:rsidR="00423389" w:rsidRPr="00F27E5A">
        <w:t xml:space="preserve"> </w:t>
      </w:r>
      <w:r w:rsidR="00B30897" w:rsidRPr="00F27E5A">
        <w:t xml:space="preserve">kWh to </w:t>
      </w:r>
      <w:r w:rsidR="00423389" w:rsidRPr="00F27E5A">
        <w:t xml:space="preserve">0 – </w:t>
      </w:r>
      <w:r w:rsidR="00B30897" w:rsidRPr="00F27E5A">
        <w:t>800</w:t>
      </w:r>
      <w:r w:rsidR="00423389" w:rsidRPr="00F27E5A">
        <w:t xml:space="preserve"> </w:t>
      </w:r>
      <w:r w:rsidR="00B30897" w:rsidRPr="00F27E5A">
        <w:t>kWh</w:t>
      </w:r>
      <w:r w:rsidRPr="00F27E5A">
        <w:t>;</w:t>
      </w:r>
    </w:p>
    <w:p w:rsidR="009A0B61" w:rsidRPr="00F27E5A" w:rsidRDefault="009A0B61" w:rsidP="005D0285">
      <w:pPr>
        <w:pStyle w:val="Answer-Testimony"/>
        <w:numPr>
          <w:ilvl w:val="0"/>
          <w:numId w:val="61"/>
        </w:numPr>
      </w:pPr>
      <w:r w:rsidRPr="00F27E5A">
        <w:t>A</w:t>
      </w:r>
      <w:r w:rsidR="00D86AAC" w:rsidRPr="00F27E5A">
        <w:t xml:space="preserve">djusting </w:t>
      </w:r>
      <w:r w:rsidR="00B30897" w:rsidRPr="00F27E5A">
        <w:t xml:space="preserve">the second block from </w:t>
      </w:r>
      <w:r w:rsidR="00D86AAC" w:rsidRPr="00F27E5A">
        <w:t xml:space="preserve">over </w:t>
      </w:r>
      <w:r w:rsidR="00423389" w:rsidRPr="00F27E5A">
        <w:t xml:space="preserve">600 </w:t>
      </w:r>
      <w:r w:rsidR="00B30897" w:rsidRPr="00F27E5A">
        <w:t xml:space="preserve">kWh to </w:t>
      </w:r>
      <w:r w:rsidR="00423389" w:rsidRPr="00F27E5A">
        <w:t xml:space="preserve">800 – </w:t>
      </w:r>
      <w:r w:rsidR="00B30897" w:rsidRPr="00F27E5A">
        <w:t>1,500 kWh</w:t>
      </w:r>
      <w:r w:rsidRPr="00F27E5A">
        <w:t>;</w:t>
      </w:r>
      <w:r w:rsidR="00D86AAC" w:rsidRPr="00F27E5A">
        <w:t xml:space="preserve"> and </w:t>
      </w:r>
    </w:p>
    <w:p w:rsidR="008A14BC" w:rsidRPr="00F27E5A" w:rsidRDefault="009A0B61" w:rsidP="005D0285">
      <w:pPr>
        <w:pStyle w:val="Answer-Testimony"/>
        <w:numPr>
          <w:ilvl w:val="0"/>
          <w:numId w:val="61"/>
        </w:numPr>
      </w:pPr>
      <w:r w:rsidRPr="00F27E5A">
        <w:t>C</w:t>
      </w:r>
      <w:r w:rsidR="00D86AAC" w:rsidRPr="00F27E5A">
        <w:t>reating a third block for over 1,500 kWh</w:t>
      </w:r>
      <w:r w:rsidR="008A14BC" w:rsidRPr="00F27E5A">
        <w:t>.</w:t>
      </w:r>
    </w:p>
    <w:p w:rsidR="000F739B" w:rsidRPr="00F27E5A" w:rsidRDefault="000F739B" w:rsidP="002429C8">
      <w:pPr>
        <w:pStyle w:val="Answer-Testimony"/>
      </w:pPr>
    </w:p>
    <w:p w:rsidR="000F739B" w:rsidRPr="00F27E5A" w:rsidRDefault="000F739B" w:rsidP="00342685">
      <w:pPr>
        <w:pStyle w:val="Question-Testimony"/>
        <w:keepNext/>
      </w:pPr>
      <w:r w:rsidRPr="00F27E5A">
        <w:t>Q.</w:t>
      </w:r>
      <w:r w:rsidRPr="00F27E5A">
        <w:tab/>
        <w:t>Please explain why Staff is proposing to increase the first block to 800 kWh.</w:t>
      </w:r>
    </w:p>
    <w:p w:rsidR="00116A80" w:rsidRPr="00F27E5A" w:rsidRDefault="000F739B" w:rsidP="0022334C">
      <w:pPr>
        <w:pStyle w:val="Answer-Testimony"/>
      </w:pPr>
      <w:r w:rsidRPr="00F27E5A">
        <w:t>A.</w:t>
      </w:r>
      <w:r w:rsidRPr="00F27E5A">
        <w:tab/>
      </w:r>
      <w:r w:rsidR="00116A80" w:rsidRPr="00F27E5A">
        <w:t>This 800 kWh first block is appropriate because consumption in this range is likely inelastic.</w:t>
      </w:r>
      <w:r w:rsidR="00116A80" w:rsidRPr="00F27E5A">
        <w:rPr>
          <w:rStyle w:val="FootnoteReference"/>
        </w:rPr>
        <w:footnoteReference w:id="30"/>
      </w:r>
      <w:r w:rsidR="00116A80" w:rsidRPr="00F27E5A">
        <w:t xml:space="preserve">  This supports a more appropriate price signal for conservation because it moves the elastic usage to the</w:t>
      </w:r>
      <w:r w:rsidR="00F73D07" w:rsidRPr="00F27E5A">
        <w:t xml:space="preserve"> higher</w:t>
      </w:r>
      <w:r w:rsidR="00116A80" w:rsidRPr="00F27E5A">
        <w:t xml:space="preserve"> rate blocks</w:t>
      </w:r>
      <w:r w:rsidR="00F73D07" w:rsidRPr="00F27E5A">
        <w:t>, which are designed to operate</w:t>
      </w:r>
      <w:r w:rsidR="00116A80" w:rsidRPr="00F27E5A">
        <w:t xml:space="preserve"> with more elastic usage.</w:t>
      </w:r>
    </w:p>
    <w:p w:rsidR="00736967" w:rsidRPr="00F27E5A" w:rsidRDefault="00116A80" w:rsidP="0022334C">
      <w:pPr>
        <w:pStyle w:val="Answer-Testimony"/>
      </w:pPr>
      <w:r w:rsidRPr="00F27E5A">
        <w:tab/>
      </w:r>
      <w:r w:rsidRPr="00F27E5A">
        <w:tab/>
      </w:r>
      <w:r w:rsidR="00B30897" w:rsidRPr="00F27E5A">
        <w:t xml:space="preserve">Staff </w:t>
      </w:r>
      <w:r w:rsidR="00511931" w:rsidRPr="00F27E5A">
        <w:t xml:space="preserve">recommends that the first </w:t>
      </w:r>
      <w:r w:rsidR="00736967" w:rsidRPr="00F27E5A">
        <w:t xml:space="preserve">block </w:t>
      </w:r>
      <w:r w:rsidRPr="00F27E5A">
        <w:t xml:space="preserve">should </w:t>
      </w:r>
      <w:r w:rsidR="0005488A" w:rsidRPr="00F27E5A">
        <w:t>represent the amount of energy</w:t>
      </w:r>
      <w:r w:rsidR="00511931" w:rsidRPr="00F27E5A">
        <w:t xml:space="preserve"> an average customer</w:t>
      </w:r>
      <w:r w:rsidR="0005488A" w:rsidRPr="00F27E5A">
        <w:t xml:space="preserve"> need</w:t>
      </w:r>
      <w:r w:rsidR="00511931" w:rsidRPr="00F27E5A">
        <w:t xml:space="preserve">s </w:t>
      </w:r>
      <w:r w:rsidR="0005488A" w:rsidRPr="00F27E5A">
        <w:t xml:space="preserve">for </w:t>
      </w:r>
      <w:r w:rsidR="00B30897" w:rsidRPr="00F27E5A">
        <w:t xml:space="preserve">essential </w:t>
      </w:r>
      <w:r w:rsidR="0005488A" w:rsidRPr="00F27E5A">
        <w:t>uses</w:t>
      </w:r>
      <w:r w:rsidR="00B30897" w:rsidRPr="00F27E5A">
        <w:t>,</w:t>
      </w:r>
      <w:r w:rsidR="00736967" w:rsidRPr="00F27E5A">
        <w:t xml:space="preserve"> </w:t>
      </w:r>
      <w:r w:rsidR="0005488A" w:rsidRPr="00F27E5A">
        <w:t xml:space="preserve">which include cooking, domestic hot </w:t>
      </w:r>
      <w:r w:rsidR="0005488A" w:rsidRPr="00F27E5A">
        <w:lastRenderedPageBreak/>
        <w:t>water, lighting, and home appliances</w:t>
      </w:r>
      <w:r w:rsidR="00B36DD6" w:rsidRPr="00F27E5A">
        <w:t xml:space="preserve"> (</w:t>
      </w:r>
      <w:r w:rsidR="00245C9C" w:rsidRPr="00F27E5A">
        <w:rPr>
          <w:i/>
        </w:rPr>
        <w:t>e.g</w:t>
      </w:r>
      <w:r w:rsidR="00245C9C" w:rsidRPr="00F27E5A">
        <w:t>.,</w:t>
      </w:r>
      <w:r w:rsidR="00B36DD6" w:rsidRPr="00F27E5A">
        <w:t xml:space="preserve"> refrigeration)</w:t>
      </w:r>
      <w:r w:rsidR="0005488A" w:rsidRPr="00F27E5A">
        <w:t>.  A</w:t>
      </w:r>
      <w:r w:rsidR="00736967" w:rsidRPr="00F27E5A">
        <w:t>ccording to the U.S. Department of Housing and Urban Development</w:t>
      </w:r>
      <w:r w:rsidR="00B91B7A" w:rsidRPr="00F27E5A">
        <w:t xml:space="preserve"> (</w:t>
      </w:r>
      <w:r w:rsidR="00D86AAC" w:rsidRPr="00F27E5A">
        <w:t>“</w:t>
      </w:r>
      <w:r w:rsidR="00B91B7A" w:rsidRPr="00F27E5A">
        <w:t>HUD</w:t>
      </w:r>
      <w:r w:rsidR="00D86AAC" w:rsidRPr="00F27E5A">
        <w:t>”</w:t>
      </w:r>
      <w:r w:rsidR="00B91B7A" w:rsidRPr="00F27E5A">
        <w:t>)</w:t>
      </w:r>
      <w:r w:rsidR="00736967" w:rsidRPr="00F27E5A">
        <w:t>, the</w:t>
      </w:r>
      <w:r w:rsidR="0005488A" w:rsidRPr="00F27E5A">
        <w:t xml:space="preserve"> average</w:t>
      </w:r>
      <w:r w:rsidR="00736967" w:rsidRPr="00F27E5A">
        <w:t xml:space="preserve"> end</w:t>
      </w:r>
      <w:r w:rsidR="0005488A" w:rsidRPr="00F27E5A">
        <w:t>-</w:t>
      </w:r>
      <w:r w:rsidR="00736967" w:rsidRPr="00F27E5A">
        <w:t xml:space="preserve">use consumption </w:t>
      </w:r>
      <w:r w:rsidR="0005488A" w:rsidRPr="00F27E5A">
        <w:t xml:space="preserve">for these categories of usage </w:t>
      </w:r>
      <w:r w:rsidR="00736967" w:rsidRPr="00F27E5A">
        <w:t xml:space="preserve">is between </w:t>
      </w:r>
      <w:r w:rsidR="009C1BFD" w:rsidRPr="00F27E5A">
        <w:t>765</w:t>
      </w:r>
      <w:r w:rsidR="00736967" w:rsidRPr="00F27E5A">
        <w:t xml:space="preserve"> and </w:t>
      </w:r>
      <w:r w:rsidR="009C1BFD" w:rsidRPr="00F27E5A">
        <w:t>850</w:t>
      </w:r>
      <w:r w:rsidR="00736967" w:rsidRPr="00F27E5A">
        <w:t xml:space="preserve"> </w:t>
      </w:r>
      <w:r w:rsidR="009C1BFD" w:rsidRPr="00F27E5A">
        <w:t>kWh</w:t>
      </w:r>
      <w:r w:rsidR="00736967" w:rsidRPr="00F27E5A">
        <w:t xml:space="preserve"> based on </w:t>
      </w:r>
      <w:r w:rsidR="00245C9C" w:rsidRPr="00F27E5A">
        <w:t xml:space="preserve">a </w:t>
      </w:r>
      <w:r w:rsidR="00736967" w:rsidRPr="00F27E5A">
        <w:t xml:space="preserve">2 bedroom dwelling unit and </w:t>
      </w:r>
      <w:r w:rsidR="00245C9C" w:rsidRPr="00F27E5A">
        <w:t xml:space="preserve">a </w:t>
      </w:r>
      <w:r w:rsidR="00736967" w:rsidRPr="00F27E5A">
        <w:t>2.5 bedroom dwelling unit, respectively</w:t>
      </w:r>
      <w:r w:rsidR="00BD0207" w:rsidRPr="00F27E5A">
        <w:t>.</w:t>
      </w:r>
      <w:r w:rsidR="00736967" w:rsidRPr="00F27E5A">
        <w:rPr>
          <w:rStyle w:val="FootnoteReference"/>
        </w:rPr>
        <w:footnoteReference w:id="31"/>
      </w:r>
      <w:r w:rsidRPr="00F27E5A">
        <w:t xml:space="preserve">  Staff’s proposed first rate block of 800 kWh reflects this average.</w:t>
      </w:r>
    </w:p>
    <w:p w:rsidR="0005488A" w:rsidRPr="00F27E5A" w:rsidRDefault="0005488A" w:rsidP="00BD0207">
      <w:pPr>
        <w:pStyle w:val="Answer-Testimony"/>
      </w:pPr>
    </w:p>
    <w:p w:rsidR="0005488A" w:rsidRPr="00F27E5A" w:rsidRDefault="0005488A" w:rsidP="0022334C">
      <w:pPr>
        <w:pStyle w:val="Question-Testimony"/>
      </w:pPr>
      <w:r w:rsidRPr="00F27E5A">
        <w:t>Q.</w:t>
      </w:r>
      <w:r w:rsidRPr="00F27E5A">
        <w:tab/>
        <w:t xml:space="preserve">Please explain why Staff is proposing to </w:t>
      </w:r>
      <w:r w:rsidR="00BD0207" w:rsidRPr="00F27E5A">
        <w:t xml:space="preserve">restrict </w:t>
      </w:r>
      <w:r w:rsidRPr="00F27E5A">
        <w:t>the second block to 1,500 kWh</w:t>
      </w:r>
      <w:r w:rsidR="00271E5E" w:rsidRPr="00F27E5A">
        <w:t xml:space="preserve"> and create an over 1,500kWh</w:t>
      </w:r>
      <w:r w:rsidRPr="00F27E5A">
        <w:t>.</w:t>
      </w:r>
    </w:p>
    <w:p w:rsidR="00B30897" w:rsidRPr="00F27E5A" w:rsidRDefault="0005488A" w:rsidP="00271E5E">
      <w:pPr>
        <w:pStyle w:val="Answer-Testimony"/>
      </w:pPr>
      <w:r w:rsidRPr="00F27E5A">
        <w:t>A.</w:t>
      </w:r>
      <w:r w:rsidRPr="00F27E5A">
        <w:tab/>
      </w:r>
      <w:r w:rsidR="00BD0207" w:rsidRPr="00F27E5A">
        <w:t xml:space="preserve">First, </w:t>
      </w:r>
      <w:r w:rsidR="00B000BA" w:rsidRPr="00F27E5A">
        <w:t xml:space="preserve">1,500 kWh </w:t>
      </w:r>
      <w:r w:rsidR="00511931" w:rsidRPr="00F27E5A">
        <w:t xml:space="preserve">represents </w:t>
      </w:r>
      <w:r w:rsidR="007063A9">
        <w:t xml:space="preserve">usage for </w:t>
      </w:r>
      <w:r w:rsidR="00B000BA" w:rsidRPr="00F27E5A">
        <w:t>essential needs plus space heating</w:t>
      </w:r>
      <w:r w:rsidR="00511931" w:rsidRPr="00F27E5A">
        <w:t>, also</w:t>
      </w:r>
      <w:r w:rsidR="00B000BA" w:rsidRPr="00F27E5A">
        <w:t xml:space="preserve"> according to HUD</w:t>
      </w:r>
      <w:r w:rsidR="00BD0207" w:rsidRPr="00F27E5A">
        <w:t>.</w:t>
      </w:r>
      <w:r w:rsidR="00B000BA" w:rsidRPr="00F27E5A">
        <w:rPr>
          <w:rStyle w:val="FootnoteReference"/>
        </w:rPr>
        <w:footnoteReference w:id="32"/>
      </w:r>
      <w:r w:rsidR="00846AE2" w:rsidRPr="00F27E5A">
        <w:t xml:space="preserve">  Therefore, </w:t>
      </w:r>
      <w:r w:rsidRPr="00F27E5A">
        <w:t>any</w:t>
      </w:r>
      <w:r w:rsidR="00846AE2" w:rsidRPr="00F27E5A">
        <w:t xml:space="preserve"> usage o</w:t>
      </w:r>
      <w:r w:rsidRPr="00F27E5A">
        <w:t xml:space="preserve">ver 1,500 kWh </w:t>
      </w:r>
      <w:r w:rsidR="00A144DC" w:rsidRPr="00F27E5A">
        <w:t>sh</w:t>
      </w:r>
      <w:r w:rsidR="00846AE2" w:rsidRPr="00F27E5A">
        <w:t xml:space="preserve">ould be considered </w:t>
      </w:r>
      <w:r w:rsidRPr="00F27E5A">
        <w:t>discretionary</w:t>
      </w:r>
      <w:r w:rsidR="00846AE2" w:rsidRPr="00F27E5A">
        <w:t>, or excessive, energy use</w:t>
      </w:r>
      <w:r w:rsidR="00511931" w:rsidRPr="00F27E5A">
        <w:t xml:space="preserve"> and that should be the demarcation </w:t>
      </w:r>
      <w:r w:rsidR="00545CF5" w:rsidRPr="00F27E5A">
        <w:t xml:space="preserve">between the second block and </w:t>
      </w:r>
      <w:r w:rsidR="00511931" w:rsidRPr="00F27E5A">
        <w:t>the tail block</w:t>
      </w:r>
      <w:r w:rsidR="00846AE2" w:rsidRPr="00F27E5A">
        <w:t>.</w:t>
      </w:r>
    </w:p>
    <w:p w:rsidR="00C24207" w:rsidRPr="00F27E5A" w:rsidRDefault="00271E5E" w:rsidP="00271E5E">
      <w:pPr>
        <w:pStyle w:val="Answer-Testimony"/>
        <w:ind w:firstLine="720"/>
      </w:pPr>
      <w:r w:rsidRPr="00F27E5A">
        <w:t xml:space="preserve">Second, the Company’s average residential usage at approximately 1,300 kWh is 30 percent greater than </w:t>
      </w:r>
      <w:r w:rsidR="00E14823" w:rsidRPr="00F27E5A">
        <w:t>either Avista or PSE.</w:t>
      </w:r>
      <w:r w:rsidRPr="00F27E5A">
        <w:rPr>
          <w:rStyle w:val="FootnoteReference"/>
        </w:rPr>
        <w:footnoteReference w:id="33"/>
      </w:r>
      <w:r w:rsidRPr="00F27E5A">
        <w:t xml:space="preserve"> </w:t>
      </w:r>
      <w:r w:rsidR="00007C88" w:rsidRPr="00F27E5A">
        <w:t xml:space="preserve"> </w:t>
      </w:r>
      <w:r w:rsidR="00E14823" w:rsidRPr="00F27E5A">
        <w:t>T</w:t>
      </w:r>
      <w:r w:rsidR="00C245F3" w:rsidRPr="00F27E5A">
        <w:t>herefore</w:t>
      </w:r>
      <w:r w:rsidR="00E14823" w:rsidRPr="00F27E5A">
        <w:t>,</w:t>
      </w:r>
      <w:r w:rsidR="00C245F3" w:rsidRPr="00F27E5A">
        <w:t xml:space="preserve"> creating a three-</w:t>
      </w:r>
      <w:r w:rsidRPr="00F27E5A">
        <w:t>block rate design</w:t>
      </w:r>
      <w:r w:rsidR="00D11296" w:rsidRPr="00F27E5A">
        <w:t xml:space="preserve">, compared to the current two-block rate design, </w:t>
      </w:r>
      <w:r w:rsidRPr="00F27E5A">
        <w:t>should help with conservation measures</w:t>
      </w:r>
      <w:r w:rsidR="00D11296" w:rsidRPr="00F27E5A">
        <w:t xml:space="preserve"> </w:t>
      </w:r>
      <w:r w:rsidRPr="00F27E5A">
        <w:t xml:space="preserve">by allowing a slightly more aggressive </w:t>
      </w:r>
      <w:r w:rsidR="0020501E">
        <w:t>tail block</w:t>
      </w:r>
      <w:r w:rsidRPr="00F27E5A">
        <w:t xml:space="preserve"> rate.</w:t>
      </w:r>
    </w:p>
    <w:p w:rsidR="00271E5E" w:rsidRPr="00F27E5A" w:rsidRDefault="00271E5E" w:rsidP="00BD36B5">
      <w:pPr>
        <w:pStyle w:val="Answer-Testimony"/>
      </w:pPr>
    </w:p>
    <w:p w:rsidR="00C24207" w:rsidRPr="00F27E5A" w:rsidRDefault="00C24207" w:rsidP="0022334C">
      <w:pPr>
        <w:pStyle w:val="Question-Testimony"/>
      </w:pPr>
      <w:r w:rsidRPr="00F27E5A">
        <w:t>Q.</w:t>
      </w:r>
      <w:r w:rsidRPr="00F27E5A">
        <w:tab/>
      </w:r>
      <w:r w:rsidR="00846AE2" w:rsidRPr="00F27E5A">
        <w:t xml:space="preserve">Will </w:t>
      </w:r>
      <w:r w:rsidRPr="00F27E5A">
        <w:t>increasing the volumetric blocks reduce price signals to conserve?</w:t>
      </w:r>
    </w:p>
    <w:p w:rsidR="00C0417E" w:rsidRPr="00F27E5A" w:rsidRDefault="00C24207" w:rsidP="0022334C">
      <w:pPr>
        <w:pStyle w:val="Answer-Testimony"/>
      </w:pPr>
      <w:r w:rsidRPr="00F27E5A">
        <w:t>A.</w:t>
      </w:r>
      <w:r w:rsidRPr="00F27E5A">
        <w:tab/>
      </w:r>
      <w:r w:rsidR="001C422E" w:rsidRPr="00F27E5A">
        <w:t xml:space="preserve">Yes and </w:t>
      </w:r>
      <w:r w:rsidR="00846AE2" w:rsidRPr="00F27E5A">
        <w:t>n</w:t>
      </w:r>
      <w:r w:rsidR="001C422E" w:rsidRPr="00F27E5A">
        <w:t xml:space="preserve">o.  </w:t>
      </w:r>
      <w:r w:rsidRPr="00F27E5A">
        <w:t>Staff understands moving to a higher first block (</w:t>
      </w:r>
      <w:r w:rsidRPr="00F27E5A">
        <w:rPr>
          <w:i/>
        </w:rPr>
        <w:t>i.e</w:t>
      </w:r>
      <w:r w:rsidRPr="00F27E5A">
        <w:t>.</w:t>
      </w:r>
      <w:r w:rsidR="00E14823" w:rsidRPr="00F27E5A">
        <w:t>,</w:t>
      </w:r>
      <w:r w:rsidRPr="00F27E5A">
        <w:t xml:space="preserve"> more kWhs in the first block) </w:t>
      </w:r>
      <w:r w:rsidR="00846AE2" w:rsidRPr="00F27E5A">
        <w:t xml:space="preserve">places </w:t>
      </w:r>
      <w:r w:rsidRPr="00F27E5A">
        <w:t xml:space="preserve">a larger proportion of </w:t>
      </w:r>
      <w:r w:rsidR="00846AE2" w:rsidRPr="00F27E5A">
        <w:t>a customer’s usage</w:t>
      </w:r>
      <w:r w:rsidRPr="00F27E5A">
        <w:t xml:space="preserve"> in the first block</w:t>
      </w:r>
      <w:r w:rsidR="00846AE2" w:rsidRPr="00F27E5A">
        <w:t>.</w:t>
      </w:r>
      <w:r w:rsidRPr="00F27E5A">
        <w:t xml:space="preserve"> </w:t>
      </w:r>
      <w:r w:rsidR="00846AE2" w:rsidRPr="00F27E5A">
        <w:t xml:space="preserve"> This slightly reduces </w:t>
      </w:r>
      <w:r w:rsidRPr="00F27E5A">
        <w:t>the effect of</w:t>
      </w:r>
      <w:r w:rsidR="00846AE2" w:rsidRPr="00F27E5A">
        <w:t xml:space="preserve"> conservation-oriented</w:t>
      </w:r>
      <w:r w:rsidRPr="00F27E5A">
        <w:t xml:space="preserve"> price signal</w:t>
      </w:r>
      <w:r w:rsidR="00846AE2" w:rsidRPr="00F27E5A">
        <w:t>s</w:t>
      </w:r>
      <w:r w:rsidRPr="00F27E5A">
        <w:t xml:space="preserve"> for customers</w:t>
      </w:r>
      <w:r w:rsidR="00116A80" w:rsidRPr="00F27E5A">
        <w:t xml:space="preserve"> because </w:t>
      </w:r>
      <w:r w:rsidR="00846AE2" w:rsidRPr="00F27E5A">
        <w:t>a larger amount of energy consumption can o</w:t>
      </w:r>
      <w:r w:rsidR="00C0417E" w:rsidRPr="00F27E5A">
        <w:t>ccur at a slightly lower cost.</w:t>
      </w:r>
    </w:p>
    <w:p w:rsidR="00C0417E" w:rsidRPr="00F27E5A" w:rsidRDefault="00C24207" w:rsidP="0022334C">
      <w:pPr>
        <w:pStyle w:val="Answer-Testimony"/>
        <w:ind w:firstLine="720"/>
      </w:pPr>
      <w:r w:rsidRPr="00F27E5A">
        <w:lastRenderedPageBreak/>
        <w:t xml:space="preserve">However, </w:t>
      </w:r>
      <w:r w:rsidR="009A5297" w:rsidRPr="00F27E5A">
        <w:t>the Commission</w:t>
      </w:r>
      <w:r w:rsidR="00C0417E" w:rsidRPr="00F27E5A">
        <w:t>’s</w:t>
      </w:r>
      <w:r w:rsidR="009A5297" w:rsidRPr="00F27E5A">
        <w:t xml:space="preserve"> focus </w:t>
      </w:r>
      <w:r w:rsidRPr="00F27E5A">
        <w:t xml:space="preserve">should be </w:t>
      </w:r>
      <w:r w:rsidR="009A5297" w:rsidRPr="00F27E5A">
        <w:t>on</w:t>
      </w:r>
      <w:r w:rsidR="00E14823" w:rsidRPr="00F27E5A">
        <w:t xml:space="preserve"> the Company’s</w:t>
      </w:r>
      <w:r w:rsidR="009A5297" w:rsidRPr="00F27E5A">
        <w:t xml:space="preserve"> </w:t>
      </w:r>
      <w:r w:rsidR="00116A80" w:rsidRPr="00F27E5A">
        <w:t xml:space="preserve">residential </w:t>
      </w:r>
      <w:r w:rsidRPr="00F27E5A">
        <w:t xml:space="preserve">customers </w:t>
      </w:r>
      <w:r w:rsidR="00116A80" w:rsidRPr="00F27E5A">
        <w:t xml:space="preserve">that </w:t>
      </w:r>
      <w:r w:rsidRPr="00F27E5A">
        <w:t>us</w:t>
      </w:r>
      <w:r w:rsidR="00116A80" w:rsidRPr="00F27E5A">
        <w:t>e</w:t>
      </w:r>
      <w:r w:rsidRPr="00F27E5A">
        <w:t xml:space="preserve"> </w:t>
      </w:r>
      <w:r w:rsidR="009A5297" w:rsidRPr="00F27E5A">
        <w:t>four</w:t>
      </w:r>
      <w:r w:rsidRPr="00F27E5A">
        <w:t xml:space="preserve"> or </w:t>
      </w:r>
      <w:r w:rsidR="009A5297" w:rsidRPr="00F27E5A">
        <w:t>five,</w:t>
      </w:r>
      <w:r w:rsidRPr="00F27E5A">
        <w:t xml:space="preserve"> o</w:t>
      </w:r>
      <w:r w:rsidR="00116A80" w:rsidRPr="00F27E5A">
        <w:t>r</w:t>
      </w:r>
      <w:r w:rsidR="00C12335" w:rsidRPr="00F27E5A">
        <w:t xml:space="preserve"> up to 31</w:t>
      </w:r>
      <w:r w:rsidRPr="00F27E5A">
        <w:t xml:space="preserve"> times</w:t>
      </w:r>
      <w:r w:rsidR="009A5297" w:rsidRPr="00F27E5A">
        <w:t>,</w:t>
      </w:r>
      <w:r w:rsidRPr="00F27E5A">
        <w:t xml:space="preserve"> the average monthly system usage</w:t>
      </w:r>
      <w:r w:rsidR="00F96E4E" w:rsidRPr="00F27E5A">
        <w:t>.</w:t>
      </w:r>
      <w:r w:rsidRPr="00F27E5A">
        <w:rPr>
          <w:rStyle w:val="FootnoteReference"/>
        </w:rPr>
        <w:footnoteReference w:id="34"/>
      </w:r>
      <w:r w:rsidRPr="00F27E5A">
        <w:t xml:space="preserve">  </w:t>
      </w:r>
      <w:r w:rsidR="009A5297" w:rsidRPr="00F27E5A">
        <w:t>For conservation reasons, the Company</w:t>
      </w:r>
      <w:r w:rsidR="001C422E" w:rsidRPr="00F27E5A">
        <w:t xml:space="preserve"> and ratepayers</w:t>
      </w:r>
      <w:r w:rsidR="009A5297" w:rsidRPr="00F27E5A">
        <w:t xml:space="preserve"> would see a bigger </w:t>
      </w:r>
      <w:r w:rsidR="001C422E" w:rsidRPr="00F27E5A">
        <w:t>reduction</w:t>
      </w:r>
      <w:r w:rsidR="009A5297" w:rsidRPr="00F27E5A">
        <w:t xml:space="preserve"> </w:t>
      </w:r>
      <w:r w:rsidR="001C422E" w:rsidRPr="00F27E5A">
        <w:t xml:space="preserve">in system loads </w:t>
      </w:r>
      <w:r w:rsidR="009A5297" w:rsidRPr="00F27E5A">
        <w:t>because customers</w:t>
      </w:r>
      <w:r w:rsidRPr="00F27E5A">
        <w:t xml:space="preserve"> </w:t>
      </w:r>
      <w:r w:rsidR="00116A80" w:rsidRPr="00F27E5A">
        <w:t xml:space="preserve">using </w:t>
      </w:r>
      <w:r w:rsidRPr="00F27E5A">
        <w:t>over four times the average monthly system usage</w:t>
      </w:r>
      <w:r w:rsidR="00116A80" w:rsidRPr="00F27E5A">
        <w:t xml:space="preserve"> likely have more opportunity to </w:t>
      </w:r>
      <w:r w:rsidR="00545CF5" w:rsidRPr="00F27E5A">
        <w:t>reduce their usage</w:t>
      </w:r>
      <w:r w:rsidRPr="00F27E5A">
        <w:t>.</w:t>
      </w:r>
    </w:p>
    <w:p w:rsidR="00C24207" w:rsidRPr="00F27E5A" w:rsidRDefault="009A5297" w:rsidP="0022334C">
      <w:pPr>
        <w:pStyle w:val="Answer-Testimony"/>
        <w:ind w:firstLine="720"/>
      </w:pPr>
      <w:r w:rsidRPr="00F27E5A">
        <w:t xml:space="preserve">For example, a </w:t>
      </w:r>
      <w:r w:rsidR="000220EF" w:rsidRPr="00F27E5A">
        <w:t>20 percent</w:t>
      </w:r>
      <w:r w:rsidR="00C0417E" w:rsidRPr="00F27E5A">
        <w:t xml:space="preserve"> reduction in usage</w:t>
      </w:r>
      <w:r w:rsidRPr="00F27E5A">
        <w:t xml:space="preserve"> from 600 kWh would be 120 kWh</w:t>
      </w:r>
      <w:r w:rsidR="00EC74C4" w:rsidRPr="00F27E5A">
        <w:t xml:space="preserve"> </w:t>
      </w:r>
      <w:r w:rsidR="00C0417E" w:rsidRPr="00F27E5A">
        <w:t xml:space="preserve">less per month, which is the </w:t>
      </w:r>
      <w:r w:rsidR="00EC74C4" w:rsidRPr="00F27E5A">
        <w:t xml:space="preserve">equivalent </w:t>
      </w:r>
      <w:r w:rsidR="00C0417E" w:rsidRPr="00F27E5A">
        <w:t xml:space="preserve">of </w:t>
      </w:r>
      <w:r w:rsidR="00EC74C4" w:rsidRPr="00F27E5A">
        <w:t>not cooking for an entire month</w:t>
      </w:r>
      <w:r w:rsidR="00C0417E" w:rsidRPr="00F27E5A">
        <w:t>,</w:t>
      </w:r>
      <w:r w:rsidRPr="00F27E5A">
        <w:t xml:space="preserve"> leaving a net of 480 kWh</w:t>
      </w:r>
      <w:r w:rsidR="00C0417E" w:rsidRPr="00F27E5A">
        <w:t xml:space="preserve">.  A 20 percent reduction </w:t>
      </w:r>
      <w:r w:rsidRPr="00F27E5A">
        <w:t>f</w:t>
      </w:r>
      <w:r w:rsidR="000220EF" w:rsidRPr="00F27E5A">
        <w:t>rom</w:t>
      </w:r>
      <w:r w:rsidRPr="00F27E5A">
        <w:t xml:space="preserve"> 4,000 kWh would be 800 kWh </w:t>
      </w:r>
      <w:r w:rsidR="00C0417E" w:rsidRPr="00F27E5A">
        <w:t xml:space="preserve">less each month, which is </w:t>
      </w:r>
      <w:r w:rsidR="00E16125" w:rsidRPr="00F27E5A">
        <w:t xml:space="preserve">greater than </w:t>
      </w:r>
      <w:r w:rsidR="0049367F" w:rsidRPr="00F27E5A">
        <w:t xml:space="preserve">what HUD indicates </w:t>
      </w:r>
      <w:r w:rsidR="000220EF" w:rsidRPr="00F27E5A">
        <w:t xml:space="preserve">is needed </w:t>
      </w:r>
      <w:r w:rsidR="00E16125" w:rsidRPr="00F27E5A">
        <w:t xml:space="preserve">to heat </w:t>
      </w:r>
      <w:r w:rsidR="0049367F" w:rsidRPr="00F27E5A">
        <w:t xml:space="preserve">the average </w:t>
      </w:r>
      <w:r w:rsidR="000220EF" w:rsidRPr="00F27E5A">
        <w:t xml:space="preserve">2 to 2.5 </w:t>
      </w:r>
      <w:r w:rsidR="00A46AAD" w:rsidRPr="00F27E5A">
        <w:t>bedroom dwelling unit</w:t>
      </w:r>
      <w:r w:rsidR="00A34925" w:rsidRPr="00F27E5A">
        <w:t xml:space="preserve"> </w:t>
      </w:r>
      <w:r w:rsidR="0049367F" w:rsidRPr="00F27E5A">
        <w:t>f</w:t>
      </w:r>
      <w:r w:rsidR="00E16125" w:rsidRPr="00F27E5A">
        <w:t xml:space="preserve">or </w:t>
      </w:r>
      <w:r w:rsidR="0049367F" w:rsidRPr="00F27E5A">
        <w:t>a</w:t>
      </w:r>
      <w:r w:rsidR="00E16125" w:rsidRPr="00F27E5A">
        <w:t xml:space="preserve"> month</w:t>
      </w:r>
      <w:r w:rsidR="00C0417E" w:rsidRPr="00F27E5A">
        <w:t>,</w:t>
      </w:r>
      <w:r w:rsidR="00E16125" w:rsidRPr="00F27E5A">
        <w:t xml:space="preserve"> </w:t>
      </w:r>
      <w:r w:rsidRPr="00F27E5A">
        <w:t>leaving a net of 3,200 kWh</w:t>
      </w:r>
      <w:r w:rsidR="00EC74C4" w:rsidRPr="00F27E5A">
        <w:t xml:space="preserve">, which is still over </w:t>
      </w:r>
      <w:r w:rsidR="00124FF4" w:rsidRPr="00F27E5A">
        <w:t>two and half</w:t>
      </w:r>
      <w:r w:rsidR="00EC74C4" w:rsidRPr="00F27E5A">
        <w:t xml:space="preserve"> times the average monthly usage of 1,</w:t>
      </w:r>
      <w:r w:rsidR="00124FF4" w:rsidRPr="00F27E5A">
        <w:t>30</w:t>
      </w:r>
      <w:r w:rsidR="00EC74C4" w:rsidRPr="00F27E5A">
        <w:t>0</w:t>
      </w:r>
      <w:r w:rsidR="00A34925" w:rsidRPr="00F27E5A">
        <w:t xml:space="preserve"> kWh</w:t>
      </w:r>
      <w:r w:rsidR="00E16125" w:rsidRPr="00F27E5A">
        <w:t xml:space="preserve"> for Residential Schedule</w:t>
      </w:r>
      <w:r w:rsidR="00124FF4" w:rsidRPr="00F27E5A">
        <w:t>s</w:t>
      </w:r>
      <w:r w:rsidRPr="00F27E5A">
        <w:t>.</w:t>
      </w:r>
    </w:p>
    <w:p w:rsidR="00C245F3" w:rsidRPr="00F27E5A" w:rsidRDefault="00C245F3" w:rsidP="00C245F3">
      <w:pPr>
        <w:pStyle w:val="Answer-Testimony"/>
      </w:pPr>
    </w:p>
    <w:p w:rsidR="00C245F3" w:rsidRPr="00F27E5A" w:rsidRDefault="00C245F3" w:rsidP="00C245F3">
      <w:pPr>
        <w:pStyle w:val="Question-Testimony"/>
      </w:pPr>
      <w:r w:rsidRPr="00F27E5A">
        <w:t>Q.</w:t>
      </w:r>
      <w:r w:rsidRPr="00F27E5A">
        <w:tab/>
      </w:r>
      <w:r w:rsidR="004F244B" w:rsidRPr="00F27E5A">
        <w:t>Please explain what Staff mean</w:t>
      </w:r>
      <w:r w:rsidR="00E14823" w:rsidRPr="00F27E5A">
        <w:t>s</w:t>
      </w:r>
      <w:r w:rsidR="000F3BF6" w:rsidRPr="00F27E5A">
        <w:t xml:space="preserve"> </w:t>
      </w:r>
      <w:r w:rsidR="004F244B" w:rsidRPr="00F27E5A">
        <w:t xml:space="preserve">by </w:t>
      </w:r>
      <w:r w:rsidR="000F3BF6" w:rsidRPr="00F27E5A">
        <w:t>“</w:t>
      </w:r>
      <w:r w:rsidR="004F244B" w:rsidRPr="00F27E5A">
        <w:t>allow</w:t>
      </w:r>
      <w:r w:rsidR="000F3BF6" w:rsidRPr="00F27E5A">
        <w:t>ing</w:t>
      </w:r>
      <w:r w:rsidR="004F244B" w:rsidRPr="00F27E5A">
        <w:t xml:space="preserve"> for a slightly more aggressive </w:t>
      </w:r>
      <w:r w:rsidR="0020501E">
        <w:t>tail block</w:t>
      </w:r>
      <w:r w:rsidR="004F244B" w:rsidRPr="00F27E5A">
        <w:t xml:space="preserve"> rate</w:t>
      </w:r>
      <w:r w:rsidR="000F3BF6" w:rsidRPr="00F27E5A">
        <w:t>”</w:t>
      </w:r>
      <w:r w:rsidR="00040682" w:rsidRPr="00F27E5A">
        <w:t xml:space="preserve"> to help with conservation measures,</w:t>
      </w:r>
      <w:r w:rsidR="004F244B" w:rsidRPr="00F27E5A">
        <w:t xml:space="preserve"> as mention</w:t>
      </w:r>
      <w:r w:rsidR="00F73D07" w:rsidRPr="00F27E5A">
        <w:t>ed</w:t>
      </w:r>
      <w:r w:rsidR="004F244B" w:rsidRPr="00F27E5A">
        <w:t xml:space="preserve"> earlier</w:t>
      </w:r>
      <w:r w:rsidRPr="00F27E5A">
        <w:t>?</w:t>
      </w:r>
    </w:p>
    <w:p w:rsidR="00040682" w:rsidRPr="00F27E5A" w:rsidRDefault="00C245F3" w:rsidP="00040682">
      <w:pPr>
        <w:pStyle w:val="Answer-Testimony"/>
      </w:pPr>
      <w:r w:rsidRPr="00F27E5A">
        <w:t>A.</w:t>
      </w:r>
      <w:r w:rsidRPr="00F27E5A">
        <w:tab/>
      </w:r>
      <w:r w:rsidR="00C6396A" w:rsidRPr="00F27E5A">
        <w:t>First, creating an inverted block rate structure with a t</w:t>
      </w:r>
      <w:r w:rsidR="00271E5E" w:rsidRPr="00F27E5A">
        <w:t xml:space="preserve">hird </w:t>
      </w:r>
      <w:r w:rsidR="00C6396A" w:rsidRPr="00F27E5A">
        <w:t>b</w:t>
      </w:r>
      <w:r w:rsidR="00271E5E" w:rsidRPr="00F27E5A">
        <w:t>lock</w:t>
      </w:r>
      <w:r w:rsidR="00040682" w:rsidRPr="00F27E5A">
        <w:t xml:space="preserve">, </w:t>
      </w:r>
      <w:r w:rsidR="00CF0FB7" w:rsidRPr="00F27E5A">
        <w:t>compared to</w:t>
      </w:r>
      <w:r w:rsidR="00040682" w:rsidRPr="00F27E5A">
        <w:t xml:space="preserve"> </w:t>
      </w:r>
      <w:r w:rsidR="00E14823" w:rsidRPr="00F27E5A">
        <w:t xml:space="preserve">the </w:t>
      </w:r>
      <w:r w:rsidR="00040682" w:rsidRPr="00F27E5A">
        <w:t>Company’s current</w:t>
      </w:r>
      <w:r w:rsidR="00CF0FB7" w:rsidRPr="00F27E5A">
        <w:t xml:space="preserve"> two-block structure,</w:t>
      </w:r>
      <w:r w:rsidR="00040682" w:rsidRPr="00F27E5A">
        <w:t xml:space="preserve"> will</w:t>
      </w:r>
      <w:r w:rsidR="00CF0FB7" w:rsidRPr="00F27E5A">
        <w:t xml:space="preserve"> automatically </w:t>
      </w:r>
      <w:r w:rsidR="00040682" w:rsidRPr="00F27E5A">
        <w:t>increase</w:t>
      </w:r>
      <w:r w:rsidR="00CF0FB7" w:rsidRPr="00F27E5A">
        <w:t xml:space="preserve"> the </w:t>
      </w:r>
      <w:r w:rsidR="00040682" w:rsidRPr="00F27E5A">
        <w:t xml:space="preserve">upper-tier </w:t>
      </w:r>
      <w:r w:rsidR="00CF0FB7" w:rsidRPr="00F27E5A">
        <w:t>rate</w:t>
      </w:r>
      <w:r w:rsidR="00040682" w:rsidRPr="00F27E5A">
        <w:t xml:space="preserve"> above that of the second block</w:t>
      </w:r>
      <w:r w:rsidR="00CF0FB7" w:rsidRPr="00F27E5A">
        <w:t>.</w:t>
      </w:r>
    </w:p>
    <w:p w:rsidR="00271E5E" w:rsidRPr="00F27E5A" w:rsidRDefault="00CF0FB7" w:rsidP="00040682">
      <w:pPr>
        <w:pStyle w:val="Answer-Testimony"/>
        <w:ind w:firstLine="720"/>
      </w:pPr>
      <w:r w:rsidRPr="00F27E5A">
        <w:t xml:space="preserve">Second, </w:t>
      </w:r>
      <w:r w:rsidR="000F3BF6" w:rsidRPr="00F27E5A">
        <w:t>higher levels of consumption tend to be</w:t>
      </w:r>
      <w:r w:rsidR="00F73D07" w:rsidRPr="00F27E5A">
        <w:t xml:space="preserve"> the most </w:t>
      </w:r>
      <w:r w:rsidR="000F3BF6" w:rsidRPr="00F27E5A">
        <w:t xml:space="preserve">susceptible to variations </w:t>
      </w:r>
      <w:r w:rsidR="00F73D07" w:rsidRPr="00F27E5A">
        <w:t xml:space="preserve">in </w:t>
      </w:r>
      <w:r w:rsidR="000F3BF6" w:rsidRPr="00F27E5A">
        <w:t xml:space="preserve">unit </w:t>
      </w:r>
      <w:r w:rsidR="00C6396A" w:rsidRPr="00F27E5A">
        <w:t>pricing;</w:t>
      </w:r>
      <w:r w:rsidR="000F3BF6" w:rsidRPr="00F27E5A">
        <w:t xml:space="preserve"> customers tend to</w:t>
      </w:r>
      <w:r w:rsidR="00F73D07" w:rsidRPr="00F27E5A">
        <w:t xml:space="preserve"> be able to</w:t>
      </w:r>
      <w:r w:rsidR="000F3BF6" w:rsidRPr="00F27E5A">
        <w:t xml:space="preserve"> curtail consumption in these higher consumption blocks</w:t>
      </w:r>
      <w:r w:rsidR="00A01350" w:rsidRPr="00F27E5A">
        <w:t xml:space="preserve"> </w:t>
      </w:r>
      <w:r w:rsidR="00F73D07" w:rsidRPr="00F27E5A">
        <w:t xml:space="preserve">in response to price increases, and </w:t>
      </w:r>
      <w:r w:rsidR="00A01350" w:rsidRPr="00F27E5A">
        <w:t>that should help with conservation measures</w:t>
      </w:r>
      <w:r w:rsidR="000F3BF6" w:rsidRPr="00F27E5A">
        <w:t>.</w:t>
      </w:r>
    </w:p>
    <w:p w:rsidR="007A1C45" w:rsidRPr="00F27E5A" w:rsidRDefault="007A1C45" w:rsidP="0022334C">
      <w:pPr>
        <w:pStyle w:val="Answer-Testimony"/>
      </w:pPr>
    </w:p>
    <w:p w:rsidR="007A1C45" w:rsidRPr="00F27E5A" w:rsidRDefault="007A1C45" w:rsidP="0022334C">
      <w:pPr>
        <w:pStyle w:val="Question-Testimony"/>
      </w:pPr>
      <w:r w:rsidRPr="00F27E5A">
        <w:lastRenderedPageBreak/>
        <w:t>Q.</w:t>
      </w:r>
      <w:r w:rsidRPr="00F27E5A">
        <w:tab/>
        <w:t xml:space="preserve">Does </w:t>
      </w:r>
      <w:r w:rsidR="00074F54" w:rsidRPr="00F27E5A">
        <w:t>PacifiCorp</w:t>
      </w:r>
      <w:r w:rsidRPr="00F27E5A">
        <w:t xml:space="preserve"> propose any changes to the existing rate blocks in the Residential Schedule</w:t>
      </w:r>
      <w:r w:rsidR="00E558D4" w:rsidRPr="00F27E5A">
        <w:t>s</w:t>
      </w:r>
      <w:r w:rsidRPr="00F27E5A">
        <w:t>?</w:t>
      </w:r>
    </w:p>
    <w:p w:rsidR="007A1C45" w:rsidRPr="00F27E5A" w:rsidRDefault="007A1C45" w:rsidP="0022334C">
      <w:pPr>
        <w:pStyle w:val="Answer-Testimony"/>
      </w:pPr>
      <w:r w:rsidRPr="00F27E5A">
        <w:t>A.</w:t>
      </w:r>
      <w:r w:rsidRPr="00F27E5A">
        <w:tab/>
        <w:t>No.</w:t>
      </w:r>
      <w:r w:rsidR="00D11296" w:rsidRPr="00F27E5A">
        <w:t xml:space="preserve">  Staff’s recommendation would set up a rate design that differs from the Company’s other jurisdictions.</w:t>
      </w:r>
    </w:p>
    <w:p w:rsidR="007E4E7C" w:rsidRPr="00F27E5A" w:rsidRDefault="007E4E7C" w:rsidP="007E4E7C">
      <w:pPr>
        <w:pStyle w:val="Answer-Testimony"/>
      </w:pPr>
    </w:p>
    <w:p w:rsidR="007E4E7C" w:rsidRPr="00F27E5A" w:rsidRDefault="007E4E7C" w:rsidP="007E4E7C">
      <w:pPr>
        <w:pStyle w:val="Question-Testimony"/>
      </w:pPr>
      <w:r w:rsidRPr="00F27E5A">
        <w:t>Q.</w:t>
      </w:r>
      <w:r w:rsidRPr="00F27E5A">
        <w:tab/>
        <w:t>Is PacifiCorp</w:t>
      </w:r>
      <w:r w:rsidR="00E14823" w:rsidRPr="00F27E5A">
        <w:t>’s billing system</w:t>
      </w:r>
      <w:r w:rsidRPr="00F27E5A">
        <w:t xml:space="preserve"> able to accommodate </w:t>
      </w:r>
      <w:r w:rsidR="00F44DEA" w:rsidRPr="00F27E5A">
        <w:t>differing</w:t>
      </w:r>
      <w:r w:rsidRPr="00F27E5A">
        <w:t xml:space="preserve"> rate designs for different jurisdictions?</w:t>
      </w:r>
    </w:p>
    <w:p w:rsidR="00E14823" w:rsidRPr="00F27E5A" w:rsidRDefault="007E4E7C" w:rsidP="007E4E7C">
      <w:pPr>
        <w:pStyle w:val="Answer-Testimony"/>
      </w:pPr>
      <w:r w:rsidRPr="00F27E5A">
        <w:t>A.</w:t>
      </w:r>
      <w:r w:rsidRPr="00F27E5A">
        <w:tab/>
      </w:r>
      <w:r w:rsidR="001C56CA" w:rsidRPr="00F27E5A">
        <w:t xml:space="preserve">Yes.  According to the Company’s response to Staff’s Data Request No. 252, </w:t>
      </w:r>
    </w:p>
    <w:p w:rsidR="007E4E7C" w:rsidRPr="00F27E5A" w:rsidRDefault="00E14823" w:rsidP="00007C88">
      <w:pPr>
        <w:pStyle w:val="Answer-Testimony"/>
        <w:spacing w:line="240" w:lineRule="auto"/>
        <w:ind w:left="1440" w:firstLine="0"/>
      </w:pPr>
      <w:r w:rsidRPr="00F27E5A">
        <w:t>[T]</w:t>
      </w:r>
      <w:r w:rsidR="007E4E7C" w:rsidRPr="00F27E5A">
        <w:t>he system can accommodate multiple inputs once the billing components, the associated billing logic, and general ledger accounting has been entered into the system.  The Company’s billing system has more than 5,000 unique retail billing components and associated system logic supporting the six states served by PacifiCorp.  There are no state, jurisdictional or geographic system constraints.</w:t>
      </w:r>
    </w:p>
    <w:p w:rsidR="007E4E7C" w:rsidRPr="00F27E5A" w:rsidRDefault="007E4E7C" w:rsidP="0022334C">
      <w:pPr>
        <w:pStyle w:val="Answer-Testimony"/>
      </w:pPr>
    </w:p>
    <w:p w:rsidR="0022334C" w:rsidRPr="00F27E5A" w:rsidRDefault="0022334C" w:rsidP="00BD36B5">
      <w:pPr>
        <w:pStyle w:val="Heading6"/>
      </w:pPr>
      <w:bookmarkStart w:id="13" w:name="_Toc359312049"/>
      <w:r w:rsidRPr="00F27E5A">
        <w:t>Volumetric Rates</w:t>
      </w:r>
      <w:bookmarkEnd w:id="13"/>
    </w:p>
    <w:p w:rsidR="0022334C" w:rsidRPr="00F27E5A" w:rsidRDefault="0022334C" w:rsidP="0022334C">
      <w:pPr>
        <w:pStyle w:val="Question-Testimony"/>
      </w:pPr>
    </w:p>
    <w:p w:rsidR="008A14BC" w:rsidRPr="00F27E5A" w:rsidRDefault="008A14BC" w:rsidP="008A14BC">
      <w:pPr>
        <w:pStyle w:val="Question-Testimony"/>
      </w:pPr>
      <w:r w:rsidRPr="00F27E5A">
        <w:t>Q.</w:t>
      </w:r>
      <w:r w:rsidRPr="00F27E5A">
        <w:tab/>
        <w:t xml:space="preserve">Please explain </w:t>
      </w:r>
      <w:r w:rsidR="000220EF" w:rsidRPr="00F27E5A">
        <w:t xml:space="preserve">Staff’s </w:t>
      </w:r>
      <w:r w:rsidR="00421A5A" w:rsidRPr="00F27E5A">
        <w:t xml:space="preserve">recommendation for </w:t>
      </w:r>
      <w:r w:rsidR="007C4ECE" w:rsidRPr="00F27E5A">
        <w:t>volumetric rates for the R</w:t>
      </w:r>
      <w:r w:rsidR="008014FC" w:rsidRPr="00F27E5A">
        <w:t xml:space="preserve">esidential </w:t>
      </w:r>
      <w:r w:rsidRPr="00F27E5A">
        <w:t>Schedule</w:t>
      </w:r>
      <w:r w:rsidR="008014FC" w:rsidRPr="00F27E5A">
        <w:t>s</w:t>
      </w:r>
      <w:r w:rsidRPr="00F27E5A">
        <w:t>.</w:t>
      </w:r>
    </w:p>
    <w:p w:rsidR="0020501E" w:rsidRPr="00F27E5A" w:rsidRDefault="008A14BC" w:rsidP="0020501E">
      <w:pPr>
        <w:pStyle w:val="Answer-Testimony"/>
      </w:pPr>
      <w:r w:rsidRPr="00F27E5A">
        <w:t>A.</w:t>
      </w:r>
      <w:r w:rsidRPr="00F27E5A">
        <w:tab/>
      </w:r>
      <w:r w:rsidR="0045672A" w:rsidRPr="00F27E5A">
        <w:t xml:space="preserve">Staff </w:t>
      </w:r>
      <w:r w:rsidR="00E62576" w:rsidRPr="00F27E5A">
        <w:t xml:space="preserve">recommends </w:t>
      </w:r>
      <w:r w:rsidR="00E80032" w:rsidRPr="00F27E5A">
        <w:t xml:space="preserve">creating </w:t>
      </w:r>
      <w:r w:rsidR="000D1F21" w:rsidRPr="00F27E5A">
        <w:t>a third</w:t>
      </w:r>
      <w:r w:rsidR="000D5C7D">
        <w:t xml:space="preserve"> block volumetric</w:t>
      </w:r>
      <w:r w:rsidR="000D1F21" w:rsidRPr="00F27E5A">
        <w:t xml:space="preserve"> rate using the exact same</w:t>
      </w:r>
      <w:r w:rsidR="000D5C7D">
        <w:t xml:space="preserve"> cent</w:t>
      </w:r>
      <w:r w:rsidR="0020501E">
        <w:t>s per kWh</w:t>
      </w:r>
      <w:r w:rsidR="000D1F21" w:rsidRPr="00F27E5A">
        <w:t xml:space="preserve"> differential between the first- and second-</w:t>
      </w:r>
      <w:r w:rsidR="0020501E">
        <w:t>block</w:t>
      </w:r>
      <w:r w:rsidR="0020501E" w:rsidRPr="00F27E5A">
        <w:t xml:space="preserve"> </w:t>
      </w:r>
      <w:r w:rsidR="000D1F21" w:rsidRPr="00F27E5A">
        <w:t>rates</w:t>
      </w:r>
      <w:r w:rsidR="0020501E">
        <w:t xml:space="preserve"> before the rate increase</w:t>
      </w:r>
      <w:r w:rsidR="000D1F21" w:rsidRPr="00F27E5A">
        <w:t xml:space="preserve">, and then </w:t>
      </w:r>
      <w:r w:rsidR="00385622" w:rsidRPr="00F27E5A">
        <w:t>apply</w:t>
      </w:r>
      <w:r w:rsidR="00E80032" w:rsidRPr="00F27E5A">
        <w:t>ing</w:t>
      </w:r>
      <w:r w:rsidR="00385622" w:rsidRPr="00F27E5A">
        <w:t xml:space="preserve"> a</w:t>
      </w:r>
      <w:r w:rsidR="00690611" w:rsidRPr="00F27E5A">
        <w:t xml:space="preserve"> weighted</w:t>
      </w:r>
      <w:r w:rsidR="0045672A" w:rsidRPr="00F27E5A">
        <w:t xml:space="preserve"> uniform percentage increase </w:t>
      </w:r>
      <w:r w:rsidR="00421A5A" w:rsidRPr="00F27E5A">
        <w:t xml:space="preserve">for all volumetric rates in all Residential Schedules </w:t>
      </w:r>
      <w:r w:rsidR="00690611" w:rsidRPr="00F27E5A">
        <w:t>based on each block</w:t>
      </w:r>
      <w:r w:rsidR="00F73D07" w:rsidRPr="00F27E5A">
        <w:t>’</w:t>
      </w:r>
      <w:r w:rsidR="00690611" w:rsidRPr="00F27E5A">
        <w:t>s kilowatt-hour units</w:t>
      </w:r>
      <w:r w:rsidR="007A1C45" w:rsidRPr="00F27E5A">
        <w:t xml:space="preserve">.  This will </w:t>
      </w:r>
      <w:r w:rsidR="00827A83" w:rsidRPr="00F27E5A">
        <w:t>maintain consistency between the rates</w:t>
      </w:r>
      <w:r w:rsidR="000D5C7D">
        <w:t xml:space="preserve"> and reduce revenue volatility</w:t>
      </w:r>
      <w:r w:rsidR="007A1C45" w:rsidRPr="00F27E5A">
        <w:t>.</w:t>
      </w:r>
      <w:r w:rsidR="0020501E">
        <w:t xml:space="preserve"> </w:t>
      </w:r>
      <w:r w:rsidR="0020501E" w:rsidRPr="0020501E">
        <w:t xml:space="preserve"> </w:t>
      </w:r>
      <w:r w:rsidR="00B00592">
        <w:t xml:space="preserve">For </w:t>
      </w:r>
      <w:r w:rsidR="003B1790">
        <w:t>example</w:t>
      </w:r>
      <w:r w:rsidR="0020501E">
        <w:t>, if the first volumetric block generates 5</w:t>
      </w:r>
      <w:r w:rsidR="00DE22FA">
        <w:t>4</w:t>
      </w:r>
      <w:r w:rsidR="0020501E">
        <w:t xml:space="preserve"> percent of the </w:t>
      </w:r>
      <w:r w:rsidR="00DE22FA">
        <w:lastRenderedPageBreak/>
        <w:t>kilowatt-hour units</w:t>
      </w:r>
      <w:r w:rsidR="0020501E">
        <w:t>, then 5</w:t>
      </w:r>
      <w:r w:rsidR="00DE22FA">
        <w:t>4</w:t>
      </w:r>
      <w:r w:rsidR="0020501E">
        <w:t xml:space="preserve"> percent of the rate increase should be recovered in the first block.</w:t>
      </w:r>
    </w:p>
    <w:p w:rsidR="007A1C45" w:rsidRPr="00F27E5A" w:rsidRDefault="007A1C45" w:rsidP="007A1C45">
      <w:pPr>
        <w:pStyle w:val="Answer-Testimony"/>
      </w:pPr>
    </w:p>
    <w:p w:rsidR="007A1C45" w:rsidRPr="00F27E5A" w:rsidRDefault="007A1C45" w:rsidP="007A1C45">
      <w:pPr>
        <w:pStyle w:val="Question-Testimony"/>
      </w:pPr>
      <w:r w:rsidRPr="00F27E5A">
        <w:t>Q.</w:t>
      </w:r>
      <w:r w:rsidRPr="00F27E5A">
        <w:tab/>
        <w:t>How does Staff</w:t>
      </w:r>
      <w:r w:rsidR="0020501E">
        <w:t xml:space="preserve"> view </w:t>
      </w:r>
      <w:r w:rsidR="00C85215" w:rsidRPr="00F27E5A">
        <w:t>the Company</w:t>
      </w:r>
      <w:r w:rsidRPr="00F27E5A">
        <w:t>’s proposal?</w:t>
      </w:r>
    </w:p>
    <w:p w:rsidR="00545CF5" w:rsidRPr="00F27E5A" w:rsidRDefault="007A1C45" w:rsidP="00967FB4">
      <w:pPr>
        <w:pStyle w:val="Answer-Testimony"/>
      </w:pPr>
      <w:r w:rsidRPr="00F27E5A">
        <w:t>A.</w:t>
      </w:r>
      <w:r w:rsidRPr="00F27E5A">
        <w:tab/>
      </w:r>
      <w:r w:rsidR="0020501E">
        <w:t>T</w:t>
      </w:r>
      <w:r w:rsidR="00042EEC" w:rsidRPr="00F27E5A">
        <w:t xml:space="preserve">he Company </w:t>
      </w:r>
      <w:r w:rsidR="00C4260E" w:rsidRPr="00F27E5A">
        <w:t>proposes “a higher percentage increase to the second block for usage over 600 kilowatt-hours per month.”</w:t>
      </w:r>
      <w:r w:rsidR="00E62576" w:rsidRPr="00F27E5A">
        <w:rPr>
          <w:rStyle w:val="FootnoteReference"/>
        </w:rPr>
        <w:footnoteReference w:id="35"/>
      </w:r>
      <w:r w:rsidR="007C4ECE" w:rsidRPr="00F27E5A">
        <w:t xml:space="preserve">  </w:t>
      </w:r>
      <w:r w:rsidR="0020501E">
        <w:t>However, Staff finds t</w:t>
      </w:r>
      <w:r w:rsidR="0020501E" w:rsidRPr="00F27E5A">
        <w:t xml:space="preserve">his </w:t>
      </w:r>
      <w:r w:rsidR="007C4ECE" w:rsidRPr="00F27E5A">
        <w:t>proposal creates inconsistency between the rates</w:t>
      </w:r>
      <w:r w:rsidR="00E42406" w:rsidRPr="00F27E5A">
        <w:t>, result</w:t>
      </w:r>
      <w:r w:rsidR="0020501E">
        <w:t>s</w:t>
      </w:r>
      <w:r w:rsidR="00E42406" w:rsidRPr="00F27E5A">
        <w:t xml:space="preserve"> in more revenue volatility due to variations in seasonal weather, the economy, and energy efficiencies, and </w:t>
      </w:r>
      <w:r w:rsidR="00F933AF" w:rsidRPr="00F27E5A">
        <w:t>creates a disincentive for the utility regarding the promotion of energy efficiency</w:t>
      </w:r>
      <w:r w:rsidR="007C4ECE" w:rsidRPr="00F27E5A">
        <w:t>.</w:t>
      </w:r>
    </w:p>
    <w:p w:rsidR="00E6719F" w:rsidRPr="00F27E5A" w:rsidRDefault="00E6719F" w:rsidP="00967FB4">
      <w:pPr>
        <w:pStyle w:val="Answer-Testimony"/>
      </w:pPr>
    </w:p>
    <w:p w:rsidR="009E4271" w:rsidRPr="00F27E5A" w:rsidRDefault="00E6719F" w:rsidP="00BD36B5">
      <w:pPr>
        <w:pStyle w:val="Heading6"/>
      </w:pPr>
      <w:bookmarkStart w:id="14" w:name="_Toc359312050"/>
      <w:r w:rsidRPr="00F27E5A">
        <w:t>Overall Impacts of Staff</w:t>
      </w:r>
      <w:r w:rsidR="00B935E0">
        <w:t>’s</w:t>
      </w:r>
      <w:r w:rsidRPr="00F27E5A">
        <w:t xml:space="preserve"> Residential Rate Design</w:t>
      </w:r>
      <w:bookmarkEnd w:id="14"/>
    </w:p>
    <w:p w:rsidR="00E6719F" w:rsidRPr="00F27E5A" w:rsidRDefault="00E6719F" w:rsidP="009E4271">
      <w:pPr>
        <w:pStyle w:val="Answer-Testimony"/>
      </w:pPr>
    </w:p>
    <w:p w:rsidR="009E4271" w:rsidRPr="00F27E5A" w:rsidRDefault="009E4271" w:rsidP="009E4271">
      <w:pPr>
        <w:pStyle w:val="Question-Testimony"/>
      </w:pPr>
      <w:r w:rsidRPr="00F27E5A">
        <w:t>Q.</w:t>
      </w:r>
      <w:r w:rsidRPr="00F27E5A">
        <w:tab/>
        <w:t xml:space="preserve">Can you quantify the </w:t>
      </w:r>
      <w:r w:rsidR="009602AF" w:rsidRPr="00F27E5A">
        <w:t xml:space="preserve">overall </w:t>
      </w:r>
      <w:r w:rsidRPr="00F27E5A">
        <w:t xml:space="preserve">effect </w:t>
      </w:r>
      <w:r w:rsidR="00B966B7" w:rsidRPr="00F27E5A">
        <w:t xml:space="preserve">of </w:t>
      </w:r>
      <w:r w:rsidRPr="00F27E5A">
        <w:t xml:space="preserve">Staff’s </w:t>
      </w:r>
      <w:r w:rsidR="00B966B7" w:rsidRPr="00F27E5A">
        <w:t>volumetric block and volumetric rate</w:t>
      </w:r>
      <w:r w:rsidR="009602AF" w:rsidRPr="00F27E5A">
        <w:t xml:space="preserve"> </w:t>
      </w:r>
      <w:r w:rsidRPr="00F27E5A">
        <w:t>proposal</w:t>
      </w:r>
      <w:r w:rsidR="009602AF" w:rsidRPr="00F27E5A">
        <w:t>s for the Residential Schedules</w:t>
      </w:r>
      <w:r w:rsidRPr="00F27E5A">
        <w:t>?</w:t>
      </w:r>
    </w:p>
    <w:p w:rsidR="00A56D46" w:rsidRDefault="009E4271" w:rsidP="009E4271">
      <w:pPr>
        <w:pStyle w:val="Answer-Testimony"/>
      </w:pPr>
      <w:r w:rsidRPr="00F27E5A">
        <w:t>A.</w:t>
      </w:r>
      <w:r w:rsidRPr="00F27E5A">
        <w:tab/>
        <w:t>Yes.  Table 4 below illustrates the effects of what a customer bill would be on Residential Schedules under the current rate structure, the Company’s proposed rate structure, and Staff’s revised rate structure at a variety of usages using the Company’s revenue requirement.</w:t>
      </w:r>
    </w:p>
    <w:p w:rsidR="00772AB8" w:rsidRDefault="00772AB8" w:rsidP="009E4271">
      <w:pPr>
        <w:pStyle w:val="Answer-Testimony"/>
      </w:pPr>
    </w:p>
    <w:p w:rsidR="00BD36B5" w:rsidRDefault="00BD36B5" w:rsidP="009E4271">
      <w:pPr>
        <w:pStyle w:val="Answer-Testimony"/>
      </w:pPr>
    </w:p>
    <w:p w:rsidR="00BD36B5" w:rsidRDefault="00BD36B5" w:rsidP="009E4271">
      <w:pPr>
        <w:pStyle w:val="Answer-Testimony"/>
      </w:pPr>
    </w:p>
    <w:p w:rsidR="00BD36B5" w:rsidRPr="00F27E5A" w:rsidRDefault="00BD36B5" w:rsidP="009E4271">
      <w:pPr>
        <w:pStyle w:val="Answer-Testimony"/>
      </w:pPr>
    </w:p>
    <w:tbl>
      <w:tblPr>
        <w:tblpPr w:leftFromText="187" w:rightFromText="187" w:vertAnchor="text" w:horzAnchor="page" w:tblpX="2634" w:tblpY="818"/>
        <w:tblOverlap w:val="neve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2"/>
        <w:gridCol w:w="1070"/>
        <w:gridCol w:w="1403"/>
        <w:gridCol w:w="1349"/>
        <w:gridCol w:w="1070"/>
        <w:gridCol w:w="1235"/>
        <w:gridCol w:w="1349"/>
      </w:tblGrid>
      <w:tr w:rsidR="00F27E5A" w:rsidRPr="00F27E5A" w:rsidTr="006E1932">
        <w:trPr>
          <w:cantSplit/>
          <w:trHeight w:val="496"/>
        </w:trPr>
        <w:tc>
          <w:tcPr>
            <w:tcW w:w="0" w:type="auto"/>
            <w:vMerge w:val="restart"/>
            <w:vAlign w:val="bottom"/>
          </w:tcPr>
          <w:p w:rsidR="009E4271" w:rsidRPr="00F27E5A" w:rsidRDefault="009E4271" w:rsidP="006E1932">
            <w:pPr>
              <w:pStyle w:val="answer"/>
              <w:keepNext/>
              <w:spacing w:before="60" w:after="60" w:line="240" w:lineRule="auto"/>
              <w:ind w:left="0" w:firstLine="0"/>
              <w:jc w:val="center"/>
              <w:rPr>
                <w:b/>
              </w:rPr>
            </w:pPr>
            <w:r w:rsidRPr="00F27E5A">
              <w:rPr>
                <w:b/>
              </w:rPr>
              <w:lastRenderedPageBreak/>
              <w:t>Usage in kWh</w:t>
            </w:r>
          </w:p>
        </w:tc>
        <w:tc>
          <w:tcPr>
            <w:tcW w:w="0" w:type="auto"/>
            <w:gridSpan w:val="6"/>
            <w:vAlign w:val="center"/>
          </w:tcPr>
          <w:p w:rsidR="009E4271" w:rsidRPr="00F27E5A" w:rsidRDefault="009E4271" w:rsidP="006E1932">
            <w:pPr>
              <w:pStyle w:val="answer"/>
              <w:keepNext/>
              <w:spacing w:before="60" w:after="60" w:line="240" w:lineRule="auto"/>
              <w:ind w:left="0" w:firstLine="0"/>
              <w:jc w:val="center"/>
              <w:rPr>
                <w:b/>
              </w:rPr>
            </w:pPr>
            <w:r w:rsidRPr="00F27E5A">
              <w:rPr>
                <w:b/>
              </w:rPr>
              <w:t>Residential Bill</w:t>
            </w:r>
          </w:p>
        </w:tc>
      </w:tr>
      <w:tr w:rsidR="00F27E5A" w:rsidRPr="00F27E5A" w:rsidTr="006E1932">
        <w:trPr>
          <w:cantSplit/>
          <w:trHeight w:val="184"/>
        </w:trPr>
        <w:tc>
          <w:tcPr>
            <w:tcW w:w="0" w:type="auto"/>
            <w:vMerge/>
            <w:vAlign w:val="center"/>
          </w:tcPr>
          <w:p w:rsidR="009E4271" w:rsidRPr="00F27E5A" w:rsidRDefault="009E4271" w:rsidP="006E1932">
            <w:pPr>
              <w:pStyle w:val="answer"/>
              <w:keepNext/>
              <w:spacing w:before="60" w:after="60" w:line="240" w:lineRule="auto"/>
              <w:ind w:left="0" w:firstLine="0"/>
              <w:jc w:val="center"/>
              <w:rPr>
                <w:b/>
              </w:rPr>
            </w:pPr>
          </w:p>
        </w:tc>
        <w:tc>
          <w:tcPr>
            <w:tcW w:w="0" w:type="auto"/>
            <w:vAlign w:val="bottom"/>
          </w:tcPr>
          <w:p w:rsidR="009E4271" w:rsidRPr="00F27E5A" w:rsidRDefault="009E4271" w:rsidP="006E1932">
            <w:pPr>
              <w:pStyle w:val="answer"/>
              <w:keepNext/>
              <w:spacing w:before="60" w:after="60" w:line="240" w:lineRule="auto"/>
              <w:ind w:left="0" w:firstLine="0"/>
              <w:jc w:val="center"/>
              <w:rPr>
                <w:b/>
              </w:rPr>
            </w:pPr>
            <w:r w:rsidRPr="00F27E5A">
              <w:rPr>
                <w:b/>
              </w:rPr>
              <w:t>Current</w:t>
            </w:r>
          </w:p>
        </w:tc>
        <w:tc>
          <w:tcPr>
            <w:tcW w:w="0" w:type="auto"/>
            <w:vAlign w:val="bottom"/>
          </w:tcPr>
          <w:p w:rsidR="009E4271" w:rsidRPr="00F27E5A" w:rsidRDefault="009E4271" w:rsidP="006E1932">
            <w:pPr>
              <w:pStyle w:val="answer"/>
              <w:keepNext/>
              <w:spacing w:before="60" w:after="60" w:line="240" w:lineRule="auto"/>
              <w:ind w:left="0" w:firstLine="0"/>
              <w:jc w:val="center"/>
              <w:rPr>
                <w:b/>
              </w:rPr>
            </w:pPr>
            <w:r w:rsidRPr="00F27E5A">
              <w:rPr>
                <w:b/>
              </w:rPr>
              <w:t>Company Proposal</w:t>
            </w:r>
          </w:p>
        </w:tc>
        <w:tc>
          <w:tcPr>
            <w:tcW w:w="0" w:type="auto"/>
            <w:vAlign w:val="bottom"/>
          </w:tcPr>
          <w:p w:rsidR="009E4271" w:rsidRPr="00F27E5A" w:rsidRDefault="009E4271" w:rsidP="006E1932">
            <w:pPr>
              <w:pStyle w:val="answer"/>
              <w:keepNext/>
              <w:spacing w:before="60" w:after="60" w:line="240" w:lineRule="auto"/>
              <w:ind w:left="0" w:firstLine="0"/>
              <w:jc w:val="center"/>
              <w:rPr>
                <w:b/>
              </w:rPr>
            </w:pPr>
            <w:r w:rsidRPr="00F27E5A">
              <w:rPr>
                <w:b/>
              </w:rPr>
              <w:t>% Difference</w:t>
            </w:r>
          </w:p>
        </w:tc>
        <w:tc>
          <w:tcPr>
            <w:tcW w:w="0" w:type="auto"/>
            <w:vAlign w:val="bottom"/>
          </w:tcPr>
          <w:p w:rsidR="009E4271" w:rsidRPr="00F27E5A" w:rsidRDefault="009E4271" w:rsidP="006E1932">
            <w:pPr>
              <w:pStyle w:val="answer"/>
              <w:keepNext/>
              <w:spacing w:before="60" w:after="60" w:line="240" w:lineRule="auto"/>
              <w:ind w:left="0" w:firstLine="0"/>
              <w:jc w:val="center"/>
              <w:rPr>
                <w:b/>
              </w:rPr>
            </w:pPr>
            <w:r w:rsidRPr="00F27E5A">
              <w:rPr>
                <w:b/>
              </w:rPr>
              <w:t>Current</w:t>
            </w:r>
          </w:p>
        </w:tc>
        <w:tc>
          <w:tcPr>
            <w:tcW w:w="0" w:type="auto"/>
            <w:vAlign w:val="bottom"/>
          </w:tcPr>
          <w:p w:rsidR="009E4271" w:rsidRPr="00F27E5A" w:rsidRDefault="009E4271" w:rsidP="006E1932">
            <w:pPr>
              <w:pStyle w:val="answer"/>
              <w:keepNext/>
              <w:spacing w:before="60" w:after="60" w:line="240" w:lineRule="auto"/>
              <w:ind w:left="0" w:firstLine="0"/>
              <w:jc w:val="center"/>
              <w:rPr>
                <w:b/>
              </w:rPr>
            </w:pPr>
            <w:r w:rsidRPr="00F27E5A">
              <w:rPr>
                <w:b/>
              </w:rPr>
              <w:t>Staff Proposal</w:t>
            </w:r>
          </w:p>
        </w:tc>
        <w:tc>
          <w:tcPr>
            <w:tcW w:w="0" w:type="auto"/>
            <w:vAlign w:val="bottom"/>
          </w:tcPr>
          <w:p w:rsidR="009E4271" w:rsidRPr="00F27E5A" w:rsidRDefault="009E4271" w:rsidP="006E1932">
            <w:pPr>
              <w:pStyle w:val="answer"/>
              <w:keepNext/>
              <w:spacing w:before="60" w:after="60" w:line="240" w:lineRule="auto"/>
              <w:ind w:left="0" w:firstLine="0"/>
              <w:jc w:val="center"/>
              <w:rPr>
                <w:b/>
              </w:rPr>
            </w:pPr>
            <w:r w:rsidRPr="00F27E5A">
              <w:rPr>
                <w:b/>
              </w:rPr>
              <w:t>% Difference</w:t>
            </w:r>
          </w:p>
        </w:tc>
      </w:tr>
      <w:tr w:rsidR="00F27E5A" w:rsidRPr="00F27E5A" w:rsidTr="006E1932">
        <w:trPr>
          <w:cantSplit/>
          <w:trHeight w:val="496"/>
        </w:trPr>
        <w:tc>
          <w:tcPr>
            <w:tcW w:w="0" w:type="auto"/>
            <w:vAlign w:val="center"/>
          </w:tcPr>
          <w:p w:rsidR="009E4271" w:rsidRPr="00F27E5A" w:rsidRDefault="009E4271" w:rsidP="006E1932">
            <w:pPr>
              <w:pStyle w:val="answer"/>
              <w:keepNext/>
              <w:spacing w:before="60" w:after="60" w:line="240" w:lineRule="auto"/>
              <w:ind w:left="0" w:firstLine="0"/>
            </w:pPr>
            <w:r w:rsidRPr="00F27E5A">
              <w:t>50</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$8.97</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$13.14</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46.4%</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$8.97</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$12.16</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35.5%</w:t>
            </w:r>
          </w:p>
        </w:tc>
      </w:tr>
      <w:tr w:rsidR="00F27E5A" w:rsidRPr="00F27E5A" w:rsidTr="006E1932">
        <w:trPr>
          <w:cantSplit/>
          <w:trHeight w:val="496"/>
        </w:trPr>
        <w:tc>
          <w:tcPr>
            <w:tcW w:w="0" w:type="auto"/>
            <w:vAlign w:val="center"/>
          </w:tcPr>
          <w:p w:rsidR="009E4271" w:rsidRPr="00F27E5A" w:rsidRDefault="009E4271" w:rsidP="006E1932">
            <w:pPr>
              <w:pStyle w:val="answer"/>
              <w:keepNext/>
              <w:spacing w:before="60" w:after="60" w:line="240" w:lineRule="auto"/>
              <w:ind w:left="0" w:firstLine="0"/>
            </w:pPr>
            <w:r w:rsidRPr="00F27E5A">
              <w:t>300</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$23.85</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$28.83</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20.9%</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$23.85</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$29.77</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24.8%</w:t>
            </w:r>
          </w:p>
        </w:tc>
      </w:tr>
      <w:tr w:rsidR="00F27E5A" w:rsidRPr="00F27E5A" w:rsidTr="006E1932">
        <w:trPr>
          <w:cantSplit/>
          <w:trHeight w:val="496"/>
        </w:trPr>
        <w:tc>
          <w:tcPr>
            <w:tcW w:w="0" w:type="auto"/>
            <w:vAlign w:val="center"/>
          </w:tcPr>
          <w:p w:rsidR="009E4271" w:rsidRPr="00F27E5A" w:rsidRDefault="009E4271" w:rsidP="006E1932">
            <w:pPr>
              <w:pStyle w:val="answer"/>
              <w:keepNext/>
              <w:spacing w:before="60" w:after="60" w:line="240" w:lineRule="auto"/>
              <w:ind w:left="0" w:firstLine="0"/>
            </w:pPr>
            <w:r w:rsidRPr="00F27E5A">
              <w:t>1,300</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$107.61</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$123.45</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14.7%</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$107.61</w:t>
            </w:r>
          </w:p>
        </w:tc>
        <w:tc>
          <w:tcPr>
            <w:tcW w:w="0" w:type="auto"/>
            <w:vAlign w:val="center"/>
          </w:tcPr>
          <w:p w:rsidR="009E4271" w:rsidRPr="00F27E5A" w:rsidRDefault="009C1F13" w:rsidP="006E1932">
            <w:pPr>
              <w:pStyle w:val="answer"/>
              <w:keepNext/>
              <w:spacing w:before="60" w:after="60" w:line="240" w:lineRule="auto"/>
              <w:ind w:left="0" w:firstLine="0"/>
              <w:jc w:val="center"/>
            </w:pPr>
            <w:r w:rsidRPr="00F27E5A">
              <w:t>$118.57</w:t>
            </w:r>
          </w:p>
        </w:tc>
        <w:tc>
          <w:tcPr>
            <w:tcW w:w="0" w:type="auto"/>
            <w:vAlign w:val="center"/>
          </w:tcPr>
          <w:p w:rsidR="009E4271" w:rsidRPr="00F27E5A" w:rsidRDefault="009E4271" w:rsidP="009C1F13">
            <w:pPr>
              <w:pStyle w:val="answer"/>
              <w:keepNext/>
              <w:spacing w:before="60" w:after="60" w:line="240" w:lineRule="auto"/>
              <w:ind w:left="0" w:firstLine="0"/>
              <w:jc w:val="center"/>
            </w:pPr>
            <w:r w:rsidRPr="00F27E5A">
              <w:t>10.</w:t>
            </w:r>
            <w:r w:rsidR="009C1F13" w:rsidRPr="00F27E5A">
              <w:t>2</w:t>
            </w:r>
            <w:r w:rsidRPr="00F27E5A">
              <w:t>%</w:t>
            </w:r>
          </w:p>
        </w:tc>
      </w:tr>
      <w:tr w:rsidR="00F27E5A" w:rsidRPr="00F27E5A" w:rsidTr="006E1932">
        <w:trPr>
          <w:cantSplit/>
          <w:trHeight w:val="496"/>
        </w:trPr>
        <w:tc>
          <w:tcPr>
            <w:tcW w:w="0" w:type="auto"/>
            <w:vAlign w:val="center"/>
          </w:tcPr>
          <w:p w:rsidR="009E4271" w:rsidRPr="00F27E5A" w:rsidRDefault="009E4271" w:rsidP="006E1932">
            <w:pPr>
              <w:pStyle w:val="answer"/>
              <w:keepNext/>
              <w:spacing w:before="60" w:after="60" w:line="240" w:lineRule="auto"/>
              <w:ind w:left="0" w:firstLine="0"/>
            </w:pPr>
            <w:r w:rsidRPr="00F27E5A">
              <w:t>3,000</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$267.68</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$307.49</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14.9%</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$267.68</w:t>
            </w:r>
          </w:p>
        </w:tc>
        <w:tc>
          <w:tcPr>
            <w:tcW w:w="0" w:type="auto"/>
            <w:vAlign w:val="center"/>
          </w:tcPr>
          <w:p w:rsidR="009E4271" w:rsidRPr="00F27E5A" w:rsidRDefault="009C1F13" w:rsidP="006E1932">
            <w:pPr>
              <w:pStyle w:val="answer"/>
              <w:keepNext/>
              <w:spacing w:before="60" w:after="60" w:line="240" w:lineRule="auto"/>
              <w:ind w:left="0" w:firstLine="0"/>
              <w:jc w:val="center"/>
            </w:pPr>
            <w:r w:rsidRPr="00F27E5A">
              <w:t>$318.</w:t>
            </w:r>
            <w:r w:rsidR="009E4271" w:rsidRPr="00F27E5A">
              <w:t>6</w:t>
            </w:r>
            <w:r w:rsidRPr="00F27E5A">
              <w:t>1</w:t>
            </w:r>
          </w:p>
        </w:tc>
        <w:tc>
          <w:tcPr>
            <w:tcW w:w="0" w:type="auto"/>
            <w:vAlign w:val="center"/>
          </w:tcPr>
          <w:p w:rsidR="009E4271" w:rsidRPr="00F27E5A" w:rsidRDefault="009C1F13" w:rsidP="006E1932">
            <w:pPr>
              <w:pStyle w:val="answer"/>
              <w:keepNext/>
              <w:spacing w:before="60" w:after="60" w:line="240" w:lineRule="auto"/>
              <w:ind w:left="0" w:firstLine="0"/>
              <w:jc w:val="center"/>
            </w:pPr>
            <w:r w:rsidRPr="00F27E5A">
              <w:t>19.0</w:t>
            </w:r>
            <w:r w:rsidR="009E4271" w:rsidRPr="00F27E5A">
              <w:t>%</w:t>
            </w:r>
          </w:p>
        </w:tc>
      </w:tr>
      <w:tr w:rsidR="00F27E5A" w:rsidRPr="00F27E5A" w:rsidTr="006E1932">
        <w:trPr>
          <w:cantSplit/>
          <w:trHeight w:val="515"/>
        </w:trPr>
        <w:tc>
          <w:tcPr>
            <w:tcW w:w="0" w:type="auto"/>
            <w:vAlign w:val="center"/>
          </w:tcPr>
          <w:p w:rsidR="009E4271" w:rsidRPr="00F27E5A" w:rsidRDefault="009E4271" w:rsidP="006E1932">
            <w:pPr>
              <w:pStyle w:val="answer"/>
              <w:keepNext/>
              <w:spacing w:before="60" w:after="60" w:line="240" w:lineRule="auto"/>
              <w:ind w:left="0" w:firstLine="0"/>
            </w:pPr>
            <w:r w:rsidRPr="00F27E5A">
              <w:t>4,000</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$361.84</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$415.75</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14.9%</w:t>
            </w:r>
          </w:p>
        </w:tc>
        <w:tc>
          <w:tcPr>
            <w:tcW w:w="0" w:type="auto"/>
            <w:vAlign w:val="center"/>
          </w:tcPr>
          <w:p w:rsidR="009E4271" w:rsidRPr="00F27E5A" w:rsidRDefault="009E4271" w:rsidP="006E1932">
            <w:pPr>
              <w:pStyle w:val="answer"/>
              <w:keepNext/>
              <w:spacing w:before="60" w:after="60" w:line="240" w:lineRule="auto"/>
              <w:ind w:left="0" w:firstLine="0"/>
              <w:jc w:val="center"/>
            </w:pPr>
            <w:r w:rsidRPr="00F27E5A">
              <w:t>$361.84</w:t>
            </w:r>
          </w:p>
        </w:tc>
        <w:tc>
          <w:tcPr>
            <w:tcW w:w="0" w:type="auto"/>
            <w:vAlign w:val="center"/>
          </w:tcPr>
          <w:p w:rsidR="009E4271" w:rsidRPr="00F27E5A" w:rsidRDefault="009E4271" w:rsidP="009C1F13">
            <w:pPr>
              <w:pStyle w:val="answer"/>
              <w:keepNext/>
              <w:spacing w:before="60" w:after="60" w:line="240" w:lineRule="auto"/>
              <w:ind w:left="0" w:firstLine="0"/>
              <w:jc w:val="center"/>
            </w:pPr>
            <w:r w:rsidRPr="00F27E5A">
              <w:t>$43</w:t>
            </w:r>
            <w:r w:rsidR="009C1F13" w:rsidRPr="00F27E5A">
              <w:t>7</w:t>
            </w:r>
            <w:r w:rsidRPr="00F27E5A">
              <w:t>.</w:t>
            </w:r>
            <w:r w:rsidR="009C1F13" w:rsidRPr="00F27E5A">
              <w:t>68</w:t>
            </w:r>
          </w:p>
        </w:tc>
        <w:tc>
          <w:tcPr>
            <w:tcW w:w="0" w:type="auto"/>
            <w:vAlign w:val="center"/>
          </w:tcPr>
          <w:p w:rsidR="009E4271" w:rsidRPr="00F27E5A" w:rsidRDefault="009C1F13" w:rsidP="006E1932">
            <w:pPr>
              <w:pStyle w:val="answer"/>
              <w:keepNext/>
              <w:spacing w:before="60" w:after="60" w:line="240" w:lineRule="auto"/>
              <w:ind w:left="0" w:firstLine="0"/>
              <w:jc w:val="center"/>
            </w:pPr>
            <w:r w:rsidRPr="00F27E5A">
              <w:t>21.0</w:t>
            </w:r>
            <w:r w:rsidR="009E4271" w:rsidRPr="00F27E5A">
              <w:t>%</w:t>
            </w:r>
          </w:p>
        </w:tc>
      </w:tr>
    </w:tbl>
    <w:p w:rsidR="009E4271" w:rsidRPr="00F27E5A" w:rsidRDefault="009E4271" w:rsidP="009E4271">
      <w:pPr>
        <w:pStyle w:val="Answer-Testimony"/>
        <w:jc w:val="center"/>
      </w:pPr>
      <w:r w:rsidRPr="00F27E5A">
        <w:t>Table 4: Showing the</w:t>
      </w:r>
      <w:r w:rsidR="00043512" w:rsidRPr="00F27E5A">
        <w:t xml:space="preserve"> Bill</w:t>
      </w:r>
      <w:r w:rsidRPr="00F27E5A">
        <w:t xml:space="preserve"> Effect of Company </w:t>
      </w:r>
      <w:r w:rsidR="00043512" w:rsidRPr="00F27E5A">
        <w:t>and</w:t>
      </w:r>
      <w:r w:rsidRPr="00F27E5A">
        <w:t xml:space="preserve"> Staff</w:t>
      </w:r>
      <w:r w:rsidR="00043512" w:rsidRPr="00F27E5A">
        <w:t xml:space="preserve"> Rate Design Proposals’</w:t>
      </w:r>
    </w:p>
    <w:p w:rsidR="009E4271" w:rsidRPr="00A56D46" w:rsidRDefault="009E4271" w:rsidP="009E4271">
      <w:pPr>
        <w:pStyle w:val="Answer-Testimony"/>
        <w:rPr>
          <w:color w:val="FFFFFF" w:themeColor="background1"/>
        </w:rPr>
      </w:pPr>
      <w:r w:rsidRPr="00A56D46">
        <w:rPr>
          <w:color w:val="FFFFFF" w:themeColor="background1"/>
        </w:rPr>
        <w:t>R</w:t>
      </w:r>
    </w:p>
    <w:p w:rsidR="009E4271" w:rsidRPr="00A56D46" w:rsidRDefault="009E4271" w:rsidP="009E4271">
      <w:pPr>
        <w:pStyle w:val="Answer-Testimony"/>
        <w:rPr>
          <w:color w:val="FFFFFF" w:themeColor="background1"/>
        </w:rPr>
      </w:pPr>
      <w:r w:rsidRPr="00A56D46">
        <w:rPr>
          <w:color w:val="FFFFFF" w:themeColor="background1"/>
        </w:rPr>
        <w:t>R</w:t>
      </w:r>
    </w:p>
    <w:p w:rsidR="009E4271" w:rsidRPr="00A56D46" w:rsidRDefault="009E4271" w:rsidP="009E4271">
      <w:pPr>
        <w:pStyle w:val="Answer-Testimony"/>
        <w:rPr>
          <w:color w:val="FFFFFF" w:themeColor="background1"/>
        </w:rPr>
      </w:pPr>
      <w:r w:rsidRPr="00A56D46">
        <w:rPr>
          <w:color w:val="FFFFFF" w:themeColor="background1"/>
        </w:rPr>
        <w:t>R</w:t>
      </w:r>
    </w:p>
    <w:p w:rsidR="009E4271" w:rsidRPr="00A56D46" w:rsidRDefault="009E4271" w:rsidP="009E4271">
      <w:pPr>
        <w:pStyle w:val="Answer-Testimony"/>
        <w:rPr>
          <w:color w:val="FFFFFF" w:themeColor="background1"/>
        </w:rPr>
      </w:pPr>
    </w:p>
    <w:p w:rsidR="009E4271" w:rsidRPr="00A56D46" w:rsidRDefault="009E4271" w:rsidP="009E4271">
      <w:pPr>
        <w:pStyle w:val="Answer-Testimony"/>
        <w:rPr>
          <w:color w:val="FFFFFF" w:themeColor="background1"/>
        </w:rPr>
      </w:pPr>
      <w:r w:rsidRPr="00A56D46">
        <w:rPr>
          <w:color w:val="FFFFFF" w:themeColor="background1"/>
        </w:rPr>
        <w:t>R</w:t>
      </w:r>
    </w:p>
    <w:p w:rsidR="009E4271" w:rsidRPr="00A56D46" w:rsidRDefault="009E4271" w:rsidP="009E4271">
      <w:pPr>
        <w:pStyle w:val="Answer-Testimony"/>
        <w:rPr>
          <w:color w:val="FFFFFF" w:themeColor="background1"/>
        </w:rPr>
      </w:pPr>
      <w:r w:rsidRPr="00A56D46">
        <w:rPr>
          <w:color w:val="FFFFFF" w:themeColor="background1"/>
        </w:rPr>
        <w:t>R</w:t>
      </w:r>
    </w:p>
    <w:p w:rsidR="009E4271" w:rsidRPr="00A56D46" w:rsidRDefault="009E4271" w:rsidP="009E4271">
      <w:pPr>
        <w:pStyle w:val="Question-Testimony"/>
        <w:rPr>
          <w:b w:val="0"/>
          <w:bCs w:val="0"/>
          <w:color w:val="FFFFFF" w:themeColor="background1"/>
        </w:rPr>
      </w:pPr>
      <w:r w:rsidRPr="00A56D46">
        <w:rPr>
          <w:b w:val="0"/>
          <w:bCs w:val="0"/>
          <w:color w:val="FFFFFF" w:themeColor="background1"/>
        </w:rPr>
        <w:t>R</w:t>
      </w:r>
    </w:p>
    <w:p w:rsidR="009E4271" w:rsidRPr="00F27E5A" w:rsidRDefault="009E4271" w:rsidP="009E4271">
      <w:pPr>
        <w:pStyle w:val="Question-Testimony"/>
        <w:rPr>
          <w:b w:val="0"/>
          <w:bCs w:val="0"/>
        </w:rPr>
      </w:pPr>
    </w:p>
    <w:p w:rsidR="009E4271" w:rsidRPr="00F27E5A" w:rsidRDefault="009E4271" w:rsidP="00967FB4">
      <w:pPr>
        <w:pStyle w:val="Answer-Testimony"/>
      </w:pPr>
    </w:p>
    <w:p w:rsidR="008A14BC" w:rsidRPr="00F27E5A" w:rsidRDefault="008A14BC" w:rsidP="008A14BC">
      <w:pPr>
        <w:pStyle w:val="Question-Testimony"/>
      </w:pPr>
      <w:r w:rsidRPr="00F27E5A">
        <w:t>Q.</w:t>
      </w:r>
      <w:r w:rsidRPr="00F27E5A">
        <w:tab/>
        <w:t xml:space="preserve">What are the </w:t>
      </w:r>
      <w:r w:rsidR="00967FB4" w:rsidRPr="00F27E5A">
        <w:t xml:space="preserve">overarching </w:t>
      </w:r>
      <w:r w:rsidRPr="00F27E5A">
        <w:t>benefits of Staff’s recommended</w:t>
      </w:r>
      <w:r w:rsidR="00007C88" w:rsidRPr="00F27E5A">
        <w:t xml:space="preserve"> </w:t>
      </w:r>
      <w:r w:rsidRPr="00F27E5A">
        <w:t>rate design</w:t>
      </w:r>
      <w:r w:rsidR="00140E11" w:rsidRPr="00F27E5A">
        <w:t xml:space="preserve"> changes</w:t>
      </w:r>
      <w:r w:rsidR="009602AF" w:rsidRPr="00F27E5A">
        <w:t xml:space="preserve"> for the Residential Schedules</w:t>
      </w:r>
      <w:r w:rsidRPr="00F27E5A">
        <w:t>?</w:t>
      </w:r>
    </w:p>
    <w:p w:rsidR="008A14BC" w:rsidRPr="00F27E5A" w:rsidRDefault="008A14BC" w:rsidP="008A14BC">
      <w:pPr>
        <w:pStyle w:val="Answer-Testimony"/>
      </w:pPr>
      <w:r w:rsidRPr="00F27E5A">
        <w:t>A.</w:t>
      </w:r>
      <w:r w:rsidRPr="00F27E5A">
        <w:tab/>
        <w:t xml:space="preserve">There are three broad benefits to Staff’s recommended </w:t>
      </w:r>
      <w:r w:rsidR="00A34925" w:rsidRPr="00F27E5A">
        <w:t>rate design</w:t>
      </w:r>
      <w:r w:rsidR="00140E11" w:rsidRPr="00F27E5A">
        <w:t xml:space="preserve"> changes</w:t>
      </w:r>
      <w:r w:rsidRPr="00F27E5A">
        <w:t>:</w:t>
      </w:r>
      <w:r w:rsidR="009602AF" w:rsidRPr="00F27E5A">
        <w:t xml:space="preserve"> </w:t>
      </w:r>
      <w:r w:rsidRPr="00F27E5A">
        <w:t xml:space="preserve"> (1) revenue stability; (2) realigning the blocks to match the inelastic consumption of service for essential needs</w:t>
      </w:r>
      <w:r w:rsidR="00140E11" w:rsidRPr="00F27E5A">
        <w:t>, as I have explained</w:t>
      </w:r>
      <w:r w:rsidRPr="00F27E5A">
        <w:t>; and (3) providing proper price signals for conservation</w:t>
      </w:r>
      <w:r w:rsidR="00140E11" w:rsidRPr="00F27E5A">
        <w:t xml:space="preserve"> and discouraging</w:t>
      </w:r>
      <w:r w:rsidR="00E16125" w:rsidRPr="00F27E5A">
        <w:t xml:space="preserve"> wasteful use of service</w:t>
      </w:r>
      <w:r w:rsidRPr="00F27E5A">
        <w:t>.</w:t>
      </w:r>
    </w:p>
    <w:p w:rsidR="008A14BC" w:rsidRPr="00F27E5A" w:rsidRDefault="008A14BC" w:rsidP="008A14BC">
      <w:pPr>
        <w:pStyle w:val="Answer-Testimony"/>
      </w:pPr>
    </w:p>
    <w:p w:rsidR="008A14BC" w:rsidRPr="00F27E5A" w:rsidRDefault="001F4EBF" w:rsidP="008A14BC">
      <w:pPr>
        <w:pStyle w:val="Question-Testimony"/>
      </w:pPr>
      <w:r w:rsidRPr="00F27E5A">
        <w:t>Q.</w:t>
      </w:r>
      <w:r w:rsidRPr="00F27E5A">
        <w:tab/>
        <w:t xml:space="preserve">How </w:t>
      </w:r>
      <w:r w:rsidR="006E1932" w:rsidRPr="00F27E5A">
        <w:t>do</w:t>
      </w:r>
      <w:r w:rsidR="00B966B7" w:rsidRPr="00F27E5A">
        <w:t>es</w:t>
      </w:r>
      <w:r w:rsidR="006E1932" w:rsidRPr="00F27E5A">
        <w:t xml:space="preserve"> Staff’s proposed rate design </w:t>
      </w:r>
      <w:r w:rsidR="009602AF" w:rsidRPr="00F27E5A">
        <w:t xml:space="preserve">for the Residential Schedules </w:t>
      </w:r>
      <w:r w:rsidRPr="00F27E5A">
        <w:t>promote revenue stability?</w:t>
      </w:r>
    </w:p>
    <w:p w:rsidR="00C92ED8" w:rsidRPr="00F27E5A" w:rsidRDefault="008A14BC" w:rsidP="009F4942">
      <w:pPr>
        <w:pStyle w:val="Answer-Testimony"/>
      </w:pPr>
      <w:r w:rsidRPr="00F27E5A">
        <w:t>A.</w:t>
      </w:r>
      <w:r w:rsidRPr="00F27E5A">
        <w:tab/>
      </w:r>
      <w:r w:rsidR="006532B3" w:rsidRPr="00F27E5A">
        <w:t xml:space="preserve">From year to year, rates should be stable and predictable </w:t>
      </w:r>
      <w:r w:rsidR="00545CF5" w:rsidRPr="00F27E5A">
        <w:t xml:space="preserve">to help the Company manage </w:t>
      </w:r>
      <w:r w:rsidR="006532B3" w:rsidRPr="00F27E5A">
        <w:t xml:space="preserve">cash flow effectively to meet </w:t>
      </w:r>
      <w:r w:rsidR="003B69A5" w:rsidRPr="00F27E5A">
        <w:t>its</w:t>
      </w:r>
      <w:r w:rsidR="006532B3" w:rsidRPr="00F27E5A">
        <w:t xml:space="preserve"> financial needs.  These needs include the costs of operations, maintenance, and administration</w:t>
      </w:r>
      <w:r w:rsidR="009602AF" w:rsidRPr="00F27E5A">
        <w:t>,</w:t>
      </w:r>
      <w:r w:rsidR="006532B3" w:rsidRPr="00F27E5A">
        <w:t xml:space="preserve"> as well as current debt service obligations.  Inverted block rate structures tend to result in more revenue volatility </w:t>
      </w:r>
      <w:r w:rsidR="006532B3" w:rsidRPr="00F27E5A">
        <w:lastRenderedPageBreak/>
        <w:t>than other rate structures (</w:t>
      </w:r>
      <w:r w:rsidR="006532B3" w:rsidRPr="00F27E5A">
        <w:rPr>
          <w:i/>
        </w:rPr>
        <w:t>i.e</w:t>
      </w:r>
      <w:r w:rsidR="006532B3" w:rsidRPr="00F27E5A">
        <w:t>.</w:t>
      </w:r>
      <w:r w:rsidR="009602AF" w:rsidRPr="00F27E5A">
        <w:t>,</w:t>
      </w:r>
      <w:r w:rsidR="006532B3" w:rsidRPr="00F27E5A">
        <w:t xml:space="preserve"> declining and uniform block rates)</w:t>
      </w:r>
      <w:r w:rsidR="009C0295" w:rsidRPr="00F27E5A">
        <w:t xml:space="preserve"> </w:t>
      </w:r>
      <w:r w:rsidR="006532B3" w:rsidRPr="00F27E5A">
        <w:t xml:space="preserve">because an inverted block rate anticipates recovering a proportionately greater percentage of the customer class’s revenue requirement at higher levels of consumption.  These higher levels of consumption tend to be </w:t>
      </w:r>
      <w:r w:rsidR="00344D85" w:rsidRPr="00F27E5A">
        <w:t xml:space="preserve">susceptible to </w:t>
      </w:r>
      <w:r w:rsidR="006532B3" w:rsidRPr="00F27E5A">
        <w:t>variations in seasonal weather, the economy, energy efficiencies, and conservation</w:t>
      </w:r>
      <w:r w:rsidR="00D119FD" w:rsidRPr="00F27E5A">
        <w:t xml:space="preserve"> and</w:t>
      </w:r>
      <w:r w:rsidR="00545CF5" w:rsidRPr="00F27E5A">
        <w:t>,</w:t>
      </w:r>
      <w:r w:rsidR="007C2A9F" w:rsidRPr="00F27E5A">
        <w:t xml:space="preserve"> when coupled with </w:t>
      </w:r>
      <w:r w:rsidR="006532B3" w:rsidRPr="00F27E5A">
        <w:t>higher unit pricing, customers tend to curtail consumption in these higher consump</w:t>
      </w:r>
      <w:r w:rsidR="00C92ED8" w:rsidRPr="00F27E5A">
        <w:t>tion blocks.</w:t>
      </w:r>
    </w:p>
    <w:p w:rsidR="00D119FD" w:rsidRPr="00F27E5A" w:rsidRDefault="003430BA" w:rsidP="00977B69">
      <w:pPr>
        <w:pStyle w:val="Answer-Testimony"/>
        <w:ind w:firstLine="720"/>
      </w:pPr>
      <w:r w:rsidRPr="00F27E5A">
        <w:t>When there is</w:t>
      </w:r>
      <w:r w:rsidR="006532B3" w:rsidRPr="00F27E5A">
        <w:t xml:space="preserve"> </w:t>
      </w:r>
      <w:r w:rsidR="00344D85" w:rsidRPr="00F27E5A">
        <w:t xml:space="preserve">a </w:t>
      </w:r>
      <w:r w:rsidR="002A5205" w:rsidRPr="00F27E5A">
        <w:t>larger share of total revenue from elastic usage</w:t>
      </w:r>
      <w:r w:rsidRPr="00F27E5A">
        <w:t xml:space="preserve">, </w:t>
      </w:r>
      <w:r w:rsidR="002A5205" w:rsidRPr="00F27E5A">
        <w:t xml:space="preserve">total revenue </w:t>
      </w:r>
      <w:r w:rsidR="009C0295" w:rsidRPr="00F27E5A">
        <w:t xml:space="preserve">is </w:t>
      </w:r>
      <w:r w:rsidR="002A5205" w:rsidRPr="00F27E5A">
        <w:t>more susceptible to the short-run business cycle</w:t>
      </w:r>
      <w:r w:rsidR="00FD1827" w:rsidRPr="00F27E5A">
        <w:t>s</w:t>
      </w:r>
      <w:r w:rsidR="002A5205" w:rsidRPr="00F27E5A">
        <w:t xml:space="preserve">, which causes fluctuations in </w:t>
      </w:r>
      <w:r w:rsidR="00545CF5" w:rsidRPr="00F27E5A">
        <w:t xml:space="preserve">the </w:t>
      </w:r>
      <w:r w:rsidR="002A5205" w:rsidRPr="00F27E5A">
        <w:t xml:space="preserve">revenue stream.  </w:t>
      </w:r>
      <w:r w:rsidR="007D33DF" w:rsidRPr="00F27E5A">
        <w:t>I</w:t>
      </w:r>
      <w:r w:rsidR="009F4D1B" w:rsidRPr="00F27E5A">
        <w:t xml:space="preserve">mplementing Staff’s </w:t>
      </w:r>
      <w:r w:rsidR="00FD1827" w:rsidRPr="00F27E5A">
        <w:t>rate design structure to appropriately reflect customer-related costs in the bas</w:t>
      </w:r>
      <w:r w:rsidR="009C0295" w:rsidRPr="00F27E5A">
        <w:t>ic</w:t>
      </w:r>
      <w:r w:rsidR="00FD1827" w:rsidRPr="00F27E5A">
        <w:t xml:space="preserve"> charge, adjusting the blocks to </w:t>
      </w:r>
      <w:r w:rsidR="007D33DF" w:rsidRPr="00F27E5A">
        <w:t xml:space="preserve">properly place </w:t>
      </w:r>
      <w:r w:rsidR="00FD1827" w:rsidRPr="00F27E5A">
        <w:t xml:space="preserve">inelastic demand and discretionary energy usage in the tail block, and applying a </w:t>
      </w:r>
      <w:r w:rsidR="007D33DF" w:rsidRPr="00F27E5A">
        <w:t xml:space="preserve">weighted </w:t>
      </w:r>
      <w:r w:rsidR="00FD1827" w:rsidRPr="00F27E5A">
        <w:t>uniform percent increase</w:t>
      </w:r>
      <w:r w:rsidR="00C92ED8" w:rsidRPr="00F27E5A">
        <w:t xml:space="preserve"> to include low elasticity usage</w:t>
      </w:r>
      <w:r w:rsidR="007D33DF" w:rsidRPr="00F27E5A">
        <w:t xml:space="preserve">, </w:t>
      </w:r>
      <w:r w:rsidR="00140E11" w:rsidRPr="00F27E5A">
        <w:t>lead</w:t>
      </w:r>
      <w:r w:rsidR="007D33DF" w:rsidRPr="00F27E5A">
        <w:t>s</w:t>
      </w:r>
      <w:r w:rsidR="00140E11" w:rsidRPr="00F27E5A">
        <w:t xml:space="preserve"> to </w:t>
      </w:r>
      <w:r w:rsidR="00967FB4" w:rsidRPr="00F27E5A">
        <w:t xml:space="preserve">greater </w:t>
      </w:r>
      <w:r w:rsidR="009F4D1B" w:rsidRPr="00F27E5A">
        <w:t>revenue stability and predictability</w:t>
      </w:r>
      <w:r w:rsidR="009C0295" w:rsidRPr="00F27E5A">
        <w:t>,</w:t>
      </w:r>
      <w:r w:rsidR="009F4D1B" w:rsidRPr="00F27E5A">
        <w:t xml:space="preserve"> which is one of the attributes of a sound rate structure</w:t>
      </w:r>
      <w:r w:rsidR="00741EC7" w:rsidRPr="00F27E5A">
        <w:t>.</w:t>
      </w:r>
      <w:r w:rsidR="009F4D1B" w:rsidRPr="00F27E5A">
        <w:rPr>
          <w:rStyle w:val="FootnoteReference"/>
        </w:rPr>
        <w:footnoteReference w:id="36"/>
      </w:r>
    </w:p>
    <w:p w:rsidR="007E4E7C" w:rsidRDefault="00D70E85" w:rsidP="00532D68">
      <w:pPr>
        <w:pStyle w:val="Answer-Testimony"/>
        <w:ind w:firstLine="720"/>
      </w:pPr>
      <w:r w:rsidRPr="00F27E5A">
        <w:t xml:space="preserve">Staff’s analysis for </w:t>
      </w:r>
      <w:r w:rsidR="00B966B7" w:rsidRPr="00F27E5A">
        <w:t xml:space="preserve">the </w:t>
      </w:r>
      <w:r w:rsidR="00315B76" w:rsidRPr="00F27E5A">
        <w:t xml:space="preserve">Residential </w:t>
      </w:r>
      <w:r w:rsidRPr="00F27E5A">
        <w:t>Schedule</w:t>
      </w:r>
      <w:r w:rsidR="00F80303" w:rsidRPr="00F27E5A">
        <w:t>s</w:t>
      </w:r>
      <w:r w:rsidRPr="00F27E5A">
        <w:t>,</w:t>
      </w:r>
      <w:r w:rsidR="007B7A24" w:rsidRPr="00F27E5A">
        <w:t xml:space="preserve"> </w:t>
      </w:r>
      <w:r w:rsidR="003B69A5" w:rsidRPr="00F27E5A">
        <w:t>shown in my Exhibit No. __ (CTM-5, page 15 and summarized</w:t>
      </w:r>
      <w:r w:rsidR="007B7A24" w:rsidRPr="00F27E5A">
        <w:t xml:space="preserve"> in Table </w:t>
      </w:r>
      <w:r w:rsidR="009E4271" w:rsidRPr="00F27E5A">
        <w:t>5</w:t>
      </w:r>
      <w:r w:rsidR="007B7A24" w:rsidRPr="00F27E5A">
        <w:t xml:space="preserve"> below,</w:t>
      </w:r>
      <w:r w:rsidRPr="00F27E5A">
        <w:t xml:space="preserve"> demonstrates</w:t>
      </w:r>
      <w:r w:rsidR="00967FB4" w:rsidRPr="00F27E5A">
        <w:t xml:space="preserve"> that</w:t>
      </w:r>
      <w:r w:rsidRPr="00F27E5A">
        <w:t xml:space="preserve"> </w:t>
      </w:r>
      <w:r w:rsidR="008A14BC" w:rsidRPr="00F27E5A">
        <w:t>the current</w:t>
      </w:r>
      <w:r w:rsidR="003430BA" w:rsidRPr="00F27E5A">
        <w:t xml:space="preserve"> rate design</w:t>
      </w:r>
      <w:r w:rsidR="008A14BC" w:rsidRPr="00F27E5A">
        <w:t xml:space="preserve"> and</w:t>
      </w:r>
      <w:r w:rsidR="00A34925" w:rsidRPr="00F27E5A">
        <w:t xml:space="preserve"> the Company’s</w:t>
      </w:r>
      <w:r w:rsidR="008A14BC" w:rsidRPr="00F27E5A">
        <w:t xml:space="preserve"> proposed rate design </w:t>
      </w:r>
      <w:r w:rsidR="00140E11" w:rsidRPr="00F27E5A">
        <w:t>produce</w:t>
      </w:r>
      <w:r w:rsidR="008A14BC" w:rsidRPr="00F27E5A">
        <w:t xml:space="preserve"> revenue </w:t>
      </w:r>
      <w:r w:rsidR="00140E11" w:rsidRPr="00F27E5A">
        <w:rPr>
          <w:i/>
        </w:rPr>
        <w:t>instability</w:t>
      </w:r>
      <w:r w:rsidR="00543CE7" w:rsidRPr="00F27E5A">
        <w:t xml:space="preserve">, due to </w:t>
      </w:r>
      <w:r w:rsidR="00C92ED8" w:rsidRPr="00F27E5A">
        <w:t>the</w:t>
      </w:r>
      <w:r w:rsidR="007D33DF" w:rsidRPr="00F27E5A">
        <w:t xml:space="preserve"> smaller</w:t>
      </w:r>
      <w:r w:rsidR="00C92ED8" w:rsidRPr="00F27E5A">
        <w:t xml:space="preserve"> percentage of revenue </w:t>
      </w:r>
      <w:r w:rsidR="00D417DB" w:rsidRPr="00F27E5A">
        <w:t xml:space="preserve">in the first block and greater </w:t>
      </w:r>
      <w:r w:rsidR="009C0295" w:rsidRPr="00F27E5A">
        <w:t xml:space="preserve">percentage of revenue </w:t>
      </w:r>
      <w:r w:rsidR="00543CE7" w:rsidRPr="00F27E5A">
        <w:t>within the third block</w:t>
      </w:r>
      <w:r w:rsidR="009C0295" w:rsidRPr="00F27E5A">
        <w:t>, as</w:t>
      </w:r>
      <w:r w:rsidR="00543CE7" w:rsidRPr="00F27E5A">
        <w:t xml:space="preserve"> </w:t>
      </w:r>
      <w:r w:rsidR="002627B3" w:rsidRPr="00F27E5A">
        <w:t>compared to Staff’s proposal</w:t>
      </w:r>
      <w:r w:rsidR="007B01C1" w:rsidRPr="00F27E5A">
        <w:t>.</w:t>
      </w:r>
      <w:r w:rsidR="003B69A5" w:rsidRPr="00F27E5A">
        <w:rPr>
          <w:rStyle w:val="FootnoteReference"/>
        </w:rPr>
        <w:footnoteReference w:id="37"/>
      </w:r>
    </w:p>
    <w:p w:rsidR="00A56D46" w:rsidRDefault="00A56D46" w:rsidP="00BD36B5">
      <w:pPr>
        <w:pStyle w:val="Answer-Testimony"/>
      </w:pPr>
    </w:p>
    <w:p w:rsidR="00BD36B5" w:rsidRDefault="00BD36B5" w:rsidP="00BD36B5">
      <w:pPr>
        <w:pStyle w:val="Answer-Testimony"/>
      </w:pPr>
    </w:p>
    <w:p w:rsidR="00BD36B5" w:rsidRPr="00F27E5A" w:rsidRDefault="00BD36B5" w:rsidP="00BD36B5">
      <w:pPr>
        <w:pStyle w:val="Answer-Testimony"/>
      </w:pPr>
    </w:p>
    <w:p w:rsidR="00CE30EB" w:rsidRPr="00F27E5A" w:rsidRDefault="00CE30EB" w:rsidP="00CE30EB">
      <w:pPr>
        <w:pStyle w:val="Answer-Testimony"/>
        <w:jc w:val="center"/>
      </w:pPr>
      <w:r w:rsidRPr="00F27E5A">
        <w:lastRenderedPageBreak/>
        <w:t xml:space="preserve">Table </w:t>
      </w:r>
      <w:r w:rsidR="009E4271" w:rsidRPr="00F27E5A">
        <w:t>5</w:t>
      </w:r>
      <w:r w:rsidRPr="00F27E5A">
        <w:t>:  Summary of Percentage</w:t>
      </w:r>
      <w:r w:rsidR="007B7A24" w:rsidRPr="00F27E5A">
        <w:t xml:space="preserve"> of Revenue</w:t>
      </w:r>
      <w:r w:rsidRPr="00F27E5A">
        <w:t>s</w:t>
      </w:r>
      <w:r w:rsidR="004D3C42" w:rsidRPr="00F27E5A">
        <w:t xml:space="preserve"> by Rate Design Structure</w:t>
      </w:r>
    </w:p>
    <w:tbl>
      <w:tblPr>
        <w:tblpPr w:leftFromText="187" w:rightFromText="187" w:vertAnchor="text" w:horzAnchor="page" w:tblpX="2601" w:tblpY="281"/>
        <w:tblOverlap w:val="neve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gridCol w:w="1296"/>
      </w:tblGrid>
      <w:tr w:rsidR="00F27E5A" w:rsidRPr="00F27E5A" w:rsidTr="00F73D07">
        <w:trPr>
          <w:cantSplit/>
        </w:trPr>
        <w:tc>
          <w:tcPr>
            <w:tcW w:w="4691" w:type="dxa"/>
            <w:vMerge w:val="restart"/>
            <w:vAlign w:val="bottom"/>
          </w:tcPr>
          <w:p w:rsidR="00F73D07" w:rsidRPr="00F27E5A" w:rsidRDefault="00F73D07" w:rsidP="00F73D07">
            <w:pPr>
              <w:pStyle w:val="answer"/>
              <w:keepNext/>
              <w:spacing w:before="60" w:after="60" w:line="240" w:lineRule="auto"/>
              <w:ind w:left="0"/>
              <w:jc w:val="center"/>
              <w:rPr>
                <w:b/>
              </w:rPr>
            </w:pPr>
            <w:r w:rsidRPr="00F27E5A">
              <w:rPr>
                <w:b/>
              </w:rPr>
              <w:t>Rate Design Structure</w:t>
            </w:r>
          </w:p>
        </w:tc>
        <w:tc>
          <w:tcPr>
            <w:tcW w:w="3888" w:type="dxa"/>
            <w:gridSpan w:val="3"/>
            <w:vAlign w:val="center"/>
          </w:tcPr>
          <w:p w:rsidR="00F73D07" w:rsidRPr="00F27E5A" w:rsidRDefault="00F73D07" w:rsidP="00F73D07">
            <w:pPr>
              <w:pStyle w:val="answer"/>
              <w:keepNext/>
              <w:spacing w:before="60" w:after="60" w:line="240" w:lineRule="auto"/>
              <w:ind w:left="0" w:firstLine="0"/>
              <w:jc w:val="center"/>
              <w:rPr>
                <w:b/>
              </w:rPr>
            </w:pPr>
            <w:r w:rsidRPr="00F27E5A">
              <w:rPr>
                <w:b/>
              </w:rPr>
              <w:t>Percentage of Revenues</w:t>
            </w:r>
          </w:p>
        </w:tc>
      </w:tr>
      <w:tr w:rsidR="00F27E5A" w:rsidRPr="00F27E5A" w:rsidTr="00F73D07">
        <w:trPr>
          <w:cantSplit/>
        </w:trPr>
        <w:tc>
          <w:tcPr>
            <w:tcW w:w="4691" w:type="dxa"/>
            <w:vMerge/>
            <w:vAlign w:val="center"/>
          </w:tcPr>
          <w:p w:rsidR="00F73D07" w:rsidRPr="00F27E5A" w:rsidRDefault="00F73D07" w:rsidP="00F73D07">
            <w:pPr>
              <w:pStyle w:val="answer"/>
              <w:keepNext/>
              <w:spacing w:before="60" w:after="60" w:line="240" w:lineRule="auto"/>
              <w:ind w:left="0" w:firstLine="0"/>
              <w:jc w:val="center"/>
              <w:rPr>
                <w:b/>
              </w:rPr>
            </w:pPr>
          </w:p>
        </w:tc>
        <w:tc>
          <w:tcPr>
            <w:tcW w:w="1296" w:type="dxa"/>
            <w:vAlign w:val="center"/>
          </w:tcPr>
          <w:p w:rsidR="00F73D07" w:rsidRPr="00F27E5A" w:rsidRDefault="00F73D07" w:rsidP="00F73D07">
            <w:pPr>
              <w:pStyle w:val="answer"/>
              <w:keepNext/>
              <w:spacing w:before="60" w:after="60" w:line="240" w:lineRule="auto"/>
              <w:ind w:left="0" w:firstLine="0"/>
              <w:jc w:val="center"/>
              <w:rPr>
                <w:b/>
              </w:rPr>
            </w:pPr>
            <w:r w:rsidRPr="00F27E5A">
              <w:rPr>
                <w:b/>
              </w:rPr>
              <w:t>Current</w:t>
            </w:r>
          </w:p>
        </w:tc>
        <w:tc>
          <w:tcPr>
            <w:tcW w:w="1296" w:type="dxa"/>
            <w:vAlign w:val="center"/>
          </w:tcPr>
          <w:p w:rsidR="00F73D07" w:rsidRPr="00F27E5A" w:rsidRDefault="00F73D07" w:rsidP="00F73D07">
            <w:pPr>
              <w:pStyle w:val="answer"/>
              <w:keepNext/>
              <w:spacing w:before="60" w:after="60" w:line="240" w:lineRule="auto"/>
              <w:ind w:left="0" w:firstLine="0"/>
              <w:jc w:val="center"/>
              <w:rPr>
                <w:b/>
              </w:rPr>
            </w:pPr>
            <w:r w:rsidRPr="00F27E5A">
              <w:rPr>
                <w:b/>
              </w:rPr>
              <w:t>Company Proposal</w:t>
            </w:r>
          </w:p>
        </w:tc>
        <w:tc>
          <w:tcPr>
            <w:tcW w:w="1296" w:type="dxa"/>
            <w:vAlign w:val="center"/>
          </w:tcPr>
          <w:p w:rsidR="00F73D07" w:rsidRPr="00F27E5A" w:rsidRDefault="00F73D07" w:rsidP="00F73D07">
            <w:pPr>
              <w:pStyle w:val="answer"/>
              <w:keepNext/>
              <w:spacing w:before="60" w:after="60" w:line="240" w:lineRule="auto"/>
              <w:ind w:left="0" w:firstLine="0"/>
              <w:jc w:val="center"/>
              <w:rPr>
                <w:b/>
              </w:rPr>
            </w:pPr>
            <w:r w:rsidRPr="00F27E5A">
              <w:rPr>
                <w:b/>
              </w:rPr>
              <w:t>Staff Proposal</w:t>
            </w:r>
          </w:p>
        </w:tc>
      </w:tr>
      <w:tr w:rsidR="00F27E5A" w:rsidRPr="00F27E5A" w:rsidTr="00F73D07">
        <w:trPr>
          <w:cantSplit/>
        </w:trPr>
        <w:tc>
          <w:tcPr>
            <w:tcW w:w="4691" w:type="dxa"/>
            <w:vAlign w:val="center"/>
          </w:tcPr>
          <w:p w:rsidR="00F73D07" w:rsidRPr="00F27E5A" w:rsidRDefault="00F73D07" w:rsidP="00F73D07">
            <w:pPr>
              <w:pStyle w:val="answer"/>
              <w:keepNext/>
              <w:spacing w:before="60" w:after="60" w:line="240" w:lineRule="auto"/>
              <w:ind w:left="0" w:firstLine="0"/>
            </w:pPr>
            <w:r w:rsidRPr="00F27E5A">
              <w:t>Base Charge</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5.6%</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10.9%</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7.6%</w:t>
            </w:r>
          </w:p>
        </w:tc>
      </w:tr>
      <w:tr w:rsidR="00F27E5A" w:rsidRPr="00F27E5A" w:rsidTr="00F73D07">
        <w:trPr>
          <w:cantSplit/>
        </w:trPr>
        <w:tc>
          <w:tcPr>
            <w:tcW w:w="4691" w:type="dxa"/>
            <w:vAlign w:val="center"/>
          </w:tcPr>
          <w:p w:rsidR="00F73D07" w:rsidRPr="00F27E5A" w:rsidRDefault="00F73D07" w:rsidP="00F73D07">
            <w:pPr>
              <w:pStyle w:val="answer"/>
              <w:keepNext/>
              <w:spacing w:before="60" w:after="60" w:line="240" w:lineRule="auto"/>
              <w:ind w:left="0" w:firstLine="0"/>
            </w:pPr>
            <w:r w:rsidRPr="00F27E5A">
              <w:t>First Block</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30.3%</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28.6%</w:t>
            </w:r>
          </w:p>
        </w:tc>
        <w:tc>
          <w:tcPr>
            <w:tcW w:w="1296" w:type="dxa"/>
            <w:vAlign w:val="center"/>
          </w:tcPr>
          <w:p w:rsidR="00F73D07" w:rsidRPr="00F27E5A" w:rsidRDefault="00992006" w:rsidP="00992006">
            <w:pPr>
              <w:pStyle w:val="answer"/>
              <w:keepNext/>
              <w:spacing w:before="60" w:after="60" w:line="240" w:lineRule="auto"/>
              <w:ind w:left="0" w:firstLine="0"/>
              <w:jc w:val="center"/>
            </w:pPr>
            <w:r>
              <w:t>39</w:t>
            </w:r>
            <w:r w:rsidR="00C032D7" w:rsidRPr="00F27E5A">
              <w:t>.</w:t>
            </w:r>
            <w:r>
              <w:t>9</w:t>
            </w:r>
            <w:r w:rsidR="00F73D07" w:rsidRPr="00F27E5A">
              <w:t>%</w:t>
            </w:r>
          </w:p>
        </w:tc>
      </w:tr>
      <w:tr w:rsidR="00F27E5A" w:rsidRPr="00F27E5A" w:rsidTr="00F73D07">
        <w:trPr>
          <w:cantSplit/>
        </w:trPr>
        <w:tc>
          <w:tcPr>
            <w:tcW w:w="4691" w:type="dxa"/>
            <w:vAlign w:val="center"/>
          </w:tcPr>
          <w:p w:rsidR="00F73D07" w:rsidRPr="00F27E5A" w:rsidRDefault="00F73D07" w:rsidP="00F73D07">
            <w:pPr>
              <w:pStyle w:val="answer"/>
              <w:keepNext/>
              <w:spacing w:before="60" w:after="60" w:line="240" w:lineRule="auto"/>
              <w:ind w:left="0" w:firstLine="0"/>
              <w:rPr>
                <w:b/>
                <w:i/>
              </w:rPr>
            </w:pPr>
            <w:r w:rsidRPr="00F27E5A">
              <w:rPr>
                <w:b/>
                <w:i/>
              </w:rPr>
              <w:t>Sub-Total</w:t>
            </w:r>
          </w:p>
        </w:tc>
        <w:tc>
          <w:tcPr>
            <w:tcW w:w="1296" w:type="dxa"/>
            <w:vAlign w:val="center"/>
          </w:tcPr>
          <w:p w:rsidR="00F73D07" w:rsidRPr="00F27E5A" w:rsidRDefault="00F73D07" w:rsidP="00F73D07">
            <w:pPr>
              <w:pStyle w:val="answer"/>
              <w:keepNext/>
              <w:spacing w:before="60" w:after="60" w:line="240" w:lineRule="auto"/>
              <w:ind w:left="0" w:firstLine="0"/>
              <w:jc w:val="center"/>
              <w:rPr>
                <w:b/>
                <w:i/>
              </w:rPr>
            </w:pPr>
            <w:r w:rsidRPr="00F27E5A">
              <w:rPr>
                <w:b/>
                <w:i/>
              </w:rPr>
              <w:t>35.9%</w:t>
            </w:r>
          </w:p>
        </w:tc>
        <w:tc>
          <w:tcPr>
            <w:tcW w:w="1296" w:type="dxa"/>
            <w:vAlign w:val="center"/>
          </w:tcPr>
          <w:p w:rsidR="00F73D07" w:rsidRPr="00F27E5A" w:rsidRDefault="00F73D07" w:rsidP="00F73D07">
            <w:pPr>
              <w:pStyle w:val="answer"/>
              <w:keepNext/>
              <w:spacing w:before="60" w:after="60" w:line="240" w:lineRule="auto"/>
              <w:ind w:left="0" w:firstLine="0"/>
              <w:jc w:val="center"/>
              <w:rPr>
                <w:b/>
                <w:i/>
              </w:rPr>
            </w:pPr>
            <w:r w:rsidRPr="00F27E5A">
              <w:rPr>
                <w:b/>
                <w:i/>
              </w:rPr>
              <w:t>39.6%</w:t>
            </w:r>
          </w:p>
        </w:tc>
        <w:tc>
          <w:tcPr>
            <w:tcW w:w="1296" w:type="dxa"/>
            <w:vAlign w:val="center"/>
          </w:tcPr>
          <w:p w:rsidR="00F73D07" w:rsidRPr="00F27E5A" w:rsidRDefault="00C032D7" w:rsidP="00992006">
            <w:pPr>
              <w:pStyle w:val="answer"/>
              <w:keepNext/>
              <w:spacing w:before="60" w:after="60" w:line="240" w:lineRule="auto"/>
              <w:ind w:left="0" w:firstLine="0"/>
              <w:jc w:val="center"/>
              <w:rPr>
                <w:b/>
                <w:i/>
              </w:rPr>
            </w:pPr>
            <w:r w:rsidRPr="00F27E5A">
              <w:rPr>
                <w:b/>
                <w:i/>
              </w:rPr>
              <w:t>4</w:t>
            </w:r>
            <w:r w:rsidR="00992006">
              <w:rPr>
                <w:b/>
                <w:i/>
              </w:rPr>
              <w:t>7</w:t>
            </w:r>
            <w:r w:rsidRPr="00F27E5A">
              <w:rPr>
                <w:b/>
                <w:i/>
              </w:rPr>
              <w:t>.</w:t>
            </w:r>
            <w:r w:rsidR="00992006">
              <w:rPr>
                <w:b/>
                <w:i/>
              </w:rPr>
              <w:t>5</w:t>
            </w:r>
            <w:r w:rsidR="00F73D07" w:rsidRPr="00F27E5A">
              <w:rPr>
                <w:b/>
                <w:i/>
              </w:rPr>
              <w:t>%</w:t>
            </w:r>
          </w:p>
        </w:tc>
      </w:tr>
      <w:tr w:rsidR="00F27E5A" w:rsidRPr="00F27E5A" w:rsidTr="00F73D07">
        <w:trPr>
          <w:cantSplit/>
        </w:trPr>
        <w:tc>
          <w:tcPr>
            <w:tcW w:w="8579" w:type="dxa"/>
            <w:gridSpan w:val="4"/>
            <w:vAlign w:val="center"/>
          </w:tcPr>
          <w:p w:rsidR="00F73D07" w:rsidRPr="00F27E5A" w:rsidRDefault="00F73D07" w:rsidP="00F73D07">
            <w:pPr>
              <w:pStyle w:val="answer"/>
              <w:keepNext/>
              <w:spacing w:before="60" w:after="60" w:line="240" w:lineRule="auto"/>
              <w:ind w:left="0" w:firstLine="0"/>
              <w:jc w:val="center"/>
            </w:pPr>
          </w:p>
        </w:tc>
      </w:tr>
      <w:tr w:rsidR="00F27E5A" w:rsidRPr="00F27E5A" w:rsidTr="00F73D07">
        <w:trPr>
          <w:cantSplit/>
        </w:trPr>
        <w:tc>
          <w:tcPr>
            <w:tcW w:w="4691" w:type="dxa"/>
            <w:vAlign w:val="center"/>
          </w:tcPr>
          <w:p w:rsidR="00F73D07" w:rsidRPr="00F27E5A" w:rsidRDefault="00F73D07" w:rsidP="00F73D07">
            <w:pPr>
              <w:pStyle w:val="answer"/>
              <w:keepNext/>
              <w:spacing w:before="60" w:after="60" w:line="240" w:lineRule="auto"/>
              <w:ind w:left="0" w:firstLine="0"/>
            </w:pPr>
            <w:r w:rsidRPr="00F27E5A">
              <w:t>Second Block</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40.5%</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42.5%</w:t>
            </w:r>
          </w:p>
        </w:tc>
        <w:tc>
          <w:tcPr>
            <w:tcW w:w="1296" w:type="dxa"/>
            <w:vAlign w:val="center"/>
          </w:tcPr>
          <w:p w:rsidR="00F73D07" w:rsidRPr="00F27E5A" w:rsidRDefault="00723D13" w:rsidP="00992006">
            <w:pPr>
              <w:pStyle w:val="answer"/>
              <w:keepNext/>
              <w:spacing w:before="60" w:after="60" w:line="240" w:lineRule="auto"/>
              <w:ind w:left="0" w:firstLine="0"/>
              <w:jc w:val="center"/>
            </w:pPr>
            <w:r>
              <w:t>27</w:t>
            </w:r>
            <w:r w:rsidR="00992006">
              <w:t>.6</w:t>
            </w:r>
            <w:r w:rsidR="00F73D07" w:rsidRPr="00F27E5A">
              <w:t>%</w:t>
            </w:r>
          </w:p>
        </w:tc>
      </w:tr>
      <w:tr w:rsidR="00F27E5A" w:rsidRPr="00F27E5A" w:rsidTr="00F73D07">
        <w:trPr>
          <w:cantSplit/>
        </w:trPr>
        <w:tc>
          <w:tcPr>
            <w:tcW w:w="4691" w:type="dxa"/>
            <w:vAlign w:val="center"/>
          </w:tcPr>
          <w:p w:rsidR="00F73D07" w:rsidRPr="00F27E5A" w:rsidRDefault="00F73D07" w:rsidP="003B69A5">
            <w:pPr>
              <w:pStyle w:val="answer"/>
              <w:keepNext/>
              <w:spacing w:before="60" w:after="60" w:line="240" w:lineRule="auto"/>
              <w:ind w:left="0" w:firstLine="0"/>
            </w:pPr>
            <w:r w:rsidRPr="00F27E5A">
              <w:t>Third Block</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23.6%</w:t>
            </w:r>
          </w:p>
        </w:tc>
        <w:tc>
          <w:tcPr>
            <w:tcW w:w="1296" w:type="dxa"/>
            <w:vAlign w:val="center"/>
          </w:tcPr>
          <w:p w:rsidR="00F73D07" w:rsidRPr="00F27E5A" w:rsidRDefault="00F73D07" w:rsidP="00F73D07">
            <w:pPr>
              <w:pStyle w:val="answer"/>
              <w:keepNext/>
              <w:spacing w:before="60" w:after="60" w:line="240" w:lineRule="auto"/>
              <w:ind w:left="0" w:firstLine="0"/>
              <w:jc w:val="center"/>
            </w:pPr>
            <w:r w:rsidRPr="00F27E5A">
              <w:t>17.9%</w:t>
            </w:r>
          </w:p>
        </w:tc>
        <w:tc>
          <w:tcPr>
            <w:tcW w:w="1296" w:type="dxa"/>
            <w:vAlign w:val="center"/>
          </w:tcPr>
          <w:p w:rsidR="00F73D07" w:rsidRPr="00F27E5A" w:rsidRDefault="00992006" w:rsidP="00992006">
            <w:pPr>
              <w:pStyle w:val="answer"/>
              <w:keepNext/>
              <w:spacing w:before="60" w:after="60" w:line="240" w:lineRule="auto"/>
              <w:ind w:left="0" w:firstLine="0"/>
              <w:jc w:val="center"/>
            </w:pPr>
            <w:r>
              <w:t>24</w:t>
            </w:r>
            <w:r w:rsidR="00723D13">
              <w:t>.</w:t>
            </w:r>
            <w:r>
              <w:t>9</w:t>
            </w:r>
            <w:r w:rsidR="00F73D07" w:rsidRPr="00F27E5A">
              <w:t>%</w:t>
            </w:r>
          </w:p>
        </w:tc>
      </w:tr>
      <w:tr w:rsidR="00F27E5A" w:rsidRPr="00F27E5A" w:rsidTr="00F73D07">
        <w:trPr>
          <w:cantSplit/>
        </w:trPr>
        <w:tc>
          <w:tcPr>
            <w:tcW w:w="4691" w:type="dxa"/>
            <w:vAlign w:val="center"/>
          </w:tcPr>
          <w:p w:rsidR="00F73D07" w:rsidRPr="00F27E5A" w:rsidRDefault="00F73D07" w:rsidP="00F73D07">
            <w:pPr>
              <w:pStyle w:val="answer"/>
              <w:keepNext/>
              <w:spacing w:before="60" w:after="60" w:line="240" w:lineRule="auto"/>
              <w:ind w:left="0" w:firstLine="0"/>
              <w:rPr>
                <w:b/>
                <w:i/>
              </w:rPr>
            </w:pPr>
            <w:r w:rsidRPr="00F27E5A">
              <w:rPr>
                <w:b/>
                <w:i/>
              </w:rPr>
              <w:t>Sub-Total</w:t>
            </w:r>
          </w:p>
        </w:tc>
        <w:tc>
          <w:tcPr>
            <w:tcW w:w="1296" w:type="dxa"/>
            <w:vAlign w:val="center"/>
          </w:tcPr>
          <w:p w:rsidR="00F73D07" w:rsidRPr="00F27E5A" w:rsidRDefault="00F73D07" w:rsidP="00F73D07">
            <w:pPr>
              <w:pStyle w:val="answer"/>
              <w:keepNext/>
              <w:spacing w:before="60" w:after="60" w:line="240" w:lineRule="auto"/>
              <w:ind w:left="0" w:firstLine="0"/>
              <w:jc w:val="center"/>
              <w:rPr>
                <w:b/>
                <w:i/>
              </w:rPr>
            </w:pPr>
            <w:r w:rsidRPr="00F27E5A">
              <w:rPr>
                <w:b/>
                <w:i/>
              </w:rPr>
              <w:t>64.1%</w:t>
            </w:r>
          </w:p>
        </w:tc>
        <w:tc>
          <w:tcPr>
            <w:tcW w:w="1296" w:type="dxa"/>
            <w:vAlign w:val="center"/>
          </w:tcPr>
          <w:p w:rsidR="00F73D07" w:rsidRPr="00F27E5A" w:rsidRDefault="00F73D07" w:rsidP="00F73D07">
            <w:pPr>
              <w:pStyle w:val="answer"/>
              <w:keepNext/>
              <w:spacing w:before="60" w:after="60" w:line="240" w:lineRule="auto"/>
              <w:ind w:left="0" w:firstLine="0"/>
              <w:jc w:val="center"/>
              <w:rPr>
                <w:b/>
                <w:i/>
              </w:rPr>
            </w:pPr>
            <w:r w:rsidRPr="00F27E5A">
              <w:rPr>
                <w:b/>
                <w:i/>
              </w:rPr>
              <w:t>60.4%</w:t>
            </w:r>
          </w:p>
        </w:tc>
        <w:tc>
          <w:tcPr>
            <w:tcW w:w="1296" w:type="dxa"/>
            <w:vAlign w:val="center"/>
          </w:tcPr>
          <w:p w:rsidR="00F73D07" w:rsidRPr="00F27E5A" w:rsidRDefault="00C032D7" w:rsidP="00992006">
            <w:pPr>
              <w:pStyle w:val="answer"/>
              <w:keepNext/>
              <w:spacing w:before="60" w:after="60" w:line="240" w:lineRule="auto"/>
              <w:ind w:left="0" w:firstLine="0"/>
              <w:jc w:val="center"/>
              <w:rPr>
                <w:b/>
                <w:i/>
              </w:rPr>
            </w:pPr>
            <w:r w:rsidRPr="00F27E5A">
              <w:rPr>
                <w:b/>
                <w:i/>
              </w:rPr>
              <w:t>5</w:t>
            </w:r>
            <w:r w:rsidR="00992006">
              <w:rPr>
                <w:b/>
                <w:i/>
              </w:rPr>
              <w:t>2.</w:t>
            </w:r>
            <w:r w:rsidRPr="00F27E5A">
              <w:rPr>
                <w:b/>
                <w:i/>
              </w:rPr>
              <w:t>5</w:t>
            </w:r>
            <w:r w:rsidR="00F73D07" w:rsidRPr="00F27E5A">
              <w:rPr>
                <w:b/>
                <w:i/>
              </w:rPr>
              <w:t>%</w:t>
            </w:r>
          </w:p>
        </w:tc>
      </w:tr>
      <w:tr w:rsidR="00F27E5A" w:rsidRPr="00F27E5A" w:rsidTr="00F73D07">
        <w:trPr>
          <w:cantSplit/>
        </w:trPr>
        <w:tc>
          <w:tcPr>
            <w:tcW w:w="8579" w:type="dxa"/>
            <w:gridSpan w:val="4"/>
            <w:vAlign w:val="center"/>
          </w:tcPr>
          <w:p w:rsidR="00F73D07" w:rsidRPr="00F27E5A" w:rsidRDefault="00F73D07" w:rsidP="00F73D07">
            <w:pPr>
              <w:pStyle w:val="answer"/>
              <w:keepNext/>
              <w:spacing w:before="60" w:after="60" w:line="240" w:lineRule="auto"/>
              <w:ind w:left="0" w:firstLine="0"/>
              <w:jc w:val="center"/>
            </w:pPr>
          </w:p>
        </w:tc>
      </w:tr>
      <w:tr w:rsidR="00F27E5A" w:rsidRPr="00F27E5A" w:rsidTr="00F73D07">
        <w:trPr>
          <w:cantSplit/>
        </w:trPr>
        <w:tc>
          <w:tcPr>
            <w:tcW w:w="4691" w:type="dxa"/>
            <w:vAlign w:val="center"/>
          </w:tcPr>
          <w:p w:rsidR="00F73D07" w:rsidRPr="00F27E5A" w:rsidRDefault="00F73D07" w:rsidP="00F73D07">
            <w:pPr>
              <w:pStyle w:val="answer"/>
              <w:keepNext/>
              <w:spacing w:before="60" w:after="60" w:line="240" w:lineRule="auto"/>
              <w:ind w:left="0" w:firstLine="0"/>
              <w:rPr>
                <w:b/>
                <w:i/>
              </w:rPr>
            </w:pPr>
            <w:r w:rsidRPr="00F27E5A">
              <w:rPr>
                <w:b/>
                <w:i/>
              </w:rPr>
              <w:t>Grand Total</w:t>
            </w:r>
          </w:p>
        </w:tc>
        <w:tc>
          <w:tcPr>
            <w:tcW w:w="1296" w:type="dxa"/>
            <w:vAlign w:val="center"/>
          </w:tcPr>
          <w:p w:rsidR="00F73D07" w:rsidRPr="00F27E5A" w:rsidRDefault="00F73D07" w:rsidP="00F73D07">
            <w:pPr>
              <w:pStyle w:val="answer"/>
              <w:keepNext/>
              <w:spacing w:before="60" w:after="60" w:line="240" w:lineRule="auto"/>
              <w:ind w:left="0" w:firstLine="0"/>
              <w:jc w:val="center"/>
              <w:rPr>
                <w:b/>
                <w:i/>
              </w:rPr>
            </w:pPr>
            <w:r w:rsidRPr="00F27E5A">
              <w:rPr>
                <w:b/>
                <w:i/>
              </w:rPr>
              <w:t>100.0%</w:t>
            </w:r>
          </w:p>
        </w:tc>
        <w:tc>
          <w:tcPr>
            <w:tcW w:w="1296" w:type="dxa"/>
            <w:vAlign w:val="center"/>
          </w:tcPr>
          <w:p w:rsidR="00F73D07" w:rsidRPr="00F27E5A" w:rsidRDefault="00F73D07" w:rsidP="00F73D07">
            <w:pPr>
              <w:pStyle w:val="answer"/>
              <w:keepNext/>
              <w:spacing w:before="60" w:after="60" w:line="240" w:lineRule="auto"/>
              <w:ind w:left="0" w:firstLine="0"/>
              <w:jc w:val="center"/>
              <w:rPr>
                <w:b/>
                <w:i/>
              </w:rPr>
            </w:pPr>
            <w:r w:rsidRPr="00F27E5A">
              <w:rPr>
                <w:b/>
                <w:i/>
              </w:rPr>
              <w:t>100.0%</w:t>
            </w:r>
          </w:p>
        </w:tc>
        <w:tc>
          <w:tcPr>
            <w:tcW w:w="1296" w:type="dxa"/>
            <w:vAlign w:val="center"/>
          </w:tcPr>
          <w:p w:rsidR="00F73D07" w:rsidRPr="00F27E5A" w:rsidRDefault="00F73D07" w:rsidP="00F73D07">
            <w:pPr>
              <w:pStyle w:val="answer"/>
              <w:keepNext/>
              <w:spacing w:before="60" w:after="60" w:line="240" w:lineRule="auto"/>
              <w:ind w:left="0" w:firstLine="0"/>
              <w:jc w:val="center"/>
              <w:rPr>
                <w:b/>
                <w:i/>
              </w:rPr>
            </w:pPr>
            <w:r w:rsidRPr="00F27E5A">
              <w:rPr>
                <w:b/>
                <w:i/>
              </w:rPr>
              <w:t>100.0%</w:t>
            </w:r>
          </w:p>
        </w:tc>
      </w:tr>
    </w:tbl>
    <w:p w:rsidR="00F73D07" w:rsidRPr="00F27E5A" w:rsidRDefault="00F73D07" w:rsidP="00CE30EB">
      <w:pPr>
        <w:pStyle w:val="Answer-Testimony"/>
        <w:jc w:val="center"/>
      </w:pPr>
    </w:p>
    <w:p w:rsidR="00F73D07" w:rsidRPr="00A56D46" w:rsidRDefault="00F73D07" w:rsidP="00CE30EB">
      <w:pPr>
        <w:pStyle w:val="Answer-Testimony"/>
        <w:jc w:val="center"/>
        <w:rPr>
          <w:color w:val="FFFFFF" w:themeColor="background1"/>
        </w:rPr>
      </w:pPr>
    </w:p>
    <w:p w:rsidR="00F73D07" w:rsidRPr="00A56D46" w:rsidRDefault="00F73D07" w:rsidP="00CE30EB">
      <w:pPr>
        <w:pStyle w:val="Answer-Testimony"/>
        <w:jc w:val="center"/>
        <w:rPr>
          <w:color w:val="FFFFFF" w:themeColor="background1"/>
        </w:rPr>
      </w:pPr>
    </w:p>
    <w:p w:rsidR="00F73D07" w:rsidRPr="00A56D46" w:rsidRDefault="00F73D07" w:rsidP="00CE30EB">
      <w:pPr>
        <w:pStyle w:val="Answer-Testimony"/>
        <w:jc w:val="center"/>
        <w:rPr>
          <w:color w:val="FFFFFF" w:themeColor="background1"/>
        </w:rPr>
      </w:pPr>
    </w:p>
    <w:p w:rsidR="00F73D07" w:rsidRPr="00A56D46" w:rsidRDefault="00F73D07" w:rsidP="00CE30EB">
      <w:pPr>
        <w:pStyle w:val="Answer-Testimony"/>
        <w:jc w:val="center"/>
        <w:rPr>
          <w:color w:val="FFFFFF" w:themeColor="background1"/>
        </w:rPr>
      </w:pPr>
    </w:p>
    <w:p w:rsidR="00F73D07" w:rsidRPr="00A56D46" w:rsidRDefault="00F73D07" w:rsidP="00CE30EB">
      <w:pPr>
        <w:pStyle w:val="Answer-Testimony"/>
        <w:jc w:val="center"/>
        <w:rPr>
          <w:color w:val="FFFFFF" w:themeColor="background1"/>
        </w:rPr>
      </w:pPr>
    </w:p>
    <w:p w:rsidR="00F73D07" w:rsidRPr="00A56D46" w:rsidRDefault="00F73D07" w:rsidP="00CE30EB">
      <w:pPr>
        <w:pStyle w:val="Answer-Testimony"/>
        <w:jc w:val="center"/>
        <w:rPr>
          <w:color w:val="FFFFFF" w:themeColor="background1"/>
        </w:rPr>
      </w:pPr>
    </w:p>
    <w:p w:rsidR="0022334C" w:rsidRPr="00A56D46" w:rsidRDefault="0022334C" w:rsidP="00CE30EB">
      <w:pPr>
        <w:pStyle w:val="Answer-Testimony"/>
        <w:jc w:val="center"/>
        <w:rPr>
          <w:color w:val="FFFFFF" w:themeColor="background1"/>
        </w:rPr>
      </w:pPr>
    </w:p>
    <w:p w:rsidR="0022334C" w:rsidRPr="00A56D46" w:rsidRDefault="0022334C" w:rsidP="00CE30EB">
      <w:pPr>
        <w:pStyle w:val="Answer-Testimony"/>
        <w:jc w:val="center"/>
        <w:rPr>
          <w:color w:val="FFFFFF" w:themeColor="background1"/>
        </w:rPr>
      </w:pPr>
    </w:p>
    <w:p w:rsidR="0022334C" w:rsidRPr="00A56D46" w:rsidRDefault="0022334C" w:rsidP="00CE30EB">
      <w:pPr>
        <w:pStyle w:val="Answer-Testimony"/>
        <w:jc w:val="center"/>
        <w:rPr>
          <w:color w:val="FFFFFF" w:themeColor="background1"/>
        </w:rPr>
      </w:pPr>
    </w:p>
    <w:p w:rsidR="00CE30EB" w:rsidRPr="00A56D46" w:rsidRDefault="00CE30EB" w:rsidP="00545CF5">
      <w:pPr>
        <w:pStyle w:val="Answer-Testimony"/>
        <w:rPr>
          <w:color w:val="FFFFFF" w:themeColor="background1"/>
        </w:rPr>
      </w:pPr>
      <w:r w:rsidRPr="00A56D46">
        <w:rPr>
          <w:color w:val="FFFFFF" w:themeColor="background1"/>
        </w:rPr>
        <w:t>R</w:t>
      </w:r>
    </w:p>
    <w:p w:rsidR="008A14BC" w:rsidRPr="00F27E5A" w:rsidRDefault="008A14BC" w:rsidP="008A14BC">
      <w:pPr>
        <w:pStyle w:val="Question-Testimony"/>
      </w:pPr>
      <w:r w:rsidRPr="00F27E5A">
        <w:t>Q.</w:t>
      </w:r>
      <w:r w:rsidRPr="00F27E5A">
        <w:tab/>
        <w:t xml:space="preserve">Please explain </w:t>
      </w:r>
      <w:r w:rsidR="00AF1145" w:rsidRPr="00F27E5A">
        <w:t xml:space="preserve">how Staff’s proposed rate design </w:t>
      </w:r>
      <w:r w:rsidR="009C0295" w:rsidRPr="00F27E5A">
        <w:t xml:space="preserve">for the Residential Schedules </w:t>
      </w:r>
      <w:r w:rsidRPr="00F27E5A">
        <w:t>provid</w:t>
      </w:r>
      <w:r w:rsidR="00AF1145" w:rsidRPr="00F27E5A">
        <w:t>es</w:t>
      </w:r>
      <w:r w:rsidRPr="00F27E5A">
        <w:t xml:space="preserve"> proper price signals.</w:t>
      </w:r>
    </w:p>
    <w:p w:rsidR="008A14BC" w:rsidRPr="00F27E5A" w:rsidRDefault="008A14BC" w:rsidP="008A14BC">
      <w:pPr>
        <w:pStyle w:val="Answer-Testimony"/>
      </w:pPr>
      <w:r w:rsidRPr="00F27E5A">
        <w:t>A.</w:t>
      </w:r>
      <w:r w:rsidRPr="00F27E5A">
        <w:tab/>
      </w:r>
      <w:r w:rsidR="00654EF6" w:rsidRPr="00F27E5A">
        <w:t>When appropriately applied,</w:t>
      </w:r>
      <w:r w:rsidR="002951A8" w:rsidRPr="00F27E5A">
        <w:t xml:space="preserve"> a potential rate adjustment of </w:t>
      </w:r>
      <w:r w:rsidR="00393872" w:rsidRPr="00F27E5A">
        <w:t>substantial</w:t>
      </w:r>
      <w:r w:rsidR="002951A8" w:rsidRPr="00F27E5A">
        <w:t xml:space="preserve"> magnitude </w:t>
      </w:r>
      <w:r w:rsidRPr="00F27E5A">
        <w:t>is beneficial to promote proper price signals</w:t>
      </w:r>
      <w:r w:rsidR="00654EF6" w:rsidRPr="00F27E5A">
        <w:t xml:space="preserve">.  This </w:t>
      </w:r>
      <w:r w:rsidR="00735360" w:rsidRPr="00F27E5A">
        <w:t xml:space="preserve">delivers a clear message about the </w:t>
      </w:r>
      <w:r w:rsidR="00654EF6" w:rsidRPr="00F27E5A">
        <w:t xml:space="preserve">benefit </w:t>
      </w:r>
      <w:r w:rsidR="00735360" w:rsidRPr="00F27E5A">
        <w:t xml:space="preserve">of taking an action, </w:t>
      </w:r>
      <w:r w:rsidR="00654EF6" w:rsidRPr="00F27E5A">
        <w:t xml:space="preserve">and the cost of </w:t>
      </w:r>
      <w:r w:rsidR="00735360" w:rsidRPr="00F27E5A">
        <w:t>not taking an action.  “Price” is one of the classic “Four P’s” of marketing – Product, Price, Place, and Promotion</w:t>
      </w:r>
      <w:r w:rsidR="00654EF6" w:rsidRPr="00F27E5A">
        <w:t>.</w:t>
      </w:r>
      <w:r w:rsidR="009C0295" w:rsidRPr="00F27E5A">
        <w:rPr>
          <w:rStyle w:val="FootnoteReference"/>
        </w:rPr>
        <w:footnoteReference w:id="38"/>
      </w:r>
      <w:r w:rsidR="00654EF6" w:rsidRPr="00F27E5A">
        <w:t xml:space="preserve">  T</w:t>
      </w:r>
      <w:r w:rsidR="00735360" w:rsidRPr="00F27E5A">
        <w:t xml:space="preserve">herefore, price signals offer </w:t>
      </w:r>
      <w:r w:rsidR="00654EF6" w:rsidRPr="00F27E5A">
        <w:t xml:space="preserve">the avenue </w:t>
      </w:r>
      <w:r w:rsidR="00735360" w:rsidRPr="00F27E5A">
        <w:t xml:space="preserve">for utilities to communicate to their customers the </w:t>
      </w:r>
      <w:r w:rsidR="00654EF6" w:rsidRPr="00F27E5A">
        <w:t xml:space="preserve">true </w:t>
      </w:r>
      <w:r w:rsidR="00735360" w:rsidRPr="00F27E5A">
        <w:t xml:space="preserve">cost of </w:t>
      </w:r>
      <w:r w:rsidR="00654EF6" w:rsidRPr="00F27E5A">
        <w:t>power</w:t>
      </w:r>
      <w:r w:rsidR="00735360" w:rsidRPr="00F27E5A">
        <w:t xml:space="preserve"> </w:t>
      </w:r>
      <w:r w:rsidR="00654EF6" w:rsidRPr="00F27E5A">
        <w:t xml:space="preserve">and </w:t>
      </w:r>
      <w:r w:rsidR="00735360" w:rsidRPr="00F27E5A">
        <w:t>also to provide them with an appropriate incentive to change their energy consumption in a manner that can both lower their power bill and lower the utility’s costs of providing service.</w:t>
      </w:r>
      <w:r w:rsidR="006C328D" w:rsidRPr="00F27E5A">
        <w:t xml:space="preserve"> </w:t>
      </w:r>
      <w:r w:rsidR="00007C88" w:rsidRPr="00F27E5A">
        <w:t xml:space="preserve"> </w:t>
      </w:r>
      <w:r w:rsidRPr="00F27E5A">
        <w:t xml:space="preserve">The </w:t>
      </w:r>
      <w:r w:rsidR="00545CF5" w:rsidRPr="00F27E5A">
        <w:t>primary</w:t>
      </w:r>
      <w:r w:rsidRPr="00F27E5A">
        <w:t xml:space="preserve"> reason Staff is promoting these </w:t>
      </w:r>
      <w:r w:rsidRPr="00F27E5A">
        <w:lastRenderedPageBreak/>
        <w:t xml:space="preserve">price signals </w:t>
      </w:r>
      <w:r w:rsidR="000367EB" w:rsidRPr="00F27E5A">
        <w:t xml:space="preserve">is </w:t>
      </w:r>
      <w:r w:rsidRPr="00F27E5A">
        <w:t>to</w:t>
      </w:r>
      <w:r w:rsidR="000367EB" w:rsidRPr="00F27E5A">
        <w:t xml:space="preserve"> </w:t>
      </w:r>
      <w:r w:rsidRPr="00F27E5A">
        <w:t>discourag</w:t>
      </w:r>
      <w:r w:rsidR="00545CF5" w:rsidRPr="00F27E5A">
        <w:t>e</w:t>
      </w:r>
      <w:r w:rsidRPr="00F27E5A">
        <w:t xml:space="preserve"> wasteful use while promoting justified use, which </w:t>
      </w:r>
      <w:r w:rsidR="000367EB" w:rsidRPr="00F27E5A">
        <w:t>is an</w:t>
      </w:r>
      <w:r w:rsidR="00043512" w:rsidRPr="00F27E5A">
        <w:t>other</w:t>
      </w:r>
      <w:r w:rsidRPr="00F27E5A">
        <w:t xml:space="preserve"> attribute of a sound rate structure.</w:t>
      </w:r>
      <w:r w:rsidRPr="00F27E5A">
        <w:rPr>
          <w:rStyle w:val="FootnoteReference"/>
        </w:rPr>
        <w:footnoteReference w:id="39"/>
      </w:r>
    </w:p>
    <w:p w:rsidR="00391D78" w:rsidRPr="00F27E5A" w:rsidRDefault="00391D78" w:rsidP="00391D78">
      <w:pPr>
        <w:pStyle w:val="Answer-Testimony"/>
        <w:ind w:firstLine="720"/>
      </w:pPr>
      <w:r w:rsidRPr="00F27E5A">
        <w:t>Recogniz</w:t>
      </w:r>
      <w:r w:rsidR="00730BE0" w:rsidRPr="00F27E5A">
        <w:t xml:space="preserve">ing </w:t>
      </w:r>
      <w:r w:rsidRPr="00F27E5A">
        <w:t xml:space="preserve">that </w:t>
      </w:r>
      <w:r w:rsidR="00730BE0" w:rsidRPr="00F27E5A">
        <w:t xml:space="preserve">the </w:t>
      </w:r>
      <w:r w:rsidRPr="00F27E5A">
        <w:t>upper-block usage is characterized by high seasonality</w:t>
      </w:r>
      <w:r w:rsidR="00C245F3" w:rsidRPr="00F27E5A">
        <w:t>,</w:t>
      </w:r>
      <w:r w:rsidRPr="00F27E5A">
        <w:rPr>
          <w:rStyle w:val="FootnoteReference"/>
        </w:rPr>
        <w:footnoteReference w:id="40"/>
      </w:r>
      <w:r w:rsidRPr="00F27E5A">
        <w:t xml:space="preserve"> </w:t>
      </w:r>
      <w:r w:rsidR="000367EB" w:rsidRPr="00F27E5A">
        <w:t xml:space="preserve">with </w:t>
      </w:r>
      <w:r w:rsidRPr="00F27E5A">
        <w:t xml:space="preserve">usage </w:t>
      </w:r>
      <w:r w:rsidR="000367EB" w:rsidRPr="00F27E5A">
        <w:t xml:space="preserve">highly </w:t>
      </w:r>
      <w:r w:rsidRPr="00F27E5A">
        <w:t>concentrated during the peak hours</w:t>
      </w:r>
      <w:r w:rsidR="00C245F3" w:rsidRPr="00F27E5A">
        <w:t>,</w:t>
      </w:r>
      <w:r w:rsidR="00B14A70" w:rsidRPr="00F27E5A">
        <w:rPr>
          <w:rStyle w:val="FootnoteReference"/>
        </w:rPr>
        <w:footnoteReference w:id="41"/>
      </w:r>
      <w:r w:rsidRPr="00F27E5A">
        <w:t xml:space="preserve"> and low load-factor end-uses, </w:t>
      </w:r>
      <w:r w:rsidR="000367EB" w:rsidRPr="00F27E5A">
        <w:t>it is important to make high-use prices reflect the higher expenses related to serving high-use customers.</w:t>
      </w:r>
      <w:r w:rsidRPr="00F27E5A">
        <w:t xml:space="preserve">  Therefore, a steeply inverted third block rate properly collect</w:t>
      </w:r>
      <w:r w:rsidR="003B5571" w:rsidRPr="00F27E5A">
        <w:t>s</w:t>
      </w:r>
      <w:r w:rsidRPr="00F27E5A">
        <w:t xml:space="preserve"> the appropriate costs from these expensive end uses.  The</w:t>
      </w:r>
      <w:r w:rsidR="000367EB" w:rsidRPr="00F27E5A">
        <w:t xml:space="preserve"> high tail-block rates </w:t>
      </w:r>
      <w:r w:rsidRPr="00F27E5A">
        <w:t>also serve to encourage energy efficiency and energy manageme</w:t>
      </w:r>
      <w:r w:rsidR="003B5571" w:rsidRPr="00F27E5A">
        <w:t>nt practices by consumers, while allowing the Company to focus its conservation programs on discretionary, or excessive, energy use.</w:t>
      </w:r>
    </w:p>
    <w:p w:rsidR="00D85147" w:rsidRPr="00F27E5A" w:rsidRDefault="00D85147" w:rsidP="00D85147">
      <w:pPr>
        <w:pStyle w:val="Answer-Testimony"/>
      </w:pPr>
    </w:p>
    <w:p w:rsidR="00D85147" w:rsidRPr="00F27E5A" w:rsidRDefault="00D85147" w:rsidP="00BD36B5">
      <w:pPr>
        <w:pStyle w:val="Heading3"/>
        <w:ind w:left="1440"/>
      </w:pPr>
      <w:bookmarkStart w:id="15" w:name="_Toc359312051"/>
      <w:r w:rsidRPr="00F27E5A">
        <w:t>Non-Residential Schedules</w:t>
      </w:r>
      <w:bookmarkEnd w:id="15"/>
    </w:p>
    <w:p w:rsidR="00D85147" w:rsidRPr="00F27E5A" w:rsidRDefault="00D85147" w:rsidP="008A14BC">
      <w:pPr>
        <w:pStyle w:val="Answer-Testimony"/>
        <w:ind w:left="0" w:firstLine="0"/>
      </w:pPr>
    </w:p>
    <w:p w:rsidR="008A14BC" w:rsidRPr="00F27E5A" w:rsidRDefault="008A14BC" w:rsidP="008A14BC">
      <w:pPr>
        <w:pStyle w:val="Question-Testimony"/>
      </w:pPr>
      <w:r w:rsidRPr="00F27E5A">
        <w:t>Q.</w:t>
      </w:r>
      <w:r w:rsidRPr="00F27E5A">
        <w:tab/>
      </w:r>
      <w:r w:rsidR="00AF1145" w:rsidRPr="00F27E5A">
        <w:t xml:space="preserve">Does Staff have </w:t>
      </w:r>
      <w:r w:rsidRPr="00F27E5A">
        <w:t>any recommend</w:t>
      </w:r>
      <w:r w:rsidR="00AF1145" w:rsidRPr="00F27E5A">
        <w:t>ations regarding</w:t>
      </w:r>
      <w:r w:rsidR="003B69A5" w:rsidRPr="00F27E5A">
        <w:t xml:space="preserve"> </w:t>
      </w:r>
      <w:r w:rsidR="00AF1145" w:rsidRPr="00F27E5A">
        <w:t>rate design</w:t>
      </w:r>
      <w:r w:rsidR="00D85147" w:rsidRPr="00F27E5A">
        <w:t xml:space="preserve"> for non-residential schedules</w:t>
      </w:r>
      <w:r w:rsidRPr="00F27E5A">
        <w:t>?</w:t>
      </w:r>
    </w:p>
    <w:p w:rsidR="008A14BC" w:rsidRPr="00F27E5A" w:rsidRDefault="008A14BC" w:rsidP="008A14BC">
      <w:pPr>
        <w:pStyle w:val="Answer-Testimony"/>
      </w:pPr>
      <w:r w:rsidRPr="00F27E5A">
        <w:t>A.</w:t>
      </w:r>
      <w:r w:rsidRPr="00F27E5A">
        <w:tab/>
        <w:t>Yes.  Staff recommends the Commission direct the Company to examine its v</w:t>
      </w:r>
      <w:r w:rsidR="00B83A0B" w:rsidRPr="00F27E5A">
        <w:t>olumetric blocks in Schedules 24</w:t>
      </w:r>
      <w:r w:rsidR="00865430" w:rsidRPr="00F27E5A">
        <w:t xml:space="preserve"> and</w:t>
      </w:r>
      <w:r w:rsidR="00B83A0B" w:rsidRPr="00F27E5A">
        <w:t xml:space="preserve"> 36</w:t>
      </w:r>
      <w:r w:rsidR="00AF1145" w:rsidRPr="00F27E5A">
        <w:t>, and demonstrate</w:t>
      </w:r>
      <w:r w:rsidR="007D33DF" w:rsidRPr="00F27E5A">
        <w:t xml:space="preserve"> in its next GRC</w:t>
      </w:r>
      <w:r w:rsidR="00AF1145" w:rsidRPr="00F27E5A">
        <w:t xml:space="preserve"> whether or not those rate blocks</w:t>
      </w:r>
      <w:r w:rsidRPr="00F27E5A">
        <w:t xml:space="preserve"> are valid and convey the appropriate price signals.</w:t>
      </w:r>
    </w:p>
    <w:p w:rsidR="008A14BC" w:rsidRPr="00F27E5A" w:rsidRDefault="008A14BC" w:rsidP="008966A8">
      <w:pPr>
        <w:pStyle w:val="Answer-Testimony"/>
      </w:pPr>
    </w:p>
    <w:p w:rsidR="008A14BC" w:rsidRPr="00F27E5A" w:rsidRDefault="008A14BC" w:rsidP="008A14BC">
      <w:pPr>
        <w:pStyle w:val="Question-Testimony"/>
      </w:pPr>
      <w:r w:rsidRPr="00F27E5A">
        <w:t>Q.</w:t>
      </w:r>
      <w:r w:rsidRPr="00F27E5A">
        <w:tab/>
        <w:t>What is the basis for this recommendation?</w:t>
      </w:r>
    </w:p>
    <w:p w:rsidR="00AF1145" w:rsidRPr="00F27E5A" w:rsidRDefault="008A14BC" w:rsidP="008A14BC">
      <w:pPr>
        <w:pStyle w:val="Answer-Testimony"/>
      </w:pPr>
      <w:r w:rsidRPr="00F27E5A">
        <w:t>A.</w:t>
      </w:r>
      <w:r w:rsidRPr="00F27E5A">
        <w:tab/>
      </w:r>
      <w:r w:rsidR="00B935E0">
        <w:t xml:space="preserve">The </w:t>
      </w:r>
      <w:r w:rsidRPr="00F27E5A">
        <w:t>Company</w:t>
      </w:r>
      <w:r w:rsidR="00B935E0">
        <w:t>’s</w:t>
      </w:r>
      <w:r w:rsidRPr="00F27E5A">
        <w:t xml:space="preserve"> data show</w:t>
      </w:r>
      <w:r w:rsidR="00B935E0">
        <w:t>s</w:t>
      </w:r>
      <w:r w:rsidRPr="00F27E5A">
        <w:t xml:space="preserve"> the following statistics:</w:t>
      </w:r>
      <w:r w:rsidR="006C328D" w:rsidRPr="00F27E5A">
        <w:t xml:space="preserve"> </w:t>
      </w:r>
      <w:r w:rsidRPr="00F27E5A">
        <w:t xml:space="preserve"> (1) </w:t>
      </w:r>
      <w:r w:rsidR="00183A08" w:rsidRPr="00F27E5A">
        <w:t xml:space="preserve">For Schedule </w:t>
      </w:r>
      <w:r w:rsidR="00B63814" w:rsidRPr="00F27E5A">
        <w:t>24</w:t>
      </w:r>
      <w:r w:rsidR="00183A08" w:rsidRPr="00F27E5A">
        <w:t xml:space="preserve">, </w:t>
      </w:r>
      <w:r w:rsidRPr="00F27E5A">
        <w:t xml:space="preserve">at least </w:t>
      </w:r>
      <w:r w:rsidR="00865430" w:rsidRPr="00F27E5A">
        <w:t>92</w:t>
      </w:r>
      <w:r w:rsidRPr="00F27E5A">
        <w:t>.</w:t>
      </w:r>
      <w:r w:rsidR="00865430" w:rsidRPr="00F27E5A">
        <w:t>8</w:t>
      </w:r>
      <w:r w:rsidRPr="00F27E5A">
        <w:t xml:space="preserve"> percent of all </w:t>
      </w:r>
      <w:r w:rsidR="007D33DF" w:rsidRPr="00F27E5A">
        <w:t xml:space="preserve">kWh units sold </w:t>
      </w:r>
      <w:r w:rsidRPr="00F27E5A">
        <w:t>with volume</w:t>
      </w:r>
      <w:r w:rsidR="006C328D" w:rsidRPr="00F27E5A">
        <w:t>s</w:t>
      </w:r>
      <w:r w:rsidRPr="00F27E5A">
        <w:t xml:space="preserve"> of </w:t>
      </w:r>
      <w:r w:rsidR="00865430" w:rsidRPr="00F27E5A">
        <w:t>9</w:t>
      </w:r>
      <w:r w:rsidRPr="00F27E5A">
        <w:t>,</w:t>
      </w:r>
      <w:r w:rsidR="00865430" w:rsidRPr="00F27E5A">
        <w:t>0</w:t>
      </w:r>
      <w:r w:rsidRPr="00F27E5A">
        <w:t xml:space="preserve">00 kWh or less are below the </w:t>
      </w:r>
      <w:r w:rsidR="00865430" w:rsidRPr="00F27E5A">
        <w:lastRenderedPageBreak/>
        <w:t xml:space="preserve">second </w:t>
      </w:r>
      <w:r w:rsidRPr="00F27E5A">
        <w:t xml:space="preserve">block of </w:t>
      </w:r>
      <w:r w:rsidR="00865430" w:rsidRPr="00F27E5A">
        <w:t>9</w:t>
      </w:r>
      <w:r w:rsidRPr="00F27E5A">
        <w:t>,</w:t>
      </w:r>
      <w:r w:rsidR="00865430" w:rsidRPr="00F27E5A">
        <w:t>00</w:t>
      </w:r>
      <w:r w:rsidRPr="00F27E5A">
        <w:t>0 kWh</w:t>
      </w:r>
      <w:r w:rsidR="00511A7E" w:rsidRPr="00F27E5A">
        <w:t>;</w:t>
      </w:r>
      <w:r w:rsidRPr="00F27E5A">
        <w:rPr>
          <w:rStyle w:val="FootnoteReference"/>
        </w:rPr>
        <w:footnoteReference w:id="42"/>
      </w:r>
      <w:r w:rsidRPr="00F27E5A">
        <w:t xml:space="preserve"> </w:t>
      </w:r>
      <w:r w:rsidR="00865430" w:rsidRPr="00F27E5A">
        <w:t xml:space="preserve">and </w:t>
      </w:r>
      <w:r w:rsidRPr="00F27E5A">
        <w:t xml:space="preserve">(2) </w:t>
      </w:r>
      <w:r w:rsidR="00183A08" w:rsidRPr="00F27E5A">
        <w:t xml:space="preserve">For Schedule </w:t>
      </w:r>
      <w:r w:rsidR="00865430" w:rsidRPr="00F27E5A">
        <w:t>36</w:t>
      </w:r>
      <w:r w:rsidR="00183A08" w:rsidRPr="00F27E5A">
        <w:t xml:space="preserve">, </w:t>
      </w:r>
      <w:r w:rsidR="00865430" w:rsidRPr="00F27E5A">
        <w:t>at least 59</w:t>
      </w:r>
      <w:r w:rsidRPr="00F27E5A">
        <w:t>.</w:t>
      </w:r>
      <w:r w:rsidR="00865430" w:rsidRPr="00F27E5A">
        <w:t>1</w:t>
      </w:r>
      <w:r w:rsidRPr="00F27E5A">
        <w:t xml:space="preserve"> percent of all </w:t>
      </w:r>
      <w:r w:rsidR="007D33DF" w:rsidRPr="00F27E5A">
        <w:t xml:space="preserve">kWh units sold </w:t>
      </w:r>
      <w:r w:rsidRPr="00F27E5A">
        <w:t>with volume</w:t>
      </w:r>
      <w:r w:rsidR="00AF1145" w:rsidRPr="00F27E5A">
        <w:t>s</w:t>
      </w:r>
      <w:r w:rsidRPr="00F27E5A">
        <w:t xml:space="preserve"> of </w:t>
      </w:r>
      <w:r w:rsidR="00865430" w:rsidRPr="00F27E5A">
        <w:t>40</w:t>
      </w:r>
      <w:r w:rsidRPr="00F27E5A">
        <w:t xml:space="preserve">,000 kWh or </w:t>
      </w:r>
      <w:r w:rsidR="00865430" w:rsidRPr="00F27E5A">
        <w:t>greater</w:t>
      </w:r>
      <w:r w:rsidRPr="00F27E5A">
        <w:t xml:space="preserve"> are </w:t>
      </w:r>
      <w:r w:rsidR="00865430" w:rsidRPr="00F27E5A">
        <w:t>above</w:t>
      </w:r>
      <w:r w:rsidRPr="00F27E5A">
        <w:t xml:space="preserve"> the first block of </w:t>
      </w:r>
      <w:r w:rsidR="00865430" w:rsidRPr="00F27E5A">
        <w:t>4</w:t>
      </w:r>
      <w:r w:rsidRPr="00F27E5A">
        <w:t>0,000 kWh</w:t>
      </w:r>
      <w:r w:rsidR="00865430" w:rsidRPr="00F27E5A">
        <w:t>.</w:t>
      </w:r>
      <w:r w:rsidRPr="00F27E5A">
        <w:rPr>
          <w:rStyle w:val="FootnoteReference"/>
        </w:rPr>
        <w:footnoteReference w:id="43"/>
      </w:r>
    </w:p>
    <w:p w:rsidR="008A14BC" w:rsidRPr="00F27E5A" w:rsidRDefault="007D33DF" w:rsidP="00AF1145">
      <w:pPr>
        <w:pStyle w:val="Answer-Testimony"/>
        <w:ind w:firstLine="720"/>
      </w:pPr>
      <w:r w:rsidRPr="00F27E5A">
        <w:t>Overall, w</w:t>
      </w:r>
      <w:r w:rsidR="00AF1145" w:rsidRPr="00F27E5A">
        <w:t xml:space="preserve">hen </w:t>
      </w:r>
      <w:r w:rsidR="0081428B" w:rsidRPr="00F27E5A">
        <w:t>the majority of the customers</w:t>
      </w:r>
      <w:r w:rsidRPr="00F27E5A">
        <w:t>’ usage</w:t>
      </w:r>
      <w:r w:rsidR="0081428B" w:rsidRPr="00F27E5A">
        <w:t xml:space="preserve"> </w:t>
      </w:r>
      <w:r w:rsidR="00AF1145" w:rsidRPr="00F27E5A">
        <w:t>in a rate s</w:t>
      </w:r>
      <w:r w:rsidR="0081428B" w:rsidRPr="00F27E5A">
        <w:t xml:space="preserve">chedule </w:t>
      </w:r>
      <w:r w:rsidR="00976405" w:rsidRPr="00F27E5A">
        <w:t>fall</w:t>
      </w:r>
      <w:r w:rsidR="0081428B" w:rsidRPr="00F27E5A">
        <w:t xml:space="preserve"> </w:t>
      </w:r>
      <w:r w:rsidR="00AF1145" w:rsidRPr="00F27E5A">
        <w:t xml:space="preserve">either above or </w:t>
      </w:r>
      <w:r w:rsidR="0081428B" w:rsidRPr="00F27E5A">
        <w:t xml:space="preserve">below the </w:t>
      </w:r>
      <w:r w:rsidR="00AF1145" w:rsidRPr="00F27E5A">
        <w:t xml:space="preserve">first block, it is </w:t>
      </w:r>
      <w:r w:rsidRPr="00F27E5A">
        <w:t xml:space="preserve">likely </w:t>
      </w:r>
      <w:r w:rsidR="003B69A5" w:rsidRPr="00F27E5A">
        <w:t xml:space="preserve">that </w:t>
      </w:r>
      <w:r w:rsidR="0081428B" w:rsidRPr="00F27E5A">
        <w:t xml:space="preserve">the appropriate </w:t>
      </w:r>
      <w:r w:rsidRPr="00F27E5A">
        <w:t xml:space="preserve">and </w:t>
      </w:r>
      <w:r w:rsidR="0081428B" w:rsidRPr="00F27E5A">
        <w:t>proper price signals are not being reflected.</w:t>
      </w:r>
    </w:p>
    <w:p w:rsidR="00DE4709" w:rsidRPr="00F27E5A" w:rsidRDefault="00DE4709" w:rsidP="00DE4709">
      <w:pPr>
        <w:pStyle w:val="Answer-Testimony"/>
      </w:pPr>
    </w:p>
    <w:p w:rsidR="00DE4709" w:rsidRPr="00F27E5A" w:rsidRDefault="00DE4709" w:rsidP="00BD36B5">
      <w:pPr>
        <w:pStyle w:val="Heading3"/>
        <w:ind w:left="1440"/>
      </w:pPr>
      <w:bookmarkStart w:id="16" w:name="_Toc359312052"/>
      <w:r w:rsidRPr="00F27E5A">
        <w:t>Rule 6 and Schedule 300</w:t>
      </w:r>
      <w:bookmarkEnd w:id="16"/>
    </w:p>
    <w:p w:rsidR="00DE4709" w:rsidRPr="00F27E5A" w:rsidRDefault="00DE4709" w:rsidP="00DE4709">
      <w:pPr>
        <w:pStyle w:val="Question-Testimony"/>
      </w:pPr>
    </w:p>
    <w:p w:rsidR="00DE4709" w:rsidRPr="00F27E5A" w:rsidRDefault="00DE4709" w:rsidP="00DE4709">
      <w:pPr>
        <w:pStyle w:val="Question-Testimony"/>
      </w:pPr>
      <w:r w:rsidRPr="00F27E5A">
        <w:t>Q.</w:t>
      </w:r>
      <w:r w:rsidRPr="00F27E5A">
        <w:tab/>
        <w:t>What is Staff’s position regarding the proposed revisions to Rule 6 and Schedule 300?</w:t>
      </w:r>
    </w:p>
    <w:p w:rsidR="00E00E4E" w:rsidRPr="00F27E5A" w:rsidRDefault="00DE4709" w:rsidP="00DE4709">
      <w:pPr>
        <w:pStyle w:val="Answer-Testimony"/>
      </w:pPr>
      <w:r w:rsidRPr="00F27E5A">
        <w:t>A.</w:t>
      </w:r>
      <w:r w:rsidRPr="00F27E5A">
        <w:tab/>
        <w:t>The Company’s proposed tariff changes represent fairly the costs imposed on the system by customers and align these charges with current actual costs.  However, the Company’s propose</w:t>
      </w:r>
      <w:r w:rsidR="00043512" w:rsidRPr="00F27E5A">
        <w:t>d</w:t>
      </w:r>
      <w:r w:rsidRPr="00F27E5A">
        <w:t xml:space="preserve"> charges </w:t>
      </w:r>
      <w:r w:rsidR="003B69A5" w:rsidRPr="00F27E5A">
        <w:t xml:space="preserve">call for significant increases of </w:t>
      </w:r>
      <w:r w:rsidRPr="00F27E5A">
        <w:t xml:space="preserve">at least 100 percent.  Therefore, Staff recommends a gradual increase in the current </w:t>
      </w:r>
      <w:r w:rsidR="005D0285" w:rsidRPr="00F27E5A">
        <w:t xml:space="preserve">reconnection </w:t>
      </w:r>
      <w:r w:rsidRPr="00F27E5A">
        <w:t xml:space="preserve">service charges to actual cost over this and the next couple of general rate cases.  </w:t>
      </w:r>
      <w:r w:rsidR="008B3D71" w:rsidRPr="00F27E5A">
        <w:t>As shown in my Exhibit No. ___ (CTM-2)</w:t>
      </w:r>
      <w:r w:rsidR="00C14971" w:rsidRPr="00F27E5A">
        <w:t xml:space="preserve"> at</w:t>
      </w:r>
      <w:r w:rsidR="008B3D71" w:rsidRPr="00F27E5A">
        <w:t xml:space="preserve"> </w:t>
      </w:r>
      <w:r w:rsidR="00C14971" w:rsidRPr="00F27E5A">
        <w:t xml:space="preserve">page </w:t>
      </w:r>
      <w:r w:rsidR="008B3D71" w:rsidRPr="00F27E5A">
        <w:t>3</w:t>
      </w:r>
      <w:r w:rsidR="00C14971" w:rsidRPr="00F27E5A">
        <w:t>, column G</w:t>
      </w:r>
      <w:r w:rsidR="008B3D71" w:rsidRPr="00F27E5A">
        <w:t>, t</w:t>
      </w:r>
      <w:r w:rsidRPr="00F27E5A">
        <w:t xml:space="preserve">his is accomplished by adding to the current </w:t>
      </w:r>
      <w:r w:rsidR="005D0285" w:rsidRPr="00F27E5A">
        <w:t xml:space="preserve">reconnection </w:t>
      </w:r>
      <w:r w:rsidRPr="00F27E5A">
        <w:t>service charges one-third of the difference between the current charges and actual costs,</w:t>
      </w:r>
      <w:r w:rsidR="00E00E4E" w:rsidRPr="00F27E5A">
        <w:rPr>
          <w:rStyle w:val="FootnoteReference"/>
        </w:rPr>
        <w:footnoteReference w:id="44"/>
      </w:r>
      <w:r w:rsidRPr="00F27E5A">
        <w:t xml:space="preserve"> with one exception.  That exception is the service charge for reconnection after tampering by a customer with electric facilities.  That </w:t>
      </w:r>
      <w:r w:rsidRPr="00F27E5A">
        <w:lastRenderedPageBreak/>
        <w:t xml:space="preserve">charge </w:t>
      </w:r>
      <w:r w:rsidR="00F22835" w:rsidRPr="00F27E5A">
        <w:t>is increased from $75 to</w:t>
      </w:r>
      <w:r w:rsidRPr="00F27E5A">
        <w:t xml:space="preserve"> the full actual cost </w:t>
      </w:r>
      <w:r w:rsidR="00F22835" w:rsidRPr="00F27E5A">
        <w:t xml:space="preserve">of $180 </w:t>
      </w:r>
      <w:r w:rsidRPr="00F27E5A">
        <w:t>due to the seriousness of that activity.</w:t>
      </w:r>
      <w:r w:rsidRPr="00F27E5A">
        <w:rPr>
          <w:rStyle w:val="FootnoteReference"/>
        </w:rPr>
        <w:footnoteReference w:id="45"/>
      </w:r>
    </w:p>
    <w:p w:rsidR="00DE4709" w:rsidRPr="00F27E5A" w:rsidRDefault="00DE4709" w:rsidP="00DE4709">
      <w:pPr>
        <w:pStyle w:val="Answer-Testimony"/>
      </w:pPr>
    </w:p>
    <w:p w:rsidR="00DE4709" w:rsidRPr="00F27E5A" w:rsidRDefault="00DE4709" w:rsidP="00DE4709">
      <w:pPr>
        <w:pStyle w:val="Question-Testimony"/>
      </w:pPr>
      <w:r w:rsidRPr="00F27E5A">
        <w:t>Q.</w:t>
      </w:r>
      <w:r w:rsidRPr="00F27E5A">
        <w:tab/>
        <w:t>Does Staff have any other comments regarding the Schedule 300 service charge or Rule 6?</w:t>
      </w:r>
    </w:p>
    <w:p w:rsidR="00DE4709" w:rsidRPr="00F27E5A" w:rsidRDefault="00DE4709" w:rsidP="00DE4709">
      <w:pPr>
        <w:pStyle w:val="Answer-Testimony"/>
      </w:pPr>
      <w:r w:rsidRPr="00F27E5A">
        <w:t>A.</w:t>
      </w:r>
      <w:r w:rsidRPr="00F27E5A">
        <w:tab/>
        <w:t>Yes.  The disputes between the Company and Columbia Rural Electric Association over Schedule 300 could be solved with a service area agreement</w:t>
      </w:r>
      <w:r w:rsidRPr="00F27E5A">
        <w:rPr>
          <w:rStyle w:val="FootnoteReference"/>
        </w:rPr>
        <w:footnoteReference w:id="46"/>
      </w:r>
      <w:r w:rsidRPr="00F27E5A">
        <w:t xml:space="preserve"> or through a sale and transfer of assets (assuming a selling price at or above market price and not below original cost).</w:t>
      </w:r>
    </w:p>
    <w:p w:rsidR="00693E7A" w:rsidRPr="00F27E5A" w:rsidRDefault="00DE4709" w:rsidP="00693E7A">
      <w:pPr>
        <w:pStyle w:val="Answer-Testimony"/>
        <w:ind w:firstLine="720"/>
      </w:pPr>
      <w:r w:rsidRPr="00F27E5A">
        <w:t xml:space="preserve">Moreover, the Company’s proposed changes to </w:t>
      </w:r>
      <w:r w:rsidR="000B4D19" w:rsidRPr="00F27E5A">
        <w:t xml:space="preserve">Schedule 300 and </w:t>
      </w:r>
      <w:r w:rsidRPr="00F27E5A">
        <w:t>Rule 6, Section I reduce the transparency of</w:t>
      </w:r>
      <w:r w:rsidR="00693E7A" w:rsidRPr="00F27E5A">
        <w:t xml:space="preserve"> which costs are being included and </w:t>
      </w:r>
      <w:r w:rsidRPr="00F27E5A">
        <w:t>charged to customers</w:t>
      </w:r>
      <w:r w:rsidR="00693E7A" w:rsidRPr="00F27E5A">
        <w:t xml:space="preserve">.  In addition, the Company eliminated a formal definition of “salvage.”  </w:t>
      </w:r>
      <w:r w:rsidRPr="00F27E5A">
        <w:t>Therefore, Staff proposes revisions to</w:t>
      </w:r>
      <w:r w:rsidR="00693E7A" w:rsidRPr="00F27E5A">
        <w:t xml:space="preserve"> Schedule 300 and </w:t>
      </w:r>
      <w:r w:rsidRPr="00F27E5A">
        <w:t xml:space="preserve">Rule 6 </w:t>
      </w:r>
      <w:r w:rsidR="00E6719F" w:rsidRPr="00F27E5A">
        <w:t xml:space="preserve">that </w:t>
      </w:r>
      <w:r w:rsidRPr="00F27E5A">
        <w:t xml:space="preserve">will reduce confusion.  Specifically, Staff recommends </w:t>
      </w:r>
      <w:r w:rsidR="00693E7A" w:rsidRPr="00F27E5A">
        <w:t xml:space="preserve">the Commission adopts the </w:t>
      </w:r>
      <w:r w:rsidRPr="00F27E5A">
        <w:t xml:space="preserve">language </w:t>
      </w:r>
      <w:r w:rsidR="00693E7A" w:rsidRPr="00F27E5A">
        <w:t>revisions to Schedule 300 and Rule 6 as outline</w:t>
      </w:r>
      <w:r w:rsidR="00E6719F" w:rsidRPr="00F27E5A">
        <w:t>d</w:t>
      </w:r>
      <w:r w:rsidR="00693E7A" w:rsidRPr="00F27E5A">
        <w:t xml:space="preserve"> in PacifiCorp</w:t>
      </w:r>
      <w:r w:rsidR="00E6719F" w:rsidRPr="00F27E5A">
        <w:t>’s</w:t>
      </w:r>
      <w:r w:rsidR="00693E7A" w:rsidRPr="00F27E5A">
        <w:t xml:space="preserve"> Response to Staff Data Request No. 270, which clarifies how the charge for removal will be determined, as well as provid</w:t>
      </w:r>
      <w:r w:rsidR="00F22835" w:rsidRPr="00F27E5A">
        <w:t>ing</w:t>
      </w:r>
      <w:r w:rsidR="00693E7A" w:rsidRPr="00F27E5A">
        <w:t xml:space="preserve"> a definition of “salvage value.”</w:t>
      </w:r>
      <w:r w:rsidR="00F22835" w:rsidRPr="00F27E5A">
        <w:t xml:space="preserve">  My Exhibit No. __ (CTM-7)</w:t>
      </w:r>
      <w:r w:rsidR="00F27E5A">
        <w:t xml:space="preserve"> and Exhibit No. ___ (CTM-8)</w:t>
      </w:r>
      <w:r w:rsidR="00F22835" w:rsidRPr="00F27E5A">
        <w:t xml:space="preserve"> includes the Company’s response to that data request, but with the rates that I recommend.</w:t>
      </w:r>
    </w:p>
    <w:p w:rsidR="00007C88" w:rsidRPr="00F27E5A" w:rsidRDefault="00007C88" w:rsidP="00A92D8A">
      <w:pPr>
        <w:pStyle w:val="Answer-Testimony"/>
        <w:ind w:left="0" w:firstLine="0"/>
      </w:pPr>
    </w:p>
    <w:p w:rsidR="00C3471C" w:rsidRPr="00F27E5A" w:rsidRDefault="00EB4706" w:rsidP="00920208">
      <w:pPr>
        <w:pStyle w:val="Question-Testimony"/>
      </w:pPr>
      <w:r w:rsidRPr="00F27E5A">
        <w:t>Q.</w:t>
      </w:r>
      <w:r w:rsidRPr="00F27E5A">
        <w:tab/>
      </w:r>
      <w:r w:rsidR="00C3471C" w:rsidRPr="00F27E5A">
        <w:t>Does this conclude your testimony?</w:t>
      </w:r>
    </w:p>
    <w:p w:rsidR="00772AB8" w:rsidRPr="00F27E5A" w:rsidRDefault="00C3471C" w:rsidP="00BD36B5">
      <w:pPr>
        <w:pStyle w:val="Answer-Testimony"/>
      </w:pPr>
      <w:r w:rsidRPr="00F27E5A">
        <w:t>A.</w:t>
      </w:r>
      <w:r w:rsidRPr="00F27E5A">
        <w:tab/>
        <w:t>Yes.</w:t>
      </w:r>
    </w:p>
    <w:sectPr w:rsidR="00772AB8" w:rsidRPr="00F27E5A"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6B" w:rsidRDefault="0064556B" w:rsidP="00C3471C">
      <w:r>
        <w:separator/>
      </w:r>
    </w:p>
    <w:p w:rsidR="0064556B" w:rsidRDefault="0064556B"/>
  </w:endnote>
  <w:endnote w:type="continuationSeparator" w:id="0">
    <w:p w:rsidR="0064556B" w:rsidRDefault="0064556B" w:rsidP="00C3471C">
      <w:r>
        <w:continuationSeparator/>
      </w:r>
    </w:p>
    <w:p w:rsidR="0064556B" w:rsidRDefault="00645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6B" w:rsidRPr="00DC40BC" w:rsidRDefault="0064556B">
    <w:pPr>
      <w:pStyle w:val="Footer"/>
      <w:rPr>
        <w:sz w:val="20"/>
        <w:szCs w:val="20"/>
      </w:rPr>
    </w:pPr>
  </w:p>
  <w:p w:rsidR="0064556B" w:rsidRPr="00DC40BC" w:rsidRDefault="0064556B">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64556B" w:rsidRPr="00DC40BC" w:rsidRDefault="0064556B"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54FDA">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6B" w:rsidRPr="00DC40BC" w:rsidRDefault="0064556B">
    <w:pPr>
      <w:pStyle w:val="Footer"/>
      <w:rPr>
        <w:sz w:val="20"/>
        <w:szCs w:val="20"/>
      </w:rPr>
    </w:pPr>
  </w:p>
  <w:p w:rsidR="0064556B" w:rsidRPr="00DC40BC" w:rsidRDefault="0064556B">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 ___</w:t>
    </w:r>
    <w:r w:rsidR="00BD36B5">
      <w:rPr>
        <w:sz w:val="20"/>
        <w:szCs w:val="20"/>
      </w:rPr>
      <w:t>T</w:t>
    </w:r>
    <w:r>
      <w:rPr>
        <w:sz w:val="20"/>
        <w:szCs w:val="20"/>
      </w:rPr>
      <w:t xml:space="preserve"> (CTM-1T)</w:t>
    </w:r>
  </w:p>
  <w:p w:rsidR="0064556B" w:rsidRPr="00A53017" w:rsidRDefault="0064556B" w:rsidP="00A53017">
    <w:pPr>
      <w:pStyle w:val="Footer"/>
      <w:rPr>
        <w:sz w:val="20"/>
        <w:szCs w:val="20"/>
        <w:lang w:val="fr-FR"/>
      </w:rPr>
    </w:pPr>
    <w:r w:rsidRPr="00DC40BC">
      <w:rPr>
        <w:sz w:val="20"/>
        <w:szCs w:val="20"/>
      </w:rPr>
      <w:t>Docket</w:t>
    </w:r>
    <w:r>
      <w:rPr>
        <w:sz w:val="20"/>
        <w:szCs w:val="20"/>
      </w:rPr>
      <w:t xml:space="preserve"> UE-130043</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1B6B4E">
      <w:rPr>
        <w:rStyle w:val="PageNumber"/>
        <w:noProof/>
        <w:sz w:val="20"/>
        <w:szCs w:val="20"/>
        <w:lang w:val="fr-FR"/>
      </w:rPr>
      <w:t>i</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6B" w:rsidRDefault="0064556B">
      <w:r>
        <w:separator/>
      </w:r>
    </w:p>
  </w:footnote>
  <w:footnote w:type="continuationSeparator" w:id="0">
    <w:p w:rsidR="0064556B" w:rsidRDefault="0064556B" w:rsidP="00C3471C">
      <w:r>
        <w:continuationSeparator/>
      </w:r>
    </w:p>
    <w:p w:rsidR="0064556B" w:rsidRDefault="0064556B"/>
  </w:footnote>
  <w:footnote w:id="1">
    <w:p w:rsidR="0064556B" w:rsidRDefault="0064556B">
      <w:pPr>
        <w:pStyle w:val="FootnoteText"/>
      </w:pPr>
      <w:r>
        <w:rPr>
          <w:rStyle w:val="FootnoteReference"/>
        </w:rPr>
        <w:footnoteRef/>
      </w:r>
      <w:r>
        <w:t xml:space="preserve"> PacifiCorp Response to Staff Data Request No. 12.</w:t>
      </w:r>
    </w:p>
  </w:footnote>
  <w:footnote w:id="2">
    <w:p w:rsidR="0064556B" w:rsidRDefault="0064556B">
      <w:pPr>
        <w:pStyle w:val="FootnoteText"/>
      </w:pPr>
      <w:r>
        <w:rPr>
          <w:rStyle w:val="FootnoteReference"/>
        </w:rPr>
        <w:footnoteRef/>
      </w:r>
      <w:r>
        <w:t xml:space="preserve"> McDougal, Exhibit No. ___ (SRM-1T) at 15:5-9.</w:t>
      </w:r>
    </w:p>
  </w:footnote>
  <w:footnote w:id="3">
    <w:p w:rsidR="0064556B" w:rsidRDefault="0064556B">
      <w:pPr>
        <w:pStyle w:val="FootnoteText"/>
      </w:pPr>
      <w:r>
        <w:rPr>
          <w:rStyle w:val="FootnoteReference"/>
        </w:rPr>
        <w:footnoteRef/>
      </w:r>
      <w:r>
        <w:t xml:space="preserve"> PacifiCorp</w:t>
      </w:r>
      <w:r w:rsidRPr="007E50F7">
        <w:t xml:space="preserve"> </w:t>
      </w:r>
      <w:r>
        <w:t>R</w:t>
      </w:r>
      <w:r w:rsidRPr="007E50F7">
        <w:t xml:space="preserve">esponse to Staff Data Request </w:t>
      </w:r>
      <w:r>
        <w:t>No. 210.</w:t>
      </w:r>
    </w:p>
  </w:footnote>
  <w:footnote w:id="4">
    <w:p w:rsidR="0064556B" w:rsidRDefault="0064556B">
      <w:pPr>
        <w:pStyle w:val="FootnoteText"/>
      </w:pPr>
      <w:r>
        <w:rPr>
          <w:rStyle w:val="FootnoteReference"/>
        </w:rPr>
        <w:footnoteRef/>
      </w:r>
      <w:r>
        <w:t xml:space="preserve"> See the following GRC dockets:  </w:t>
      </w:r>
      <w:r w:rsidRPr="00A90E5D">
        <w:t>UE-040641</w:t>
      </w:r>
      <w:r>
        <w:t>/U</w:t>
      </w:r>
      <w:r w:rsidRPr="00A90E5D">
        <w:t>G-040640,</w:t>
      </w:r>
      <w:r>
        <w:t xml:space="preserve"> UE-060266/UG-060267, UE-072300/UG-072301, UE-090704/UG-090705, and UE-111048/UG-111049</w:t>
      </w:r>
      <w:r w:rsidRPr="00A90E5D">
        <w:t>.</w:t>
      </w:r>
    </w:p>
  </w:footnote>
  <w:footnote w:id="5">
    <w:p w:rsidR="0064556B" w:rsidRDefault="0064556B" w:rsidP="00B93FB1">
      <w:pPr>
        <w:pStyle w:val="FootnoteText"/>
      </w:pPr>
      <w:r>
        <w:rPr>
          <w:rStyle w:val="FootnoteReference"/>
        </w:rPr>
        <w:footnoteRef/>
      </w:r>
      <w:r>
        <w:t xml:space="preserve"> Ste</w:t>
      </w:r>
      <w:r w:rsidRPr="00C4260E">
        <w:t>ward, Exhibit No. ___ (JRS-1T)</w:t>
      </w:r>
      <w:r>
        <w:t xml:space="preserve"> </w:t>
      </w:r>
      <w:r w:rsidRPr="00C4260E">
        <w:t>at</w:t>
      </w:r>
      <w:r>
        <w:t xml:space="preserve"> 3 versus Mickelson, Exhibit No. ___ (CTM-4) at 1.</w:t>
      </w:r>
    </w:p>
  </w:footnote>
  <w:footnote w:id="6">
    <w:p w:rsidR="0064556B" w:rsidRPr="007E50F7" w:rsidRDefault="0064556B" w:rsidP="00E11927">
      <w:pPr>
        <w:pStyle w:val="FootnoteText"/>
      </w:pPr>
      <w:r w:rsidRPr="007E50F7">
        <w:rPr>
          <w:rStyle w:val="FootnoteReference"/>
        </w:rPr>
        <w:footnoteRef/>
      </w:r>
      <w:r>
        <w:t xml:space="preserve"> Paice, </w:t>
      </w:r>
      <w:r w:rsidRPr="007E50F7">
        <w:t>Exhibit No. ___ (</w:t>
      </w:r>
      <w:r>
        <w:t xml:space="preserve">CCP-1T) at </w:t>
      </w:r>
      <w:r w:rsidRPr="007E50F7">
        <w:t>5.</w:t>
      </w:r>
    </w:p>
  </w:footnote>
  <w:footnote w:id="7">
    <w:p w:rsidR="0064556B" w:rsidRDefault="0064556B" w:rsidP="008302B4">
      <w:pPr>
        <w:pStyle w:val="FootnoteText"/>
      </w:pPr>
      <w:r w:rsidRPr="00E43078">
        <w:rPr>
          <w:rStyle w:val="FootnoteReference"/>
        </w:rPr>
        <w:footnoteRef/>
      </w:r>
      <w:r w:rsidRPr="00E43078">
        <w:t xml:space="preserve"> </w:t>
      </w:r>
      <w:r>
        <w:t xml:space="preserve">Paice, </w:t>
      </w:r>
      <w:r w:rsidRPr="007E50F7">
        <w:t>Exhibit No. ___ (</w:t>
      </w:r>
      <w:r>
        <w:t xml:space="preserve">CCP-1T) at </w:t>
      </w:r>
      <w:r w:rsidRPr="007E50F7">
        <w:t>5</w:t>
      </w:r>
      <w:r>
        <w:t>:9-14</w:t>
      </w:r>
      <w:r w:rsidRPr="007E50F7">
        <w:t>.</w:t>
      </w:r>
    </w:p>
  </w:footnote>
  <w:footnote w:id="8">
    <w:p w:rsidR="0064556B" w:rsidRDefault="0064556B" w:rsidP="00E11927">
      <w:pPr>
        <w:pStyle w:val="FootnoteText"/>
      </w:pPr>
      <w:r>
        <w:rPr>
          <w:rStyle w:val="FootnoteReference"/>
        </w:rPr>
        <w:footnoteRef/>
      </w:r>
      <w:r>
        <w:t xml:space="preserve"> </w:t>
      </w:r>
      <w:r>
        <w:rPr>
          <w:i/>
        </w:rPr>
        <w:t xml:space="preserve">WUTC </w:t>
      </w:r>
      <w:r w:rsidRPr="007E50F7">
        <w:rPr>
          <w:i/>
        </w:rPr>
        <w:t xml:space="preserve">v. </w:t>
      </w:r>
      <w:r>
        <w:rPr>
          <w:i/>
        </w:rPr>
        <w:t>Washington Natural Gas Company</w:t>
      </w:r>
      <w:r w:rsidRPr="007E50F7">
        <w:t>, Dockets U</w:t>
      </w:r>
      <w:r>
        <w:t>G</w:t>
      </w:r>
      <w:r w:rsidRPr="007E50F7">
        <w:t>-</w:t>
      </w:r>
      <w:r>
        <w:t>940034</w:t>
      </w:r>
      <w:r w:rsidRPr="007E50F7">
        <w:t xml:space="preserve"> and UG-</w:t>
      </w:r>
      <w:r>
        <w:t>940814,</w:t>
      </w:r>
      <w:r w:rsidRPr="007E50F7">
        <w:t xml:space="preserve"> </w:t>
      </w:r>
      <w:r>
        <w:t xml:space="preserve">Supplemental </w:t>
      </w:r>
      <w:r w:rsidRPr="007E50F7">
        <w:t>Order 0</w:t>
      </w:r>
      <w:r>
        <w:t>5</w:t>
      </w:r>
      <w:r w:rsidRPr="007E50F7">
        <w:t xml:space="preserve"> </w:t>
      </w:r>
      <w:r>
        <w:t>at 9</w:t>
      </w:r>
      <w:r w:rsidRPr="007E50F7">
        <w:t xml:space="preserve"> (</w:t>
      </w:r>
      <w:r>
        <w:t>April 11</w:t>
      </w:r>
      <w:r w:rsidRPr="007E50F7">
        <w:t xml:space="preserve">, </w:t>
      </w:r>
      <w:r>
        <w:t>1995).</w:t>
      </w:r>
    </w:p>
  </w:footnote>
  <w:footnote w:id="9">
    <w:p w:rsidR="0064556B" w:rsidRDefault="0064556B" w:rsidP="00E11927">
      <w:pPr>
        <w:pStyle w:val="FootnoteText"/>
      </w:pPr>
      <w:r>
        <w:rPr>
          <w:rStyle w:val="FootnoteReference"/>
        </w:rPr>
        <w:footnoteRef/>
      </w:r>
      <w:r>
        <w:t xml:space="preserve"> </w:t>
      </w:r>
      <w:r>
        <w:rPr>
          <w:i/>
        </w:rPr>
        <w:t>WUTC v. Puget Sound Power &amp; Light Company</w:t>
      </w:r>
      <w:r w:rsidRPr="007E50F7">
        <w:t>, Dockets U</w:t>
      </w:r>
      <w:r>
        <w:t>E</w:t>
      </w:r>
      <w:r w:rsidRPr="007E50F7">
        <w:t>-</w:t>
      </w:r>
      <w:r>
        <w:t>920433, UE-920499,</w:t>
      </w:r>
      <w:r w:rsidRPr="007E50F7">
        <w:t xml:space="preserve"> and U</w:t>
      </w:r>
      <w:r>
        <w:t>E</w:t>
      </w:r>
      <w:r w:rsidRPr="007E50F7">
        <w:t>-</w:t>
      </w:r>
      <w:r>
        <w:t>921262,</w:t>
      </w:r>
      <w:r w:rsidRPr="007E50F7">
        <w:t xml:space="preserve"> </w:t>
      </w:r>
      <w:r>
        <w:t xml:space="preserve">Supplemental </w:t>
      </w:r>
      <w:r w:rsidRPr="007E50F7">
        <w:t>Order 0</w:t>
      </w:r>
      <w:r>
        <w:t>9</w:t>
      </w:r>
      <w:r w:rsidRPr="007E50F7">
        <w:t xml:space="preserve"> </w:t>
      </w:r>
      <w:r>
        <w:t>at 12</w:t>
      </w:r>
      <w:r w:rsidRPr="007E50F7">
        <w:t xml:space="preserve"> (</w:t>
      </w:r>
      <w:r>
        <w:t>August 17</w:t>
      </w:r>
      <w:r w:rsidRPr="007E50F7">
        <w:t xml:space="preserve">, </w:t>
      </w:r>
      <w:r>
        <w:t>1993).</w:t>
      </w:r>
    </w:p>
  </w:footnote>
  <w:footnote w:id="10">
    <w:p w:rsidR="0064556B" w:rsidRDefault="0064556B" w:rsidP="00322BE8">
      <w:pPr>
        <w:pStyle w:val="FootnoteText"/>
      </w:pPr>
      <w:r>
        <w:rPr>
          <w:rStyle w:val="FootnoteReference"/>
        </w:rPr>
        <w:footnoteRef/>
      </w:r>
      <w:r>
        <w:t xml:space="preserve"> Duvall, Exhibit No. ___ (GND-1CT) at 37:11-13.</w:t>
      </w:r>
    </w:p>
  </w:footnote>
  <w:footnote w:id="11">
    <w:p w:rsidR="0064556B" w:rsidRPr="00104CBC" w:rsidRDefault="0064556B">
      <w:pPr>
        <w:pStyle w:val="FootnoteText"/>
      </w:pPr>
      <w:r>
        <w:rPr>
          <w:rStyle w:val="FootnoteReference"/>
        </w:rPr>
        <w:footnoteRef/>
      </w:r>
      <w:r>
        <w:t xml:space="preserve"> </w:t>
      </w:r>
      <w:r w:rsidRPr="00104CBC">
        <w:t xml:space="preserve">This issue has been raised with other companies, namely, PSE and its Schedule 95a </w:t>
      </w:r>
      <w:r>
        <w:t>in</w:t>
      </w:r>
      <w:r w:rsidRPr="00104CBC">
        <w:t xml:space="preserve"> </w:t>
      </w:r>
      <w:r>
        <w:t>D</w:t>
      </w:r>
      <w:r w:rsidRPr="00104CBC">
        <w:t>ocket UE-122001</w:t>
      </w:r>
      <w:r>
        <w:t xml:space="preserve"> regarding Treasury grants for Lower Snake River</w:t>
      </w:r>
      <w:r w:rsidRPr="00104CBC">
        <w:t xml:space="preserve">.  </w:t>
      </w:r>
      <w:r>
        <w:t xml:space="preserve">The issue </w:t>
      </w:r>
      <w:r w:rsidRPr="00104CBC">
        <w:t>has not be</w:t>
      </w:r>
      <w:r>
        <w:t>en</w:t>
      </w:r>
      <w:r w:rsidRPr="00104CBC">
        <w:t xml:space="preserve"> resolved</w:t>
      </w:r>
      <w:r>
        <w:t>, but is presented</w:t>
      </w:r>
      <w:r w:rsidRPr="00104CBC">
        <w:t xml:space="preserve"> in PSE’s current power cost only rate case</w:t>
      </w:r>
      <w:r>
        <w:t>, Docket UE-130617.</w:t>
      </w:r>
    </w:p>
  </w:footnote>
  <w:footnote w:id="12">
    <w:p w:rsidR="0064556B" w:rsidRDefault="0064556B" w:rsidP="008470B2">
      <w:pPr>
        <w:pStyle w:val="FootnoteText"/>
      </w:pPr>
      <w:r>
        <w:rPr>
          <w:rStyle w:val="FootnoteReference"/>
        </w:rPr>
        <w:footnoteRef/>
      </w:r>
      <w:r>
        <w:t xml:space="preserve"> The Situs allocation factor directly assigns amounts that can be identified with a specific state.  McDougal, Exhibit No.___ (SRM-5) at 7.</w:t>
      </w:r>
    </w:p>
    <w:p w:rsidR="0064556B" w:rsidRDefault="0064556B" w:rsidP="008470B2">
      <w:pPr>
        <w:pStyle w:val="FootnoteText"/>
      </w:pPr>
    </w:p>
  </w:footnote>
  <w:footnote w:id="13">
    <w:p w:rsidR="0064556B" w:rsidRDefault="0064556B" w:rsidP="008470B2">
      <w:pPr>
        <w:pStyle w:val="FootnoteText"/>
      </w:pPr>
      <w:r>
        <w:rPr>
          <w:rStyle w:val="FootnoteReference"/>
        </w:rPr>
        <w:footnoteRef/>
      </w:r>
      <w:r>
        <w:t xml:space="preserve"> WCA 200 CP is the base percent for the capacity component and CAEW is the base percentage for the energy component.  McDougal, Exhibit No.___ (SRM-5) at 11. </w:t>
      </w:r>
    </w:p>
  </w:footnote>
  <w:footnote w:id="14">
    <w:p w:rsidR="0064556B" w:rsidRPr="00213D7E" w:rsidRDefault="0064556B" w:rsidP="008470B2">
      <w:pPr>
        <w:pStyle w:val="FootnoteText"/>
        <w:rPr>
          <w:color w:val="FF0000"/>
        </w:rPr>
      </w:pPr>
      <w:r>
        <w:rPr>
          <w:rStyle w:val="FootnoteReference"/>
        </w:rPr>
        <w:footnoteRef/>
      </w:r>
      <w:r>
        <w:t xml:space="preserve"> PacifiCorp’s “Integrated Resource Plan,” Volume 1, April 30, 2013 at 93. </w:t>
      </w:r>
    </w:p>
  </w:footnote>
  <w:footnote w:id="15">
    <w:p w:rsidR="0064556B" w:rsidRDefault="0064556B" w:rsidP="008470B2">
      <w:pPr>
        <w:pStyle w:val="FootnoteText"/>
      </w:pPr>
      <w:r>
        <w:rPr>
          <w:rStyle w:val="FootnoteReference"/>
        </w:rPr>
        <w:footnoteRef/>
      </w:r>
      <w:r>
        <w:t xml:space="preserve"> PacifiCorp’s “Integrated Resource Plan,” Volume 1, April 30, 2013 at 93-94.</w:t>
      </w:r>
    </w:p>
  </w:footnote>
  <w:footnote w:id="16">
    <w:p w:rsidR="0064556B" w:rsidRDefault="0064556B" w:rsidP="008470B2">
      <w:pPr>
        <w:pStyle w:val="FootnoteText"/>
      </w:pPr>
      <w:r>
        <w:rPr>
          <w:rStyle w:val="FootnoteReference"/>
        </w:rPr>
        <w:footnoteRef/>
      </w:r>
      <w:r>
        <w:t xml:space="preserve"> The top 200 hours should be determined using the top hours for the WCA rather than total system.</w:t>
      </w:r>
    </w:p>
  </w:footnote>
  <w:footnote w:id="17">
    <w:p w:rsidR="0064556B" w:rsidRDefault="0064556B" w:rsidP="008470B2">
      <w:pPr>
        <w:pStyle w:val="FootnoteText"/>
      </w:pPr>
      <w:r>
        <w:rPr>
          <w:rStyle w:val="FootnoteReference"/>
        </w:rPr>
        <w:footnoteRef/>
      </w:r>
      <w:r>
        <w:t xml:space="preserve"> PacifiCorp’s “Integrated Resource Plan,” Volume 1, April 30, 2013 at 94.</w:t>
      </w:r>
    </w:p>
  </w:footnote>
  <w:footnote w:id="18">
    <w:p w:rsidR="0064556B" w:rsidRDefault="0064556B" w:rsidP="008470B2">
      <w:pPr>
        <w:pStyle w:val="FootnoteText"/>
      </w:pPr>
      <w:r>
        <w:rPr>
          <w:rStyle w:val="FootnoteReference"/>
        </w:rPr>
        <w:footnoteRef/>
      </w:r>
      <w:r>
        <w:t xml:space="preserve"> PacifiCorp’s “Integrated Resource Plan,” Volume 1, April 30, at 39.  “Since the Company has no historical data for solar resources, a similar set of calculations was performed based on simulated hourly solar profiles that use historic meteorological solar radiation data for five locations across the Company’s service territory.  The capacity credit for solar resources is 13.6 percent assuming that most installations are optimized for energy output rather than peak capacity.”</w:t>
      </w:r>
    </w:p>
  </w:footnote>
  <w:footnote w:id="19">
    <w:p w:rsidR="0064556B" w:rsidRDefault="0064556B" w:rsidP="008470B2">
      <w:pPr>
        <w:pStyle w:val="FootnoteText"/>
      </w:pPr>
      <w:r>
        <w:rPr>
          <w:rStyle w:val="FootnoteReference"/>
        </w:rPr>
        <w:footnoteRef/>
      </w:r>
      <w:r>
        <w:t xml:space="preserve"> Duvall, Exhibit No. ___ (GND-1CT) at 25:10-15.</w:t>
      </w:r>
    </w:p>
  </w:footnote>
  <w:footnote w:id="20">
    <w:p w:rsidR="0064556B" w:rsidRDefault="0064556B" w:rsidP="00C12B9F">
      <w:pPr>
        <w:pStyle w:val="FootnoteText"/>
      </w:pPr>
      <w:r>
        <w:rPr>
          <w:rStyle w:val="FootnoteReference"/>
        </w:rPr>
        <w:footnoteRef/>
      </w:r>
      <w:r>
        <w:t xml:space="preserve"> PacifiCorp Response to Staff Data Request No. 12.</w:t>
      </w:r>
    </w:p>
  </w:footnote>
  <w:footnote w:id="21">
    <w:p w:rsidR="0064556B" w:rsidRPr="007E50F7" w:rsidRDefault="0064556B" w:rsidP="00FE5FD1">
      <w:pPr>
        <w:pStyle w:val="FootnoteText"/>
      </w:pPr>
      <w:r w:rsidRPr="007E50F7">
        <w:rPr>
          <w:rStyle w:val="FootnoteReference"/>
        </w:rPr>
        <w:footnoteRef/>
      </w:r>
      <w:r w:rsidRPr="007E50F7">
        <w:t xml:space="preserve"> </w:t>
      </w:r>
      <w:r>
        <w:rPr>
          <w:i/>
        </w:rPr>
        <w:t xml:space="preserve">WUTC </w:t>
      </w:r>
      <w:r w:rsidRPr="007E50F7">
        <w:rPr>
          <w:i/>
        </w:rPr>
        <w:t>v. Puget Sound Energy, Inc.</w:t>
      </w:r>
      <w:r w:rsidRPr="007E50F7">
        <w:t xml:space="preserve">, Dockets UE-111048 and UG-111049, Order 08 </w:t>
      </w:r>
      <w:r>
        <w:t>at ¶350 (May 7, 2012).</w:t>
      </w:r>
    </w:p>
  </w:footnote>
  <w:footnote w:id="22">
    <w:p w:rsidR="0064556B" w:rsidRPr="007E50F7" w:rsidRDefault="0064556B" w:rsidP="00283D84">
      <w:pPr>
        <w:pStyle w:val="FootnoteText"/>
      </w:pPr>
      <w:r w:rsidRPr="007E50F7">
        <w:rPr>
          <w:rStyle w:val="FootnoteReference"/>
        </w:rPr>
        <w:footnoteRef/>
      </w:r>
      <w:r w:rsidRPr="007E50F7">
        <w:t xml:space="preserve"> In essence, customer-related costs reflect the minimum amount of equipment and service needed for customers to access the electric grid.  </w:t>
      </w:r>
    </w:p>
  </w:footnote>
  <w:footnote w:id="23">
    <w:p w:rsidR="0064556B" w:rsidRDefault="0064556B">
      <w:pPr>
        <w:pStyle w:val="FootnoteText"/>
      </w:pPr>
      <w:r>
        <w:rPr>
          <w:rStyle w:val="FootnoteReference"/>
        </w:rPr>
        <w:footnoteRef/>
      </w:r>
      <w:r>
        <w:t xml:space="preserve"> Paice, Exhibit No. ___ (CCP-3).</w:t>
      </w:r>
    </w:p>
  </w:footnote>
  <w:footnote w:id="24">
    <w:p w:rsidR="0064556B" w:rsidRPr="007E50F7" w:rsidRDefault="0064556B" w:rsidP="000E1111">
      <w:pPr>
        <w:pStyle w:val="FootnoteText"/>
      </w:pPr>
      <w:r w:rsidRPr="007E50F7">
        <w:rPr>
          <w:rStyle w:val="FootnoteReference"/>
        </w:rPr>
        <w:footnoteRef/>
      </w:r>
      <w:r w:rsidRPr="007E50F7">
        <w:t xml:space="preserve"> Marry Blake, </w:t>
      </w:r>
      <w:r w:rsidRPr="0060229C">
        <w:rPr>
          <w:i/>
        </w:rPr>
        <w:t>Creating the Right Retail Rate Environment for Energy Conservation and Energy Efficiency</w:t>
      </w:r>
      <w:r w:rsidRPr="007E50F7">
        <w:t xml:space="preserve">, </w:t>
      </w:r>
      <w:r w:rsidRPr="0060229C">
        <w:t>Management Quarterly</w:t>
      </w:r>
      <w:r w:rsidRPr="007E50F7">
        <w:rPr>
          <w:i/>
        </w:rPr>
        <w:t xml:space="preserve">, </w:t>
      </w:r>
      <w:r>
        <w:t xml:space="preserve">Dec. </w:t>
      </w:r>
      <w:r w:rsidRPr="007E50F7">
        <w:t xml:space="preserve">2009, </w:t>
      </w:r>
      <w:r>
        <w:t>at</w:t>
      </w:r>
      <w:r w:rsidRPr="007E50F7">
        <w:t xml:space="preserve"> 6.</w:t>
      </w:r>
    </w:p>
  </w:footnote>
  <w:footnote w:id="25">
    <w:p w:rsidR="0064556B" w:rsidRPr="007E50F7" w:rsidRDefault="0064556B" w:rsidP="00495799">
      <w:pPr>
        <w:pStyle w:val="FootnoteText"/>
      </w:pPr>
      <w:r w:rsidRPr="007E50F7">
        <w:rPr>
          <w:rStyle w:val="FootnoteReference"/>
        </w:rPr>
        <w:footnoteRef/>
      </w:r>
      <w:r w:rsidRPr="007E50F7">
        <w:t xml:space="preserve"> </w:t>
      </w:r>
      <w:r w:rsidRPr="009426FE">
        <w:rPr>
          <w:i/>
        </w:rPr>
        <w:t>Id</w:t>
      </w:r>
      <w:r w:rsidRPr="007E50F7">
        <w:t>.</w:t>
      </w:r>
    </w:p>
  </w:footnote>
  <w:footnote w:id="26">
    <w:p w:rsidR="0064556B" w:rsidRDefault="0064556B">
      <w:pPr>
        <w:pStyle w:val="FootnoteText"/>
      </w:pPr>
      <w:r>
        <w:rPr>
          <w:rStyle w:val="FootnoteReference"/>
        </w:rPr>
        <w:footnoteRef/>
      </w:r>
      <w:r>
        <w:t xml:space="preserve"> PacifiCorp</w:t>
      </w:r>
      <w:r w:rsidRPr="007E50F7">
        <w:t xml:space="preserve"> </w:t>
      </w:r>
      <w:r>
        <w:t>R</w:t>
      </w:r>
      <w:r w:rsidRPr="007E50F7">
        <w:t xml:space="preserve">esponse to </w:t>
      </w:r>
      <w:r>
        <w:t>Energy Project</w:t>
      </w:r>
      <w:r w:rsidRPr="007E50F7">
        <w:t xml:space="preserve"> Data Request</w:t>
      </w:r>
      <w:r>
        <w:t xml:space="preserve"> No.</w:t>
      </w:r>
      <w:r w:rsidRPr="007E50F7">
        <w:t xml:space="preserve"> </w:t>
      </w:r>
      <w:r>
        <w:t>4.</w:t>
      </w:r>
    </w:p>
  </w:footnote>
  <w:footnote w:id="27">
    <w:p w:rsidR="0064556B" w:rsidRPr="007E50F7" w:rsidRDefault="0064556B" w:rsidP="00495799">
      <w:pPr>
        <w:pStyle w:val="FootnoteText"/>
      </w:pPr>
      <w:r w:rsidRPr="007E50F7">
        <w:rPr>
          <w:rStyle w:val="FootnoteReference"/>
        </w:rPr>
        <w:footnoteRef/>
      </w:r>
      <w:r w:rsidRPr="007E50F7">
        <w:t xml:space="preserve"> </w:t>
      </w:r>
      <w:r>
        <w:t>PacifiCorp R</w:t>
      </w:r>
      <w:r w:rsidRPr="007E50F7">
        <w:t>e</w:t>
      </w:r>
      <w:r>
        <w:t>sponse to Energy Project Data Request No. 5</w:t>
      </w:r>
      <w:r w:rsidRPr="007E50F7">
        <w:t>.</w:t>
      </w:r>
    </w:p>
  </w:footnote>
  <w:footnote w:id="28">
    <w:p w:rsidR="0064556B" w:rsidRPr="007E50F7" w:rsidRDefault="0064556B" w:rsidP="00495799">
      <w:pPr>
        <w:pStyle w:val="FootnoteText"/>
      </w:pPr>
      <w:r w:rsidRPr="007E50F7">
        <w:rPr>
          <w:rStyle w:val="FootnoteReference"/>
        </w:rPr>
        <w:footnoteRef/>
      </w:r>
      <w:r w:rsidRPr="007E50F7">
        <w:t xml:space="preserve"> </w:t>
      </w:r>
      <w:r>
        <w:rPr>
          <w:i/>
        </w:rPr>
        <w:t xml:space="preserve">WUTC </w:t>
      </w:r>
      <w:r w:rsidRPr="007E50F7">
        <w:rPr>
          <w:i/>
        </w:rPr>
        <w:t>v. Puget Sound Energy, Inc.</w:t>
      </w:r>
      <w:r w:rsidRPr="007E50F7">
        <w:t>, Dockets UE-060266 and UG-060267, Order 08</w:t>
      </w:r>
      <w:r>
        <w:t xml:space="preserve"> at ¶139</w:t>
      </w:r>
      <w:r w:rsidRPr="007E50F7">
        <w:t xml:space="preserve"> (January 5, 2007).</w:t>
      </w:r>
    </w:p>
  </w:footnote>
  <w:footnote w:id="29">
    <w:p w:rsidR="0064556B" w:rsidRPr="007E50F7" w:rsidRDefault="0064556B" w:rsidP="00495799">
      <w:pPr>
        <w:pStyle w:val="FootnoteText"/>
      </w:pPr>
      <w:r w:rsidRPr="007E50F7">
        <w:rPr>
          <w:rStyle w:val="FootnoteReference"/>
        </w:rPr>
        <w:footnoteRef/>
      </w:r>
      <w:r w:rsidRPr="007E50F7">
        <w:t xml:space="preserve"> Percentage is based on total customer and distribution demand costs.</w:t>
      </w:r>
    </w:p>
  </w:footnote>
  <w:footnote w:id="30">
    <w:p w:rsidR="0064556B" w:rsidRPr="00755A31" w:rsidRDefault="0064556B" w:rsidP="00116A80">
      <w:pPr>
        <w:pStyle w:val="FootnoteText"/>
      </w:pPr>
      <w:r w:rsidRPr="007E50F7">
        <w:rPr>
          <w:rStyle w:val="FootnoteReference"/>
        </w:rPr>
        <w:footnoteRef/>
      </w:r>
      <w:r w:rsidRPr="007E50F7">
        <w:t xml:space="preserve"> John M. Levy, </w:t>
      </w:r>
      <w:r w:rsidRPr="007E50F7">
        <w:rPr>
          <w:i/>
        </w:rPr>
        <w:t>Essential Microeconomics for Public Policy Analysis</w:t>
      </w:r>
      <w:r>
        <w:t xml:space="preserve"> 38 (1995).</w:t>
      </w:r>
    </w:p>
  </w:footnote>
  <w:footnote w:id="31">
    <w:p w:rsidR="0064556B" w:rsidRPr="00755A31" w:rsidRDefault="0064556B" w:rsidP="00736967">
      <w:pPr>
        <w:pStyle w:val="FootnoteText"/>
      </w:pPr>
      <w:r w:rsidRPr="00755A31">
        <w:rPr>
          <w:rStyle w:val="FootnoteReference"/>
        </w:rPr>
        <w:footnoteRef/>
      </w:r>
      <w:r w:rsidRPr="00755A31">
        <w:t xml:space="preserve"> </w:t>
      </w:r>
      <w:r>
        <w:t xml:space="preserve">Mickelson, </w:t>
      </w:r>
      <w:r w:rsidRPr="00755A31">
        <w:t>Exhibit No.___ (CTM-5) at 16:6.</w:t>
      </w:r>
    </w:p>
  </w:footnote>
  <w:footnote w:id="32">
    <w:p w:rsidR="0064556B" w:rsidRPr="007E50F7" w:rsidRDefault="0064556B" w:rsidP="00B000BA">
      <w:pPr>
        <w:pStyle w:val="FootnoteText"/>
      </w:pPr>
      <w:r w:rsidRPr="00755A31">
        <w:rPr>
          <w:rStyle w:val="FootnoteReference"/>
        </w:rPr>
        <w:footnoteRef/>
      </w:r>
      <w:r w:rsidRPr="00755A31">
        <w:t xml:space="preserve"> </w:t>
      </w:r>
      <w:r>
        <w:t xml:space="preserve">Mickelson, </w:t>
      </w:r>
      <w:r w:rsidRPr="00755A31">
        <w:t>Exhibit No.___ (CTM-5) at 16:11.</w:t>
      </w:r>
    </w:p>
  </w:footnote>
  <w:footnote w:id="33">
    <w:p w:rsidR="0064556B" w:rsidRPr="00065323" w:rsidRDefault="0064556B" w:rsidP="00271E5E">
      <w:pPr>
        <w:pStyle w:val="FootnoteText"/>
      </w:pPr>
      <w:r w:rsidRPr="00065323">
        <w:rPr>
          <w:rStyle w:val="FootnoteReference"/>
        </w:rPr>
        <w:footnoteRef/>
      </w:r>
      <w:r w:rsidRPr="00065323">
        <w:t xml:space="preserve"> Both Avista</w:t>
      </w:r>
      <w:r>
        <w:t xml:space="preserve"> </w:t>
      </w:r>
      <w:r w:rsidRPr="00065323">
        <w:t>and PSE have an average residential customer usage of approximately 1,000 kWh.</w:t>
      </w:r>
    </w:p>
  </w:footnote>
  <w:footnote w:id="34">
    <w:p w:rsidR="0064556B" w:rsidRPr="007E50F7" w:rsidRDefault="0064556B" w:rsidP="00C24207">
      <w:pPr>
        <w:pStyle w:val="FootnoteText"/>
      </w:pPr>
      <w:r w:rsidRPr="00065323">
        <w:rPr>
          <w:rStyle w:val="FootnoteReference"/>
        </w:rPr>
        <w:footnoteRef/>
      </w:r>
      <w:r w:rsidRPr="00065323">
        <w:t xml:space="preserve"> PacifiCorp</w:t>
      </w:r>
      <w:r>
        <w:t xml:space="preserve"> R</w:t>
      </w:r>
      <w:r w:rsidRPr="00065323">
        <w:t>esponse to Staff Data Request No. 263.</w:t>
      </w:r>
    </w:p>
  </w:footnote>
  <w:footnote w:id="35">
    <w:p w:rsidR="0064556B" w:rsidRPr="007E50F7" w:rsidRDefault="0064556B">
      <w:pPr>
        <w:pStyle w:val="FootnoteText"/>
      </w:pPr>
      <w:r w:rsidRPr="007E50F7">
        <w:rPr>
          <w:rStyle w:val="FootnoteReference"/>
        </w:rPr>
        <w:footnoteRef/>
      </w:r>
      <w:r>
        <w:t>Steward, Exhibit No. ___ (JRS-1T)</w:t>
      </w:r>
      <w:r w:rsidRPr="00C4260E">
        <w:t xml:space="preserve"> at 5:14-15.</w:t>
      </w:r>
      <w:r>
        <w:t xml:space="preserve"> </w:t>
      </w:r>
    </w:p>
  </w:footnote>
  <w:footnote w:id="36">
    <w:p w:rsidR="0064556B" w:rsidRPr="000410D9" w:rsidRDefault="0064556B" w:rsidP="009F4D1B">
      <w:pPr>
        <w:pStyle w:val="FootnoteText"/>
      </w:pPr>
      <w:r w:rsidRPr="007E50F7">
        <w:rPr>
          <w:rStyle w:val="FootnoteReference"/>
        </w:rPr>
        <w:footnoteRef/>
      </w:r>
      <w:r w:rsidRPr="007E50F7">
        <w:t xml:space="preserve"> James C. Bonbright, </w:t>
      </w:r>
      <w:r w:rsidRPr="007E50F7">
        <w:rPr>
          <w:i/>
        </w:rPr>
        <w:t>Principles of Public Utility Rates</w:t>
      </w:r>
      <w:r>
        <w:t xml:space="preserve"> 383 (1988)</w:t>
      </w:r>
      <w:r w:rsidRPr="007E50F7">
        <w:t>.</w:t>
      </w:r>
    </w:p>
  </w:footnote>
  <w:footnote w:id="37">
    <w:p w:rsidR="0064556B" w:rsidRDefault="0064556B">
      <w:pPr>
        <w:pStyle w:val="FootnoteText"/>
      </w:pPr>
      <w:r>
        <w:rPr>
          <w:rStyle w:val="FootnoteReference"/>
        </w:rPr>
        <w:footnoteRef/>
      </w:r>
      <w:r>
        <w:t xml:space="preserve"> </w:t>
      </w:r>
      <w:r w:rsidRPr="000410D9">
        <w:t>The Company does not have a third block</w:t>
      </w:r>
      <w:r w:rsidRPr="000E0448">
        <w:t xml:space="preserve">; however, Staff is able to derive the revenue by applying the Company's current and proposed rates against Staff's </w:t>
      </w:r>
      <w:r>
        <w:t xml:space="preserve">actual units in the third </w:t>
      </w:r>
      <w:r w:rsidRPr="000E0448">
        <w:t>block.</w:t>
      </w:r>
    </w:p>
  </w:footnote>
  <w:footnote w:id="38">
    <w:p w:rsidR="0064556B" w:rsidRDefault="0064556B">
      <w:pPr>
        <w:pStyle w:val="FootnoteText"/>
      </w:pPr>
      <w:r w:rsidRPr="007B6B91">
        <w:rPr>
          <w:rStyle w:val="FootnoteReference"/>
        </w:rPr>
        <w:footnoteRef/>
      </w:r>
      <w:r w:rsidRPr="007B6B91">
        <w:t xml:space="preserve"> </w:t>
      </w:r>
      <w:r>
        <w:t xml:space="preserve">E. Jerome </w:t>
      </w:r>
      <w:r w:rsidRPr="007B6B91">
        <w:t xml:space="preserve">McCarthy, </w:t>
      </w:r>
      <w:r w:rsidRPr="007B6B91">
        <w:rPr>
          <w:i/>
        </w:rPr>
        <w:t>Basic Marketing</w:t>
      </w:r>
      <w:r>
        <w:rPr>
          <w:i/>
        </w:rPr>
        <w:t>:</w:t>
      </w:r>
      <w:r w:rsidRPr="007B6B91">
        <w:rPr>
          <w:i/>
        </w:rPr>
        <w:t xml:space="preserve"> A Managerial Approach</w:t>
      </w:r>
      <w:r>
        <w:t xml:space="preserve"> (1960)</w:t>
      </w:r>
      <w:r w:rsidRPr="007B6B91">
        <w:t>.</w:t>
      </w:r>
    </w:p>
  </w:footnote>
  <w:footnote w:id="39">
    <w:p w:rsidR="0064556B" w:rsidRPr="002E5A4D" w:rsidRDefault="0064556B" w:rsidP="008A14BC">
      <w:pPr>
        <w:pStyle w:val="FootnoteText"/>
      </w:pPr>
      <w:r w:rsidRPr="00E42E85">
        <w:rPr>
          <w:rStyle w:val="FootnoteReference"/>
        </w:rPr>
        <w:footnoteRef/>
      </w:r>
      <w:r w:rsidRPr="00E42E85">
        <w:t xml:space="preserve"> See n</w:t>
      </w:r>
      <w:r w:rsidRPr="002E5A4D">
        <w:t>.</w:t>
      </w:r>
      <w:r w:rsidRPr="006636D1">
        <w:t>36</w:t>
      </w:r>
      <w:r w:rsidRPr="002E5A4D">
        <w:t xml:space="preserve">, </w:t>
      </w:r>
      <w:r w:rsidRPr="002E5A4D">
        <w:rPr>
          <w:i/>
        </w:rPr>
        <w:t>supra</w:t>
      </w:r>
      <w:r w:rsidRPr="002E5A4D">
        <w:t>.</w:t>
      </w:r>
    </w:p>
  </w:footnote>
  <w:footnote w:id="40">
    <w:p w:rsidR="0064556B" w:rsidRPr="007E50F7" w:rsidRDefault="0064556B" w:rsidP="00391D78">
      <w:pPr>
        <w:pStyle w:val="FootnoteText"/>
      </w:pPr>
      <w:r w:rsidRPr="00832B83">
        <w:rPr>
          <w:rStyle w:val="FootnoteReference"/>
        </w:rPr>
        <w:footnoteRef/>
      </w:r>
      <w:r w:rsidRPr="00832B83">
        <w:t xml:space="preserve"> </w:t>
      </w:r>
      <w:r>
        <w:t xml:space="preserve">Mickelson, </w:t>
      </w:r>
      <w:r w:rsidRPr="00832B83">
        <w:t>Exhibit No. ___ (CTM-6) at 1-3.</w:t>
      </w:r>
    </w:p>
  </w:footnote>
  <w:footnote w:id="41">
    <w:p w:rsidR="0064556B" w:rsidRPr="00E42E85" w:rsidRDefault="0064556B">
      <w:pPr>
        <w:pStyle w:val="FootnoteText"/>
      </w:pPr>
      <w:r w:rsidRPr="007E50F7">
        <w:rPr>
          <w:rStyle w:val="FootnoteReference"/>
        </w:rPr>
        <w:footnoteRef/>
      </w:r>
      <w:r w:rsidRPr="007E50F7">
        <w:t xml:space="preserve"> Peak day was </w:t>
      </w:r>
      <w:r>
        <w:t>December</w:t>
      </w:r>
      <w:r w:rsidRPr="007E50F7">
        <w:t xml:space="preserve"> 1</w:t>
      </w:r>
      <w:r>
        <w:t>3</w:t>
      </w:r>
      <w:r w:rsidRPr="007E50F7">
        <w:t>, 201</w:t>
      </w:r>
      <w:r>
        <w:t>1</w:t>
      </w:r>
      <w:r w:rsidRPr="007E50F7">
        <w:t xml:space="preserve"> at </w:t>
      </w:r>
      <w:r>
        <w:t>770</w:t>
      </w:r>
      <w:r w:rsidRPr="007E50F7">
        <w:t xml:space="preserve"> MW</w:t>
      </w:r>
      <w:r w:rsidRPr="00E42E85">
        <w:t xml:space="preserve">; see PacifiCorp </w:t>
      </w:r>
      <w:r>
        <w:t>R</w:t>
      </w:r>
      <w:r w:rsidRPr="00E42E85">
        <w:t>esponse t</w:t>
      </w:r>
      <w:r>
        <w:t>o Staff Data Request No. 7.</w:t>
      </w:r>
    </w:p>
  </w:footnote>
  <w:footnote w:id="42">
    <w:p w:rsidR="0064556B" w:rsidRPr="007E50F7" w:rsidRDefault="0064556B" w:rsidP="008A14BC">
      <w:pPr>
        <w:pStyle w:val="FootnoteText"/>
      </w:pPr>
      <w:r w:rsidRPr="007E50F7">
        <w:rPr>
          <w:rStyle w:val="FootnoteReference"/>
        </w:rPr>
        <w:footnoteRef/>
      </w:r>
      <w:r w:rsidRPr="007E50F7">
        <w:t xml:space="preserve"> </w:t>
      </w:r>
      <w:r>
        <w:t>PacifiCorp</w:t>
      </w:r>
      <w:r w:rsidRPr="007E50F7">
        <w:t xml:space="preserve"> </w:t>
      </w:r>
      <w:r>
        <w:t>R</w:t>
      </w:r>
      <w:r w:rsidRPr="007E50F7">
        <w:t>esponse to Staff Data Request</w:t>
      </w:r>
      <w:r>
        <w:t xml:space="preserve"> No.</w:t>
      </w:r>
      <w:r w:rsidRPr="007E50F7">
        <w:t xml:space="preserve"> </w:t>
      </w:r>
      <w:r>
        <w:t>08</w:t>
      </w:r>
      <w:r w:rsidRPr="007E50F7">
        <w:t>, Supplemental Attachme</w:t>
      </w:r>
      <w:r>
        <w:t>nt A, and Mickelson, Exhibit No.</w:t>
      </w:r>
      <w:r w:rsidR="00BD36B5">
        <w:t> </w:t>
      </w:r>
      <w:r>
        <w:t>___ (CTM-6</w:t>
      </w:r>
      <w:r w:rsidRPr="007E50F7">
        <w:t>)</w:t>
      </w:r>
      <w:r>
        <w:t xml:space="preserve"> at</w:t>
      </w:r>
      <w:r w:rsidRPr="007E50F7">
        <w:t xml:space="preserve"> </w:t>
      </w:r>
      <w:r>
        <w:t>4</w:t>
      </w:r>
      <w:r w:rsidRPr="007E50F7">
        <w:t>-</w:t>
      </w:r>
      <w:r>
        <w:t>13</w:t>
      </w:r>
      <w:r w:rsidRPr="007E50F7">
        <w:t>.</w:t>
      </w:r>
    </w:p>
  </w:footnote>
  <w:footnote w:id="43">
    <w:p w:rsidR="0064556B" w:rsidRPr="007E50F7" w:rsidRDefault="0064556B" w:rsidP="008A14BC">
      <w:pPr>
        <w:pStyle w:val="FootnoteText"/>
      </w:pPr>
      <w:r w:rsidRPr="007E50F7">
        <w:rPr>
          <w:rStyle w:val="FootnoteReference"/>
        </w:rPr>
        <w:footnoteRef/>
      </w:r>
      <w:r w:rsidRPr="007E50F7">
        <w:t xml:space="preserve"> </w:t>
      </w:r>
      <w:r w:rsidRPr="009426FE">
        <w:rPr>
          <w:i/>
        </w:rPr>
        <w:t>Id</w:t>
      </w:r>
      <w:r w:rsidRPr="007E50F7">
        <w:t>.</w:t>
      </w:r>
    </w:p>
  </w:footnote>
  <w:footnote w:id="44">
    <w:p w:rsidR="0064556B" w:rsidRDefault="0064556B">
      <w:pPr>
        <w:pStyle w:val="FootnoteText"/>
      </w:pPr>
      <w:r>
        <w:rPr>
          <w:rStyle w:val="FootnoteReference"/>
        </w:rPr>
        <w:footnoteRef/>
      </w:r>
      <w:r>
        <w:t xml:space="preserve"> </w:t>
      </w:r>
      <w:r>
        <w:rPr>
          <w:i/>
        </w:rPr>
        <w:t xml:space="preserve">WUTC </w:t>
      </w:r>
      <w:r w:rsidRPr="007E50F7">
        <w:rPr>
          <w:i/>
        </w:rPr>
        <w:t xml:space="preserve">v. </w:t>
      </w:r>
      <w:r>
        <w:rPr>
          <w:i/>
        </w:rPr>
        <w:t>Telephone Utilities of Washington, Inc.,</w:t>
      </w:r>
      <w:r w:rsidRPr="007E50F7">
        <w:t xml:space="preserve"> Docket U-</w:t>
      </w:r>
      <w:r>
        <w:t>81-90,</w:t>
      </w:r>
      <w:r w:rsidRPr="007E50F7">
        <w:t xml:space="preserve"> </w:t>
      </w:r>
      <w:r>
        <w:t xml:space="preserve">Supplemental </w:t>
      </w:r>
      <w:r w:rsidRPr="007E50F7">
        <w:t>Order 0</w:t>
      </w:r>
      <w:r>
        <w:t>2</w:t>
      </w:r>
      <w:r w:rsidRPr="007E50F7">
        <w:t xml:space="preserve"> </w:t>
      </w:r>
      <w:r>
        <w:t>at 21</w:t>
      </w:r>
      <w:r w:rsidRPr="007E50F7">
        <w:t xml:space="preserve"> (</w:t>
      </w:r>
      <w:r>
        <w:t>August 6</w:t>
      </w:r>
      <w:r w:rsidRPr="007E50F7">
        <w:t xml:space="preserve">, </w:t>
      </w:r>
      <w:r>
        <w:t>1982).  This is the last Order where the Commission ruled on service charges, which “</w:t>
      </w:r>
      <w:r w:rsidRPr="00E00E4E">
        <w:t>authorize the Company to increase these charges by 50% of the amount requested</w:t>
      </w:r>
      <w:r>
        <w:t>.”  Staff’s percentage is less than what the Commission has authorized in the past.</w:t>
      </w:r>
    </w:p>
  </w:footnote>
  <w:footnote w:id="45">
    <w:p w:rsidR="0064556B" w:rsidRDefault="0064556B" w:rsidP="00DE4709">
      <w:pPr>
        <w:pStyle w:val="FootnoteText"/>
      </w:pPr>
      <w:r>
        <w:rPr>
          <w:rStyle w:val="FootnoteReference"/>
        </w:rPr>
        <w:footnoteRef/>
      </w:r>
      <w:r w:rsidR="00B935E0">
        <w:t xml:space="preserve"> WAC 480-100-123(2)(e</w:t>
      </w:r>
      <w:r>
        <w:t>) and WAC 480-100-128(2)(a).</w:t>
      </w:r>
    </w:p>
  </w:footnote>
  <w:footnote w:id="46">
    <w:p w:rsidR="0064556B" w:rsidRDefault="0064556B" w:rsidP="00DE4709">
      <w:pPr>
        <w:pStyle w:val="FootnoteText"/>
      </w:pPr>
      <w:r>
        <w:rPr>
          <w:rStyle w:val="FootnoteReference"/>
        </w:rPr>
        <w:footnoteRef/>
      </w:r>
      <w:r>
        <w:t xml:space="preserve"> PacifiCorp Response to Public Counsel Data Request No. 64, and RCW 54.48.020 and RCW 54.48.030.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1">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ED1DBC"/>
    <w:multiLevelType w:val="hybridMultilevel"/>
    <w:tmpl w:val="DBB2F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A14C71"/>
    <w:multiLevelType w:val="hybridMultilevel"/>
    <w:tmpl w:val="B522594E"/>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D17C1F"/>
    <w:multiLevelType w:val="hybridMultilevel"/>
    <w:tmpl w:val="1D06D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CC0FF8"/>
    <w:multiLevelType w:val="hybridMultilevel"/>
    <w:tmpl w:val="BBDC9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6837B3A"/>
    <w:multiLevelType w:val="hybridMultilevel"/>
    <w:tmpl w:val="8398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6CA16A5"/>
    <w:multiLevelType w:val="hybridMultilevel"/>
    <w:tmpl w:val="DC622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40595B"/>
    <w:multiLevelType w:val="hybridMultilevel"/>
    <w:tmpl w:val="870A2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DA027A"/>
    <w:multiLevelType w:val="hybridMultilevel"/>
    <w:tmpl w:val="5276CD52"/>
    <w:lvl w:ilvl="0" w:tplc="607CD3CE">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786D0F"/>
    <w:multiLevelType w:val="hybridMultilevel"/>
    <w:tmpl w:val="9E9C54E8"/>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C50136"/>
    <w:multiLevelType w:val="hybridMultilevel"/>
    <w:tmpl w:val="21C4DE9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F43F41"/>
    <w:multiLevelType w:val="hybridMultilevel"/>
    <w:tmpl w:val="8B98C0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656010"/>
    <w:multiLevelType w:val="hybridMultilevel"/>
    <w:tmpl w:val="1D06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9F6312"/>
    <w:multiLevelType w:val="hybridMultilevel"/>
    <w:tmpl w:val="E4842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BC2D99"/>
    <w:multiLevelType w:val="hybridMultilevel"/>
    <w:tmpl w:val="23B8D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8A6C39"/>
    <w:multiLevelType w:val="hybridMultilevel"/>
    <w:tmpl w:val="FC40B7B8"/>
    <w:lvl w:ilvl="0" w:tplc="AEE64FCC">
      <w:start w:val="1"/>
      <w:numFmt w:val="decimal"/>
      <w:pStyle w:val="Heading6"/>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786CF4"/>
    <w:multiLevelType w:val="hybridMultilevel"/>
    <w:tmpl w:val="5B02F69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nsid w:val="2A8F64CE"/>
    <w:multiLevelType w:val="hybridMultilevel"/>
    <w:tmpl w:val="E634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A74B03"/>
    <w:multiLevelType w:val="hybridMultilevel"/>
    <w:tmpl w:val="96C8ECB6"/>
    <w:lvl w:ilvl="0" w:tplc="EDCEBF1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C56CB9"/>
    <w:multiLevelType w:val="hybridMultilevel"/>
    <w:tmpl w:val="8708B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CBB1692"/>
    <w:multiLevelType w:val="hybridMultilevel"/>
    <w:tmpl w:val="05FE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7C3D36"/>
    <w:multiLevelType w:val="hybridMultilevel"/>
    <w:tmpl w:val="26B42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E33E4E"/>
    <w:multiLevelType w:val="multilevel"/>
    <w:tmpl w:val="CF5A29B6"/>
    <w:lvl w:ilvl="0">
      <w:start w:val="1"/>
      <w:numFmt w:val="upperLetter"/>
      <w:lvlText w:val="%1."/>
      <w:lvlJc w:val="left"/>
      <w:pPr>
        <w:tabs>
          <w:tab w:val="num" w:pos="-90"/>
        </w:tabs>
        <w:ind w:left="-90" w:hanging="360"/>
      </w:pPr>
      <w:rPr>
        <w:rFonts w:hint="default"/>
      </w:rPr>
    </w:lvl>
    <w:lvl w:ilvl="1" w:tentative="1">
      <w:start w:val="1"/>
      <w:numFmt w:val="lowerLetter"/>
      <w:lvlText w:val="%2."/>
      <w:lvlJc w:val="left"/>
      <w:pPr>
        <w:tabs>
          <w:tab w:val="num" w:pos="630"/>
        </w:tabs>
        <w:ind w:left="630" w:hanging="360"/>
      </w:pPr>
    </w:lvl>
    <w:lvl w:ilvl="2" w:tentative="1">
      <w:start w:val="1"/>
      <w:numFmt w:val="lowerRoman"/>
      <w:lvlText w:val="%3."/>
      <w:lvlJc w:val="right"/>
      <w:pPr>
        <w:tabs>
          <w:tab w:val="num" w:pos="1350"/>
        </w:tabs>
        <w:ind w:left="1350" w:hanging="180"/>
      </w:pPr>
    </w:lvl>
    <w:lvl w:ilvl="3" w:tentative="1">
      <w:start w:val="1"/>
      <w:numFmt w:val="decimal"/>
      <w:lvlText w:val="%4."/>
      <w:lvlJc w:val="left"/>
      <w:pPr>
        <w:tabs>
          <w:tab w:val="num" w:pos="2070"/>
        </w:tabs>
        <w:ind w:left="2070" w:hanging="360"/>
      </w:pPr>
    </w:lvl>
    <w:lvl w:ilvl="4" w:tentative="1">
      <w:start w:val="1"/>
      <w:numFmt w:val="lowerLetter"/>
      <w:lvlText w:val="%5."/>
      <w:lvlJc w:val="left"/>
      <w:pPr>
        <w:tabs>
          <w:tab w:val="num" w:pos="2790"/>
        </w:tabs>
        <w:ind w:left="2790" w:hanging="360"/>
      </w:pPr>
    </w:lvl>
    <w:lvl w:ilvl="5" w:tentative="1">
      <w:start w:val="1"/>
      <w:numFmt w:val="lowerRoman"/>
      <w:lvlText w:val="%6."/>
      <w:lvlJc w:val="right"/>
      <w:pPr>
        <w:tabs>
          <w:tab w:val="num" w:pos="3510"/>
        </w:tabs>
        <w:ind w:left="3510" w:hanging="180"/>
      </w:pPr>
    </w:lvl>
    <w:lvl w:ilvl="6" w:tentative="1">
      <w:start w:val="1"/>
      <w:numFmt w:val="decimal"/>
      <w:lvlText w:val="%7."/>
      <w:lvlJc w:val="left"/>
      <w:pPr>
        <w:tabs>
          <w:tab w:val="num" w:pos="4230"/>
        </w:tabs>
        <w:ind w:left="4230" w:hanging="360"/>
      </w:pPr>
    </w:lvl>
    <w:lvl w:ilvl="7" w:tentative="1">
      <w:start w:val="1"/>
      <w:numFmt w:val="lowerLetter"/>
      <w:lvlText w:val="%8."/>
      <w:lvlJc w:val="left"/>
      <w:pPr>
        <w:tabs>
          <w:tab w:val="num" w:pos="4950"/>
        </w:tabs>
        <w:ind w:left="4950" w:hanging="360"/>
      </w:pPr>
    </w:lvl>
    <w:lvl w:ilvl="8" w:tentative="1">
      <w:start w:val="1"/>
      <w:numFmt w:val="lowerRoman"/>
      <w:lvlText w:val="%9."/>
      <w:lvlJc w:val="right"/>
      <w:pPr>
        <w:tabs>
          <w:tab w:val="num" w:pos="5670"/>
        </w:tabs>
        <w:ind w:left="5670" w:hanging="180"/>
      </w:pPr>
    </w:lvl>
  </w:abstractNum>
  <w:abstractNum w:abstractNumId="25">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7">
    <w:nsid w:val="4CF17F03"/>
    <w:multiLevelType w:val="hybridMultilevel"/>
    <w:tmpl w:val="D05E62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4F53567A"/>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DE01BE"/>
    <w:multiLevelType w:val="hybridMultilevel"/>
    <w:tmpl w:val="C4BE570C"/>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D624C"/>
    <w:multiLevelType w:val="hybridMultilevel"/>
    <w:tmpl w:val="6D9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522F31"/>
    <w:multiLevelType w:val="multilevel"/>
    <w:tmpl w:val="D64CA00E"/>
    <w:lvl w:ilvl="0">
      <w:start w:val="1"/>
      <w:numFmt w:val="upperRoman"/>
      <w:pStyle w:val="Heading1"/>
      <w:lvlText w:val="%1."/>
      <w:lvlJc w:val="left"/>
      <w:pPr>
        <w:ind w:left="207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0" w:firstLine="0"/>
      </w:pPr>
      <w:rPr>
        <w:rFonts w:hint="default"/>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abstractNum w:abstractNumId="32">
    <w:nsid w:val="5BC14F33"/>
    <w:multiLevelType w:val="hybridMultilevel"/>
    <w:tmpl w:val="4B600C3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5E3D211F"/>
    <w:multiLevelType w:val="hybridMultilevel"/>
    <w:tmpl w:val="AD9A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7A3BBB"/>
    <w:multiLevelType w:val="hybridMultilevel"/>
    <w:tmpl w:val="7E3AE870"/>
    <w:lvl w:ilvl="0" w:tplc="5ACC962C">
      <w:start w:val="1"/>
      <w:numFmt w:val="decimal"/>
      <w:lvlText w:val="%1)"/>
      <w:lvlJc w:val="left"/>
      <w:pPr>
        <w:ind w:left="2484" w:hanging="984"/>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5">
    <w:nsid w:val="619A208A"/>
    <w:multiLevelType w:val="hybridMultilevel"/>
    <w:tmpl w:val="90FEE6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A0723A"/>
    <w:multiLevelType w:val="hybridMultilevel"/>
    <w:tmpl w:val="F138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4BE1844"/>
    <w:multiLevelType w:val="hybridMultilevel"/>
    <w:tmpl w:val="2834C44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7189661B"/>
    <w:multiLevelType w:val="hybridMultilevel"/>
    <w:tmpl w:val="B9103D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nsid w:val="73EE328E"/>
    <w:multiLevelType w:val="hybridMultilevel"/>
    <w:tmpl w:val="3C4CA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72465D"/>
    <w:multiLevelType w:val="hybridMultilevel"/>
    <w:tmpl w:val="3C30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035D6B"/>
    <w:multiLevelType w:val="hybridMultilevel"/>
    <w:tmpl w:val="35A215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5"/>
  </w:num>
  <w:num w:numId="2">
    <w:abstractNumId w:val="9"/>
  </w:num>
  <w:num w:numId="3">
    <w:abstractNumId w:val="3"/>
  </w:num>
  <w:num w:numId="4">
    <w:abstractNumId w:val="28"/>
  </w:num>
  <w:num w:numId="5">
    <w:abstractNumId w:val="10"/>
  </w:num>
  <w:num w:numId="6">
    <w:abstractNumId w:val="29"/>
  </w:num>
  <w:num w:numId="7">
    <w:abstractNumId w:val="23"/>
  </w:num>
  <w:num w:numId="8">
    <w:abstractNumId w:val="20"/>
  </w:num>
  <w:num w:numId="9">
    <w:abstractNumId w:val="31"/>
  </w:num>
  <w:num w:numId="10">
    <w:abstractNumId w:val="1"/>
  </w:num>
  <w:num w:numId="11">
    <w:abstractNumId w:val="31"/>
  </w:num>
  <w:num w:numId="12">
    <w:abstractNumId w:val="17"/>
  </w:num>
  <w:num w:numId="13">
    <w:abstractNumId w:val="31"/>
  </w:num>
  <w:num w:numId="14">
    <w:abstractNumId w:val="17"/>
  </w:num>
  <w:num w:numId="15">
    <w:abstractNumId w:val="17"/>
    <w:lvlOverride w:ilvl="0">
      <w:startOverride w:val="1"/>
    </w:lvlOverride>
  </w:num>
  <w:num w:numId="16">
    <w:abstractNumId w:val="33"/>
  </w:num>
  <w:num w:numId="17">
    <w:abstractNumId w:val="15"/>
  </w:num>
  <w:num w:numId="18">
    <w:abstractNumId w:val="4"/>
  </w:num>
  <w:num w:numId="19">
    <w:abstractNumId w:val="3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41"/>
  </w:num>
  <w:num w:numId="28">
    <w:abstractNumId w:val="3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3"/>
  </w:num>
  <w:num w:numId="32">
    <w:abstractNumId w:val="22"/>
  </w:num>
  <w:num w:numId="33">
    <w:abstractNumId w:val="1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num>
  <w:num w:numId="40">
    <w:abstractNumId w:val="17"/>
  </w:num>
  <w:num w:numId="41">
    <w:abstractNumId w:val="17"/>
    <w:lvlOverride w:ilvl="0">
      <w:startOverride w:val="1"/>
    </w:lvlOverride>
  </w:num>
  <w:num w:numId="42">
    <w:abstractNumId w:val="17"/>
    <w:lvlOverride w:ilvl="0">
      <w:startOverride w:val="1"/>
    </w:lvlOverride>
  </w:num>
  <w:num w:numId="43">
    <w:abstractNumId w:val="5"/>
  </w:num>
  <w:num w:numId="44">
    <w:abstractNumId w:val="8"/>
  </w:num>
  <w:num w:numId="45">
    <w:abstractNumId w:val="17"/>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0"/>
  </w:num>
  <w:num w:numId="49">
    <w:abstractNumId w:val="38"/>
  </w:num>
  <w:num w:numId="50">
    <w:abstractNumId w:val="34"/>
  </w:num>
  <w:num w:numId="51">
    <w:abstractNumId w:val="0"/>
  </w:num>
  <w:num w:numId="52">
    <w:abstractNumId w:val="6"/>
  </w:num>
  <w:num w:numId="53">
    <w:abstractNumId w:val="18"/>
  </w:num>
  <w:num w:numId="54">
    <w:abstractNumId w:val="37"/>
  </w:num>
  <w:num w:numId="55">
    <w:abstractNumId w:val="40"/>
  </w:num>
  <w:num w:numId="56">
    <w:abstractNumId w:val="12"/>
  </w:num>
  <w:num w:numId="57">
    <w:abstractNumId w:val="21"/>
  </w:num>
  <w:num w:numId="58">
    <w:abstractNumId w:val="19"/>
  </w:num>
  <w:num w:numId="59">
    <w:abstractNumId w:val="39"/>
  </w:num>
  <w:num w:numId="60">
    <w:abstractNumId w:val="14"/>
  </w:num>
  <w:num w:numId="61">
    <w:abstractNumId w:val="32"/>
  </w:num>
  <w:num w:numId="62">
    <w:abstractNumId w:val="35"/>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A45"/>
    <w:rsid w:val="00002ADF"/>
    <w:rsid w:val="00003A61"/>
    <w:rsid w:val="00004DA8"/>
    <w:rsid w:val="00007C88"/>
    <w:rsid w:val="00007FA0"/>
    <w:rsid w:val="00011667"/>
    <w:rsid w:val="00012254"/>
    <w:rsid w:val="00012BD1"/>
    <w:rsid w:val="00013A99"/>
    <w:rsid w:val="00014E7F"/>
    <w:rsid w:val="00017601"/>
    <w:rsid w:val="000201F2"/>
    <w:rsid w:val="000212EF"/>
    <w:rsid w:val="0002192E"/>
    <w:rsid w:val="000220EF"/>
    <w:rsid w:val="00022279"/>
    <w:rsid w:val="00025973"/>
    <w:rsid w:val="0002759E"/>
    <w:rsid w:val="00027CEF"/>
    <w:rsid w:val="00027DA6"/>
    <w:rsid w:val="00030201"/>
    <w:rsid w:val="00030C90"/>
    <w:rsid w:val="000329CF"/>
    <w:rsid w:val="00032B8F"/>
    <w:rsid w:val="00033013"/>
    <w:rsid w:val="00036760"/>
    <w:rsid w:val="000367EB"/>
    <w:rsid w:val="00040682"/>
    <w:rsid w:val="00040A50"/>
    <w:rsid w:val="000410D9"/>
    <w:rsid w:val="000413E6"/>
    <w:rsid w:val="00041670"/>
    <w:rsid w:val="00041FF6"/>
    <w:rsid w:val="00042EEC"/>
    <w:rsid w:val="00043512"/>
    <w:rsid w:val="000441B0"/>
    <w:rsid w:val="00044306"/>
    <w:rsid w:val="00044F34"/>
    <w:rsid w:val="00052F2A"/>
    <w:rsid w:val="00054063"/>
    <w:rsid w:val="0005488A"/>
    <w:rsid w:val="000555FF"/>
    <w:rsid w:val="000559D0"/>
    <w:rsid w:val="00062CD2"/>
    <w:rsid w:val="0006430B"/>
    <w:rsid w:val="0006490F"/>
    <w:rsid w:val="00065323"/>
    <w:rsid w:val="0007072A"/>
    <w:rsid w:val="00072874"/>
    <w:rsid w:val="00072CA3"/>
    <w:rsid w:val="000734CE"/>
    <w:rsid w:val="00074BFB"/>
    <w:rsid w:val="00074F54"/>
    <w:rsid w:val="00075886"/>
    <w:rsid w:val="000760DE"/>
    <w:rsid w:val="0007674B"/>
    <w:rsid w:val="00077523"/>
    <w:rsid w:val="00081ECB"/>
    <w:rsid w:val="00083508"/>
    <w:rsid w:val="000847F9"/>
    <w:rsid w:val="00084EF8"/>
    <w:rsid w:val="00084F0A"/>
    <w:rsid w:val="00085EC3"/>
    <w:rsid w:val="00086C58"/>
    <w:rsid w:val="00090311"/>
    <w:rsid w:val="000905D9"/>
    <w:rsid w:val="00091102"/>
    <w:rsid w:val="00091B71"/>
    <w:rsid w:val="000924F2"/>
    <w:rsid w:val="0009260F"/>
    <w:rsid w:val="00093C77"/>
    <w:rsid w:val="00095FD4"/>
    <w:rsid w:val="00096F25"/>
    <w:rsid w:val="000A04F0"/>
    <w:rsid w:val="000A0CBC"/>
    <w:rsid w:val="000A15CD"/>
    <w:rsid w:val="000A2AEE"/>
    <w:rsid w:val="000A4379"/>
    <w:rsid w:val="000A4455"/>
    <w:rsid w:val="000A53EE"/>
    <w:rsid w:val="000A7214"/>
    <w:rsid w:val="000A757C"/>
    <w:rsid w:val="000B088E"/>
    <w:rsid w:val="000B092E"/>
    <w:rsid w:val="000B1479"/>
    <w:rsid w:val="000B1817"/>
    <w:rsid w:val="000B49EC"/>
    <w:rsid w:val="000B4D19"/>
    <w:rsid w:val="000B51E8"/>
    <w:rsid w:val="000B5F9E"/>
    <w:rsid w:val="000B7175"/>
    <w:rsid w:val="000C0B16"/>
    <w:rsid w:val="000C1405"/>
    <w:rsid w:val="000C4D4B"/>
    <w:rsid w:val="000D1F21"/>
    <w:rsid w:val="000D22BB"/>
    <w:rsid w:val="000D2CD9"/>
    <w:rsid w:val="000D3CEE"/>
    <w:rsid w:val="000D5C7D"/>
    <w:rsid w:val="000D6F4B"/>
    <w:rsid w:val="000D7043"/>
    <w:rsid w:val="000D7DC5"/>
    <w:rsid w:val="000D7E3C"/>
    <w:rsid w:val="000E1111"/>
    <w:rsid w:val="000E3D47"/>
    <w:rsid w:val="000E3E0E"/>
    <w:rsid w:val="000E4A0D"/>
    <w:rsid w:val="000E4DA0"/>
    <w:rsid w:val="000E7FDD"/>
    <w:rsid w:val="000F0E54"/>
    <w:rsid w:val="000F18F5"/>
    <w:rsid w:val="000F2542"/>
    <w:rsid w:val="000F3BF6"/>
    <w:rsid w:val="000F4165"/>
    <w:rsid w:val="000F63FD"/>
    <w:rsid w:val="000F6F3C"/>
    <w:rsid w:val="000F6FC2"/>
    <w:rsid w:val="000F739B"/>
    <w:rsid w:val="000F743B"/>
    <w:rsid w:val="000F7D5F"/>
    <w:rsid w:val="001003AA"/>
    <w:rsid w:val="00100D8D"/>
    <w:rsid w:val="001018E5"/>
    <w:rsid w:val="00101BD5"/>
    <w:rsid w:val="00101D35"/>
    <w:rsid w:val="00101F7E"/>
    <w:rsid w:val="00103139"/>
    <w:rsid w:val="00104CBC"/>
    <w:rsid w:val="001065AA"/>
    <w:rsid w:val="00106FDD"/>
    <w:rsid w:val="00107408"/>
    <w:rsid w:val="00111854"/>
    <w:rsid w:val="00111A87"/>
    <w:rsid w:val="00111C42"/>
    <w:rsid w:val="00112782"/>
    <w:rsid w:val="00116A80"/>
    <w:rsid w:val="00116AF0"/>
    <w:rsid w:val="00117A3E"/>
    <w:rsid w:val="00117AD1"/>
    <w:rsid w:val="00117F78"/>
    <w:rsid w:val="00121057"/>
    <w:rsid w:val="00122B97"/>
    <w:rsid w:val="00122CAF"/>
    <w:rsid w:val="0012306B"/>
    <w:rsid w:val="00123644"/>
    <w:rsid w:val="0012460E"/>
    <w:rsid w:val="00124FF4"/>
    <w:rsid w:val="001253C5"/>
    <w:rsid w:val="00127C20"/>
    <w:rsid w:val="00130674"/>
    <w:rsid w:val="001324EA"/>
    <w:rsid w:val="00134F13"/>
    <w:rsid w:val="0013650F"/>
    <w:rsid w:val="0013680C"/>
    <w:rsid w:val="001370AB"/>
    <w:rsid w:val="001372D4"/>
    <w:rsid w:val="0014069B"/>
    <w:rsid w:val="00140BCA"/>
    <w:rsid w:val="00140CD8"/>
    <w:rsid w:val="00140E11"/>
    <w:rsid w:val="001414A2"/>
    <w:rsid w:val="00145FFF"/>
    <w:rsid w:val="00146A9C"/>
    <w:rsid w:val="00146D17"/>
    <w:rsid w:val="00146E7B"/>
    <w:rsid w:val="00150E9E"/>
    <w:rsid w:val="001515AE"/>
    <w:rsid w:val="00152F43"/>
    <w:rsid w:val="00153ECA"/>
    <w:rsid w:val="00154646"/>
    <w:rsid w:val="00155E61"/>
    <w:rsid w:val="00160632"/>
    <w:rsid w:val="001606AD"/>
    <w:rsid w:val="00160E4E"/>
    <w:rsid w:val="001620C5"/>
    <w:rsid w:val="0016261B"/>
    <w:rsid w:val="0016351A"/>
    <w:rsid w:val="00164006"/>
    <w:rsid w:val="00164ABE"/>
    <w:rsid w:val="001665FF"/>
    <w:rsid w:val="00167B0D"/>
    <w:rsid w:val="00170D63"/>
    <w:rsid w:val="00170F31"/>
    <w:rsid w:val="00171FBE"/>
    <w:rsid w:val="00172273"/>
    <w:rsid w:val="00172925"/>
    <w:rsid w:val="00173051"/>
    <w:rsid w:val="0017343E"/>
    <w:rsid w:val="00173897"/>
    <w:rsid w:val="00176609"/>
    <w:rsid w:val="001766C5"/>
    <w:rsid w:val="00183A08"/>
    <w:rsid w:val="00184851"/>
    <w:rsid w:val="00184951"/>
    <w:rsid w:val="00185892"/>
    <w:rsid w:val="00185D95"/>
    <w:rsid w:val="00186965"/>
    <w:rsid w:val="001876BA"/>
    <w:rsid w:val="00191780"/>
    <w:rsid w:val="0019274D"/>
    <w:rsid w:val="001939D1"/>
    <w:rsid w:val="001953D6"/>
    <w:rsid w:val="00195B6E"/>
    <w:rsid w:val="001972A1"/>
    <w:rsid w:val="001A0C64"/>
    <w:rsid w:val="001A0FCE"/>
    <w:rsid w:val="001A1063"/>
    <w:rsid w:val="001A11C5"/>
    <w:rsid w:val="001A1D36"/>
    <w:rsid w:val="001A1F78"/>
    <w:rsid w:val="001A2038"/>
    <w:rsid w:val="001A239C"/>
    <w:rsid w:val="001A2C8F"/>
    <w:rsid w:val="001A2E26"/>
    <w:rsid w:val="001A3A77"/>
    <w:rsid w:val="001A5EE2"/>
    <w:rsid w:val="001A68F4"/>
    <w:rsid w:val="001B00FA"/>
    <w:rsid w:val="001B0420"/>
    <w:rsid w:val="001B3ACE"/>
    <w:rsid w:val="001B41C0"/>
    <w:rsid w:val="001B4D13"/>
    <w:rsid w:val="001B4E9C"/>
    <w:rsid w:val="001B527C"/>
    <w:rsid w:val="001B6B4E"/>
    <w:rsid w:val="001C1C33"/>
    <w:rsid w:val="001C2E22"/>
    <w:rsid w:val="001C422E"/>
    <w:rsid w:val="001C465C"/>
    <w:rsid w:val="001C493D"/>
    <w:rsid w:val="001C56CA"/>
    <w:rsid w:val="001C5ABF"/>
    <w:rsid w:val="001C610C"/>
    <w:rsid w:val="001C69D6"/>
    <w:rsid w:val="001C7470"/>
    <w:rsid w:val="001D0545"/>
    <w:rsid w:val="001D07E3"/>
    <w:rsid w:val="001D145B"/>
    <w:rsid w:val="001D179A"/>
    <w:rsid w:val="001D211D"/>
    <w:rsid w:val="001D3321"/>
    <w:rsid w:val="001D6C6D"/>
    <w:rsid w:val="001E17A3"/>
    <w:rsid w:val="001E1863"/>
    <w:rsid w:val="001E2829"/>
    <w:rsid w:val="001E30A6"/>
    <w:rsid w:val="001E3923"/>
    <w:rsid w:val="001E410C"/>
    <w:rsid w:val="001E43AE"/>
    <w:rsid w:val="001E446A"/>
    <w:rsid w:val="001E4FB8"/>
    <w:rsid w:val="001E57EB"/>
    <w:rsid w:val="001E5A2B"/>
    <w:rsid w:val="001E6689"/>
    <w:rsid w:val="001E68D4"/>
    <w:rsid w:val="001E77D0"/>
    <w:rsid w:val="001F03B0"/>
    <w:rsid w:val="001F065B"/>
    <w:rsid w:val="001F1BF2"/>
    <w:rsid w:val="001F2084"/>
    <w:rsid w:val="001F2485"/>
    <w:rsid w:val="001F3CA9"/>
    <w:rsid w:val="001F4A3E"/>
    <w:rsid w:val="001F4EBF"/>
    <w:rsid w:val="001F532D"/>
    <w:rsid w:val="001F5956"/>
    <w:rsid w:val="001F7125"/>
    <w:rsid w:val="001F74E0"/>
    <w:rsid w:val="001F7EDF"/>
    <w:rsid w:val="002005B3"/>
    <w:rsid w:val="00201F89"/>
    <w:rsid w:val="00202B29"/>
    <w:rsid w:val="00203824"/>
    <w:rsid w:val="002039FE"/>
    <w:rsid w:val="0020501E"/>
    <w:rsid w:val="00206413"/>
    <w:rsid w:val="002079A6"/>
    <w:rsid w:val="002079C0"/>
    <w:rsid w:val="00210128"/>
    <w:rsid w:val="00212851"/>
    <w:rsid w:val="002137F1"/>
    <w:rsid w:val="002153E8"/>
    <w:rsid w:val="0021626A"/>
    <w:rsid w:val="00221157"/>
    <w:rsid w:val="0022334C"/>
    <w:rsid w:val="00225059"/>
    <w:rsid w:val="0022566C"/>
    <w:rsid w:val="002257DF"/>
    <w:rsid w:val="00226528"/>
    <w:rsid w:val="002278F2"/>
    <w:rsid w:val="00230710"/>
    <w:rsid w:val="00230E81"/>
    <w:rsid w:val="0023246A"/>
    <w:rsid w:val="00232F27"/>
    <w:rsid w:val="00233A3C"/>
    <w:rsid w:val="00233F91"/>
    <w:rsid w:val="0023452D"/>
    <w:rsid w:val="00234FD5"/>
    <w:rsid w:val="002429C8"/>
    <w:rsid w:val="00243D59"/>
    <w:rsid w:val="00243DA5"/>
    <w:rsid w:val="00245C9C"/>
    <w:rsid w:val="002460EF"/>
    <w:rsid w:val="002464EC"/>
    <w:rsid w:val="002476CE"/>
    <w:rsid w:val="00250327"/>
    <w:rsid w:val="00250D4D"/>
    <w:rsid w:val="00250F45"/>
    <w:rsid w:val="00251502"/>
    <w:rsid w:val="00251BED"/>
    <w:rsid w:val="00251FAD"/>
    <w:rsid w:val="00252294"/>
    <w:rsid w:val="002523A7"/>
    <w:rsid w:val="00254CB5"/>
    <w:rsid w:val="00255414"/>
    <w:rsid w:val="00255655"/>
    <w:rsid w:val="00256AB9"/>
    <w:rsid w:val="00256C92"/>
    <w:rsid w:val="00262218"/>
    <w:rsid w:val="0026256B"/>
    <w:rsid w:val="002627B3"/>
    <w:rsid w:val="002628E4"/>
    <w:rsid w:val="00264C9B"/>
    <w:rsid w:val="002660C6"/>
    <w:rsid w:val="00266993"/>
    <w:rsid w:val="002706E8"/>
    <w:rsid w:val="00270D78"/>
    <w:rsid w:val="00271119"/>
    <w:rsid w:val="00271C2A"/>
    <w:rsid w:val="00271E5E"/>
    <w:rsid w:val="00272FFC"/>
    <w:rsid w:val="002749AE"/>
    <w:rsid w:val="00274B49"/>
    <w:rsid w:val="00276957"/>
    <w:rsid w:val="002804E8"/>
    <w:rsid w:val="00280685"/>
    <w:rsid w:val="00280AE9"/>
    <w:rsid w:val="00281424"/>
    <w:rsid w:val="002815E0"/>
    <w:rsid w:val="00281AAC"/>
    <w:rsid w:val="002820DF"/>
    <w:rsid w:val="002834EA"/>
    <w:rsid w:val="00283BEF"/>
    <w:rsid w:val="00283D84"/>
    <w:rsid w:val="002845CB"/>
    <w:rsid w:val="00286C00"/>
    <w:rsid w:val="0028727E"/>
    <w:rsid w:val="00287EA7"/>
    <w:rsid w:val="00291EED"/>
    <w:rsid w:val="00293511"/>
    <w:rsid w:val="002946A7"/>
    <w:rsid w:val="002951A8"/>
    <w:rsid w:val="00296042"/>
    <w:rsid w:val="00296ED8"/>
    <w:rsid w:val="00297003"/>
    <w:rsid w:val="00297B78"/>
    <w:rsid w:val="002A134A"/>
    <w:rsid w:val="002A180A"/>
    <w:rsid w:val="002A1C15"/>
    <w:rsid w:val="002A3397"/>
    <w:rsid w:val="002A4DF6"/>
    <w:rsid w:val="002A4FF1"/>
    <w:rsid w:val="002A5205"/>
    <w:rsid w:val="002A6079"/>
    <w:rsid w:val="002A64B2"/>
    <w:rsid w:val="002A704B"/>
    <w:rsid w:val="002B1870"/>
    <w:rsid w:val="002B62DB"/>
    <w:rsid w:val="002B7339"/>
    <w:rsid w:val="002B7347"/>
    <w:rsid w:val="002C0D82"/>
    <w:rsid w:val="002C11AF"/>
    <w:rsid w:val="002C23CD"/>
    <w:rsid w:val="002C333C"/>
    <w:rsid w:val="002C3397"/>
    <w:rsid w:val="002C3CBB"/>
    <w:rsid w:val="002C70DF"/>
    <w:rsid w:val="002C7491"/>
    <w:rsid w:val="002D10CD"/>
    <w:rsid w:val="002D34A4"/>
    <w:rsid w:val="002D3BF4"/>
    <w:rsid w:val="002D48A0"/>
    <w:rsid w:val="002D4E8A"/>
    <w:rsid w:val="002D55F5"/>
    <w:rsid w:val="002D7DCE"/>
    <w:rsid w:val="002E058A"/>
    <w:rsid w:val="002E0AD5"/>
    <w:rsid w:val="002E1922"/>
    <w:rsid w:val="002E1A8C"/>
    <w:rsid w:val="002E3F86"/>
    <w:rsid w:val="002E47B6"/>
    <w:rsid w:val="002E4CFF"/>
    <w:rsid w:val="002E55AC"/>
    <w:rsid w:val="002E5A4D"/>
    <w:rsid w:val="002F1187"/>
    <w:rsid w:val="002F132F"/>
    <w:rsid w:val="002F15FA"/>
    <w:rsid w:val="002F181B"/>
    <w:rsid w:val="002F39CF"/>
    <w:rsid w:val="002F3C6D"/>
    <w:rsid w:val="002F41FA"/>
    <w:rsid w:val="002F529C"/>
    <w:rsid w:val="002F70F7"/>
    <w:rsid w:val="0030209E"/>
    <w:rsid w:val="00305012"/>
    <w:rsid w:val="003050A3"/>
    <w:rsid w:val="0030547F"/>
    <w:rsid w:val="003056FE"/>
    <w:rsid w:val="00305F27"/>
    <w:rsid w:val="00306704"/>
    <w:rsid w:val="00307183"/>
    <w:rsid w:val="003079AE"/>
    <w:rsid w:val="00311DBC"/>
    <w:rsid w:val="00312AA5"/>
    <w:rsid w:val="00315B76"/>
    <w:rsid w:val="00315D2B"/>
    <w:rsid w:val="00315E46"/>
    <w:rsid w:val="0031610E"/>
    <w:rsid w:val="003171CD"/>
    <w:rsid w:val="00320C17"/>
    <w:rsid w:val="00320E01"/>
    <w:rsid w:val="003213F7"/>
    <w:rsid w:val="00321477"/>
    <w:rsid w:val="00322669"/>
    <w:rsid w:val="00322BE8"/>
    <w:rsid w:val="0032444D"/>
    <w:rsid w:val="00324A58"/>
    <w:rsid w:val="00324FD1"/>
    <w:rsid w:val="003250F7"/>
    <w:rsid w:val="00325898"/>
    <w:rsid w:val="00325954"/>
    <w:rsid w:val="00325958"/>
    <w:rsid w:val="00326B08"/>
    <w:rsid w:val="00327C4B"/>
    <w:rsid w:val="003304D8"/>
    <w:rsid w:val="0033161F"/>
    <w:rsid w:val="003316C8"/>
    <w:rsid w:val="00333A0A"/>
    <w:rsid w:val="00334198"/>
    <w:rsid w:val="0033452A"/>
    <w:rsid w:val="0033492B"/>
    <w:rsid w:val="003357F3"/>
    <w:rsid w:val="003370B0"/>
    <w:rsid w:val="00337300"/>
    <w:rsid w:val="0033742A"/>
    <w:rsid w:val="00340125"/>
    <w:rsid w:val="0034049B"/>
    <w:rsid w:val="00340711"/>
    <w:rsid w:val="00342685"/>
    <w:rsid w:val="003429DD"/>
    <w:rsid w:val="003430BA"/>
    <w:rsid w:val="003438A4"/>
    <w:rsid w:val="00344D85"/>
    <w:rsid w:val="00345DAF"/>
    <w:rsid w:val="00346202"/>
    <w:rsid w:val="0034636A"/>
    <w:rsid w:val="003466EE"/>
    <w:rsid w:val="0034764E"/>
    <w:rsid w:val="00347729"/>
    <w:rsid w:val="003502EC"/>
    <w:rsid w:val="00350637"/>
    <w:rsid w:val="00350AA3"/>
    <w:rsid w:val="00351D79"/>
    <w:rsid w:val="003523AA"/>
    <w:rsid w:val="003530EC"/>
    <w:rsid w:val="00353252"/>
    <w:rsid w:val="00356B5E"/>
    <w:rsid w:val="003602A5"/>
    <w:rsid w:val="0036396B"/>
    <w:rsid w:val="003657C9"/>
    <w:rsid w:val="00367458"/>
    <w:rsid w:val="00367AE6"/>
    <w:rsid w:val="00370D29"/>
    <w:rsid w:val="003710D8"/>
    <w:rsid w:val="00371D77"/>
    <w:rsid w:val="0037295E"/>
    <w:rsid w:val="00372CA0"/>
    <w:rsid w:val="0037304A"/>
    <w:rsid w:val="00373567"/>
    <w:rsid w:val="0037436F"/>
    <w:rsid w:val="003748B7"/>
    <w:rsid w:val="003751F5"/>
    <w:rsid w:val="0037537D"/>
    <w:rsid w:val="00375A8E"/>
    <w:rsid w:val="00376BA8"/>
    <w:rsid w:val="00380DAB"/>
    <w:rsid w:val="0038101A"/>
    <w:rsid w:val="003831A5"/>
    <w:rsid w:val="00384E8C"/>
    <w:rsid w:val="00384FFB"/>
    <w:rsid w:val="00385622"/>
    <w:rsid w:val="00385D34"/>
    <w:rsid w:val="003875EE"/>
    <w:rsid w:val="00390584"/>
    <w:rsid w:val="00391D78"/>
    <w:rsid w:val="00393872"/>
    <w:rsid w:val="003939F9"/>
    <w:rsid w:val="0039403B"/>
    <w:rsid w:val="00394237"/>
    <w:rsid w:val="00394751"/>
    <w:rsid w:val="0039498A"/>
    <w:rsid w:val="00395790"/>
    <w:rsid w:val="00396CC9"/>
    <w:rsid w:val="0039778D"/>
    <w:rsid w:val="003A2326"/>
    <w:rsid w:val="003A238D"/>
    <w:rsid w:val="003A2545"/>
    <w:rsid w:val="003A2FA5"/>
    <w:rsid w:val="003A3F2E"/>
    <w:rsid w:val="003A503F"/>
    <w:rsid w:val="003A59FD"/>
    <w:rsid w:val="003A7AD8"/>
    <w:rsid w:val="003A7B3A"/>
    <w:rsid w:val="003B0550"/>
    <w:rsid w:val="003B0814"/>
    <w:rsid w:val="003B1790"/>
    <w:rsid w:val="003B179C"/>
    <w:rsid w:val="003B307F"/>
    <w:rsid w:val="003B3A9F"/>
    <w:rsid w:val="003B47C5"/>
    <w:rsid w:val="003B556F"/>
    <w:rsid w:val="003B5571"/>
    <w:rsid w:val="003B59ED"/>
    <w:rsid w:val="003B69A5"/>
    <w:rsid w:val="003B6DA6"/>
    <w:rsid w:val="003C046B"/>
    <w:rsid w:val="003C0C07"/>
    <w:rsid w:val="003C3F25"/>
    <w:rsid w:val="003C449C"/>
    <w:rsid w:val="003C515B"/>
    <w:rsid w:val="003C6072"/>
    <w:rsid w:val="003C6717"/>
    <w:rsid w:val="003C75B1"/>
    <w:rsid w:val="003C7A04"/>
    <w:rsid w:val="003D0662"/>
    <w:rsid w:val="003D0FC9"/>
    <w:rsid w:val="003D3FF2"/>
    <w:rsid w:val="003D5779"/>
    <w:rsid w:val="003D63DA"/>
    <w:rsid w:val="003D6C8B"/>
    <w:rsid w:val="003E07F5"/>
    <w:rsid w:val="003E0848"/>
    <w:rsid w:val="003E0CC4"/>
    <w:rsid w:val="003E2616"/>
    <w:rsid w:val="003E3AB3"/>
    <w:rsid w:val="003E4721"/>
    <w:rsid w:val="003E4BC3"/>
    <w:rsid w:val="003E4D91"/>
    <w:rsid w:val="003E5276"/>
    <w:rsid w:val="003E5495"/>
    <w:rsid w:val="003F0541"/>
    <w:rsid w:val="003F05B3"/>
    <w:rsid w:val="003F160F"/>
    <w:rsid w:val="003F1875"/>
    <w:rsid w:val="003F20DF"/>
    <w:rsid w:val="003F2C59"/>
    <w:rsid w:val="003F37AF"/>
    <w:rsid w:val="003F3D97"/>
    <w:rsid w:val="003F401B"/>
    <w:rsid w:val="003F5E8A"/>
    <w:rsid w:val="004003A6"/>
    <w:rsid w:val="00400F72"/>
    <w:rsid w:val="0040185B"/>
    <w:rsid w:val="00402354"/>
    <w:rsid w:val="004029E4"/>
    <w:rsid w:val="0040325B"/>
    <w:rsid w:val="0040543E"/>
    <w:rsid w:val="00407637"/>
    <w:rsid w:val="00407E70"/>
    <w:rsid w:val="00411371"/>
    <w:rsid w:val="004120E1"/>
    <w:rsid w:val="004129E4"/>
    <w:rsid w:val="00415186"/>
    <w:rsid w:val="00415837"/>
    <w:rsid w:val="004162C7"/>
    <w:rsid w:val="004163AD"/>
    <w:rsid w:val="00417B80"/>
    <w:rsid w:val="00420619"/>
    <w:rsid w:val="00420C37"/>
    <w:rsid w:val="004218B1"/>
    <w:rsid w:val="00421A5A"/>
    <w:rsid w:val="00421E84"/>
    <w:rsid w:val="004220C0"/>
    <w:rsid w:val="00422B1B"/>
    <w:rsid w:val="00423389"/>
    <w:rsid w:val="00424933"/>
    <w:rsid w:val="00424973"/>
    <w:rsid w:val="004264F8"/>
    <w:rsid w:val="00431127"/>
    <w:rsid w:val="004320BD"/>
    <w:rsid w:val="004333F3"/>
    <w:rsid w:val="00433A19"/>
    <w:rsid w:val="00434467"/>
    <w:rsid w:val="004351FA"/>
    <w:rsid w:val="004365BC"/>
    <w:rsid w:val="00436CE3"/>
    <w:rsid w:val="00436D4F"/>
    <w:rsid w:val="00436E57"/>
    <w:rsid w:val="00440606"/>
    <w:rsid w:val="00440EE7"/>
    <w:rsid w:val="00441292"/>
    <w:rsid w:val="0044178F"/>
    <w:rsid w:val="00442B59"/>
    <w:rsid w:val="00442D35"/>
    <w:rsid w:val="0044342E"/>
    <w:rsid w:val="00443A84"/>
    <w:rsid w:val="00443AF2"/>
    <w:rsid w:val="00444B39"/>
    <w:rsid w:val="00444CDF"/>
    <w:rsid w:val="00445CD1"/>
    <w:rsid w:val="00446435"/>
    <w:rsid w:val="00446AC6"/>
    <w:rsid w:val="00447D5B"/>
    <w:rsid w:val="00450DEB"/>
    <w:rsid w:val="004520DF"/>
    <w:rsid w:val="00453AF0"/>
    <w:rsid w:val="00454FDA"/>
    <w:rsid w:val="00455380"/>
    <w:rsid w:val="0045672A"/>
    <w:rsid w:val="00457B95"/>
    <w:rsid w:val="00461C56"/>
    <w:rsid w:val="00462040"/>
    <w:rsid w:val="00463017"/>
    <w:rsid w:val="00464A47"/>
    <w:rsid w:val="0046556C"/>
    <w:rsid w:val="00471089"/>
    <w:rsid w:val="0047302B"/>
    <w:rsid w:val="00474547"/>
    <w:rsid w:val="00474D4A"/>
    <w:rsid w:val="004755B0"/>
    <w:rsid w:val="004759D8"/>
    <w:rsid w:val="00476660"/>
    <w:rsid w:val="004775E0"/>
    <w:rsid w:val="00477F8A"/>
    <w:rsid w:val="00481631"/>
    <w:rsid w:val="0048192E"/>
    <w:rsid w:val="004828CF"/>
    <w:rsid w:val="00484857"/>
    <w:rsid w:val="00487D61"/>
    <w:rsid w:val="0049194C"/>
    <w:rsid w:val="00492345"/>
    <w:rsid w:val="00492A96"/>
    <w:rsid w:val="0049367F"/>
    <w:rsid w:val="00495799"/>
    <w:rsid w:val="004969E0"/>
    <w:rsid w:val="00496AF0"/>
    <w:rsid w:val="00496CE6"/>
    <w:rsid w:val="004A008A"/>
    <w:rsid w:val="004A2192"/>
    <w:rsid w:val="004A3216"/>
    <w:rsid w:val="004A34CD"/>
    <w:rsid w:val="004A37B3"/>
    <w:rsid w:val="004A3B4E"/>
    <w:rsid w:val="004A6E3D"/>
    <w:rsid w:val="004B0AA4"/>
    <w:rsid w:val="004B11F2"/>
    <w:rsid w:val="004B1D4D"/>
    <w:rsid w:val="004B1E46"/>
    <w:rsid w:val="004B1F6A"/>
    <w:rsid w:val="004B2EDD"/>
    <w:rsid w:val="004B3B69"/>
    <w:rsid w:val="004B5E62"/>
    <w:rsid w:val="004B6D9F"/>
    <w:rsid w:val="004B71B6"/>
    <w:rsid w:val="004B7B45"/>
    <w:rsid w:val="004B7F88"/>
    <w:rsid w:val="004C09CF"/>
    <w:rsid w:val="004C193E"/>
    <w:rsid w:val="004C1B55"/>
    <w:rsid w:val="004C2288"/>
    <w:rsid w:val="004C2599"/>
    <w:rsid w:val="004C2A67"/>
    <w:rsid w:val="004C2C83"/>
    <w:rsid w:val="004C32CB"/>
    <w:rsid w:val="004C34F7"/>
    <w:rsid w:val="004C37EE"/>
    <w:rsid w:val="004C3BB0"/>
    <w:rsid w:val="004C5181"/>
    <w:rsid w:val="004C5A87"/>
    <w:rsid w:val="004C774D"/>
    <w:rsid w:val="004D0ADB"/>
    <w:rsid w:val="004D1035"/>
    <w:rsid w:val="004D1F27"/>
    <w:rsid w:val="004D2074"/>
    <w:rsid w:val="004D3C42"/>
    <w:rsid w:val="004D3E3B"/>
    <w:rsid w:val="004D4979"/>
    <w:rsid w:val="004D5D79"/>
    <w:rsid w:val="004D6121"/>
    <w:rsid w:val="004D657B"/>
    <w:rsid w:val="004D7136"/>
    <w:rsid w:val="004D74C5"/>
    <w:rsid w:val="004E01EF"/>
    <w:rsid w:val="004E0D94"/>
    <w:rsid w:val="004E1B88"/>
    <w:rsid w:val="004E42B4"/>
    <w:rsid w:val="004E4564"/>
    <w:rsid w:val="004E61BE"/>
    <w:rsid w:val="004E747D"/>
    <w:rsid w:val="004F01D5"/>
    <w:rsid w:val="004F244B"/>
    <w:rsid w:val="004F35E2"/>
    <w:rsid w:val="004F5218"/>
    <w:rsid w:val="004F5954"/>
    <w:rsid w:val="004F69AC"/>
    <w:rsid w:val="004F6A2A"/>
    <w:rsid w:val="00500FBC"/>
    <w:rsid w:val="00503493"/>
    <w:rsid w:val="00503A64"/>
    <w:rsid w:val="00504215"/>
    <w:rsid w:val="00504408"/>
    <w:rsid w:val="00507F1D"/>
    <w:rsid w:val="00510B43"/>
    <w:rsid w:val="00510D62"/>
    <w:rsid w:val="00510DF7"/>
    <w:rsid w:val="00511412"/>
    <w:rsid w:val="00511931"/>
    <w:rsid w:val="005119E4"/>
    <w:rsid w:val="00511A7E"/>
    <w:rsid w:val="00511AF8"/>
    <w:rsid w:val="005129CD"/>
    <w:rsid w:val="00512E81"/>
    <w:rsid w:val="00513B01"/>
    <w:rsid w:val="00515272"/>
    <w:rsid w:val="0051544B"/>
    <w:rsid w:val="00515743"/>
    <w:rsid w:val="005169D4"/>
    <w:rsid w:val="0051706A"/>
    <w:rsid w:val="00523214"/>
    <w:rsid w:val="00524FF3"/>
    <w:rsid w:val="00525273"/>
    <w:rsid w:val="0052653C"/>
    <w:rsid w:val="00526CE3"/>
    <w:rsid w:val="00532629"/>
    <w:rsid w:val="00532D68"/>
    <w:rsid w:val="00533280"/>
    <w:rsid w:val="00533D71"/>
    <w:rsid w:val="00534EEC"/>
    <w:rsid w:val="00536302"/>
    <w:rsid w:val="00536A74"/>
    <w:rsid w:val="005371E4"/>
    <w:rsid w:val="00537C56"/>
    <w:rsid w:val="00540F01"/>
    <w:rsid w:val="00541310"/>
    <w:rsid w:val="005415AD"/>
    <w:rsid w:val="00541725"/>
    <w:rsid w:val="00542FCA"/>
    <w:rsid w:val="00543142"/>
    <w:rsid w:val="00543614"/>
    <w:rsid w:val="00543CE7"/>
    <w:rsid w:val="00543FEB"/>
    <w:rsid w:val="00545CF5"/>
    <w:rsid w:val="00545F4C"/>
    <w:rsid w:val="00546A07"/>
    <w:rsid w:val="00547B81"/>
    <w:rsid w:val="00547F11"/>
    <w:rsid w:val="00550178"/>
    <w:rsid w:val="00551CF5"/>
    <w:rsid w:val="00552DBA"/>
    <w:rsid w:val="00553CE2"/>
    <w:rsid w:val="005546F0"/>
    <w:rsid w:val="0055565F"/>
    <w:rsid w:val="00555DC2"/>
    <w:rsid w:val="005602B1"/>
    <w:rsid w:val="00560D7A"/>
    <w:rsid w:val="00560EDE"/>
    <w:rsid w:val="00561F1A"/>
    <w:rsid w:val="00562C27"/>
    <w:rsid w:val="00564620"/>
    <w:rsid w:val="005649BE"/>
    <w:rsid w:val="00564AA9"/>
    <w:rsid w:val="00564DB3"/>
    <w:rsid w:val="00564FF5"/>
    <w:rsid w:val="0056622F"/>
    <w:rsid w:val="0057069C"/>
    <w:rsid w:val="00570A54"/>
    <w:rsid w:val="00571A8D"/>
    <w:rsid w:val="00571F92"/>
    <w:rsid w:val="005746D3"/>
    <w:rsid w:val="00574E61"/>
    <w:rsid w:val="005754F1"/>
    <w:rsid w:val="0058285E"/>
    <w:rsid w:val="00582CB5"/>
    <w:rsid w:val="00583893"/>
    <w:rsid w:val="005847B1"/>
    <w:rsid w:val="00584882"/>
    <w:rsid w:val="00585D91"/>
    <w:rsid w:val="00585E11"/>
    <w:rsid w:val="00586B34"/>
    <w:rsid w:val="00590B19"/>
    <w:rsid w:val="005920A1"/>
    <w:rsid w:val="00593907"/>
    <w:rsid w:val="00594643"/>
    <w:rsid w:val="005952AA"/>
    <w:rsid w:val="00595338"/>
    <w:rsid w:val="005A05E0"/>
    <w:rsid w:val="005A36F3"/>
    <w:rsid w:val="005A3BC9"/>
    <w:rsid w:val="005A42AB"/>
    <w:rsid w:val="005A4FEC"/>
    <w:rsid w:val="005A56AE"/>
    <w:rsid w:val="005A5DEC"/>
    <w:rsid w:val="005A6989"/>
    <w:rsid w:val="005A721E"/>
    <w:rsid w:val="005A779C"/>
    <w:rsid w:val="005A78E4"/>
    <w:rsid w:val="005B1024"/>
    <w:rsid w:val="005B2A2E"/>
    <w:rsid w:val="005B4334"/>
    <w:rsid w:val="005B4FF2"/>
    <w:rsid w:val="005B51A7"/>
    <w:rsid w:val="005B61DF"/>
    <w:rsid w:val="005B6243"/>
    <w:rsid w:val="005B6486"/>
    <w:rsid w:val="005C0100"/>
    <w:rsid w:val="005C2D8C"/>
    <w:rsid w:val="005C4B1C"/>
    <w:rsid w:val="005C5B66"/>
    <w:rsid w:val="005C5E92"/>
    <w:rsid w:val="005C769A"/>
    <w:rsid w:val="005D0285"/>
    <w:rsid w:val="005D1068"/>
    <w:rsid w:val="005D1E84"/>
    <w:rsid w:val="005D2A15"/>
    <w:rsid w:val="005D2F76"/>
    <w:rsid w:val="005D352C"/>
    <w:rsid w:val="005D3984"/>
    <w:rsid w:val="005E1710"/>
    <w:rsid w:val="005E2D5E"/>
    <w:rsid w:val="005E35E3"/>
    <w:rsid w:val="005E4EBD"/>
    <w:rsid w:val="005E52FE"/>
    <w:rsid w:val="005E55E4"/>
    <w:rsid w:val="005E5889"/>
    <w:rsid w:val="005E6973"/>
    <w:rsid w:val="005F07B4"/>
    <w:rsid w:val="005F1426"/>
    <w:rsid w:val="005F2140"/>
    <w:rsid w:val="005F3D3B"/>
    <w:rsid w:val="005F4AD2"/>
    <w:rsid w:val="005F4B3F"/>
    <w:rsid w:val="005F74AD"/>
    <w:rsid w:val="005F7A21"/>
    <w:rsid w:val="005F7B96"/>
    <w:rsid w:val="006006E4"/>
    <w:rsid w:val="0060158E"/>
    <w:rsid w:val="00601A03"/>
    <w:rsid w:val="00601BA3"/>
    <w:rsid w:val="0060229C"/>
    <w:rsid w:val="006036FB"/>
    <w:rsid w:val="00604724"/>
    <w:rsid w:val="0060678B"/>
    <w:rsid w:val="00610123"/>
    <w:rsid w:val="00611294"/>
    <w:rsid w:val="0061190C"/>
    <w:rsid w:val="00611CCC"/>
    <w:rsid w:val="00613CD5"/>
    <w:rsid w:val="00614DB5"/>
    <w:rsid w:val="00615849"/>
    <w:rsid w:val="00616056"/>
    <w:rsid w:val="00616A8A"/>
    <w:rsid w:val="006221DF"/>
    <w:rsid w:val="00622844"/>
    <w:rsid w:val="00623350"/>
    <w:rsid w:val="006242AF"/>
    <w:rsid w:val="006252F3"/>
    <w:rsid w:val="006257EC"/>
    <w:rsid w:val="0062629D"/>
    <w:rsid w:val="00631281"/>
    <w:rsid w:val="006318D5"/>
    <w:rsid w:val="0063279B"/>
    <w:rsid w:val="006335D9"/>
    <w:rsid w:val="00633B35"/>
    <w:rsid w:val="00634F53"/>
    <w:rsid w:val="00640453"/>
    <w:rsid w:val="00641F26"/>
    <w:rsid w:val="006437EC"/>
    <w:rsid w:val="00643838"/>
    <w:rsid w:val="00644DB5"/>
    <w:rsid w:val="0064556B"/>
    <w:rsid w:val="00645F63"/>
    <w:rsid w:val="00646647"/>
    <w:rsid w:val="0064684F"/>
    <w:rsid w:val="0064733D"/>
    <w:rsid w:val="0064775C"/>
    <w:rsid w:val="00650516"/>
    <w:rsid w:val="00650BA4"/>
    <w:rsid w:val="006510EC"/>
    <w:rsid w:val="0065148E"/>
    <w:rsid w:val="00652315"/>
    <w:rsid w:val="006526D6"/>
    <w:rsid w:val="00652805"/>
    <w:rsid w:val="006529E4"/>
    <w:rsid w:val="006532B3"/>
    <w:rsid w:val="006541E6"/>
    <w:rsid w:val="00654531"/>
    <w:rsid w:val="00654EF6"/>
    <w:rsid w:val="00654F43"/>
    <w:rsid w:val="00655D72"/>
    <w:rsid w:val="00655EB5"/>
    <w:rsid w:val="006560C6"/>
    <w:rsid w:val="00656526"/>
    <w:rsid w:val="006573B4"/>
    <w:rsid w:val="00657800"/>
    <w:rsid w:val="00660396"/>
    <w:rsid w:val="00660614"/>
    <w:rsid w:val="00661B6D"/>
    <w:rsid w:val="006627B0"/>
    <w:rsid w:val="00663621"/>
    <w:rsid w:val="006636D1"/>
    <w:rsid w:val="0066409A"/>
    <w:rsid w:val="006641F4"/>
    <w:rsid w:val="00664D37"/>
    <w:rsid w:val="006653D3"/>
    <w:rsid w:val="0067139E"/>
    <w:rsid w:val="00671590"/>
    <w:rsid w:val="00672664"/>
    <w:rsid w:val="00672AB0"/>
    <w:rsid w:val="0067327F"/>
    <w:rsid w:val="0068234F"/>
    <w:rsid w:val="006841A9"/>
    <w:rsid w:val="00685B91"/>
    <w:rsid w:val="00690509"/>
    <w:rsid w:val="00690611"/>
    <w:rsid w:val="006908BD"/>
    <w:rsid w:val="00691CAE"/>
    <w:rsid w:val="00693E7A"/>
    <w:rsid w:val="00695CE8"/>
    <w:rsid w:val="006A2EA9"/>
    <w:rsid w:val="006A54E7"/>
    <w:rsid w:val="006A5D58"/>
    <w:rsid w:val="006B08FF"/>
    <w:rsid w:val="006B2B86"/>
    <w:rsid w:val="006B47EF"/>
    <w:rsid w:val="006B4E3E"/>
    <w:rsid w:val="006B679E"/>
    <w:rsid w:val="006C0746"/>
    <w:rsid w:val="006C0DB7"/>
    <w:rsid w:val="006C263C"/>
    <w:rsid w:val="006C2FED"/>
    <w:rsid w:val="006C328D"/>
    <w:rsid w:val="006C3D3E"/>
    <w:rsid w:val="006C4092"/>
    <w:rsid w:val="006C5E9C"/>
    <w:rsid w:val="006C68B3"/>
    <w:rsid w:val="006C6A33"/>
    <w:rsid w:val="006C6DD6"/>
    <w:rsid w:val="006D04CC"/>
    <w:rsid w:val="006D0F48"/>
    <w:rsid w:val="006D47AC"/>
    <w:rsid w:val="006D4DBC"/>
    <w:rsid w:val="006D7010"/>
    <w:rsid w:val="006D76CE"/>
    <w:rsid w:val="006E0970"/>
    <w:rsid w:val="006E10BE"/>
    <w:rsid w:val="006E1932"/>
    <w:rsid w:val="006E2E1A"/>
    <w:rsid w:val="006E3714"/>
    <w:rsid w:val="006E3FD1"/>
    <w:rsid w:val="006E5A56"/>
    <w:rsid w:val="006E6198"/>
    <w:rsid w:val="006E6CA7"/>
    <w:rsid w:val="006E7D1F"/>
    <w:rsid w:val="006F0997"/>
    <w:rsid w:val="006F11EA"/>
    <w:rsid w:val="006F141D"/>
    <w:rsid w:val="006F1931"/>
    <w:rsid w:val="006F2AB4"/>
    <w:rsid w:val="006F2FA1"/>
    <w:rsid w:val="006F35F6"/>
    <w:rsid w:val="006F3D18"/>
    <w:rsid w:val="006F44EE"/>
    <w:rsid w:val="006F487B"/>
    <w:rsid w:val="006F5152"/>
    <w:rsid w:val="006F79CF"/>
    <w:rsid w:val="00700066"/>
    <w:rsid w:val="00700562"/>
    <w:rsid w:val="00700A14"/>
    <w:rsid w:val="00701323"/>
    <w:rsid w:val="00704120"/>
    <w:rsid w:val="007063A9"/>
    <w:rsid w:val="00706400"/>
    <w:rsid w:val="00710237"/>
    <w:rsid w:val="007119E8"/>
    <w:rsid w:val="00712878"/>
    <w:rsid w:val="00713629"/>
    <w:rsid w:val="00713BF3"/>
    <w:rsid w:val="00714778"/>
    <w:rsid w:val="00714A4C"/>
    <w:rsid w:val="00716551"/>
    <w:rsid w:val="007170B9"/>
    <w:rsid w:val="00721F27"/>
    <w:rsid w:val="007220A0"/>
    <w:rsid w:val="00722429"/>
    <w:rsid w:val="00722AC8"/>
    <w:rsid w:val="00722CEF"/>
    <w:rsid w:val="00723C63"/>
    <w:rsid w:val="00723D13"/>
    <w:rsid w:val="00723E2B"/>
    <w:rsid w:val="00726F5D"/>
    <w:rsid w:val="007279A6"/>
    <w:rsid w:val="00727A16"/>
    <w:rsid w:val="00727CF5"/>
    <w:rsid w:val="007308EE"/>
    <w:rsid w:val="00730BE0"/>
    <w:rsid w:val="00731950"/>
    <w:rsid w:val="00731D51"/>
    <w:rsid w:val="00733399"/>
    <w:rsid w:val="00734062"/>
    <w:rsid w:val="00735360"/>
    <w:rsid w:val="0073643F"/>
    <w:rsid w:val="00736967"/>
    <w:rsid w:val="0073738D"/>
    <w:rsid w:val="00740FEE"/>
    <w:rsid w:val="007416B4"/>
    <w:rsid w:val="00741EC7"/>
    <w:rsid w:val="007429E0"/>
    <w:rsid w:val="00743107"/>
    <w:rsid w:val="0074370C"/>
    <w:rsid w:val="00743D06"/>
    <w:rsid w:val="0074534D"/>
    <w:rsid w:val="00745CD2"/>
    <w:rsid w:val="00750074"/>
    <w:rsid w:val="0075150E"/>
    <w:rsid w:val="00751AB5"/>
    <w:rsid w:val="007530BD"/>
    <w:rsid w:val="00753D6E"/>
    <w:rsid w:val="0075454C"/>
    <w:rsid w:val="00755032"/>
    <w:rsid w:val="00755A31"/>
    <w:rsid w:val="00755A34"/>
    <w:rsid w:val="007561D4"/>
    <w:rsid w:val="00756B98"/>
    <w:rsid w:val="00756C1F"/>
    <w:rsid w:val="00756D23"/>
    <w:rsid w:val="007575A9"/>
    <w:rsid w:val="00757AE1"/>
    <w:rsid w:val="00757F0D"/>
    <w:rsid w:val="00760794"/>
    <w:rsid w:val="0076168A"/>
    <w:rsid w:val="00761ABC"/>
    <w:rsid w:val="0076268C"/>
    <w:rsid w:val="007636B5"/>
    <w:rsid w:val="00763B06"/>
    <w:rsid w:val="00764137"/>
    <w:rsid w:val="007652D4"/>
    <w:rsid w:val="0076547E"/>
    <w:rsid w:val="00765E66"/>
    <w:rsid w:val="007668C6"/>
    <w:rsid w:val="00767D05"/>
    <w:rsid w:val="00767F59"/>
    <w:rsid w:val="0077013A"/>
    <w:rsid w:val="0077177A"/>
    <w:rsid w:val="00771D39"/>
    <w:rsid w:val="00772AB8"/>
    <w:rsid w:val="007731AF"/>
    <w:rsid w:val="00773D7B"/>
    <w:rsid w:val="007755E7"/>
    <w:rsid w:val="0077673E"/>
    <w:rsid w:val="00776A89"/>
    <w:rsid w:val="00777865"/>
    <w:rsid w:val="00777E90"/>
    <w:rsid w:val="00782982"/>
    <w:rsid w:val="00783CB8"/>
    <w:rsid w:val="00784E87"/>
    <w:rsid w:val="007852A3"/>
    <w:rsid w:val="007863E1"/>
    <w:rsid w:val="00790393"/>
    <w:rsid w:val="0079175A"/>
    <w:rsid w:val="00794B0F"/>
    <w:rsid w:val="00797263"/>
    <w:rsid w:val="007A0C34"/>
    <w:rsid w:val="007A1000"/>
    <w:rsid w:val="007A15DC"/>
    <w:rsid w:val="007A1C45"/>
    <w:rsid w:val="007A2557"/>
    <w:rsid w:val="007A256E"/>
    <w:rsid w:val="007A3063"/>
    <w:rsid w:val="007A4A07"/>
    <w:rsid w:val="007A4C50"/>
    <w:rsid w:val="007A7D8A"/>
    <w:rsid w:val="007B01C1"/>
    <w:rsid w:val="007B06B2"/>
    <w:rsid w:val="007B0E8C"/>
    <w:rsid w:val="007B1F1B"/>
    <w:rsid w:val="007B273E"/>
    <w:rsid w:val="007B4B29"/>
    <w:rsid w:val="007B4CC9"/>
    <w:rsid w:val="007B6348"/>
    <w:rsid w:val="007B6B91"/>
    <w:rsid w:val="007B6E2A"/>
    <w:rsid w:val="007B6EB6"/>
    <w:rsid w:val="007B7326"/>
    <w:rsid w:val="007B7920"/>
    <w:rsid w:val="007B7A24"/>
    <w:rsid w:val="007C0D44"/>
    <w:rsid w:val="007C2A9F"/>
    <w:rsid w:val="007C3B5E"/>
    <w:rsid w:val="007C3E99"/>
    <w:rsid w:val="007C46F6"/>
    <w:rsid w:val="007C46FA"/>
    <w:rsid w:val="007C4B79"/>
    <w:rsid w:val="007C4ECE"/>
    <w:rsid w:val="007C5773"/>
    <w:rsid w:val="007C601D"/>
    <w:rsid w:val="007C65B3"/>
    <w:rsid w:val="007C6AD4"/>
    <w:rsid w:val="007C7664"/>
    <w:rsid w:val="007D03B1"/>
    <w:rsid w:val="007D0658"/>
    <w:rsid w:val="007D072E"/>
    <w:rsid w:val="007D14EB"/>
    <w:rsid w:val="007D200F"/>
    <w:rsid w:val="007D2FE0"/>
    <w:rsid w:val="007D33DF"/>
    <w:rsid w:val="007D5738"/>
    <w:rsid w:val="007D6CE0"/>
    <w:rsid w:val="007D73A0"/>
    <w:rsid w:val="007E02D7"/>
    <w:rsid w:val="007E0329"/>
    <w:rsid w:val="007E0541"/>
    <w:rsid w:val="007E183F"/>
    <w:rsid w:val="007E237C"/>
    <w:rsid w:val="007E3931"/>
    <w:rsid w:val="007E397E"/>
    <w:rsid w:val="007E48C3"/>
    <w:rsid w:val="007E4E7C"/>
    <w:rsid w:val="007E4E80"/>
    <w:rsid w:val="007E4EF6"/>
    <w:rsid w:val="007E50F7"/>
    <w:rsid w:val="007E539D"/>
    <w:rsid w:val="007E7058"/>
    <w:rsid w:val="007E74A5"/>
    <w:rsid w:val="007E7EAB"/>
    <w:rsid w:val="007F03CE"/>
    <w:rsid w:val="007F08D7"/>
    <w:rsid w:val="007F0F1B"/>
    <w:rsid w:val="007F107D"/>
    <w:rsid w:val="007F1B05"/>
    <w:rsid w:val="007F37A0"/>
    <w:rsid w:val="007F3DAD"/>
    <w:rsid w:val="007F6749"/>
    <w:rsid w:val="007F7215"/>
    <w:rsid w:val="00800000"/>
    <w:rsid w:val="008014FC"/>
    <w:rsid w:val="00801DE5"/>
    <w:rsid w:val="00804AEF"/>
    <w:rsid w:val="008050C7"/>
    <w:rsid w:val="00807546"/>
    <w:rsid w:val="008119C8"/>
    <w:rsid w:val="00812DBA"/>
    <w:rsid w:val="0081428B"/>
    <w:rsid w:val="008147C9"/>
    <w:rsid w:val="00815766"/>
    <w:rsid w:val="008159C7"/>
    <w:rsid w:val="008165D7"/>
    <w:rsid w:val="00817A2B"/>
    <w:rsid w:val="00820A91"/>
    <w:rsid w:val="00821336"/>
    <w:rsid w:val="008221F1"/>
    <w:rsid w:val="00822D87"/>
    <w:rsid w:val="00823229"/>
    <w:rsid w:val="0082339A"/>
    <w:rsid w:val="00823BDD"/>
    <w:rsid w:val="00823FD1"/>
    <w:rsid w:val="008243C2"/>
    <w:rsid w:val="00824BEF"/>
    <w:rsid w:val="00824D6E"/>
    <w:rsid w:val="0082506D"/>
    <w:rsid w:val="00825893"/>
    <w:rsid w:val="008275FE"/>
    <w:rsid w:val="00827A83"/>
    <w:rsid w:val="00827B83"/>
    <w:rsid w:val="008302B4"/>
    <w:rsid w:val="008304C3"/>
    <w:rsid w:val="00830986"/>
    <w:rsid w:val="00830D05"/>
    <w:rsid w:val="00832957"/>
    <w:rsid w:val="00832B03"/>
    <w:rsid w:val="00832B83"/>
    <w:rsid w:val="008337AC"/>
    <w:rsid w:val="008344C0"/>
    <w:rsid w:val="008354DE"/>
    <w:rsid w:val="00835535"/>
    <w:rsid w:val="00835C39"/>
    <w:rsid w:val="00835DC6"/>
    <w:rsid w:val="008374B5"/>
    <w:rsid w:val="008379C7"/>
    <w:rsid w:val="0084013F"/>
    <w:rsid w:val="00840165"/>
    <w:rsid w:val="0084102E"/>
    <w:rsid w:val="00841AB7"/>
    <w:rsid w:val="00841DE8"/>
    <w:rsid w:val="00842C56"/>
    <w:rsid w:val="00844978"/>
    <w:rsid w:val="00846AE2"/>
    <w:rsid w:val="008470B2"/>
    <w:rsid w:val="008502B5"/>
    <w:rsid w:val="00852310"/>
    <w:rsid w:val="00853332"/>
    <w:rsid w:val="00854476"/>
    <w:rsid w:val="00854D81"/>
    <w:rsid w:val="00854F62"/>
    <w:rsid w:val="00856172"/>
    <w:rsid w:val="00857AEC"/>
    <w:rsid w:val="00860C8F"/>
    <w:rsid w:val="0086135A"/>
    <w:rsid w:val="00863219"/>
    <w:rsid w:val="0086384C"/>
    <w:rsid w:val="00863C8F"/>
    <w:rsid w:val="00863F38"/>
    <w:rsid w:val="008646B7"/>
    <w:rsid w:val="00865430"/>
    <w:rsid w:val="0086662B"/>
    <w:rsid w:val="008677A7"/>
    <w:rsid w:val="008678B9"/>
    <w:rsid w:val="00867BD4"/>
    <w:rsid w:val="00871CF5"/>
    <w:rsid w:val="00871D6B"/>
    <w:rsid w:val="008721C2"/>
    <w:rsid w:val="00872C10"/>
    <w:rsid w:val="00874A46"/>
    <w:rsid w:val="0087514F"/>
    <w:rsid w:val="008760B2"/>
    <w:rsid w:val="008767B1"/>
    <w:rsid w:val="0088018B"/>
    <w:rsid w:val="00881391"/>
    <w:rsid w:val="00881FE2"/>
    <w:rsid w:val="00882E13"/>
    <w:rsid w:val="00883267"/>
    <w:rsid w:val="0088628A"/>
    <w:rsid w:val="008870D2"/>
    <w:rsid w:val="008902AE"/>
    <w:rsid w:val="00890404"/>
    <w:rsid w:val="0089076A"/>
    <w:rsid w:val="0089150B"/>
    <w:rsid w:val="0089180C"/>
    <w:rsid w:val="00891A10"/>
    <w:rsid w:val="00892992"/>
    <w:rsid w:val="00892E73"/>
    <w:rsid w:val="00894132"/>
    <w:rsid w:val="00894A2A"/>
    <w:rsid w:val="0089516C"/>
    <w:rsid w:val="008966A8"/>
    <w:rsid w:val="00896D30"/>
    <w:rsid w:val="00897A89"/>
    <w:rsid w:val="008A14B0"/>
    <w:rsid w:val="008A14BC"/>
    <w:rsid w:val="008A1A4D"/>
    <w:rsid w:val="008A1DC4"/>
    <w:rsid w:val="008A1EDF"/>
    <w:rsid w:val="008A51E9"/>
    <w:rsid w:val="008A5D51"/>
    <w:rsid w:val="008A6AD3"/>
    <w:rsid w:val="008A6B34"/>
    <w:rsid w:val="008A6CCB"/>
    <w:rsid w:val="008A71F5"/>
    <w:rsid w:val="008A773C"/>
    <w:rsid w:val="008A7881"/>
    <w:rsid w:val="008B09FF"/>
    <w:rsid w:val="008B1D44"/>
    <w:rsid w:val="008B2853"/>
    <w:rsid w:val="008B3341"/>
    <w:rsid w:val="008B3498"/>
    <w:rsid w:val="008B3D71"/>
    <w:rsid w:val="008B4A8D"/>
    <w:rsid w:val="008B52B2"/>
    <w:rsid w:val="008B5A19"/>
    <w:rsid w:val="008B69BC"/>
    <w:rsid w:val="008C02CB"/>
    <w:rsid w:val="008C068D"/>
    <w:rsid w:val="008C0A12"/>
    <w:rsid w:val="008C38EE"/>
    <w:rsid w:val="008C4752"/>
    <w:rsid w:val="008C4871"/>
    <w:rsid w:val="008C55C9"/>
    <w:rsid w:val="008C5991"/>
    <w:rsid w:val="008C75A5"/>
    <w:rsid w:val="008D1A1E"/>
    <w:rsid w:val="008D1CBC"/>
    <w:rsid w:val="008D3610"/>
    <w:rsid w:val="008D72D0"/>
    <w:rsid w:val="008D7EB0"/>
    <w:rsid w:val="008E0928"/>
    <w:rsid w:val="008E095C"/>
    <w:rsid w:val="008E0DB2"/>
    <w:rsid w:val="008E2B33"/>
    <w:rsid w:val="008E3456"/>
    <w:rsid w:val="008E54FD"/>
    <w:rsid w:val="008E56DD"/>
    <w:rsid w:val="008E6528"/>
    <w:rsid w:val="008E776B"/>
    <w:rsid w:val="008F0532"/>
    <w:rsid w:val="008F08DC"/>
    <w:rsid w:val="008F0906"/>
    <w:rsid w:val="008F1045"/>
    <w:rsid w:val="008F1389"/>
    <w:rsid w:val="008F14A8"/>
    <w:rsid w:val="008F306C"/>
    <w:rsid w:val="008F3EA0"/>
    <w:rsid w:val="008F4484"/>
    <w:rsid w:val="008F5CEA"/>
    <w:rsid w:val="008F6487"/>
    <w:rsid w:val="008F79AA"/>
    <w:rsid w:val="00900111"/>
    <w:rsid w:val="009002B3"/>
    <w:rsid w:val="00900848"/>
    <w:rsid w:val="00903032"/>
    <w:rsid w:val="0090358C"/>
    <w:rsid w:val="00903FA4"/>
    <w:rsid w:val="00905589"/>
    <w:rsid w:val="0090602B"/>
    <w:rsid w:val="00907CAC"/>
    <w:rsid w:val="009113F3"/>
    <w:rsid w:val="00911FB8"/>
    <w:rsid w:val="009121A0"/>
    <w:rsid w:val="0091306E"/>
    <w:rsid w:val="0091379E"/>
    <w:rsid w:val="00914879"/>
    <w:rsid w:val="0091489C"/>
    <w:rsid w:val="009152AB"/>
    <w:rsid w:val="0091592F"/>
    <w:rsid w:val="00916F7D"/>
    <w:rsid w:val="00917206"/>
    <w:rsid w:val="00920208"/>
    <w:rsid w:val="009217D9"/>
    <w:rsid w:val="009219D4"/>
    <w:rsid w:val="00924528"/>
    <w:rsid w:val="0092519E"/>
    <w:rsid w:val="009265D5"/>
    <w:rsid w:val="00926EAA"/>
    <w:rsid w:val="0093170E"/>
    <w:rsid w:val="00932206"/>
    <w:rsid w:val="009324BA"/>
    <w:rsid w:val="009359A7"/>
    <w:rsid w:val="0093713A"/>
    <w:rsid w:val="009403D2"/>
    <w:rsid w:val="009404F0"/>
    <w:rsid w:val="00940838"/>
    <w:rsid w:val="009426FE"/>
    <w:rsid w:val="009441E7"/>
    <w:rsid w:val="00944F1A"/>
    <w:rsid w:val="00945C15"/>
    <w:rsid w:val="00945FDE"/>
    <w:rsid w:val="00946293"/>
    <w:rsid w:val="009502EC"/>
    <w:rsid w:val="00951DE3"/>
    <w:rsid w:val="0095311E"/>
    <w:rsid w:val="00953DEF"/>
    <w:rsid w:val="00953EDF"/>
    <w:rsid w:val="00955041"/>
    <w:rsid w:val="009558F3"/>
    <w:rsid w:val="00956751"/>
    <w:rsid w:val="00957273"/>
    <w:rsid w:val="009602AF"/>
    <w:rsid w:val="009616FB"/>
    <w:rsid w:val="00961E71"/>
    <w:rsid w:val="00962872"/>
    <w:rsid w:val="00962C66"/>
    <w:rsid w:val="0096359A"/>
    <w:rsid w:val="009651B5"/>
    <w:rsid w:val="00966103"/>
    <w:rsid w:val="009667A9"/>
    <w:rsid w:val="0096746C"/>
    <w:rsid w:val="00967EBF"/>
    <w:rsid w:val="00967F1D"/>
    <w:rsid w:val="00967FB4"/>
    <w:rsid w:val="0097192F"/>
    <w:rsid w:val="00973152"/>
    <w:rsid w:val="00974C5A"/>
    <w:rsid w:val="00976405"/>
    <w:rsid w:val="00976B77"/>
    <w:rsid w:val="00977B69"/>
    <w:rsid w:val="00980C24"/>
    <w:rsid w:val="00981341"/>
    <w:rsid w:val="00982717"/>
    <w:rsid w:val="009841D9"/>
    <w:rsid w:val="009863EF"/>
    <w:rsid w:val="00986A1D"/>
    <w:rsid w:val="00987ECF"/>
    <w:rsid w:val="009908C4"/>
    <w:rsid w:val="00990C09"/>
    <w:rsid w:val="00990E35"/>
    <w:rsid w:val="00992006"/>
    <w:rsid w:val="00995BE8"/>
    <w:rsid w:val="00996456"/>
    <w:rsid w:val="00996BA3"/>
    <w:rsid w:val="0099734C"/>
    <w:rsid w:val="00997A52"/>
    <w:rsid w:val="009A07F7"/>
    <w:rsid w:val="009A0B61"/>
    <w:rsid w:val="009A172D"/>
    <w:rsid w:val="009A2EF3"/>
    <w:rsid w:val="009A2F1B"/>
    <w:rsid w:val="009A34E0"/>
    <w:rsid w:val="009A5297"/>
    <w:rsid w:val="009A5DBF"/>
    <w:rsid w:val="009A6F72"/>
    <w:rsid w:val="009A728D"/>
    <w:rsid w:val="009B0750"/>
    <w:rsid w:val="009B13D8"/>
    <w:rsid w:val="009B1726"/>
    <w:rsid w:val="009B7204"/>
    <w:rsid w:val="009B7C43"/>
    <w:rsid w:val="009C0295"/>
    <w:rsid w:val="009C0BE0"/>
    <w:rsid w:val="009C1BFD"/>
    <w:rsid w:val="009C1C4A"/>
    <w:rsid w:val="009C1D6E"/>
    <w:rsid w:val="009C1F13"/>
    <w:rsid w:val="009C21AF"/>
    <w:rsid w:val="009C36D8"/>
    <w:rsid w:val="009C36EE"/>
    <w:rsid w:val="009C3ACB"/>
    <w:rsid w:val="009C3FEA"/>
    <w:rsid w:val="009C45A1"/>
    <w:rsid w:val="009C506B"/>
    <w:rsid w:val="009C6389"/>
    <w:rsid w:val="009D0829"/>
    <w:rsid w:val="009D16AD"/>
    <w:rsid w:val="009D18E3"/>
    <w:rsid w:val="009D1A98"/>
    <w:rsid w:val="009D1E68"/>
    <w:rsid w:val="009D2441"/>
    <w:rsid w:val="009D251B"/>
    <w:rsid w:val="009D27E0"/>
    <w:rsid w:val="009D3577"/>
    <w:rsid w:val="009D3927"/>
    <w:rsid w:val="009D3ECC"/>
    <w:rsid w:val="009D61A4"/>
    <w:rsid w:val="009E0103"/>
    <w:rsid w:val="009E1304"/>
    <w:rsid w:val="009E147A"/>
    <w:rsid w:val="009E3FAF"/>
    <w:rsid w:val="009E4271"/>
    <w:rsid w:val="009E433E"/>
    <w:rsid w:val="009E572A"/>
    <w:rsid w:val="009E5C21"/>
    <w:rsid w:val="009E60B3"/>
    <w:rsid w:val="009F13B5"/>
    <w:rsid w:val="009F1850"/>
    <w:rsid w:val="009F1EC2"/>
    <w:rsid w:val="009F23A2"/>
    <w:rsid w:val="009F2D17"/>
    <w:rsid w:val="009F342A"/>
    <w:rsid w:val="009F4942"/>
    <w:rsid w:val="009F4996"/>
    <w:rsid w:val="009F4D1B"/>
    <w:rsid w:val="009F5AB0"/>
    <w:rsid w:val="009F6523"/>
    <w:rsid w:val="00A01350"/>
    <w:rsid w:val="00A01904"/>
    <w:rsid w:val="00A02F57"/>
    <w:rsid w:val="00A04C0D"/>
    <w:rsid w:val="00A04D65"/>
    <w:rsid w:val="00A05425"/>
    <w:rsid w:val="00A05D2D"/>
    <w:rsid w:val="00A07382"/>
    <w:rsid w:val="00A1174D"/>
    <w:rsid w:val="00A144DC"/>
    <w:rsid w:val="00A14B66"/>
    <w:rsid w:val="00A14E4D"/>
    <w:rsid w:val="00A15DCE"/>
    <w:rsid w:val="00A16EBE"/>
    <w:rsid w:val="00A17616"/>
    <w:rsid w:val="00A20EA7"/>
    <w:rsid w:val="00A21EAB"/>
    <w:rsid w:val="00A2210F"/>
    <w:rsid w:val="00A2271D"/>
    <w:rsid w:val="00A2293E"/>
    <w:rsid w:val="00A229AE"/>
    <w:rsid w:val="00A24F44"/>
    <w:rsid w:val="00A25966"/>
    <w:rsid w:val="00A25E8B"/>
    <w:rsid w:val="00A316EC"/>
    <w:rsid w:val="00A32248"/>
    <w:rsid w:val="00A335D1"/>
    <w:rsid w:val="00A34925"/>
    <w:rsid w:val="00A34983"/>
    <w:rsid w:val="00A35C52"/>
    <w:rsid w:val="00A37310"/>
    <w:rsid w:val="00A37E2B"/>
    <w:rsid w:val="00A425DF"/>
    <w:rsid w:val="00A42978"/>
    <w:rsid w:val="00A4339E"/>
    <w:rsid w:val="00A44B34"/>
    <w:rsid w:val="00A46AAD"/>
    <w:rsid w:val="00A472FD"/>
    <w:rsid w:val="00A517E0"/>
    <w:rsid w:val="00A53017"/>
    <w:rsid w:val="00A545D3"/>
    <w:rsid w:val="00A55A37"/>
    <w:rsid w:val="00A56D46"/>
    <w:rsid w:val="00A613B9"/>
    <w:rsid w:val="00A62431"/>
    <w:rsid w:val="00A62BC9"/>
    <w:rsid w:val="00A6530A"/>
    <w:rsid w:val="00A65790"/>
    <w:rsid w:val="00A65959"/>
    <w:rsid w:val="00A66D2C"/>
    <w:rsid w:val="00A71D72"/>
    <w:rsid w:val="00A72DBD"/>
    <w:rsid w:val="00A747B7"/>
    <w:rsid w:val="00A7587A"/>
    <w:rsid w:val="00A7596F"/>
    <w:rsid w:val="00A760B3"/>
    <w:rsid w:val="00A80692"/>
    <w:rsid w:val="00A80D1F"/>
    <w:rsid w:val="00A81590"/>
    <w:rsid w:val="00A81F66"/>
    <w:rsid w:val="00A8237F"/>
    <w:rsid w:val="00A8428D"/>
    <w:rsid w:val="00A85A67"/>
    <w:rsid w:val="00A879A7"/>
    <w:rsid w:val="00A90E5D"/>
    <w:rsid w:val="00A914C2"/>
    <w:rsid w:val="00A9193C"/>
    <w:rsid w:val="00A91B02"/>
    <w:rsid w:val="00A92D8A"/>
    <w:rsid w:val="00A94E11"/>
    <w:rsid w:val="00A9561B"/>
    <w:rsid w:val="00A956B6"/>
    <w:rsid w:val="00A9779C"/>
    <w:rsid w:val="00AA0706"/>
    <w:rsid w:val="00AA14BA"/>
    <w:rsid w:val="00AA1A67"/>
    <w:rsid w:val="00AA2024"/>
    <w:rsid w:val="00AA261E"/>
    <w:rsid w:val="00AA377B"/>
    <w:rsid w:val="00AA417A"/>
    <w:rsid w:val="00AA4265"/>
    <w:rsid w:val="00AA5460"/>
    <w:rsid w:val="00AB212E"/>
    <w:rsid w:val="00AB2278"/>
    <w:rsid w:val="00AB30D3"/>
    <w:rsid w:val="00AB67B1"/>
    <w:rsid w:val="00AB6FB9"/>
    <w:rsid w:val="00AC0A99"/>
    <w:rsid w:val="00AC115C"/>
    <w:rsid w:val="00AC3073"/>
    <w:rsid w:val="00AC4758"/>
    <w:rsid w:val="00AC5D76"/>
    <w:rsid w:val="00AC666C"/>
    <w:rsid w:val="00AC72A0"/>
    <w:rsid w:val="00AD15BF"/>
    <w:rsid w:val="00AD1C7E"/>
    <w:rsid w:val="00AD27EB"/>
    <w:rsid w:val="00AD38AD"/>
    <w:rsid w:val="00AD448F"/>
    <w:rsid w:val="00AD449E"/>
    <w:rsid w:val="00AD468A"/>
    <w:rsid w:val="00AD6237"/>
    <w:rsid w:val="00AD6745"/>
    <w:rsid w:val="00AD7D07"/>
    <w:rsid w:val="00AE0512"/>
    <w:rsid w:val="00AE082C"/>
    <w:rsid w:val="00AE2F5B"/>
    <w:rsid w:val="00AE3DAE"/>
    <w:rsid w:val="00AE6A9F"/>
    <w:rsid w:val="00AE789E"/>
    <w:rsid w:val="00AE7A92"/>
    <w:rsid w:val="00AF1145"/>
    <w:rsid w:val="00AF26AC"/>
    <w:rsid w:val="00AF399F"/>
    <w:rsid w:val="00AF3DDC"/>
    <w:rsid w:val="00AF5022"/>
    <w:rsid w:val="00AF5B5A"/>
    <w:rsid w:val="00AF632B"/>
    <w:rsid w:val="00B000BA"/>
    <w:rsid w:val="00B00387"/>
    <w:rsid w:val="00B00592"/>
    <w:rsid w:val="00B0186D"/>
    <w:rsid w:val="00B04038"/>
    <w:rsid w:val="00B04F44"/>
    <w:rsid w:val="00B077C8"/>
    <w:rsid w:val="00B10A54"/>
    <w:rsid w:val="00B11850"/>
    <w:rsid w:val="00B12370"/>
    <w:rsid w:val="00B12659"/>
    <w:rsid w:val="00B14A70"/>
    <w:rsid w:val="00B168D0"/>
    <w:rsid w:val="00B16D03"/>
    <w:rsid w:val="00B20F9F"/>
    <w:rsid w:val="00B21451"/>
    <w:rsid w:val="00B215DF"/>
    <w:rsid w:val="00B21ED9"/>
    <w:rsid w:val="00B22177"/>
    <w:rsid w:val="00B22637"/>
    <w:rsid w:val="00B23D13"/>
    <w:rsid w:val="00B24057"/>
    <w:rsid w:val="00B2430E"/>
    <w:rsid w:val="00B24B14"/>
    <w:rsid w:val="00B30897"/>
    <w:rsid w:val="00B33210"/>
    <w:rsid w:val="00B34A67"/>
    <w:rsid w:val="00B3528E"/>
    <w:rsid w:val="00B36DD6"/>
    <w:rsid w:val="00B400F2"/>
    <w:rsid w:val="00B43481"/>
    <w:rsid w:val="00B4363A"/>
    <w:rsid w:val="00B44E67"/>
    <w:rsid w:val="00B44F4A"/>
    <w:rsid w:val="00B45FA1"/>
    <w:rsid w:val="00B462F3"/>
    <w:rsid w:val="00B46DE3"/>
    <w:rsid w:val="00B50532"/>
    <w:rsid w:val="00B51F5B"/>
    <w:rsid w:val="00B53706"/>
    <w:rsid w:val="00B53F81"/>
    <w:rsid w:val="00B54128"/>
    <w:rsid w:val="00B552AA"/>
    <w:rsid w:val="00B57EB9"/>
    <w:rsid w:val="00B613B1"/>
    <w:rsid w:val="00B61D87"/>
    <w:rsid w:val="00B62237"/>
    <w:rsid w:val="00B63814"/>
    <w:rsid w:val="00B647AE"/>
    <w:rsid w:val="00B65674"/>
    <w:rsid w:val="00B65EB7"/>
    <w:rsid w:val="00B66178"/>
    <w:rsid w:val="00B71886"/>
    <w:rsid w:val="00B726EC"/>
    <w:rsid w:val="00B739E1"/>
    <w:rsid w:val="00B758B7"/>
    <w:rsid w:val="00B76914"/>
    <w:rsid w:val="00B76FD2"/>
    <w:rsid w:val="00B803BA"/>
    <w:rsid w:val="00B80453"/>
    <w:rsid w:val="00B81785"/>
    <w:rsid w:val="00B81F4E"/>
    <w:rsid w:val="00B83A0B"/>
    <w:rsid w:val="00B8433F"/>
    <w:rsid w:val="00B84441"/>
    <w:rsid w:val="00B84700"/>
    <w:rsid w:val="00B8777A"/>
    <w:rsid w:val="00B9079D"/>
    <w:rsid w:val="00B90884"/>
    <w:rsid w:val="00B91B7A"/>
    <w:rsid w:val="00B9238D"/>
    <w:rsid w:val="00B935E0"/>
    <w:rsid w:val="00B9369D"/>
    <w:rsid w:val="00B93FB1"/>
    <w:rsid w:val="00B951A8"/>
    <w:rsid w:val="00B961A5"/>
    <w:rsid w:val="00B962CD"/>
    <w:rsid w:val="00B965A6"/>
    <w:rsid w:val="00B966B7"/>
    <w:rsid w:val="00B9714C"/>
    <w:rsid w:val="00B97188"/>
    <w:rsid w:val="00BA030B"/>
    <w:rsid w:val="00BA0543"/>
    <w:rsid w:val="00BA20AF"/>
    <w:rsid w:val="00BA260F"/>
    <w:rsid w:val="00BA2DF9"/>
    <w:rsid w:val="00BA31E3"/>
    <w:rsid w:val="00BA4178"/>
    <w:rsid w:val="00BA417A"/>
    <w:rsid w:val="00BA4B6F"/>
    <w:rsid w:val="00BA5BCB"/>
    <w:rsid w:val="00BA6DE0"/>
    <w:rsid w:val="00BB0E03"/>
    <w:rsid w:val="00BB1CF1"/>
    <w:rsid w:val="00BB22BF"/>
    <w:rsid w:val="00BB29A7"/>
    <w:rsid w:val="00BB3890"/>
    <w:rsid w:val="00BB5007"/>
    <w:rsid w:val="00BB5B50"/>
    <w:rsid w:val="00BB5F21"/>
    <w:rsid w:val="00BC1D61"/>
    <w:rsid w:val="00BC2429"/>
    <w:rsid w:val="00BC5278"/>
    <w:rsid w:val="00BC6106"/>
    <w:rsid w:val="00BD0207"/>
    <w:rsid w:val="00BD05B0"/>
    <w:rsid w:val="00BD065B"/>
    <w:rsid w:val="00BD36B5"/>
    <w:rsid w:val="00BD4861"/>
    <w:rsid w:val="00BD4A70"/>
    <w:rsid w:val="00BD5933"/>
    <w:rsid w:val="00BD6004"/>
    <w:rsid w:val="00BD6B2A"/>
    <w:rsid w:val="00BD76AF"/>
    <w:rsid w:val="00BE03C9"/>
    <w:rsid w:val="00BE2D8D"/>
    <w:rsid w:val="00BE312D"/>
    <w:rsid w:val="00BE7462"/>
    <w:rsid w:val="00BE7FFA"/>
    <w:rsid w:val="00BF14F4"/>
    <w:rsid w:val="00BF5216"/>
    <w:rsid w:val="00C01B6B"/>
    <w:rsid w:val="00C032D7"/>
    <w:rsid w:val="00C03506"/>
    <w:rsid w:val="00C0417E"/>
    <w:rsid w:val="00C048AF"/>
    <w:rsid w:val="00C04987"/>
    <w:rsid w:val="00C04A7A"/>
    <w:rsid w:val="00C04B96"/>
    <w:rsid w:val="00C05FC3"/>
    <w:rsid w:val="00C064AA"/>
    <w:rsid w:val="00C06A5F"/>
    <w:rsid w:val="00C073A9"/>
    <w:rsid w:val="00C07F89"/>
    <w:rsid w:val="00C07FEC"/>
    <w:rsid w:val="00C10DD7"/>
    <w:rsid w:val="00C11DD7"/>
    <w:rsid w:val="00C12335"/>
    <w:rsid w:val="00C12B9F"/>
    <w:rsid w:val="00C12CE1"/>
    <w:rsid w:val="00C1316C"/>
    <w:rsid w:val="00C135DC"/>
    <w:rsid w:val="00C13791"/>
    <w:rsid w:val="00C147D8"/>
    <w:rsid w:val="00C14971"/>
    <w:rsid w:val="00C15435"/>
    <w:rsid w:val="00C15880"/>
    <w:rsid w:val="00C158B2"/>
    <w:rsid w:val="00C16C20"/>
    <w:rsid w:val="00C208E2"/>
    <w:rsid w:val="00C2151C"/>
    <w:rsid w:val="00C23909"/>
    <w:rsid w:val="00C24207"/>
    <w:rsid w:val="00C245F3"/>
    <w:rsid w:val="00C26E91"/>
    <w:rsid w:val="00C320ED"/>
    <w:rsid w:val="00C323BF"/>
    <w:rsid w:val="00C3294C"/>
    <w:rsid w:val="00C3471C"/>
    <w:rsid w:val="00C34E29"/>
    <w:rsid w:val="00C362E1"/>
    <w:rsid w:val="00C36697"/>
    <w:rsid w:val="00C40AD8"/>
    <w:rsid w:val="00C421CE"/>
    <w:rsid w:val="00C4260E"/>
    <w:rsid w:val="00C43295"/>
    <w:rsid w:val="00C4448F"/>
    <w:rsid w:val="00C4453F"/>
    <w:rsid w:val="00C44947"/>
    <w:rsid w:val="00C44E1E"/>
    <w:rsid w:val="00C4778A"/>
    <w:rsid w:val="00C52D7E"/>
    <w:rsid w:val="00C53A55"/>
    <w:rsid w:val="00C54000"/>
    <w:rsid w:val="00C54025"/>
    <w:rsid w:val="00C54067"/>
    <w:rsid w:val="00C54B76"/>
    <w:rsid w:val="00C60617"/>
    <w:rsid w:val="00C61091"/>
    <w:rsid w:val="00C62A70"/>
    <w:rsid w:val="00C6380D"/>
    <w:rsid w:val="00C6396A"/>
    <w:rsid w:val="00C63AC0"/>
    <w:rsid w:val="00C64320"/>
    <w:rsid w:val="00C64920"/>
    <w:rsid w:val="00C6557B"/>
    <w:rsid w:val="00C65687"/>
    <w:rsid w:val="00C6643C"/>
    <w:rsid w:val="00C715AE"/>
    <w:rsid w:val="00C71FF0"/>
    <w:rsid w:val="00C7386D"/>
    <w:rsid w:val="00C74494"/>
    <w:rsid w:val="00C75C1C"/>
    <w:rsid w:val="00C76AD9"/>
    <w:rsid w:val="00C76F18"/>
    <w:rsid w:val="00C77478"/>
    <w:rsid w:val="00C775AD"/>
    <w:rsid w:val="00C833C7"/>
    <w:rsid w:val="00C838BF"/>
    <w:rsid w:val="00C844B1"/>
    <w:rsid w:val="00C84A25"/>
    <w:rsid w:val="00C85215"/>
    <w:rsid w:val="00C86CB3"/>
    <w:rsid w:val="00C87022"/>
    <w:rsid w:val="00C87BE6"/>
    <w:rsid w:val="00C90B83"/>
    <w:rsid w:val="00C9106F"/>
    <w:rsid w:val="00C91BB1"/>
    <w:rsid w:val="00C92ADB"/>
    <w:rsid w:val="00C92ED8"/>
    <w:rsid w:val="00C94EF1"/>
    <w:rsid w:val="00C97133"/>
    <w:rsid w:val="00CA1EA2"/>
    <w:rsid w:val="00CA21D2"/>
    <w:rsid w:val="00CA263D"/>
    <w:rsid w:val="00CA30DE"/>
    <w:rsid w:val="00CA317A"/>
    <w:rsid w:val="00CA33BA"/>
    <w:rsid w:val="00CA351F"/>
    <w:rsid w:val="00CA3B4C"/>
    <w:rsid w:val="00CA62D9"/>
    <w:rsid w:val="00CA7C06"/>
    <w:rsid w:val="00CB0797"/>
    <w:rsid w:val="00CB0D80"/>
    <w:rsid w:val="00CB119E"/>
    <w:rsid w:val="00CB1A39"/>
    <w:rsid w:val="00CB1CD1"/>
    <w:rsid w:val="00CB236D"/>
    <w:rsid w:val="00CB2A31"/>
    <w:rsid w:val="00CB3E0A"/>
    <w:rsid w:val="00CB5292"/>
    <w:rsid w:val="00CB59F7"/>
    <w:rsid w:val="00CB6378"/>
    <w:rsid w:val="00CB726C"/>
    <w:rsid w:val="00CB7749"/>
    <w:rsid w:val="00CB7BB1"/>
    <w:rsid w:val="00CC02CD"/>
    <w:rsid w:val="00CC0C53"/>
    <w:rsid w:val="00CC168B"/>
    <w:rsid w:val="00CC3234"/>
    <w:rsid w:val="00CC4EF7"/>
    <w:rsid w:val="00CC504D"/>
    <w:rsid w:val="00CC7364"/>
    <w:rsid w:val="00CD020A"/>
    <w:rsid w:val="00CD188D"/>
    <w:rsid w:val="00CD3E7D"/>
    <w:rsid w:val="00CD563B"/>
    <w:rsid w:val="00CD5EF2"/>
    <w:rsid w:val="00CD6CFF"/>
    <w:rsid w:val="00CD723D"/>
    <w:rsid w:val="00CD7798"/>
    <w:rsid w:val="00CD7905"/>
    <w:rsid w:val="00CD7EB6"/>
    <w:rsid w:val="00CE11F0"/>
    <w:rsid w:val="00CE29DB"/>
    <w:rsid w:val="00CE30EB"/>
    <w:rsid w:val="00CE371B"/>
    <w:rsid w:val="00CE4DCB"/>
    <w:rsid w:val="00CE5835"/>
    <w:rsid w:val="00CE6768"/>
    <w:rsid w:val="00CF0251"/>
    <w:rsid w:val="00CF0828"/>
    <w:rsid w:val="00CF0FB7"/>
    <w:rsid w:val="00CF1345"/>
    <w:rsid w:val="00CF1370"/>
    <w:rsid w:val="00CF1B68"/>
    <w:rsid w:val="00CF37E5"/>
    <w:rsid w:val="00CF582B"/>
    <w:rsid w:val="00CF5BD3"/>
    <w:rsid w:val="00CF5D37"/>
    <w:rsid w:val="00CF6331"/>
    <w:rsid w:val="00CF6EEE"/>
    <w:rsid w:val="00D0259B"/>
    <w:rsid w:val="00D03609"/>
    <w:rsid w:val="00D03D26"/>
    <w:rsid w:val="00D03E98"/>
    <w:rsid w:val="00D10E54"/>
    <w:rsid w:val="00D11296"/>
    <w:rsid w:val="00D11337"/>
    <w:rsid w:val="00D119FD"/>
    <w:rsid w:val="00D1242E"/>
    <w:rsid w:val="00D12BEE"/>
    <w:rsid w:val="00D1368A"/>
    <w:rsid w:val="00D15936"/>
    <w:rsid w:val="00D15C78"/>
    <w:rsid w:val="00D15FA1"/>
    <w:rsid w:val="00D1663A"/>
    <w:rsid w:val="00D238C6"/>
    <w:rsid w:val="00D24B3B"/>
    <w:rsid w:val="00D2562D"/>
    <w:rsid w:val="00D25908"/>
    <w:rsid w:val="00D25BAE"/>
    <w:rsid w:val="00D25DE8"/>
    <w:rsid w:val="00D26BB3"/>
    <w:rsid w:val="00D26F82"/>
    <w:rsid w:val="00D2756F"/>
    <w:rsid w:val="00D279DC"/>
    <w:rsid w:val="00D30CD0"/>
    <w:rsid w:val="00D31C96"/>
    <w:rsid w:val="00D3306E"/>
    <w:rsid w:val="00D33BDA"/>
    <w:rsid w:val="00D34621"/>
    <w:rsid w:val="00D36CC6"/>
    <w:rsid w:val="00D417DB"/>
    <w:rsid w:val="00D41BE5"/>
    <w:rsid w:val="00D41C3C"/>
    <w:rsid w:val="00D425EF"/>
    <w:rsid w:val="00D434CB"/>
    <w:rsid w:val="00D43FE4"/>
    <w:rsid w:val="00D4427D"/>
    <w:rsid w:val="00D44DEF"/>
    <w:rsid w:val="00D45E58"/>
    <w:rsid w:val="00D46661"/>
    <w:rsid w:val="00D47143"/>
    <w:rsid w:val="00D50E92"/>
    <w:rsid w:val="00D53CAB"/>
    <w:rsid w:val="00D546B1"/>
    <w:rsid w:val="00D54F67"/>
    <w:rsid w:val="00D5537A"/>
    <w:rsid w:val="00D5559E"/>
    <w:rsid w:val="00D60947"/>
    <w:rsid w:val="00D61A23"/>
    <w:rsid w:val="00D63DE2"/>
    <w:rsid w:val="00D6429E"/>
    <w:rsid w:val="00D6557A"/>
    <w:rsid w:val="00D66F34"/>
    <w:rsid w:val="00D6748F"/>
    <w:rsid w:val="00D67BF5"/>
    <w:rsid w:val="00D7086B"/>
    <w:rsid w:val="00D70E85"/>
    <w:rsid w:val="00D72FDA"/>
    <w:rsid w:val="00D73E2B"/>
    <w:rsid w:val="00D74D6B"/>
    <w:rsid w:val="00D7546E"/>
    <w:rsid w:val="00D7584E"/>
    <w:rsid w:val="00D76BD7"/>
    <w:rsid w:val="00D76F45"/>
    <w:rsid w:val="00D80F05"/>
    <w:rsid w:val="00D83166"/>
    <w:rsid w:val="00D840B1"/>
    <w:rsid w:val="00D85147"/>
    <w:rsid w:val="00D86AAC"/>
    <w:rsid w:val="00D902FE"/>
    <w:rsid w:val="00D909DC"/>
    <w:rsid w:val="00D91595"/>
    <w:rsid w:val="00D92C04"/>
    <w:rsid w:val="00D9363A"/>
    <w:rsid w:val="00D94687"/>
    <w:rsid w:val="00D947D1"/>
    <w:rsid w:val="00D9535D"/>
    <w:rsid w:val="00D96D44"/>
    <w:rsid w:val="00D97D01"/>
    <w:rsid w:val="00DA4CE7"/>
    <w:rsid w:val="00DA6C44"/>
    <w:rsid w:val="00DB04FA"/>
    <w:rsid w:val="00DB0567"/>
    <w:rsid w:val="00DB11C0"/>
    <w:rsid w:val="00DB1465"/>
    <w:rsid w:val="00DB168F"/>
    <w:rsid w:val="00DB1E70"/>
    <w:rsid w:val="00DB1F86"/>
    <w:rsid w:val="00DB2CDA"/>
    <w:rsid w:val="00DB4841"/>
    <w:rsid w:val="00DB48FF"/>
    <w:rsid w:val="00DB52A6"/>
    <w:rsid w:val="00DB6609"/>
    <w:rsid w:val="00DB6F84"/>
    <w:rsid w:val="00DB70AF"/>
    <w:rsid w:val="00DC0A30"/>
    <w:rsid w:val="00DC34B1"/>
    <w:rsid w:val="00DC35C5"/>
    <w:rsid w:val="00DC40BC"/>
    <w:rsid w:val="00DC4F56"/>
    <w:rsid w:val="00DC668D"/>
    <w:rsid w:val="00DC6916"/>
    <w:rsid w:val="00DC78B5"/>
    <w:rsid w:val="00DC7EA0"/>
    <w:rsid w:val="00DD0B63"/>
    <w:rsid w:val="00DD1035"/>
    <w:rsid w:val="00DD2590"/>
    <w:rsid w:val="00DD3A28"/>
    <w:rsid w:val="00DD536E"/>
    <w:rsid w:val="00DD7319"/>
    <w:rsid w:val="00DD7455"/>
    <w:rsid w:val="00DD7AF5"/>
    <w:rsid w:val="00DD7EDF"/>
    <w:rsid w:val="00DE06E9"/>
    <w:rsid w:val="00DE1636"/>
    <w:rsid w:val="00DE22FA"/>
    <w:rsid w:val="00DE3A19"/>
    <w:rsid w:val="00DE4709"/>
    <w:rsid w:val="00DE6039"/>
    <w:rsid w:val="00DE60A8"/>
    <w:rsid w:val="00DE6C8B"/>
    <w:rsid w:val="00DE70E0"/>
    <w:rsid w:val="00DE7AAD"/>
    <w:rsid w:val="00DF0008"/>
    <w:rsid w:val="00DF3061"/>
    <w:rsid w:val="00DF37B9"/>
    <w:rsid w:val="00DF3B9C"/>
    <w:rsid w:val="00DF56BA"/>
    <w:rsid w:val="00E000EF"/>
    <w:rsid w:val="00E00E4E"/>
    <w:rsid w:val="00E00F69"/>
    <w:rsid w:val="00E00FDA"/>
    <w:rsid w:val="00E01292"/>
    <w:rsid w:val="00E01CC4"/>
    <w:rsid w:val="00E01DA2"/>
    <w:rsid w:val="00E039D6"/>
    <w:rsid w:val="00E03BD0"/>
    <w:rsid w:val="00E04177"/>
    <w:rsid w:val="00E05986"/>
    <w:rsid w:val="00E07813"/>
    <w:rsid w:val="00E078CA"/>
    <w:rsid w:val="00E079AF"/>
    <w:rsid w:val="00E10DA7"/>
    <w:rsid w:val="00E11927"/>
    <w:rsid w:val="00E121BA"/>
    <w:rsid w:val="00E1258C"/>
    <w:rsid w:val="00E13BB6"/>
    <w:rsid w:val="00E13E68"/>
    <w:rsid w:val="00E143FF"/>
    <w:rsid w:val="00E1477D"/>
    <w:rsid w:val="00E14823"/>
    <w:rsid w:val="00E16125"/>
    <w:rsid w:val="00E17884"/>
    <w:rsid w:val="00E20D18"/>
    <w:rsid w:val="00E21A50"/>
    <w:rsid w:val="00E23CDB"/>
    <w:rsid w:val="00E242F6"/>
    <w:rsid w:val="00E24D92"/>
    <w:rsid w:val="00E24E40"/>
    <w:rsid w:val="00E30968"/>
    <w:rsid w:val="00E311DF"/>
    <w:rsid w:val="00E316CF"/>
    <w:rsid w:val="00E32B76"/>
    <w:rsid w:val="00E342A0"/>
    <w:rsid w:val="00E35CE6"/>
    <w:rsid w:val="00E366BD"/>
    <w:rsid w:val="00E41F0E"/>
    <w:rsid w:val="00E42406"/>
    <w:rsid w:val="00E4283E"/>
    <w:rsid w:val="00E42C97"/>
    <w:rsid w:val="00E42E85"/>
    <w:rsid w:val="00E43078"/>
    <w:rsid w:val="00E430DD"/>
    <w:rsid w:val="00E44295"/>
    <w:rsid w:val="00E44DC4"/>
    <w:rsid w:val="00E45AF0"/>
    <w:rsid w:val="00E47B28"/>
    <w:rsid w:val="00E47BC3"/>
    <w:rsid w:val="00E51806"/>
    <w:rsid w:val="00E51DCB"/>
    <w:rsid w:val="00E51DE5"/>
    <w:rsid w:val="00E53319"/>
    <w:rsid w:val="00E536F8"/>
    <w:rsid w:val="00E5429F"/>
    <w:rsid w:val="00E54B14"/>
    <w:rsid w:val="00E54E25"/>
    <w:rsid w:val="00E554C4"/>
    <w:rsid w:val="00E558D4"/>
    <w:rsid w:val="00E56529"/>
    <w:rsid w:val="00E56663"/>
    <w:rsid w:val="00E56C5A"/>
    <w:rsid w:val="00E600EC"/>
    <w:rsid w:val="00E62576"/>
    <w:rsid w:val="00E62C9E"/>
    <w:rsid w:val="00E63D5D"/>
    <w:rsid w:val="00E64B93"/>
    <w:rsid w:val="00E664F4"/>
    <w:rsid w:val="00E666A6"/>
    <w:rsid w:val="00E66CFB"/>
    <w:rsid w:val="00E6719F"/>
    <w:rsid w:val="00E67A1D"/>
    <w:rsid w:val="00E70769"/>
    <w:rsid w:val="00E71BFA"/>
    <w:rsid w:val="00E7243F"/>
    <w:rsid w:val="00E7483E"/>
    <w:rsid w:val="00E74F17"/>
    <w:rsid w:val="00E7562E"/>
    <w:rsid w:val="00E75CCC"/>
    <w:rsid w:val="00E80032"/>
    <w:rsid w:val="00E80CFE"/>
    <w:rsid w:val="00E858EF"/>
    <w:rsid w:val="00E85FF0"/>
    <w:rsid w:val="00E8617F"/>
    <w:rsid w:val="00E86FDB"/>
    <w:rsid w:val="00E878BD"/>
    <w:rsid w:val="00E90016"/>
    <w:rsid w:val="00E900D5"/>
    <w:rsid w:val="00E9041F"/>
    <w:rsid w:val="00E90A31"/>
    <w:rsid w:val="00E9446E"/>
    <w:rsid w:val="00E94B44"/>
    <w:rsid w:val="00E94D1D"/>
    <w:rsid w:val="00E94EAF"/>
    <w:rsid w:val="00E97BEC"/>
    <w:rsid w:val="00E97EDA"/>
    <w:rsid w:val="00EA0386"/>
    <w:rsid w:val="00EA31E2"/>
    <w:rsid w:val="00EA3348"/>
    <w:rsid w:val="00EA397E"/>
    <w:rsid w:val="00EA444A"/>
    <w:rsid w:val="00EA49F0"/>
    <w:rsid w:val="00EA4DCD"/>
    <w:rsid w:val="00EA5286"/>
    <w:rsid w:val="00EA534C"/>
    <w:rsid w:val="00EA6C29"/>
    <w:rsid w:val="00EB0A1F"/>
    <w:rsid w:val="00EB1EBE"/>
    <w:rsid w:val="00EB3926"/>
    <w:rsid w:val="00EB4706"/>
    <w:rsid w:val="00EB648C"/>
    <w:rsid w:val="00EC17AE"/>
    <w:rsid w:val="00EC1B49"/>
    <w:rsid w:val="00EC2867"/>
    <w:rsid w:val="00EC3F50"/>
    <w:rsid w:val="00EC6C80"/>
    <w:rsid w:val="00EC74C4"/>
    <w:rsid w:val="00ED0182"/>
    <w:rsid w:val="00ED1A01"/>
    <w:rsid w:val="00ED2522"/>
    <w:rsid w:val="00ED47B9"/>
    <w:rsid w:val="00ED4F39"/>
    <w:rsid w:val="00ED5C4C"/>
    <w:rsid w:val="00ED5C79"/>
    <w:rsid w:val="00ED760F"/>
    <w:rsid w:val="00ED788A"/>
    <w:rsid w:val="00EE17A0"/>
    <w:rsid w:val="00EE19C7"/>
    <w:rsid w:val="00EE2DD0"/>
    <w:rsid w:val="00EE3F86"/>
    <w:rsid w:val="00EE6A2F"/>
    <w:rsid w:val="00EF0EB2"/>
    <w:rsid w:val="00EF20B8"/>
    <w:rsid w:val="00EF55CE"/>
    <w:rsid w:val="00EF65DC"/>
    <w:rsid w:val="00EF70EE"/>
    <w:rsid w:val="00F01992"/>
    <w:rsid w:val="00F054D1"/>
    <w:rsid w:val="00F0576E"/>
    <w:rsid w:val="00F116D7"/>
    <w:rsid w:val="00F12CB8"/>
    <w:rsid w:val="00F14D18"/>
    <w:rsid w:val="00F17F5A"/>
    <w:rsid w:val="00F22835"/>
    <w:rsid w:val="00F22DF1"/>
    <w:rsid w:val="00F22F73"/>
    <w:rsid w:val="00F22F9C"/>
    <w:rsid w:val="00F237CE"/>
    <w:rsid w:val="00F2506E"/>
    <w:rsid w:val="00F264AE"/>
    <w:rsid w:val="00F2789D"/>
    <w:rsid w:val="00F27E5A"/>
    <w:rsid w:val="00F30B8D"/>
    <w:rsid w:val="00F32255"/>
    <w:rsid w:val="00F3242E"/>
    <w:rsid w:val="00F32CFA"/>
    <w:rsid w:val="00F33E67"/>
    <w:rsid w:val="00F3471E"/>
    <w:rsid w:val="00F34F60"/>
    <w:rsid w:val="00F35BB2"/>
    <w:rsid w:val="00F35E18"/>
    <w:rsid w:val="00F40DF9"/>
    <w:rsid w:val="00F43997"/>
    <w:rsid w:val="00F43C51"/>
    <w:rsid w:val="00F44B46"/>
    <w:rsid w:val="00F44DEA"/>
    <w:rsid w:val="00F45F78"/>
    <w:rsid w:val="00F463C4"/>
    <w:rsid w:val="00F46849"/>
    <w:rsid w:val="00F47CE6"/>
    <w:rsid w:val="00F53B9E"/>
    <w:rsid w:val="00F5655A"/>
    <w:rsid w:val="00F568C6"/>
    <w:rsid w:val="00F57E37"/>
    <w:rsid w:val="00F60A89"/>
    <w:rsid w:val="00F60C40"/>
    <w:rsid w:val="00F66492"/>
    <w:rsid w:val="00F66549"/>
    <w:rsid w:val="00F72184"/>
    <w:rsid w:val="00F72484"/>
    <w:rsid w:val="00F73C7D"/>
    <w:rsid w:val="00F73D07"/>
    <w:rsid w:val="00F80303"/>
    <w:rsid w:val="00F81B83"/>
    <w:rsid w:val="00F826E6"/>
    <w:rsid w:val="00F82930"/>
    <w:rsid w:val="00F83F8A"/>
    <w:rsid w:val="00F850EB"/>
    <w:rsid w:val="00F85F1C"/>
    <w:rsid w:val="00F85FFA"/>
    <w:rsid w:val="00F8708E"/>
    <w:rsid w:val="00F901B4"/>
    <w:rsid w:val="00F9094D"/>
    <w:rsid w:val="00F90A6D"/>
    <w:rsid w:val="00F90EA1"/>
    <w:rsid w:val="00F916AC"/>
    <w:rsid w:val="00F9216C"/>
    <w:rsid w:val="00F933AF"/>
    <w:rsid w:val="00F9362C"/>
    <w:rsid w:val="00F94090"/>
    <w:rsid w:val="00F94FA9"/>
    <w:rsid w:val="00F956CB"/>
    <w:rsid w:val="00F95C0C"/>
    <w:rsid w:val="00F963B4"/>
    <w:rsid w:val="00F96510"/>
    <w:rsid w:val="00F96E4E"/>
    <w:rsid w:val="00FA093D"/>
    <w:rsid w:val="00FA09F9"/>
    <w:rsid w:val="00FA0FCB"/>
    <w:rsid w:val="00FA1875"/>
    <w:rsid w:val="00FA4293"/>
    <w:rsid w:val="00FA46F5"/>
    <w:rsid w:val="00FA5071"/>
    <w:rsid w:val="00FA5312"/>
    <w:rsid w:val="00FA5F9B"/>
    <w:rsid w:val="00FA6951"/>
    <w:rsid w:val="00FA717B"/>
    <w:rsid w:val="00FB0915"/>
    <w:rsid w:val="00FB20E2"/>
    <w:rsid w:val="00FB21AC"/>
    <w:rsid w:val="00FB2B5F"/>
    <w:rsid w:val="00FB354E"/>
    <w:rsid w:val="00FB355B"/>
    <w:rsid w:val="00FB379A"/>
    <w:rsid w:val="00FB4940"/>
    <w:rsid w:val="00FB4972"/>
    <w:rsid w:val="00FB6111"/>
    <w:rsid w:val="00FB6BEE"/>
    <w:rsid w:val="00FB6E16"/>
    <w:rsid w:val="00FB6F77"/>
    <w:rsid w:val="00FC044E"/>
    <w:rsid w:val="00FC1BBD"/>
    <w:rsid w:val="00FC1CB1"/>
    <w:rsid w:val="00FC25E9"/>
    <w:rsid w:val="00FC5EF2"/>
    <w:rsid w:val="00FC60CA"/>
    <w:rsid w:val="00FC6A3D"/>
    <w:rsid w:val="00FD14A8"/>
    <w:rsid w:val="00FD163C"/>
    <w:rsid w:val="00FD1827"/>
    <w:rsid w:val="00FD25E2"/>
    <w:rsid w:val="00FD39A7"/>
    <w:rsid w:val="00FD43F6"/>
    <w:rsid w:val="00FD4A15"/>
    <w:rsid w:val="00FD4C6A"/>
    <w:rsid w:val="00FD564D"/>
    <w:rsid w:val="00FD5B3E"/>
    <w:rsid w:val="00FD7240"/>
    <w:rsid w:val="00FD7B29"/>
    <w:rsid w:val="00FE0D9C"/>
    <w:rsid w:val="00FE1983"/>
    <w:rsid w:val="00FE36C2"/>
    <w:rsid w:val="00FE5F12"/>
    <w:rsid w:val="00FE5FD1"/>
    <w:rsid w:val="00FE7455"/>
    <w:rsid w:val="00FF03F3"/>
    <w:rsid w:val="00FF07C4"/>
    <w:rsid w:val="00FF0C53"/>
    <w:rsid w:val="00FF45FB"/>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aliases w:val="Heading 1.I - Testimony"/>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aliases w:val="Heading 1.A - Testimony"/>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BD36B5"/>
    <w:pPr>
      <w:numPr>
        <w:ilvl w:val="0"/>
        <w:numId w:val="12"/>
      </w:numPr>
      <w:ind w:left="2160" w:hanging="720"/>
      <w:outlineLvl w:val="5"/>
    </w:p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I - Testimony Char"/>
    <w:link w:val="Heading1"/>
    <w:rsid w:val="006B4E3E"/>
    <w:rPr>
      <w:rFonts w:eastAsia="Times New Roman"/>
      <w:b/>
      <w:bCs/>
      <w:sz w:val="24"/>
      <w:szCs w:val="24"/>
    </w:rPr>
  </w:style>
  <w:style w:type="character" w:customStyle="1" w:styleId="Heading3Char">
    <w:name w:val="Heading 3 Char"/>
    <w:aliases w:val="Heading 1.A - Testimony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BD36B5"/>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uiPriority w:val="99"/>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aliases w:val="Quote - Testimony"/>
    <w:qFormat/>
    <w:rsid w:val="00DC34B1"/>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character" w:customStyle="1" w:styleId="citation">
    <w:name w:val="citation"/>
    <w:basedOn w:val="DefaultParagraphFont"/>
    <w:rsid w:val="007B6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aliases w:val="Heading 1.I - Testimony"/>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aliases w:val="Heading 1.A - Testimony"/>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BD36B5"/>
    <w:pPr>
      <w:numPr>
        <w:ilvl w:val="0"/>
        <w:numId w:val="12"/>
      </w:numPr>
      <w:ind w:left="2160" w:hanging="720"/>
      <w:outlineLvl w:val="5"/>
    </w:p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I - Testimony Char"/>
    <w:link w:val="Heading1"/>
    <w:rsid w:val="006B4E3E"/>
    <w:rPr>
      <w:rFonts w:eastAsia="Times New Roman"/>
      <w:b/>
      <w:bCs/>
      <w:sz w:val="24"/>
      <w:szCs w:val="24"/>
    </w:rPr>
  </w:style>
  <w:style w:type="character" w:customStyle="1" w:styleId="Heading3Char">
    <w:name w:val="Heading 3 Char"/>
    <w:aliases w:val="Heading 1.A - Testimony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BD36B5"/>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uiPriority w:val="99"/>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aliases w:val="Quote - Testimony"/>
    <w:qFormat/>
    <w:rsid w:val="00DC34B1"/>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character" w:customStyle="1" w:styleId="citation">
    <w:name w:val="citation"/>
    <w:basedOn w:val="DefaultParagraphFont"/>
    <w:rsid w:val="007B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2D8814-D0A4-409C-A577-3B57B30E9895}"/>
</file>

<file path=customXml/itemProps2.xml><?xml version="1.0" encoding="utf-8"?>
<ds:datastoreItem xmlns:ds="http://schemas.openxmlformats.org/officeDocument/2006/customXml" ds:itemID="{61ACFEB7-E351-48A0-9905-5E49C5FA4C42}"/>
</file>

<file path=customXml/itemProps3.xml><?xml version="1.0" encoding="utf-8"?>
<ds:datastoreItem xmlns:ds="http://schemas.openxmlformats.org/officeDocument/2006/customXml" ds:itemID="{71AE6C87-052E-4BBE-AE16-BEEDA1F9E3B7}"/>
</file>

<file path=customXml/itemProps4.xml><?xml version="1.0" encoding="utf-8"?>
<ds:datastoreItem xmlns:ds="http://schemas.openxmlformats.org/officeDocument/2006/customXml" ds:itemID="{808BE031-30E3-4D26-BF89-40F4C8FE52BB}"/>
</file>

<file path=customXml/itemProps5.xml><?xml version="1.0" encoding="utf-8"?>
<ds:datastoreItem xmlns:ds="http://schemas.openxmlformats.org/officeDocument/2006/customXml" ds:itemID="{BACBF497-D82C-443F-B167-7C7EBD2AD771}"/>
</file>

<file path=docProps/app.xml><?xml version="1.0" encoding="utf-8"?>
<Properties xmlns="http://schemas.openxmlformats.org/officeDocument/2006/extended-properties" xmlns:vt="http://schemas.openxmlformats.org/officeDocument/2006/docPropsVTypes">
  <Template>Normal.dotm</Template>
  <TotalTime>31</TotalTime>
  <Pages>46</Pages>
  <Words>9114</Words>
  <Characters>51950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Mickelson, Christopher (UTC)</dc:creator>
  <cp:lastModifiedBy>Krista Gross</cp:lastModifiedBy>
  <cp:revision>16</cp:revision>
  <cp:lastPrinted>2013-06-19T17:08:00Z</cp:lastPrinted>
  <dcterms:created xsi:type="dcterms:W3CDTF">2013-06-18T21:27:00Z</dcterms:created>
  <dcterms:modified xsi:type="dcterms:W3CDTF">2013-06-19T17:10:00Z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