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4E2" w:rsidRDefault="00B514E2">
      <w:pPr>
        <w:pStyle w:val="Heading2"/>
        <w:ind w:left="0" w:right="630"/>
        <w:rPr>
          <w:b/>
          <w:u w:val="single"/>
        </w:rPr>
      </w:pPr>
      <w:r>
        <w:rPr>
          <w:b/>
          <w:u w:val="single"/>
        </w:rPr>
        <w:t>NATURAL GAS COST OF SERVICE STUDY</w:t>
      </w:r>
    </w:p>
    <w:p w:rsidR="00B514E2" w:rsidRDefault="00B514E2" w:rsidP="0067046B">
      <w:pPr>
        <w:spacing w:line="480" w:lineRule="auto"/>
        <w:ind w:right="18" w:firstLine="720"/>
        <w:jc w:val="both"/>
        <w:rPr>
          <w:sz w:val="24"/>
        </w:rPr>
      </w:pPr>
      <w:r>
        <w:rPr>
          <w:sz w:val="24"/>
        </w:rPr>
        <w:t xml:space="preserve">A cost of service study is an engineering-economic study, which apportions the revenue, expenses, and rate base associated with providing natural gas service to designated groups of customers.  It indicates whether the revenue provided by the customer group recovers the cost to serve those customers.  The study results are used as a guide in determining the appropriate rate spread among the groups of customers.  </w:t>
      </w:r>
    </w:p>
    <w:p w:rsidR="00B514E2" w:rsidRDefault="00BE31BF" w:rsidP="0067046B">
      <w:pPr>
        <w:spacing w:line="480" w:lineRule="auto"/>
        <w:ind w:right="18" w:firstLine="720"/>
        <w:jc w:val="both"/>
        <w:rPr>
          <w:sz w:val="24"/>
        </w:rPr>
      </w:pPr>
      <w:r>
        <w:rPr>
          <w:sz w:val="24"/>
        </w:rPr>
        <w:t>As shown in the flowchart below, there</w:t>
      </w:r>
      <w:r w:rsidR="00B514E2">
        <w:rPr>
          <w:sz w:val="24"/>
        </w:rPr>
        <w:t xml:space="preserve"> are three basic steps involved in a cost of service study: functionalization, clas</w:t>
      </w:r>
      <w:r w:rsidR="002F0067">
        <w:rPr>
          <w:sz w:val="24"/>
        </w:rPr>
        <w:t xml:space="preserve">sification, and allocation. </w:t>
      </w:r>
      <w:r w:rsidR="00B514E2">
        <w:rPr>
          <w:sz w:val="24"/>
        </w:rPr>
        <w:t xml:space="preserve"> </w:t>
      </w:r>
    </w:p>
    <w:p w:rsidR="00B514E2" w:rsidRDefault="00B514E2" w:rsidP="0067046B">
      <w:pPr>
        <w:spacing w:line="480" w:lineRule="auto"/>
        <w:ind w:right="18" w:firstLine="720"/>
        <w:jc w:val="both"/>
        <w:rPr>
          <w:sz w:val="24"/>
        </w:rPr>
      </w:pPr>
      <w:r>
        <w:rPr>
          <w:sz w:val="24"/>
        </w:rPr>
        <w:t xml:space="preserve">First, the expenses and rate base associated with the natural gas system under study are assigned to functional categories.  The </w:t>
      </w:r>
      <w:r w:rsidR="002F0067">
        <w:rPr>
          <w:sz w:val="24"/>
        </w:rPr>
        <w:t xml:space="preserve">FERC </w:t>
      </w:r>
      <w:r>
        <w:rPr>
          <w:sz w:val="24"/>
        </w:rPr>
        <w:t>uniform system of accounts provides the basic segregation into production, underground storage, and distribution.  Traditionally, customer accounting, customer information, and sales expenses are included in the distribution function and administrative and general expenses and general plant rate base are allocated to all functions.  In this study I have created a separate functional category for common costs.  Administrative and general costs that cannot be directly assigned to the other functions have been placed in this category.</w:t>
      </w:r>
    </w:p>
    <w:p w:rsidR="00204EF0" w:rsidRDefault="00B514E2" w:rsidP="00BE31BF">
      <w:pPr>
        <w:spacing w:line="480" w:lineRule="auto"/>
        <w:ind w:right="18" w:firstLine="720"/>
        <w:jc w:val="both"/>
        <w:rPr>
          <w:sz w:val="24"/>
        </w:rPr>
      </w:pPr>
      <w:r>
        <w:rPr>
          <w:sz w:val="24"/>
        </w:rPr>
        <w:t>Second, the expenses and rate base items are classified into three primary cost components:  demand, commodity or custo</w:t>
      </w:r>
      <w:r w:rsidR="002C49B3">
        <w:rPr>
          <w:sz w:val="24"/>
        </w:rPr>
        <w:t>mer-</w:t>
      </w:r>
      <w:r w:rsidR="00BE31BF">
        <w:rPr>
          <w:sz w:val="24"/>
        </w:rPr>
        <w:t>related.  Demand-</w:t>
      </w:r>
      <w:r>
        <w:rPr>
          <w:sz w:val="24"/>
        </w:rPr>
        <w:t>related</w:t>
      </w:r>
      <w:r w:rsidR="00BE31BF">
        <w:rPr>
          <w:sz w:val="24"/>
        </w:rPr>
        <w:t xml:space="preserve"> (capacity)</w:t>
      </w:r>
      <w:r>
        <w:rPr>
          <w:sz w:val="24"/>
        </w:rPr>
        <w:t xml:space="preserve"> costs are allocated to rate schedules on the basis of each schedule’s contribution to system p</w:t>
      </w:r>
      <w:r w:rsidR="00BE31BF">
        <w:rPr>
          <w:sz w:val="24"/>
        </w:rPr>
        <w:t>eak demand.  Commodity-</w:t>
      </w:r>
      <w:r>
        <w:rPr>
          <w:sz w:val="24"/>
        </w:rPr>
        <w:t>related</w:t>
      </w:r>
      <w:r w:rsidR="00BE31BF">
        <w:rPr>
          <w:sz w:val="24"/>
        </w:rPr>
        <w:t xml:space="preserve"> (energy)</w:t>
      </w:r>
      <w:r>
        <w:rPr>
          <w:sz w:val="24"/>
        </w:rPr>
        <w:t xml:space="preserve"> costs are allocated based on each rate schedule’s share of c</w:t>
      </w:r>
      <w:r w:rsidR="00BE31BF">
        <w:rPr>
          <w:sz w:val="24"/>
        </w:rPr>
        <w:t>ommodity consumption.  Customer-</w:t>
      </w:r>
      <w:r>
        <w:rPr>
          <w:sz w:val="24"/>
        </w:rPr>
        <w:t xml:space="preserve">related items are allocated to rate schedules based on the number of customers within each schedule.  The number of customers may be weighted by appropriate factors such as relative cost of metering equipment.  In addition to </w:t>
      </w:r>
      <w:r>
        <w:rPr>
          <w:sz w:val="24"/>
        </w:rPr>
        <w:lastRenderedPageBreak/>
        <w:t>these thr</w:t>
      </w:r>
      <w:r w:rsidR="002C49B3">
        <w:rPr>
          <w:sz w:val="24"/>
        </w:rPr>
        <w:t>ee cost components, any revenue-</w:t>
      </w:r>
      <w:r>
        <w:rPr>
          <w:sz w:val="24"/>
        </w:rPr>
        <w:t xml:space="preserve">related expense is allocated based on the </w:t>
      </w:r>
      <w:r w:rsidR="00BE31BF" w:rsidRPr="00BE31BF">
        <w:rPr>
          <w:noProof/>
        </w:rPr>
        <w:drawing>
          <wp:anchor distT="0" distB="0" distL="114300" distR="114300" simplePos="0" relativeHeight="251660288" behindDoc="1" locked="0" layoutInCell="1" allowOverlap="1">
            <wp:simplePos x="0" y="0"/>
            <wp:positionH relativeFrom="column">
              <wp:posOffset>155050</wp:posOffset>
            </wp:positionH>
            <wp:positionV relativeFrom="paragraph">
              <wp:posOffset>643641</wp:posOffset>
            </wp:positionV>
            <wp:extent cx="5668995" cy="773261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8995" cy="7732616"/>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proportion of revenues by rat</w:t>
      </w:r>
      <w:r w:rsidR="00204EF0">
        <w:rPr>
          <w:noProof/>
          <w:sz w:val="24"/>
        </w:rPr>
        <w:t xml:space="preserve">e </w:t>
      </w:r>
      <w:r>
        <w:rPr>
          <w:sz w:val="24"/>
        </w:rPr>
        <w:t>schedule.</w:t>
      </w: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204EF0" w:rsidRDefault="00204EF0" w:rsidP="00204EF0">
      <w:pPr>
        <w:spacing w:line="480" w:lineRule="auto"/>
        <w:ind w:right="18" w:firstLine="720"/>
        <w:jc w:val="both"/>
        <w:rPr>
          <w:sz w:val="24"/>
        </w:rPr>
      </w:pPr>
    </w:p>
    <w:p w:rsidR="00BE31BF" w:rsidRDefault="00BE31BF" w:rsidP="007C2E34">
      <w:pPr>
        <w:spacing w:line="480" w:lineRule="auto"/>
        <w:ind w:right="18" w:firstLine="720"/>
        <w:jc w:val="both"/>
        <w:rPr>
          <w:sz w:val="24"/>
        </w:rPr>
      </w:pPr>
    </w:p>
    <w:p w:rsidR="00BE31BF" w:rsidRDefault="00BE31BF" w:rsidP="007C2E34">
      <w:pPr>
        <w:spacing w:line="480" w:lineRule="auto"/>
        <w:ind w:right="18" w:firstLine="720"/>
        <w:jc w:val="both"/>
        <w:rPr>
          <w:sz w:val="24"/>
        </w:rPr>
      </w:pPr>
    </w:p>
    <w:p w:rsidR="00BE31BF" w:rsidRDefault="00BE31BF" w:rsidP="007C2E34">
      <w:pPr>
        <w:spacing w:line="480" w:lineRule="auto"/>
        <w:ind w:right="18" w:firstLine="720"/>
        <w:jc w:val="both"/>
        <w:rPr>
          <w:sz w:val="24"/>
        </w:rPr>
      </w:pPr>
    </w:p>
    <w:p w:rsidR="002F0067" w:rsidRDefault="002F0067" w:rsidP="002F0067">
      <w:pPr>
        <w:spacing w:line="480" w:lineRule="auto"/>
        <w:ind w:right="18" w:firstLine="720"/>
        <w:jc w:val="both"/>
        <w:rPr>
          <w:sz w:val="24"/>
        </w:rPr>
      </w:pPr>
      <w:r>
        <w:rPr>
          <w:sz w:val="24"/>
        </w:rPr>
        <w:lastRenderedPageBreak/>
        <w:t xml:space="preserve">The final step is allocation of the costs to the various rate schedules utilizing the allocation factors selected for each specific cost item.  These factors are derived from usage and customer information associated with the test period results of operation.  </w:t>
      </w:r>
    </w:p>
    <w:p w:rsidR="00B514E2" w:rsidRDefault="00B514E2" w:rsidP="003911F5">
      <w:pPr>
        <w:spacing w:line="480" w:lineRule="auto"/>
        <w:ind w:right="18"/>
        <w:jc w:val="center"/>
        <w:rPr>
          <w:sz w:val="24"/>
        </w:rPr>
      </w:pPr>
      <w:r>
        <w:rPr>
          <w:b/>
          <w:sz w:val="24"/>
          <w:u w:val="single"/>
        </w:rPr>
        <w:t>BASE CASE COST OF SERVICE STUDY</w:t>
      </w:r>
    </w:p>
    <w:p w:rsidR="00B514E2" w:rsidRDefault="00B514E2" w:rsidP="0067046B">
      <w:pPr>
        <w:spacing w:line="480" w:lineRule="auto"/>
        <w:ind w:right="18" w:firstLine="720"/>
        <w:jc w:val="both"/>
        <w:rPr>
          <w:b/>
          <w:sz w:val="24"/>
        </w:rPr>
      </w:pPr>
      <w:r>
        <w:rPr>
          <w:b/>
          <w:sz w:val="24"/>
        </w:rPr>
        <w:t xml:space="preserve">Production - Purchased </w:t>
      </w:r>
      <w:r w:rsidR="00A41B77">
        <w:rPr>
          <w:b/>
          <w:sz w:val="24"/>
        </w:rPr>
        <w:t xml:space="preserve">Natural </w:t>
      </w:r>
      <w:r>
        <w:rPr>
          <w:b/>
          <w:sz w:val="24"/>
        </w:rPr>
        <w:t>Gas Costs</w:t>
      </w:r>
    </w:p>
    <w:p w:rsidR="005E5328" w:rsidRDefault="00B514E2" w:rsidP="002F0067">
      <w:pPr>
        <w:spacing w:line="480" w:lineRule="auto"/>
        <w:ind w:right="18" w:firstLine="720"/>
        <w:jc w:val="both"/>
        <w:rPr>
          <w:sz w:val="24"/>
        </w:rPr>
      </w:pPr>
      <w:r>
        <w:rPr>
          <w:sz w:val="24"/>
        </w:rPr>
        <w:t xml:space="preserve">The Company owns no natural gas production facilities serving the Washington jurisdiction.  </w:t>
      </w:r>
      <w:r w:rsidR="005E5328">
        <w:rPr>
          <w:sz w:val="24"/>
        </w:rPr>
        <w:t xml:space="preserve">In addition, the revenue and expenses associated with the </w:t>
      </w:r>
      <w:r w:rsidR="007F4B43">
        <w:rPr>
          <w:sz w:val="24"/>
        </w:rPr>
        <w:t xml:space="preserve">natural </w:t>
      </w:r>
      <w:r w:rsidR="005E5328">
        <w:rPr>
          <w:sz w:val="24"/>
        </w:rPr>
        <w:t>gas purchased to serve sales customers</w:t>
      </w:r>
      <w:r w:rsidR="00C4414C">
        <w:rPr>
          <w:sz w:val="24"/>
        </w:rPr>
        <w:t>,</w:t>
      </w:r>
      <w:r w:rsidR="005E5328">
        <w:rPr>
          <w:sz w:val="24"/>
        </w:rPr>
        <w:t xml:space="preserve"> and pipeline transportation to get it to our system</w:t>
      </w:r>
      <w:r w:rsidR="00C4414C">
        <w:rPr>
          <w:sz w:val="24"/>
        </w:rPr>
        <w:t>,</w:t>
      </w:r>
      <w:r w:rsidR="005E5328">
        <w:rPr>
          <w:sz w:val="24"/>
        </w:rPr>
        <w:t xml:space="preserve"> have been removed from the Company’s filing.  The natural gas costs included in the production function </w:t>
      </w:r>
      <w:r w:rsidR="00C4414C">
        <w:rPr>
          <w:sz w:val="24"/>
        </w:rPr>
        <w:t xml:space="preserve">in this rate case </w:t>
      </w:r>
      <w:r w:rsidR="005E5328">
        <w:rPr>
          <w:sz w:val="24"/>
        </w:rPr>
        <w:t xml:space="preserve">include the expenses of the gas supply department.  </w:t>
      </w:r>
    </w:p>
    <w:p w:rsidR="004C2539" w:rsidRPr="00A4417E" w:rsidRDefault="005E5328" w:rsidP="005E5328">
      <w:pPr>
        <w:spacing w:line="480" w:lineRule="auto"/>
        <w:ind w:right="18" w:firstLine="720"/>
        <w:jc w:val="both"/>
        <w:rPr>
          <w:sz w:val="24"/>
        </w:rPr>
      </w:pPr>
      <w:r>
        <w:rPr>
          <w:sz w:val="24"/>
        </w:rPr>
        <w:t>The expenses of the gas supply department recorded in account 813 are classified as commod</w:t>
      </w:r>
      <w:r w:rsidR="002C49B3">
        <w:rPr>
          <w:sz w:val="24"/>
        </w:rPr>
        <w:t>ity-</w:t>
      </w:r>
      <w:r>
        <w:rPr>
          <w:sz w:val="24"/>
        </w:rPr>
        <w:t xml:space="preserve">related costs.  The gas scheduling process includes transportation customers, so estimated scheduling dispatch labor expenses are allocated by throughput.  The remaining gas supply department expenses are allocated </w:t>
      </w:r>
      <w:r w:rsidRPr="00BE31BF">
        <w:rPr>
          <w:sz w:val="24"/>
        </w:rPr>
        <w:t xml:space="preserve">95% by sales volumes </w:t>
      </w:r>
      <w:r w:rsidR="00C4414C">
        <w:rPr>
          <w:sz w:val="24"/>
        </w:rPr>
        <w:t xml:space="preserve">(excludes Schedule 146) </w:t>
      </w:r>
      <w:r w:rsidRPr="00BE31BF">
        <w:rPr>
          <w:sz w:val="24"/>
        </w:rPr>
        <w:t>and 5%</w:t>
      </w:r>
      <w:r>
        <w:rPr>
          <w:sz w:val="24"/>
        </w:rPr>
        <w:t xml:space="preserve"> on total throughput.</w:t>
      </w:r>
    </w:p>
    <w:p w:rsidR="00B514E2" w:rsidRDefault="00B514E2" w:rsidP="0067046B">
      <w:pPr>
        <w:spacing w:line="480" w:lineRule="auto"/>
        <w:ind w:right="18" w:firstLine="720"/>
        <w:jc w:val="both"/>
        <w:rPr>
          <w:b/>
          <w:sz w:val="24"/>
        </w:rPr>
      </w:pPr>
      <w:r>
        <w:rPr>
          <w:b/>
          <w:sz w:val="24"/>
        </w:rPr>
        <w:t>Underground Storage</w:t>
      </w:r>
    </w:p>
    <w:p w:rsidR="00B514E2" w:rsidRDefault="00B514E2" w:rsidP="0067046B">
      <w:pPr>
        <w:pStyle w:val="BodyTextIndent2"/>
        <w:ind w:right="18"/>
        <w:rPr>
          <w:color w:val="auto"/>
        </w:rPr>
      </w:pPr>
      <w:r>
        <w:rPr>
          <w:color w:val="auto"/>
        </w:rPr>
        <w:t>Underground storage rate base, operating and maintenance expenses are classifi</w:t>
      </w:r>
      <w:r w:rsidR="002C49B3">
        <w:rPr>
          <w:color w:val="auto"/>
        </w:rPr>
        <w:t>ed as commodity-</w:t>
      </w:r>
      <w:r w:rsidR="0027301C">
        <w:rPr>
          <w:color w:val="auto"/>
        </w:rPr>
        <w:t>related.  Thirteen</w:t>
      </w:r>
      <w:r>
        <w:rPr>
          <w:color w:val="auto"/>
        </w:rPr>
        <w:t xml:space="preserve"> percent of underground storage costs are allocated to customer groups by annual throughput, the remaining eighty</w:t>
      </w:r>
      <w:r w:rsidR="0027301C">
        <w:rPr>
          <w:color w:val="auto"/>
        </w:rPr>
        <w:t>-seven</w:t>
      </w:r>
      <w:r>
        <w:rPr>
          <w:color w:val="auto"/>
        </w:rPr>
        <w:t xml:space="preserve"> percent are allocated by sales therms.  </w:t>
      </w:r>
    </w:p>
    <w:p w:rsidR="00B514E2" w:rsidRDefault="00B514E2" w:rsidP="0067046B">
      <w:pPr>
        <w:spacing w:line="480" w:lineRule="auto"/>
        <w:ind w:right="18" w:firstLine="720"/>
        <w:jc w:val="both"/>
        <w:rPr>
          <w:b/>
          <w:sz w:val="24"/>
        </w:rPr>
      </w:pPr>
      <w:r>
        <w:rPr>
          <w:b/>
          <w:sz w:val="24"/>
        </w:rPr>
        <w:t>Distribution Facilities Classification (Peak and Average)</w:t>
      </w:r>
    </w:p>
    <w:p w:rsidR="00B514E2" w:rsidRDefault="00B514E2" w:rsidP="0067046B">
      <w:pPr>
        <w:spacing w:line="480" w:lineRule="auto"/>
        <w:ind w:right="18" w:firstLine="720"/>
        <w:jc w:val="both"/>
        <w:rPr>
          <w:sz w:val="24"/>
        </w:rPr>
      </w:pPr>
      <w:r>
        <w:rPr>
          <w:sz w:val="24"/>
        </w:rPr>
        <w:t>Distribution mains and regulator station equipment (both general use and city gate stations) are cla</w:t>
      </w:r>
      <w:r w:rsidR="002C49B3">
        <w:rPr>
          <w:sz w:val="24"/>
        </w:rPr>
        <w:t>ssified as demand and commodity-</w:t>
      </w:r>
      <w:r>
        <w:rPr>
          <w:sz w:val="24"/>
        </w:rPr>
        <w:t xml:space="preserve">related using the peak and average ratio for the distribution system.  Peak demand is defined as the average of the five-day sustained </w:t>
      </w:r>
      <w:r>
        <w:rPr>
          <w:sz w:val="24"/>
        </w:rPr>
        <w:lastRenderedPageBreak/>
        <w:t xml:space="preserve">peaks from </w:t>
      </w:r>
      <w:r w:rsidR="00FB6912">
        <w:rPr>
          <w:sz w:val="24"/>
        </w:rPr>
        <w:t xml:space="preserve">each of </w:t>
      </w:r>
      <w:r>
        <w:rPr>
          <w:sz w:val="24"/>
        </w:rPr>
        <w:t xml:space="preserve">the most recent three years.  Average daily load is calculated by dividing annual throughput by 365 (days in the year).  The average daily load is divided by peak load to arrive at the system load factor </w:t>
      </w:r>
      <w:r w:rsidRPr="00BE31BF">
        <w:rPr>
          <w:sz w:val="24"/>
        </w:rPr>
        <w:t xml:space="preserve">of </w:t>
      </w:r>
      <w:r w:rsidR="00C649FB" w:rsidRPr="00BE31BF">
        <w:rPr>
          <w:sz w:val="24"/>
        </w:rPr>
        <w:t>38.63</w:t>
      </w:r>
      <w:r w:rsidRPr="00BE31BF">
        <w:rPr>
          <w:sz w:val="24"/>
        </w:rPr>
        <w:t>%.  This propor</w:t>
      </w:r>
      <w:r w:rsidR="002C49B3">
        <w:rPr>
          <w:sz w:val="24"/>
        </w:rPr>
        <w:t>tion is classified as commodity-</w:t>
      </w:r>
      <w:r w:rsidRPr="00BE31BF">
        <w:rPr>
          <w:sz w:val="24"/>
        </w:rPr>
        <w:t xml:space="preserve">related.  The remaining </w:t>
      </w:r>
      <w:r w:rsidR="00C649FB" w:rsidRPr="00BE31BF">
        <w:rPr>
          <w:sz w:val="24"/>
        </w:rPr>
        <w:t>61.37</w:t>
      </w:r>
      <w:r w:rsidRPr="00BE31BF">
        <w:rPr>
          <w:sz w:val="24"/>
        </w:rPr>
        <w:t>% is classified</w:t>
      </w:r>
      <w:r w:rsidR="00BE31BF">
        <w:rPr>
          <w:sz w:val="24"/>
        </w:rPr>
        <w:t xml:space="preserve"> as demand-</w:t>
      </w:r>
      <w:r>
        <w:rPr>
          <w:sz w:val="24"/>
        </w:rPr>
        <w:t>related.  Meters, services and industrial measuring &amp; regulating equip</w:t>
      </w:r>
      <w:r w:rsidR="00FA6C0D">
        <w:rPr>
          <w:sz w:val="24"/>
        </w:rPr>
        <w:t>ment are classified as customer-</w:t>
      </w:r>
      <w:r>
        <w:rPr>
          <w:sz w:val="24"/>
        </w:rPr>
        <w:t>related distribution plant.  Distribution operating and maintenance expenses are classified (and allocated) in relation to the plant accounts they are associated with.</w:t>
      </w:r>
    </w:p>
    <w:p w:rsidR="00B514E2" w:rsidRDefault="00B514E2" w:rsidP="0067046B">
      <w:pPr>
        <w:spacing w:line="480" w:lineRule="auto"/>
        <w:ind w:right="18" w:firstLine="720"/>
        <w:jc w:val="both"/>
        <w:rPr>
          <w:b/>
          <w:sz w:val="24"/>
        </w:rPr>
      </w:pPr>
      <w:bookmarkStart w:id="0" w:name="_GoBack"/>
      <w:bookmarkEnd w:id="0"/>
      <w:r>
        <w:rPr>
          <w:b/>
          <w:sz w:val="24"/>
        </w:rPr>
        <w:t>Customer Relations Distribution Cost Classification</w:t>
      </w:r>
    </w:p>
    <w:p w:rsidR="00B514E2" w:rsidRDefault="00B514E2" w:rsidP="0067046B">
      <w:pPr>
        <w:spacing w:line="480" w:lineRule="auto"/>
        <w:ind w:right="18" w:firstLine="720"/>
        <w:jc w:val="both"/>
        <w:rPr>
          <w:sz w:val="24"/>
        </w:rPr>
      </w:pPr>
      <w:r>
        <w:rPr>
          <w:sz w:val="24"/>
        </w:rPr>
        <w:t>Customer service, customer information and sales expenses are the core of the customer relations functional unit which is included with the distribution cost category.  For the most part these c</w:t>
      </w:r>
      <w:r w:rsidR="00BE31BF">
        <w:rPr>
          <w:sz w:val="24"/>
        </w:rPr>
        <w:t>osts are classified as customer-</w:t>
      </w:r>
      <w:r>
        <w:rPr>
          <w:sz w:val="24"/>
        </w:rPr>
        <w:t xml:space="preserve">related.  Exceptions include uncollectible accounts expense, which is considered separately as a revenue conversion item, and Demand Side Management amortization expense recorded in Account 908.  </w:t>
      </w:r>
    </w:p>
    <w:p w:rsidR="00B514E2" w:rsidRDefault="00B514E2" w:rsidP="0067046B">
      <w:pPr>
        <w:spacing w:line="480" w:lineRule="auto"/>
        <w:ind w:right="18" w:firstLine="720"/>
        <w:jc w:val="both"/>
        <w:rPr>
          <w:b/>
          <w:sz w:val="24"/>
        </w:rPr>
      </w:pPr>
      <w:r>
        <w:rPr>
          <w:b/>
          <w:sz w:val="24"/>
        </w:rPr>
        <w:t>Distribution Cost Allocation</w:t>
      </w:r>
    </w:p>
    <w:p w:rsidR="00B514E2" w:rsidRDefault="00BE31BF" w:rsidP="0067046B">
      <w:pPr>
        <w:pStyle w:val="BodyTextIndent"/>
        <w:ind w:right="18"/>
      </w:pPr>
      <w:r>
        <w:t>Demand-</w:t>
      </w:r>
      <w:r w:rsidR="00B514E2">
        <w:t>related distribution costs are allocated to customer groups (rate schedules) by each group</w:t>
      </w:r>
      <w:r w:rsidR="0075439B">
        <w:t>’</w:t>
      </w:r>
      <w:r w:rsidR="00FB6912">
        <w:t>s contribution to the three-</w:t>
      </w:r>
      <w:r w:rsidR="00B514E2">
        <w:t>year average five</w:t>
      </w:r>
      <w:r w:rsidR="002C49B3">
        <w:t>-day sustained peak.  Commodity-</w:t>
      </w:r>
      <w:r w:rsidR="00B514E2">
        <w:t xml:space="preserve">related distribution costs are allocated to customer groups by annual throughput.  </w:t>
      </w:r>
      <w:r w:rsidR="00AB24CC">
        <w:t xml:space="preserve">The throughput allocation for </w:t>
      </w:r>
      <w:r w:rsidR="00AB24CC" w:rsidRPr="00AB24CC">
        <w:t>d</w:t>
      </w:r>
      <w:r w:rsidR="00B514E2" w:rsidRPr="00AB24CC">
        <w:t xml:space="preserve">istribution main investment has been segregated into </w:t>
      </w:r>
      <w:r w:rsidR="00AB24CC" w:rsidRPr="00AB24CC">
        <w:t>small, medium</w:t>
      </w:r>
      <w:r w:rsidR="00B514E2" w:rsidRPr="00AB24CC">
        <w:t xml:space="preserve"> and </w:t>
      </w:r>
      <w:r w:rsidR="00AB24CC" w:rsidRPr="00AB24CC">
        <w:t>large</w:t>
      </w:r>
      <w:r w:rsidR="00B514E2" w:rsidRPr="00AB24CC">
        <w:t xml:space="preserve"> mains.  Small mains are defined as less than </w:t>
      </w:r>
      <w:r w:rsidR="00AB24CC" w:rsidRPr="00AB24CC">
        <w:t>two</w:t>
      </w:r>
      <w:r w:rsidR="00B514E2" w:rsidRPr="00AB24CC">
        <w:t xml:space="preserve"> inches, </w:t>
      </w:r>
      <w:r w:rsidR="00FB6912">
        <w:t xml:space="preserve">medium mains </w:t>
      </w:r>
      <w:r w:rsidR="00AB24CC" w:rsidRPr="00AB24CC">
        <w:t xml:space="preserve">are 2 and 3 inches, and </w:t>
      </w:r>
      <w:r w:rsidR="00B514E2" w:rsidRPr="00AB24CC">
        <w:t>large mains b</w:t>
      </w:r>
      <w:r w:rsidR="00AB24CC" w:rsidRPr="00AB24CC">
        <w:t>eing four inches or greater.  L</w:t>
      </w:r>
      <w:r w:rsidR="00B514E2" w:rsidRPr="00AB24CC">
        <w:t>arge usage customers (Schedules 131</w:t>
      </w:r>
      <w:r w:rsidR="00520EB6" w:rsidRPr="00AB24CC">
        <w:t>/132</w:t>
      </w:r>
      <w:r w:rsidR="00B514E2" w:rsidRPr="00AB24CC">
        <w:t xml:space="preserve"> and 146)</w:t>
      </w:r>
      <w:r w:rsidR="00AB24CC" w:rsidRPr="00AB24CC">
        <w:t xml:space="preserve"> receive ze</w:t>
      </w:r>
      <w:r w:rsidR="00FB6912">
        <w:t>ro allocation of small main and</w:t>
      </w:r>
      <w:r w:rsidR="00AB24CC">
        <w:t xml:space="preserve"> </w:t>
      </w:r>
      <w:r w:rsidR="00AB24CC" w:rsidRPr="00AB24CC">
        <w:t>33.3% of medium main</w:t>
      </w:r>
      <w:r w:rsidR="009C3A97" w:rsidRPr="00AB24CC">
        <w:t>.</w:t>
      </w:r>
      <w:r w:rsidR="009C3A97">
        <w:t xml:space="preserve"> </w:t>
      </w:r>
    </w:p>
    <w:p w:rsidR="00B514E2" w:rsidRDefault="00B514E2" w:rsidP="0067046B">
      <w:pPr>
        <w:pStyle w:val="BodyTextIndent"/>
        <w:ind w:right="18"/>
      </w:pPr>
      <w:r>
        <w:t>Most cus</w:t>
      </w:r>
      <w:r w:rsidR="00AB7949">
        <w:t>tomer</w:t>
      </w:r>
      <w:r w:rsidR="002C49B3">
        <w:t>-</w:t>
      </w:r>
      <w:r>
        <w:t xml:space="preserve">related costs are allocated by the annualized number of customers billed during the test period.  Meter investment costs are allocated using the number of </w:t>
      </w:r>
      <w:r>
        <w:lastRenderedPageBreak/>
        <w:t>customers weighted by the re</w:t>
      </w:r>
      <w:r w:rsidR="00FB6912">
        <w:t>lative current cost of meters</w:t>
      </w:r>
      <w:r>
        <w:t xml:space="preserve"> </w:t>
      </w:r>
      <w:r w:rsidR="008B794F">
        <w:t>currently in service</w:t>
      </w:r>
      <w:r w:rsidRPr="008B794F">
        <w:t>.</w:t>
      </w:r>
      <w:r>
        <w:t xml:space="preserve">  Services investment costs are allocated using the number of customers weighted by the relative current cost of typical service installations.  Industrial measuring and regulating equipment investment costs are allocated by number of customers weighted by industrial meters at current cost.</w:t>
      </w:r>
    </w:p>
    <w:p w:rsidR="00B514E2" w:rsidRDefault="00B514E2" w:rsidP="0067046B">
      <w:pPr>
        <w:spacing w:line="480" w:lineRule="auto"/>
        <w:ind w:right="18" w:firstLine="720"/>
        <w:jc w:val="both"/>
        <w:rPr>
          <w:b/>
          <w:sz w:val="24"/>
        </w:rPr>
      </w:pPr>
      <w:r>
        <w:rPr>
          <w:b/>
          <w:sz w:val="24"/>
        </w:rPr>
        <w:t>Administrative and General Costs</w:t>
      </w:r>
    </w:p>
    <w:p w:rsidR="00FB6912" w:rsidRDefault="00B514E2" w:rsidP="0067046B">
      <w:pPr>
        <w:spacing w:line="480" w:lineRule="auto"/>
        <w:ind w:right="18" w:firstLine="720"/>
        <w:jc w:val="both"/>
        <w:rPr>
          <w:sz w:val="24"/>
        </w:rPr>
      </w:pPr>
      <w:r>
        <w:rPr>
          <w:sz w:val="24"/>
        </w:rPr>
        <w:t xml:space="preserve">General and intangible rate base items are allocated by </w:t>
      </w:r>
      <w:r w:rsidR="00FB6912">
        <w:rPr>
          <w:sz w:val="24"/>
        </w:rPr>
        <w:t>the Company’s four-</w:t>
      </w:r>
      <w:r w:rsidR="00AB24CC">
        <w:rPr>
          <w:sz w:val="24"/>
        </w:rPr>
        <w:t>factor alloc</w:t>
      </w:r>
      <w:r w:rsidR="00FB6912">
        <w:rPr>
          <w:sz w:val="24"/>
        </w:rPr>
        <w:t>ator</w:t>
      </w:r>
      <w:r>
        <w:rPr>
          <w:sz w:val="24"/>
        </w:rPr>
        <w:t>.  Administrative and general exp</w:t>
      </w:r>
      <w:r w:rsidR="002C49B3">
        <w:rPr>
          <w:sz w:val="24"/>
        </w:rPr>
        <w:t>enses are segregated into plant-related, labor-related, revenue-related and other.  The plant-</w:t>
      </w:r>
      <w:r>
        <w:rPr>
          <w:sz w:val="24"/>
        </w:rPr>
        <w:t>related items are allocated based on total plant in servi</w:t>
      </w:r>
      <w:r w:rsidR="002C49B3">
        <w:rPr>
          <w:sz w:val="24"/>
        </w:rPr>
        <w:t>ce.  Labor-</w:t>
      </w:r>
      <w:r>
        <w:rPr>
          <w:sz w:val="24"/>
        </w:rPr>
        <w:t>related items are allocated by operating and main</w:t>
      </w:r>
      <w:r w:rsidR="008B794F">
        <w:rPr>
          <w:sz w:val="24"/>
        </w:rPr>
        <w:t>tenance labor expense.  Revenue-</w:t>
      </w:r>
      <w:r>
        <w:rPr>
          <w:sz w:val="24"/>
        </w:rPr>
        <w:t xml:space="preserve">related items are allocated by pro forma revenue.  </w:t>
      </w:r>
      <w:r w:rsidRPr="00AB24CC">
        <w:rPr>
          <w:sz w:val="24"/>
        </w:rPr>
        <w:t>Other administrative and general expenses are</w:t>
      </w:r>
      <w:r w:rsidR="00AB24CC">
        <w:rPr>
          <w:sz w:val="24"/>
        </w:rPr>
        <w:t xml:space="preserve"> allocated by the Company's</w:t>
      </w:r>
      <w:r w:rsidR="001B6798">
        <w:rPr>
          <w:sz w:val="24"/>
        </w:rPr>
        <w:t xml:space="preserve"> 4-factor</w:t>
      </w:r>
      <w:r w:rsidR="00AB24CC">
        <w:rPr>
          <w:sz w:val="24"/>
        </w:rPr>
        <w:t>.</w:t>
      </w:r>
      <w:r>
        <w:rPr>
          <w:sz w:val="24"/>
        </w:rPr>
        <w:t xml:space="preserve">  </w:t>
      </w:r>
    </w:p>
    <w:p w:rsidR="00B514E2" w:rsidRDefault="00B514E2" w:rsidP="0067046B">
      <w:pPr>
        <w:spacing w:line="480" w:lineRule="auto"/>
        <w:ind w:right="18" w:firstLine="720"/>
        <w:jc w:val="both"/>
        <w:rPr>
          <w:b/>
          <w:bCs/>
          <w:sz w:val="24"/>
        </w:rPr>
      </w:pPr>
      <w:r>
        <w:rPr>
          <w:b/>
          <w:bCs/>
          <w:sz w:val="24"/>
        </w:rPr>
        <w:t>Special Contract Customer Revenue</w:t>
      </w:r>
    </w:p>
    <w:p w:rsidR="00B514E2" w:rsidRDefault="00B514E2" w:rsidP="0067046B">
      <w:pPr>
        <w:spacing w:line="480" w:lineRule="auto"/>
        <w:ind w:right="18" w:firstLine="720"/>
        <w:jc w:val="both"/>
        <w:rPr>
          <w:sz w:val="24"/>
        </w:rPr>
      </w:pPr>
      <w:r>
        <w:rPr>
          <w:sz w:val="24"/>
        </w:rPr>
        <w:t>Several special contract customers receive transportation service from the Company.  Rates for these customers were individually negotiated to cover any incremental costs a</w:t>
      </w:r>
      <w:r w:rsidR="00FB6912">
        <w:rPr>
          <w:sz w:val="24"/>
        </w:rPr>
        <w:t>s well as</w:t>
      </w:r>
      <w:r>
        <w:rPr>
          <w:sz w:val="24"/>
        </w:rPr>
        <w:t xml:space="preserve"> some contribution to margin.  The rates for these customers are not being adjusted in this case.  The revenue from these special contract customers has been segregated from general rate revenue and allocated back to all the other rate classes by relative rate base.  In treating these revenues like other operating revenues</w:t>
      </w:r>
      <w:r w:rsidR="00FB6912">
        <w:rPr>
          <w:sz w:val="24"/>
        </w:rPr>
        <w:t>,</w:t>
      </w:r>
      <w:r>
        <w:rPr>
          <w:sz w:val="24"/>
        </w:rPr>
        <w:t xml:space="preserve"> their system contribution reduces costs for all rate schedules.</w:t>
      </w:r>
    </w:p>
    <w:p w:rsidR="00B514E2" w:rsidRDefault="00B514E2" w:rsidP="0067046B">
      <w:pPr>
        <w:spacing w:line="480" w:lineRule="auto"/>
        <w:ind w:right="18" w:firstLine="720"/>
        <w:jc w:val="both"/>
        <w:rPr>
          <w:b/>
          <w:sz w:val="24"/>
        </w:rPr>
      </w:pPr>
      <w:r>
        <w:rPr>
          <w:b/>
          <w:sz w:val="24"/>
        </w:rPr>
        <w:t>Revenue Conversion Items</w:t>
      </w:r>
    </w:p>
    <w:p w:rsidR="00B514E2" w:rsidRDefault="00B514E2" w:rsidP="0067046B">
      <w:pPr>
        <w:spacing w:line="480" w:lineRule="auto"/>
        <w:ind w:right="18" w:firstLine="720"/>
        <w:jc w:val="both"/>
        <w:rPr>
          <w:sz w:val="24"/>
        </w:rPr>
      </w:pPr>
      <w:r>
        <w:rPr>
          <w:sz w:val="24"/>
        </w:rPr>
        <w:t xml:space="preserve">In this study uncollectible accounts, state excise tax, and commission fees </w:t>
      </w:r>
      <w:r w:rsidR="002C49B3">
        <w:rPr>
          <w:sz w:val="24"/>
        </w:rPr>
        <w:t>have been classified as revenue-</w:t>
      </w:r>
      <w:r>
        <w:rPr>
          <w:sz w:val="24"/>
        </w:rPr>
        <w:t xml:space="preserve">related and are allocated by pro forma revenue.  These items vary with revenue and are included in the calculation of the revenue conversion factor.  Income tax </w:t>
      </w:r>
      <w:r>
        <w:rPr>
          <w:sz w:val="24"/>
        </w:rPr>
        <w:lastRenderedPageBreak/>
        <w:t xml:space="preserve">expense items are allocated to schedules by net income before income tax adjusted by interest expense.  </w:t>
      </w:r>
    </w:p>
    <w:p w:rsidR="00B514E2" w:rsidRDefault="00B514E2" w:rsidP="0067046B">
      <w:pPr>
        <w:spacing w:line="480" w:lineRule="auto"/>
        <w:ind w:right="18" w:firstLine="720"/>
        <w:jc w:val="both"/>
        <w:rPr>
          <w:sz w:val="24"/>
        </w:rPr>
      </w:pPr>
      <w:r>
        <w:rPr>
          <w:sz w:val="24"/>
        </w:rPr>
        <w:t>For the functional summaries on pages 2 and 3 of the cost of service study, these items are assigned to the component</w:t>
      </w:r>
      <w:r w:rsidR="008B794F">
        <w:rPr>
          <w:sz w:val="24"/>
        </w:rPr>
        <w:t xml:space="preserve"> cost categories.  The revenue-r</w:t>
      </w:r>
      <w:r>
        <w:rPr>
          <w:sz w:val="24"/>
        </w:rPr>
        <w:t>elated expense items have been reduced to a percent of all other costs and loaded onto each cost category by that ratio.  Similarly, income tax items have been assigned to cost categories by relative rate base (as is net income).</w:t>
      </w:r>
    </w:p>
    <w:p w:rsidR="00B514E2" w:rsidRDefault="00B514E2" w:rsidP="0067046B">
      <w:pPr>
        <w:spacing w:line="480" w:lineRule="auto"/>
        <w:ind w:right="18" w:firstLine="720"/>
        <w:jc w:val="both"/>
        <w:rPr>
          <w:sz w:val="24"/>
        </w:rPr>
      </w:pPr>
      <w:r>
        <w:rPr>
          <w:sz w:val="24"/>
        </w:rPr>
        <w:t>The following matrix outlines the methodology applied in the Company’s Base Case natural gas cost of service study.</w:t>
      </w:r>
    </w:p>
    <w:sectPr w:rsidR="00B514E2" w:rsidSect="00EE1C1C">
      <w:headerReference w:type="default" r:id="rId9"/>
      <w:footerReference w:type="default" r:id="rId10"/>
      <w:headerReference w:type="first" r:id="rId11"/>
      <w:footerReference w:type="first" r:id="rId12"/>
      <w:type w:val="continuous"/>
      <w:pgSz w:w="12240" w:h="15840" w:code="1"/>
      <w:pgMar w:top="1440" w:right="1440" w:bottom="1350" w:left="1872" w:header="446" w:footer="130" w:gutter="0"/>
      <w:paperSrc w:first="15" w:other="15"/>
      <w:lnNumType w:countBy="1"/>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539" w:rsidRDefault="004C2539">
      <w:r>
        <w:separator/>
      </w:r>
    </w:p>
  </w:endnote>
  <w:endnote w:type="continuationSeparator" w:id="0">
    <w:p w:rsidR="004C2539" w:rsidRDefault="004C2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39" w:rsidRPr="003D4AD0" w:rsidRDefault="004C2539" w:rsidP="004E52F4">
    <w:pPr>
      <w:pStyle w:val="Footer"/>
      <w:tabs>
        <w:tab w:val="clear" w:pos="8640"/>
        <w:tab w:val="left" w:pos="6120"/>
        <w:tab w:val="right" w:pos="9810"/>
      </w:tabs>
      <w:jc w:val="right"/>
      <w:rPr>
        <w:sz w:val="24"/>
        <w:szCs w:val="24"/>
      </w:rPr>
    </w:pPr>
    <w:r w:rsidRPr="003D4AD0">
      <w:rPr>
        <w:sz w:val="24"/>
        <w:szCs w:val="24"/>
      </w:rPr>
      <w:t xml:space="preserve">Page </w:t>
    </w:r>
    <w:r w:rsidR="005949EF" w:rsidRPr="003D4AD0">
      <w:rPr>
        <w:rStyle w:val="PageNumber"/>
        <w:sz w:val="24"/>
        <w:szCs w:val="24"/>
      </w:rPr>
      <w:fldChar w:fldCharType="begin"/>
    </w:r>
    <w:r w:rsidRPr="003D4AD0">
      <w:rPr>
        <w:rStyle w:val="PageNumber"/>
        <w:sz w:val="24"/>
        <w:szCs w:val="24"/>
      </w:rPr>
      <w:instrText xml:space="preserve"> PAGE </w:instrText>
    </w:r>
    <w:r w:rsidR="005949EF" w:rsidRPr="003D4AD0">
      <w:rPr>
        <w:rStyle w:val="PageNumber"/>
        <w:sz w:val="24"/>
        <w:szCs w:val="24"/>
      </w:rPr>
      <w:fldChar w:fldCharType="separate"/>
    </w:r>
    <w:r w:rsidR="003911F5">
      <w:rPr>
        <w:rStyle w:val="PageNumber"/>
        <w:noProof/>
        <w:sz w:val="24"/>
        <w:szCs w:val="24"/>
      </w:rPr>
      <w:t>5</w:t>
    </w:r>
    <w:r w:rsidR="005949EF"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left" w:pos="6120"/>
      </w:tabs>
      <w:ind w:right="360"/>
      <w:jc w:val="both"/>
    </w:pPr>
  </w:p>
  <w:p w:rsidR="004C2539" w:rsidRDefault="004C2539">
    <w:pPr>
      <w:pStyle w:val="Footer"/>
      <w:tabs>
        <w:tab w:val="clear" w:pos="8640"/>
        <w:tab w:val="left" w:pos="6120"/>
      </w:tabs>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39" w:rsidRDefault="004C2539" w:rsidP="0067046B">
    <w:pPr>
      <w:pStyle w:val="Footer"/>
      <w:tabs>
        <w:tab w:val="clear" w:pos="8640"/>
        <w:tab w:val="right" w:pos="9630"/>
      </w:tabs>
      <w:jc w:val="right"/>
      <w:rPr>
        <w:rStyle w:val="PageNumber"/>
        <w:sz w:val="24"/>
        <w:szCs w:val="24"/>
      </w:rPr>
    </w:pPr>
    <w:r w:rsidRPr="003D4AD0">
      <w:rPr>
        <w:sz w:val="24"/>
        <w:szCs w:val="24"/>
      </w:rPr>
      <w:t xml:space="preserve">Page </w:t>
    </w:r>
    <w:r w:rsidR="005949EF" w:rsidRPr="003D4AD0">
      <w:rPr>
        <w:rStyle w:val="PageNumber"/>
        <w:sz w:val="24"/>
        <w:szCs w:val="24"/>
      </w:rPr>
      <w:fldChar w:fldCharType="begin"/>
    </w:r>
    <w:r w:rsidRPr="003D4AD0">
      <w:rPr>
        <w:rStyle w:val="PageNumber"/>
        <w:sz w:val="24"/>
        <w:szCs w:val="24"/>
      </w:rPr>
      <w:instrText xml:space="preserve"> PAGE </w:instrText>
    </w:r>
    <w:r w:rsidR="005949EF" w:rsidRPr="003D4AD0">
      <w:rPr>
        <w:rStyle w:val="PageNumber"/>
        <w:sz w:val="24"/>
        <w:szCs w:val="24"/>
      </w:rPr>
      <w:fldChar w:fldCharType="separate"/>
    </w:r>
    <w:r w:rsidR="003911F5">
      <w:rPr>
        <w:rStyle w:val="PageNumber"/>
        <w:noProof/>
        <w:sz w:val="24"/>
        <w:szCs w:val="24"/>
      </w:rPr>
      <w:t>1</w:t>
    </w:r>
    <w:r w:rsidR="005949EF" w:rsidRPr="003D4AD0">
      <w:rPr>
        <w:rStyle w:val="PageNumber"/>
        <w:sz w:val="24"/>
        <w:szCs w:val="24"/>
      </w:rPr>
      <w:fldChar w:fldCharType="end"/>
    </w:r>
    <w:r w:rsidRPr="003D4AD0">
      <w:rPr>
        <w:rStyle w:val="PageNumber"/>
        <w:sz w:val="24"/>
        <w:szCs w:val="24"/>
      </w:rPr>
      <w:t xml:space="preserve"> of 9</w:t>
    </w:r>
  </w:p>
  <w:p w:rsidR="004C2539" w:rsidRDefault="004C2539">
    <w:pPr>
      <w:pStyle w:val="Footer"/>
      <w:tabs>
        <w:tab w:val="clear" w:pos="8640"/>
        <w:tab w:val="right" w:pos="9630"/>
      </w:tabs>
      <w:rPr>
        <w:rStyle w:val="PageNumber"/>
        <w:sz w:val="24"/>
        <w:szCs w:val="24"/>
      </w:rPr>
    </w:pPr>
  </w:p>
  <w:p w:rsidR="004C2539" w:rsidRPr="003D4AD0" w:rsidRDefault="004C2539" w:rsidP="0067046B">
    <w:pPr>
      <w:pStyle w:val="Footer"/>
      <w:tabs>
        <w:tab w:val="clear" w:pos="8640"/>
        <w:tab w:val="right" w:pos="9630"/>
      </w:tabs>
      <w:rPr>
        <w:rStyle w:val="PageNumb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539" w:rsidRDefault="004C2539">
      <w:r>
        <w:separator/>
      </w:r>
    </w:p>
  </w:footnote>
  <w:footnote w:type="continuationSeparator" w:id="0">
    <w:p w:rsidR="004C2539" w:rsidRDefault="004C25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39" w:rsidRPr="003D4AD0" w:rsidRDefault="004C2539" w:rsidP="0012376C">
    <w:pPr>
      <w:pStyle w:val="Header"/>
      <w:tabs>
        <w:tab w:val="clear" w:pos="8640"/>
        <w:tab w:val="right" w:pos="9720"/>
      </w:tabs>
      <w:jc w:val="right"/>
      <w:rPr>
        <w:sz w:val="24"/>
        <w:szCs w:val="24"/>
      </w:rPr>
    </w:pPr>
    <w:r w:rsidRPr="003D4AD0">
      <w:rPr>
        <w:sz w:val="24"/>
        <w:szCs w:val="24"/>
      </w:rPr>
      <w:t>E</w:t>
    </w:r>
    <w:r w:rsidR="00FA6C0D">
      <w:rPr>
        <w:sz w:val="24"/>
        <w:szCs w:val="24"/>
      </w:rPr>
      <w:t>xh. JDM-2</w:t>
    </w:r>
  </w:p>
  <w:p w:rsidR="004C2539" w:rsidRDefault="004C253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539" w:rsidRPr="003D4AD0" w:rsidRDefault="004C2539" w:rsidP="0067046B">
    <w:pPr>
      <w:pStyle w:val="Header"/>
      <w:tabs>
        <w:tab w:val="clear" w:pos="8640"/>
      </w:tabs>
      <w:jc w:val="right"/>
      <w:rPr>
        <w:sz w:val="24"/>
        <w:szCs w:val="24"/>
      </w:rPr>
    </w:pPr>
    <w:bookmarkStart w:id="1" w:name="OLE_LINK1"/>
    <w:bookmarkStart w:id="2" w:name="OLE_LINK2"/>
    <w:r w:rsidRPr="003D4AD0">
      <w:rPr>
        <w:sz w:val="24"/>
        <w:szCs w:val="24"/>
      </w:rPr>
      <w:t>Exh. JDM-2</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124313"/>
    <w:multiLevelType w:val="singleLevel"/>
    <w:tmpl w:val="D31ED6BC"/>
    <w:lvl w:ilvl="0">
      <w:start w:val="1"/>
      <w:numFmt w:val="upperLetter"/>
      <w:lvlText w:val="%1."/>
      <w:lvlJc w:val="left"/>
      <w:pPr>
        <w:tabs>
          <w:tab w:val="num" w:pos="1440"/>
        </w:tabs>
        <w:ind w:left="1440" w:hanging="720"/>
      </w:pPr>
      <w:rPr>
        <w:rFonts w:hint="default"/>
      </w:rPr>
    </w:lvl>
  </w:abstractNum>
  <w:abstractNum w:abstractNumId="2" w15:restartNumberingAfterBreak="0">
    <w:nsid w:val="546B467B"/>
    <w:multiLevelType w:val="singleLevel"/>
    <w:tmpl w:val="408A3D60"/>
    <w:lvl w:ilvl="0">
      <w:start w:val="17"/>
      <w:numFmt w:val="upperLetter"/>
      <w:lvlText w:val="%1."/>
      <w:lvlJc w:val="left"/>
      <w:pPr>
        <w:tabs>
          <w:tab w:val="num" w:pos="1440"/>
        </w:tabs>
        <w:ind w:left="1440" w:hanging="720"/>
      </w:pPr>
      <w:rPr>
        <w:rFonts w:hint="default"/>
      </w:rPr>
    </w:lvl>
  </w:abstractNum>
  <w:abstractNum w:abstractNumId="3" w15:restartNumberingAfterBreak="0">
    <w:nsid w:val="55601340"/>
    <w:multiLevelType w:val="singleLevel"/>
    <w:tmpl w:val="135886EA"/>
    <w:lvl w:ilvl="0">
      <w:start w:val="17"/>
      <w:numFmt w:val="upperLetter"/>
      <w:pStyle w:val="Heading4"/>
      <w:lvlText w:val="%1."/>
      <w:lvlJc w:val="left"/>
      <w:pPr>
        <w:tabs>
          <w:tab w:val="num" w:pos="1440"/>
        </w:tabs>
        <w:ind w:left="1440" w:hanging="720"/>
      </w:pPr>
      <w:rPr>
        <w:rFonts w:hint="default"/>
      </w:rPr>
    </w:lvl>
  </w:abstractNum>
  <w:num w:numId="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9D38B4"/>
    <w:rsid w:val="00042F7A"/>
    <w:rsid w:val="000A0216"/>
    <w:rsid w:val="0012315A"/>
    <w:rsid w:val="0012376C"/>
    <w:rsid w:val="001510AB"/>
    <w:rsid w:val="00174999"/>
    <w:rsid w:val="00193610"/>
    <w:rsid w:val="001B6798"/>
    <w:rsid w:val="001D01B1"/>
    <w:rsid w:val="00204EF0"/>
    <w:rsid w:val="002177A5"/>
    <w:rsid w:val="0027301C"/>
    <w:rsid w:val="00277936"/>
    <w:rsid w:val="002C49B3"/>
    <w:rsid w:val="002E1144"/>
    <w:rsid w:val="002E589F"/>
    <w:rsid w:val="002F0067"/>
    <w:rsid w:val="00310497"/>
    <w:rsid w:val="003526DD"/>
    <w:rsid w:val="003911F5"/>
    <w:rsid w:val="003A0779"/>
    <w:rsid w:val="003C0D99"/>
    <w:rsid w:val="003D4AD0"/>
    <w:rsid w:val="00426732"/>
    <w:rsid w:val="004718BF"/>
    <w:rsid w:val="004C2539"/>
    <w:rsid w:val="004E2844"/>
    <w:rsid w:val="004E52F4"/>
    <w:rsid w:val="005119AD"/>
    <w:rsid w:val="00520EB6"/>
    <w:rsid w:val="0057088A"/>
    <w:rsid w:val="005949EF"/>
    <w:rsid w:val="005A2A43"/>
    <w:rsid w:val="005C6318"/>
    <w:rsid w:val="005E5328"/>
    <w:rsid w:val="005F399D"/>
    <w:rsid w:val="006638E8"/>
    <w:rsid w:val="0067046B"/>
    <w:rsid w:val="006B0747"/>
    <w:rsid w:val="006D5429"/>
    <w:rsid w:val="006D5788"/>
    <w:rsid w:val="00740EC2"/>
    <w:rsid w:val="0075439B"/>
    <w:rsid w:val="007667E2"/>
    <w:rsid w:val="007C2243"/>
    <w:rsid w:val="007C2E34"/>
    <w:rsid w:val="007C76E5"/>
    <w:rsid w:val="007F4B43"/>
    <w:rsid w:val="008B794F"/>
    <w:rsid w:val="009251C0"/>
    <w:rsid w:val="0097272C"/>
    <w:rsid w:val="009C3A97"/>
    <w:rsid w:val="009D38B4"/>
    <w:rsid w:val="009E10CA"/>
    <w:rsid w:val="00A05DAC"/>
    <w:rsid w:val="00A41B77"/>
    <w:rsid w:val="00A4417E"/>
    <w:rsid w:val="00A613B8"/>
    <w:rsid w:val="00A65D1F"/>
    <w:rsid w:val="00AB24CC"/>
    <w:rsid w:val="00AB7949"/>
    <w:rsid w:val="00AD52A6"/>
    <w:rsid w:val="00B514E2"/>
    <w:rsid w:val="00B71622"/>
    <w:rsid w:val="00BC335B"/>
    <w:rsid w:val="00BD3F06"/>
    <w:rsid w:val="00BE31BF"/>
    <w:rsid w:val="00BF71D6"/>
    <w:rsid w:val="00C2319E"/>
    <w:rsid w:val="00C4414C"/>
    <w:rsid w:val="00C649FB"/>
    <w:rsid w:val="00C857D7"/>
    <w:rsid w:val="00CB6C73"/>
    <w:rsid w:val="00CC515C"/>
    <w:rsid w:val="00CC52BF"/>
    <w:rsid w:val="00CC69C5"/>
    <w:rsid w:val="00D420AA"/>
    <w:rsid w:val="00D61B23"/>
    <w:rsid w:val="00D77105"/>
    <w:rsid w:val="00D80C23"/>
    <w:rsid w:val="00DA67C1"/>
    <w:rsid w:val="00DC7190"/>
    <w:rsid w:val="00DD0F14"/>
    <w:rsid w:val="00DE16D2"/>
    <w:rsid w:val="00DE204A"/>
    <w:rsid w:val="00DE7513"/>
    <w:rsid w:val="00E01A7B"/>
    <w:rsid w:val="00E138B6"/>
    <w:rsid w:val="00E15883"/>
    <w:rsid w:val="00E205B7"/>
    <w:rsid w:val="00E75012"/>
    <w:rsid w:val="00EE0069"/>
    <w:rsid w:val="00EE1C1C"/>
    <w:rsid w:val="00F410CD"/>
    <w:rsid w:val="00F45C98"/>
    <w:rsid w:val="00FA6C0D"/>
    <w:rsid w:val="00FB6912"/>
    <w:rsid w:val="00FD7FC1"/>
    <w:rsid w:val="00FE5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33BFCFA1-80BF-4506-9A10-C5A8AC41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67"/>
  </w:style>
  <w:style w:type="paragraph" w:styleId="Heading1">
    <w:name w:val="heading 1"/>
    <w:basedOn w:val="Normal"/>
    <w:next w:val="Normal"/>
    <w:qFormat/>
    <w:rsid w:val="00FD7FC1"/>
    <w:pPr>
      <w:keepNext/>
      <w:spacing w:line="480" w:lineRule="auto"/>
      <w:ind w:right="288" w:firstLine="720"/>
      <w:jc w:val="center"/>
      <w:outlineLvl w:val="0"/>
    </w:pPr>
    <w:rPr>
      <w:sz w:val="24"/>
    </w:rPr>
  </w:style>
  <w:style w:type="paragraph" w:styleId="Heading2">
    <w:name w:val="heading 2"/>
    <w:basedOn w:val="Normal"/>
    <w:next w:val="Normal"/>
    <w:qFormat/>
    <w:rsid w:val="00FD7FC1"/>
    <w:pPr>
      <w:keepNext/>
      <w:spacing w:line="480" w:lineRule="auto"/>
      <w:ind w:left="720" w:right="288"/>
      <w:jc w:val="center"/>
      <w:outlineLvl w:val="1"/>
    </w:pPr>
    <w:rPr>
      <w:sz w:val="24"/>
    </w:rPr>
  </w:style>
  <w:style w:type="paragraph" w:styleId="Heading3">
    <w:name w:val="heading 3"/>
    <w:basedOn w:val="Normal"/>
    <w:next w:val="Normal"/>
    <w:qFormat/>
    <w:rsid w:val="00FD7FC1"/>
    <w:pPr>
      <w:keepNext/>
      <w:spacing w:line="480" w:lineRule="auto"/>
      <w:ind w:right="288" w:firstLine="720"/>
      <w:jc w:val="center"/>
      <w:outlineLvl w:val="2"/>
    </w:pPr>
    <w:rPr>
      <w:b/>
      <w:sz w:val="24"/>
      <w:u w:val="single"/>
    </w:rPr>
  </w:style>
  <w:style w:type="paragraph" w:styleId="Heading4">
    <w:name w:val="heading 4"/>
    <w:basedOn w:val="Normal"/>
    <w:next w:val="Normal"/>
    <w:qFormat/>
    <w:rsid w:val="00FD7FC1"/>
    <w:pPr>
      <w:keepNext/>
      <w:numPr>
        <w:numId w:val="4"/>
      </w:numPr>
      <w:tabs>
        <w:tab w:val="clear" w:pos="1440"/>
      </w:tabs>
      <w:spacing w:line="480" w:lineRule="auto"/>
      <w:ind w:right="288"/>
      <w:jc w:val="both"/>
      <w:outlineLvl w:val="3"/>
    </w:pPr>
    <w:rPr>
      <w:sz w:val="24"/>
    </w:rPr>
  </w:style>
  <w:style w:type="paragraph" w:styleId="Heading5">
    <w:name w:val="heading 5"/>
    <w:basedOn w:val="Normal"/>
    <w:next w:val="Normal"/>
    <w:qFormat/>
    <w:rsid w:val="00FD7FC1"/>
    <w:pPr>
      <w:keepNext/>
      <w:spacing w:line="480" w:lineRule="auto"/>
      <w:ind w:right="1008" w:firstLine="720"/>
      <w:jc w:val="center"/>
      <w:outlineLvl w:val="4"/>
    </w:pPr>
    <w:rPr>
      <w:sz w:val="24"/>
    </w:rPr>
  </w:style>
  <w:style w:type="paragraph" w:styleId="Heading6">
    <w:name w:val="heading 6"/>
    <w:basedOn w:val="Normal"/>
    <w:next w:val="Normal"/>
    <w:qFormat/>
    <w:rsid w:val="00FD7FC1"/>
    <w:pPr>
      <w:keepNext/>
      <w:ind w:right="288" w:firstLine="90"/>
      <w:jc w:val="center"/>
      <w:outlineLvl w:val="5"/>
    </w:pPr>
    <w:rPr>
      <w:sz w:val="24"/>
    </w:rPr>
  </w:style>
  <w:style w:type="paragraph" w:styleId="Heading7">
    <w:name w:val="heading 7"/>
    <w:basedOn w:val="Normal"/>
    <w:next w:val="Normal"/>
    <w:qFormat/>
    <w:rsid w:val="00FD7FC1"/>
    <w:pPr>
      <w:keepNext/>
      <w:spacing w:line="480" w:lineRule="auto"/>
      <w:ind w:right="288"/>
      <w:jc w:val="center"/>
      <w:outlineLvl w:val="6"/>
    </w:pPr>
    <w:rPr>
      <w:sz w:val="24"/>
    </w:rPr>
  </w:style>
  <w:style w:type="paragraph" w:styleId="Heading8">
    <w:name w:val="heading 8"/>
    <w:basedOn w:val="Normal"/>
    <w:next w:val="Normal"/>
    <w:qFormat/>
    <w:rsid w:val="00FD7FC1"/>
    <w:pPr>
      <w:keepNext/>
      <w:spacing w:line="480" w:lineRule="auto"/>
      <w:ind w:right="162"/>
      <w:jc w:val="both"/>
      <w:outlineLvl w:val="7"/>
    </w:pPr>
    <w:rPr>
      <w:sz w:val="24"/>
    </w:rPr>
  </w:style>
  <w:style w:type="paragraph" w:styleId="Heading9">
    <w:name w:val="heading 9"/>
    <w:basedOn w:val="Normal"/>
    <w:next w:val="Normal"/>
    <w:qFormat/>
    <w:rsid w:val="00FD7FC1"/>
    <w:pPr>
      <w:keepNext/>
      <w:spacing w:line="480" w:lineRule="auto"/>
      <w:ind w:right="-18"/>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FC1"/>
    <w:pPr>
      <w:tabs>
        <w:tab w:val="center" w:pos="4320"/>
        <w:tab w:val="right" w:pos="8640"/>
      </w:tabs>
    </w:pPr>
  </w:style>
  <w:style w:type="paragraph" w:styleId="Footer">
    <w:name w:val="footer"/>
    <w:basedOn w:val="Normal"/>
    <w:rsid w:val="00FD7FC1"/>
    <w:pPr>
      <w:tabs>
        <w:tab w:val="center" w:pos="4320"/>
        <w:tab w:val="right" w:pos="8640"/>
      </w:tabs>
    </w:pPr>
  </w:style>
  <w:style w:type="character" w:styleId="PageNumber">
    <w:name w:val="page number"/>
    <w:basedOn w:val="DefaultParagraphFont"/>
    <w:rsid w:val="00FD7FC1"/>
  </w:style>
  <w:style w:type="paragraph" w:styleId="BodyTextIndent">
    <w:name w:val="Body Text Indent"/>
    <w:basedOn w:val="Normal"/>
    <w:rsid w:val="00FD7FC1"/>
    <w:pPr>
      <w:spacing w:line="480" w:lineRule="auto"/>
      <w:ind w:right="288" w:firstLine="720"/>
      <w:jc w:val="both"/>
    </w:pPr>
    <w:rPr>
      <w:sz w:val="24"/>
    </w:rPr>
  </w:style>
  <w:style w:type="paragraph" w:styleId="BodyTextIndent2">
    <w:name w:val="Body Text Indent 2"/>
    <w:basedOn w:val="Normal"/>
    <w:rsid w:val="00FD7FC1"/>
    <w:pPr>
      <w:spacing w:line="480" w:lineRule="auto"/>
      <w:ind w:right="288" w:firstLine="720"/>
      <w:jc w:val="both"/>
    </w:pPr>
    <w:rPr>
      <w:color w:val="FF0000"/>
      <w:sz w:val="24"/>
    </w:rPr>
  </w:style>
  <w:style w:type="paragraph" w:styleId="BlockText">
    <w:name w:val="Block Text"/>
    <w:basedOn w:val="Normal"/>
    <w:rsid w:val="00FD7FC1"/>
    <w:pPr>
      <w:spacing w:line="480" w:lineRule="auto"/>
      <w:ind w:left="2340" w:right="288" w:hanging="1620"/>
      <w:jc w:val="both"/>
    </w:pPr>
    <w:rPr>
      <w:sz w:val="24"/>
    </w:rPr>
  </w:style>
  <w:style w:type="paragraph" w:styleId="DocumentMap">
    <w:name w:val="Document Map"/>
    <w:basedOn w:val="Normal"/>
    <w:semiHidden/>
    <w:rsid w:val="00FD7FC1"/>
    <w:pPr>
      <w:shd w:val="clear" w:color="auto" w:fill="000080"/>
    </w:pPr>
    <w:rPr>
      <w:rFonts w:ascii="Tahoma" w:hAnsi="Tahoma"/>
    </w:rPr>
  </w:style>
  <w:style w:type="character" w:styleId="LineNumber">
    <w:name w:val="line number"/>
    <w:basedOn w:val="DefaultParagraphFont"/>
    <w:rsid w:val="003C0D99"/>
  </w:style>
  <w:style w:type="paragraph" w:styleId="BalloonText">
    <w:name w:val="Balloon Text"/>
    <w:basedOn w:val="Normal"/>
    <w:semiHidden/>
    <w:rsid w:val="00E75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881794">
      <w:bodyDiv w:val="1"/>
      <w:marLeft w:val="0"/>
      <w:marRight w:val="0"/>
      <w:marTop w:val="0"/>
      <w:marBottom w:val="0"/>
      <w:divBdr>
        <w:top w:val="none" w:sz="0" w:space="0" w:color="auto"/>
        <w:left w:val="none" w:sz="0" w:space="0" w:color="auto"/>
        <w:bottom w:val="none" w:sz="0" w:space="0" w:color="auto"/>
        <w:right w:val="none" w:sz="0" w:space="0" w:color="auto"/>
      </w:divBdr>
    </w:div>
    <w:div w:id="193986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D879CD4D5B36249AFBEF7AC20F88455" ma:contentTypeVersion="104" ma:contentTypeDescription="" ma:contentTypeScope="" ma:versionID="a495328ce8a52cdce3c985f826d2e54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Closed</CaseStatus>
    <OpenedDate xmlns="dc463f71-b30c-4ab2-9473-d307f9d35888">2017-05-26T07:00:00+00:00</OpenedDate>
    <Date1 xmlns="dc463f71-b30c-4ab2-9473-d307f9d35888">2017-05-26T07:00:00+00:00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170486</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4280D932-1E67-4B35-B31B-7E5F42769A81}">
  <ds:schemaRefs>
    <ds:schemaRef ds:uri="http://schemas.openxmlformats.org/officeDocument/2006/bibliography"/>
  </ds:schemaRefs>
</ds:datastoreItem>
</file>

<file path=customXml/itemProps2.xml><?xml version="1.0" encoding="utf-8"?>
<ds:datastoreItem xmlns:ds="http://schemas.openxmlformats.org/officeDocument/2006/customXml" ds:itemID="{3926FA37-8A6F-4BDE-B82B-04ABA005D826}"/>
</file>

<file path=customXml/itemProps3.xml><?xml version="1.0" encoding="utf-8"?>
<ds:datastoreItem xmlns:ds="http://schemas.openxmlformats.org/officeDocument/2006/customXml" ds:itemID="{2589D258-6CD1-4B93-92FE-EB6CEA0FE7A4}"/>
</file>

<file path=customXml/itemProps4.xml><?xml version="1.0" encoding="utf-8"?>
<ds:datastoreItem xmlns:ds="http://schemas.openxmlformats.org/officeDocument/2006/customXml" ds:itemID="{3165CF64-B9DD-4105-A315-4D11864A60DF}"/>
</file>

<file path=customXml/itemProps5.xml><?xml version="1.0" encoding="utf-8"?>
<ds:datastoreItem xmlns:ds="http://schemas.openxmlformats.org/officeDocument/2006/customXml" ds:itemID="{DFAA6660-ADC9-43D0-90EB-A4ED3A850AF7}"/>
</file>

<file path=docProps/app.xml><?xml version="1.0" encoding="utf-8"?>
<Properties xmlns="http://schemas.openxmlformats.org/officeDocument/2006/extended-properties" xmlns:vt="http://schemas.openxmlformats.org/officeDocument/2006/docPropsVTypes">
  <Template>Normal.dotm</Template>
  <TotalTime>37</TotalTime>
  <Pages>6</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Testing1 Q	Would you please state your name, business address and present position with the Washington Water Power Company?</vt:lpstr>
    </vt:vector>
  </TitlesOfParts>
  <Company>Micron Electronics, Inc.</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Testing1 Q	Would you please state your name, business address and present position with the Washington Water Power Company?</dc:title>
  <dc:creator>Preferred Customer</dc:creator>
  <cp:lastModifiedBy>Kimball, Paul</cp:lastModifiedBy>
  <cp:revision>18</cp:revision>
  <cp:lastPrinted>2015-02-02T23:39:00Z</cp:lastPrinted>
  <dcterms:created xsi:type="dcterms:W3CDTF">2016-01-28T17:04:00Z</dcterms:created>
  <dcterms:modified xsi:type="dcterms:W3CDTF">2017-05-16T15:48:00Z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0x0101006E56B4D1795A2E4DB2F0B01679ED314A009D879CD4D5B36249AFBEF7AC20F88455</vt:lpwstr>
  </property>
  <property fmtid="{D5CDD505-2E9C-101B-9397-08002B2CF9AE}" pid="3" name="_docset_NoMedatataSyncRequired">
    <vt:lpwstr>False</vt:lpwstr>
  </property>
  <property fmtid="{D5CDD505-2E9C-101B-9397-08002B2CF9AE}" pid="4" name="IsEFSEC">
    <vt:bool>false</vt:bool>
  </property>
</Properties>
</file>