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31E" w:rsidRDefault="0039331E" w:rsidP="0039331E">
      <w:pPr>
        <w:pStyle w:val="BodyText"/>
        <w:spacing w:line="240" w:lineRule="auto"/>
        <w:jc w:val="center"/>
        <w:rPr>
          <w:b/>
          <w:bCs/>
          <w:sz w:val="25"/>
          <w:szCs w:val="25"/>
        </w:rPr>
      </w:pPr>
      <w:bookmarkStart w:id="0" w:name="TXTJUDGE"/>
      <w:bookmarkStart w:id="1" w:name="_GoBack"/>
      <w:bookmarkEnd w:id="1"/>
      <w:r w:rsidRPr="00BD1EB2">
        <w:rPr>
          <w:b/>
          <w:bCs/>
          <w:sz w:val="25"/>
          <w:szCs w:val="25"/>
        </w:rPr>
        <w:t>BEFORE THE WASHINGTON</w:t>
      </w:r>
      <w:r>
        <w:rPr>
          <w:b/>
          <w:bCs/>
          <w:sz w:val="25"/>
          <w:szCs w:val="25"/>
        </w:rPr>
        <w:t xml:space="preserve"> STATE</w:t>
      </w:r>
      <w:r>
        <w:rPr>
          <w:b/>
          <w:bCs/>
          <w:sz w:val="25"/>
          <w:szCs w:val="25"/>
        </w:rPr>
        <w:br/>
      </w:r>
      <w:r w:rsidRPr="00BD1EB2">
        <w:rPr>
          <w:b/>
          <w:bCs/>
          <w:sz w:val="25"/>
          <w:szCs w:val="25"/>
        </w:rPr>
        <w:t>UTILITIES AND TRANSPORTATION COMMISSION</w:t>
      </w:r>
    </w:p>
    <w:tbl>
      <w:tblPr>
        <w:tblW w:w="8928" w:type="dxa"/>
        <w:tblLook w:val="0000" w:firstRow="0" w:lastRow="0" w:firstColumn="0" w:lastColumn="0" w:noHBand="0" w:noVBand="0"/>
      </w:tblPr>
      <w:tblGrid>
        <w:gridCol w:w="4248"/>
        <w:gridCol w:w="360"/>
        <w:gridCol w:w="4320"/>
      </w:tblGrid>
      <w:tr w:rsidR="0039331E" w:rsidRPr="00BD1EB2" w:rsidTr="00DE2076">
        <w:tc>
          <w:tcPr>
            <w:tcW w:w="4248" w:type="dxa"/>
          </w:tcPr>
          <w:p w:rsidR="0039331E" w:rsidRPr="00B80696" w:rsidRDefault="0039331E" w:rsidP="00DE2076">
            <w:pPr>
              <w:tabs>
                <w:tab w:val="left" w:pos="2160"/>
              </w:tabs>
              <w:rPr>
                <w:bCs/>
                <w:sz w:val="25"/>
                <w:szCs w:val="25"/>
              </w:rPr>
            </w:pPr>
            <w:r w:rsidRPr="00B80696">
              <w:rPr>
                <w:bCs/>
                <w:sz w:val="25"/>
                <w:szCs w:val="25"/>
              </w:rPr>
              <w:t>WASHINGTON UTILITIES AND TRANSPORTATION COMMISSION,</w:t>
            </w:r>
          </w:p>
          <w:p w:rsidR="0039331E" w:rsidRPr="00B80696" w:rsidRDefault="0039331E" w:rsidP="00DE2076">
            <w:pPr>
              <w:tabs>
                <w:tab w:val="left" w:pos="2160"/>
              </w:tabs>
              <w:rPr>
                <w:bCs/>
                <w:sz w:val="25"/>
                <w:szCs w:val="25"/>
              </w:rPr>
            </w:pPr>
          </w:p>
          <w:p w:rsidR="0039331E" w:rsidRPr="00B80696" w:rsidRDefault="0039331E" w:rsidP="00E63A73">
            <w:pPr>
              <w:ind w:left="2160"/>
              <w:rPr>
                <w:bCs/>
                <w:sz w:val="25"/>
                <w:szCs w:val="25"/>
              </w:rPr>
            </w:pPr>
            <w:r w:rsidRPr="00B80696">
              <w:rPr>
                <w:bCs/>
                <w:sz w:val="25"/>
                <w:szCs w:val="25"/>
              </w:rPr>
              <w:t>Complainant,</w:t>
            </w:r>
          </w:p>
          <w:p w:rsidR="0039331E" w:rsidRPr="00B80696" w:rsidRDefault="0039331E" w:rsidP="00DE2076">
            <w:pPr>
              <w:tabs>
                <w:tab w:val="left" w:pos="2160"/>
              </w:tabs>
              <w:rPr>
                <w:bCs/>
                <w:sz w:val="25"/>
                <w:szCs w:val="25"/>
              </w:rPr>
            </w:pPr>
          </w:p>
          <w:p w:rsidR="0039331E" w:rsidRPr="00B80696" w:rsidRDefault="0039331E" w:rsidP="00FB042B">
            <w:pPr>
              <w:tabs>
                <w:tab w:val="left" w:pos="2160"/>
              </w:tabs>
              <w:ind w:left="720"/>
              <w:rPr>
                <w:bCs/>
                <w:sz w:val="25"/>
                <w:szCs w:val="25"/>
              </w:rPr>
            </w:pPr>
            <w:r w:rsidRPr="00B80696">
              <w:rPr>
                <w:bCs/>
                <w:sz w:val="25"/>
                <w:szCs w:val="25"/>
              </w:rPr>
              <w:t>v.</w:t>
            </w:r>
          </w:p>
          <w:p w:rsidR="0039331E" w:rsidRPr="00B80696" w:rsidRDefault="0039331E" w:rsidP="00DE2076">
            <w:pPr>
              <w:tabs>
                <w:tab w:val="left" w:pos="2160"/>
              </w:tabs>
              <w:rPr>
                <w:bCs/>
                <w:sz w:val="25"/>
                <w:szCs w:val="25"/>
              </w:rPr>
            </w:pPr>
          </w:p>
          <w:p w:rsidR="0039331E" w:rsidRPr="00B80696" w:rsidRDefault="0039331E" w:rsidP="00DE2076">
            <w:pPr>
              <w:tabs>
                <w:tab w:val="left" w:pos="2160"/>
              </w:tabs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WASTE CONTROL, INC., G-101</w:t>
            </w:r>
            <w:r w:rsidRPr="00B80696">
              <w:rPr>
                <w:bCs/>
                <w:sz w:val="25"/>
                <w:szCs w:val="25"/>
              </w:rPr>
              <w:t>,</w:t>
            </w:r>
          </w:p>
          <w:p w:rsidR="0039331E" w:rsidRPr="00B80696" w:rsidRDefault="0039331E" w:rsidP="00DE2076">
            <w:pPr>
              <w:tabs>
                <w:tab w:val="left" w:pos="2160"/>
              </w:tabs>
              <w:rPr>
                <w:bCs/>
                <w:sz w:val="25"/>
                <w:szCs w:val="25"/>
              </w:rPr>
            </w:pPr>
          </w:p>
          <w:p w:rsidR="0039331E" w:rsidRPr="000503FF" w:rsidRDefault="0039331E" w:rsidP="00E63A73">
            <w:pPr>
              <w:tabs>
                <w:tab w:val="left" w:pos="2160"/>
              </w:tabs>
              <w:ind w:left="2160"/>
              <w:rPr>
                <w:bCs/>
                <w:sz w:val="25"/>
                <w:szCs w:val="25"/>
              </w:rPr>
            </w:pPr>
            <w:r w:rsidRPr="00B80696">
              <w:rPr>
                <w:bCs/>
                <w:sz w:val="25"/>
                <w:szCs w:val="25"/>
              </w:rPr>
              <w:t>Respondent.</w:t>
            </w:r>
          </w:p>
        </w:tc>
        <w:tc>
          <w:tcPr>
            <w:tcW w:w="360" w:type="dxa"/>
          </w:tcPr>
          <w:p w:rsidR="0039331E" w:rsidRPr="00BD1EB2" w:rsidRDefault="0039331E" w:rsidP="00DE2076">
            <w:pPr>
              <w:rPr>
                <w:sz w:val="25"/>
                <w:szCs w:val="25"/>
              </w:rPr>
            </w:pPr>
            <w:r w:rsidRPr="00BD1EB2">
              <w:rPr>
                <w:sz w:val="25"/>
                <w:szCs w:val="25"/>
              </w:rPr>
              <w:t>)</w:t>
            </w:r>
          </w:p>
          <w:p w:rsidR="0039331E" w:rsidRPr="00BD1EB2" w:rsidRDefault="0039331E" w:rsidP="00DE2076">
            <w:pPr>
              <w:rPr>
                <w:sz w:val="25"/>
                <w:szCs w:val="25"/>
              </w:rPr>
            </w:pPr>
            <w:r w:rsidRPr="00BD1EB2">
              <w:rPr>
                <w:sz w:val="25"/>
                <w:szCs w:val="25"/>
              </w:rPr>
              <w:t>)</w:t>
            </w:r>
          </w:p>
          <w:p w:rsidR="0039331E" w:rsidRPr="00BD1EB2" w:rsidRDefault="0039331E" w:rsidP="00DE2076">
            <w:pPr>
              <w:rPr>
                <w:sz w:val="25"/>
                <w:szCs w:val="25"/>
              </w:rPr>
            </w:pPr>
            <w:r w:rsidRPr="00BD1EB2">
              <w:rPr>
                <w:sz w:val="25"/>
                <w:szCs w:val="25"/>
              </w:rPr>
              <w:t>)</w:t>
            </w:r>
          </w:p>
          <w:p w:rsidR="0039331E" w:rsidRPr="00BD1EB2" w:rsidRDefault="0039331E" w:rsidP="00DE2076">
            <w:pPr>
              <w:rPr>
                <w:sz w:val="25"/>
                <w:szCs w:val="25"/>
              </w:rPr>
            </w:pPr>
            <w:r w:rsidRPr="00BD1EB2">
              <w:rPr>
                <w:sz w:val="25"/>
                <w:szCs w:val="25"/>
              </w:rPr>
              <w:t>)</w:t>
            </w:r>
          </w:p>
          <w:p w:rsidR="0039331E" w:rsidRPr="00BD1EB2" w:rsidRDefault="0039331E" w:rsidP="00DE2076">
            <w:pPr>
              <w:rPr>
                <w:sz w:val="25"/>
                <w:szCs w:val="25"/>
              </w:rPr>
            </w:pPr>
            <w:r w:rsidRPr="00BD1EB2">
              <w:rPr>
                <w:sz w:val="25"/>
                <w:szCs w:val="25"/>
              </w:rPr>
              <w:t>)</w:t>
            </w:r>
          </w:p>
          <w:p w:rsidR="0039331E" w:rsidRPr="00BD1EB2" w:rsidRDefault="0039331E" w:rsidP="00DE2076">
            <w:pPr>
              <w:rPr>
                <w:sz w:val="25"/>
                <w:szCs w:val="25"/>
              </w:rPr>
            </w:pPr>
            <w:r w:rsidRPr="00BD1EB2">
              <w:rPr>
                <w:sz w:val="25"/>
                <w:szCs w:val="25"/>
              </w:rPr>
              <w:t>)</w:t>
            </w:r>
          </w:p>
          <w:p w:rsidR="0039331E" w:rsidRPr="00BD1EB2" w:rsidRDefault="0039331E" w:rsidP="00DE2076">
            <w:pPr>
              <w:rPr>
                <w:sz w:val="25"/>
                <w:szCs w:val="25"/>
              </w:rPr>
            </w:pPr>
            <w:r w:rsidRPr="00BD1EB2">
              <w:rPr>
                <w:sz w:val="25"/>
                <w:szCs w:val="25"/>
              </w:rPr>
              <w:t>)</w:t>
            </w:r>
          </w:p>
          <w:p w:rsidR="0039331E" w:rsidRPr="00BD1EB2" w:rsidRDefault="0039331E" w:rsidP="00DE2076">
            <w:pPr>
              <w:rPr>
                <w:sz w:val="25"/>
                <w:szCs w:val="25"/>
              </w:rPr>
            </w:pPr>
            <w:r w:rsidRPr="00BD1EB2">
              <w:rPr>
                <w:sz w:val="25"/>
                <w:szCs w:val="25"/>
              </w:rPr>
              <w:t>)</w:t>
            </w:r>
          </w:p>
          <w:p w:rsidR="0039331E" w:rsidRPr="00BD1EB2" w:rsidRDefault="0039331E" w:rsidP="00DE2076">
            <w:pPr>
              <w:rPr>
                <w:sz w:val="25"/>
                <w:szCs w:val="25"/>
              </w:rPr>
            </w:pPr>
            <w:r w:rsidRPr="00BD1EB2">
              <w:rPr>
                <w:sz w:val="25"/>
                <w:szCs w:val="25"/>
              </w:rPr>
              <w:t>)</w:t>
            </w:r>
          </w:p>
          <w:p w:rsidR="0039331E" w:rsidRPr="00BD1EB2" w:rsidRDefault="0039331E" w:rsidP="00DE2076">
            <w:pPr>
              <w:rPr>
                <w:sz w:val="25"/>
                <w:szCs w:val="25"/>
              </w:rPr>
            </w:pPr>
            <w:r w:rsidRPr="00BD1EB2">
              <w:rPr>
                <w:sz w:val="25"/>
                <w:szCs w:val="25"/>
              </w:rPr>
              <w:t>)</w:t>
            </w:r>
          </w:p>
          <w:p w:rsidR="0039331E" w:rsidRPr="00BD1EB2" w:rsidRDefault="0039331E" w:rsidP="00DE2076">
            <w:pPr>
              <w:rPr>
                <w:sz w:val="25"/>
                <w:szCs w:val="25"/>
              </w:rPr>
            </w:pPr>
          </w:p>
        </w:tc>
        <w:tc>
          <w:tcPr>
            <w:tcW w:w="4320" w:type="dxa"/>
          </w:tcPr>
          <w:p w:rsidR="0039331E" w:rsidRDefault="0039331E" w:rsidP="00DE2076">
            <w:pPr>
              <w:rPr>
                <w:sz w:val="25"/>
                <w:szCs w:val="25"/>
              </w:rPr>
            </w:pPr>
            <w:r w:rsidRPr="00BD1EB2">
              <w:rPr>
                <w:sz w:val="25"/>
                <w:szCs w:val="25"/>
              </w:rPr>
              <w:t xml:space="preserve">DOCKET </w:t>
            </w:r>
            <w:r w:rsidR="00A20B4D">
              <w:rPr>
                <w:sz w:val="25"/>
                <w:szCs w:val="25"/>
              </w:rPr>
              <w:t>TG-</w:t>
            </w:r>
          </w:p>
          <w:p w:rsidR="0039331E" w:rsidRPr="00BD1EB2" w:rsidRDefault="0039331E" w:rsidP="00DE2076">
            <w:pPr>
              <w:rPr>
                <w:sz w:val="25"/>
                <w:szCs w:val="25"/>
              </w:rPr>
            </w:pPr>
          </w:p>
          <w:p w:rsidR="0039331E" w:rsidRPr="00BD1EB2" w:rsidRDefault="0039331E" w:rsidP="00DE2076">
            <w:pPr>
              <w:pStyle w:val="Header"/>
              <w:tabs>
                <w:tab w:val="clear" w:pos="4320"/>
                <w:tab w:val="clear" w:pos="8640"/>
              </w:tabs>
              <w:rPr>
                <w:sz w:val="25"/>
                <w:szCs w:val="25"/>
              </w:rPr>
            </w:pPr>
          </w:p>
        </w:tc>
      </w:tr>
    </w:tbl>
    <w:p w:rsidR="0039331E" w:rsidRDefault="0039331E" w:rsidP="0039331E">
      <w:pPr>
        <w:spacing w:line="288" w:lineRule="auto"/>
        <w:rPr>
          <w:sz w:val="25"/>
          <w:szCs w:val="25"/>
        </w:rPr>
      </w:pPr>
    </w:p>
    <w:p w:rsidR="0039331E" w:rsidRDefault="0039331E" w:rsidP="0039331E">
      <w:pPr>
        <w:spacing w:line="288" w:lineRule="auto"/>
        <w:rPr>
          <w:sz w:val="25"/>
          <w:szCs w:val="25"/>
        </w:rPr>
      </w:pPr>
    </w:p>
    <w:p w:rsidR="0039331E" w:rsidRPr="00BD1EB2" w:rsidRDefault="0039331E" w:rsidP="0039331E">
      <w:pPr>
        <w:spacing w:line="288" w:lineRule="auto"/>
        <w:rPr>
          <w:sz w:val="25"/>
          <w:szCs w:val="25"/>
        </w:rPr>
      </w:pPr>
    </w:p>
    <w:p w:rsidR="0039331E" w:rsidRPr="00162CA3" w:rsidRDefault="00C31577" w:rsidP="0039331E">
      <w:pPr>
        <w:pStyle w:val="Judge"/>
        <w:jc w:val="center"/>
        <w:rPr>
          <w:b/>
        </w:rPr>
      </w:pPr>
      <w:r>
        <w:rPr>
          <w:b/>
        </w:rPr>
        <w:t xml:space="preserve">SUPPLEMENTAL </w:t>
      </w:r>
      <w:r w:rsidR="0039331E" w:rsidRPr="00162CA3">
        <w:rPr>
          <w:b/>
        </w:rPr>
        <w:t>TESTIMONY</w:t>
      </w:r>
    </w:p>
    <w:p w:rsidR="0039331E" w:rsidRPr="00162CA3" w:rsidRDefault="0039331E" w:rsidP="0039331E">
      <w:pPr>
        <w:pStyle w:val="Judge"/>
        <w:jc w:val="center"/>
        <w:rPr>
          <w:b/>
        </w:rPr>
      </w:pPr>
    </w:p>
    <w:p w:rsidR="0039331E" w:rsidRPr="00162CA3" w:rsidRDefault="0039331E" w:rsidP="0039331E">
      <w:pPr>
        <w:pStyle w:val="Judge"/>
        <w:jc w:val="center"/>
        <w:rPr>
          <w:b/>
        </w:rPr>
      </w:pPr>
      <w:r>
        <w:rPr>
          <w:b/>
        </w:rPr>
        <w:t>OF JACQUELINE G. DAVIS</w:t>
      </w:r>
      <w:r w:rsidRPr="00162CA3">
        <w:rPr>
          <w:b/>
        </w:rPr>
        <w:t>,</w:t>
      </w:r>
      <w:r w:rsidR="00E63A73">
        <w:rPr>
          <w:b/>
        </w:rPr>
        <w:t xml:space="preserve"> OF APRIL </w:t>
      </w:r>
      <w:r w:rsidR="00A15B31">
        <w:rPr>
          <w:b/>
        </w:rPr>
        <w:t>3</w:t>
      </w:r>
      <w:r w:rsidR="00EC11C6">
        <w:rPr>
          <w:b/>
        </w:rPr>
        <w:t>, 2014</w:t>
      </w:r>
    </w:p>
    <w:p w:rsidR="0039331E" w:rsidRPr="00162CA3" w:rsidRDefault="0039331E" w:rsidP="0039331E">
      <w:pPr>
        <w:pStyle w:val="Judge"/>
        <w:jc w:val="center"/>
        <w:rPr>
          <w:b/>
        </w:rPr>
      </w:pPr>
    </w:p>
    <w:p w:rsidR="0039331E" w:rsidRDefault="0039331E" w:rsidP="0039331E">
      <w:pPr>
        <w:pStyle w:val="Judge"/>
        <w:jc w:val="center"/>
        <w:rPr>
          <w:b/>
        </w:rPr>
      </w:pPr>
      <w:r>
        <w:rPr>
          <w:b/>
        </w:rPr>
        <w:t>G.L. BOOTH, J.G. DAVIS &amp; ASSOCIATES, PLLC</w:t>
      </w:r>
    </w:p>
    <w:p w:rsidR="0039331E" w:rsidRDefault="0039331E" w:rsidP="0039331E">
      <w:pPr>
        <w:pStyle w:val="Judge"/>
        <w:jc w:val="center"/>
        <w:rPr>
          <w:b/>
        </w:rPr>
      </w:pPr>
    </w:p>
    <w:p w:rsidR="00C31577" w:rsidRDefault="00897259" w:rsidP="0039331E">
      <w:pPr>
        <w:pStyle w:val="Judge"/>
        <w:jc w:val="center"/>
        <w:rPr>
          <w:b/>
        </w:rPr>
      </w:pPr>
      <w:r>
        <w:rPr>
          <w:b/>
        </w:rPr>
        <w:t xml:space="preserve">FOR REFILED </w:t>
      </w:r>
      <w:r w:rsidR="00E63A73">
        <w:rPr>
          <w:b/>
        </w:rPr>
        <w:t xml:space="preserve">GENERAL </w:t>
      </w:r>
      <w:r>
        <w:rPr>
          <w:b/>
        </w:rPr>
        <w:t>RATE CASE</w:t>
      </w:r>
    </w:p>
    <w:p w:rsidR="00C31577" w:rsidRDefault="00C31577" w:rsidP="0039331E">
      <w:pPr>
        <w:pStyle w:val="Judge"/>
        <w:jc w:val="center"/>
        <w:rPr>
          <w:b/>
        </w:rPr>
      </w:pPr>
    </w:p>
    <w:p w:rsidR="00C31577" w:rsidRDefault="00C31577" w:rsidP="0039331E">
      <w:pPr>
        <w:pStyle w:val="Judge"/>
        <w:jc w:val="center"/>
        <w:rPr>
          <w:b/>
        </w:rPr>
      </w:pPr>
      <w:r>
        <w:rPr>
          <w:b/>
        </w:rPr>
        <w:t>PURSUANT TO INITIAL ORDER 05</w:t>
      </w:r>
    </w:p>
    <w:p w:rsidR="00C31577" w:rsidRDefault="00C31577" w:rsidP="0039331E">
      <w:pPr>
        <w:pStyle w:val="Judge"/>
        <w:jc w:val="center"/>
        <w:rPr>
          <w:b/>
        </w:rPr>
      </w:pPr>
    </w:p>
    <w:p w:rsidR="00C31577" w:rsidRDefault="00C31577" w:rsidP="0039331E">
      <w:pPr>
        <w:pStyle w:val="Judge"/>
        <w:jc w:val="center"/>
        <w:rPr>
          <w:b/>
        </w:rPr>
      </w:pPr>
      <w:r>
        <w:rPr>
          <w:b/>
        </w:rPr>
        <w:t>IN DOCKET NO. TG-131794</w:t>
      </w:r>
    </w:p>
    <w:p w:rsidR="00C31577" w:rsidRDefault="00C31577" w:rsidP="0039331E">
      <w:pPr>
        <w:pStyle w:val="Judge"/>
        <w:jc w:val="center"/>
        <w:rPr>
          <w:b/>
        </w:rPr>
      </w:pPr>
    </w:p>
    <w:p w:rsidR="0039331E" w:rsidRDefault="0039331E" w:rsidP="0039331E">
      <w:pPr>
        <w:pStyle w:val="Judge"/>
        <w:jc w:val="center"/>
      </w:pPr>
    </w:p>
    <w:p w:rsidR="0039331E" w:rsidRDefault="0039331E" w:rsidP="0039331E">
      <w:pPr>
        <w:pStyle w:val="Judge"/>
        <w:jc w:val="center"/>
      </w:pPr>
    </w:p>
    <w:p w:rsidR="0039331E" w:rsidRDefault="0039331E" w:rsidP="0039331E">
      <w:pPr>
        <w:pStyle w:val="Judge"/>
        <w:jc w:val="center"/>
      </w:pPr>
    </w:p>
    <w:p w:rsidR="0039331E" w:rsidRDefault="0039331E" w:rsidP="0039331E">
      <w:pPr>
        <w:pStyle w:val="Judge"/>
        <w:jc w:val="center"/>
        <w:sectPr w:rsidR="0039331E" w:rsidSect="00860EFF">
          <w:footerReference w:type="default" r:id="rId8"/>
          <w:pgSz w:w="12240" w:h="15840" w:code="1"/>
          <w:pgMar w:top="1440" w:right="1512" w:bottom="1440" w:left="1541" w:header="720" w:footer="1008" w:gutter="0"/>
          <w:paperSrc w:first="262" w:other="262"/>
          <w:cols w:space="720"/>
          <w:docGrid w:linePitch="360"/>
        </w:sectPr>
      </w:pPr>
    </w:p>
    <w:p w:rsidR="0039331E" w:rsidRPr="00A54D68" w:rsidRDefault="0039331E" w:rsidP="0039331E">
      <w:pPr>
        <w:pStyle w:val="Judge"/>
        <w:spacing w:line="480" w:lineRule="exact"/>
        <w:jc w:val="center"/>
        <w:rPr>
          <w:b/>
        </w:rPr>
      </w:pPr>
      <w:r w:rsidRPr="00A54D68">
        <w:rPr>
          <w:b/>
        </w:rPr>
        <w:lastRenderedPageBreak/>
        <w:t>I.  IDENTIFICATION OF WITNESS</w:t>
      </w:r>
    </w:p>
    <w:p w:rsidR="0039331E" w:rsidRDefault="0039331E" w:rsidP="00825D39">
      <w:pPr>
        <w:pStyle w:val="Judge"/>
        <w:spacing w:line="240" w:lineRule="auto"/>
        <w:ind w:left="720" w:hanging="720"/>
        <w:jc w:val="left"/>
        <w:rPr>
          <w:b/>
        </w:rPr>
      </w:pPr>
      <w:r w:rsidRPr="00A54D68">
        <w:rPr>
          <w:b/>
        </w:rPr>
        <w:t>Q.</w:t>
      </w:r>
      <w:r w:rsidRPr="00A54D68">
        <w:rPr>
          <w:b/>
        </w:rPr>
        <w:tab/>
        <w:t xml:space="preserve">PLEASE STATE YOUR NAME, BUSINESS ADDRESS AND </w:t>
      </w:r>
      <w:r>
        <w:rPr>
          <w:b/>
        </w:rPr>
        <w:t>ROLE AT BOOTH, DAVIS &amp; ASSOCIATES, PLLC.</w:t>
      </w:r>
    </w:p>
    <w:p w:rsidR="00825D39" w:rsidRDefault="00825D39" w:rsidP="00825D39">
      <w:pPr>
        <w:pStyle w:val="Judge"/>
        <w:spacing w:line="240" w:lineRule="auto"/>
        <w:ind w:left="720" w:hanging="720"/>
        <w:jc w:val="left"/>
      </w:pPr>
    </w:p>
    <w:p w:rsidR="0039331E" w:rsidRDefault="0039331E" w:rsidP="0039331E">
      <w:pPr>
        <w:pStyle w:val="Judge"/>
        <w:spacing w:line="480" w:lineRule="exact"/>
        <w:ind w:left="720" w:hanging="720"/>
        <w:jc w:val="left"/>
      </w:pPr>
      <w:r>
        <w:t>A.</w:t>
      </w:r>
      <w:r>
        <w:tab/>
        <w:t>My name is Jackie G. Davis.  My business address is 1516 Hudson Avenue, Suite 201, Longview, Washington, 98632.  I am an owner/shareholder in G.L. Booth, J.G. Davis &amp; Associates, PLLC.  I am testifying on behalf of Waste Control, Inc.</w:t>
      </w:r>
      <w:r w:rsidR="007E4733">
        <w:t xml:space="preserve"> (“WCI</w:t>
      </w:r>
      <w:r w:rsidR="00B213F6">
        <w:t>,</w:t>
      </w:r>
      <w:r w:rsidR="007E4733">
        <w:t>”</w:t>
      </w:r>
      <w:r w:rsidR="00B213F6">
        <w:t xml:space="preserve"> “Company” or “Waste Control”</w:t>
      </w:r>
      <w:r w:rsidR="00A20B4D">
        <w:t>) in my capacity as chief outside accountant for the Company in preparing and filing this general rate case.</w:t>
      </w:r>
    </w:p>
    <w:p w:rsidR="0039331E" w:rsidRDefault="0039331E" w:rsidP="00825D39">
      <w:pPr>
        <w:pStyle w:val="Judge"/>
        <w:spacing w:line="240" w:lineRule="auto"/>
        <w:ind w:left="720" w:hanging="720"/>
        <w:jc w:val="left"/>
        <w:rPr>
          <w:b/>
        </w:rPr>
      </w:pPr>
      <w:r w:rsidRPr="00A54D68">
        <w:rPr>
          <w:b/>
        </w:rPr>
        <w:t>Q.</w:t>
      </w:r>
      <w:r w:rsidRPr="00A54D68">
        <w:rPr>
          <w:b/>
        </w:rPr>
        <w:tab/>
        <w:t xml:space="preserve">PLEASE </w:t>
      </w:r>
      <w:r w:rsidR="006A3CCA">
        <w:rPr>
          <w:b/>
        </w:rPr>
        <w:t>PUT IN CONTEXT THE PREVIOUSLY-</w:t>
      </w:r>
      <w:r w:rsidR="00C31577">
        <w:rPr>
          <w:b/>
        </w:rPr>
        <w:t xml:space="preserve">FILED RATE CASE </w:t>
      </w:r>
      <w:r w:rsidR="0034443B">
        <w:rPr>
          <w:b/>
        </w:rPr>
        <w:t xml:space="preserve">AND </w:t>
      </w:r>
      <w:r w:rsidR="00C31577">
        <w:rPr>
          <w:b/>
        </w:rPr>
        <w:t xml:space="preserve">EXHIBITS AND WHAT YOU ARE SEEKING TO DO WITH THIS SUPPLEMENTAL TESTIMONY FILING PER THE ADMINISTRATIVE LAW JUDGE’S </w:t>
      </w:r>
      <w:r w:rsidR="007948B8">
        <w:rPr>
          <w:b/>
        </w:rPr>
        <w:t xml:space="preserve">INITIAL </w:t>
      </w:r>
      <w:r w:rsidR="00C31577">
        <w:rPr>
          <w:b/>
        </w:rPr>
        <w:t xml:space="preserve">ORDER </w:t>
      </w:r>
      <w:r w:rsidR="0034443B">
        <w:rPr>
          <w:b/>
        </w:rPr>
        <w:t xml:space="preserve">IN DOCKET TG-131794 </w:t>
      </w:r>
      <w:r w:rsidR="00C31577">
        <w:rPr>
          <w:b/>
        </w:rPr>
        <w:t xml:space="preserve">AT PARAGRAPH 29, PAGE 10 OF </w:t>
      </w:r>
      <w:r w:rsidR="003145B5">
        <w:rPr>
          <w:b/>
        </w:rPr>
        <w:t xml:space="preserve">THE ORDER OF MARCH 25, 2014, </w:t>
      </w:r>
      <w:r w:rsidR="006A3CCA">
        <w:rPr>
          <w:b/>
        </w:rPr>
        <w:t>ORDERING REFILING OF THIS CASE.</w:t>
      </w:r>
    </w:p>
    <w:p w:rsidR="00825D39" w:rsidRPr="00A54D68" w:rsidRDefault="00825D39" w:rsidP="00825D39">
      <w:pPr>
        <w:pStyle w:val="Judge"/>
        <w:spacing w:line="240" w:lineRule="auto"/>
        <w:ind w:left="720" w:hanging="720"/>
        <w:jc w:val="left"/>
        <w:rPr>
          <w:b/>
        </w:rPr>
      </w:pPr>
    </w:p>
    <w:p w:rsidR="008F6D22" w:rsidRDefault="0039331E" w:rsidP="0039331E">
      <w:pPr>
        <w:pStyle w:val="Judge"/>
        <w:spacing w:line="480" w:lineRule="exact"/>
        <w:ind w:left="720" w:hanging="720"/>
        <w:jc w:val="left"/>
      </w:pPr>
      <w:r>
        <w:t>A.</w:t>
      </w:r>
      <w:r>
        <w:tab/>
        <w:t xml:space="preserve">I </w:t>
      </w:r>
      <w:r w:rsidR="008F6D22">
        <w:t xml:space="preserve">am now </w:t>
      </w:r>
      <w:r w:rsidR="0034443B">
        <w:t xml:space="preserve">identifying and </w:t>
      </w:r>
      <w:r w:rsidR="008F6D22">
        <w:t xml:space="preserve">enclosing Exhibit </w:t>
      </w:r>
      <w:r w:rsidR="000A62DD">
        <w:t xml:space="preserve">No. </w:t>
      </w:r>
      <w:r w:rsidR="008F6D22">
        <w:t>JD-11 (</w:t>
      </w:r>
      <w:r w:rsidR="00FB042B">
        <w:t>4</w:t>
      </w:r>
      <w:r w:rsidR="00CD3610">
        <w:t>/3/</w:t>
      </w:r>
      <w:r w:rsidR="00FB042B">
        <w:t>14</w:t>
      </w:r>
      <w:r w:rsidR="008F6D22">
        <w:t>) which provides in elect</w:t>
      </w:r>
      <w:r w:rsidR="00A20B4D">
        <w:t xml:space="preserve">ronic form </w:t>
      </w:r>
      <w:r w:rsidR="003145B5">
        <w:t xml:space="preserve">as well </w:t>
      </w:r>
      <w:r w:rsidR="00A20B4D">
        <w:t xml:space="preserve">all of the pro forma, </w:t>
      </w:r>
      <w:r w:rsidR="008F6D22">
        <w:t xml:space="preserve">restating and other adjustments </w:t>
      </w:r>
      <w:r w:rsidR="00C923CB">
        <w:t xml:space="preserve">related </w:t>
      </w:r>
      <w:r w:rsidR="008F6D22">
        <w:t xml:space="preserve">to the </w:t>
      </w:r>
      <w:r w:rsidR="00873043">
        <w:t xml:space="preserve">original </w:t>
      </w:r>
      <w:r w:rsidR="008F6D22">
        <w:t xml:space="preserve">underlying </w:t>
      </w:r>
      <w:r w:rsidR="00EC11C6">
        <w:t xml:space="preserve">general rate </w:t>
      </w:r>
      <w:r w:rsidR="008F6D22">
        <w:t xml:space="preserve">case which we refile </w:t>
      </w:r>
      <w:r w:rsidR="00EC11C6">
        <w:t xml:space="preserve">as </w:t>
      </w:r>
      <w:r w:rsidR="00AA68DB">
        <w:t xml:space="preserve">authorized </w:t>
      </w:r>
      <w:r w:rsidR="008F6D22">
        <w:t>today.</w:t>
      </w:r>
    </w:p>
    <w:p w:rsidR="008F6D22" w:rsidRDefault="0039331E" w:rsidP="0039331E">
      <w:pPr>
        <w:pStyle w:val="Judge"/>
        <w:spacing w:line="480" w:lineRule="exact"/>
        <w:ind w:left="720" w:hanging="720"/>
        <w:jc w:val="left"/>
        <w:rPr>
          <w:b/>
        </w:rPr>
      </w:pPr>
      <w:r w:rsidRPr="00FC27A3">
        <w:rPr>
          <w:b/>
        </w:rPr>
        <w:t>Q.</w:t>
      </w:r>
      <w:r w:rsidRPr="00FC27A3">
        <w:rPr>
          <w:b/>
        </w:rPr>
        <w:tab/>
      </w:r>
      <w:r w:rsidR="008F6D22">
        <w:rPr>
          <w:b/>
        </w:rPr>
        <w:t>WHAT DOES EXHIBIT JD-11 (</w:t>
      </w:r>
      <w:r w:rsidR="00CD3610">
        <w:rPr>
          <w:b/>
        </w:rPr>
        <w:t>4/3/</w:t>
      </w:r>
      <w:r w:rsidR="00FB042B">
        <w:rPr>
          <w:b/>
        </w:rPr>
        <w:t>14</w:t>
      </w:r>
      <w:r w:rsidR="008F6D22">
        <w:rPr>
          <w:b/>
        </w:rPr>
        <w:t>) ADDRESS?</w:t>
      </w:r>
    </w:p>
    <w:p w:rsidR="0039331E" w:rsidRDefault="0039331E" w:rsidP="0039331E">
      <w:pPr>
        <w:pStyle w:val="Judge"/>
        <w:spacing w:line="480" w:lineRule="exact"/>
        <w:ind w:left="720" w:hanging="720"/>
        <w:jc w:val="left"/>
      </w:pPr>
      <w:r>
        <w:t>A.</w:t>
      </w:r>
      <w:r>
        <w:tab/>
      </w:r>
      <w:r w:rsidR="008F6D22">
        <w:t xml:space="preserve">It addresses the </w:t>
      </w:r>
      <w:r w:rsidR="00EC11C6">
        <w:t xml:space="preserve">additional </w:t>
      </w:r>
      <w:r w:rsidR="00873043">
        <w:t xml:space="preserve">and revised </w:t>
      </w:r>
      <w:r w:rsidR="00EC11C6">
        <w:t xml:space="preserve">spreadsheets </w:t>
      </w:r>
      <w:r w:rsidR="00873043">
        <w:t xml:space="preserve">and </w:t>
      </w:r>
      <w:r w:rsidR="003145B5">
        <w:t>work</w:t>
      </w:r>
      <w:r w:rsidR="00873043">
        <w:t>papers</w:t>
      </w:r>
      <w:r w:rsidR="00EC11C6">
        <w:t xml:space="preserve"> </w:t>
      </w:r>
      <w:r w:rsidR="00C923CB">
        <w:t xml:space="preserve">that were </w:t>
      </w:r>
      <w:r w:rsidR="003145B5">
        <w:t xml:space="preserve">contained </w:t>
      </w:r>
      <w:r w:rsidR="00A20B4D">
        <w:t xml:space="preserve">in the direct case filing of February 18, 2014 </w:t>
      </w:r>
      <w:r w:rsidR="008F6D22">
        <w:t xml:space="preserve">lending support </w:t>
      </w:r>
      <w:r w:rsidR="000B01B6">
        <w:t xml:space="preserve">to </w:t>
      </w:r>
      <w:r w:rsidR="008F6D22">
        <w:t>all accounti</w:t>
      </w:r>
      <w:r w:rsidR="00A20B4D">
        <w:t>ng issues raised by th</w:t>
      </w:r>
      <w:r w:rsidR="000B01B6">
        <w:t xml:space="preserve">e initial </w:t>
      </w:r>
      <w:r w:rsidR="007948B8">
        <w:t xml:space="preserve">general rate case </w:t>
      </w:r>
      <w:r w:rsidR="00AA68DB">
        <w:t>submitted on September 23, 2013 as well as that being refiled today by our office.</w:t>
      </w:r>
    </w:p>
    <w:p w:rsidR="0057002A" w:rsidRDefault="0057002A" w:rsidP="0057002A">
      <w:pPr>
        <w:pStyle w:val="Judge"/>
        <w:spacing w:line="240" w:lineRule="auto"/>
        <w:ind w:left="720" w:hanging="720"/>
        <w:jc w:val="left"/>
      </w:pPr>
      <w:r w:rsidRPr="0057002A">
        <w:rPr>
          <w:b/>
        </w:rPr>
        <w:t>Q.</w:t>
      </w:r>
      <w:r w:rsidRPr="0057002A">
        <w:rPr>
          <w:b/>
        </w:rPr>
        <w:tab/>
      </w:r>
      <w:r w:rsidR="008F6D22">
        <w:rPr>
          <w:b/>
        </w:rPr>
        <w:t xml:space="preserve">PLEASE </w:t>
      </w:r>
      <w:r w:rsidR="007948B8">
        <w:rPr>
          <w:b/>
        </w:rPr>
        <w:t xml:space="preserve">GENERALLY </w:t>
      </w:r>
      <w:r w:rsidR="008F6D22">
        <w:rPr>
          <w:b/>
        </w:rPr>
        <w:t xml:space="preserve">IDENTIFY THE </w:t>
      </w:r>
      <w:r w:rsidR="007948B8">
        <w:rPr>
          <w:b/>
        </w:rPr>
        <w:t xml:space="preserve">MATERIAL </w:t>
      </w:r>
      <w:r w:rsidR="008F6D22">
        <w:rPr>
          <w:b/>
        </w:rPr>
        <w:t>TABS AND SPREADSHEETS SET FORTH IN THIS EXHIBIT AND DESCRIBE WHAT THE DOCUMENTS ARE INTENDED TO PRESENT.</w:t>
      </w:r>
    </w:p>
    <w:p w:rsidR="0057002A" w:rsidRDefault="0057002A" w:rsidP="0057002A">
      <w:pPr>
        <w:pStyle w:val="Judge"/>
        <w:spacing w:line="240" w:lineRule="auto"/>
        <w:ind w:left="720" w:hanging="720"/>
        <w:jc w:val="left"/>
      </w:pPr>
    </w:p>
    <w:p w:rsidR="00A7302E" w:rsidRDefault="0057002A" w:rsidP="006901A0">
      <w:pPr>
        <w:pStyle w:val="Judge"/>
        <w:spacing w:line="480" w:lineRule="exact"/>
        <w:ind w:left="720" w:hanging="720"/>
        <w:jc w:val="left"/>
      </w:pPr>
      <w:r>
        <w:t>A.</w:t>
      </w:r>
      <w:r>
        <w:tab/>
      </w:r>
      <w:r w:rsidR="00A7302E">
        <w:t>JD-11 (</w:t>
      </w:r>
      <w:r w:rsidR="00FB042B">
        <w:t>4</w:t>
      </w:r>
      <w:r w:rsidR="00CD3610">
        <w:t>/3/</w:t>
      </w:r>
      <w:r w:rsidR="00FB042B">
        <w:t>14</w:t>
      </w:r>
      <w:r w:rsidR="00A7302E">
        <w:t xml:space="preserve">) includes narrative, quantitative and descriptive explanations for </w:t>
      </w:r>
      <w:r w:rsidR="00A71554">
        <w:t>the refil</w:t>
      </w:r>
      <w:r w:rsidR="00873043">
        <w:t xml:space="preserve">ed case </w:t>
      </w:r>
      <w:r w:rsidR="00AA68DB">
        <w:t xml:space="preserve">as well as </w:t>
      </w:r>
      <w:r w:rsidR="00873043">
        <w:t xml:space="preserve">all pro forma, </w:t>
      </w:r>
      <w:r w:rsidR="00A7302E">
        <w:t xml:space="preserve">restating </w:t>
      </w:r>
      <w:r w:rsidR="00873043">
        <w:t xml:space="preserve">and reclassification </w:t>
      </w:r>
      <w:r w:rsidR="00A7302E">
        <w:t>adjustments that ha</w:t>
      </w:r>
      <w:r w:rsidR="000B01B6">
        <w:t xml:space="preserve">ve </w:t>
      </w:r>
      <w:r w:rsidR="00A7302E">
        <w:t xml:space="preserve">been previously </w:t>
      </w:r>
      <w:r w:rsidR="003145B5">
        <w:t xml:space="preserve">substantially </w:t>
      </w:r>
      <w:r w:rsidR="006901A0">
        <w:t xml:space="preserve">submitted.  </w:t>
      </w:r>
      <w:r w:rsidR="00AA68DB">
        <w:t>I</w:t>
      </w:r>
      <w:r w:rsidR="006901A0">
        <w:t>ncluded</w:t>
      </w:r>
      <w:r w:rsidR="00AA68DB">
        <w:t xml:space="preserve"> </w:t>
      </w:r>
      <w:r w:rsidR="006901A0">
        <w:t xml:space="preserve">in this Exhibit are all pertinent </w:t>
      </w:r>
      <w:r w:rsidR="006901A0">
        <w:lastRenderedPageBreak/>
        <w:t>schedules, worksheets and calculations linked to the Company’s proposed res</w:t>
      </w:r>
      <w:r w:rsidR="00C923CB">
        <w:t xml:space="preserve">ults of operation and restating, </w:t>
      </w:r>
      <w:r w:rsidR="006901A0">
        <w:t>forecast (pro forma</w:t>
      </w:r>
      <w:r w:rsidR="00C923CB">
        <w:t>)</w:t>
      </w:r>
      <w:r w:rsidR="006901A0">
        <w:t xml:space="preserve"> and </w:t>
      </w:r>
      <w:r w:rsidR="00C923CB">
        <w:t>re</w:t>
      </w:r>
      <w:r w:rsidR="006901A0">
        <w:t xml:space="preserve">classification adjustments </w:t>
      </w:r>
      <w:r w:rsidR="00DE1C78">
        <w:t xml:space="preserve">reflected there </w:t>
      </w:r>
      <w:r w:rsidR="006901A0">
        <w:t xml:space="preserve">and </w:t>
      </w:r>
      <w:r w:rsidR="00DE1C78">
        <w:t xml:space="preserve">in </w:t>
      </w:r>
      <w:r w:rsidR="006901A0">
        <w:t xml:space="preserve">explanation </w:t>
      </w:r>
      <w:r w:rsidR="00DE1C78">
        <w:t xml:space="preserve">and summary </w:t>
      </w:r>
      <w:r w:rsidR="006901A0">
        <w:t xml:space="preserve">schedules which are also described in narrative form below.  </w:t>
      </w:r>
      <w:r w:rsidR="00873043">
        <w:t xml:space="preserve">Also enclosed in the Exhibit is </w:t>
      </w:r>
      <w:r w:rsidR="008A7C67">
        <w:t xml:space="preserve">a tab which is </w:t>
      </w:r>
      <w:r w:rsidR="00873043">
        <w:t xml:space="preserve">the revised Lurito-Gallagher computation reflecting a </w:t>
      </w:r>
      <w:r w:rsidR="00DE1C78">
        <w:t xml:space="preserve">proposed </w:t>
      </w:r>
      <w:r w:rsidR="00873043">
        <w:t>revenue deficiency of $5</w:t>
      </w:r>
      <w:r w:rsidR="00D61CDB">
        <w:t>4</w:t>
      </w:r>
      <w:r w:rsidR="00873043">
        <w:t>3,</w:t>
      </w:r>
      <w:r w:rsidR="00D61CDB">
        <w:t>2</w:t>
      </w:r>
      <w:r w:rsidR="006901A0">
        <w:t>5</w:t>
      </w:r>
      <w:r w:rsidR="00D61CDB">
        <w:t>0</w:t>
      </w:r>
      <w:r w:rsidR="00873043">
        <w:t xml:space="preserve"> (which increased from </w:t>
      </w:r>
      <w:r w:rsidR="006901A0">
        <w:t xml:space="preserve">the Exhibit </w:t>
      </w:r>
      <w:r w:rsidR="00873043">
        <w:t xml:space="preserve">JD-3B total of $483,239 due to increased rate case </w:t>
      </w:r>
      <w:r w:rsidR="003145B5">
        <w:t>costs and two other adjustments</w:t>
      </w:r>
      <w:r w:rsidR="006901A0">
        <w:t xml:space="preserve"> described below</w:t>
      </w:r>
      <w:r w:rsidR="00873043">
        <w:t xml:space="preserve">) and </w:t>
      </w:r>
      <w:r w:rsidR="00AA68DB">
        <w:t xml:space="preserve">proposed </w:t>
      </w:r>
      <w:r w:rsidR="00873043">
        <w:t xml:space="preserve">priceout pages spreading that </w:t>
      </w:r>
      <w:r w:rsidR="00C923CB">
        <w:t xml:space="preserve">revised </w:t>
      </w:r>
      <w:r w:rsidR="00873043">
        <w:t xml:space="preserve">revenue requirement over the various classes of service.  </w:t>
      </w:r>
      <w:r w:rsidR="000B01B6">
        <w:t xml:space="preserve">At the end of the Exhibit are all relevant </w:t>
      </w:r>
      <w:r w:rsidR="003145B5">
        <w:t xml:space="preserve">linked </w:t>
      </w:r>
      <w:r w:rsidR="000B01B6">
        <w:t xml:space="preserve">workpapers supporting </w:t>
      </w:r>
      <w:r w:rsidR="007948B8">
        <w:t xml:space="preserve">the </w:t>
      </w:r>
      <w:r w:rsidR="000B01B6">
        <w:t xml:space="preserve">various </w:t>
      </w:r>
      <w:r w:rsidR="00DE1C78">
        <w:t xml:space="preserve">accounting </w:t>
      </w:r>
      <w:r w:rsidR="000B01B6">
        <w:t>adjustments and expense categories and customer count data relevant to rate spread/priceout computations</w:t>
      </w:r>
      <w:r w:rsidR="0022584E">
        <w:t xml:space="preserve"> reflected in </w:t>
      </w:r>
      <w:r w:rsidR="0025164C">
        <w:t xml:space="preserve">the schedule </w:t>
      </w:r>
      <w:r w:rsidR="007948B8">
        <w:t xml:space="preserve">amongst </w:t>
      </w:r>
      <w:r w:rsidR="00C923CB">
        <w:t xml:space="preserve">all </w:t>
      </w:r>
      <w:r w:rsidR="007948B8">
        <w:t xml:space="preserve">other compiled data </w:t>
      </w:r>
      <w:r w:rsidR="0022584E">
        <w:t xml:space="preserve">within </w:t>
      </w:r>
      <w:r w:rsidR="000B01B6">
        <w:t>JD-11 (</w:t>
      </w:r>
      <w:r w:rsidR="00FB042B">
        <w:t>4</w:t>
      </w:r>
      <w:r w:rsidR="00CD3610">
        <w:t>/3/</w:t>
      </w:r>
      <w:r w:rsidR="00FB042B">
        <w:t>14</w:t>
      </w:r>
      <w:r w:rsidR="000B01B6">
        <w:t>).</w:t>
      </w:r>
    </w:p>
    <w:p w:rsidR="00DD3FE8" w:rsidRDefault="00DD3FE8" w:rsidP="00DD3FE8">
      <w:pPr>
        <w:pStyle w:val="Judge"/>
        <w:spacing w:line="240" w:lineRule="auto"/>
        <w:ind w:left="720" w:hanging="720"/>
        <w:jc w:val="left"/>
        <w:rPr>
          <w:b/>
        </w:rPr>
      </w:pPr>
      <w:r w:rsidRPr="0057002A">
        <w:rPr>
          <w:b/>
        </w:rPr>
        <w:t>Q.</w:t>
      </w:r>
      <w:r w:rsidRPr="0057002A">
        <w:rPr>
          <w:b/>
        </w:rPr>
        <w:tab/>
      </w:r>
      <w:r>
        <w:rPr>
          <w:b/>
        </w:rPr>
        <w:t xml:space="preserve">PLEASE </w:t>
      </w:r>
      <w:r w:rsidR="006901A0">
        <w:rPr>
          <w:b/>
        </w:rPr>
        <w:t xml:space="preserve">IDENTIFY </w:t>
      </w:r>
      <w:r>
        <w:rPr>
          <w:b/>
        </w:rPr>
        <w:t xml:space="preserve">THE </w:t>
      </w:r>
      <w:r w:rsidR="000B01B6">
        <w:rPr>
          <w:b/>
        </w:rPr>
        <w:t xml:space="preserve">PREVIOUS </w:t>
      </w:r>
      <w:r w:rsidR="006901A0">
        <w:rPr>
          <w:b/>
        </w:rPr>
        <w:t xml:space="preserve">COMPANY </w:t>
      </w:r>
      <w:r>
        <w:rPr>
          <w:b/>
        </w:rPr>
        <w:t xml:space="preserve">EXHIBITS </w:t>
      </w:r>
      <w:r w:rsidR="006901A0">
        <w:rPr>
          <w:b/>
        </w:rPr>
        <w:t>SOUGHT TO BE ASSOCIATED WITH THIS FILING TODAY</w:t>
      </w:r>
      <w:r>
        <w:rPr>
          <w:b/>
        </w:rPr>
        <w:t>.</w:t>
      </w:r>
    </w:p>
    <w:p w:rsidR="00DD3FE8" w:rsidRDefault="00DD3FE8" w:rsidP="00DD3FE8">
      <w:pPr>
        <w:pStyle w:val="Judge"/>
        <w:spacing w:line="240" w:lineRule="auto"/>
        <w:ind w:left="720" w:hanging="720"/>
        <w:jc w:val="left"/>
      </w:pPr>
    </w:p>
    <w:p w:rsidR="00DD3FE8" w:rsidRDefault="007948B8" w:rsidP="00DD3FE8">
      <w:pPr>
        <w:pStyle w:val="Judge"/>
        <w:spacing w:line="480" w:lineRule="exact"/>
        <w:ind w:left="720" w:hanging="720"/>
        <w:jc w:val="left"/>
      </w:pPr>
      <w:r>
        <w:t>A.</w:t>
      </w:r>
      <w:r>
        <w:tab/>
        <w:t>JD-</w:t>
      </w:r>
      <w:r w:rsidR="00B3794E">
        <w:t>1T</w:t>
      </w:r>
      <w:r w:rsidR="00C923CB">
        <w:t xml:space="preserve"> through </w:t>
      </w:r>
      <w:r w:rsidR="00DD3FE8">
        <w:t xml:space="preserve">JD-10 </w:t>
      </w:r>
      <w:r w:rsidR="00C92F0C">
        <w:t xml:space="preserve">and </w:t>
      </w:r>
      <w:r w:rsidR="00DD3FE8">
        <w:t>J</w:t>
      </w:r>
      <w:r w:rsidR="00C92F0C">
        <w:t>W</w:t>
      </w:r>
      <w:r w:rsidR="00DD3FE8">
        <w:t>-1</w:t>
      </w:r>
      <w:r w:rsidR="003145B5">
        <w:t xml:space="preserve"> </w:t>
      </w:r>
      <w:r w:rsidR="00C923CB">
        <w:t xml:space="preserve">through </w:t>
      </w:r>
      <w:r w:rsidR="003145B5">
        <w:t>JW-</w:t>
      </w:r>
      <w:r w:rsidR="00DD3FE8">
        <w:t xml:space="preserve">4 are the previous case exhibits and testimony that we </w:t>
      </w:r>
      <w:r w:rsidR="006901A0">
        <w:t xml:space="preserve">rely on </w:t>
      </w:r>
      <w:r w:rsidR="00DD3FE8">
        <w:t xml:space="preserve">in support of </w:t>
      </w:r>
      <w:r w:rsidR="006901A0">
        <w:t xml:space="preserve">what amounts to a </w:t>
      </w:r>
      <w:r w:rsidR="00873043">
        <w:t xml:space="preserve">new </w:t>
      </w:r>
      <w:r>
        <w:t>“</w:t>
      </w:r>
      <w:r w:rsidR="00196301">
        <w:t>omn</w:t>
      </w:r>
      <w:r>
        <w:t xml:space="preserve">ibus” </w:t>
      </w:r>
      <w:r w:rsidR="00EC11C6">
        <w:t>gener</w:t>
      </w:r>
      <w:r>
        <w:t xml:space="preserve">al rate case and which provide </w:t>
      </w:r>
      <w:r w:rsidR="00EC11C6">
        <w:t>context for the substantial audit review which has occurred to date on this filing.</w:t>
      </w:r>
    </w:p>
    <w:p w:rsidR="00E822AD" w:rsidRDefault="00E822AD" w:rsidP="00E822AD">
      <w:pPr>
        <w:pStyle w:val="Judge"/>
        <w:spacing w:line="240" w:lineRule="auto"/>
        <w:ind w:left="720" w:hanging="720"/>
        <w:jc w:val="left"/>
        <w:rPr>
          <w:b/>
        </w:rPr>
      </w:pPr>
      <w:r w:rsidRPr="0057002A">
        <w:rPr>
          <w:b/>
        </w:rPr>
        <w:t>Q.</w:t>
      </w:r>
      <w:r w:rsidRPr="0057002A">
        <w:rPr>
          <w:b/>
        </w:rPr>
        <w:tab/>
      </w:r>
      <w:r>
        <w:rPr>
          <w:b/>
        </w:rPr>
        <w:t xml:space="preserve">WOULD YOU PLEASE CHARACTERIZE BRIEFLY THE </w:t>
      </w:r>
      <w:r w:rsidR="006901A0">
        <w:rPr>
          <w:b/>
        </w:rPr>
        <w:t xml:space="preserve">BASIC RESTATING </w:t>
      </w:r>
      <w:r w:rsidR="00B3794E">
        <w:rPr>
          <w:b/>
        </w:rPr>
        <w:t xml:space="preserve">ADJUSTMENTS </w:t>
      </w:r>
      <w:r w:rsidR="006901A0">
        <w:rPr>
          <w:b/>
        </w:rPr>
        <w:t xml:space="preserve">TO THE RESULTS OF OPERATION </w:t>
      </w:r>
      <w:r w:rsidR="006A3CCA">
        <w:rPr>
          <w:b/>
        </w:rPr>
        <w:t>AT THE BACKDROP OF THIS CASE?</w:t>
      </w:r>
    </w:p>
    <w:p w:rsidR="00E822AD" w:rsidRDefault="00E822AD" w:rsidP="00E822AD">
      <w:pPr>
        <w:pStyle w:val="Judge"/>
        <w:spacing w:line="240" w:lineRule="auto"/>
        <w:ind w:left="720" w:hanging="720"/>
        <w:jc w:val="left"/>
      </w:pPr>
    </w:p>
    <w:p w:rsidR="00E822AD" w:rsidRDefault="00E822AD" w:rsidP="00B62EE3">
      <w:pPr>
        <w:pStyle w:val="Judge"/>
        <w:spacing w:line="480" w:lineRule="exact"/>
        <w:ind w:left="720" w:hanging="720"/>
        <w:jc w:val="left"/>
      </w:pPr>
      <w:r>
        <w:t>A.</w:t>
      </w:r>
      <w:r>
        <w:tab/>
      </w:r>
      <w:r w:rsidR="006A3CCA">
        <w:t>Yes, as Schedule 1</w:t>
      </w:r>
      <w:r w:rsidR="00DE1C78">
        <w:t xml:space="preserve">, </w:t>
      </w:r>
      <w:r w:rsidR="00B3794E">
        <w:t>Exhibit JD-11 (</w:t>
      </w:r>
      <w:r w:rsidR="00FB042B">
        <w:t>4</w:t>
      </w:r>
      <w:r w:rsidR="00CD3610">
        <w:t>/3/</w:t>
      </w:r>
      <w:r w:rsidR="00FB042B">
        <w:t>14</w:t>
      </w:r>
      <w:r w:rsidR="00B3794E">
        <w:t xml:space="preserve">) </w:t>
      </w:r>
      <w:r w:rsidR="006A3CCA">
        <w:t>“E</w:t>
      </w:r>
      <w:r>
        <w:t>xplanation</w:t>
      </w:r>
      <w:r w:rsidR="00D61CDB">
        <w:t>” and “Summary”</w:t>
      </w:r>
      <w:r>
        <w:t xml:space="preserve"> of </w:t>
      </w:r>
      <w:r w:rsidR="006A3CCA">
        <w:t>R</w:t>
      </w:r>
      <w:r>
        <w:t xml:space="preserve">estating </w:t>
      </w:r>
      <w:r w:rsidR="006A3CCA">
        <w:t>Adjustments</w:t>
      </w:r>
      <w:r w:rsidR="00D61CDB">
        <w:t xml:space="preserve"> </w:t>
      </w:r>
      <w:r w:rsidR="00AA68DB">
        <w:t xml:space="preserve">set </w:t>
      </w:r>
      <w:r>
        <w:t xml:space="preserve">forth, </w:t>
      </w:r>
      <w:r w:rsidR="006A3CCA">
        <w:t xml:space="preserve">we </w:t>
      </w:r>
      <w:r w:rsidR="00B3794E">
        <w:t xml:space="preserve">present </w:t>
      </w:r>
      <w:r w:rsidR="006A3CCA">
        <w:t xml:space="preserve">a number of </w:t>
      </w:r>
      <w:r w:rsidR="006901A0">
        <w:t xml:space="preserve">specific </w:t>
      </w:r>
      <w:r w:rsidR="006A3CCA">
        <w:t>adjustments</w:t>
      </w:r>
      <w:r w:rsidR="00395B1B">
        <w:t xml:space="preserve"> in this filing</w:t>
      </w:r>
      <w:r w:rsidR="006A3CCA">
        <w:t xml:space="preserve">, </w:t>
      </w:r>
      <w:r w:rsidR="00897259">
        <w:t>including</w:t>
      </w:r>
      <w:r w:rsidR="00B3794E">
        <w:t xml:space="preserve"> the following</w:t>
      </w:r>
      <w:r w:rsidR="00CD54F6">
        <w:t xml:space="preserve"> </w:t>
      </w:r>
      <w:r w:rsidR="00424121">
        <w:t>o</w:t>
      </w:r>
      <w:r w:rsidR="00CD54F6">
        <w:t xml:space="preserve">n </w:t>
      </w:r>
      <w:r w:rsidR="00424121">
        <w:t>“</w:t>
      </w:r>
      <w:r w:rsidR="00CD54F6">
        <w:t xml:space="preserve">Schedule 1, page 2 Summary of </w:t>
      </w:r>
      <w:r w:rsidR="00D61CDB">
        <w:t xml:space="preserve">Restating </w:t>
      </w:r>
      <w:r w:rsidR="00CD54F6">
        <w:t>Adjustments”</w:t>
      </w:r>
      <w:r w:rsidR="00897259">
        <w:t xml:space="preserve">:  </w:t>
      </w:r>
      <w:r w:rsidR="000644FD">
        <w:t>R</w:t>
      </w:r>
      <w:r w:rsidR="00F229FA">
        <w:t>-</w:t>
      </w:r>
      <w:r w:rsidR="00CD54F6">
        <w:t xml:space="preserve">1, </w:t>
      </w:r>
      <w:r w:rsidR="00424121">
        <w:t>(</w:t>
      </w:r>
      <w:r w:rsidR="00CD54F6">
        <w:t>Column B, lines 87-96</w:t>
      </w:r>
      <w:r w:rsidR="00424121">
        <w:t>)</w:t>
      </w:r>
      <w:r w:rsidR="00CD54F6">
        <w:t xml:space="preserve">, </w:t>
      </w:r>
      <w:r w:rsidR="000644FD">
        <w:t>adjust</w:t>
      </w:r>
      <w:r w:rsidR="00424121">
        <w:t xml:space="preserve">s and reclassifies </w:t>
      </w:r>
      <w:r w:rsidR="000644FD">
        <w:t xml:space="preserve">per books depreciation amounts to allowable depreciation under the Uniform System of Accounts for WUTC ratemaking purposes.  </w:t>
      </w:r>
      <w:r>
        <w:t>R</w:t>
      </w:r>
      <w:r w:rsidR="00F229FA">
        <w:t>-</w:t>
      </w:r>
      <w:r>
        <w:t>2</w:t>
      </w:r>
      <w:r w:rsidR="00CD54F6">
        <w:t xml:space="preserve">, </w:t>
      </w:r>
      <w:r w:rsidR="00D61CDB">
        <w:t>(</w:t>
      </w:r>
      <w:r w:rsidR="00CD54F6">
        <w:t>Column D, lines 13-15</w:t>
      </w:r>
      <w:r w:rsidR="00D61CDB">
        <w:t>)</w:t>
      </w:r>
      <w:r w:rsidR="00CD54F6">
        <w:t xml:space="preserve">, </w:t>
      </w:r>
      <w:r>
        <w:t>allocat</w:t>
      </w:r>
      <w:r w:rsidR="000644FD">
        <w:t xml:space="preserve">es </w:t>
      </w:r>
      <w:r>
        <w:t xml:space="preserve">refunds </w:t>
      </w:r>
      <w:r w:rsidR="000644FD">
        <w:t xml:space="preserve">by </w:t>
      </w:r>
      <w:r>
        <w:t xml:space="preserve">revenue sources which merely involves reallocation to the </w:t>
      </w:r>
      <w:r w:rsidR="006901A0">
        <w:t xml:space="preserve">appropriate </w:t>
      </w:r>
      <w:r>
        <w:t xml:space="preserve">class of </w:t>
      </w:r>
      <w:r w:rsidR="00424121">
        <w:t xml:space="preserve">customer of various refunds and, as shown, </w:t>
      </w:r>
      <w:r>
        <w:t xml:space="preserve">they total $5,619 for residential and $1,137 for commercial and drop box accounts of $2,987 </w:t>
      </w:r>
      <w:r w:rsidR="00897259">
        <w:t xml:space="preserve">amounting to </w:t>
      </w:r>
      <w:r>
        <w:t>$9,743 in the test period.  R</w:t>
      </w:r>
      <w:r w:rsidR="00F229FA">
        <w:t>-</w:t>
      </w:r>
      <w:r>
        <w:t>3</w:t>
      </w:r>
      <w:r w:rsidR="00CD54F6">
        <w:t xml:space="preserve">, </w:t>
      </w:r>
      <w:r w:rsidR="00D61CDB">
        <w:t>(</w:t>
      </w:r>
      <w:r w:rsidR="00CD54F6">
        <w:t>Column F, line 29</w:t>
      </w:r>
      <w:r w:rsidR="00D61CDB">
        <w:t>)</w:t>
      </w:r>
      <w:r w:rsidR="00CD54F6">
        <w:t xml:space="preserve">, </w:t>
      </w:r>
      <w:r>
        <w:t xml:space="preserve">is a $249,932 reclassification </w:t>
      </w:r>
      <w:r w:rsidR="008A7C67">
        <w:t xml:space="preserve">to consolidate </w:t>
      </w:r>
      <w:r>
        <w:t xml:space="preserve">payroll </w:t>
      </w:r>
      <w:r w:rsidR="008A7C67">
        <w:t xml:space="preserve">taxes and </w:t>
      </w:r>
      <w:r w:rsidR="00D61CDB">
        <w:t xml:space="preserve">fringe </w:t>
      </w:r>
      <w:r>
        <w:t xml:space="preserve">benefits to </w:t>
      </w:r>
      <w:r w:rsidR="008A7C67">
        <w:t xml:space="preserve">one account to </w:t>
      </w:r>
      <w:r>
        <w:t xml:space="preserve">allow for more </w:t>
      </w:r>
      <w:r w:rsidR="008A7C67">
        <w:t xml:space="preserve">efficient </w:t>
      </w:r>
      <w:r>
        <w:t>treatment in the expense matrix and which reclassif</w:t>
      </w:r>
      <w:r w:rsidR="00F229FA">
        <w:t>ication has</w:t>
      </w:r>
      <w:r w:rsidR="006A3CCA">
        <w:t xml:space="preserve"> </w:t>
      </w:r>
      <w:r w:rsidR="008A7C67">
        <w:t xml:space="preserve">no </w:t>
      </w:r>
      <w:r>
        <w:t xml:space="preserve">impact on the </w:t>
      </w:r>
      <w:r w:rsidR="008A7C67">
        <w:t>results of operations</w:t>
      </w:r>
      <w:r>
        <w:t>.  R</w:t>
      </w:r>
      <w:r w:rsidR="00F229FA">
        <w:t>-</w:t>
      </w:r>
      <w:r w:rsidR="00CD54F6">
        <w:t xml:space="preserve">4, </w:t>
      </w:r>
      <w:r w:rsidR="00D61CDB">
        <w:t>(</w:t>
      </w:r>
      <w:r w:rsidR="00CD54F6">
        <w:t>Column H, line 83</w:t>
      </w:r>
      <w:r w:rsidR="00D61CDB">
        <w:t>)</w:t>
      </w:r>
      <w:r w:rsidR="00CD54F6">
        <w:t xml:space="preserve">, </w:t>
      </w:r>
      <w:r>
        <w:t>is a removal of $49,001 for interest expense on debt which is disallowed under regulated ratemaking theory employed by the Commission.  R</w:t>
      </w:r>
      <w:r w:rsidR="00F229FA">
        <w:t>-</w:t>
      </w:r>
      <w:r w:rsidR="00CD54F6">
        <w:t xml:space="preserve">5, </w:t>
      </w:r>
      <w:r w:rsidR="00D61CDB">
        <w:t>(</w:t>
      </w:r>
      <w:r w:rsidR="00CD54F6">
        <w:t>Column J, lines 67-68</w:t>
      </w:r>
      <w:r w:rsidR="00D61CDB">
        <w:t>)</w:t>
      </w:r>
      <w:r w:rsidR="00CD54F6">
        <w:t xml:space="preserve">, </w:t>
      </w:r>
      <w:r>
        <w:t xml:space="preserve">reclassifies taxes </w:t>
      </w:r>
      <w:r w:rsidR="00F229FA">
        <w:t xml:space="preserve">and licensing fees </w:t>
      </w:r>
      <w:r w:rsidR="00D61CDB">
        <w:t xml:space="preserve">of $778 </w:t>
      </w:r>
      <w:r w:rsidR="006A3CCA">
        <w:t xml:space="preserve">per </w:t>
      </w:r>
      <w:r>
        <w:t>books to truck license expense</w:t>
      </w:r>
      <w:r w:rsidR="00DE1C78">
        <w:t>, the support for which is in Workpaper 4 in Exhibit JD-11</w:t>
      </w:r>
      <w:r>
        <w:t>.  R</w:t>
      </w:r>
      <w:r w:rsidR="00F229FA">
        <w:t>-</w:t>
      </w:r>
      <w:r w:rsidR="003145B5">
        <w:t xml:space="preserve">6, </w:t>
      </w:r>
      <w:r w:rsidR="00D61CDB">
        <w:t>(</w:t>
      </w:r>
      <w:r w:rsidR="00CD54F6">
        <w:t xml:space="preserve">Column L, lines 35, 47, 48, 54, 56, 58, 61-65, 70-72, </w:t>
      </w:r>
      <w:r w:rsidR="00D61CDB">
        <w:t xml:space="preserve">73, </w:t>
      </w:r>
      <w:r w:rsidR="00CD54F6">
        <w:t>76 and 80</w:t>
      </w:r>
      <w:r w:rsidR="00D61CDB">
        <w:t>)</w:t>
      </w:r>
      <w:r w:rsidR="00CD54F6">
        <w:t xml:space="preserve">, </w:t>
      </w:r>
      <w:r>
        <w:t>as with R</w:t>
      </w:r>
      <w:r w:rsidR="00F229FA">
        <w:t>-</w:t>
      </w:r>
      <w:r w:rsidR="003145B5">
        <w:t xml:space="preserve">4, </w:t>
      </w:r>
      <w:r>
        <w:t xml:space="preserve">is a computation eliminating </w:t>
      </w:r>
      <w:r w:rsidR="00F229FA">
        <w:t xml:space="preserve">various </w:t>
      </w:r>
      <w:r>
        <w:t xml:space="preserve">non-deductible expenses.  </w:t>
      </w:r>
      <w:r w:rsidR="00F229FA">
        <w:t xml:space="preserve">As shown in </w:t>
      </w:r>
      <w:r w:rsidR="00424121">
        <w:t>“</w:t>
      </w:r>
      <w:r w:rsidR="00F229FA">
        <w:t>Schedule 1 – Explan</w:t>
      </w:r>
      <w:r w:rsidR="00424121">
        <w:t xml:space="preserve">ation of Restating Adjustments” </w:t>
      </w:r>
      <w:r w:rsidR="00F229FA">
        <w:t>in Exhibit JD-11 (</w:t>
      </w:r>
      <w:r w:rsidR="006901A0">
        <w:t>4</w:t>
      </w:r>
      <w:r w:rsidR="00F229FA">
        <w:t>/</w:t>
      </w:r>
      <w:r w:rsidR="00CD3610">
        <w:t>3</w:t>
      </w:r>
      <w:r w:rsidR="00F229FA">
        <w:t xml:space="preserve">/14) and </w:t>
      </w:r>
      <w:r w:rsidR="00424121">
        <w:t xml:space="preserve">in Restating Adjustments </w:t>
      </w:r>
      <w:r w:rsidR="00F229FA">
        <w:t xml:space="preserve">R-6A – R-6G, </w:t>
      </w:r>
      <w:r w:rsidR="00395B1B">
        <w:t>(</w:t>
      </w:r>
      <w:r w:rsidR="008A7C67">
        <w:t xml:space="preserve">almost all of which were initially proposed by the Staff </w:t>
      </w:r>
      <w:r w:rsidR="00395B1B">
        <w:t xml:space="preserve">in related form </w:t>
      </w:r>
      <w:r w:rsidR="008A7C67">
        <w:t>during the review phase and were and are not being currently contested by the Company</w:t>
      </w:r>
      <w:r w:rsidR="00395B1B">
        <w:t>), t</w:t>
      </w:r>
      <w:r w:rsidR="00F229FA">
        <w:t>hese</w:t>
      </w:r>
      <w:r w:rsidR="008A7C67">
        <w:t xml:space="preserve"> </w:t>
      </w:r>
      <w:r w:rsidR="00F229FA">
        <w:t xml:space="preserve">restating adjustments remove and reallocate </w:t>
      </w:r>
      <w:r w:rsidR="006901A0">
        <w:t xml:space="preserve">to </w:t>
      </w:r>
      <w:r w:rsidR="00F229FA">
        <w:t>non-regulated operations</w:t>
      </w:r>
      <w:r w:rsidR="00B62EE3">
        <w:t>,</w:t>
      </w:r>
      <w:r w:rsidR="00F229FA">
        <w:t xml:space="preserve"> a host of operating expenses such as office supplies, bad debt</w:t>
      </w:r>
      <w:r w:rsidR="00DE1C78">
        <w:t xml:space="preserve"> (“Workpaper 11”)</w:t>
      </w:r>
      <w:r w:rsidR="00F229FA">
        <w:t>, various “other expenses”</w:t>
      </w:r>
      <w:r w:rsidR="00B62EE3">
        <w:t xml:space="preserve"> </w:t>
      </w:r>
      <w:r w:rsidR="00DE1C78">
        <w:t xml:space="preserve">(“Workpaper 10”) </w:t>
      </w:r>
      <w:r w:rsidR="00B62EE3">
        <w:t>(such as conference attendance</w:t>
      </w:r>
      <w:r w:rsidR="00DE1C78">
        <w:t xml:space="preserve"> (“Workpaper 5”)</w:t>
      </w:r>
      <w:r w:rsidR="00B62EE3">
        <w:t xml:space="preserve">, legal, computer and employee </w:t>
      </w:r>
      <w:r w:rsidR="002B10BC">
        <w:t>relations expenses</w:t>
      </w:r>
      <w:r w:rsidR="003145B5">
        <w:t>) utilit</w:t>
      </w:r>
      <w:r w:rsidR="00301748">
        <w:t>ies</w:t>
      </w:r>
      <w:r w:rsidR="00DE1C78">
        <w:t xml:space="preserve"> (“Workpaper </w:t>
      </w:r>
      <w:r w:rsidR="00AA68DB">
        <w:t>1</w:t>
      </w:r>
      <w:r w:rsidR="00DE1C78">
        <w:t>2”)</w:t>
      </w:r>
      <w:r w:rsidR="003145B5">
        <w:t xml:space="preserve">, truck </w:t>
      </w:r>
      <w:r w:rsidR="00B62EE3">
        <w:t>tire</w:t>
      </w:r>
      <w:r w:rsidR="00301748">
        <w:t>s</w:t>
      </w:r>
      <w:r w:rsidR="00B62EE3">
        <w:t xml:space="preserve"> </w:t>
      </w:r>
      <w:r w:rsidR="00DE1C78">
        <w:t>(“Workpaper 1</w:t>
      </w:r>
      <w:r w:rsidR="00AA68DB">
        <w:t>4</w:t>
      </w:r>
      <w:r w:rsidR="00DE1C78">
        <w:t xml:space="preserve">”) </w:t>
      </w:r>
      <w:r w:rsidR="00B62EE3">
        <w:t>and property taxes</w:t>
      </w:r>
      <w:r w:rsidR="00395B1B">
        <w:t xml:space="preserve"> </w:t>
      </w:r>
      <w:r w:rsidR="00DE1C78">
        <w:t xml:space="preserve">(“Workpaper 15”) </w:t>
      </w:r>
      <w:r w:rsidR="00395B1B">
        <w:t xml:space="preserve">and </w:t>
      </w:r>
      <w:r w:rsidR="00B62EE3">
        <w:t xml:space="preserve">notes and explanations for </w:t>
      </w:r>
      <w:r w:rsidR="006901A0">
        <w:t xml:space="preserve">such </w:t>
      </w:r>
      <w:r w:rsidR="00B62EE3">
        <w:t xml:space="preserve">which are contained in </w:t>
      </w:r>
      <w:r w:rsidR="003145B5">
        <w:t xml:space="preserve">the </w:t>
      </w:r>
      <w:r w:rsidR="006901A0">
        <w:t xml:space="preserve">various </w:t>
      </w:r>
      <w:r w:rsidR="003145B5">
        <w:t xml:space="preserve">linked </w:t>
      </w:r>
      <w:r w:rsidR="00B62EE3">
        <w:t xml:space="preserve">files as indicated.  </w:t>
      </w:r>
      <w:r>
        <w:t xml:space="preserve">Finally, in the case of bad debts, this adjustment eliminates various </w:t>
      </w:r>
      <w:r w:rsidR="006A3CCA">
        <w:t xml:space="preserve">accrual </w:t>
      </w:r>
      <w:r w:rsidR="00424121">
        <w:t xml:space="preserve">allowances.  </w:t>
      </w:r>
      <w:r>
        <w:t>R</w:t>
      </w:r>
      <w:r w:rsidR="00B62EE3">
        <w:t>-</w:t>
      </w:r>
      <w:r w:rsidR="00CD54F6">
        <w:t xml:space="preserve">7, </w:t>
      </w:r>
      <w:r w:rsidR="00D61CDB">
        <w:t>(</w:t>
      </w:r>
      <w:r w:rsidR="00CD54F6">
        <w:t>Column N, line 16</w:t>
      </w:r>
      <w:r w:rsidR="00D61CDB">
        <w:t>)</w:t>
      </w:r>
      <w:r w:rsidR="00CD54F6">
        <w:t xml:space="preserve">, </w:t>
      </w:r>
      <w:r w:rsidR="00424121">
        <w:t xml:space="preserve">in “Schedule 1, page 2, Summary of Restating Adjustments” </w:t>
      </w:r>
      <w:r w:rsidR="006901A0">
        <w:t xml:space="preserve">removes </w:t>
      </w:r>
      <w:r>
        <w:t xml:space="preserve">a fuel surcharge total </w:t>
      </w:r>
      <w:r w:rsidR="00B62EE3">
        <w:t xml:space="preserve">of $44,117 </w:t>
      </w:r>
      <w:r>
        <w:t xml:space="preserve">in the test period which should not be included in base revenue.  </w:t>
      </w:r>
      <w:r w:rsidR="00C923CB">
        <w:t xml:space="preserve">All of the restating adjustments are also compiled in </w:t>
      </w:r>
      <w:r w:rsidR="002B10BC">
        <w:t xml:space="preserve">the </w:t>
      </w:r>
      <w:r w:rsidR="00424121">
        <w:t>“</w:t>
      </w:r>
      <w:r w:rsidR="002B10BC">
        <w:t xml:space="preserve">Results of Operations” tab </w:t>
      </w:r>
      <w:r w:rsidR="00C923CB">
        <w:t>included and broken do</w:t>
      </w:r>
      <w:r w:rsidR="0025164C">
        <w:t xml:space="preserve">wn by line item </w:t>
      </w:r>
      <w:r w:rsidR="00424121">
        <w:t xml:space="preserve">in that spreadsheet </w:t>
      </w:r>
      <w:r w:rsidR="0025164C">
        <w:t xml:space="preserve">for computation </w:t>
      </w:r>
      <w:r w:rsidR="00C923CB">
        <w:t xml:space="preserve">purposes </w:t>
      </w:r>
      <w:r w:rsidR="00424121">
        <w:t>with</w:t>
      </w:r>
      <w:r w:rsidR="00C923CB">
        <w:t>in Exhibit JD-11.</w:t>
      </w:r>
    </w:p>
    <w:p w:rsidR="001710B3" w:rsidRPr="001710B3" w:rsidRDefault="0022584E" w:rsidP="001710B3">
      <w:pPr>
        <w:pStyle w:val="Judge"/>
        <w:spacing w:line="240" w:lineRule="auto"/>
        <w:ind w:left="720" w:hanging="720"/>
        <w:jc w:val="left"/>
        <w:rPr>
          <w:b/>
        </w:rPr>
      </w:pPr>
      <w:r>
        <w:rPr>
          <w:b/>
        </w:rPr>
        <w:t>Q.</w:t>
      </w:r>
      <w:r>
        <w:rPr>
          <w:b/>
        </w:rPr>
        <w:tab/>
        <w:t xml:space="preserve">DO </w:t>
      </w:r>
      <w:r w:rsidR="001710B3" w:rsidRPr="001710B3">
        <w:rPr>
          <w:b/>
        </w:rPr>
        <w:t>THE ABOVE GENERALLY DESCRIBE THE RESTATING ADJUSTMENTS THE COMPANY BELIEVES WERE NOT IN DISPUTE AT THE TIME OF FILING ITS DIRECT CASE IN FEBRUARY, 2014?</w:t>
      </w:r>
    </w:p>
    <w:p w:rsidR="001710B3" w:rsidRDefault="001710B3" w:rsidP="001710B3">
      <w:pPr>
        <w:pStyle w:val="Judge"/>
        <w:spacing w:line="240" w:lineRule="auto"/>
        <w:ind w:left="720" w:hanging="720"/>
        <w:jc w:val="left"/>
      </w:pPr>
    </w:p>
    <w:p w:rsidR="001710B3" w:rsidRDefault="001710B3" w:rsidP="006A3CCA">
      <w:pPr>
        <w:pStyle w:val="Judge"/>
        <w:spacing w:line="480" w:lineRule="exact"/>
        <w:ind w:left="720" w:hanging="720"/>
        <w:jc w:val="left"/>
      </w:pPr>
      <w:r>
        <w:t>A.</w:t>
      </w:r>
      <w:r>
        <w:tab/>
      </w:r>
      <w:r w:rsidR="000F7250">
        <w:t xml:space="preserve">Yes, </w:t>
      </w:r>
      <w:r w:rsidR="000644FD">
        <w:t xml:space="preserve">they </w:t>
      </w:r>
      <w:r w:rsidR="000F7250">
        <w:t>do.  Our o</w:t>
      </w:r>
      <w:r>
        <w:t xml:space="preserve">bjective here is to give context to those adjustments in supplanting Exhibit JD-11 </w:t>
      </w:r>
      <w:r w:rsidR="000F7250">
        <w:t>(</w:t>
      </w:r>
      <w:r w:rsidR="00CD3610">
        <w:t>4/3/14</w:t>
      </w:r>
      <w:r w:rsidR="000F7250">
        <w:t xml:space="preserve">) </w:t>
      </w:r>
      <w:r w:rsidR="00424121">
        <w:t xml:space="preserve">in identifying </w:t>
      </w:r>
      <w:r w:rsidR="0025164C">
        <w:t xml:space="preserve">and describing, for the Commission’s benefit, </w:t>
      </w:r>
      <w:r>
        <w:t xml:space="preserve">the type and kind of adjustments that the Company believes are </w:t>
      </w:r>
      <w:r w:rsidR="006901A0">
        <w:t xml:space="preserve">likely </w:t>
      </w:r>
      <w:r w:rsidR="0025164C">
        <w:t>non-controversial</w:t>
      </w:r>
      <w:r>
        <w:t xml:space="preserve">, although </w:t>
      </w:r>
      <w:r w:rsidR="00897259">
        <w:t xml:space="preserve">the Company </w:t>
      </w:r>
      <w:r>
        <w:t xml:space="preserve">is well </w:t>
      </w:r>
      <w:r w:rsidR="00897259">
        <w:t xml:space="preserve">aware that the Commission Staff, </w:t>
      </w:r>
      <w:r>
        <w:t>in its prefiled rebutt</w:t>
      </w:r>
      <w:r w:rsidR="00897259">
        <w:t xml:space="preserve">al case, </w:t>
      </w:r>
      <w:r w:rsidR="0022584E">
        <w:t xml:space="preserve">is free to </w:t>
      </w:r>
      <w:r>
        <w:t xml:space="preserve">dispute </w:t>
      </w:r>
      <w:r w:rsidR="000644FD">
        <w:t xml:space="preserve">any </w:t>
      </w:r>
      <w:r w:rsidR="00897259">
        <w:t xml:space="preserve">or all </w:t>
      </w:r>
      <w:r w:rsidR="002B10BC">
        <w:t>of those treatments and characterizations.</w:t>
      </w:r>
    </w:p>
    <w:p w:rsidR="00B62EE3" w:rsidRPr="00B62EE3" w:rsidRDefault="00B62EE3" w:rsidP="00B62EE3">
      <w:pPr>
        <w:pStyle w:val="Judge"/>
        <w:spacing w:line="240" w:lineRule="auto"/>
        <w:ind w:left="720" w:hanging="720"/>
        <w:jc w:val="left"/>
        <w:rPr>
          <w:b/>
        </w:rPr>
      </w:pPr>
      <w:r w:rsidRPr="00B62EE3">
        <w:rPr>
          <w:b/>
        </w:rPr>
        <w:t>Q.</w:t>
      </w:r>
      <w:r w:rsidRPr="00B62EE3">
        <w:rPr>
          <w:b/>
        </w:rPr>
        <w:tab/>
        <w:t xml:space="preserve">CAN YOU ALSO PLEASE </w:t>
      </w:r>
      <w:r w:rsidR="006901A0">
        <w:rPr>
          <w:b/>
        </w:rPr>
        <w:t xml:space="preserve">SIMILARLY </w:t>
      </w:r>
      <w:r w:rsidRPr="00B62EE3">
        <w:rPr>
          <w:b/>
        </w:rPr>
        <w:t>DESCRIBE WHA</w:t>
      </w:r>
      <w:r w:rsidR="003145B5">
        <w:rPr>
          <w:b/>
        </w:rPr>
        <w:t>T YOU BELIEVE TO BE UN</w:t>
      </w:r>
      <w:r w:rsidR="006901A0">
        <w:rPr>
          <w:b/>
        </w:rPr>
        <w:t xml:space="preserve">CONTROVERSIAL </w:t>
      </w:r>
      <w:r w:rsidRPr="00B62EE3">
        <w:rPr>
          <w:b/>
        </w:rPr>
        <w:t>PRO FORMA ADJUSTMENTS IN THE SCHEDULES CONTAINED IN EXHIBIT JD-11 (</w:t>
      </w:r>
      <w:r w:rsidR="006901A0">
        <w:rPr>
          <w:b/>
        </w:rPr>
        <w:t>4</w:t>
      </w:r>
      <w:r w:rsidRPr="00B62EE3">
        <w:rPr>
          <w:b/>
        </w:rPr>
        <w:t>/</w:t>
      </w:r>
      <w:r w:rsidR="00453004">
        <w:rPr>
          <w:b/>
        </w:rPr>
        <w:t>3</w:t>
      </w:r>
      <w:r w:rsidRPr="00B62EE3">
        <w:rPr>
          <w:b/>
        </w:rPr>
        <w:t>/14) AT LEAST AS OF THE CASE IN CHIEF FILING ON FEBRUARY 18, 2014?</w:t>
      </w:r>
    </w:p>
    <w:p w:rsidR="00B62EE3" w:rsidRPr="00B62EE3" w:rsidRDefault="00B62EE3" w:rsidP="00897259">
      <w:pPr>
        <w:pStyle w:val="Judge"/>
        <w:spacing w:line="240" w:lineRule="auto"/>
        <w:ind w:left="720" w:hanging="720"/>
        <w:jc w:val="left"/>
      </w:pPr>
    </w:p>
    <w:p w:rsidR="00B62EE3" w:rsidRDefault="00862637" w:rsidP="005B23AF">
      <w:pPr>
        <w:pStyle w:val="Judge"/>
        <w:spacing w:line="480" w:lineRule="exact"/>
        <w:ind w:left="720" w:hanging="720"/>
        <w:jc w:val="left"/>
      </w:pPr>
      <w:r>
        <w:t>A.</w:t>
      </w:r>
      <w:r>
        <w:tab/>
        <w:t xml:space="preserve">Yes.  </w:t>
      </w:r>
      <w:r w:rsidR="005B23AF">
        <w:t xml:space="preserve">Pro Forma Adjustment P-2 </w:t>
      </w:r>
      <w:r w:rsidR="00CD54F6">
        <w:t>“Schedule 2 – page 2 Summary of Forecast Adjustments,</w:t>
      </w:r>
      <w:r w:rsidR="00424121">
        <w:t>”</w:t>
      </w:r>
      <w:r w:rsidR="00CD54F6">
        <w:t xml:space="preserve"> </w:t>
      </w:r>
      <w:r w:rsidR="00F1778A">
        <w:t>(</w:t>
      </w:r>
      <w:r w:rsidR="00CD54F6">
        <w:t>Column B, lines 24-29, 45 and 46</w:t>
      </w:r>
      <w:r w:rsidR="00F1778A">
        <w:t>)</w:t>
      </w:r>
      <w:r w:rsidR="00CD54F6">
        <w:t xml:space="preserve">, account </w:t>
      </w:r>
      <w:r w:rsidR="005B23AF">
        <w:t xml:space="preserve">for </w:t>
      </w:r>
      <w:r w:rsidR="00CD54F6">
        <w:t xml:space="preserve">and update </w:t>
      </w:r>
      <w:r w:rsidR="005B23AF">
        <w:t xml:space="preserve">rate case costs and </w:t>
      </w:r>
      <w:r w:rsidR="00424121">
        <w:t xml:space="preserve">Pro Forma Adjustment </w:t>
      </w:r>
      <w:r w:rsidR="005B23AF">
        <w:t>P-3</w:t>
      </w:r>
      <w:r w:rsidR="00CD54F6">
        <w:t xml:space="preserve">, </w:t>
      </w:r>
      <w:r w:rsidR="00F1778A">
        <w:t>(</w:t>
      </w:r>
      <w:r w:rsidR="00CD54F6">
        <w:t>Column D, line 52 and Column N, line 52</w:t>
      </w:r>
      <w:r w:rsidR="00F1778A">
        <w:t>)</w:t>
      </w:r>
      <w:r w:rsidR="00CD54F6">
        <w:t xml:space="preserve">, </w:t>
      </w:r>
      <w:r w:rsidR="005B23AF">
        <w:t>amortize that expe</w:t>
      </w:r>
      <w:r w:rsidR="003145B5">
        <w:t xml:space="preserve">nse over </w:t>
      </w:r>
      <w:r w:rsidR="00C923CB">
        <w:t xml:space="preserve">four </w:t>
      </w:r>
      <w:r w:rsidR="005B23AF">
        <w:t xml:space="preserve">years.  As Exhibit JD-1T, pages 19-21 detail, the Company </w:t>
      </w:r>
      <w:r w:rsidR="00C923CB">
        <w:t xml:space="preserve">would </w:t>
      </w:r>
      <w:r w:rsidR="00395B1B">
        <w:t xml:space="preserve">qualify </w:t>
      </w:r>
      <w:r w:rsidR="005B23AF">
        <w:t xml:space="preserve">P-2 and P-3 as </w:t>
      </w:r>
      <w:r w:rsidR="003145B5">
        <w:t xml:space="preserve">only </w:t>
      </w:r>
      <w:r w:rsidR="005B23AF">
        <w:t xml:space="preserve">“potentially” undisputed since it is </w:t>
      </w:r>
      <w:r w:rsidR="00A15B31">
        <w:t xml:space="preserve">now </w:t>
      </w:r>
      <w:r w:rsidR="005B23AF">
        <w:t xml:space="preserve">unaware of the </w:t>
      </w:r>
      <w:r w:rsidR="00C5417E">
        <w:t>Staff</w:t>
      </w:r>
      <w:r w:rsidR="005B23AF">
        <w:t xml:space="preserve">’s position on the cumulative costs </w:t>
      </w:r>
      <w:r w:rsidR="00A15B31">
        <w:t xml:space="preserve">and amortization period </w:t>
      </w:r>
      <w:r w:rsidR="005B23AF">
        <w:t>w</w:t>
      </w:r>
      <w:r w:rsidR="00142F30">
        <w:t xml:space="preserve">hich were previously </w:t>
      </w:r>
      <w:r w:rsidR="003145B5">
        <w:t xml:space="preserve">totaled in Exhibit JD-9 </w:t>
      </w:r>
      <w:r w:rsidR="005B23AF">
        <w:t>through 1</w:t>
      </w:r>
      <w:r w:rsidR="00F877C9">
        <w:t>/</w:t>
      </w:r>
      <w:r w:rsidR="005B23AF">
        <w:t>31</w:t>
      </w:r>
      <w:r w:rsidR="00F877C9">
        <w:t>/</w:t>
      </w:r>
      <w:r w:rsidR="005B23AF">
        <w:t xml:space="preserve">14 and which are </w:t>
      </w:r>
      <w:r w:rsidR="003145B5">
        <w:t xml:space="preserve">obviously </w:t>
      </w:r>
      <w:r w:rsidR="005B23AF">
        <w:t>increasing</w:t>
      </w:r>
      <w:r w:rsidR="00A15B31">
        <w:t xml:space="preserve"> as documented in updated Workpaper 18, “Rate Case Costs” in Exhibit JD-11 (4/3/14)</w:t>
      </w:r>
      <w:r w:rsidR="00F877C9">
        <w:t xml:space="preserve">.  </w:t>
      </w:r>
      <w:r w:rsidR="00424121">
        <w:t xml:space="preserve">Since </w:t>
      </w:r>
      <w:r w:rsidR="000A62DD">
        <w:t>August</w:t>
      </w:r>
      <w:r w:rsidR="00424121">
        <w:t xml:space="preserve">, 2013 through March 31, 2014, the Company has incurred </w:t>
      </w:r>
      <w:r w:rsidR="000A62DD">
        <w:t xml:space="preserve">750.5 </w:t>
      </w:r>
      <w:r w:rsidR="00424121">
        <w:t xml:space="preserve">hours of outside accounting time and </w:t>
      </w:r>
      <w:r w:rsidR="00AA68DB">
        <w:t xml:space="preserve">202.8 hours of legal time which, in turn, </w:t>
      </w:r>
      <w:r w:rsidR="00424121">
        <w:t>updates the hour</w:t>
      </w:r>
      <w:r w:rsidR="00D360F0">
        <w:t>s</w:t>
      </w:r>
      <w:r w:rsidR="00424121">
        <w:t xml:space="preserve"> reference at </w:t>
      </w:r>
      <w:r w:rsidR="009B465A">
        <w:t>Exhibit JD-1T, page 20, line 16</w:t>
      </w:r>
      <w:r w:rsidR="000A62DD">
        <w:t xml:space="preserve"> and Exhibit JD-9</w:t>
      </w:r>
      <w:r w:rsidR="00D360F0">
        <w:t xml:space="preserve">.  </w:t>
      </w:r>
      <w:r w:rsidR="00424121">
        <w:t xml:space="preserve">Pro Forma Adjustment </w:t>
      </w:r>
      <w:r w:rsidR="00F877C9">
        <w:t xml:space="preserve">P-4, </w:t>
      </w:r>
      <w:r w:rsidR="00F1778A">
        <w:t>(</w:t>
      </w:r>
      <w:r w:rsidR="00F877C9">
        <w:t>Column H, line 36</w:t>
      </w:r>
      <w:r w:rsidR="00F1778A">
        <w:t>)</w:t>
      </w:r>
      <w:r w:rsidR="00F877C9">
        <w:t xml:space="preserve">, </w:t>
      </w:r>
      <w:r w:rsidR="005B23AF">
        <w:t xml:space="preserve">is a pro forma adjustment for fuel costs </w:t>
      </w:r>
      <w:r w:rsidR="002B10BC">
        <w:t xml:space="preserve">and, </w:t>
      </w:r>
      <w:r w:rsidR="005B23AF">
        <w:t xml:space="preserve">as </w:t>
      </w:r>
      <w:r w:rsidR="002B10BC">
        <w:t xml:space="preserve">detailedly </w:t>
      </w:r>
      <w:r w:rsidR="005B23AF">
        <w:t>shown in Pro Forma Adjustment 4-A</w:t>
      </w:r>
      <w:r w:rsidR="00F877C9">
        <w:t xml:space="preserve">, Schedule 2 – “Explanation of Forecast Adjustments,” </w:t>
      </w:r>
      <w:r w:rsidR="00F1778A">
        <w:t>(</w:t>
      </w:r>
      <w:r w:rsidR="00F877C9">
        <w:t>Column</w:t>
      </w:r>
      <w:r w:rsidR="009B465A">
        <w:t>s</w:t>
      </w:r>
      <w:r w:rsidR="00F877C9">
        <w:t xml:space="preserve"> A</w:t>
      </w:r>
      <w:r w:rsidR="009B465A">
        <w:t>-D</w:t>
      </w:r>
      <w:r w:rsidR="00F877C9">
        <w:t>, lines 17 and 18</w:t>
      </w:r>
      <w:r w:rsidR="00F1778A">
        <w:t>)</w:t>
      </w:r>
      <w:r w:rsidR="00F877C9">
        <w:t xml:space="preserve">, </w:t>
      </w:r>
      <w:r w:rsidR="005B23AF">
        <w:t xml:space="preserve">allocates that $2,054 expense </w:t>
      </w:r>
      <w:r w:rsidR="00DE1C78">
        <w:t xml:space="preserve">(“Workpaper 9,” line 30) </w:t>
      </w:r>
      <w:r w:rsidR="005B23AF">
        <w:t>between regulated and non-regulated operation</w:t>
      </w:r>
      <w:r w:rsidR="003145B5">
        <w:t>s</w:t>
      </w:r>
      <w:r w:rsidR="00F877C9">
        <w:t xml:space="preserve">.  Finally, Adjustment P-5, </w:t>
      </w:r>
      <w:r w:rsidR="009B465A">
        <w:t>“</w:t>
      </w:r>
      <w:r w:rsidR="00F877C9">
        <w:t xml:space="preserve">Schedule 2 – page 2 Summary of Forecast Adjustments,” </w:t>
      </w:r>
      <w:r w:rsidR="00D61CDB">
        <w:t>(</w:t>
      </w:r>
      <w:r w:rsidR="00F877C9">
        <w:t xml:space="preserve">Column </w:t>
      </w:r>
      <w:r w:rsidR="00F1778A">
        <w:t>J</w:t>
      </w:r>
      <w:r w:rsidR="00F877C9">
        <w:t>, lines 18, 38 and 41</w:t>
      </w:r>
      <w:r w:rsidR="00D61CDB">
        <w:t>)</w:t>
      </w:r>
      <w:r w:rsidR="00F877C9">
        <w:t xml:space="preserve">, </w:t>
      </w:r>
      <w:r w:rsidR="005B23AF">
        <w:t xml:space="preserve">adjusts </w:t>
      </w:r>
      <w:r w:rsidR="00C923CB">
        <w:t xml:space="preserve">pass through </w:t>
      </w:r>
      <w:r w:rsidR="005B23AF">
        <w:t>disposal fee expense by $138,598 to account for the approximate 31% increase in disposal fees (</w:t>
      </w:r>
      <w:r w:rsidR="006901A0">
        <w:t xml:space="preserve">approximately </w:t>
      </w:r>
      <w:r w:rsidR="003145B5">
        <w:t xml:space="preserve">an $11.70 per ton </w:t>
      </w:r>
      <w:r w:rsidR="006901A0">
        <w:t xml:space="preserve">increase </w:t>
      </w:r>
      <w:r w:rsidR="003145B5">
        <w:t xml:space="preserve">amount) ordered </w:t>
      </w:r>
      <w:r w:rsidR="005B23AF">
        <w:t>by Cowlitz County</w:t>
      </w:r>
      <w:r w:rsidR="00F877C9">
        <w:t xml:space="preserve"> and effective December 1, 2013 and which is detailed in “Schedule 2 – Explanations of Forecast Adjustments,” </w:t>
      </w:r>
      <w:r w:rsidR="00F1778A">
        <w:t>(</w:t>
      </w:r>
      <w:r w:rsidR="00F877C9">
        <w:t>Column</w:t>
      </w:r>
      <w:r w:rsidR="009B465A">
        <w:t>s</w:t>
      </w:r>
      <w:r w:rsidR="00F877C9">
        <w:t xml:space="preserve"> </w:t>
      </w:r>
      <w:r w:rsidR="009B465A">
        <w:t>A-E</w:t>
      </w:r>
      <w:r w:rsidR="00F877C9">
        <w:t>, lines 21-25</w:t>
      </w:r>
      <w:r w:rsidR="00F1778A">
        <w:t>)</w:t>
      </w:r>
      <w:r w:rsidR="00F877C9">
        <w:t>.</w:t>
      </w:r>
    </w:p>
    <w:p w:rsidR="009C388A" w:rsidRDefault="009C388A" w:rsidP="009C388A">
      <w:pPr>
        <w:pStyle w:val="Judge"/>
        <w:spacing w:line="240" w:lineRule="auto"/>
        <w:ind w:left="720" w:hanging="720"/>
        <w:jc w:val="left"/>
        <w:rPr>
          <w:b/>
        </w:rPr>
      </w:pPr>
      <w:r>
        <w:rPr>
          <w:b/>
        </w:rPr>
        <w:t>Q.</w:t>
      </w:r>
      <w:r>
        <w:rPr>
          <w:b/>
        </w:rPr>
        <w:tab/>
        <w:t>PLEASE DESCRIBE WHAT “SCHEDULE 3 – SUMMARY OF RECLASS ADJUSTMENTS</w:t>
      </w:r>
      <w:r w:rsidR="00F877C9">
        <w:rPr>
          <w:b/>
        </w:rPr>
        <w:t>,</w:t>
      </w:r>
      <w:r>
        <w:rPr>
          <w:b/>
        </w:rPr>
        <w:t xml:space="preserve"> </w:t>
      </w:r>
      <w:r w:rsidR="00F877C9">
        <w:rPr>
          <w:b/>
        </w:rPr>
        <w:t>PAGE 2,</w:t>
      </w:r>
      <w:r w:rsidR="009B465A">
        <w:rPr>
          <w:b/>
        </w:rPr>
        <w:t>”</w:t>
      </w:r>
      <w:r w:rsidR="00F877C9">
        <w:rPr>
          <w:b/>
        </w:rPr>
        <w:t xml:space="preserve"> </w:t>
      </w:r>
      <w:r>
        <w:rPr>
          <w:b/>
        </w:rPr>
        <w:t>IS AND THE ACCOMPANYING EXPLANATION WORKSHEET IN EXHIBIT JD-11 (</w:t>
      </w:r>
      <w:r w:rsidR="0025164C">
        <w:rPr>
          <w:b/>
        </w:rPr>
        <w:t>4</w:t>
      </w:r>
      <w:r>
        <w:rPr>
          <w:b/>
        </w:rPr>
        <w:t>/</w:t>
      </w:r>
      <w:r w:rsidR="00453004">
        <w:rPr>
          <w:b/>
        </w:rPr>
        <w:t>3</w:t>
      </w:r>
      <w:r>
        <w:rPr>
          <w:b/>
        </w:rPr>
        <w:t>/14).</w:t>
      </w:r>
    </w:p>
    <w:p w:rsidR="009C388A" w:rsidRPr="000F7250" w:rsidRDefault="009C388A" w:rsidP="009C388A">
      <w:pPr>
        <w:pStyle w:val="Judge"/>
        <w:spacing w:line="240" w:lineRule="auto"/>
        <w:ind w:left="720" w:hanging="720"/>
        <w:jc w:val="left"/>
      </w:pPr>
    </w:p>
    <w:p w:rsidR="009C388A" w:rsidRDefault="009C388A" w:rsidP="009C388A">
      <w:pPr>
        <w:pStyle w:val="Judge"/>
        <w:spacing w:line="480" w:lineRule="exact"/>
        <w:ind w:left="720" w:hanging="720"/>
        <w:jc w:val="left"/>
      </w:pPr>
      <w:r>
        <w:t>A.</w:t>
      </w:r>
      <w:r>
        <w:tab/>
        <w:t>Yes, those two schedules explain how the calculations were arrived at in RC-1</w:t>
      </w:r>
      <w:r w:rsidR="00D360F0">
        <w:t>,</w:t>
      </w:r>
      <w:r>
        <w:t xml:space="preserve"> </w:t>
      </w:r>
      <w:r w:rsidR="00F877C9">
        <w:t>“Schedule 3</w:t>
      </w:r>
      <w:r w:rsidR="00F1778A">
        <w:t>, page 2</w:t>
      </w:r>
      <w:r w:rsidR="00F877C9">
        <w:t xml:space="preserve"> – Summary of Reclass Adjustments,</w:t>
      </w:r>
      <w:r w:rsidR="009B465A">
        <w:t>”</w:t>
      </w:r>
      <w:r w:rsidR="00D360F0">
        <w:t xml:space="preserve"> </w:t>
      </w:r>
      <w:r w:rsidR="000A62DD">
        <w:t>(</w:t>
      </w:r>
      <w:r w:rsidR="00D360F0">
        <w:t>Column B</w:t>
      </w:r>
      <w:r w:rsidR="000A62DD">
        <w:t>)</w:t>
      </w:r>
      <w:r w:rsidR="00D360F0">
        <w:t xml:space="preserve">, </w:t>
      </w:r>
      <w:r>
        <w:t xml:space="preserve">to remove all non-regulated revenue </w:t>
      </w:r>
      <w:r w:rsidR="00F877C9">
        <w:t xml:space="preserve">and expenses, </w:t>
      </w:r>
      <w:r w:rsidR="003145B5">
        <w:t xml:space="preserve">including in RC-1A, </w:t>
      </w:r>
      <w:r w:rsidR="00F877C9">
        <w:t xml:space="preserve">“Schedule </w:t>
      </w:r>
      <w:r w:rsidR="009B465A">
        <w:t>3</w:t>
      </w:r>
      <w:r w:rsidR="00F877C9">
        <w:t xml:space="preserve"> – Explanation of Reclass Adjustments,</w:t>
      </w:r>
      <w:r w:rsidR="009B465A">
        <w:t>”</w:t>
      </w:r>
      <w:r w:rsidR="00F877C9">
        <w:t xml:space="preserve"> </w:t>
      </w:r>
      <w:r w:rsidR="00F1778A">
        <w:t>(</w:t>
      </w:r>
      <w:r w:rsidR="00F877C9">
        <w:t>Column</w:t>
      </w:r>
      <w:r w:rsidR="009B465A">
        <w:t>s</w:t>
      </w:r>
      <w:r w:rsidR="00F877C9">
        <w:t xml:space="preserve"> </w:t>
      </w:r>
      <w:r w:rsidR="009B465A">
        <w:t>A-</w:t>
      </w:r>
      <w:r w:rsidR="00F877C9">
        <w:t>F, lines 15-21</w:t>
      </w:r>
      <w:r w:rsidR="00F1778A">
        <w:t>)</w:t>
      </w:r>
      <w:r w:rsidR="00F877C9">
        <w:t xml:space="preserve">, </w:t>
      </w:r>
      <w:r>
        <w:t>removal of revenue/expenses from the City of Kalama</w:t>
      </w:r>
      <w:r w:rsidR="00C923CB">
        <w:t xml:space="preserve"> </w:t>
      </w:r>
      <w:r w:rsidR="0025164C">
        <w:t xml:space="preserve">contract </w:t>
      </w:r>
      <w:r w:rsidR="00C923CB">
        <w:t>operations</w:t>
      </w:r>
      <w:r>
        <w:t>.  RC-2</w:t>
      </w:r>
      <w:r w:rsidR="00F877C9">
        <w:t xml:space="preserve">, </w:t>
      </w:r>
      <w:r w:rsidR="009B465A">
        <w:t xml:space="preserve">“Schedule 3, page 2 – Summary of Reclass Adjustments,” </w:t>
      </w:r>
      <w:r w:rsidR="00F1778A">
        <w:t>(</w:t>
      </w:r>
      <w:r w:rsidR="00F877C9">
        <w:t>Column D, lines 24-28 and 45</w:t>
      </w:r>
      <w:r w:rsidR="00F1778A">
        <w:t>)</w:t>
      </w:r>
      <w:r w:rsidR="00F877C9">
        <w:t xml:space="preserve">, </w:t>
      </w:r>
      <w:r>
        <w:t xml:space="preserve"> transfers payroll expenses to other accounts and allocates a portion of these expenses to non-regul</w:t>
      </w:r>
      <w:r w:rsidR="00F877C9">
        <w:t xml:space="preserve">ated activity.  Similarly, RC-3, </w:t>
      </w:r>
      <w:r w:rsidR="00F1778A">
        <w:t>(</w:t>
      </w:r>
      <w:r w:rsidR="00F877C9">
        <w:t>Column F, lines 38-41</w:t>
      </w:r>
      <w:r w:rsidR="00F1778A">
        <w:t>)</w:t>
      </w:r>
      <w:r w:rsidR="00F877C9">
        <w:t xml:space="preserve">, </w:t>
      </w:r>
      <w:r>
        <w:t xml:space="preserve">reflects a reclassification of disposal fees </w:t>
      </w:r>
      <w:r w:rsidR="006901A0">
        <w:t xml:space="preserve">to </w:t>
      </w:r>
      <w:r>
        <w:t>non-regulated expenses and also has a neutral impact on the overa</w:t>
      </w:r>
      <w:r w:rsidR="006901A0">
        <w:t>ll requested revenue requirement.</w:t>
      </w:r>
    </w:p>
    <w:p w:rsidR="00897259" w:rsidRDefault="00897259" w:rsidP="00897259">
      <w:pPr>
        <w:pStyle w:val="Judge"/>
        <w:spacing w:line="240" w:lineRule="auto"/>
        <w:ind w:left="720" w:hanging="720"/>
        <w:jc w:val="left"/>
        <w:rPr>
          <w:b/>
        </w:rPr>
      </w:pPr>
      <w:r w:rsidRPr="00897259">
        <w:rPr>
          <w:b/>
        </w:rPr>
        <w:t>Q.</w:t>
      </w:r>
      <w:r w:rsidRPr="00897259">
        <w:rPr>
          <w:b/>
        </w:rPr>
        <w:tab/>
        <w:t>CAN YOU NOW GENERALLY IDENTIFY AND DE</w:t>
      </w:r>
      <w:r w:rsidR="006901A0">
        <w:rPr>
          <w:b/>
        </w:rPr>
        <w:t xml:space="preserve">SCRIBE, </w:t>
      </w:r>
      <w:r w:rsidR="0022584E">
        <w:rPr>
          <w:b/>
        </w:rPr>
        <w:t xml:space="preserve">BY INDIVIDUAL </w:t>
      </w:r>
      <w:r w:rsidRPr="00897259">
        <w:rPr>
          <w:b/>
        </w:rPr>
        <w:t xml:space="preserve">ADJUSTMENTS </w:t>
      </w:r>
      <w:r w:rsidR="006901A0">
        <w:rPr>
          <w:b/>
        </w:rPr>
        <w:t xml:space="preserve">TO THE RESULTS OF OPERATIONS, THOSE ITEMS </w:t>
      </w:r>
      <w:r w:rsidR="009C388A">
        <w:rPr>
          <w:b/>
        </w:rPr>
        <w:t xml:space="preserve">THAT HAVE BEEN </w:t>
      </w:r>
      <w:r w:rsidR="002B10BC">
        <w:rPr>
          <w:b/>
        </w:rPr>
        <w:t xml:space="preserve">PREVIOUSLY </w:t>
      </w:r>
      <w:r w:rsidRPr="00897259">
        <w:rPr>
          <w:b/>
        </w:rPr>
        <w:t xml:space="preserve">DISPUTED </w:t>
      </w:r>
      <w:r w:rsidR="00395B1B">
        <w:rPr>
          <w:b/>
        </w:rPr>
        <w:t xml:space="preserve">OR UNRESOLVED </w:t>
      </w:r>
      <w:r w:rsidRPr="00897259">
        <w:rPr>
          <w:b/>
        </w:rPr>
        <w:t>BY THE PARTIES</w:t>
      </w:r>
      <w:r w:rsidR="009C388A">
        <w:rPr>
          <w:b/>
        </w:rPr>
        <w:t xml:space="preserve"> IN THE ORIGINAL RATE CASE AND WHICH YOU SUSPECT </w:t>
      </w:r>
      <w:r w:rsidR="00395B1B">
        <w:rPr>
          <w:b/>
        </w:rPr>
        <w:t xml:space="preserve">MAY BE CONTESTED </w:t>
      </w:r>
      <w:r w:rsidR="009C388A">
        <w:rPr>
          <w:b/>
        </w:rPr>
        <w:t>HERE</w:t>
      </w:r>
      <w:r w:rsidRPr="00897259">
        <w:rPr>
          <w:b/>
        </w:rPr>
        <w:t>?</w:t>
      </w:r>
    </w:p>
    <w:p w:rsidR="000F7250" w:rsidRPr="000F7250" w:rsidRDefault="000F7250" w:rsidP="00897259">
      <w:pPr>
        <w:pStyle w:val="Judge"/>
        <w:spacing w:line="240" w:lineRule="auto"/>
        <w:ind w:left="720" w:hanging="720"/>
        <w:jc w:val="left"/>
      </w:pPr>
    </w:p>
    <w:p w:rsidR="000F7250" w:rsidRDefault="0022584E" w:rsidP="007A1253">
      <w:pPr>
        <w:pStyle w:val="Judge"/>
        <w:spacing w:line="480" w:lineRule="auto"/>
        <w:ind w:left="720" w:hanging="720"/>
        <w:jc w:val="left"/>
      </w:pPr>
      <w:r>
        <w:t>A.</w:t>
      </w:r>
      <w:r>
        <w:tab/>
        <w:t xml:space="preserve">Yes, </w:t>
      </w:r>
      <w:r w:rsidR="000F7250" w:rsidRPr="000F7250">
        <w:t>and those are</w:t>
      </w:r>
      <w:r w:rsidR="006901A0">
        <w:t xml:space="preserve"> </w:t>
      </w:r>
      <w:r w:rsidR="00C923CB">
        <w:t xml:space="preserve">broadly </w:t>
      </w:r>
      <w:r w:rsidR="006901A0">
        <w:t xml:space="preserve">identified </w:t>
      </w:r>
      <w:r w:rsidR="00453004">
        <w:t xml:space="preserve">as:  </w:t>
      </w:r>
      <w:r w:rsidR="00C923CB">
        <w:t xml:space="preserve">(1) </w:t>
      </w:r>
      <w:r w:rsidR="00C062F1">
        <w:t>“Land Rent”</w:t>
      </w:r>
      <w:r w:rsidR="001552A7">
        <w:t xml:space="preserve"> (Restating Adjustment </w:t>
      </w:r>
      <w:r w:rsidR="009B465A">
        <w:t>R-</w:t>
      </w:r>
      <w:r w:rsidR="001552A7">
        <w:t>6E)</w:t>
      </w:r>
      <w:r w:rsidR="00C062F1">
        <w:t>; (</w:t>
      </w:r>
      <w:r w:rsidR="00C923CB">
        <w:t>2</w:t>
      </w:r>
      <w:r w:rsidR="00C062F1">
        <w:t xml:space="preserve">) </w:t>
      </w:r>
      <w:r w:rsidR="00C923CB">
        <w:t>“Truck Rentals”</w:t>
      </w:r>
      <w:r w:rsidR="00301748">
        <w:t xml:space="preserve"> </w:t>
      </w:r>
      <w:r w:rsidR="00395B1B">
        <w:t>(W</w:t>
      </w:r>
      <w:r w:rsidR="00301748">
        <w:t>orkpaper 19</w:t>
      </w:r>
      <w:r w:rsidR="00395B1B">
        <w:t>)</w:t>
      </w:r>
      <w:r w:rsidR="00C923CB">
        <w:t xml:space="preserve">; (3) </w:t>
      </w:r>
      <w:r w:rsidR="00301748">
        <w:t xml:space="preserve">“Labor Calculations” </w:t>
      </w:r>
      <w:r w:rsidR="0025164C">
        <w:t>(</w:t>
      </w:r>
      <w:r w:rsidR="001552A7">
        <w:t>Pro Forma Adjustment</w:t>
      </w:r>
      <w:r w:rsidR="00C062F1">
        <w:t xml:space="preserve"> </w:t>
      </w:r>
      <w:r w:rsidR="0025164C">
        <w:t xml:space="preserve">P-1), </w:t>
      </w:r>
      <w:r w:rsidR="00A15B31">
        <w:t xml:space="preserve">and (4) “Capital Structure” </w:t>
      </w:r>
      <w:r w:rsidR="00C923CB">
        <w:t>(</w:t>
      </w:r>
      <w:r w:rsidR="00395B1B">
        <w:t>W</w:t>
      </w:r>
      <w:r w:rsidR="00A15B31">
        <w:t>orkpaper 6)</w:t>
      </w:r>
      <w:r w:rsidR="00C923CB">
        <w:t>.</w:t>
      </w:r>
    </w:p>
    <w:p w:rsidR="009737CD" w:rsidRPr="00C062F1" w:rsidRDefault="009737CD" w:rsidP="00C062F1">
      <w:pPr>
        <w:pStyle w:val="Judge"/>
        <w:spacing w:line="240" w:lineRule="auto"/>
        <w:ind w:left="720" w:hanging="720"/>
        <w:jc w:val="left"/>
        <w:rPr>
          <w:b/>
        </w:rPr>
      </w:pPr>
      <w:r w:rsidRPr="00C062F1">
        <w:rPr>
          <w:b/>
        </w:rPr>
        <w:t>Q.</w:t>
      </w:r>
      <w:r w:rsidRPr="00C062F1">
        <w:rPr>
          <w:b/>
        </w:rPr>
        <w:tab/>
        <w:t xml:space="preserve">WHAT IS THE ISSUE </w:t>
      </w:r>
      <w:r w:rsidR="00C062F1">
        <w:rPr>
          <w:b/>
        </w:rPr>
        <w:t xml:space="preserve">RAISED BY </w:t>
      </w:r>
      <w:r w:rsidRPr="00C062F1">
        <w:rPr>
          <w:b/>
        </w:rPr>
        <w:t xml:space="preserve">RESTATING ADJUSTMENT </w:t>
      </w:r>
      <w:r w:rsidR="009B465A">
        <w:rPr>
          <w:b/>
        </w:rPr>
        <w:t>R-</w:t>
      </w:r>
      <w:r w:rsidR="006901A0">
        <w:rPr>
          <w:b/>
        </w:rPr>
        <w:t xml:space="preserve">6E </w:t>
      </w:r>
      <w:r w:rsidRPr="00C062F1">
        <w:rPr>
          <w:b/>
        </w:rPr>
        <w:t>IN SCHEDULE 1</w:t>
      </w:r>
      <w:r w:rsidR="00453004">
        <w:rPr>
          <w:b/>
        </w:rPr>
        <w:t>,</w:t>
      </w:r>
      <w:r w:rsidRPr="00C062F1">
        <w:rPr>
          <w:b/>
        </w:rPr>
        <w:t xml:space="preserve"> “EXPLANATION OF RESTATING ADJUSTMENTS</w:t>
      </w:r>
      <w:r w:rsidR="00C062F1">
        <w:rPr>
          <w:b/>
        </w:rPr>
        <w:t>,</w:t>
      </w:r>
      <w:r w:rsidR="000644FD">
        <w:rPr>
          <w:b/>
        </w:rPr>
        <w:t>” JD-11 (</w:t>
      </w:r>
      <w:r w:rsidR="00CD3610">
        <w:rPr>
          <w:b/>
        </w:rPr>
        <w:t>4/3/14</w:t>
      </w:r>
      <w:r w:rsidR="000644FD">
        <w:rPr>
          <w:b/>
        </w:rPr>
        <w:t>)?</w:t>
      </w:r>
    </w:p>
    <w:p w:rsidR="009737CD" w:rsidRDefault="009737CD" w:rsidP="00897259">
      <w:pPr>
        <w:pStyle w:val="Judge"/>
        <w:spacing w:line="240" w:lineRule="auto"/>
        <w:ind w:left="720" w:hanging="720"/>
        <w:jc w:val="left"/>
      </w:pPr>
    </w:p>
    <w:p w:rsidR="009737CD" w:rsidRDefault="009737CD" w:rsidP="009737CD">
      <w:pPr>
        <w:pStyle w:val="Judge"/>
        <w:spacing w:line="480" w:lineRule="auto"/>
        <w:ind w:left="720" w:hanging="720"/>
        <w:jc w:val="left"/>
      </w:pPr>
      <w:r>
        <w:t>A.</w:t>
      </w:r>
      <w:r>
        <w:tab/>
        <w:t xml:space="preserve">This focal adjustment </w:t>
      </w:r>
      <w:r w:rsidR="007948B8">
        <w:t xml:space="preserve">is </w:t>
      </w:r>
      <w:r w:rsidR="006901A0">
        <w:t xml:space="preserve">also </w:t>
      </w:r>
      <w:r w:rsidR="00395B1B">
        <w:t xml:space="preserve">thoroughly </w:t>
      </w:r>
      <w:r w:rsidR="007948B8">
        <w:t xml:space="preserve">detailed in </w:t>
      </w:r>
      <w:r>
        <w:t xml:space="preserve">Exhibit JD-1T, and </w:t>
      </w:r>
      <w:r w:rsidR="00C062F1">
        <w:t>on this schedule</w:t>
      </w:r>
      <w:r w:rsidR="006901A0">
        <w:t xml:space="preserve"> again</w:t>
      </w:r>
      <w:r w:rsidR="00C062F1">
        <w:t xml:space="preserve">, </w:t>
      </w:r>
      <w:r w:rsidR="007948B8">
        <w:t xml:space="preserve">is labeled </w:t>
      </w:r>
      <w:r>
        <w:t xml:space="preserve">“land rent” </w:t>
      </w:r>
      <w:r w:rsidR="007948B8">
        <w:t>(</w:t>
      </w:r>
      <w:r>
        <w:t xml:space="preserve">rental expense </w:t>
      </w:r>
      <w:r w:rsidR="00301748">
        <w:t xml:space="preserve">paid to </w:t>
      </w:r>
      <w:r>
        <w:t>affiliated entities</w:t>
      </w:r>
      <w:r w:rsidR="007948B8">
        <w:t>)</w:t>
      </w:r>
      <w:r>
        <w:t>.</w:t>
      </w:r>
    </w:p>
    <w:p w:rsidR="00E25332" w:rsidRPr="00C16255" w:rsidRDefault="00E25332" w:rsidP="00897259">
      <w:pPr>
        <w:pStyle w:val="Judge"/>
        <w:spacing w:line="240" w:lineRule="auto"/>
        <w:ind w:left="720" w:hanging="720"/>
        <w:jc w:val="left"/>
        <w:rPr>
          <w:b/>
        </w:rPr>
      </w:pPr>
      <w:r w:rsidRPr="00C16255">
        <w:rPr>
          <w:b/>
        </w:rPr>
        <w:t>Q.</w:t>
      </w:r>
      <w:r w:rsidRPr="00C16255">
        <w:rPr>
          <w:b/>
        </w:rPr>
        <w:tab/>
        <w:t xml:space="preserve">AND WHAT IS THE BASIS OF </w:t>
      </w:r>
      <w:r w:rsidR="00C923CB">
        <w:rPr>
          <w:b/>
        </w:rPr>
        <w:t xml:space="preserve">ANY </w:t>
      </w:r>
      <w:r w:rsidRPr="00C16255">
        <w:rPr>
          <w:b/>
        </w:rPr>
        <w:t>RESTATING ADJUSTMENT DISPUTE</w:t>
      </w:r>
      <w:r w:rsidR="00C923CB">
        <w:rPr>
          <w:b/>
        </w:rPr>
        <w:t xml:space="preserve"> ON THIS ISSUE</w:t>
      </w:r>
      <w:r w:rsidRPr="00C16255">
        <w:rPr>
          <w:b/>
        </w:rPr>
        <w:t>?</w:t>
      </w:r>
    </w:p>
    <w:p w:rsidR="00E25332" w:rsidRDefault="00E25332" w:rsidP="00897259">
      <w:pPr>
        <w:pStyle w:val="Judge"/>
        <w:spacing w:line="240" w:lineRule="auto"/>
        <w:ind w:left="720" w:hanging="720"/>
        <w:jc w:val="left"/>
      </w:pPr>
    </w:p>
    <w:p w:rsidR="007A1253" w:rsidRDefault="00E25332" w:rsidP="00E25332">
      <w:pPr>
        <w:pStyle w:val="Judge"/>
        <w:spacing w:line="480" w:lineRule="auto"/>
        <w:ind w:left="720" w:hanging="720"/>
        <w:jc w:val="left"/>
      </w:pPr>
      <w:r>
        <w:t>A.</w:t>
      </w:r>
      <w:r>
        <w:tab/>
        <w:t xml:space="preserve">This </w:t>
      </w:r>
      <w:r w:rsidR="007A1253">
        <w:t xml:space="preserve">was </w:t>
      </w:r>
      <w:r>
        <w:t xml:space="preserve">one of the major disagreements between Company and Staff at suspension of the case in November and </w:t>
      </w:r>
      <w:r w:rsidR="007948B8">
        <w:t xml:space="preserve">continuing </w:t>
      </w:r>
      <w:r>
        <w:t xml:space="preserve">at prefiling of the Company’s case in chief in February, 2014.  Much of the </w:t>
      </w:r>
      <w:r w:rsidR="00C923CB">
        <w:t xml:space="preserve">previous disputed </w:t>
      </w:r>
      <w:r w:rsidR="007A1253">
        <w:t>land rent/affiliate rental</w:t>
      </w:r>
      <w:r w:rsidR="00395B1B">
        <w:t xml:space="preserve"> adjustment</w:t>
      </w:r>
      <w:r w:rsidR="007A1253">
        <w:t xml:space="preserve">s is </w:t>
      </w:r>
      <w:r w:rsidR="00453004">
        <w:t xml:space="preserve">also </w:t>
      </w:r>
      <w:r w:rsidR="007A1253">
        <w:t xml:space="preserve">addressed at pages 17 (lines </w:t>
      </w:r>
      <w:r w:rsidR="007948B8">
        <w:t>16-25) and page 18 (lines 1-11) of Exhibit JD-1T.</w:t>
      </w:r>
    </w:p>
    <w:p w:rsidR="007948B8" w:rsidRDefault="007A1253" w:rsidP="007A1253">
      <w:pPr>
        <w:pStyle w:val="Judge"/>
        <w:spacing w:line="240" w:lineRule="auto"/>
        <w:ind w:left="720" w:hanging="720"/>
        <w:jc w:val="left"/>
        <w:rPr>
          <w:b/>
        </w:rPr>
      </w:pPr>
      <w:r w:rsidRPr="003759D0">
        <w:rPr>
          <w:b/>
        </w:rPr>
        <w:t>Q.</w:t>
      </w:r>
      <w:r w:rsidRPr="003759D0">
        <w:rPr>
          <w:b/>
        </w:rPr>
        <w:tab/>
      </w:r>
      <w:r w:rsidR="007948B8">
        <w:rPr>
          <w:b/>
        </w:rPr>
        <w:t>PLEASE ELABORATE ON THE DISPARITY OF POSITIONS.</w:t>
      </w:r>
    </w:p>
    <w:p w:rsidR="007A1253" w:rsidRPr="003759D0" w:rsidRDefault="007A1253" w:rsidP="007A1253">
      <w:pPr>
        <w:pStyle w:val="Judge"/>
        <w:spacing w:line="240" w:lineRule="auto"/>
        <w:ind w:left="720" w:hanging="720"/>
        <w:jc w:val="left"/>
        <w:rPr>
          <w:b/>
        </w:rPr>
      </w:pPr>
    </w:p>
    <w:p w:rsidR="007A1253" w:rsidRDefault="007A1253" w:rsidP="007A1253">
      <w:pPr>
        <w:pStyle w:val="Judge"/>
        <w:spacing w:line="480" w:lineRule="auto"/>
        <w:ind w:left="720" w:hanging="720"/>
        <w:jc w:val="left"/>
      </w:pPr>
      <w:r>
        <w:t>A.</w:t>
      </w:r>
      <w:r>
        <w:tab/>
        <w:t>Exhibit JD-11 (</w:t>
      </w:r>
      <w:r w:rsidR="00CD3610">
        <w:t>4/3/14</w:t>
      </w:r>
      <w:r>
        <w:t xml:space="preserve">) reflects an original per books rental rate of $138,000 at line 57 of the </w:t>
      </w:r>
      <w:r w:rsidR="00C923CB">
        <w:t>“R</w:t>
      </w:r>
      <w:r>
        <w:t xml:space="preserve">esults of </w:t>
      </w:r>
      <w:r w:rsidR="00395B1B">
        <w:t>O</w:t>
      </w:r>
      <w:r>
        <w:t>perations</w:t>
      </w:r>
      <w:r w:rsidR="00C923CB">
        <w:t>”</w:t>
      </w:r>
      <w:r>
        <w:t xml:space="preserve"> </w:t>
      </w:r>
      <w:r w:rsidR="00395B1B">
        <w:t xml:space="preserve">and </w:t>
      </w:r>
      <w:r w:rsidR="0025164C">
        <w:t xml:space="preserve">an allocation of $133,601 to regulated operations after removal of $4,394 non-regulated operations </w:t>
      </w:r>
      <w:r w:rsidR="00395B1B">
        <w:t xml:space="preserve">expense </w:t>
      </w:r>
      <w:r>
        <w:t>and a restating adjustment of $</w:t>
      </w:r>
      <w:r w:rsidR="0025164C">
        <w:t>8,429</w:t>
      </w:r>
      <w:r>
        <w:t xml:space="preserve"> </w:t>
      </w:r>
      <w:r w:rsidR="00C923CB">
        <w:t xml:space="preserve">proposed </w:t>
      </w:r>
      <w:r>
        <w:t>by the Company</w:t>
      </w:r>
      <w:r w:rsidR="00C923CB">
        <w:t xml:space="preserve"> for a total pro forma rent </w:t>
      </w:r>
      <w:r w:rsidR="0025164C">
        <w:t xml:space="preserve">proposed </w:t>
      </w:r>
      <w:r w:rsidR="00C923CB">
        <w:t>of $125,171</w:t>
      </w:r>
      <w:r w:rsidR="00DE1C78">
        <w:t xml:space="preserve"> (see, </w:t>
      </w:r>
      <w:r w:rsidR="00AA68DB">
        <w:t>“</w:t>
      </w:r>
      <w:r w:rsidR="00DE1C78">
        <w:t>Workpaper 13,” line 40)</w:t>
      </w:r>
      <w:r>
        <w:t xml:space="preserve">.  </w:t>
      </w:r>
      <w:r w:rsidR="00453004">
        <w:t xml:space="preserve">In contrast, </w:t>
      </w:r>
      <w:r>
        <w:t>as the testimony in JD-1T reflects</w:t>
      </w:r>
      <w:r w:rsidR="00820C7D">
        <w:t>,</w:t>
      </w:r>
      <w:r>
        <w:t xml:space="preserve"> and as </w:t>
      </w:r>
      <w:r w:rsidR="00AA68DB">
        <w:t xml:space="preserve">the </w:t>
      </w:r>
      <w:r>
        <w:t xml:space="preserve">Exhibit JD-7 </w:t>
      </w:r>
      <w:r w:rsidR="00395B1B">
        <w:t xml:space="preserve">column “Staff Version 4” total </w:t>
      </w:r>
      <w:r>
        <w:t xml:space="preserve">similarly reveals, by December, </w:t>
      </w:r>
      <w:r w:rsidR="0025164C">
        <w:t xml:space="preserve">2013, the Staff was proposing an analogous </w:t>
      </w:r>
      <w:r>
        <w:t>remova</w:t>
      </w:r>
      <w:r w:rsidR="00820C7D">
        <w:t xml:space="preserve">l of $90,440 in disallowed rent for the regulated </w:t>
      </w:r>
      <w:r w:rsidR="00301748">
        <w:t>C</w:t>
      </w:r>
      <w:r w:rsidR="00820C7D">
        <w:t>ompany’s test year operations.</w:t>
      </w:r>
    </w:p>
    <w:p w:rsidR="007A1253" w:rsidRDefault="007A1253" w:rsidP="007A1253">
      <w:pPr>
        <w:pStyle w:val="Judge"/>
        <w:spacing w:line="240" w:lineRule="auto"/>
        <w:ind w:left="720" w:hanging="720"/>
        <w:jc w:val="left"/>
        <w:rPr>
          <w:b/>
        </w:rPr>
      </w:pPr>
      <w:r w:rsidRPr="003759D0">
        <w:rPr>
          <w:b/>
        </w:rPr>
        <w:t>Q.</w:t>
      </w:r>
      <w:r w:rsidRPr="003759D0">
        <w:rPr>
          <w:b/>
        </w:rPr>
        <w:tab/>
        <w:t>AS SHOWN IN EXHIBIT JD-7 AND IN TESTIMONY AT JD-1T, PAGE 10, LINES 15 THROUGH 25, DOES THIS CONTRAST WITH THE TREATMENT OF THE UTC STAFF O</w:t>
      </w:r>
      <w:r w:rsidR="00395B1B">
        <w:rPr>
          <w:b/>
        </w:rPr>
        <w:t>F</w:t>
      </w:r>
      <w:r w:rsidRPr="003759D0">
        <w:rPr>
          <w:b/>
        </w:rPr>
        <w:t xml:space="preserve"> AFFILIATE RENTS IN THE IMMEDIATELY PRIOR GENERAL RATE CASE?</w:t>
      </w:r>
    </w:p>
    <w:p w:rsidR="007948B8" w:rsidRPr="003759D0" w:rsidRDefault="007948B8" w:rsidP="007A1253">
      <w:pPr>
        <w:pStyle w:val="Judge"/>
        <w:spacing w:line="240" w:lineRule="auto"/>
        <w:ind w:left="720" w:hanging="720"/>
        <w:jc w:val="left"/>
        <w:rPr>
          <w:b/>
        </w:rPr>
      </w:pPr>
    </w:p>
    <w:p w:rsidR="007A1253" w:rsidRDefault="007A1253" w:rsidP="007A1253">
      <w:pPr>
        <w:pStyle w:val="Judge"/>
        <w:spacing w:line="480" w:lineRule="auto"/>
        <w:ind w:left="720" w:hanging="720"/>
        <w:jc w:val="left"/>
      </w:pPr>
      <w:r>
        <w:t>A.</w:t>
      </w:r>
      <w:r>
        <w:tab/>
        <w:t xml:space="preserve">Yes, </w:t>
      </w:r>
      <w:r w:rsidR="00395B1B">
        <w:t>it obviously does.  A</w:t>
      </w:r>
      <w:r>
        <w:t>s</w:t>
      </w:r>
      <w:r w:rsidR="00395B1B">
        <w:t xml:space="preserve"> </w:t>
      </w:r>
      <w:r>
        <w:t xml:space="preserve">shown in both testimony and Exhibit JD-7, the Staff adjusted </w:t>
      </w:r>
      <w:r w:rsidR="00395B1B">
        <w:t xml:space="preserve">a total of </w:t>
      </w:r>
      <w:r>
        <w:t xml:space="preserve">$12,000 for rent in </w:t>
      </w:r>
      <w:r w:rsidR="00C062F1">
        <w:t xml:space="preserve">the </w:t>
      </w:r>
      <w:r>
        <w:t xml:space="preserve">2009 </w:t>
      </w:r>
      <w:r w:rsidR="00C062F1">
        <w:t xml:space="preserve">rate case </w:t>
      </w:r>
      <w:r w:rsidR="004B4CBE">
        <w:t xml:space="preserve">yet </w:t>
      </w:r>
      <w:r w:rsidR="002B10BC">
        <w:t xml:space="preserve">in December, 2013 was </w:t>
      </w:r>
      <w:r>
        <w:t>proposing to remove almost eight times that amount in the current case.</w:t>
      </w:r>
    </w:p>
    <w:p w:rsidR="00C062F1" w:rsidRDefault="00C062F1" w:rsidP="002B10BC">
      <w:pPr>
        <w:pStyle w:val="Judge"/>
        <w:spacing w:line="240" w:lineRule="auto"/>
        <w:ind w:left="720" w:hanging="720"/>
        <w:jc w:val="left"/>
        <w:rPr>
          <w:b/>
        </w:rPr>
      </w:pPr>
      <w:r w:rsidRPr="00C062F1">
        <w:rPr>
          <w:b/>
        </w:rPr>
        <w:t>Q.</w:t>
      </w:r>
      <w:r w:rsidRPr="00C062F1">
        <w:rPr>
          <w:b/>
        </w:rPr>
        <w:tab/>
        <w:t>WHERE IS THAT 2009 STAFF ADJUSTMENT FOR RENT REFLECTED</w:t>
      </w:r>
      <w:r w:rsidR="002B10BC">
        <w:rPr>
          <w:b/>
        </w:rPr>
        <w:t xml:space="preserve"> FOR COMPARISON PURPOSES</w:t>
      </w:r>
      <w:r w:rsidRPr="00C062F1">
        <w:rPr>
          <w:b/>
        </w:rPr>
        <w:t>?</w:t>
      </w:r>
    </w:p>
    <w:p w:rsidR="002B10BC" w:rsidRPr="00C062F1" w:rsidRDefault="002B10BC" w:rsidP="002B10BC">
      <w:pPr>
        <w:pStyle w:val="Judge"/>
        <w:spacing w:line="240" w:lineRule="auto"/>
        <w:ind w:left="720" w:hanging="720"/>
        <w:jc w:val="left"/>
        <w:rPr>
          <w:b/>
        </w:rPr>
      </w:pPr>
    </w:p>
    <w:p w:rsidR="00C062F1" w:rsidRDefault="00C062F1" w:rsidP="007A1253">
      <w:pPr>
        <w:pStyle w:val="Judge"/>
        <w:spacing w:line="480" w:lineRule="auto"/>
        <w:ind w:left="720" w:hanging="720"/>
        <w:jc w:val="left"/>
      </w:pPr>
      <w:r>
        <w:t>A.</w:t>
      </w:r>
      <w:r>
        <w:tab/>
        <w:t xml:space="preserve">In Exhibit JD-8, page 3, column 2, “Restating Adjustments,” “Land Rent,” which is offset from a </w:t>
      </w:r>
      <w:r w:rsidR="004B4CBE">
        <w:t xml:space="preserve">per books amount of $98,250 and, </w:t>
      </w:r>
      <w:r>
        <w:t>after a further reduction for Kalam</w:t>
      </w:r>
      <w:r w:rsidR="000644FD">
        <w:t>a</w:t>
      </w:r>
      <w:r w:rsidR="000F3D3F">
        <w:t xml:space="preserve"> contract operations of $5,873 </w:t>
      </w:r>
      <w:r>
        <w:t>t</w:t>
      </w:r>
      <w:r w:rsidR="000644FD">
        <w:t>otals $74,377 for allowed rents in 2009.</w:t>
      </w:r>
    </w:p>
    <w:p w:rsidR="00C062F1" w:rsidRPr="00C062F1" w:rsidRDefault="00C062F1" w:rsidP="00C062F1">
      <w:pPr>
        <w:pStyle w:val="Judge"/>
        <w:spacing w:line="240" w:lineRule="auto"/>
        <w:ind w:left="720" w:hanging="720"/>
        <w:jc w:val="left"/>
        <w:rPr>
          <w:b/>
        </w:rPr>
      </w:pPr>
      <w:r w:rsidRPr="00C062F1">
        <w:rPr>
          <w:b/>
        </w:rPr>
        <w:t>Q.</w:t>
      </w:r>
      <w:r w:rsidRPr="00C062F1">
        <w:rPr>
          <w:b/>
        </w:rPr>
        <w:tab/>
        <w:t xml:space="preserve">AGAIN, CONTRAST THAT WITH THE </w:t>
      </w:r>
      <w:r w:rsidR="006271A7">
        <w:rPr>
          <w:b/>
        </w:rPr>
        <w:t xml:space="preserve">2013 RATE CASE </w:t>
      </w:r>
      <w:r w:rsidR="000644FD">
        <w:rPr>
          <w:b/>
        </w:rPr>
        <w:t xml:space="preserve">POSITION </w:t>
      </w:r>
      <w:r w:rsidRPr="00C062F1">
        <w:rPr>
          <w:b/>
        </w:rPr>
        <w:t>FOR LAND RENTS.</w:t>
      </w:r>
    </w:p>
    <w:p w:rsidR="00C062F1" w:rsidRDefault="00C062F1" w:rsidP="00C062F1">
      <w:pPr>
        <w:pStyle w:val="Judge"/>
        <w:spacing w:line="240" w:lineRule="auto"/>
        <w:ind w:left="720" w:hanging="720"/>
        <w:jc w:val="left"/>
      </w:pPr>
    </w:p>
    <w:p w:rsidR="00C062F1" w:rsidRDefault="00C062F1" w:rsidP="007A1253">
      <w:pPr>
        <w:pStyle w:val="Judge"/>
        <w:spacing w:line="480" w:lineRule="auto"/>
        <w:ind w:left="720" w:hanging="720"/>
        <w:jc w:val="left"/>
      </w:pPr>
      <w:r>
        <w:t>A.</w:t>
      </w:r>
      <w:r>
        <w:tab/>
        <w:t xml:space="preserve">Yes, as Exhibit JD-7 </w:t>
      </w:r>
      <w:r w:rsidR="00395B1B">
        <w:t xml:space="preserve">as noted </w:t>
      </w:r>
      <w:r>
        <w:t xml:space="preserve">shows, for the 2013 general rate case, the Staff </w:t>
      </w:r>
      <w:r w:rsidR="002B10BC">
        <w:t xml:space="preserve">had </w:t>
      </w:r>
      <w:r>
        <w:t>last proposed to reduce the $138,000 per book</w:t>
      </w:r>
      <w:r w:rsidR="000644FD">
        <w:t xml:space="preserve">s land rental amount by $90,440, </w:t>
      </w:r>
      <w:r>
        <w:t xml:space="preserve">arriving at an allowed rental expense of $47,560 and this was despite increased “used and useful rental properties” </w:t>
      </w:r>
      <w:r w:rsidR="006271A7">
        <w:t xml:space="preserve">in service </w:t>
      </w:r>
      <w:r>
        <w:t>since 2009 by Waste Control, Inc. (see, Exhibit JD-1T, page 12, line 10 to page 13</w:t>
      </w:r>
      <w:r w:rsidR="000644FD">
        <w:t>, line 3</w:t>
      </w:r>
      <w:r>
        <w:t>) and substantial improvement</w:t>
      </w:r>
      <w:r w:rsidR="000644FD">
        <w:t>s</w:t>
      </w:r>
      <w:r>
        <w:t xml:space="preserve"> to some of the existing properties </w:t>
      </w:r>
      <w:r w:rsidR="000644FD">
        <w:t xml:space="preserve">in that interval </w:t>
      </w:r>
      <w:r w:rsidR="002B10BC">
        <w:t xml:space="preserve">used for </w:t>
      </w:r>
      <w:r>
        <w:t>regulated operations.</w:t>
      </w:r>
    </w:p>
    <w:p w:rsidR="00651AC7" w:rsidRDefault="00651AC7" w:rsidP="00651AC7">
      <w:pPr>
        <w:pStyle w:val="Judge"/>
        <w:spacing w:line="240" w:lineRule="auto"/>
        <w:ind w:left="720" w:hanging="720"/>
        <w:jc w:val="left"/>
        <w:rPr>
          <w:b/>
        </w:rPr>
      </w:pPr>
      <w:r w:rsidRPr="00651AC7">
        <w:rPr>
          <w:b/>
        </w:rPr>
        <w:t>Q.</w:t>
      </w:r>
      <w:r w:rsidRPr="00651AC7">
        <w:rPr>
          <w:b/>
        </w:rPr>
        <w:tab/>
        <w:t xml:space="preserve">PLEASE NOW DESCRIBE THE </w:t>
      </w:r>
      <w:r w:rsidR="00395B1B">
        <w:rPr>
          <w:b/>
        </w:rPr>
        <w:t>PREVIOUSLY-</w:t>
      </w:r>
      <w:r w:rsidR="006271A7">
        <w:rPr>
          <w:b/>
        </w:rPr>
        <w:t>DISPUTED ADJUSTMENT ON TRUCK RENTAL AMOUNTS HERE DETAILED AGAIN IN WORKPAPER 19?</w:t>
      </w:r>
    </w:p>
    <w:p w:rsidR="00651AC7" w:rsidRPr="00651AC7" w:rsidRDefault="00651AC7" w:rsidP="00651AC7">
      <w:pPr>
        <w:pStyle w:val="Judge"/>
        <w:spacing w:line="240" w:lineRule="auto"/>
        <w:ind w:left="720" w:hanging="720"/>
        <w:jc w:val="left"/>
        <w:rPr>
          <w:b/>
        </w:rPr>
      </w:pPr>
    </w:p>
    <w:p w:rsidR="00651AC7" w:rsidRPr="003F3F79" w:rsidRDefault="00651AC7" w:rsidP="007A1253">
      <w:pPr>
        <w:pStyle w:val="Judge"/>
        <w:spacing w:line="480" w:lineRule="auto"/>
        <w:ind w:left="720" w:hanging="720"/>
        <w:jc w:val="left"/>
        <w:rPr>
          <w:b/>
          <w:i/>
        </w:rPr>
      </w:pPr>
      <w:r>
        <w:t>A.</w:t>
      </w:r>
      <w:r>
        <w:tab/>
        <w:t>We extensively addressed this issue in two contexts in JD-1T beginning at page 8, for instance, where we describe the effect of commingling of non-regulated affiliate and regulated capital structures in deriving an appropriate rent for both real property and operating equipment</w:t>
      </w:r>
      <w:r w:rsidR="00B9350C">
        <w:t xml:space="preserve"> </w:t>
      </w:r>
      <w:r w:rsidR="006901A0">
        <w:t xml:space="preserve">assets.  </w:t>
      </w:r>
      <w:r>
        <w:t>As explained at JD-1</w:t>
      </w:r>
      <w:r w:rsidR="008267E7">
        <w:t>T</w:t>
      </w:r>
      <w:r w:rsidR="006901A0">
        <w:t xml:space="preserve">, page </w:t>
      </w:r>
      <w:r w:rsidR="0025164C">
        <w:t>6</w:t>
      </w:r>
      <w:r w:rsidR="006901A0">
        <w:t xml:space="preserve">, </w:t>
      </w:r>
      <w:r>
        <w:t>beginning at line 15, the Company contrasts the tortuous calculation of return on rented assets by the Staff in</w:t>
      </w:r>
      <w:r w:rsidR="00AA68DB">
        <w:t xml:space="preserve"> the</w:t>
      </w:r>
      <w:r>
        <w:t xml:space="preserve"> 2013 case with that of the Staff in 2009.  </w:t>
      </w:r>
      <w:r w:rsidR="002B10BC">
        <w:t xml:space="preserve">In the 2009 case, </w:t>
      </w:r>
      <w:r>
        <w:t xml:space="preserve">Staff did not apply a return on investment approach but instead examined the reasonableness of associated expenses and depreciation in arriving at an allowed increase of $16,405 to the Company’s </w:t>
      </w:r>
      <w:r w:rsidR="000F3D3F">
        <w:t xml:space="preserve">overall </w:t>
      </w:r>
      <w:r>
        <w:t xml:space="preserve">truck rental expense, raising the allowed truck rental costs in rates to a figure of $46,405 and then removing contract operations for a net amount allowed of $44,905.  </w:t>
      </w:r>
      <w:r w:rsidR="00B9350C">
        <w:t xml:space="preserve">In the 2013 case, </w:t>
      </w:r>
      <w:r>
        <w:t xml:space="preserve">the </w:t>
      </w:r>
      <w:r w:rsidR="008267E7">
        <w:t xml:space="preserve">former </w:t>
      </w:r>
      <w:r w:rsidR="000F3D3F">
        <w:t xml:space="preserve">2009 case amount of </w:t>
      </w:r>
      <w:r w:rsidR="00395B1B">
        <w:t xml:space="preserve">allowed rent of </w:t>
      </w:r>
      <w:r>
        <w:t xml:space="preserve">$44,905 </w:t>
      </w:r>
      <w:r w:rsidR="00B9350C">
        <w:t xml:space="preserve">was </w:t>
      </w:r>
      <w:r>
        <w:t xml:space="preserve">proposed to be </w:t>
      </w:r>
      <w:r w:rsidR="000F3D3F">
        <w:t xml:space="preserve">reduced to </w:t>
      </w:r>
      <w:r>
        <w:t xml:space="preserve">$14,605 </w:t>
      </w:r>
      <w:r w:rsidR="000F3D3F">
        <w:t xml:space="preserve">total, </w:t>
      </w:r>
      <w:r>
        <w:t>despite the fact the three trucks in the 2009 case ha</w:t>
      </w:r>
      <w:r w:rsidR="00B9350C">
        <w:t>d</w:t>
      </w:r>
      <w:r>
        <w:t xml:space="preserve"> all been replaced with newer equipment </w:t>
      </w:r>
      <w:r w:rsidR="00453004">
        <w:t xml:space="preserve">leased </w:t>
      </w:r>
      <w:r>
        <w:t>from WCI’s affiliate</w:t>
      </w:r>
      <w:r w:rsidR="000F3D3F">
        <w:t>.</w:t>
      </w:r>
    </w:p>
    <w:p w:rsidR="004B5213" w:rsidRPr="004B5213" w:rsidRDefault="004B5213" w:rsidP="004B5213">
      <w:pPr>
        <w:pStyle w:val="Judge"/>
        <w:spacing w:line="240" w:lineRule="auto"/>
        <w:ind w:left="720" w:hanging="720"/>
        <w:jc w:val="left"/>
        <w:rPr>
          <w:b/>
        </w:rPr>
      </w:pPr>
      <w:r w:rsidRPr="004B5213">
        <w:rPr>
          <w:b/>
        </w:rPr>
        <w:t>Q.</w:t>
      </w:r>
      <w:r w:rsidRPr="004B5213">
        <w:rPr>
          <w:b/>
        </w:rPr>
        <w:tab/>
        <w:t>D</w:t>
      </w:r>
      <w:r w:rsidR="008267E7">
        <w:rPr>
          <w:b/>
        </w:rPr>
        <w:t>O THESE REDUCTIONS IN AFFILIATE-</w:t>
      </w:r>
      <w:r w:rsidRPr="004B5213">
        <w:rPr>
          <w:b/>
        </w:rPr>
        <w:t>OWNED ASSET RENTAL AMOUNTS ALSO ENTAIL UNUSUAL ACCOUNTING TREATMENT BEING APPLIED TO RENTAL ASSETS?</w:t>
      </w:r>
    </w:p>
    <w:p w:rsidR="004B5213" w:rsidRDefault="004B5213" w:rsidP="004B5213">
      <w:pPr>
        <w:pStyle w:val="Judge"/>
        <w:spacing w:line="240" w:lineRule="auto"/>
        <w:ind w:left="720" w:hanging="720"/>
        <w:jc w:val="left"/>
      </w:pPr>
    </w:p>
    <w:p w:rsidR="004B5213" w:rsidRDefault="004B5213" w:rsidP="007A1253">
      <w:pPr>
        <w:pStyle w:val="Judge"/>
        <w:spacing w:line="480" w:lineRule="auto"/>
        <w:ind w:left="720" w:hanging="720"/>
        <w:jc w:val="left"/>
      </w:pPr>
      <w:r>
        <w:t>A.</w:t>
      </w:r>
      <w:r>
        <w:tab/>
        <w:t xml:space="preserve">Yes, </w:t>
      </w:r>
      <w:r w:rsidR="008267E7">
        <w:t xml:space="preserve">in our view </w:t>
      </w:r>
      <w:r>
        <w:t xml:space="preserve">the calculations by Staff </w:t>
      </w:r>
      <w:r w:rsidR="00B9350C">
        <w:t xml:space="preserve">in TG-131794 </w:t>
      </w:r>
      <w:r>
        <w:t xml:space="preserve">appear to involve the commingling or imputation of capital structures of all affiliate entities simply due to the rental of an </w:t>
      </w:r>
      <w:r w:rsidR="008267E7">
        <w:t xml:space="preserve">affiliate’s </w:t>
      </w:r>
      <w:r>
        <w:t xml:space="preserve">asset by Waste Control, Inc.  As noted in JD-1T, page 8, beginning at line 8, that accounting treatment </w:t>
      </w:r>
      <w:r w:rsidR="008267E7">
        <w:t xml:space="preserve">also </w:t>
      </w:r>
      <w:r>
        <w:t xml:space="preserve">artificially inflates the debt component </w:t>
      </w:r>
      <w:r w:rsidR="00B9350C">
        <w:t>i</w:t>
      </w:r>
      <w:r w:rsidR="00125503">
        <w:t xml:space="preserve">n a return on investment scenario </w:t>
      </w:r>
      <w:r>
        <w:t xml:space="preserve">which Staff is </w:t>
      </w:r>
      <w:r w:rsidR="000F3D3F">
        <w:t xml:space="preserve">also </w:t>
      </w:r>
      <w:r>
        <w:t xml:space="preserve">attempting to </w:t>
      </w:r>
      <w:r w:rsidR="003F3F79">
        <w:t xml:space="preserve">employ </w:t>
      </w:r>
      <w:r>
        <w:t>to calcula</w:t>
      </w:r>
      <w:r w:rsidR="008267E7">
        <w:t>te allowable rents for commonly-</w:t>
      </w:r>
      <w:r>
        <w:t xml:space="preserve">used assets which, when the asset is older and fully depreciated, will necessarily yield a lesser return for ratemaking purposes.  As I previously noted in JD-1T, page 8, </w:t>
      </w:r>
      <w:r w:rsidR="0025164C">
        <w:t xml:space="preserve">line 16, </w:t>
      </w:r>
      <w:r>
        <w:t>“unilaterally applying the cap</w:t>
      </w:r>
      <w:r w:rsidR="008267E7">
        <w:t xml:space="preserve">ital structure of a higher-debt, </w:t>
      </w:r>
      <w:r>
        <w:t>non-regulated affiliate to a rental asset owned by that affiliate</w:t>
      </w:r>
      <w:r w:rsidR="0025164C">
        <w:t xml:space="preserve"> … </w:t>
      </w:r>
      <w:r>
        <w:t>will necessarily yield the most minimal return on that asset available</w:t>
      </w:r>
      <w:r w:rsidR="003F3F79">
        <w:t xml:space="preserve">.”  We then attached an Exhibit, </w:t>
      </w:r>
      <w:r>
        <w:t>JD-5</w:t>
      </w:r>
      <w:r w:rsidR="003F3F79">
        <w:t>,</w:t>
      </w:r>
      <w:r>
        <w:t xml:space="preserve"> demonstrating that point for truck rentals.</w:t>
      </w:r>
      <w:r w:rsidR="00DE1C78">
        <w:t xml:space="preserve">  We also now </w:t>
      </w:r>
      <w:r w:rsidR="00456E81">
        <w:t xml:space="preserve">reference </w:t>
      </w:r>
      <w:r w:rsidR="00DE1C78">
        <w:t>“Workpaper 7,” JD-11 (4/</w:t>
      </w:r>
      <w:r w:rsidR="00AA68DB">
        <w:t xml:space="preserve">3/14) which detailedly analyzes </w:t>
      </w:r>
      <w:r w:rsidR="00DE1C78">
        <w:t>all transactions with affiliate companies in the test period including debt information, interest paid, rental amounts and affiliate operating expenses.</w:t>
      </w:r>
    </w:p>
    <w:p w:rsidR="00EA2AE5" w:rsidRPr="00301748" w:rsidRDefault="00EA2AE5" w:rsidP="00EA2AE5">
      <w:pPr>
        <w:pStyle w:val="Judge"/>
        <w:spacing w:line="240" w:lineRule="auto"/>
        <w:ind w:left="720" w:hanging="720"/>
        <w:jc w:val="left"/>
        <w:rPr>
          <w:b/>
        </w:rPr>
      </w:pPr>
      <w:r w:rsidRPr="00301748">
        <w:rPr>
          <w:b/>
        </w:rPr>
        <w:t>Q.</w:t>
      </w:r>
      <w:r w:rsidRPr="00301748">
        <w:rPr>
          <w:b/>
        </w:rPr>
        <w:tab/>
        <w:t>DID YOU ALSO RELY IN YOUR COMPUTATIONS UPON ANY OTHER GUIDANCE IN CALCULATING AN ALLOWABLE RENT FOR AFFILIATE-OWNED ASSETS IN THIS PROCE</w:t>
      </w:r>
      <w:r w:rsidR="007E49F2" w:rsidRPr="00301748">
        <w:rPr>
          <w:b/>
        </w:rPr>
        <w:t>EDING</w:t>
      </w:r>
      <w:r w:rsidRPr="00301748">
        <w:rPr>
          <w:b/>
        </w:rPr>
        <w:t>?</w:t>
      </w:r>
    </w:p>
    <w:p w:rsidR="00EA2AE5" w:rsidRPr="00301748" w:rsidRDefault="00EA2AE5" w:rsidP="00EA2AE5">
      <w:pPr>
        <w:pStyle w:val="Judge"/>
        <w:spacing w:line="240" w:lineRule="auto"/>
        <w:ind w:left="720" w:hanging="720"/>
        <w:jc w:val="left"/>
      </w:pPr>
    </w:p>
    <w:p w:rsidR="00EA2AE5" w:rsidRPr="00EA2AE5" w:rsidRDefault="00EA2AE5" w:rsidP="007A1253">
      <w:pPr>
        <w:pStyle w:val="Judge"/>
        <w:spacing w:line="480" w:lineRule="auto"/>
        <w:ind w:left="720" w:hanging="720"/>
        <w:jc w:val="left"/>
      </w:pPr>
      <w:r w:rsidRPr="00301748">
        <w:t>A.</w:t>
      </w:r>
      <w:r w:rsidRPr="00301748">
        <w:tab/>
        <w:t xml:space="preserve">Yes.  We reviewed the </w:t>
      </w:r>
      <w:r w:rsidRPr="00301748">
        <w:rPr>
          <w:i/>
        </w:rPr>
        <w:t>WUTC v. Bremerton-Kitsap Airporter</w:t>
      </w:r>
      <w:r w:rsidRPr="00301748">
        <w:t xml:space="preserve">, C-903, TC-001846 (Aug. 2002) </w:t>
      </w:r>
      <w:r w:rsidR="007E49F2" w:rsidRPr="00301748">
        <w:t xml:space="preserve">(“BKA”) </w:t>
      </w:r>
      <w:r w:rsidRPr="00301748">
        <w:t>case for computing allowable returns in establishing rent for affiliate-owned facilities</w:t>
      </w:r>
      <w:r w:rsidR="00395B1B">
        <w:t xml:space="preserve"> due to the wholesale change in the Staff’s treatment of Company rent expense</w:t>
      </w:r>
      <w:r w:rsidR="007E49F2" w:rsidRPr="00301748">
        <w:t xml:space="preserve">.  The BKA case </w:t>
      </w:r>
      <w:r w:rsidRPr="00301748">
        <w:t xml:space="preserve">is one of the very few Title 81 rate cases to address appropriate returns on affiliate-owned properties </w:t>
      </w:r>
      <w:r w:rsidR="007E49F2" w:rsidRPr="00301748">
        <w:t xml:space="preserve">in a Final Commission Order </w:t>
      </w:r>
      <w:r w:rsidRPr="00301748">
        <w:t xml:space="preserve">and </w:t>
      </w:r>
      <w:r w:rsidR="007E49F2" w:rsidRPr="00301748">
        <w:t xml:space="preserve">we </w:t>
      </w:r>
      <w:r w:rsidRPr="00301748">
        <w:t xml:space="preserve">were guided by that decision in calculating appropriate rent </w:t>
      </w:r>
      <w:r w:rsidR="007E49F2" w:rsidRPr="00301748">
        <w:t xml:space="preserve">accordingly </w:t>
      </w:r>
      <w:r w:rsidRPr="00301748">
        <w:t>as Exhibit JD-7, column 3, makes clear.</w:t>
      </w:r>
    </w:p>
    <w:p w:rsidR="004B5213" w:rsidRPr="004B5213" w:rsidRDefault="004B5213" w:rsidP="004B5213">
      <w:pPr>
        <w:pStyle w:val="Judge"/>
        <w:spacing w:line="240" w:lineRule="auto"/>
        <w:ind w:left="720" w:hanging="720"/>
        <w:jc w:val="left"/>
        <w:rPr>
          <w:b/>
        </w:rPr>
      </w:pPr>
      <w:r w:rsidRPr="004B5213">
        <w:rPr>
          <w:b/>
        </w:rPr>
        <w:t>Q.</w:t>
      </w:r>
      <w:r w:rsidRPr="004B5213">
        <w:rPr>
          <w:b/>
        </w:rPr>
        <w:tab/>
        <w:t xml:space="preserve">AND DOES EXHIBIT JD-5 </w:t>
      </w:r>
      <w:r w:rsidR="00456E81">
        <w:rPr>
          <w:b/>
        </w:rPr>
        <w:t xml:space="preserve">ALSO </w:t>
      </w:r>
      <w:r w:rsidRPr="004B5213">
        <w:rPr>
          <w:b/>
        </w:rPr>
        <w:t>ENCAPSULATE THE EFFECT FOR RATEMAKING PURPOSES OF USING AFFILIATED COMPANIES’ CAPITAL STRUCTURE</w:t>
      </w:r>
      <w:r w:rsidR="003F3F79">
        <w:rPr>
          <w:b/>
        </w:rPr>
        <w:t>S</w:t>
      </w:r>
      <w:r w:rsidRPr="004B5213">
        <w:rPr>
          <w:b/>
        </w:rPr>
        <w:t>?</w:t>
      </w:r>
    </w:p>
    <w:p w:rsidR="004B5213" w:rsidRDefault="004B5213" w:rsidP="004B5213">
      <w:pPr>
        <w:pStyle w:val="Judge"/>
        <w:spacing w:line="240" w:lineRule="auto"/>
        <w:ind w:left="720" w:hanging="720"/>
        <w:jc w:val="left"/>
      </w:pPr>
    </w:p>
    <w:p w:rsidR="004B5213" w:rsidRDefault="004B5213" w:rsidP="007A1253">
      <w:pPr>
        <w:pStyle w:val="Judge"/>
        <w:spacing w:line="480" w:lineRule="auto"/>
        <w:ind w:left="720" w:hanging="720"/>
        <w:jc w:val="left"/>
      </w:pPr>
      <w:r>
        <w:t>A.</w:t>
      </w:r>
      <w:r>
        <w:tab/>
        <w:t xml:space="preserve">Yes, it does and demonstrates graphically how the return on equity approach </w:t>
      </w:r>
      <w:r w:rsidR="006901A0">
        <w:t xml:space="preserve">for rented assets </w:t>
      </w:r>
      <w:r w:rsidR="002B10BC">
        <w:t xml:space="preserve">proposed </w:t>
      </w:r>
      <w:r>
        <w:t xml:space="preserve">by Staff in the </w:t>
      </w:r>
      <w:r w:rsidR="00B9350C">
        <w:t xml:space="preserve">2013 </w:t>
      </w:r>
      <w:r>
        <w:t xml:space="preserve">rate case greatly </w:t>
      </w:r>
      <w:r w:rsidR="008267E7">
        <w:t xml:space="preserve">diminishes </w:t>
      </w:r>
      <w:r>
        <w:t>the allowable rent for ratemaking purposes.</w:t>
      </w:r>
    </w:p>
    <w:p w:rsidR="0025164C" w:rsidRDefault="0025164C" w:rsidP="0025164C">
      <w:pPr>
        <w:pStyle w:val="Judge"/>
        <w:spacing w:line="240" w:lineRule="auto"/>
        <w:ind w:left="720" w:hanging="720"/>
        <w:jc w:val="left"/>
        <w:rPr>
          <w:b/>
        </w:rPr>
      </w:pPr>
      <w:r w:rsidRPr="0025164C">
        <w:rPr>
          <w:b/>
        </w:rPr>
        <w:t>Q.</w:t>
      </w:r>
      <w:r w:rsidRPr="0025164C">
        <w:rPr>
          <w:b/>
        </w:rPr>
        <w:tab/>
        <w:t xml:space="preserve">AND WHAT DOES </w:t>
      </w:r>
      <w:r w:rsidR="00395B1B">
        <w:rPr>
          <w:b/>
        </w:rPr>
        <w:t xml:space="preserve">NEW </w:t>
      </w:r>
      <w:r w:rsidRPr="0025164C">
        <w:rPr>
          <w:b/>
        </w:rPr>
        <w:t>WORKPAPER 19</w:t>
      </w:r>
      <w:r w:rsidR="009B465A">
        <w:rPr>
          <w:b/>
        </w:rPr>
        <w:t>,</w:t>
      </w:r>
      <w:r w:rsidRPr="0025164C">
        <w:rPr>
          <w:b/>
        </w:rPr>
        <w:t xml:space="preserve"> “TRUCK RENT</w:t>
      </w:r>
      <w:r w:rsidR="009B465A">
        <w:rPr>
          <w:b/>
        </w:rPr>
        <w:t>,</w:t>
      </w:r>
      <w:r w:rsidRPr="0025164C">
        <w:rPr>
          <w:b/>
        </w:rPr>
        <w:t>” SHOW IN YOUR VIEW?</w:t>
      </w:r>
    </w:p>
    <w:p w:rsidR="0025164C" w:rsidRPr="00301748" w:rsidRDefault="0025164C" w:rsidP="0025164C">
      <w:pPr>
        <w:pStyle w:val="Judge"/>
        <w:spacing w:line="240" w:lineRule="auto"/>
        <w:ind w:left="720" w:hanging="720"/>
        <w:jc w:val="left"/>
      </w:pPr>
    </w:p>
    <w:p w:rsidR="0025164C" w:rsidRPr="00301748" w:rsidRDefault="00301748" w:rsidP="002F7D06">
      <w:pPr>
        <w:pStyle w:val="Judge"/>
        <w:spacing w:line="480" w:lineRule="auto"/>
        <w:ind w:left="720" w:hanging="720"/>
        <w:jc w:val="left"/>
        <w:rPr>
          <w:u w:val="single"/>
        </w:rPr>
      </w:pPr>
      <w:r w:rsidRPr="00301748">
        <w:t>A.</w:t>
      </w:r>
      <w:r w:rsidRPr="00301748">
        <w:tab/>
      </w:r>
      <w:r>
        <w:t>Workpaper 19 shows the return on net book value, plus depreciation expense and opera</w:t>
      </w:r>
      <w:r w:rsidR="00395B1B">
        <w:t xml:space="preserve">ting costs, which total $54,457, </w:t>
      </w:r>
      <w:r>
        <w:t xml:space="preserve">for the regulated Company’s portion of the </w:t>
      </w:r>
      <w:r w:rsidR="00453004">
        <w:t xml:space="preserve">rented </w:t>
      </w:r>
      <w:r>
        <w:t>truck us</w:t>
      </w:r>
      <w:r w:rsidR="00453004">
        <w:t>age</w:t>
      </w:r>
      <w:r>
        <w:t>.  The per books rent wa</w:t>
      </w:r>
      <w:r w:rsidR="00395B1B">
        <w:t xml:space="preserve">s only $36,000 for these trucks, </w:t>
      </w:r>
      <w:r>
        <w:t xml:space="preserve">so the Company believes the </w:t>
      </w:r>
      <w:r w:rsidR="00456E81">
        <w:t xml:space="preserve">proposed </w:t>
      </w:r>
      <w:r w:rsidR="00AA68DB">
        <w:t xml:space="preserve">truck </w:t>
      </w:r>
      <w:r>
        <w:t>rent</w:t>
      </w:r>
      <w:r w:rsidR="00AA68DB">
        <w:t>al</w:t>
      </w:r>
      <w:r>
        <w:t xml:space="preserve"> </w:t>
      </w:r>
      <w:r w:rsidR="00456E81">
        <w:t xml:space="preserve">allowance </w:t>
      </w:r>
      <w:r>
        <w:t xml:space="preserve">is more than </w:t>
      </w:r>
      <w:r w:rsidR="00395B1B">
        <w:t xml:space="preserve">established </w:t>
      </w:r>
      <w:r>
        <w:t xml:space="preserve">as fair, just and reasonable as shown in </w:t>
      </w:r>
      <w:r w:rsidR="00395B1B">
        <w:t>W</w:t>
      </w:r>
      <w:r>
        <w:t xml:space="preserve">orkpaper </w:t>
      </w:r>
      <w:r w:rsidR="00395B1B">
        <w:t xml:space="preserve">19 </w:t>
      </w:r>
      <w:r>
        <w:t>and very comparable to the amount calculated by the UTC auditor in the immediately prior rate case.</w:t>
      </w:r>
    </w:p>
    <w:p w:rsidR="008267E7" w:rsidRDefault="008267E7" w:rsidP="008267E7">
      <w:pPr>
        <w:pStyle w:val="Judge"/>
        <w:spacing w:line="240" w:lineRule="auto"/>
        <w:ind w:left="720" w:hanging="720"/>
        <w:jc w:val="left"/>
        <w:rPr>
          <w:b/>
        </w:rPr>
      </w:pPr>
      <w:r w:rsidRPr="008267E7">
        <w:rPr>
          <w:b/>
        </w:rPr>
        <w:t>Q.</w:t>
      </w:r>
      <w:r w:rsidRPr="008267E7">
        <w:rPr>
          <w:b/>
        </w:rPr>
        <w:tab/>
        <w:t xml:space="preserve">TURNING NOW TO </w:t>
      </w:r>
      <w:r w:rsidR="006901A0">
        <w:rPr>
          <w:b/>
        </w:rPr>
        <w:t>THE LABOR COST ISSUE</w:t>
      </w:r>
      <w:r w:rsidR="00A15B31">
        <w:rPr>
          <w:b/>
        </w:rPr>
        <w:t xml:space="preserve"> </w:t>
      </w:r>
      <w:r w:rsidR="00395B1B">
        <w:rPr>
          <w:b/>
        </w:rPr>
        <w:t>BRIEFLY DESCRIBE</w:t>
      </w:r>
      <w:r w:rsidR="00A15B31">
        <w:rPr>
          <w:b/>
        </w:rPr>
        <w:t>D</w:t>
      </w:r>
      <w:r w:rsidR="00395B1B">
        <w:rPr>
          <w:b/>
        </w:rPr>
        <w:t xml:space="preserve"> </w:t>
      </w:r>
      <w:r w:rsidR="002B10BC">
        <w:rPr>
          <w:b/>
        </w:rPr>
        <w:t xml:space="preserve">AND QUANTIFIED </w:t>
      </w:r>
      <w:r w:rsidR="006901A0">
        <w:rPr>
          <w:b/>
        </w:rPr>
        <w:t xml:space="preserve">IN </w:t>
      </w:r>
      <w:r w:rsidR="00395B1B">
        <w:rPr>
          <w:b/>
        </w:rPr>
        <w:t xml:space="preserve">YOUR </w:t>
      </w:r>
      <w:r w:rsidRPr="008267E7">
        <w:rPr>
          <w:b/>
        </w:rPr>
        <w:t xml:space="preserve">“SCHEDULE </w:t>
      </w:r>
      <w:r w:rsidR="00B9350C">
        <w:rPr>
          <w:b/>
        </w:rPr>
        <w:t>2</w:t>
      </w:r>
      <w:r w:rsidRPr="008267E7">
        <w:rPr>
          <w:b/>
        </w:rPr>
        <w:t xml:space="preserve"> – EXPLANATION OF </w:t>
      </w:r>
      <w:r w:rsidR="00B9350C">
        <w:rPr>
          <w:b/>
        </w:rPr>
        <w:t xml:space="preserve">FORECAST </w:t>
      </w:r>
      <w:r w:rsidRPr="008267E7">
        <w:rPr>
          <w:b/>
        </w:rPr>
        <w:t>ADJUSTME</w:t>
      </w:r>
      <w:r w:rsidR="0025164C">
        <w:rPr>
          <w:b/>
        </w:rPr>
        <w:t xml:space="preserve">NTS,” WOULD YOU PLEASE TOUCH UPON </w:t>
      </w:r>
      <w:r w:rsidRPr="008267E7">
        <w:rPr>
          <w:b/>
        </w:rPr>
        <w:t>THIS ISSUE AT LEAST AS IT HAD ARISEN AT OR NEAR SUSPENSION OF THE 2013 GENERAL RATE CASE?</w:t>
      </w:r>
    </w:p>
    <w:p w:rsidR="00D75FB6" w:rsidRPr="00D75FB6" w:rsidRDefault="00D75FB6" w:rsidP="008267E7">
      <w:pPr>
        <w:pStyle w:val="Judge"/>
        <w:spacing w:line="240" w:lineRule="auto"/>
        <w:ind w:left="720" w:hanging="720"/>
        <w:jc w:val="left"/>
      </w:pPr>
    </w:p>
    <w:p w:rsidR="00D75FB6" w:rsidRDefault="00D75FB6" w:rsidP="00D75FB6">
      <w:pPr>
        <w:pStyle w:val="Judge"/>
        <w:spacing w:line="480" w:lineRule="auto"/>
        <w:ind w:left="720" w:hanging="720"/>
        <w:jc w:val="left"/>
      </w:pPr>
      <w:r>
        <w:t>A.</w:t>
      </w:r>
      <w:r>
        <w:tab/>
      </w:r>
      <w:r w:rsidR="00D360F0">
        <w:t xml:space="preserve">Pro Forma Adjustment </w:t>
      </w:r>
      <w:r w:rsidR="002B10BC" w:rsidRPr="002B10BC">
        <w:t xml:space="preserve">P-1 </w:t>
      </w:r>
      <w:r w:rsidR="00456E81">
        <w:t xml:space="preserve">“Schedule 1 – Summary of Forecast Adjustments” (Column B, lines 24-29, 45 and 46) </w:t>
      </w:r>
      <w:r w:rsidR="002B10BC" w:rsidRPr="002B10BC">
        <w:t xml:space="preserve">is an adjustment </w:t>
      </w:r>
      <w:r w:rsidR="00860EFF">
        <w:t xml:space="preserve">totaling $121,827 </w:t>
      </w:r>
      <w:r w:rsidR="002B10BC" w:rsidRPr="002B10BC">
        <w:t xml:space="preserve">to reflect payroll increases, staff benefit accruals and increases in medical insurance, employment security and Labor &amp; Industries rates/premiums as of June 30, 2013 and an approximate 10% increase in management fee paid to affiliate </w:t>
      </w:r>
      <w:r w:rsidR="00C70637">
        <w:t xml:space="preserve">Waste Control Equipment (“WCE”), and again, </w:t>
      </w:r>
      <w:r w:rsidR="00453004">
        <w:t xml:space="preserve">is </w:t>
      </w:r>
      <w:r w:rsidR="002B10BC" w:rsidRPr="002B10BC">
        <w:t>keyed to the Pro Forma Adjustment</w:t>
      </w:r>
      <w:r w:rsidR="00860EFF">
        <w:t>s</w:t>
      </w:r>
      <w:r w:rsidR="002B10BC" w:rsidRPr="002B10BC">
        <w:t xml:space="preserve"> </w:t>
      </w:r>
      <w:r w:rsidR="00AA68DB">
        <w:t>(C</w:t>
      </w:r>
      <w:r w:rsidR="002B10BC" w:rsidRPr="002B10BC">
        <w:t xml:space="preserve">olumn </w:t>
      </w:r>
      <w:r w:rsidR="00AA68DB">
        <w:t xml:space="preserve">L) </w:t>
      </w:r>
      <w:r w:rsidR="002B10BC" w:rsidRPr="002B10BC">
        <w:t xml:space="preserve">in the “Results of Operations” </w:t>
      </w:r>
      <w:r w:rsidR="00860EFF">
        <w:t xml:space="preserve">electronic </w:t>
      </w:r>
      <w:r w:rsidR="00AA68DB">
        <w:t xml:space="preserve">spreadsheet </w:t>
      </w:r>
      <w:r w:rsidR="002B10BC" w:rsidRPr="002B10BC">
        <w:t>where the individual effect</w:t>
      </w:r>
      <w:r w:rsidR="00AA68DB">
        <w:t>s</w:t>
      </w:r>
      <w:r w:rsidR="002B10BC" w:rsidRPr="002B10BC">
        <w:t xml:space="preserve"> of the proposed labor adjustments by operating expense/wages line items are referenced.  </w:t>
      </w:r>
      <w:r w:rsidR="00B9350C">
        <w:t>The P</w:t>
      </w:r>
      <w:r>
        <w:t xml:space="preserve">-1 </w:t>
      </w:r>
      <w:r w:rsidR="00F1778A">
        <w:t xml:space="preserve">pro forma </w:t>
      </w:r>
      <w:r>
        <w:t>adjustment actually encompasses two major is</w:t>
      </w:r>
      <w:r w:rsidR="002B10BC">
        <w:t xml:space="preserve">sues addressed in Exhibit JD-1T, </w:t>
      </w:r>
      <w:r>
        <w:t>beginning at page 21 and continuing to page 24 on the subject of allowable labor cost</w:t>
      </w:r>
      <w:r w:rsidR="00125503">
        <w:t xml:space="preserve">s, overtime, </w:t>
      </w:r>
      <w:r>
        <w:t xml:space="preserve">associated benefits and applicable cost of living adjustments to wages.  As </w:t>
      </w:r>
      <w:r w:rsidR="00453004">
        <w:t xml:space="preserve">also </w:t>
      </w:r>
      <w:r>
        <w:t>shown in Exhibit JD-11 (</w:t>
      </w:r>
      <w:r w:rsidR="00CD3610">
        <w:t>4/3/14</w:t>
      </w:r>
      <w:r>
        <w:t>)</w:t>
      </w:r>
      <w:r w:rsidR="003F3F79">
        <w:t xml:space="preserve">, </w:t>
      </w:r>
      <w:r w:rsidR="000E5826">
        <w:t xml:space="preserve">“Schedule </w:t>
      </w:r>
      <w:r w:rsidR="00B9350C">
        <w:t>2</w:t>
      </w:r>
      <w:r w:rsidR="00F1778A">
        <w:t xml:space="preserve">, page 2 </w:t>
      </w:r>
      <w:r w:rsidR="000E5826">
        <w:t xml:space="preserve">– </w:t>
      </w:r>
      <w:r w:rsidR="006901A0">
        <w:t xml:space="preserve">Summary of </w:t>
      </w:r>
      <w:r w:rsidR="00B9350C">
        <w:t xml:space="preserve">Forecast </w:t>
      </w:r>
      <w:r w:rsidR="000E5826">
        <w:t xml:space="preserve">Adjustments,” </w:t>
      </w:r>
      <w:r>
        <w:t xml:space="preserve">these adjustments relate to wages </w:t>
      </w:r>
      <w:r w:rsidR="00D360F0">
        <w:t xml:space="preserve">line items </w:t>
      </w:r>
      <w:r>
        <w:t>for drivers and drop box drivers, mechanics, supervisors</w:t>
      </w:r>
      <w:r w:rsidR="00125503">
        <w:t xml:space="preserve">, extraordinary labor, </w:t>
      </w:r>
      <w:r w:rsidR="006901A0">
        <w:t xml:space="preserve">fringe benefits, office salaries and management fees and involve </w:t>
      </w:r>
      <w:r w:rsidR="00453004">
        <w:t xml:space="preserve">as well </w:t>
      </w:r>
      <w:r w:rsidR="006901A0">
        <w:t xml:space="preserve">calculations for overtime and cost of living adjustments.  </w:t>
      </w:r>
      <w:r>
        <w:t>Exhibit JD-1T, pages 22, lines 1-16 discuss</w:t>
      </w:r>
      <w:r w:rsidR="00125503">
        <w:t>es</w:t>
      </w:r>
      <w:r w:rsidR="000F3D3F">
        <w:t xml:space="preserve"> the </w:t>
      </w:r>
      <w:r w:rsidR="00C70637">
        <w:t xml:space="preserve">prior </w:t>
      </w:r>
      <w:r w:rsidR="000F3D3F">
        <w:t xml:space="preserve">Company versus </w:t>
      </w:r>
      <w:r w:rsidR="006901A0">
        <w:t xml:space="preserve">previous </w:t>
      </w:r>
      <w:r w:rsidR="000F3D3F">
        <w:t>Staff-</w:t>
      </w:r>
      <w:r>
        <w:t xml:space="preserve">proposed labor expense </w:t>
      </w:r>
      <w:r w:rsidR="003F3F79">
        <w:t xml:space="preserve">adjustments </w:t>
      </w:r>
      <w:r w:rsidR="00125503">
        <w:t xml:space="preserve">and beginning at page 22, line </w:t>
      </w:r>
      <w:r>
        <w:t>17 to page 24, line 3, detail</w:t>
      </w:r>
      <w:r w:rsidR="000E5826">
        <w:t>s</w:t>
      </w:r>
      <w:r>
        <w:t xml:space="preserve"> the impact of the overtime </w:t>
      </w:r>
      <w:r w:rsidR="000F3D3F">
        <w:t xml:space="preserve">expense </w:t>
      </w:r>
      <w:r>
        <w:t xml:space="preserve">issue </w:t>
      </w:r>
      <w:r w:rsidR="00142F30">
        <w:t>“</w:t>
      </w:r>
      <w:r w:rsidR="000E5826">
        <w:t>normalization</w:t>
      </w:r>
      <w:r w:rsidR="00142F30">
        <w:t>”</w:t>
      </w:r>
      <w:r w:rsidR="000E5826">
        <w:t xml:space="preserve"> </w:t>
      </w:r>
      <w:r>
        <w:t xml:space="preserve">and the disallowance in rates which approximates </w:t>
      </w:r>
      <w:r w:rsidR="00125503">
        <w:t>$23,000 in the test year.</w:t>
      </w:r>
    </w:p>
    <w:p w:rsidR="00125503" w:rsidRPr="00125503" w:rsidRDefault="00125503" w:rsidP="00125503">
      <w:pPr>
        <w:pStyle w:val="Judge"/>
        <w:spacing w:line="240" w:lineRule="auto"/>
        <w:ind w:left="720" w:hanging="720"/>
        <w:jc w:val="left"/>
        <w:rPr>
          <w:b/>
        </w:rPr>
      </w:pPr>
      <w:r w:rsidRPr="00125503">
        <w:rPr>
          <w:b/>
        </w:rPr>
        <w:t>Q.</w:t>
      </w:r>
      <w:r w:rsidRPr="00125503">
        <w:rPr>
          <w:b/>
        </w:rPr>
        <w:tab/>
        <w:t xml:space="preserve">IN ADDITION TO THE CALCULATION ON OVERTIME IN </w:t>
      </w:r>
      <w:r w:rsidR="00D360F0">
        <w:rPr>
          <w:b/>
        </w:rPr>
        <w:t xml:space="preserve">ADJUSTMENT </w:t>
      </w:r>
      <w:r w:rsidR="006901A0">
        <w:rPr>
          <w:b/>
        </w:rPr>
        <w:t>P</w:t>
      </w:r>
      <w:r w:rsidRPr="00125503">
        <w:rPr>
          <w:b/>
        </w:rPr>
        <w:t xml:space="preserve">-1, IS THERE ANY THEORETICAL CONCERN ON THE PART OF THE COMPANY ABOUT ATTEMPTS TO </w:t>
      </w:r>
      <w:r w:rsidR="00453004">
        <w:rPr>
          <w:b/>
        </w:rPr>
        <w:t xml:space="preserve">“NORMALIZE” </w:t>
      </w:r>
      <w:r w:rsidRPr="00125503">
        <w:rPr>
          <w:b/>
        </w:rPr>
        <w:t>OVERTIME?</w:t>
      </w:r>
    </w:p>
    <w:p w:rsidR="00125503" w:rsidRDefault="00125503" w:rsidP="00125503">
      <w:pPr>
        <w:pStyle w:val="Judge"/>
        <w:spacing w:line="240" w:lineRule="auto"/>
        <w:ind w:left="720" w:hanging="720"/>
        <w:jc w:val="left"/>
      </w:pPr>
    </w:p>
    <w:p w:rsidR="00125503" w:rsidRDefault="00125503" w:rsidP="00D75FB6">
      <w:pPr>
        <w:pStyle w:val="Judge"/>
        <w:spacing w:line="480" w:lineRule="auto"/>
        <w:ind w:left="720" w:hanging="720"/>
        <w:jc w:val="left"/>
      </w:pPr>
      <w:r>
        <w:t>A.</w:t>
      </w:r>
      <w:r>
        <w:tab/>
      </w:r>
      <w:r w:rsidR="0025164C">
        <w:t xml:space="preserve">Yes.  </w:t>
      </w:r>
      <w:r>
        <w:t>As JD-1T, page 23, makes clear, we disagree with any conclusion driving the restating adjustment on the Staff’s part that over</w:t>
      </w:r>
      <w:r w:rsidR="000E5826">
        <w:t xml:space="preserve">time was </w:t>
      </w:r>
      <w:r w:rsidR="002B10BC">
        <w:t>“</w:t>
      </w:r>
      <w:r w:rsidR="000E5826">
        <w:t>excessive</w:t>
      </w:r>
      <w:r w:rsidR="002B10BC">
        <w:t>”</w:t>
      </w:r>
      <w:r w:rsidR="000E5826">
        <w:t xml:space="preserve"> and set forth </w:t>
      </w:r>
      <w:r w:rsidR="00142F30">
        <w:t>the reasons therefor</w:t>
      </w:r>
      <w:r>
        <w:t>.  We also think that overtime is an isolated historic occurrence a</w:t>
      </w:r>
      <w:r w:rsidR="00142F30">
        <w:t>nd is not the type of expense</w:t>
      </w:r>
      <w:r>
        <w:t xml:space="preserve"> easily susceptible to normalization as we describe in JD-1T, page 21.</w:t>
      </w:r>
    </w:p>
    <w:p w:rsidR="00125503" w:rsidRPr="00125503" w:rsidRDefault="00125503" w:rsidP="00125503">
      <w:pPr>
        <w:pStyle w:val="Judge"/>
        <w:spacing w:line="240" w:lineRule="auto"/>
        <w:ind w:left="720" w:hanging="720"/>
        <w:jc w:val="left"/>
        <w:rPr>
          <w:b/>
        </w:rPr>
      </w:pPr>
      <w:r w:rsidRPr="00125503">
        <w:rPr>
          <w:b/>
        </w:rPr>
        <w:t>Q.</w:t>
      </w:r>
      <w:r w:rsidRPr="00125503">
        <w:rPr>
          <w:b/>
        </w:rPr>
        <w:tab/>
        <w:t xml:space="preserve">HAVE YOU ALSO PREVIOUSLY PREPARED AN EXHIBIT WHICH ADDRESSES THE LABOR ADJUSTMENTS PROPOSED BY THE COMPANY BY EMPLOYEE AND WHICH ALSO DEMONSTRATES THE COST OF LIVING ADJUSTMENT FORMULA APPLICATION FOR </w:t>
      </w:r>
      <w:r w:rsidR="000E5826">
        <w:rPr>
          <w:b/>
        </w:rPr>
        <w:t xml:space="preserve">BOTH </w:t>
      </w:r>
      <w:r w:rsidRPr="00125503">
        <w:rPr>
          <w:b/>
        </w:rPr>
        <w:t>JULY 1, 2013 AND JULY 1, 2014?</w:t>
      </w:r>
    </w:p>
    <w:p w:rsidR="00125503" w:rsidRDefault="00125503" w:rsidP="00125503">
      <w:pPr>
        <w:pStyle w:val="Judge"/>
        <w:spacing w:line="240" w:lineRule="auto"/>
        <w:ind w:left="720" w:hanging="720"/>
        <w:jc w:val="left"/>
      </w:pPr>
    </w:p>
    <w:p w:rsidR="00125503" w:rsidRDefault="000E5826" w:rsidP="00125503">
      <w:pPr>
        <w:pStyle w:val="Judge"/>
        <w:spacing w:line="480" w:lineRule="auto"/>
        <w:ind w:left="720" w:hanging="720"/>
        <w:jc w:val="left"/>
      </w:pPr>
      <w:r>
        <w:t>A.</w:t>
      </w:r>
      <w:r>
        <w:tab/>
        <w:t xml:space="preserve">Yes, I have, </w:t>
      </w:r>
      <w:r w:rsidR="00125503">
        <w:t>and that is previou</w:t>
      </w:r>
      <w:r>
        <w:t>sly set forth in Ex</w:t>
      </w:r>
      <w:r w:rsidR="006901A0">
        <w:t xml:space="preserve">hibit JD-10.  Also, </w:t>
      </w:r>
      <w:r w:rsidR="00DE1C78">
        <w:t>“W</w:t>
      </w:r>
      <w:r w:rsidR="006901A0">
        <w:t>orkpaper 3</w:t>
      </w:r>
      <w:r w:rsidR="00DE1C78">
        <w:t>,”</w:t>
      </w:r>
      <w:r w:rsidR="002B10BC">
        <w:t xml:space="preserve"> </w:t>
      </w:r>
      <w:r w:rsidR="0025164C">
        <w:t xml:space="preserve">pages 1-3, </w:t>
      </w:r>
      <w:r w:rsidR="00453004">
        <w:t xml:space="preserve">in </w:t>
      </w:r>
      <w:r>
        <w:t>enclosed Exhibit JD-11 (</w:t>
      </w:r>
      <w:r w:rsidR="00CD3610">
        <w:t>4/3/14</w:t>
      </w:r>
      <w:r w:rsidR="00C70637">
        <w:t xml:space="preserve">), </w:t>
      </w:r>
      <w:r>
        <w:t>provides comparable labor analyses including ana</w:t>
      </w:r>
      <w:r w:rsidR="003F3F79">
        <w:t xml:space="preserve">lysis of </w:t>
      </w:r>
      <w:r w:rsidR="006901A0">
        <w:t xml:space="preserve">labor cost increases, </w:t>
      </w:r>
      <w:r w:rsidR="003F3F79">
        <w:t>fringe benefit</w:t>
      </w:r>
      <w:r w:rsidR="006901A0">
        <w:t>s</w:t>
      </w:r>
      <w:r w:rsidR="003F3F79">
        <w:t xml:space="preserve"> and pro</w:t>
      </w:r>
      <w:r>
        <w:t xml:space="preserve">ration of cost of living increases for affected employees that all tie back to the Company’s proposal for labor </w:t>
      </w:r>
      <w:r w:rsidR="003F3F79">
        <w:t xml:space="preserve">expenses </w:t>
      </w:r>
      <w:r>
        <w:t xml:space="preserve">that are </w:t>
      </w:r>
      <w:r w:rsidR="002B10BC">
        <w:t xml:space="preserve">implicated by </w:t>
      </w:r>
      <w:r w:rsidR="0025164C">
        <w:t>P</w:t>
      </w:r>
      <w:r w:rsidR="00D740FD">
        <w:t xml:space="preserve">ro </w:t>
      </w:r>
      <w:r w:rsidR="0025164C">
        <w:t>F</w:t>
      </w:r>
      <w:r w:rsidR="00D740FD">
        <w:t>orma  (</w:t>
      </w:r>
      <w:r w:rsidR="002B10BC">
        <w:t>“</w:t>
      </w:r>
      <w:r w:rsidR="00D740FD">
        <w:t>forecast</w:t>
      </w:r>
      <w:r w:rsidR="002B10BC">
        <w:t>”</w:t>
      </w:r>
      <w:r w:rsidR="00D740FD">
        <w:t xml:space="preserve">) </w:t>
      </w:r>
      <w:r>
        <w:t>adjus</w:t>
      </w:r>
      <w:r w:rsidR="0025164C">
        <w:t xml:space="preserve">tment, </w:t>
      </w:r>
      <w:r w:rsidR="00D740FD">
        <w:t>P-1</w:t>
      </w:r>
      <w:r>
        <w:t>.</w:t>
      </w:r>
    </w:p>
    <w:p w:rsidR="000E5826" w:rsidRPr="000E5826" w:rsidRDefault="000E5826" w:rsidP="000E5826">
      <w:pPr>
        <w:pStyle w:val="Judge"/>
        <w:spacing w:line="240" w:lineRule="auto"/>
        <w:ind w:left="720" w:hanging="720"/>
        <w:jc w:val="left"/>
        <w:rPr>
          <w:b/>
        </w:rPr>
      </w:pPr>
      <w:r w:rsidRPr="000E5826">
        <w:rPr>
          <w:b/>
        </w:rPr>
        <w:t>Q.</w:t>
      </w:r>
      <w:r w:rsidRPr="000E5826">
        <w:rPr>
          <w:b/>
        </w:rPr>
        <w:tab/>
        <w:t xml:space="preserve">REGARDING </w:t>
      </w:r>
      <w:r w:rsidR="00D740FD">
        <w:rPr>
          <w:b/>
        </w:rPr>
        <w:t xml:space="preserve">THE CAPITAL STRUCTURE ISSUE (WORKPAPER 6) </w:t>
      </w:r>
      <w:r w:rsidRPr="000E5826">
        <w:rPr>
          <w:b/>
        </w:rPr>
        <w:t>IN EXHIBIT JD-11 (</w:t>
      </w:r>
      <w:r w:rsidR="00CD3610">
        <w:rPr>
          <w:b/>
        </w:rPr>
        <w:t>4/3/14</w:t>
      </w:r>
      <w:r w:rsidRPr="000E5826">
        <w:rPr>
          <w:b/>
        </w:rPr>
        <w:t xml:space="preserve">), CAN YOU PLEASE DESCRIBE </w:t>
      </w:r>
      <w:r w:rsidR="007F1761">
        <w:rPr>
          <w:b/>
        </w:rPr>
        <w:t xml:space="preserve">THAT </w:t>
      </w:r>
      <w:r w:rsidRPr="000E5826">
        <w:rPr>
          <w:b/>
        </w:rPr>
        <w:t>ISSUE FROM</w:t>
      </w:r>
      <w:r w:rsidR="007F1761">
        <w:rPr>
          <w:b/>
        </w:rPr>
        <w:t xml:space="preserve"> THE COMPANY’S PERSPECTIVE</w:t>
      </w:r>
      <w:r w:rsidRPr="000E5826">
        <w:rPr>
          <w:b/>
        </w:rPr>
        <w:t>?</w:t>
      </w:r>
    </w:p>
    <w:p w:rsidR="000E5826" w:rsidRDefault="000E5826" w:rsidP="000E5826">
      <w:pPr>
        <w:pStyle w:val="Judge"/>
        <w:spacing w:line="240" w:lineRule="auto"/>
        <w:ind w:left="720" w:hanging="720"/>
        <w:jc w:val="left"/>
      </w:pPr>
    </w:p>
    <w:p w:rsidR="00C70637" w:rsidRDefault="000E5826" w:rsidP="00125503">
      <w:pPr>
        <w:pStyle w:val="Judge"/>
        <w:spacing w:line="480" w:lineRule="auto"/>
        <w:ind w:left="720" w:hanging="720"/>
        <w:jc w:val="left"/>
      </w:pPr>
      <w:r>
        <w:t>A.</w:t>
      </w:r>
      <w:r>
        <w:tab/>
      </w:r>
      <w:r w:rsidR="00C70637">
        <w:t>Obviously, capital structure is a material unknown in terms of how the Staff will view the revenue requirement calculation driving off the revised</w:t>
      </w:r>
      <w:r w:rsidR="00453004">
        <w:t xml:space="preserve"> proposed debt to equity calculation of the Company’s overall </w:t>
      </w:r>
      <w:r w:rsidR="00CD3610">
        <w:t>revenue requirement</w:t>
      </w:r>
      <w:r w:rsidR="00C70637">
        <w:t xml:space="preserve">.  As we noted in our February 18, 2014 original case-in-chief filing, there have been two significant </w:t>
      </w:r>
      <w:r w:rsidR="00CD3610">
        <w:t xml:space="preserve">accounting </w:t>
      </w:r>
      <w:r w:rsidR="00C70637">
        <w:t xml:space="preserve">adjustments to </w:t>
      </w:r>
      <w:r w:rsidR="00AA68DB">
        <w:t xml:space="preserve">the </w:t>
      </w:r>
      <w:r w:rsidR="00C70637">
        <w:t xml:space="preserve">Company’s capital structure on </w:t>
      </w:r>
      <w:r w:rsidR="00AA68DB">
        <w:t xml:space="preserve">our </w:t>
      </w:r>
      <w:r w:rsidR="00C70637">
        <w:t xml:space="preserve">part </w:t>
      </w:r>
      <w:r w:rsidR="00CD3610">
        <w:t>since September</w:t>
      </w:r>
      <w:r w:rsidR="00C70637">
        <w:t>.  These issues were addressed at length in JD-1T beginning at page 18, line 15, to page 19, line 15.  They also were the source of Exhibits in JD-3(</w:t>
      </w:r>
      <w:r w:rsidR="00CD3610">
        <w:t>B</w:t>
      </w:r>
      <w:r w:rsidR="00C70637">
        <w:t xml:space="preserve">) and JD-4 and are now set forth in detail in </w:t>
      </w:r>
      <w:r w:rsidR="00D360F0">
        <w:t>“</w:t>
      </w:r>
      <w:r w:rsidR="00C70637">
        <w:t>Workpaper 6</w:t>
      </w:r>
      <w:r w:rsidR="00DE1C78">
        <w:t>,” pages 1 and 2</w:t>
      </w:r>
      <w:r w:rsidR="00860EFF">
        <w:t xml:space="preserve"> in Exhibit JD-11 (4/3/14)</w:t>
      </w:r>
      <w:r w:rsidR="00C70637">
        <w:t xml:space="preserve">.  As noted in my original testimony, the Company made an adjustment to correct an end of test period balance in </w:t>
      </w:r>
      <w:r w:rsidR="00CD3610">
        <w:t xml:space="preserve">early </w:t>
      </w:r>
      <w:r w:rsidR="00C70637">
        <w:t>October, 201</w:t>
      </w:r>
      <w:r w:rsidR="00CD3610">
        <w:t>3</w:t>
      </w:r>
      <w:r w:rsidR="00C70637">
        <w:t xml:space="preserve"> which obviously impacted the revenue requirement as </w:t>
      </w:r>
      <w:r w:rsidR="00CD3610">
        <w:t xml:space="preserve">did </w:t>
      </w:r>
      <w:r w:rsidR="00C70637">
        <w:t xml:space="preserve">the change driven by the “per books” </w:t>
      </w:r>
      <w:r w:rsidR="00CD3610">
        <w:t xml:space="preserve">asset </w:t>
      </w:r>
      <w:r w:rsidR="00860EFF">
        <w:t xml:space="preserve">depreciation </w:t>
      </w:r>
      <w:r w:rsidR="00C70637">
        <w:t>valuation</w:t>
      </w:r>
      <w:r w:rsidR="00AA68DB">
        <w:t>s</w:t>
      </w:r>
      <w:r w:rsidR="00C70637">
        <w:t xml:space="preserve"> under GAAP to those required by the Uniform System of Accounts</w:t>
      </w:r>
      <w:r w:rsidR="00CD3610">
        <w:t xml:space="preserve"> and Commission ratemaking</w:t>
      </w:r>
      <w:r w:rsidR="00C70637">
        <w:t xml:space="preserve">.  Additionally, if the depreciation methodology involved in </w:t>
      </w:r>
      <w:r w:rsidR="00CD3610">
        <w:t xml:space="preserve">the </w:t>
      </w:r>
      <w:r w:rsidR="00860EFF">
        <w:t xml:space="preserve">previous 2013 </w:t>
      </w:r>
      <w:r w:rsidR="00CD3610">
        <w:t xml:space="preserve">Staff-computed </w:t>
      </w:r>
      <w:r w:rsidR="00860EFF">
        <w:t xml:space="preserve">rented asset </w:t>
      </w:r>
      <w:r w:rsidR="00CD3610">
        <w:t xml:space="preserve">valuations </w:t>
      </w:r>
      <w:r w:rsidR="00C70637">
        <w:t>were to be upheld by the Commission, the Company would need to adjust all depreciation accounts accordingly for the effect of commingled or merged capital structure</w:t>
      </w:r>
      <w:r w:rsidR="00D360F0">
        <w:t>s</w:t>
      </w:r>
      <w:r w:rsidR="00C70637">
        <w:t xml:space="preserve"> alluded to </w:t>
      </w:r>
      <w:r w:rsidR="00CD3610">
        <w:t xml:space="preserve">in the discussion of land </w:t>
      </w:r>
      <w:r w:rsidR="00C70637">
        <w:t>rent and truck rentals, above.</w:t>
      </w:r>
    </w:p>
    <w:p w:rsidR="00C70637" w:rsidRPr="00DF7C94" w:rsidRDefault="00C70637" w:rsidP="00125503">
      <w:pPr>
        <w:pStyle w:val="Judge"/>
        <w:spacing w:line="480" w:lineRule="auto"/>
        <w:ind w:left="720" w:hanging="720"/>
        <w:jc w:val="left"/>
        <w:rPr>
          <w:b/>
        </w:rPr>
      </w:pPr>
      <w:r w:rsidRPr="00DF7C94">
        <w:rPr>
          <w:b/>
        </w:rPr>
        <w:t>Q.</w:t>
      </w:r>
      <w:r w:rsidRPr="00DF7C94">
        <w:rPr>
          <w:b/>
        </w:rPr>
        <w:tab/>
        <w:t>WHAT DO YOU MEAN BY THIS LATTER ADJUSTMENT?</w:t>
      </w:r>
    </w:p>
    <w:p w:rsidR="00C70637" w:rsidRDefault="00C70637" w:rsidP="00125503">
      <w:pPr>
        <w:pStyle w:val="Judge"/>
        <w:spacing w:line="480" w:lineRule="auto"/>
        <w:ind w:left="720" w:hanging="720"/>
        <w:jc w:val="left"/>
      </w:pPr>
      <w:r>
        <w:t>A.</w:t>
      </w:r>
      <w:r>
        <w:tab/>
        <w:t>For example, utilizing affiliate Heirborne Investments’ capital structure as was described in Exhib</w:t>
      </w:r>
      <w:r w:rsidR="00D360F0">
        <w:t xml:space="preserve">it JD-1T, </w:t>
      </w:r>
      <w:r>
        <w:t xml:space="preserve">(page 15, lines 1-9), would derive a much higher debt amount </w:t>
      </w:r>
      <w:r w:rsidR="00CD3610">
        <w:t xml:space="preserve">and </w:t>
      </w:r>
      <w:r>
        <w:t>impact the regulated Company’s overall allowable return under the Lurito-Gallagher formula, an effect explained in Exhibit JD-1T, pages 15, lines 11-22.</w:t>
      </w:r>
    </w:p>
    <w:p w:rsidR="000E5826" w:rsidRPr="000E5826" w:rsidRDefault="000E5826" w:rsidP="000E5826">
      <w:pPr>
        <w:pStyle w:val="Judge"/>
        <w:spacing w:line="240" w:lineRule="auto"/>
        <w:ind w:left="720" w:hanging="720"/>
        <w:jc w:val="left"/>
        <w:rPr>
          <w:b/>
        </w:rPr>
      </w:pPr>
      <w:r w:rsidRPr="000E5826">
        <w:rPr>
          <w:b/>
        </w:rPr>
        <w:t>Q.</w:t>
      </w:r>
      <w:r w:rsidRPr="000E5826">
        <w:rPr>
          <w:b/>
        </w:rPr>
        <w:tab/>
        <w:t xml:space="preserve">HAVE YOU </w:t>
      </w:r>
      <w:r w:rsidR="007F1761">
        <w:rPr>
          <w:b/>
        </w:rPr>
        <w:t xml:space="preserve">NOW </w:t>
      </w:r>
      <w:r w:rsidRPr="000E5826">
        <w:rPr>
          <w:b/>
        </w:rPr>
        <w:t xml:space="preserve">PRESENTED WHAT YOU BELIEVE TO BE THE APPROPRIATE RETURN UNDER </w:t>
      </w:r>
      <w:r w:rsidR="007F1761">
        <w:rPr>
          <w:b/>
        </w:rPr>
        <w:t>THE LURITO-GALLAGHER RATEMAKING FORMULA?</w:t>
      </w:r>
    </w:p>
    <w:p w:rsidR="000E5826" w:rsidRDefault="000E5826" w:rsidP="000E5826">
      <w:pPr>
        <w:pStyle w:val="Judge"/>
        <w:spacing w:line="240" w:lineRule="auto"/>
        <w:ind w:left="720" w:hanging="720"/>
        <w:jc w:val="left"/>
      </w:pPr>
    </w:p>
    <w:p w:rsidR="000E5826" w:rsidRDefault="000E5826" w:rsidP="00125503">
      <w:pPr>
        <w:pStyle w:val="Judge"/>
        <w:spacing w:line="480" w:lineRule="auto"/>
        <w:ind w:left="720" w:hanging="720"/>
        <w:jc w:val="left"/>
      </w:pPr>
      <w:r>
        <w:t>A.</w:t>
      </w:r>
      <w:r>
        <w:tab/>
        <w:t xml:space="preserve">Yes, repeatedly, </w:t>
      </w:r>
      <w:r w:rsidR="007F1761">
        <w:t xml:space="preserve">in </w:t>
      </w:r>
      <w:r w:rsidR="00D740FD">
        <w:t xml:space="preserve">the </w:t>
      </w:r>
      <w:r>
        <w:t xml:space="preserve">spreadsheet </w:t>
      </w:r>
      <w:r w:rsidR="00D740FD">
        <w:t>“Lur</w:t>
      </w:r>
      <w:r w:rsidR="009B4E25">
        <w:t>i</w:t>
      </w:r>
      <w:r w:rsidR="00D740FD">
        <w:t xml:space="preserve">txpf Avg” </w:t>
      </w:r>
      <w:r>
        <w:t>within Exhibit JD-11 (</w:t>
      </w:r>
      <w:r w:rsidR="00CD3610">
        <w:t>4/3/14</w:t>
      </w:r>
      <w:r>
        <w:t xml:space="preserve">), Exhibit JD-3B in the filing of February 18, 2014 and as </w:t>
      </w:r>
      <w:r w:rsidR="00D360F0">
        <w:t xml:space="preserve">also </w:t>
      </w:r>
      <w:r w:rsidR="009B4E25">
        <w:t xml:space="preserve">detailed </w:t>
      </w:r>
      <w:r>
        <w:t>in Exhibit JD-4</w:t>
      </w:r>
      <w:r w:rsidR="00D360F0">
        <w:t>,</w:t>
      </w:r>
      <w:r>
        <w:t xml:space="preserve"> which is directed to showing the </w:t>
      </w:r>
      <w:r w:rsidR="00CD3610">
        <w:t xml:space="preserve">proposed </w:t>
      </w:r>
      <w:r>
        <w:t>equity adjustment u</w:t>
      </w:r>
      <w:r w:rsidR="003F3F79">
        <w:t>nder Lurito-Gallagher and Staff-</w:t>
      </w:r>
      <w:r>
        <w:t>required depreciation methods</w:t>
      </w:r>
      <w:r w:rsidR="007F1761">
        <w:t xml:space="preserve"> under the previous revenue requirement calculation</w:t>
      </w:r>
      <w:r w:rsidR="00D360F0">
        <w:t>s</w:t>
      </w:r>
      <w:r>
        <w:t>.  In the Exhibit JD-11 (</w:t>
      </w:r>
      <w:r w:rsidR="00CD3610">
        <w:t>4/3/14</w:t>
      </w:r>
      <w:r w:rsidR="00DF7C94">
        <w:t xml:space="preserve">), </w:t>
      </w:r>
      <w:r w:rsidR="00D360F0">
        <w:t>“</w:t>
      </w:r>
      <w:r w:rsidR="00DF7C94">
        <w:t>W</w:t>
      </w:r>
      <w:r>
        <w:t>orkpaper 2</w:t>
      </w:r>
      <w:r w:rsidR="00DF7C94">
        <w:t>,</w:t>
      </w:r>
      <w:r w:rsidR="009B4E25">
        <w:t>”</w:t>
      </w:r>
      <w:r>
        <w:t xml:space="preserve"> there are also supporting depreciation schedules relevant to this </w:t>
      </w:r>
      <w:r w:rsidR="00DF7C94">
        <w:t xml:space="preserve">revised </w:t>
      </w:r>
      <w:r>
        <w:t>underlying computation</w:t>
      </w:r>
      <w:r w:rsidR="00DF7C94">
        <w:t xml:space="preserve"> which computations are also </w:t>
      </w:r>
      <w:r w:rsidR="00CD3610">
        <w:t xml:space="preserve">presented and analyzed </w:t>
      </w:r>
      <w:r w:rsidR="00DF7C94">
        <w:t>in the Results of Operation</w:t>
      </w:r>
      <w:r w:rsidR="00F1778A">
        <w:t>s</w:t>
      </w:r>
      <w:r w:rsidR="00DF7C94">
        <w:t xml:space="preserve"> in Exhibit JD-11 (</w:t>
      </w:r>
      <w:r w:rsidR="00CD3610">
        <w:t>4/3/14</w:t>
      </w:r>
      <w:r w:rsidR="00DF7C94">
        <w:t xml:space="preserve">), all of which </w:t>
      </w:r>
      <w:r w:rsidR="00CD3610">
        <w:t xml:space="preserve">are </w:t>
      </w:r>
      <w:r w:rsidR="00DF7C94">
        <w:t xml:space="preserve">tied to the </w:t>
      </w:r>
      <w:r w:rsidR="00D360F0">
        <w:t xml:space="preserve">ultimate </w:t>
      </w:r>
      <w:r w:rsidR="00DF7C94">
        <w:t xml:space="preserve">computation under the Lurito-Gallagher </w:t>
      </w:r>
      <w:r w:rsidR="00CD3610">
        <w:t xml:space="preserve">modified </w:t>
      </w:r>
      <w:r w:rsidR="00DF7C94">
        <w:t>operating ratio</w:t>
      </w:r>
      <w:r w:rsidR="00AA68DB">
        <w:t xml:space="preserve"> methodology</w:t>
      </w:r>
      <w:r w:rsidR="00DF7C94">
        <w:t>.</w:t>
      </w:r>
    </w:p>
    <w:p w:rsidR="00D740FD" w:rsidRPr="0014218F" w:rsidRDefault="00D740FD" w:rsidP="0014218F">
      <w:pPr>
        <w:pStyle w:val="Judge"/>
        <w:spacing w:line="240" w:lineRule="auto"/>
        <w:ind w:left="720" w:hanging="720"/>
        <w:jc w:val="left"/>
        <w:rPr>
          <w:b/>
        </w:rPr>
      </w:pPr>
      <w:r w:rsidRPr="0014218F">
        <w:rPr>
          <w:b/>
        </w:rPr>
        <w:t>Q.</w:t>
      </w:r>
      <w:r w:rsidRPr="0014218F">
        <w:rPr>
          <w:b/>
        </w:rPr>
        <w:tab/>
        <w:t>HOW DO THE REVENUE REQUIREMENT RESULTS DIFFER NOW FROM THOSE PROPOSED IN EXHIBIT</w:t>
      </w:r>
      <w:r w:rsidR="0014218F" w:rsidRPr="0014218F">
        <w:rPr>
          <w:b/>
        </w:rPr>
        <w:t>S JD-3B AND 4 IN THE COMPANY’S PREFILED CASE OF FEBRUARY 18?</w:t>
      </w:r>
    </w:p>
    <w:p w:rsidR="0014218F" w:rsidRDefault="0014218F" w:rsidP="0014218F">
      <w:pPr>
        <w:pStyle w:val="Judge"/>
        <w:spacing w:line="240" w:lineRule="auto"/>
        <w:ind w:left="720" w:hanging="720"/>
        <w:jc w:val="left"/>
      </w:pPr>
    </w:p>
    <w:p w:rsidR="0014218F" w:rsidRDefault="0014218F" w:rsidP="00125503">
      <w:pPr>
        <w:pStyle w:val="Judge"/>
        <w:spacing w:line="480" w:lineRule="auto"/>
        <w:ind w:left="720" w:hanging="720"/>
        <w:jc w:val="left"/>
      </w:pPr>
      <w:r>
        <w:t>A.</w:t>
      </w:r>
      <w:r>
        <w:tab/>
        <w:t>They vary mode</w:t>
      </w:r>
      <w:r w:rsidR="00D360F0">
        <w:t xml:space="preserve">rately </w:t>
      </w:r>
      <w:r>
        <w:t xml:space="preserve">due to the increase in rate case </w:t>
      </w:r>
      <w:r w:rsidR="007F1761">
        <w:t xml:space="preserve">costs since that time amounting </w:t>
      </w:r>
      <w:r>
        <w:t>to $</w:t>
      </w:r>
      <w:r w:rsidR="00A15B31">
        <w:t>72,492.24</w:t>
      </w:r>
      <w:r>
        <w:t>, labor costs owing to increased wages and fringe benefits since the Company’s case was formally suspended effective December 1, 2013 amounting to about $</w:t>
      </w:r>
      <w:r w:rsidR="008F7309">
        <w:t>27</w:t>
      </w:r>
      <w:r w:rsidR="00DF7C94">
        <w:t>,</w:t>
      </w:r>
      <w:r w:rsidR="008F7309">
        <w:t>656</w:t>
      </w:r>
      <w:r>
        <w:t xml:space="preserve">, and a slight increase in the average investment calculation under Lurito due to the shift of a rented asset that was previously in </w:t>
      </w:r>
      <w:r w:rsidR="007F1761">
        <w:t>“C</w:t>
      </w:r>
      <w:r>
        <w:t xml:space="preserve">onstruction </w:t>
      </w:r>
      <w:r w:rsidR="007F1761">
        <w:t>W</w:t>
      </w:r>
      <w:r>
        <w:t xml:space="preserve">ork </w:t>
      </w:r>
      <w:r w:rsidR="007F1761">
        <w:t>I</w:t>
      </w:r>
      <w:r>
        <w:t xml:space="preserve">n </w:t>
      </w:r>
      <w:r w:rsidR="00DF7C94">
        <w:t xml:space="preserve">Progress” category, </w:t>
      </w:r>
      <w:r w:rsidR="007F1761">
        <w:t xml:space="preserve">amounting </w:t>
      </w:r>
      <w:r>
        <w:t>to approximately $1,800 in adjustment value.</w:t>
      </w:r>
    </w:p>
    <w:p w:rsidR="009B4E25" w:rsidRDefault="009B4E25" w:rsidP="009B4E25">
      <w:pPr>
        <w:pStyle w:val="Judge"/>
        <w:spacing w:line="240" w:lineRule="auto"/>
        <w:ind w:left="720" w:hanging="720"/>
        <w:jc w:val="left"/>
        <w:rPr>
          <w:b/>
        </w:rPr>
      </w:pPr>
      <w:r w:rsidRPr="009B4E25">
        <w:rPr>
          <w:b/>
        </w:rPr>
        <w:t>Q.</w:t>
      </w:r>
      <w:r w:rsidRPr="009B4E25">
        <w:rPr>
          <w:b/>
        </w:rPr>
        <w:tab/>
        <w:t>DO YOU HAVE ANY FURTHER CONCLU</w:t>
      </w:r>
      <w:r w:rsidR="00DF7C94">
        <w:rPr>
          <w:b/>
        </w:rPr>
        <w:t xml:space="preserve">DING </w:t>
      </w:r>
      <w:r w:rsidRPr="009B4E25">
        <w:rPr>
          <w:b/>
        </w:rPr>
        <w:t xml:space="preserve">COMMENTS ABOUT THE EVIDENCE SUBMITTED IN EXHIBIT </w:t>
      </w:r>
      <w:r w:rsidR="00D360F0">
        <w:rPr>
          <w:b/>
        </w:rPr>
        <w:t xml:space="preserve">NO. </w:t>
      </w:r>
      <w:r w:rsidRPr="009B4E25">
        <w:rPr>
          <w:b/>
        </w:rPr>
        <w:t>JD-11 (</w:t>
      </w:r>
      <w:r w:rsidR="00CD3610">
        <w:rPr>
          <w:b/>
        </w:rPr>
        <w:t>4/3/14</w:t>
      </w:r>
      <w:r w:rsidRPr="009B4E25">
        <w:rPr>
          <w:b/>
        </w:rPr>
        <w:t>) AND YOUR INTENTION</w:t>
      </w:r>
      <w:r w:rsidR="00CD3610">
        <w:rPr>
          <w:b/>
        </w:rPr>
        <w:t>S</w:t>
      </w:r>
      <w:r w:rsidRPr="009B4E25">
        <w:rPr>
          <w:b/>
        </w:rPr>
        <w:t xml:space="preserve"> WITH RESPECT TO TH</w:t>
      </w:r>
      <w:r w:rsidR="008F7309">
        <w:rPr>
          <w:b/>
        </w:rPr>
        <w:t>E</w:t>
      </w:r>
      <w:r w:rsidRPr="009B4E25">
        <w:rPr>
          <w:b/>
        </w:rPr>
        <w:t xml:space="preserve"> REFILED GENERAL RATE CASE AND THE ORIGINAL CASE SUBMISSION UNDER DOCKET NO. TG-131794?</w:t>
      </w:r>
    </w:p>
    <w:p w:rsidR="007F1761" w:rsidRPr="007F1761" w:rsidRDefault="007F1761" w:rsidP="009B4E25">
      <w:pPr>
        <w:pStyle w:val="Judge"/>
        <w:spacing w:line="240" w:lineRule="auto"/>
        <w:ind w:left="720" w:hanging="720"/>
        <w:jc w:val="left"/>
      </w:pPr>
    </w:p>
    <w:p w:rsidR="007F1761" w:rsidRPr="007F1761" w:rsidRDefault="007F1761" w:rsidP="00DF7C94">
      <w:pPr>
        <w:pStyle w:val="Judge"/>
        <w:spacing w:line="480" w:lineRule="auto"/>
        <w:ind w:left="720" w:hanging="720"/>
        <w:jc w:val="left"/>
      </w:pPr>
      <w:r>
        <w:t>A</w:t>
      </w:r>
      <w:r w:rsidRPr="007F1761">
        <w:t>.</w:t>
      </w:r>
      <w:r w:rsidRPr="007F1761">
        <w:tab/>
      </w:r>
      <w:r>
        <w:t xml:space="preserve">Yes, we have </w:t>
      </w:r>
      <w:r w:rsidR="00F1778A">
        <w:t xml:space="preserve">promptly </w:t>
      </w:r>
      <w:r w:rsidR="002F7D06">
        <w:t>re</w:t>
      </w:r>
      <w:r>
        <w:t xml:space="preserve">filed the </w:t>
      </w:r>
      <w:r w:rsidR="008F7309">
        <w:t xml:space="preserve">general rate </w:t>
      </w:r>
      <w:r>
        <w:t xml:space="preserve">case not only in conformance with WAC 480-07-520(4)(a) as </w:t>
      </w:r>
      <w:r w:rsidR="00CD3610">
        <w:t xml:space="preserve">previously </w:t>
      </w:r>
      <w:r>
        <w:t xml:space="preserve">and </w:t>
      </w:r>
      <w:r w:rsidR="00DF7C94">
        <w:t xml:space="preserve">our understanding of </w:t>
      </w:r>
      <w:r>
        <w:t>Initial Order 05</w:t>
      </w:r>
      <w:r w:rsidR="00CD3610">
        <w:t>’s directives</w:t>
      </w:r>
      <w:r>
        <w:t xml:space="preserve">, but </w:t>
      </w:r>
      <w:r w:rsidR="00CD3610">
        <w:t xml:space="preserve">have </w:t>
      </w:r>
      <w:r>
        <w:t xml:space="preserve">attempted to describe and explain all restating, pro forma (forecast) and reclassification adjustments </w:t>
      </w:r>
      <w:r w:rsidR="00860EFF">
        <w:t>i</w:t>
      </w:r>
      <w:r w:rsidR="008F7309">
        <w:t xml:space="preserve">n this case </w:t>
      </w:r>
      <w:r>
        <w:t xml:space="preserve">and focused </w:t>
      </w:r>
      <w:r w:rsidR="00CD3610">
        <w:t xml:space="preserve">in detail again </w:t>
      </w:r>
      <w:r>
        <w:t xml:space="preserve">on the adjustments believed to be contested.  Importantly, consistent with our attempt to preserve the underlying evidentiary showing in Docket No. TG-131794, we have incorporated that testimony and </w:t>
      </w:r>
      <w:r w:rsidR="00CD3610">
        <w:t xml:space="preserve">those </w:t>
      </w:r>
      <w:r>
        <w:t xml:space="preserve">exhibits by reference and in many cases by actual integration of previous points and exhibits in an attempt </w:t>
      </w:r>
      <w:r w:rsidR="002F7D06">
        <w:t xml:space="preserve">to anticipate </w:t>
      </w:r>
      <w:r>
        <w:t xml:space="preserve">any questions about the Company’s initial presentation and </w:t>
      </w:r>
      <w:r w:rsidR="008F7309">
        <w:t xml:space="preserve">all </w:t>
      </w:r>
      <w:r w:rsidR="00DF7C94">
        <w:t>the Company-</w:t>
      </w:r>
      <w:r>
        <w:t xml:space="preserve">proposed revenue and expense adjustments to its derived revenue requirement under the Lurito-Gallagher ratemaking </w:t>
      </w:r>
      <w:r w:rsidR="00DF7C94">
        <w:t>methodology</w:t>
      </w:r>
      <w:r w:rsidR="00860EFF">
        <w:t xml:space="preserve"> for this new filing</w:t>
      </w:r>
      <w:r>
        <w:t xml:space="preserve">.  We look forward to expanding </w:t>
      </w:r>
      <w:r w:rsidR="00F1778A">
        <w:t xml:space="preserve">upon </w:t>
      </w:r>
      <w:r>
        <w:t>that presentation in response to the Staff’s case on rebuttal and in actual live testimony and cross-examination before the Commission.</w:t>
      </w:r>
    </w:p>
    <w:bookmarkEnd w:id="0"/>
    <w:sectPr w:rsidR="007F1761" w:rsidRPr="007F1761" w:rsidSect="00860EFF">
      <w:headerReference w:type="default" r:id="rId9"/>
      <w:pgSz w:w="12240" w:h="15840" w:code="1"/>
      <w:pgMar w:top="1440" w:right="1512" w:bottom="1440" w:left="1541" w:header="720" w:footer="1008" w:gutter="0"/>
      <w:paperSrc w:first="262" w:other="262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50D8" w:rsidRDefault="004750D8">
      <w:r>
        <w:separator/>
      </w:r>
    </w:p>
  </w:endnote>
  <w:endnote w:type="continuationSeparator" w:id="0">
    <w:p w:rsidR="004750D8" w:rsidRDefault="00475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(normal text)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331E" w:rsidRDefault="0039331E" w:rsidP="008478E5">
    <w:pPr>
      <w:pStyle w:val="Footer"/>
      <w:spacing w:line="160" w:lineRule="exact"/>
      <w:rPr>
        <w:sz w:val="18"/>
        <w:szCs w:val="18"/>
      </w:rPr>
    </w:pPr>
    <w:r>
      <w:rPr>
        <w:sz w:val="16"/>
        <w:szCs w:val="18"/>
      </w:rPr>
      <w:fldChar w:fldCharType="begin"/>
    </w:r>
    <w:r>
      <w:rPr>
        <w:sz w:val="16"/>
        <w:szCs w:val="18"/>
      </w:rPr>
      <w:instrText xml:space="preserve"> </w:instrText>
    </w:r>
    <w:r w:rsidRPr="008478E5">
      <w:rPr>
        <w:sz w:val="16"/>
        <w:szCs w:val="18"/>
      </w:rPr>
      <w:instrText>IF "</w:instrText>
    </w:r>
    <w:r w:rsidR="0090202D">
      <w:rPr>
        <w:sz w:val="16"/>
        <w:szCs w:val="18"/>
      </w:rPr>
      <w:instrText>1</w:instrText>
    </w:r>
    <w:r w:rsidRPr="008478E5">
      <w:rPr>
        <w:sz w:val="16"/>
        <w:szCs w:val="18"/>
      </w:rPr>
      <w:instrText>" = "1" "</w:instrText>
    </w:r>
    <w:r w:rsidR="0090202D">
      <w:rPr>
        <w:sz w:val="16"/>
        <w:szCs w:val="18"/>
      </w:rPr>
      <w:instrText xml:space="preserve"> 4808795.4</w:instrText>
    </w:r>
    <w:r w:rsidRPr="008478E5">
      <w:rPr>
        <w:sz w:val="16"/>
        <w:szCs w:val="18"/>
      </w:rPr>
      <w:instrText>" ""</w:instrText>
    </w:r>
    <w:r>
      <w:rPr>
        <w:sz w:val="16"/>
        <w:szCs w:val="18"/>
      </w:rPr>
      <w:instrText xml:space="preserve"> </w:instrText>
    </w:r>
    <w:r>
      <w:rPr>
        <w:sz w:val="16"/>
        <w:szCs w:val="18"/>
      </w:rPr>
      <w:fldChar w:fldCharType="separate"/>
    </w:r>
    <w:r w:rsidR="00CB6357">
      <w:rPr>
        <w:noProof/>
        <w:sz w:val="16"/>
        <w:szCs w:val="18"/>
      </w:rPr>
      <w:t xml:space="preserve"> 4808795.4</w:t>
    </w:r>
    <w:r>
      <w:rPr>
        <w:sz w:val="16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50D8" w:rsidRDefault="004750D8">
      <w:r>
        <w:separator/>
      </w:r>
    </w:p>
  </w:footnote>
  <w:footnote w:type="continuationSeparator" w:id="0">
    <w:p w:rsidR="004750D8" w:rsidRDefault="004750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779" w:rsidRPr="00FB1779" w:rsidRDefault="00FB1779" w:rsidP="004750D8">
    <w:pPr>
      <w:pStyle w:val="Header"/>
      <w:jc w:val="right"/>
      <w:rPr>
        <w:sz w:val="20"/>
      </w:rPr>
    </w:pPr>
    <w:r w:rsidRPr="00FB1779">
      <w:rPr>
        <w:noProof/>
        <w:sz w:val="20"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7345E5D4" wp14:editId="5B8EE159">
              <wp:simplePos x="0" y="0"/>
              <wp:positionH relativeFrom="margin">
                <wp:posOffset>-640080</wp:posOffset>
              </wp:positionH>
              <wp:positionV relativeFrom="margin">
                <wp:posOffset>0</wp:posOffset>
              </wp:positionV>
              <wp:extent cx="457200" cy="7589520"/>
              <wp:effectExtent l="0" t="0" r="1905" b="1905"/>
              <wp:wrapNone/>
              <wp:docPr id="5" name="LineNumbers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75895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B1779" w:rsidRDefault="00FB1779">
                          <w:pPr>
                            <w:spacing w:line="480" w:lineRule="exact"/>
                            <w:jc w:val="right"/>
                          </w:pPr>
                          <w:r>
                            <w:t>1</w:t>
                          </w:r>
                        </w:p>
                        <w:p w:rsidR="00FB1779" w:rsidRDefault="00FB1779">
                          <w:pPr>
                            <w:spacing w:line="480" w:lineRule="exact"/>
                            <w:jc w:val="right"/>
                          </w:pPr>
                          <w:r>
                            <w:t>2</w:t>
                          </w:r>
                        </w:p>
                        <w:p w:rsidR="00FB1779" w:rsidRDefault="00FB1779">
                          <w:pPr>
                            <w:spacing w:line="480" w:lineRule="exact"/>
                            <w:jc w:val="right"/>
                          </w:pPr>
                          <w:r>
                            <w:t>3</w:t>
                          </w:r>
                        </w:p>
                        <w:p w:rsidR="00FB1779" w:rsidRDefault="00FB1779">
                          <w:pPr>
                            <w:spacing w:line="480" w:lineRule="exact"/>
                            <w:jc w:val="right"/>
                          </w:pPr>
                          <w:r>
                            <w:t>4</w:t>
                          </w:r>
                        </w:p>
                        <w:p w:rsidR="00FB1779" w:rsidRDefault="00FB1779">
                          <w:pPr>
                            <w:spacing w:line="480" w:lineRule="exact"/>
                            <w:jc w:val="right"/>
                          </w:pPr>
                          <w:r>
                            <w:t>5</w:t>
                          </w:r>
                        </w:p>
                        <w:p w:rsidR="00FB1779" w:rsidRDefault="00FB1779">
                          <w:pPr>
                            <w:spacing w:line="480" w:lineRule="exact"/>
                            <w:jc w:val="right"/>
                          </w:pPr>
                          <w:r>
                            <w:t>6</w:t>
                          </w:r>
                        </w:p>
                        <w:p w:rsidR="00FB1779" w:rsidRDefault="00FB1779">
                          <w:pPr>
                            <w:spacing w:line="480" w:lineRule="exact"/>
                            <w:jc w:val="right"/>
                          </w:pPr>
                          <w:r>
                            <w:t>7</w:t>
                          </w:r>
                        </w:p>
                        <w:p w:rsidR="00FB1779" w:rsidRDefault="00FB1779">
                          <w:pPr>
                            <w:spacing w:line="480" w:lineRule="exact"/>
                            <w:jc w:val="right"/>
                          </w:pPr>
                          <w:r>
                            <w:t>8</w:t>
                          </w:r>
                        </w:p>
                        <w:p w:rsidR="00FB1779" w:rsidRDefault="00FB1779">
                          <w:pPr>
                            <w:spacing w:line="480" w:lineRule="exact"/>
                            <w:jc w:val="right"/>
                          </w:pPr>
                          <w:r>
                            <w:t>9</w:t>
                          </w:r>
                        </w:p>
                        <w:p w:rsidR="00FB1779" w:rsidRDefault="00FB1779">
                          <w:pPr>
                            <w:spacing w:line="480" w:lineRule="exact"/>
                            <w:jc w:val="right"/>
                          </w:pPr>
                          <w:r>
                            <w:t>10</w:t>
                          </w:r>
                        </w:p>
                        <w:p w:rsidR="00FB1779" w:rsidRDefault="00FB1779">
                          <w:pPr>
                            <w:spacing w:line="480" w:lineRule="exact"/>
                            <w:jc w:val="right"/>
                          </w:pPr>
                          <w:r>
                            <w:t>11</w:t>
                          </w:r>
                        </w:p>
                        <w:p w:rsidR="00FB1779" w:rsidRDefault="00FB1779">
                          <w:pPr>
                            <w:spacing w:line="480" w:lineRule="exact"/>
                            <w:jc w:val="right"/>
                          </w:pPr>
                          <w:r>
                            <w:t>12</w:t>
                          </w:r>
                        </w:p>
                        <w:p w:rsidR="00FB1779" w:rsidRDefault="00FB1779">
                          <w:pPr>
                            <w:spacing w:line="480" w:lineRule="exact"/>
                            <w:jc w:val="right"/>
                          </w:pPr>
                          <w:r>
                            <w:t>13</w:t>
                          </w:r>
                        </w:p>
                        <w:p w:rsidR="00FB1779" w:rsidRDefault="00FB1779">
                          <w:pPr>
                            <w:spacing w:line="480" w:lineRule="exact"/>
                            <w:jc w:val="right"/>
                          </w:pPr>
                          <w:r>
                            <w:t>14</w:t>
                          </w:r>
                        </w:p>
                        <w:p w:rsidR="00FB1779" w:rsidRDefault="00FB1779">
                          <w:pPr>
                            <w:spacing w:line="480" w:lineRule="exact"/>
                            <w:jc w:val="right"/>
                          </w:pPr>
                          <w:r>
                            <w:t>15</w:t>
                          </w:r>
                        </w:p>
                        <w:p w:rsidR="00FB1779" w:rsidRDefault="00FB1779">
                          <w:pPr>
                            <w:spacing w:line="480" w:lineRule="exact"/>
                            <w:jc w:val="right"/>
                          </w:pPr>
                          <w:r>
                            <w:t>16</w:t>
                          </w:r>
                        </w:p>
                        <w:p w:rsidR="00FB1779" w:rsidRDefault="00FB1779">
                          <w:pPr>
                            <w:spacing w:line="480" w:lineRule="exact"/>
                            <w:jc w:val="right"/>
                          </w:pPr>
                          <w:r>
                            <w:t>17</w:t>
                          </w:r>
                        </w:p>
                        <w:p w:rsidR="00FB1779" w:rsidRDefault="00FB1779">
                          <w:pPr>
                            <w:spacing w:line="480" w:lineRule="exact"/>
                            <w:jc w:val="right"/>
                          </w:pPr>
                          <w:r>
                            <w:t>18</w:t>
                          </w:r>
                        </w:p>
                        <w:p w:rsidR="00FB1779" w:rsidRDefault="00FB1779">
                          <w:pPr>
                            <w:spacing w:line="480" w:lineRule="exact"/>
                            <w:jc w:val="right"/>
                          </w:pPr>
                          <w:r>
                            <w:t>19</w:t>
                          </w:r>
                        </w:p>
                        <w:p w:rsidR="00FB1779" w:rsidRDefault="00FB1779">
                          <w:pPr>
                            <w:spacing w:line="480" w:lineRule="exact"/>
                            <w:jc w:val="right"/>
                          </w:pPr>
                          <w:r>
                            <w:t>20</w:t>
                          </w:r>
                        </w:p>
                        <w:p w:rsidR="00FB1779" w:rsidRDefault="00FB1779">
                          <w:pPr>
                            <w:spacing w:line="480" w:lineRule="exact"/>
                            <w:jc w:val="right"/>
                          </w:pPr>
                          <w:r>
                            <w:t>21</w:t>
                          </w:r>
                        </w:p>
                        <w:p w:rsidR="00FB1779" w:rsidRDefault="00FB1779">
                          <w:pPr>
                            <w:spacing w:line="480" w:lineRule="exact"/>
                            <w:jc w:val="right"/>
                          </w:pPr>
                          <w:r>
                            <w:t>22</w:t>
                          </w:r>
                        </w:p>
                        <w:p w:rsidR="00FB1779" w:rsidRDefault="00FB1779">
                          <w:pPr>
                            <w:spacing w:line="480" w:lineRule="exact"/>
                            <w:jc w:val="right"/>
                          </w:pPr>
                          <w:r>
                            <w:t>23</w:t>
                          </w:r>
                        </w:p>
                        <w:p w:rsidR="00FB1779" w:rsidRDefault="00FB1779">
                          <w:pPr>
                            <w:spacing w:line="480" w:lineRule="exact"/>
                            <w:jc w:val="right"/>
                          </w:pPr>
                          <w:r>
                            <w:t>24</w:t>
                          </w:r>
                        </w:p>
                        <w:p w:rsidR="00FB1779" w:rsidRDefault="00FB1779">
                          <w:pPr>
                            <w:spacing w:line="480" w:lineRule="exact"/>
                            <w:jc w:val="right"/>
                          </w:pPr>
                          <w:r>
                            <w:t>25</w:t>
                          </w:r>
                        </w:p>
                        <w:p w:rsidR="00FB1779" w:rsidRDefault="00FB1779">
                          <w:pPr>
                            <w:spacing w:line="480" w:lineRule="atLeast"/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LineNumbers" o:spid="_x0000_s1026" type="#_x0000_t202" style="position:absolute;left:0;text-align:left;margin-left:-50.4pt;margin-top:0;width:36pt;height:597.6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" o:allowincell="f" stroked="f">
              <v:textbox inset="0,0,0,0">
                <w:txbxContent>
                  <w:p w:rsidR="00FB1779" w:rsidRDefault="00FB1779">
                    <w:pPr>
                      <w:spacing w:line="480" w:lineRule="exact"/>
                      <w:jc w:val="right"/>
                    </w:pPr>
                    <w:r>
                      <w:t>1</w:t>
                    </w:r>
                  </w:p>
                  <w:p w:rsidR="00FB1779" w:rsidRDefault="00FB1779">
                    <w:pPr>
                      <w:spacing w:line="480" w:lineRule="exact"/>
                      <w:jc w:val="right"/>
                    </w:pPr>
                    <w:r>
                      <w:t>2</w:t>
                    </w:r>
                  </w:p>
                  <w:p w:rsidR="00FB1779" w:rsidRDefault="00FB1779">
                    <w:pPr>
                      <w:spacing w:line="480" w:lineRule="exact"/>
                      <w:jc w:val="right"/>
                    </w:pPr>
                    <w:r>
                      <w:t>3</w:t>
                    </w:r>
                  </w:p>
                  <w:p w:rsidR="00FB1779" w:rsidRDefault="00FB1779">
                    <w:pPr>
                      <w:spacing w:line="480" w:lineRule="exact"/>
                      <w:jc w:val="right"/>
                    </w:pPr>
                    <w:r>
                      <w:t>4</w:t>
                    </w:r>
                  </w:p>
                  <w:p w:rsidR="00FB1779" w:rsidRDefault="00FB1779">
                    <w:pPr>
                      <w:spacing w:line="480" w:lineRule="exact"/>
                      <w:jc w:val="right"/>
                    </w:pPr>
                    <w:r>
                      <w:t>5</w:t>
                    </w:r>
                  </w:p>
                  <w:p w:rsidR="00FB1779" w:rsidRDefault="00FB1779">
                    <w:pPr>
                      <w:spacing w:line="480" w:lineRule="exact"/>
                      <w:jc w:val="right"/>
                    </w:pPr>
                    <w:r>
                      <w:t>6</w:t>
                    </w:r>
                  </w:p>
                  <w:p w:rsidR="00FB1779" w:rsidRDefault="00FB1779">
                    <w:pPr>
                      <w:spacing w:line="480" w:lineRule="exact"/>
                      <w:jc w:val="right"/>
                    </w:pPr>
                    <w:r>
                      <w:t>7</w:t>
                    </w:r>
                  </w:p>
                  <w:p w:rsidR="00FB1779" w:rsidRDefault="00FB1779">
                    <w:pPr>
                      <w:spacing w:line="480" w:lineRule="exact"/>
                      <w:jc w:val="right"/>
                    </w:pPr>
                    <w:r>
                      <w:t>8</w:t>
                    </w:r>
                  </w:p>
                  <w:p w:rsidR="00FB1779" w:rsidRDefault="00FB1779">
                    <w:pPr>
                      <w:spacing w:line="480" w:lineRule="exact"/>
                      <w:jc w:val="right"/>
                    </w:pPr>
                    <w:r>
                      <w:t>9</w:t>
                    </w:r>
                  </w:p>
                  <w:p w:rsidR="00FB1779" w:rsidRDefault="00FB1779">
                    <w:pPr>
                      <w:spacing w:line="480" w:lineRule="exact"/>
                      <w:jc w:val="right"/>
                    </w:pPr>
                    <w:r>
                      <w:t>10</w:t>
                    </w:r>
                  </w:p>
                  <w:p w:rsidR="00FB1779" w:rsidRDefault="00FB1779">
                    <w:pPr>
                      <w:spacing w:line="480" w:lineRule="exact"/>
                      <w:jc w:val="right"/>
                    </w:pPr>
                    <w:r>
                      <w:t>11</w:t>
                    </w:r>
                  </w:p>
                  <w:p w:rsidR="00FB1779" w:rsidRDefault="00FB1779">
                    <w:pPr>
                      <w:spacing w:line="480" w:lineRule="exact"/>
                      <w:jc w:val="right"/>
                    </w:pPr>
                    <w:r>
                      <w:t>12</w:t>
                    </w:r>
                  </w:p>
                  <w:p w:rsidR="00FB1779" w:rsidRDefault="00FB1779">
                    <w:pPr>
                      <w:spacing w:line="480" w:lineRule="exact"/>
                      <w:jc w:val="right"/>
                    </w:pPr>
                    <w:r>
                      <w:t>13</w:t>
                    </w:r>
                  </w:p>
                  <w:p w:rsidR="00FB1779" w:rsidRDefault="00FB1779">
                    <w:pPr>
                      <w:spacing w:line="480" w:lineRule="exact"/>
                      <w:jc w:val="right"/>
                    </w:pPr>
                    <w:r>
                      <w:t>14</w:t>
                    </w:r>
                  </w:p>
                  <w:p w:rsidR="00FB1779" w:rsidRDefault="00FB1779">
                    <w:pPr>
                      <w:spacing w:line="480" w:lineRule="exact"/>
                      <w:jc w:val="right"/>
                    </w:pPr>
                    <w:r>
                      <w:t>15</w:t>
                    </w:r>
                  </w:p>
                  <w:p w:rsidR="00FB1779" w:rsidRDefault="00FB1779">
                    <w:pPr>
                      <w:spacing w:line="480" w:lineRule="exact"/>
                      <w:jc w:val="right"/>
                    </w:pPr>
                    <w:r>
                      <w:t>16</w:t>
                    </w:r>
                  </w:p>
                  <w:p w:rsidR="00FB1779" w:rsidRDefault="00FB1779">
                    <w:pPr>
                      <w:spacing w:line="480" w:lineRule="exact"/>
                      <w:jc w:val="right"/>
                    </w:pPr>
                    <w:r>
                      <w:t>17</w:t>
                    </w:r>
                  </w:p>
                  <w:p w:rsidR="00FB1779" w:rsidRDefault="00FB1779">
                    <w:pPr>
                      <w:spacing w:line="480" w:lineRule="exact"/>
                      <w:jc w:val="right"/>
                    </w:pPr>
                    <w:r>
                      <w:t>18</w:t>
                    </w:r>
                  </w:p>
                  <w:p w:rsidR="00FB1779" w:rsidRDefault="00FB1779">
                    <w:pPr>
                      <w:spacing w:line="480" w:lineRule="exact"/>
                      <w:jc w:val="right"/>
                    </w:pPr>
                    <w:r>
                      <w:t>19</w:t>
                    </w:r>
                  </w:p>
                  <w:p w:rsidR="00FB1779" w:rsidRDefault="00FB1779">
                    <w:pPr>
                      <w:spacing w:line="480" w:lineRule="exact"/>
                      <w:jc w:val="right"/>
                    </w:pPr>
                    <w:r>
                      <w:t>20</w:t>
                    </w:r>
                  </w:p>
                  <w:p w:rsidR="00FB1779" w:rsidRDefault="00FB1779">
                    <w:pPr>
                      <w:spacing w:line="480" w:lineRule="exact"/>
                      <w:jc w:val="right"/>
                    </w:pPr>
                    <w:r>
                      <w:t>21</w:t>
                    </w:r>
                  </w:p>
                  <w:p w:rsidR="00FB1779" w:rsidRDefault="00FB1779">
                    <w:pPr>
                      <w:spacing w:line="480" w:lineRule="exact"/>
                      <w:jc w:val="right"/>
                    </w:pPr>
                    <w:r>
                      <w:t>22</w:t>
                    </w:r>
                  </w:p>
                  <w:p w:rsidR="00FB1779" w:rsidRDefault="00FB1779">
                    <w:pPr>
                      <w:spacing w:line="480" w:lineRule="exact"/>
                      <w:jc w:val="right"/>
                    </w:pPr>
                    <w:r>
                      <w:t>23</w:t>
                    </w:r>
                  </w:p>
                  <w:p w:rsidR="00FB1779" w:rsidRDefault="00FB1779">
                    <w:pPr>
                      <w:spacing w:line="480" w:lineRule="exact"/>
                      <w:jc w:val="right"/>
                    </w:pPr>
                    <w:r>
                      <w:t>24</w:t>
                    </w:r>
                  </w:p>
                  <w:p w:rsidR="00FB1779" w:rsidRDefault="00FB1779">
                    <w:pPr>
                      <w:spacing w:line="480" w:lineRule="exact"/>
                      <w:jc w:val="right"/>
                    </w:pPr>
                    <w:r>
                      <w:t>25</w:t>
                    </w:r>
                  </w:p>
                  <w:p w:rsidR="00FB1779" w:rsidRDefault="00FB1779">
                    <w:pPr>
                      <w:spacing w:line="480" w:lineRule="atLeast"/>
                      <w:jc w:val="right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 w:rsidRPr="00FB1779">
      <w:rPr>
        <w:sz w:val="20"/>
      </w:rPr>
      <w:t>D</w:t>
    </w:r>
    <w:r w:rsidR="00E6292B">
      <w:rPr>
        <w:sz w:val="20"/>
      </w:rPr>
      <w:t>ocket No</w:t>
    </w:r>
    <w:r w:rsidR="00A20B4D">
      <w:rPr>
        <w:sz w:val="20"/>
      </w:rPr>
      <w:t>. TG-______</w:t>
    </w:r>
    <w:r w:rsidR="00F27F56">
      <w:rPr>
        <w:sz w:val="20"/>
      </w:rPr>
      <w:t>_________</w:t>
    </w:r>
  </w:p>
  <w:p w:rsidR="00FB1779" w:rsidRPr="00FB1779" w:rsidRDefault="00C31577" w:rsidP="004750D8">
    <w:pPr>
      <w:pStyle w:val="Header"/>
      <w:jc w:val="right"/>
      <w:rPr>
        <w:sz w:val="20"/>
      </w:rPr>
    </w:pPr>
    <w:r>
      <w:rPr>
        <w:sz w:val="20"/>
      </w:rPr>
      <w:t xml:space="preserve">Supplemental </w:t>
    </w:r>
    <w:r w:rsidR="000503FF">
      <w:rPr>
        <w:sz w:val="20"/>
      </w:rPr>
      <w:t>Testimony of Jackie Davis</w:t>
    </w:r>
  </w:p>
  <w:p w:rsidR="00FB1779" w:rsidRPr="00FB1779" w:rsidRDefault="000503FF" w:rsidP="004750D8">
    <w:pPr>
      <w:pStyle w:val="Header"/>
      <w:jc w:val="right"/>
      <w:rPr>
        <w:sz w:val="20"/>
      </w:rPr>
    </w:pPr>
    <w:r>
      <w:rPr>
        <w:sz w:val="20"/>
      </w:rPr>
      <w:t>Exhibit</w:t>
    </w:r>
    <w:r w:rsidR="00C74FFE">
      <w:rPr>
        <w:sz w:val="20"/>
      </w:rPr>
      <w:t xml:space="preserve"> No. _</w:t>
    </w:r>
    <w:r w:rsidR="00F27F56">
      <w:rPr>
        <w:sz w:val="20"/>
      </w:rPr>
      <w:t>____</w:t>
    </w:r>
    <w:r w:rsidR="00C74FFE">
      <w:rPr>
        <w:sz w:val="20"/>
      </w:rPr>
      <w:t>__</w:t>
    </w:r>
    <w:r>
      <w:rPr>
        <w:sz w:val="20"/>
      </w:rPr>
      <w:t xml:space="preserve"> </w:t>
    </w:r>
    <w:r w:rsidR="00C74FFE">
      <w:rPr>
        <w:sz w:val="20"/>
      </w:rPr>
      <w:t>(</w:t>
    </w:r>
    <w:r>
      <w:rPr>
        <w:sz w:val="20"/>
      </w:rPr>
      <w:t>JD-</w:t>
    </w:r>
    <w:r w:rsidR="00A15B31">
      <w:rPr>
        <w:sz w:val="20"/>
      </w:rPr>
      <w:t>_</w:t>
    </w:r>
    <w:r w:rsidR="00F27F56">
      <w:rPr>
        <w:sz w:val="20"/>
      </w:rPr>
      <w:t>____</w:t>
    </w:r>
    <w:r w:rsidR="00A15B31">
      <w:rPr>
        <w:sz w:val="20"/>
      </w:rPr>
      <w:t>_</w:t>
    </w:r>
    <w:r>
      <w:rPr>
        <w:sz w:val="20"/>
      </w:rPr>
      <w:t>T</w:t>
    </w:r>
    <w:r w:rsidR="00C74FFE">
      <w:rPr>
        <w:sz w:val="20"/>
      </w:rPr>
      <w:t>)</w:t>
    </w:r>
  </w:p>
  <w:p w:rsidR="00FB1779" w:rsidRPr="00FB1779" w:rsidRDefault="00FB042B" w:rsidP="004750D8">
    <w:pPr>
      <w:pStyle w:val="Header"/>
      <w:jc w:val="right"/>
      <w:rPr>
        <w:sz w:val="20"/>
      </w:rPr>
    </w:pPr>
    <w:r>
      <w:rPr>
        <w:sz w:val="20"/>
      </w:rPr>
      <w:t>April</w:t>
    </w:r>
    <w:r w:rsidR="00C31577">
      <w:rPr>
        <w:sz w:val="20"/>
      </w:rPr>
      <w:t xml:space="preserve"> </w:t>
    </w:r>
    <w:r w:rsidR="00A15B31">
      <w:rPr>
        <w:sz w:val="20"/>
      </w:rPr>
      <w:t>3</w:t>
    </w:r>
    <w:r w:rsidR="000503FF">
      <w:rPr>
        <w:sz w:val="20"/>
      </w:rPr>
      <w:t>, 2014</w:t>
    </w:r>
  </w:p>
  <w:p w:rsidR="00FB1779" w:rsidRDefault="00FB1779" w:rsidP="004750D8">
    <w:pPr>
      <w:pStyle w:val="Header"/>
      <w:jc w:val="right"/>
      <w:rPr>
        <w:noProof/>
        <w:sz w:val="20"/>
      </w:rPr>
    </w:pPr>
    <w:r w:rsidRPr="00FB1779">
      <w:rPr>
        <w:sz w:val="20"/>
      </w:rPr>
      <w:t xml:space="preserve">Page </w:t>
    </w:r>
    <w:r w:rsidRPr="00FB1779">
      <w:rPr>
        <w:sz w:val="20"/>
      </w:rPr>
      <w:fldChar w:fldCharType="begin"/>
    </w:r>
    <w:r w:rsidRPr="00FB1779">
      <w:rPr>
        <w:sz w:val="20"/>
      </w:rPr>
      <w:instrText xml:space="preserve"> PAGE   \* MERGEFORMAT </w:instrText>
    </w:r>
    <w:r w:rsidRPr="00FB1779">
      <w:rPr>
        <w:sz w:val="20"/>
      </w:rPr>
      <w:fldChar w:fldCharType="separate"/>
    </w:r>
    <w:r w:rsidR="00CB6357">
      <w:rPr>
        <w:noProof/>
        <w:sz w:val="20"/>
      </w:rPr>
      <w:t>1</w:t>
    </w:r>
    <w:r w:rsidRPr="00FB1779">
      <w:rPr>
        <w:noProof/>
        <w:sz w:val="20"/>
      </w:rPr>
      <w:fldChar w:fldCharType="end"/>
    </w:r>
  </w:p>
  <w:p w:rsidR="00FB1779" w:rsidRPr="00FB1779" w:rsidRDefault="00FB1779" w:rsidP="004750D8">
    <w:pPr>
      <w:pStyle w:val="Header"/>
      <w:jc w:val="right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2566F7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452954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9452961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96CD52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0790701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B8221D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5B2B3B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C3E1CA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8883B9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E0AE6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08C36FB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315E209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>
    <w:nsid w:val="37765641"/>
    <w:multiLevelType w:val="multilevel"/>
    <w:tmpl w:val="8214CE6C"/>
    <w:lvl w:ilvl="0">
      <w:start w:val="1"/>
      <w:numFmt w:val="upperRoman"/>
      <w:pStyle w:val="Heading1"/>
      <w:suff w:val="nothing"/>
      <w:lvlText w:val="%1.  "/>
      <w:lvlJc w:val="left"/>
      <w:pPr>
        <w:ind w:left="0" w:firstLine="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00000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pStyle w:val="Heading2"/>
      <w:lvlText w:val="%2."/>
      <w:lvlJc w:val="left"/>
      <w:pPr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00000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Heading3"/>
      <w:lvlText w:val="%3."/>
      <w:lvlJc w:val="left"/>
      <w:pPr>
        <w:ind w:left="144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00000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Heading4"/>
      <w:lvlText w:val="%4."/>
      <w:lvlJc w:val="left"/>
      <w:pPr>
        <w:ind w:left="216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00000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Heading5"/>
      <w:lvlText w:val="(%5)"/>
      <w:lvlJc w:val="left"/>
      <w:pPr>
        <w:ind w:left="2880" w:hanging="720"/>
      </w:pPr>
      <w:rPr>
        <w:rFonts w:ascii="(normal text)" w:hAnsi="(normal text)"/>
        <w:b w:val="0"/>
        <w:i w:val="0"/>
        <w:caps w:val="0"/>
        <w:strike w:val="0"/>
        <w:dstrike w:val="0"/>
        <w:vanish w:val="0"/>
        <w:color w:val="00000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pStyle w:val="Heading6"/>
      <w:lvlText w:val="(%6)"/>
      <w:lvlJc w:val="left"/>
      <w:pPr>
        <w:ind w:left="3600" w:hanging="720"/>
      </w:pPr>
      <w:rPr>
        <w:rFonts w:ascii="(normal text)" w:hAnsi="(normal text)"/>
        <w:b w:val="0"/>
        <w:i w:val="0"/>
        <w:caps w:val="0"/>
        <w:strike w:val="0"/>
        <w:dstrike w:val="0"/>
        <w:vanish w:val="0"/>
        <w:color w:val="00000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Roman"/>
      <w:pStyle w:val="Heading7"/>
      <w:lvlText w:val="(%7)"/>
      <w:lvlJc w:val="left"/>
      <w:pPr>
        <w:ind w:left="4320" w:hanging="720"/>
      </w:pPr>
      <w:rPr>
        <w:rFonts w:ascii="(normal text)" w:hAnsi="(normal text)"/>
        <w:b w:val="0"/>
        <w:i w:val="0"/>
        <w:caps w:val="0"/>
        <w:strike w:val="0"/>
        <w:dstrike w:val="0"/>
        <w:vanish w:val="0"/>
        <w:color w:val="00000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pStyle w:val="Heading8"/>
      <w:lvlText w:val="(%8)"/>
      <w:lvlJc w:val="left"/>
      <w:pPr>
        <w:ind w:left="5040" w:hanging="720"/>
      </w:pPr>
      <w:rPr>
        <w:rFonts w:ascii="(normal text)" w:hAnsi="(normal text)"/>
        <w:b w:val="0"/>
        <w:i w:val="0"/>
        <w:caps w:val="0"/>
        <w:strike w:val="0"/>
        <w:dstrike w:val="0"/>
        <w:vanish w:val="0"/>
        <w:color w:val="00000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pStyle w:val="Heading9"/>
      <w:lvlText w:val="(%9)"/>
      <w:lvlJc w:val="left"/>
      <w:pPr>
        <w:ind w:left="5760" w:hanging="720"/>
      </w:pPr>
      <w:rPr>
        <w:rFonts w:ascii="(normal text)" w:hAnsi="(normal text)"/>
        <w:b w:val="0"/>
        <w:i w:val="0"/>
        <w:caps w:val="0"/>
        <w:strike w:val="0"/>
        <w:dstrike w:val="0"/>
        <w:vanish w:val="0"/>
        <w:color w:val="00000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>
    <w:nsid w:val="7D515D3A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0"/>
  </w:num>
  <w:num w:numId="2">
    <w:abstractNumId w:val="13"/>
  </w:num>
  <w:num w:numId="3">
    <w:abstractNumId w:val="11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9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stylePaneFormatFilter w:val="0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characterSpacingControl w:val="doNotCompress"/>
  <w:hdrShapeDefaults>
    <o:shapedefaults v:ext="edit" spidmax="241665"/>
  </w:hdrShapeDefaults>
  <w:footnotePr>
    <w:footnote w:id="-1"/>
    <w:footnote w:id="0"/>
  </w:footnotePr>
  <w:endnotePr>
    <w:endnote w:id="-1"/>
    <w:endnote w:id="0"/>
  </w:endnotePr>
  <w:compat>
    <w:noExtraLine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0D8"/>
    <w:rsid w:val="00020B5E"/>
    <w:rsid w:val="0002261C"/>
    <w:rsid w:val="00023CBB"/>
    <w:rsid w:val="000254BB"/>
    <w:rsid w:val="00036936"/>
    <w:rsid w:val="000503FF"/>
    <w:rsid w:val="00051274"/>
    <w:rsid w:val="000644FD"/>
    <w:rsid w:val="00082B53"/>
    <w:rsid w:val="00085901"/>
    <w:rsid w:val="000962F2"/>
    <w:rsid w:val="000A0361"/>
    <w:rsid w:val="000A62DD"/>
    <w:rsid w:val="000B01B6"/>
    <w:rsid w:val="000B22EA"/>
    <w:rsid w:val="000C3054"/>
    <w:rsid w:val="000C534E"/>
    <w:rsid w:val="000C53E1"/>
    <w:rsid w:val="000E5826"/>
    <w:rsid w:val="000F1FA6"/>
    <w:rsid w:val="000F3D3F"/>
    <w:rsid w:val="000F7250"/>
    <w:rsid w:val="00102142"/>
    <w:rsid w:val="00102884"/>
    <w:rsid w:val="0010666E"/>
    <w:rsid w:val="00110573"/>
    <w:rsid w:val="001115FA"/>
    <w:rsid w:val="00125503"/>
    <w:rsid w:val="00132875"/>
    <w:rsid w:val="0014218F"/>
    <w:rsid w:val="00142F30"/>
    <w:rsid w:val="001552A7"/>
    <w:rsid w:val="00162CA3"/>
    <w:rsid w:val="001710B3"/>
    <w:rsid w:val="00194D9A"/>
    <w:rsid w:val="00196301"/>
    <w:rsid w:val="001A2576"/>
    <w:rsid w:val="001A4197"/>
    <w:rsid w:val="001C1CD9"/>
    <w:rsid w:val="001C4CEC"/>
    <w:rsid w:val="001C4F95"/>
    <w:rsid w:val="001E152F"/>
    <w:rsid w:val="001E5825"/>
    <w:rsid w:val="001F4170"/>
    <w:rsid w:val="001F6689"/>
    <w:rsid w:val="001F71D4"/>
    <w:rsid w:val="002147B8"/>
    <w:rsid w:val="002210A6"/>
    <w:rsid w:val="0022584E"/>
    <w:rsid w:val="00250D7A"/>
    <w:rsid w:val="0025164C"/>
    <w:rsid w:val="00252DAC"/>
    <w:rsid w:val="00263836"/>
    <w:rsid w:val="002658C5"/>
    <w:rsid w:val="00276714"/>
    <w:rsid w:val="002865A6"/>
    <w:rsid w:val="00292A63"/>
    <w:rsid w:val="002A4307"/>
    <w:rsid w:val="002B10BC"/>
    <w:rsid w:val="002C48FA"/>
    <w:rsid w:val="002C631F"/>
    <w:rsid w:val="002E0ED2"/>
    <w:rsid w:val="002E1680"/>
    <w:rsid w:val="002E7073"/>
    <w:rsid w:val="002F248E"/>
    <w:rsid w:val="002F2A5A"/>
    <w:rsid w:val="002F61B7"/>
    <w:rsid w:val="002F7D06"/>
    <w:rsid w:val="00301748"/>
    <w:rsid w:val="003143EA"/>
    <w:rsid w:val="003145B5"/>
    <w:rsid w:val="00340B06"/>
    <w:rsid w:val="00341F73"/>
    <w:rsid w:val="0034443B"/>
    <w:rsid w:val="00346A87"/>
    <w:rsid w:val="00350595"/>
    <w:rsid w:val="003533FF"/>
    <w:rsid w:val="0035347C"/>
    <w:rsid w:val="0035444F"/>
    <w:rsid w:val="003745EF"/>
    <w:rsid w:val="003759D0"/>
    <w:rsid w:val="003779FF"/>
    <w:rsid w:val="00387A18"/>
    <w:rsid w:val="00391D7B"/>
    <w:rsid w:val="0039331E"/>
    <w:rsid w:val="00394882"/>
    <w:rsid w:val="00395B1B"/>
    <w:rsid w:val="003A2869"/>
    <w:rsid w:val="003B7A80"/>
    <w:rsid w:val="003D2FB7"/>
    <w:rsid w:val="003D4494"/>
    <w:rsid w:val="003D7446"/>
    <w:rsid w:val="003F324D"/>
    <w:rsid w:val="003F3F79"/>
    <w:rsid w:val="00401F63"/>
    <w:rsid w:val="004033A4"/>
    <w:rsid w:val="00403719"/>
    <w:rsid w:val="004109C7"/>
    <w:rsid w:val="00417C12"/>
    <w:rsid w:val="0042306E"/>
    <w:rsid w:val="00424121"/>
    <w:rsid w:val="00430797"/>
    <w:rsid w:val="00444006"/>
    <w:rsid w:val="00446567"/>
    <w:rsid w:val="00446C2F"/>
    <w:rsid w:val="00453004"/>
    <w:rsid w:val="0045578B"/>
    <w:rsid w:val="00456E81"/>
    <w:rsid w:val="0046411D"/>
    <w:rsid w:val="00472C3F"/>
    <w:rsid w:val="00473829"/>
    <w:rsid w:val="004750D8"/>
    <w:rsid w:val="0047727B"/>
    <w:rsid w:val="00480BFE"/>
    <w:rsid w:val="00484DE5"/>
    <w:rsid w:val="00493B0C"/>
    <w:rsid w:val="004966FC"/>
    <w:rsid w:val="004B4CBE"/>
    <w:rsid w:val="004B5213"/>
    <w:rsid w:val="004B6374"/>
    <w:rsid w:val="004C4C1D"/>
    <w:rsid w:val="004D20C9"/>
    <w:rsid w:val="004E0142"/>
    <w:rsid w:val="004E6637"/>
    <w:rsid w:val="004F5C3E"/>
    <w:rsid w:val="004F6E42"/>
    <w:rsid w:val="00502C62"/>
    <w:rsid w:val="00503287"/>
    <w:rsid w:val="005041EB"/>
    <w:rsid w:val="005123BD"/>
    <w:rsid w:val="005140E8"/>
    <w:rsid w:val="00533AE5"/>
    <w:rsid w:val="00533B55"/>
    <w:rsid w:val="00535809"/>
    <w:rsid w:val="005417F9"/>
    <w:rsid w:val="0055091E"/>
    <w:rsid w:val="005532C5"/>
    <w:rsid w:val="0056588F"/>
    <w:rsid w:val="0057002A"/>
    <w:rsid w:val="00570615"/>
    <w:rsid w:val="00576362"/>
    <w:rsid w:val="0058788E"/>
    <w:rsid w:val="00596FEE"/>
    <w:rsid w:val="005A1DB1"/>
    <w:rsid w:val="005A6CCB"/>
    <w:rsid w:val="005B23AF"/>
    <w:rsid w:val="005B2CCC"/>
    <w:rsid w:val="005C264E"/>
    <w:rsid w:val="005C627B"/>
    <w:rsid w:val="005C655D"/>
    <w:rsid w:val="005E6F11"/>
    <w:rsid w:val="005F07EE"/>
    <w:rsid w:val="00600F02"/>
    <w:rsid w:val="00605AB7"/>
    <w:rsid w:val="00611528"/>
    <w:rsid w:val="006271A7"/>
    <w:rsid w:val="00643A8D"/>
    <w:rsid w:val="00646EF7"/>
    <w:rsid w:val="00651AC7"/>
    <w:rsid w:val="006563B0"/>
    <w:rsid w:val="00666DCF"/>
    <w:rsid w:val="0068206D"/>
    <w:rsid w:val="00682332"/>
    <w:rsid w:val="00686689"/>
    <w:rsid w:val="00687446"/>
    <w:rsid w:val="0068752D"/>
    <w:rsid w:val="006901A0"/>
    <w:rsid w:val="006935E9"/>
    <w:rsid w:val="00695219"/>
    <w:rsid w:val="00697339"/>
    <w:rsid w:val="006A3CCA"/>
    <w:rsid w:val="006C24F1"/>
    <w:rsid w:val="006C37DE"/>
    <w:rsid w:val="006C3CE7"/>
    <w:rsid w:val="006D60D5"/>
    <w:rsid w:val="006E2ED5"/>
    <w:rsid w:val="006E593E"/>
    <w:rsid w:val="0070651E"/>
    <w:rsid w:val="00721C95"/>
    <w:rsid w:val="00724A78"/>
    <w:rsid w:val="0074598D"/>
    <w:rsid w:val="00760C98"/>
    <w:rsid w:val="00763898"/>
    <w:rsid w:val="007666CE"/>
    <w:rsid w:val="00767335"/>
    <w:rsid w:val="00772D88"/>
    <w:rsid w:val="0078028A"/>
    <w:rsid w:val="00780B7C"/>
    <w:rsid w:val="00782BA5"/>
    <w:rsid w:val="007948B8"/>
    <w:rsid w:val="007A1253"/>
    <w:rsid w:val="007A25D5"/>
    <w:rsid w:val="007A38CD"/>
    <w:rsid w:val="007B388E"/>
    <w:rsid w:val="007B51BD"/>
    <w:rsid w:val="007B5738"/>
    <w:rsid w:val="007B7E6D"/>
    <w:rsid w:val="007D5B10"/>
    <w:rsid w:val="007D6615"/>
    <w:rsid w:val="007E3DFE"/>
    <w:rsid w:val="007E4733"/>
    <w:rsid w:val="007E49F2"/>
    <w:rsid w:val="007F1761"/>
    <w:rsid w:val="007F2322"/>
    <w:rsid w:val="00806EBE"/>
    <w:rsid w:val="00806F0A"/>
    <w:rsid w:val="008137A0"/>
    <w:rsid w:val="0081668A"/>
    <w:rsid w:val="00820C7D"/>
    <w:rsid w:val="00825D39"/>
    <w:rsid w:val="008267E7"/>
    <w:rsid w:val="0084115A"/>
    <w:rsid w:val="008478E5"/>
    <w:rsid w:val="008508AC"/>
    <w:rsid w:val="00860720"/>
    <w:rsid w:val="00860EFF"/>
    <w:rsid w:val="00862637"/>
    <w:rsid w:val="00873043"/>
    <w:rsid w:val="008836B7"/>
    <w:rsid w:val="00886486"/>
    <w:rsid w:val="00886EF1"/>
    <w:rsid w:val="00897259"/>
    <w:rsid w:val="008A0249"/>
    <w:rsid w:val="008A76B6"/>
    <w:rsid w:val="008A7977"/>
    <w:rsid w:val="008A7C67"/>
    <w:rsid w:val="008C4F51"/>
    <w:rsid w:val="008C557A"/>
    <w:rsid w:val="008C7756"/>
    <w:rsid w:val="008D1801"/>
    <w:rsid w:val="008D5874"/>
    <w:rsid w:val="008E4917"/>
    <w:rsid w:val="008E5DC4"/>
    <w:rsid w:val="008F6D22"/>
    <w:rsid w:val="008F7309"/>
    <w:rsid w:val="0090184C"/>
    <w:rsid w:val="0090202D"/>
    <w:rsid w:val="009117A9"/>
    <w:rsid w:val="0092127B"/>
    <w:rsid w:val="00925700"/>
    <w:rsid w:val="00926E00"/>
    <w:rsid w:val="009446E2"/>
    <w:rsid w:val="009511C6"/>
    <w:rsid w:val="00953632"/>
    <w:rsid w:val="00961D92"/>
    <w:rsid w:val="00965176"/>
    <w:rsid w:val="009737CD"/>
    <w:rsid w:val="00977FB5"/>
    <w:rsid w:val="00981F67"/>
    <w:rsid w:val="009874F6"/>
    <w:rsid w:val="00995992"/>
    <w:rsid w:val="009A33B1"/>
    <w:rsid w:val="009B1409"/>
    <w:rsid w:val="009B465A"/>
    <w:rsid w:val="009B4E25"/>
    <w:rsid w:val="009B6424"/>
    <w:rsid w:val="009C063C"/>
    <w:rsid w:val="009C388A"/>
    <w:rsid w:val="009D06FA"/>
    <w:rsid w:val="009D6202"/>
    <w:rsid w:val="009F3C23"/>
    <w:rsid w:val="009F4BA0"/>
    <w:rsid w:val="00A020EA"/>
    <w:rsid w:val="00A046B8"/>
    <w:rsid w:val="00A113CE"/>
    <w:rsid w:val="00A14288"/>
    <w:rsid w:val="00A15B31"/>
    <w:rsid w:val="00A20B4D"/>
    <w:rsid w:val="00A21E92"/>
    <w:rsid w:val="00A22E3A"/>
    <w:rsid w:val="00A2728D"/>
    <w:rsid w:val="00A44444"/>
    <w:rsid w:val="00A44E1D"/>
    <w:rsid w:val="00A5001A"/>
    <w:rsid w:val="00A50C31"/>
    <w:rsid w:val="00A52248"/>
    <w:rsid w:val="00A54D68"/>
    <w:rsid w:val="00A56E65"/>
    <w:rsid w:val="00A62CBE"/>
    <w:rsid w:val="00A67B4A"/>
    <w:rsid w:val="00A71554"/>
    <w:rsid w:val="00A71E11"/>
    <w:rsid w:val="00A7302E"/>
    <w:rsid w:val="00A9092D"/>
    <w:rsid w:val="00A91863"/>
    <w:rsid w:val="00A918B5"/>
    <w:rsid w:val="00AA68DB"/>
    <w:rsid w:val="00AB0067"/>
    <w:rsid w:val="00AC087B"/>
    <w:rsid w:val="00AD14AF"/>
    <w:rsid w:val="00AD1D25"/>
    <w:rsid w:val="00AD302B"/>
    <w:rsid w:val="00AD53E4"/>
    <w:rsid w:val="00AD710A"/>
    <w:rsid w:val="00AE2AC6"/>
    <w:rsid w:val="00AE40B8"/>
    <w:rsid w:val="00B02899"/>
    <w:rsid w:val="00B03C37"/>
    <w:rsid w:val="00B213F6"/>
    <w:rsid w:val="00B34FA1"/>
    <w:rsid w:val="00B35523"/>
    <w:rsid w:val="00B3794E"/>
    <w:rsid w:val="00B545EA"/>
    <w:rsid w:val="00B62EE3"/>
    <w:rsid w:val="00B646B8"/>
    <w:rsid w:val="00B65407"/>
    <w:rsid w:val="00B657AB"/>
    <w:rsid w:val="00B73839"/>
    <w:rsid w:val="00B83119"/>
    <w:rsid w:val="00B9350C"/>
    <w:rsid w:val="00B93A95"/>
    <w:rsid w:val="00B961B5"/>
    <w:rsid w:val="00BA6EAE"/>
    <w:rsid w:val="00BB5ADF"/>
    <w:rsid w:val="00BC60DF"/>
    <w:rsid w:val="00BD0841"/>
    <w:rsid w:val="00BD0C4B"/>
    <w:rsid w:val="00BD0D97"/>
    <w:rsid w:val="00BD6689"/>
    <w:rsid w:val="00BE29F1"/>
    <w:rsid w:val="00C05157"/>
    <w:rsid w:val="00C062F1"/>
    <w:rsid w:val="00C1038C"/>
    <w:rsid w:val="00C108B6"/>
    <w:rsid w:val="00C111CB"/>
    <w:rsid w:val="00C15D52"/>
    <w:rsid w:val="00C16255"/>
    <w:rsid w:val="00C16CF2"/>
    <w:rsid w:val="00C31577"/>
    <w:rsid w:val="00C4222C"/>
    <w:rsid w:val="00C47CA2"/>
    <w:rsid w:val="00C5417E"/>
    <w:rsid w:val="00C63458"/>
    <w:rsid w:val="00C70637"/>
    <w:rsid w:val="00C74FFE"/>
    <w:rsid w:val="00C76D66"/>
    <w:rsid w:val="00C85AC9"/>
    <w:rsid w:val="00C923CB"/>
    <w:rsid w:val="00C92F0C"/>
    <w:rsid w:val="00CA3890"/>
    <w:rsid w:val="00CA4FBB"/>
    <w:rsid w:val="00CB2A94"/>
    <w:rsid w:val="00CB5B8F"/>
    <w:rsid w:val="00CB6357"/>
    <w:rsid w:val="00CC01D0"/>
    <w:rsid w:val="00CC0C5F"/>
    <w:rsid w:val="00CC0FB3"/>
    <w:rsid w:val="00CC25E3"/>
    <w:rsid w:val="00CD3610"/>
    <w:rsid w:val="00CD54F6"/>
    <w:rsid w:val="00CE1024"/>
    <w:rsid w:val="00CF4E68"/>
    <w:rsid w:val="00D0015C"/>
    <w:rsid w:val="00D019DF"/>
    <w:rsid w:val="00D048CD"/>
    <w:rsid w:val="00D06F86"/>
    <w:rsid w:val="00D22F40"/>
    <w:rsid w:val="00D245D0"/>
    <w:rsid w:val="00D32745"/>
    <w:rsid w:val="00D360F0"/>
    <w:rsid w:val="00D4077A"/>
    <w:rsid w:val="00D4293F"/>
    <w:rsid w:val="00D46607"/>
    <w:rsid w:val="00D4787F"/>
    <w:rsid w:val="00D61CDB"/>
    <w:rsid w:val="00D65B95"/>
    <w:rsid w:val="00D7110A"/>
    <w:rsid w:val="00D73452"/>
    <w:rsid w:val="00D740FD"/>
    <w:rsid w:val="00D75798"/>
    <w:rsid w:val="00D75FB6"/>
    <w:rsid w:val="00D81158"/>
    <w:rsid w:val="00D95DC8"/>
    <w:rsid w:val="00D97EF8"/>
    <w:rsid w:val="00DA0DBB"/>
    <w:rsid w:val="00DA6925"/>
    <w:rsid w:val="00DA6C88"/>
    <w:rsid w:val="00DB3D7D"/>
    <w:rsid w:val="00DB471F"/>
    <w:rsid w:val="00DB65F6"/>
    <w:rsid w:val="00DC79B9"/>
    <w:rsid w:val="00DD3FE8"/>
    <w:rsid w:val="00DE1C78"/>
    <w:rsid w:val="00DE35D0"/>
    <w:rsid w:val="00DE651D"/>
    <w:rsid w:val="00DF5247"/>
    <w:rsid w:val="00DF7C94"/>
    <w:rsid w:val="00E21DEB"/>
    <w:rsid w:val="00E25332"/>
    <w:rsid w:val="00E31E34"/>
    <w:rsid w:val="00E337BC"/>
    <w:rsid w:val="00E34D01"/>
    <w:rsid w:val="00E55337"/>
    <w:rsid w:val="00E617FD"/>
    <w:rsid w:val="00E6292B"/>
    <w:rsid w:val="00E63A73"/>
    <w:rsid w:val="00E65929"/>
    <w:rsid w:val="00E7426C"/>
    <w:rsid w:val="00E82235"/>
    <w:rsid w:val="00E822AD"/>
    <w:rsid w:val="00E869BC"/>
    <w:rsid w:val="00E96D3A"/>
    <w:rsid w:val="00EA2AE5"/>
    <w:rsid w:val="00EB4FF8"/>
    <w:rsid w:val="00EB56E1"/>
    <w:rsid w:val="00EC11C6"/>
    <w:rsid w:val="00EC57DD"/>
    <w:rsid w:val="00EC60FA"/>
    <w:rsid w:val="00ED36E8"/>
    <w:rsid w:val="00EE133B"/>
    <w:rsid w:val="00EE264D"/>
    <w:rsid w:val="00EE3A3A"/>
    <w:rsid w:val="00EE4ED2"/>
    <w:rsid w:val="00EF7F6F"/>
    <w:rsid w:val="00F005D7"/>
    <w:rsid w:val="00F07D83"/>
    <w:rsid w:val="00F117E4"/>
    <w:rsid w:val="00F14A73"/>
    <w:rsid w:val="00F1778A"/>
    <w:rsid w:val="00F21A84"/>
    <w:rsid w:val="00F229FA"/>
    <w:rsid w:val="00F257DB"/>
    <w:rsid w:val="00F27F56"/>
    <w:rsid w:val="00F30D08"/>
    <w:rsid w:val="00F4021D"/>
    <w:rsid w:val="00F40A65"/>
    <w:rsid w:val="00F543D4"/>
    <w:rsid w:val="00F5700E"/>
    <w:rsid w:val="00F60C0B"/>
    <w:rsid w:val="00F63321"/>
    <w:rsid w:val="00F6348C"/>
    <w:rsid w:val="00F67BAB"/>
    <w:rsid w:val="00F72FD5"/>
    <w:rsid w:val="00F7381D"/>
    <w:rsid w:val="00F7547D"/>
    <w:rsid w:val="00F80AD3"/>
    <w:rsid w:val="00F8777A"/>
    <w:rsid w:val="00F877C9"/>
    <w:rsid w:val="00F915FB"/>
    <w:rsid w:val="00FA3488"/>
    <w:rsid w:val="00FB042B"/>
    <w:rsid w:val="00FB1779"/>
    <w:rsid w:val="00FC1245"/>
    <w:rsid w:val="00FC1805"/>
    <w:rsid w:val="00FC27A3"/>
    <w:rsid w:val="00FC286F"/>
    <w:rsid w:val="00FD684D"/>
    <w:rsid w:val="00FD7938"/>
    <w:rsid w:val="00FD7940"/>
    <w:rsid w:val="00FE0E96"/>
    <w:rsid w:val="00FE4A62"/>
    <w:rsid w:val="00FF1E49"/>
    <w:rsid w:val="00FF3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1665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footnote text" w:qFormat="1"/>
    <w:lsdException w:name="header" w:uiPriority="99"/>
    <w:lsdException w:name="Title" w:qFormat="1"/>
    <w:lsdException w:name="Body Text" w:qFormat="1"/>
    <w:lsdException w:name="Body Text 2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E2AC6"/>
    <w:pPr>
      <w:spacing w:line="240" w:lineRule="exact"/>
    </w:pPr>
    <w:rPr>
      <w:sz w:val="24"/>
    </w:rPr>
  </w:style>
  <w:style w:type="paragraph" w:styleId="Heading1">
    <w:name w:val="heading 1"/>
    <w:basedOn w:val="Normal"/>
    <w:next w:val="BodyText2"/>
    <w:qFormat/>
    <w:pPr>
      <w:keepNext/>
      <w:keepLines/>
      <w:widowControl w:val="0"/>
      <w:numPr>
        <w:numId w:val="14"/>
      </w:numPr>
      <w:spacing w:after="240"/>
      <w:jc w:val="center"/>
      <w:outlineLvl w:val="0"/>
    </w:pPr>
    <w:rPr>
      <w:bCs/>
      <w:caps/>
      <w:kern w:val="28"/>
      <w:szCs w:val="32"/>
      <w:u w:val="single"/>
    </w:rPr>
  </w:style>
  <w:style w:type="paragraph" w:styleId="Heading2">
    <w:name w:val="heading 2"/>
    <w:basedOn w:val="Normal"/>
    <w:next w:val="BodyText2"/>
    <w:qFormat/>
    <w:pPr>
      <w:keepNext/>
      <w:keepLines/>
      <w:widowControl w:val="0"/>
      <w:numPr>
        <w:ilvl w:val="1"/>
        <w:numId w:val="14"/>
      </w:numPr>
      <w:tabs>
        <w:tab w:val="left" w:pos="720"/>
      </w:tabs>
      <w:spacing w:after="240"/>
      <w:outlineLvl w:val="1"/>
    </w:pPr>
    <w:rPr>
      <w:bCs/>
      <w:iCs/>
      <w:szCs w:val="28"/>
      <w:u w:val="single"/>
    </w:rPr>
  </w:style>
  <w:style w:type="paragraph" w:styleId="Heading3">
    <w:name w:val="heading 3"/>
    <w:basedOn w:val="Normal"/>
    <w:next w:val="BodyText2"/>
    <w:qFormat/>
    <w:pPr>
      <w:keepNext/>
      <w:keepLines/>
      <w:widowControl w:val="0"/>
      <w:numPr>
        <w:ilvl w:val="2"/>
        <w:numId w:val="14"/>
      </w:numPr>
      <w:spacing w:after="24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BodyText2"/>
    <w:pPr>
      <w:keepNext/>
      <w:keepLines/>
      <w:widowControl w:val="0"/>
      <w:numPr>
        <w:ilvl w:val="3"/>
        <w:numId w:val="14"/>
      </w:numPr>
      <w:spacing w:after="240"/>
      <w:outlineLvl w:val="3"/>
    </w:pPr>
    <w:rPr>
      <w:bCs/>
      <w:szCs w:val="28"/>
      <w:u w:val="single"/>
    </w:rPr>
  </w:style>
  <w:style w:type="paragraph" w:styleId="Heading5">
    <w:name w:val="heading 5"/>
    <w:basedOn w:val="Normal"/>
    <w:next w:val="BodyText2"/>
    <w:pPr>
      <w:keepNext/>
      <w:keepLines/>
      <w:widowControl w:val="0"/>
      <w:numPr>
        <w:ilvl w:val="4"/>
        <w:numId w:val="14"/>
      </w:numPr>
      <w:spacing w:after="240"/>
      <w:outlineLvl w:val="4"/>
    </w:pPr>
    <w:rPr>
      <w:bCs/>
      <w:iCs/>
      <w:szCs w:val="26"/>
      <w:u w:val="single"/>
    </w:rPr>
  </w:style>
  <w:style w:type="paragraph" w:styleId="Heading6">
    <w:name w:val="heading 6"/>
    <w:basedOn w:val="Normal"/>
    <w:next w:val="BodyText2"/>
    <w:pPr>
      <w:keepNext/>
      <w:keepLines/>
      <w:widowControl w:val="0"/>
      <w:numPr>
        <w:ilvl w:val="5"/>
        <w:numId w:val="14"/>
      </w:numPr>
      <w:spacing w:after="240"/>
      <w:outlineLvl w:val="5"/>
    </w:pPr>
    <w:rPr>
      <w:bCs/>
      <w:szCs w:val="22"/>
      <w:u w:val="single"/>
    </w:rPr>
  </w:style>
  <w:style w:type="paragraph" w:styleId="Heading7">
    <w:name w:val="heading 7"/>
    <w:basedOn w:val="Normal"/>
    <w:next w:val="BodyText2"/>
    <w:pPr>
      <w:keepNext/>
      <w:keepLines/>
      <w:widowControl w:val="0"/>
      <w:numPr>
        <w:ilvl w:val="6"/>
        <w:numId w:val="14"/>
      </w:numPr>
      <w:spacing w:after="240"/>
      <w:outlineLvl w:val="6"/>
    </w:pPr>
    <w:rPr>
      <w:u w:val="single"/>
    </w:rPr>
  </w:style>
  <w:style w:type="paragraph" w:styleId="Heading8">
    <w:name w:val="heading 8"/>
    <w:basedOn w:val="Normal"/>
    <w:next w:val="BodyText2"/>
    <w:pPr>
      <w:keepNext/>
      <w:keepLines/>
      <w:widowControl w:val="0"/>
      <w:numPr>
        <w:ilvl w:val="7"/>
        <w:numId w:val="14"/>
      </w:numPr>
      <w:spacing w:after="240"/>
      <w:outlineLvl w:val="7"/>
    </w:pPr>
    <w:rPr>
      <w:iCs/>
      <w:u w:val="single"/>
    </w:rPr>
  </w:style>
  <w:style w:type="paragraph" w:styleId="Heading9">
    <w:name w:val="heading 9"/>
    <w:basedOn w:val="Normal"/>
    <w:next w:val="BodyText2"/>
    <w:pPr>
      <w:keepNext/>
      <w:keepLines/>
      <w:widowControl w:val="0"/>
      <w:numPr>
        <w:ilvl w:val="8"/>
        <w:numId w:val="14"/>
      </w:numPr>
      <w:spacing w:after="240"/>
      <w:outlineLvl w:val="8"/>
    </w:pPr>
    <w:rPr>
      <w:szCs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semiHidden/>
    <w:pPr>
      <w:numPr>
        <w:numId w:val="13"/>
      </w:numPr>
    </w:pPr>
  </w:style>
  <w:style w:type="paragraph" w:customStyle="1" w:styleId="FirmName">
    <w:name w:val="Firm Name"/>
    <w:basedOn w:val="Normal"/>
    <w:semiHidden/>
    <w:pPr>
      <w:spacing w:line="240" w:lineRule="auto"/>
    </w:pPr>
    <w:rPr>
      <w:sz w:val="16"/>
    </w:rPr>
  </w:style>
  <w:style w:type="paragraph" w:styleId="Caption">
    <w:name w:val="caption"/>
    <w:basedOn w:val="Normal"/>
    <w:next w:val="Normal"/>
    <w:semiHidden/>
    <w:rPr>
      <w:bCs/>
    </w:rPr>
  </w:style>
  <w:style w:type="paragraph" w:customStyle="1" w:styleId="PartyName">
    <w:name w:val="Party Name"/>
    <w:basedOn w:val="Normal"/>
    <w:semiHidden/>
    <w:pPr>
      <w:ind w:left="1440"/>
    </w:pPr>
  </w:style>
  <w:style w:type="paragraph" w:styleId="Quote">
    <w:name w:val="Quote"/>
    <w:basedOn w:val="Normal"/>
    <w:next w:val="TextAfterQuote"/>
    <w:qFormat/>
    <w:pPr>
      <w:spacing w:after="240"/>
      <w:ind w:left="720" w:right="720"/>
    </w:pPr>
  </w:style>
  <w:style w:type="paragraph" w:customStyle="1" w:styleId="QuoteDbl">
    <w:name w:val="QuoteDbl"/>
    <w:basedOn w:val="Normal"/>
    <w:next w:val="TextAfterQuote"/>
    <w:qFormat/>
    <w:pPr>
      <w:spacing w:after="240"/>
      <w:ind w:left="1440" w:right="1440"/>
    </w:pPr>
  </w:style>
  <w:style w:type="paragraph" w:customStyle="1" w:styleId="TextAfterQuote">
    <w:name w:val="TextAfterQuote"/>
    <w:basedOn w:val="Normal"/>
    <w:next w:val="BodyText2"/>
    <w:qFormat/>
    <w:pPr>
      <w:spacing w:line="480" w:lineRule="exact"/>
    </w:pPr>
  </w:style>
  <w:style w:type="numbering" w:styleId="111111">
    <w:name w:val="Outline List 2"/>
    <w:basedOn w:val="NoList"/>
    <w:semiHidden/>
    <w:pPr>
      <w:numPr>
        <w:numId w:val="1"/>
      </w:numPr>
    </w:pPr>
  </w:style>
  <w:style w:type="numbering" w:styleId="1ai">
    <w:name w:val="Outline List 1"/>
    <w:basedOn w:val="NoList"/>
    <w:semiHidden/>
    <w:pPr>
      <w:numPr>
        <w:numId w:val="2"/>
      </w:numPr>
    </w:pPr>
  </w:style>
  <w:style w:type="numbering" w:styleId="ArticleSection">
    <w:name w:val="Outline List 3"/>
    <w:basedOn w:val="NoList"/>
    <w:semiHidden/>
    <w:pPr>
      <w:numPr>
        <w:numId w:val="3"/>
      </w:numPr>
    </w:pPr>
  </w:style>
  <w:style w:type="paragraph" w:styleId="BlockText">
    <w:name w:val="Block Text"/>
    <w:basedOn w:val="Normal"/>
    <w:semiHidden/>
    <w:pPr>
      <w:spacing w:after="120"/>
      <w:ind w:left="1440" w:right="1440"/>
    </w:pPr>
  </w:style>
  <w:style w:type="paragraph" w:styleId="BodyText">
    <w:name w:val="Body Text"/>
    <w:basedOn w:val="Normal"/>
    <w:qFormat/>
    <w:pPr>
      <w:spacing w:after="240"/>
      <w:ind w:firstLine="720"/>
    </w:pPr>
  </w:style>
  <w:style w:type="paragraph" w:styleId="BodyText2">
    <w:name w:val="Body Text 2"/>
    <w:basedOn w:val="Normal"/>
    <w:qFormat/>
    <w:pPr>
      <w:spacing w:line="480" w:lineRule="exact"/>
      <w:ind w:firstLine="720"/>
    </w:pPr>
  </w:style>
  <w:style w:type="paragraph" w:styleId="BodyText3">
    <w:name w:val="Body Text 3"/>
    <w:basedOn w:val="Normal"/>
    <w:semiHidden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pPr>
      <w:ind w:firstLine="210"/>
    </w:pPr>
  </w:style>
  <w:style w:type="paragraph" w:styleId="BodyTextIndent">
    <w:name w:val="Body Text Indent"/>
    <w:basedOn w:val="Normal"/>
    <w:semiHidden/>
    <w:pPr>
      <w:spacing w:after="120"/>
      <w:ind w:left="360"/>
    </w:pPr>
  </w:style>
  <w:style w:type="paragraph" w:styleId="BodyTextFirstIndent2">
    <w:name w:val="Body Text First Indent 2"/>
    <w:basedOn w:val="BodyTextIndent"/>
    <w:semiHidden/>
    <w:pPr>
      <w:ind w:firstLine="210"/>
    </w:pPr>
  </w:style>
  <w:style w:type="paragraph" w:styleId="BodyTextIndent2">
    <w:name w:val="Body Text Indent 2"/>
    <w:basedOn w:val="Normal"/>
    <w:semiHidden/>
    <w:pPr>
      <w:spacing w:after="120" w:line="480" w:lineRule="auto"/>
      <w:ind w:left="360"/>
    </w:pPr>
  </w:style>
  <w:style w:type="paragraph" w:styleId="BodyTextIndent3">
    <w:name w:val="Body Text Indent 3"/>
    <w:basedOn w:val="Normal"/>
    <w:semiHidden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Normal"/>
    <w:semiHidden/>
    <w:pPr>
      <w:ind w:left="4320"/>
    </w:pPr>
  </w:style>
  <w:style w:type="paragraph" w:styleId="Date">
    <w:name w:val="Date"/>
    <w:basedOn w:val="Normal"/>
    <w:next w:val="Normal"/>
    <w:semiHidden/>
  </w:style>
  <w:style w:type="paragraph" w:styleId="E-mailSignature">
    <w:name w:val="E-mail Signature"/>
    <w:basedOn w:val="Normal"/>
    <w:semiHidden/>
  </w:style>
  <w:style w:type="character" w:styleId="Emphasis">
    <w:name w:val="Emphasis"/>
    <w:basedOn w:val="DefaultParagraphFont"/>
    <w:semiHidden/>
    <w:rPr>
      <w:i/>
      <w:iCs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="Palatino Linotype" w:hAnsi="Palatino Linotype" w:cs="Arial"/>
      <w:sz w:val="22"/>
      <w:szCs w:val="24"/>
    </w:rPr>
  </w:style>
  <w:style w:type="paragraph" w:styleId="EnvelopeReturn">
    <w:name w:val="envelope return"/>
    <w:basedOn w:val="Normal"/>
    <w:semiHidden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semiHidden/>
    <w:rPr>
      <w:color w:val="800080"/>
      <w:u w:val="single"/>
    </w:rPr>
  </w:style>
  <w:style w:type="paragraph" w:styleId="Footer">
    <w:name w:val="footer"/>
    <w:basedOn w:val="Normal"/>
    <w:semiHidden/>
    <w:pPr>
      <w:spacing w:line="240" w:lineRule="atLeast"/>
    </w:pPr>
    <w:rPr>
      <w:sz w:val="20"/>
    </w:rPr>
  </w:style>
  <w:style w:type="paragraph" w:styleId="FootnoteText">
    <w:name w:val="footnote text"/>
    <w:basedOn w:val="Normal"/>
    <w:qFormat/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styleId="HTMLAcronym">
    <w:name w:val="HTML Acronym"/>
    <w:basedOn w:val="DefaultParagraphFont"/>
    <w:semiHidden/>
  </w:style>
  <w:style w:type="paragraph" w:styleId="HTMLAddress">
    <w:name w:val="HTML Address"/>
    <w:basedOn w:val="Normal"/>
    <w:semiHidden/>
    <w:rPr>
      <w:i/>
      <w:iCs/>
    </w:rPr>
  </w:style>
  <w:style w:type="character" w:styleId="HTMLCite">
    <w:name w:val="HTML Cite"/>
    <w:basedOn w:val="DefaultParagraphFont"/>
    <w:semiHidden/>
    <w:rPr>
      <w:i/>
      <w:iCs/>
    </w:rPr>
  </w:style>
  <w:style w:type="character" w:styleId="HTMLCode">
    <w:name w:val="HTML Code"/>
    <w:basedOn w:val="DefaultParagraphFont"/>
    <w:semiHidden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Pr>
      <w:i/>
      <w:iCs/>
    </w:rPr>
  </w:style>
  <w:style w:type="character" w:styleId="HTMLKeyboard">
    <w:name w:val="HTML Keyboard"/>
    <w:basedOn w:val="DefaultParagraphFont"/>
    <w:semiHidden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semiHidden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Pr>
      <w:i/>
      <w:iCs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character" w:styleId="LineNumber">
    <w:name w:val="line number"/>
    <w:basedOn w:val="DefaultParagraphFont"/>
    <w:semiHidden/>
  </w:style>
  <w:style w:type="paragraph" w:styleId="List">
    <w:name w:val="List"/>
    <w:basedOn w:val="Normal"/>
    <w:semiHidden/>
    <w:pPr>
      <w:ind w:left="360" w:hanging="360"/>
    </w:pPr>
  </w:style>
  <w:style w:type="paragraph" w:styleId="List2">
    <w:name w:val="List 2"/>
    <w:basedOn w:val="Normal"/>
    <w:semiHidden/>
    <w:pPr>
      <w:ind w:left="720" w:hanging="360"/>
    </w:pPr>
  </w:style>
  <w:style w:type="paragraph" w:styleId="List3">
    <w:name w:val="List 3"/>
    <w:basedOn w:val="Normal"/>
    <w:semiHidden/>
    <w:pPr>
      <w:ind w:left="1080" w:hanging="360"/>
    </w:pPr>
  </w:style>
  <w:style w:type="paragraph" w:styleId="List4">
    <w:name w:val="List 4"/>
    <w:basedOn w:val="Normal"/>
    <w:semiHidden/>
    <w:pPr>
      <w:ind w:left="1440" w:hanging="360"/>
    </w:pPr>
  </w:style>
  <w:style w:type="paragraph" w:styleId="List5">
    <w:name w:val="List 5"/>
    <w:basedOn w:val="Normal"/>
    <w:semiHidden/>
    <w:pPr>
      <w:ind w:left="1800" w:hanging="360"/>
    </w:pPr>
  </w:style>
  <w:style w:type="paragraph" w:styleId="ListBullet2">
    <w:name w:val="List Bullet 2"/>
    <w:basedOn w:val="Normal"/>
    <w:semiHidden/>
    <w:pPr>
      <w:numPr>
        <w:numId w:val="4"/>
      </w:numPr>
    </w:pPr>
  </w:style>
  <w:style w:type="paragraph" w:styleId="ListBullet3">
    <w:name w:val="List Bullet 3"/>
    <w:basedOn w:val="Normal"/>
    <w:semiHidden/>
    <w:pPr>
      <w:numPr>
        <w:numId w:val="5"/>
      </w:numPr>
    </w:pPr>
  </w:style>
  <w:style w:type="paragraph" w:styleId="ListBullet4">
    <w:name w:val="List Bullet 4"/>
    <w:basedOn w:val="Normal"/>
    <w:semiHidden/>
    <w:pPr>
      <w:numPr>
        <w:numId w:val="6"/>
      </w:numPr>
    </w:pPr>
  </w:style>
  <w:style w:type="paragraph" w:styleId="ListBullet5">
    <w:name w:val="List Bullet 5"/>
    <w:basedOn w:val="Normal"/>
    <w:semiHidden/>
    <w:pPr>
      <w:numPr>
        <w:numId w:val="7"/>
      </w:numPr>
    </w:pPr>
  </w:style>
  <w:style w:type="paragraph" w:styleId="ListContinue">
    <w:name w:val="List Continue"/>
    <w:basedOn w:val="Normal"/>
    <w:semiHidden/>
    <w:pPr>
      <w:spacing w:after="120"/>
      <w:ind w:left="360"/>
    </w:pPr>
  </w:style>
  <w:style w:type="paragraph" w:styleId="ListContinue2">
    <w:name w:val="List Continue 2"/>
    <w:basedOn w:val="Normal"/>
    <w:semiHidden/>
    <w:pPr>
      <w:spacing w:after="120"/>
      <w:ind w:left="720"/>
    </w:pPr>
  </w:style>
  <w:style w:type="paragraph" w:styleId="ListContinue3">
    <w:name w:val="List Continue 3"/>
    <w:basedOn w:val="Normal"/>
    <w:semiHidden/>
    <w:pPr>
      <w:spacing w:after="120"/>
      <w:ind w:left="1080"/>
    </w:pPr>
  </w:style>
  <w:style w:type="paragraph" w:styleId="ListContinue4">
    <w:name w:val="List Continue 4"/>
    <w:basedOn w:val="Normal"/>
    <w:semiHidden/>
    <w:pPr>
      <w:spacing w:after="120"/>
      <w:ind w:left="1440"/>
    </w:pPr>
  </w:style>
  <w:style w:type="paragraph" w:styleId="ListContinue5">
    <w:name w:val="List Continue 5"/>
    <w:basedOn w:val="Normal"/>
    <w:semiHidden/>
    <w:pPr>
      <w:spacing w:after="120"/>
      <w:ind w:left="1800"/>
    </w:pPr>
  </w:style>
  <w:style w:type="paragraph" w:styleId="ListNumber">
    <w:name w:val="List Number"/>
    <w:basedOn w:val="Normal"/>
    <w:semiHidden/>
    <w:pPr>
      <w:numPr>
        <w:numId w:val="8"/>
      </w:numPr>
    </w:pPr>
  </w:style>
  <w:style w:type="paragraph" w:styleId="ListNumber2">
    <w:name w:val="List Number 2"/>
    <w:basedOn w:val="Normal"/>
    <w:semiHidden/>
    <w:pPr>
      <w:numPr>
        <w:numId w:val="9"/>
      </w:numPr>
    </w:pPr>
  </w:style>
  <w:style w:type="paragraph" w:styleId="ListNumber3">
    <w:name w:val="List Number 3"/>
    <w:basedOn w:val="Normal"/>
    <w:semiHidden/>
    <w:pPr>
      <w:numPr>
        <w:numId w:val="10"/>
      </w:numPr>
    </w:pPr>
  </w:style>
  <w:style w:type="paragraph" w:styleId="ListNumber4">
    <w:name w:val="List Number 4"/>
    <w:basedOn w:val="Normal"/>
    <w:semiHidden/>
    <w:pPr>
      <w:numPr>
        <w:numId w:val="11"/>
      </w:numPr>
    </w:pPr>
  </w:style>
  <w:style w:type="paragraph" w:styleId="ListNumber5">
    <w:name w:val="List Number 5"/>
    <w:basedOn w:val="Normal"/>
    <w:semiHidden/>
    <w:pPr>
      <w:numPr>
        <w:numId w:val="12"/>
      </w:numPr>
    </w:pPr>
  </w:style>
  <w:style w:type="paragraph" w:styleId="MessageHeader">
    <w:name w:val="Message Header"/>
    <w:basedOn w:val="Normal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semiHidden/>
  </w:style>
  <w:style w:type="paragraph" w:styleId="NormalIndent">
    <w:name w:val="Normal Indent"/>
    <w:basedOn w:val="Normal"/>
    <w:semiHidden/>
    <w:pPr>
      <w:ind w:left="720"/>
    </w:pPr>
  </w:style>
  <w:style w:type="paragraph" w:styleId="NoteHeading">
    <w:name w:val="Note Heading"/>
    <w:basedOn w:val="Normal"/>
    <w:next w:val="Normal"/>
    <w:semiHidden/>
  </w:style>
  <w:style w:type="character" w:styleId="PageNumber">
    <w:name w:val="page number"/>
    <w:basedOn w:val="DefaultParagraphFont"/>
    <w:semiHidden/>
  </w:style>
  <w:style w:type="paragraph" w:styleId="PlainText">
    <w:name w:val="Plain Text"/>
    <w:basedOn w:val="Normal"/>
    <w:semiHidden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semiHidden/>
  </w:style>
  <w:style w:type="paragraph" w:styleId="Signature">
    <w:name w:val="Signature"/>
    <w:basedOn w:val="Normal"/>
    <w:semiHidden/>
    <w:pPr>
      <w:ind w:left="4320"/>
    </w:pPr>
  </w:style>
  <w:style w:type="character" w:styleId="Strong">
    <w:name w:val="Strong"/>
    <w:basedOn w:val="DefaultParagraphFont"/>
    <w:semiHidden/>
    <w:rPr>
      <w:b/>
      <w:bCs/>
    </w:rPr>
  </w:style>
  <w:style w:type="paragraph" w:styleId="Subtitle">
    <w:name w:val="Subtitle"/>
    <w:basedOn w:val="Normal"/>
    <w:semiHidden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semiHidden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semiHidden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TextAfterTitle"/>
    <w:qFormat/>
    <w:pPr>
      <w:spacing w:after="240"/>
      <w:ind w:left="187"/>
    </w:pPr>
    <w:rPr>
      <w:rFonts w:cs="Arial"/>
      <w:bCs/>
      <w:szCs w:val="24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customStyle="1" w:styleId="PartyContents">
    <w:name w:val="Party Contents"/>
    <w:basedOn w:val="Normal"/>
    <w:semiHidden/>
  </w:style>
  <w:style w:type="paragraph" w:customStyle="1" w:styleId="Versus">
    <w:name w:val="Versus"/>
    <w:basedOn w:val="Normal"/>
    <w:semiHidden/>
    <w:pPr>
      <w:ind w:left="720"/>
    </w:pPr>
  </w:style>
  <w:style w:type="paragraph" w:customStyle="1" w:styleId="Judge">
    <w:name w:val="Judge"/>
    <w:basedOn w:val="Normal"/>
    <w:semiHidden/>
    <w:pPr>
      <w:jc w:val="right"/>
    </w:pPr>
    <w:rPr>
      <w:szCs w:val="24"/>
    </w:rPr>
  </w:style>
  <w:style w:type="paragraph" w:customStyle="1" w:styleId="Venue">
    <w:name w:val="Venue"/>
    <w:basedOn w:val="Normal"/>
    <w:semiHidden/>
    <w:pPr>
      <w:jc w:val="center"/>
    </w:pPr>
    <w:rPr>
      <w:caps/>
      <w:szCs w:val="24"/>
    </w:rPr>
  </w:style>
  <w:style w:type="paragraph" w:customStyle="1" w:styleId="TextAfterTitle">
    <w:name w:val="TextAfterTitle"/>
    <w:basedOn w:val="Normal"/>
    <w:qFormat/>
    <w:pPr>
      <w:ind w:left="187"/>
    </w:pPr>
  </w:style>
  <w:style w:type="paragraph" w:customStyle="1" w:styleId="QAQuote">
    <w:name w:val="Q&amp;A Quote"/>
    <w:basedOn w:val="Normal"/>
    <w:qFormat/>
    <w:pPr>
      <w:spacing w:after="240"/>
      <w:ind w:left="1440" w:hanging="720"/>
    </w:pPr>
  </w:style>
  <w:style w:type="character" w:styleId="PlaceholderText">
    <w:name w:val="Placeholder Text"/>
    <w:basedOn w:val="DefaultParagraphFont"/>
    <w:uiPriority w:val="99"/>
    <w:semiHidden/>
    <w:rsid w:val="004750D8"/>
    <w:rPr>
      <w:color w:val="808080"/>
    </w:rPr>
  </w:style>
  <w:style w:type="paragraph" w:styleId="BalloonText">
    <w:name w:val="Balloon Text"/>
    <w:basedOn w:val="Normal"/>
    <w:link w:val="BalloonTextChar"/>
    <w:rsid w:val="004750D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750D8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4750D8"/>
    <w:rPr>
      <w:sz w:val="24"/>
    </w:rPr>
  </w:style>
  <w:style w:type="character" w:styleId="CommentReference">
    <w:name w:val="annotation reference"/>
    <w:basedOn w:val="DefaultParagraphFont"/>
    <w:rsid w:val="00263836"/>
    <w:rPr>
      <w:sz w:val="16"/>
      <w:szCs w:val="16"/>
    </w:rPr>
  </w:style>
  <w:style w:type="paragraph" w:styleId="CommentText">
    <w:name w:val="annotation text"/>
    <w:basedOn w:val="Normal"/>
    <w:link w:val="CommentTextChar"/>
    <w:rsid w:val="00263836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63836"/>
  </w:style>
  <w:style w:type="paragraph" w:styleId="CommentSubject">
    <w:name w:val="annotation subject"/>
    <w:basedOn w:val="CommentText"/>
    <w:next w:val="CommentText"/>
    <w:link w:val="CommentSubjectChar"/>
    <w:rsid w:val="002638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6383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footnote text" w:qFormat="1"/>
    <w:lsdException w:name="header" w:uiPriority="99"/>
    <w:lsdException w:name="Title" w:qFormat="1"/>
    <w:lsdException w:name="Body Text" w:qFormat="1"/>
    <w:lsdException w:name="Body Text 2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E2AC6"/>
    <w:pPr>
      <w:spacing w:line="240" w:lineRule="exact"/>
    </w:pPr>
    <w:rPr>
      <w:sz w:val="24"/>
    </w:rPr>
  </w:style>
  <w:style w:type="paragraph" w:styleId="Heading1">
    <w:name w:val="heading 1"/>
    <w:basedOn w:val="Normal"/>
    <w:next w:val="BodyText2"/>
    <w:qFormat/>
    <w:pPr>
      <w:keepNext/>
      <w:keepLines/>
      <w:widowControl w:val="0"/>
      <w:numPr>
        <w:numId w:val="14"/>
      </w:numPr>
      <w:spacing w:after="240"/>
      <w:jc w:val="center"/>
      <w:outlineLvl w:val="0"/>
    </w:pPr>
    <w:rPr>
      <w:bCs/>
      <w:caps/>
      <w:kern w:val="28"/>
      <w:szCs w:val="32"/>
      <w:u w:val="single"/>
    </w:rPr>
  </w:style>
  <w:style w:type="paragraph" w:styleId="Heading2">
    <w:name w:val="heading 2"/>
    <w:basedOn w:val="Normal"/>
    <w:next w:val="BodyText2"/>
    <w:qFormat/>
    <w:pPr>
      <w:keepNext/>
      <w:keepLines/>
      <w:widowControl w:val="0"/>
      <w:numPr>
        <w:ilvl w:val="1"/>
        <w:numId w:val="14"/>
      </w:numPr>
      <w:tabs>
        <w:tab w:val="left" w:pos="720"/>
      </w:tabs>
      <w:spacing w:after="240"/>
      <w:outlineLvl w:val="1"/>
    </w:pPr>
    <w:rPr>
      <w:bCs/>
      <w:iCs/>
      <w:szCs w:val="28"/>
      <w:u w:val="single"/>
    </w:rPr>
  </w:style>
  <w:style w:type="paragraph" w:styleId="Heading3">
    <w:name w:val="heading 3"/>
    <w:basedOn w:val="Normal"/>
    <w:next w:val="BodyText2"/>
    <w:qFormat/>
    <w:pPr>
      <w:keepNext/>
      <w:keepLines/>
      <w:widowControl w:val="0"/>
      <w:numPr>
        <w:ilvl w:val="2"/>
        <w:numId w:val="14"/>
      </w:numPr>
      <w:spacing w:after="24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BodyText2"/>
    <w:pPr>
      <w:keepNext/>
      <w:keepLines/>
      <w:widowControl w:val="0"/>
      <w:numPr>
        <w:ilvl w:val="3"/>
        <w:numId w:val="14"/>
      </w:numPr>
      <w:spacing w:after="240"/>
      <w:outlineLvl w:val="3"/>
    </w:pPr>
    <w:rPr>
      <w:bCs/>
      <w:szCs w:val="28"/>
      <w:u w:val="single"/>
    </w:rPr>
  </w:style>
  <w:style w:type="paragraph" w:styleId="Heading5">
    <w:name w:val="heading 5"/>
    <w:basedOn w:val="Normal"/>
    <w:next w:val="BodyText2"/>
    <w:pPr>
      <w:keepNext/>
      <w:keepLines/>
      <w:widowControl w:val="0"/>
      <w:numPr>
        <w:ilvl w:val="4"/>
        <w:numId w:val="14"/>
      </w:numPr>
      <w:spacing w:after="240"/>
      <w:outlineLvl w:val="4"/>
    </w:pPr>
    <w:rPr>
      <w:bCs/>
      <w:iCs/>
      <w:szCs w:val="26"/>
      <w:u w:val="single"/>
    </w:rPr>
  </w:style>
  <w:style w:type="paragraph" w:styleId="Heading6">
    <w:name w:val="heading 6"/>
    <w:basedOn w:val="Normal"/>
    <w:next w:val="BodyText2"/>
    <w:pPr>
      <w:keepNext/>
      <w:keepLines/>
      <w:widowControl w:val="0"/>
      <w:numPr>
        <w:ilvl w:val="5"/>
        <w:numId w:val="14"/>
      </w:numPr>
      <w:spacing w:after="240"/>
      <w:outlineLvl w:val="5"/>
    </w:pPr>
    <w:rPr>
      <w:bCs/>
      <w:szCs w:val="22"/>
      <w:u w:val="single"/>
    </w:rPr>
  </w:style>
  <w:style w:type="paragraph" w:styleId="Heading7">
    <w:name w:val="heading 7"/>
    <w:basedOn w:val="Normal"/>
    <w:next w:val="BodyText2"/>
    <w:pPr>
      <w:keepNext/>
      <w:keepLines/>
      <w:widowControl w:val="0"/>
      <w:numPr>
        <w:ilvl w:val="6"/>
        <w:numId w:val="14"/>
      </w:numPr>
      <w:spacing w:after="240"/>
      <w:outlineLvl w:val="6"/>
    </w:pPr>
    <w:rPr>
      <w:u w:val="single"/>
    </w:rPr>
  </w:style>
  <w:style w:type="paragraph" w:styleId="Heading8">
    <w:name w:val="heading 8"/>
    <w:basedOn w:val="Normal"/>
    <w:next w:val="BodyText2"/>
    <w:pPr>
      <w:keepNext/>
      <w:keepLines/>
      <w:widowControl w:val="0"/>
      <w:numPr>
        <w:ilvl w:val="7"/>
        <w:numId w:val="14"/>
      </w:numPr>
      <w:spacing w:after="240"/>
      <w:outlineLvl w:val="7"/>
    </w:pPr>
    <w:rPr>
      <w:iCs/>
      <w:u w:val="single"/>
    </w:rPr>
  </w:style>
  <w:style w:type="paragraph" w:styleId="Heading9">
    <w:name w:val="heading 9"/>
    <w:basedOn w:val="Normal"/>
    <w:next w:val="BodyText2"/>
    <w:pPr>
      <w:keepNext/>
      <w:keepLines/>
      <w:widowControl w:val="0"/>
      <w:numPr>
        <w:ilvl w:val="8"/>
        <w:numId w:val="14"/>
      </w:numPr>
      <w:spacing w:after="240"/>
      <w:outlineLvl w:val="8"/>
    </w:pPr>
    <w:rPr>
      <w:szCs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semiHidden/>
    <w:pPr>
      <w:numPr>
        <w:numId w:val="13"/>
      </w:numPr>
    </w:pPr>
  </w:style>
  <w:style w:type="paragraph" w:customStyle="1" w:styleId="FirmName">
    <w:name w:val="Firm Name"/>
    <w:basedOn w:val="Normal"/>
    <w:semiHidden/>
    <w:pPr>
      <w:spacing w:line="240" w:lineRule="auto"/>
    </w:pPr>
    <w:rPr>
      <w:sz w:val="16"/>
    </w:rPr>
  </w:style>
  <w:style w:type="paragraph" w:styleId="Caption">
    <w:name w:val="caption"/>
    <w:basedOn w:val="Normal"/>
    <w:next w:val="Normal"/>
    <w:semiHidden/>
    <w:rPr>
      <w:bCs/>
    </w:rPr>
  </w:style>
  <w:style w:type="paragraph" w:customStyle="1" w:styleId="PartyName">
    <w:name w:val="Party Name"/>
    <w:basedOn w:val="Normal"/>
    <w:semiHidden/>
    <w:pPr>
      <w:ind w:left="1440"/>
    </w:pPr>
  </w:style>
  <w:style w:type="paragraph" w:styleId="Quote">
    <w:name w:val="Quote"/>
    <w:basedOn w:val="Normal"/>
    <w:next w:val="TextAfterQuote"/>
    <w:qFormat/>
    <w:pPr>
      <w:spacing w:after="240"/>
      <w:ind w:left="720" w:right="720"/>
    </w:pPr>
  </w:style>
  <w:style w:type="paragraph" w:customStyle="1" w:styleId="QuoteDbl">
    <w:name w:val="QuoteDbl"/>
    <w:basedOn w:val="Normal"/>
    <w:next w:val="TextAfterQuote"/>
    <w:qFormat/>
    <w:pPr>
      <w:spacing w:after="240"/>
      <w:ind w:left="1440" w:right="1440"/>
    </w:pPr>
  </w:style>
  <w:style w:type="paragraph" w:customStyle="1" w:styleId="TextAfterQuote">
    <w:name w:val="TextAfterQuote"/>
    <w:basedOn w:val="Normal"/>
    <w:next w:val="BodyText2"/>
    <w:qFormat/>
    <w:pPr>
      <w:spacing w:line="480" w:lineRule="exact"/>
    </w:pPr>
  </w:style>
  <w:style w:type="numbering" w:styleId="111111">
    <w:name w:val="Outline List 2"/>
    <w:basedOn w:val="NoList"/>
    <w:semiHidden/>
    <w:pPr>
      <w:numPr>
        <w:numId w:val="1"/>
      </w:numPr>
    </w:pPr>
  </w:style>
  <w:style w:type="numbering" w:styleId="1ai">
    <w:name w:val="Outline List 1"/>
    <w:basedOn w:val="NoList"/>
    <w:semiHidden/>
    <w:pPr>
      <w:numPr>
        <w:numId w:val="2"/>
      </w:numPr>
    </w:pPr>
  </w:style>
  <w:style w:type="numbering" w:styleId="ArticleSection">
    <w:name w:val="Outline List 3"/>
    <w:basedOn w:val="NoList"/>
    <w:semiHidden/>
    <w:pPr>
      <w:numPr>
        <w:numId w:val="3"/>
      </w:numPr>
    </w:pPr>
  </w:style>
  <w:style w:type="paragraph" w:styleId="BlockText">
    <w:name w:val="Block Text"/>
    <w:basedOn w:val="Normal"/>
    <w:semiHidden/>
    <w:pPr>
      <w:spacing w:after="120"/>
      <w:ind w:left="1440" w:right="1440"/>
    </w:pPr>
  </w:style>
  <w:style w:type="paragraph" w:styleId="BodyText">
    <w:name w:val="Body Text"/>
    <w:basedOn w:val="Normal"/>
    <w:qFormat/>
    <w:pPr>
      <w:spacing w:after="240"/>
      <w:ind w:firstLine="720"/>
    </w:pPr>
  </w:style>
  <w:style w:type="paragraph" w:styleId="BodyText2">
    <w:name w:val="Body Text 2"/>
    <w:basedOn w:val="Normal"/>
    <w:qFormat/>
    <w:pPr>
      <w:spacing w:line="480" w:lineRule="exact"/>
      <w:ind w:firstLine="720"/>
    </w:pPr>
  </w:style>
  <w:style w:type="paragraph" w:styleId="BodyText3">
    <w:name w:val="Body Text 3"/>
    <w:basedOn w:val="Normal"/>
    <w:semiHidden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pPr>
      <w:ind w:firstLine="210"/>
    </w:pPr>
  </w:style>
  <w:style w:type="paragraph" w:styleId="BodyTextIndent">
    <w:name w:val="Body Text Indent"/>
    <w:basedOn w:val="Normal"/>
    <w:semiHidden/>
    <w:pPr>
      <w:spacing w:after="120"/>
      <w:ind w:left="360"/>
    </w:pPr>
  </w:style>
  <w:style w:type="paragraph" w:styleId="BodyTextFirstIndent2">
    <w:name w:val="Body Text First Indent 2"/>
    <w:basedOn w:val="BodyTextIndent"/>
    <w:semiHidden/>
    <w:pPr>
      <w:ind w:firstLine="210"/>
    </w:pPr>
  </w:style>
  <w:style w:type="paragraph" w:styleId="BodyTextIndent2">
    <w:name w:val="Body Text Indent 2"/>
    <w:basedOn w:val="Normal"/>
    <w:semiHidden/>
    <w:pPr>
      <w:spacing w:after="120" w:line="480" w:lineRule="auto"/>
      <w:ind w:left="360"/>
    </w:pPr>
  </w:style>
  <w:style w:type="paragraph" w:styleId="BodyTextIndent3">
    <w:name w:val="Body Text Indent 3"/>
    <w:basedOn w:val="Normal"/>
    <w:semiHidden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Normal"/>
    <w:semiHidden/>
    <w:pPr>
      <w:ind w:left="4320"/>
    </w:pPr>
  </w:style>
  <w:style w:type="paragraph" w:styleId="Date">
    <w:name w:val="Date"/>
    <w:basedOn w:val="Normal"/>
    <w:next w:val="Normal"/>
    <w:semiHidden/>
  </w:style>
  <w:style w:type="paragraph" w:styleId="E-mailSignature">
    <w:name w:val="E-mail Signature"/>
    <w:basedOn w:val="Normal"/>
    <w:semiHidden/>
  </w:style>
  <w:style w:type="character" w:styleId="Emphasis">
    <w:name w:val="Emphasis"/>
    <w:basedOn w:val="DefaultParagraphFont"/>
    <w:semiHidden/>
    <w:rPr>
      <w:i/>
      <w:iCs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="Palatino Linotype" w:hAnsi="Palatino Linotype" w:cs="Arial"/>
      <w:sz w:val="22"/>
      <w:szCs w:val="24"/>
    </w:rPr>
  </w:style>
  <w:style w:type="paragraph" w:styleId="EnvelopeReturn">
    <w:name w:val="envelope return"/>
    <w:basedOn w:val="Normal"/>
    <w:semiHidden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semiHidden/>
    <w:rPr>
      <w:color w:val="800080"/>
      <w:u w:val="single"/>
    </w:rPr>
  </w:style>
  <w:style w:type="paragraph" w:styleId="Footer">
    <w:name w:val="footer"/>
    <w:basedOn w:val="Normal"/>
    <w:semiHidden/>
    <w:pPr>
      <w:spacing w:line="240" w:lineRule="atLeast"/>
    </w:pPr>
    <w:rPr>
      <w:sz w:val="20"/>
    </w:rPr>
  </w:style>
  <w:style w:type="paragraph" w:styleId="FootnoteText">
    <w:name w:val="footnote text"/>
    <w:basedOn w:val="Normal"/>
    <w:qFormat/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styleId="HTMLAcronym">
    <w:name w:val="HTML Acronym"/>
    <w:basedOn w:val="DefaultParagraphFont"/>
    <w:semiHidden/>
  </w:style>
  <w:style w:type="paragraph" w:styleId="HTMLAddress">
    <w:name w:val="HTML Address"/>
    <w:basedOn w:val="Normal"/>
    <w:semiHidden/>
    <w:rPr>
      <w:i/>
      <w:iCs/>
    </w:rPr>
  </w:style>
  <w:style w:type="character" w:styleId="HTMLCite">
    <w:name w:val="HTML Cite"/>
    <w:basedOn w:val="DefaultParagraphFont"/>
    <w:semiHidden/>
    <w:rPr>
      <w:i/>
      <w:iCs/>
    </w:rPr>
  </w:style>
  <w:style w:type="character" w:styleId="HTMLCode">
    <w:name w:val="HTML Code"/>
    <w:basedOn w:val="DefaultParagraphFont"/>
    <w:semiHidden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Pr>
      <w:i/>
      <w:iCs/>
    </w:rPr>
  </w:style>
  <w:style w:type="character" w:styleId="HTMLKeyboard">
    <w:name w:val="HTML Keyboard"/>
    <w:basedOn w:val="DefaultParagraphFont"/>
    <w:semiHidden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semiHidden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Pr>
      <w:i/>
      <w:iCs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character" w:styleId="LineNumber">
    <w:name w:val="line number"/>
    <w:basedOn w:val="DefaultParagraphFont"/>
    <w:semiHidden/>
  </w:style>
  <w:style w:type="paragraph" w:styleId="List">
    <w:name w:val="List"/>
    <w:basedOn w:val="Normal"/>
    <w:semiHidden/>
    <w:pPr>
      <w:ind w:left="360" w:hanging="360"/>
    </w:pPr>
  </w:style>
  <w:style w:type="paragraph" w:styleId="List2">
    <w:name w:val="List 2"/>
    <w:basedOn w:val="Normal"/>
    <w:semiHidden/>
    <w:pPr>
      <w:ind w:left="720" w:hanging="360"/>
    </w:pPr>
  </w:style>
  <w:style w:type="paragraph" w:styleId="List3">
    <w:name w:val="List 3"/>
    <w:basedOn w:val="Normal"/>
    <w:semiHidden/>
    <w:pPr>
      <w:ind w:left="1080" w:hanging="360"/>
    </w:pPr>
  </w:style>
  <w:style w:type="paragraph" w:styleId="List4">
    <w:name w:val="List 4"/>
    <w:basedOn w:val="Normal"/>
    <w:semiHidden/>
    <w:pPr>
      <w:ind w:left="1440" w:hanging="360"/>
    </w:pPr>
  </w:style>
  <w:style w:type="paragraph" w:styleId="List5">
    <w:name w:val="List 5"/>
    <w:basedOn w:val="Normal"/>
    <w:semiHidden/>
    <w:pPr>
      <w:ind w:left="1800" w:hanging="360"/>
    </w:pPr>
  </w:style>
  <w:style w:type="paragraph" w:styleId="ListBullet2">
    <w:name w:val="List Bullet 2"/>
    <w:basedOn w:val="Normal"/>
    <w:semiHidden/>
    <w:pPr>
      <w:numPr>
        <w:numId w:val="4"/>
      </w:numPr>
    </w:pPr>
  </w:style>
  <w:style w:type="paragraph" w:styleId="ListBullet3">
    <w:name w:val="List Bullet 3"/>
    <w:basedOn w:val="Normal"/>
    <w:semiHidden/>
    <w:pPr>
      <w:numPr>
        <w:numId w:val="5"/>
      </w:numPr>
    </w:pPr>
  </w:style>
  <w:style w:type="paragraph" w:styleId="ListBullet4">
    <w:name w:val="List Bullet 4"/>
    <w:basedOn w:val="Normal"/>
    <w:semiHidden/>
    <w:pPr>
      <w:numPr>
        <w:numId w:val="6"/>
      </w:numPr>
    </w:pPr>
  </w:style>
  <w:style w:type="paragraph" w:styleId="ListBullet5">
    <w:name w:val="List Bullet 5"/>
    <w:basedOn w:val="Normal"/>
    <w:semiHidden/>
    <w:pPr>
      <w:numPr>
        <w:numId w:val="7"/>
      </w:numPr>
    </w:pPr>
  </w:style>
  <w:style w:type="paragraph" w:styleId="ListContinue">
    <w:name w:val="List Continue"/>
    <w:basedOn w:val="Normal"/>
    <w:semiHidden/>
    <w:pPr>
      <w:spacing w:after="120"/>
      <w:ind w:left="360"/>
    </w:pPr>
  </w:style>
  <w:style w:type="paragraph" w:styleId="ListContinue2">
    <w:name w:val="List Continue 2"/>
    <w:basedOn w:val="Normal"/>
    <w:semiHidden/>
    <w:pPr>
      <w:spacing w:after="120"/>
      <w:ind w:left="720"/>
    </w:pPr>
  </w:style>
  <w:style w:type="paragraph" w:styleId="ListContinue3">
    <w:name w:val="List Continue 3"/>
    <w:basedOn w:val="Normal"/>
    <w:semiHidden/>
    <w:pPr>
      <w:spacing w:after="120"/>
      <w:ind w:left="1080"/>
    </w:pPr>
  </w:style>
  <w:style w:type="paragraph" w:styleId="ListContinue4">
    <w:name w:val="List Continue 4"/>
    <w:basedOn w:val="Normal"/>
    <w:semiHidden/>
    <w:pPr>
      <w:spacing w:after="120"/>
      <w:ind w:left="1440"/>
    </w:pPr>
  </w:style>
  <w:style w:type="paragraph" w:styleId="ListContinue5">
    <w:name w:val="List Continue 5"/>
    <w:basedOn w:val="Normal"/>
    <w:semiHidden/>
    <w:pPr>
      <w:spacing w:after="120"/>
      <w:ind w:left="1800"/>
    </w:pPr>
  </w:style>
  <w:style w:type="paragraph" w:styleId="ListNumber">
    <w:name w:val="List Number"/>
    <w:basedOn w:val="Normal"/>
    <w:semiHidden/>
    <w:pPr>
      <w:numPr>
        <w:numId w:val="8"/>
      </w:numPr>
    </w:pPr>
  </w:style>
  <w:style w:type="paragraph" w:styleId="ListNumber2">
    <w:name w:val="List Number 2"/>
    <w:basedOn w:val="Normal"/>
    <w:semiHidden/>
    <w:pPr>
      <w:numPr>
        <w:numId w:val="9"/>
      </w:numPr>
    </w:pPr>
  </w:style>
  <w:style w:type="paragraph" w:styleId="ListNumber3">
    <w:name w:val="List Number 3"/>
    <w:basedOn w:val="Normal"/>
    <w:semiHidden/>
    <w:pPr>
      <w:numPr>
        <w:numId w:val="10"/>
      </w:numPr>
    </w:pPr>
  </w:style>
  <w:style w:type="paragraph" w:styleId="ListNumber4">
    <w:name w:val="List Number 4"/>
    <w:basedOn w:val="Normal"/>
    <w:semiHidden/>
    <w:pPr>
      <w:numPr>
        <w:numId w:val="11"/>
      </w:numPr>
    </w:pPr>
  </w:style>
  <w:style w:type="paragraph" w:styleId="ListNumber5">
    <w:name w:val="List Number 5"/>
    <w:basedOn w:val="Normal"/>
    <w:semiHidden/>
    <w:pPr>
      <w:numPr>
        <w:numId w:val="12"/>
      </w:numPr>
    </w:pPr>
  </w:style>
  <w:style w:type="paragraph" w:styleId="MessageHeader">
    <w:name w:val="Message Header"/>
    <w:basedOn w:val="Normal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semiHidden/>
  </w:style>
  <w:style w:type="paragraph" w:styleId="NormalIndent">
    <w:name w:val="Normal Indent"/>
    <w:basedOn w:val="Normal"/>
    <w:semiHidden/>
    <w:pPr>
      <w:ind w:left="720"/>
    </w:pPr>
  </w:style>
  <w:style w:type="paragraph" w:styleId="NoteHeading">
    <w:name w:val="Note Heading"/>
    <w:basedOn w:val="Normal"/>
    <w:next w:val="Normal"/>
    <w:semiHidden/>
  </w:style>
  <w:style w:type="character" w:styleId="PageNumber">
    <w:name w:val="page number"/>
    <w:basedOn w:val="DefaultParagraphFont"/>
    <w:semiHidden/>
  </w:style>
  <w:style w:type="paragraph" w:styleId="PlainText">
    <w:name w:val="Plain Text"/>
    <w:basedOn w:val="Normal"/>
    <w:semiHidden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semiHidden/>
  </w:style>
  <w:style w:type="paragraph" w:styleId="Signature">
    <w:name w:val="Signature"/>
    <w:basedOn w:val="Normal"/>
    <w:semiHidden/>
    <w:pPr>
      <w:ind w:left="4320"/>
    </w:pPr>
  </w:style>
  <w:style w:type="character" w:styleId="Strong">
    <w:name w:val="Strong"/>
    <w:basedOn w:val="DefaultParagraphFont"/>
    <w:semiHidden/>
    <w:rPr>
      <w:b/>
      <w:bCs/>
    </w:rPr>
  </w:style>
  <w:style w:type="paragraph" w:styleId="Subtitle">
    <w:name w:val="Subtitle"/>
    <w:basedOn w:val="Normal"/>
    <w:semiHidden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semiHidden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semiHidden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TextAfterTitle"/>
    <w:qFormat/>
    <w:pPr>
      <w:spacing w:after="240"/>
      <w:ind w:left="187"/>
    </w:pPr>
    <w:rPr>
      <w:rFonts w:cs="Arial"/>
      <w:bCs/>
      <w:szCs w:val="24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customStyle="1" w:styleId="PartyContents">
    <w:name w:val="Party Contents"/>
    <w:basedOn w:val="Normal"/>
    <w:semiHidden/>
  </w:style>
  <w:style w:type="paragraph" w:customStyle="1" w:styleId="Versus">
    <w:name w:val="Versus"/>
    <w:basedOn w:val="Normal"/>
    <w:semiHidden/>
    <w:pPr>
      <w:ind w:left="720"/>
    </w:pPr>
  </w:style>
  <w:style w:type="paragraph" w:customStyle="1" w:styleId="Judge">
    <w:name w:val="Judge"/>
    <w:basedOn w:val="Normal"/>
    <w:semiHidden/>
    <w:pPr>
      <w:jc w:val="right"/>
    </w:pPr>
    <w:rPr>
      <w:szCs w:val="24"/>
    </w:rPr>
  </w:style>
  <w:style w:type="paragraph" w:customStyle="1" w:styleId="Venue">
    <w:name w:val="Venue"/>
    <w:basedOn w:val="Normal"/>
    <w:semiHidden/>
    <w:pPr>
      <w:jc w:val="center"/>
    </w:pPr>
    <w:rPr>
      <w:caps/>
      <w:szCs w:val="24"/>
    </w:rPr>
  </w:style>
  <w:style w:type="paragraph" w:customStyle="1" w:styleId="TextAfterTitle">
    <w:name w:val="TextAfterTitle"/>
    <w:basedOn w:val="Normal"/>
    <w:qFormat/>
    <w:pPr>
      <w:ind w:left="187"/>
    </w:pPr>
  </w:style>
  <w:style w:type="paragraph" w:customStyle="1" w:styleId="QAQuote">
    <w:name w:val="Q&amp;A Quote"/>
    <w:basedOn w:val="Normal"/>
    <w:qFormat/>
    <w:pPr>
      <w:spacing w:after="240"/>
      <w:ind w:left="1440" w:hanging="720"/>
    </w:pPr>
  </w:style>
  <w:style w:type="character" w:styleId="PlaceholderText">
    <w:name w:val="Placeholder Text"/>
    <w:basedOn w:val="DefaultParagraphFont"/>
    <w:uiPriority w:val="99"/>
    <w:semiHidden/>
    <w:rsid w:val="004750D8"/>
    <w:rPr>
      <w:color w:val="808080"/>
    </w:rPr>
  </w:style>
  <w:style w:type="paragraph" w:styleId="BalloonText">
    <w:name w:val="Balloon Text"/>
    <w:basedOn w:val="Normal"/>
    <w:link w:val="BalloonTextChar"/>
    <w:rsid w:val="004750D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750D8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4750D8"/>
    <w:rPr>
      <w:sz w:val="24"/>
    </w:rPr>
  </w:style>
  <w:style w:type="character" w:styleId="CommentReference">
    <w:name w:val="annotation reference"/>
    <w:basedOn w:val="DefaultParagraphFont"/>
    <w:rsid w:val="00263836"/>
    <w:rPr>
      <w:sz w:val="16"/>
      <w:szCs w:val="16"/>
    </w:rPr>
  </w:style>
  <w:style w:type="paragraph" w:styleId="CommentText">
    <w:name w:val="annotation text"/>
    <w:basedOn w:val="Normal"/>
    <w:link w:val="CommentTextChar"/>
    <w:rsid w:val="00263836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63836"/>
  </w:style>
  <w:style w:type="paragraph" w:styleId="CommentSubject">
    <w:name w:val="annotation subject"/>
    <w:basedOn w:val="CommentText"/>
    <w:next w:val="CommentText"/>
    <w:link w:val="CommentSubjectChar"/>
    <w:rsid w:val="002638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638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93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2014-04-03T07:00:00+00:00</OpenedDate>
    <Date1 xmlns="dc463f71-b30c-4ab2-9473-d307f9d35888">2014-04-04T07:00:00+00:00</Date1>
    <IsDocumentOrder xmlns="dc463f71-b30c-4ab2-9473-d307f9d35888" xsi:nil="true"/>
    <IsHighlyConfidential xmlns="dc463f71-b30c-4ab2-9473-d307f9d35888">false</IsHighlyConfidential>
    <CaseCompanyNames xmlns="dc463f71-b30c-4ab2-9473-d307f9d35888">WASTE CONTROL, INC.</CaseCompanyNames>
    <DocketNumber xmlns="dc463f71-b30c-4ab2-9473-d307f9d35888">140560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2190E13D69736428DC0AA09A9BE07E0" ma:contentTypeVersion="175" ma:contentTypeDescription="" ma:contentTypeScope="" ma:versionID="ba2a7d46f7d34ffa8e36e51e3a0a1f7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3B258C-A8C4-41B0-8623-22F274A1C74D}"/>
</file>

<file path=customXml/itemProps2.xml><?xml version="1.0" encoding="utf-8"?>
<ds:datastoreItem xmlns:ds="http://schemas.openxmlformats.org/officeDocument/2006/customXml" ds:itemID="{EA5EBAB6-813C-4C28-AB2B-4CF3B5FB9A4E}"/>
</file>

<file path=customXml/itemProps3.xml><?xml version="1.0" encoding="utf-8"?>
<ds:datastoreItem xmlns:ds="http://schemas.openxmlformats.org/officeDocument/2006/customXml" ds:itemID="{95239250-6D03-4168-848A-AD7EB28F00FF}"/>
</file>

<file path=customXml/itemProps4.xml><?xml version="1.0" encoding="utf-8"?>
<ds:datastoreItem xmlns:ds="http://schemas.openxmlformats.org/officeDocument/2006/customXml" ds:itemID="{05E9EBC4-9CC5-4D93-AE29-B011479C7900}"/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3</ap:Pages>
  <ap:Words>3875</ap:Words>
  <ap:Characters>20784</ap:Characters>
  <ap:Application>Microsoft Office Word</ap:Application>
  <ap:DocSecurity>0</ap:DocSecurity>
  <ap:Lines>411</ap:Lines>
  <ap:Paragraphs>82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24644</ap:CharactersWithSpaces>
  <ap:SharedDoc>false</ap:SharedDoc>
  <ap:HyperlinksChanged>false</ap:HyperlinksChanged>
  <ap:AppVersion>14.0000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subject>
  </dc:subject>
  <dc:creator>
  </dc:creator>
  <cp:keywords>
  </cp:keywords>
  <dc:description>
  </dc:description>
  <cp:lastModifiedBy>
  </cp:lastModifiedBy>
  <cp:revision>1</cp:revision>
  <cp:lastPrinted>2014-04-03T23:35:54Z</cp:lastPrinted>
  <dcterms:created xsi:type="dcterms:W3CDTF">2014-04-03T23:35:54Z</dcterms:created>
  <dcterms:modified xsi:type="dcterms:W3CDTF">2014-04-03T23:35:54Z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> 4808795.4</vt:lpwstr>
  </property>
  <property fmtid="{D5CDD505-2E9C-101B-9397-08002B2CF9AE}" pid="3" name="ContentTypeId">
    <vt:lpwstr>0x0101006E56B4D1795A2E4DB2F0B01679ED314A00D2190E13D69736428DC0AA09A9BE07E0</vt:lpwstr>
  </property>
  <property fmtid="{D5CDD505-2E9C-101B-9397-08002B2CF9AE}" pid="4" name="_docset_NoMedatataSyncRequired">
    <vt:lpwstr>False</vt:lpwstr>
  </property>
</Properties>
</file>