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rFonts w:ascii="Arial" w:hAnsi="Arial" w:cs="Arial"/>
        </w:rPr>
      </w:pPr>
    </w:p>
    <w:p>
      <w:pPr>
        <w:rPr>
          <w:rFonts w:ascii="Arial" w:hAnsi="Arial" w:cs="Arial"/>
        </w:rPr>
      </w:pPr>
    </w:p>
    <w:p>
      <w:pPr>
        <w:widowControl/>
        <w:autoSpaceDE w:val="0"/>
        <w:autoSpaceDN w:val="0"/>
        <w:adjustRightInd w:val="0"/>
        <w:rPr>
          <w:rFonts w:ascii="Times New Roman" w:hAnsi="Times New Roman" w:cs="Times New Roman"/>
          <w:b/>
          <w:bCs/>
          <w:sz w:val="16"/>
          <w:szCs w:val="16"/>
        </w:rPr>
      </w:pPr>
      <w:r>
        <w:rPr>
          <w:rFonts w:ascii="Times New Roman" w:hAnsi="Times New Roman" w:cs="Times New Roman"/>
          <w:b/>
          <w:bCs/>
          <w:sz w:val="16"/>
          <w:szCs w:val="16"/>
        </w:rPr>
        <w:t>CenturyLink</w:t>
      </w:r>
    </w:p>
    <w:p>
      <w:pPr>
        <w:widowControl/>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1600 7th Avenue, Room 1506</w:t>
      </w:r>
    </w:p>
    <w:p>
      <w:pPr>
        <w:widowControl/>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Seattle, Washington 98191</w:t>
      </w:r>
    </w:p>
    <w:p>
      <w:pPr>
        <w:widowControl/>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(206) 345-1568</w:t>
      </w:r>
    </w:p>
    <w:p>
      <w:pPr>
        <w:widowControl/>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Facsimile (206) 343-4040</w:t>
      </w:r>
    </w:p>
    <w:p>
      <w:pPr>
        <w:widowControl/>
        <w:autoSpaceDE w:val="0"/>
        <w:autoSpaceDN w:val="0"/>
        <w:adjustRightInd w:val="0"/>
        <w:rPr>
          <w:rFonts w:ascii="Times New Roman" w:hAnsi="Times New Roman" w:cs="Times New Roman"/>
          <w:sz w:val="16"/>
          <w:szCs w:val="16"/>
        </w:rPr>
      </w:pPr>
    </w:p>
    <w:p>
      <w:pPr>
        <w:widowControl/>
        <w:autoSpaceDE w:val="0"/>
        <w:autoSpaceDN w:val="0"/>
        <w:adjustRightInd w:val="0"/>
        <w:rPr>
          <w:rFonts w:ascii="Times New Roman" w:hAnsi="Times New Roman" w:cs="Times New Roman"/>
          <w:b/>
          <w:bCs/>
          <w:sz w:val="16"/>
          <w:szCs w:val="16"/>
        </w:rPr>
      </w:pPr>
      <w:r>
        <w:rPr>
          <w:rFonts w:ascii="Times New Roman" w:hAnsi="Times New Roman" w:cs="Times New Roman"/>
          <w:b/>
          <w:bCs/>
          <w:sz w:val="16"/>
          <w:szCs w:val="16"/>
        </w:rPr>
        <w:t>Mark S. Reynolds</w:t>
      </w:r>
    </w:p>
    <w:p>
      <w:pPr>
        <w:widowControl/>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VP Regulatory &amp; Legislative Affairs</w:t>
      </w:r>
    </w:p>
    <w:p>
      <w:pPr>
        <w:rPr>
          <w:rFonts w:ascii="Times New Roman" w:hAnsi="Times New Roman" w:cs="Times New Roman"/>
          <w:sz w:val="16"/>
          <w:szCs w:val="16"/>
        </w:rPr>
      </w:pPr>
      <w:r>
        <w:rPr>
          <w:rFonts w:ascii="Times New Roman" w:hAnsi="Times New Roman" w:cs="Times New Roman"/>
          <w:sz w:val="16"/>
          <w:szCs w:val="16"/>
        </w:rPr>
        <w:t>Western Region</w:t>
      </w:r>
    </w:p>
    <w:p>
      <w:pPr>
        <w:rPr>
          <w:rFonts w:ascii="Arial" w:hAnsi="Arial" w:cs="Arial"/>
        </w:rPr>
      </w:pPr>
    </w:p>
    <w:p>
      <w:pPr>
        <w:rPr>
          <w:rFonts w:ascii="Arial" w:hAnsi="Arial" w:cs="Arial"/>
        </w:rPr>
      </w:pPr>
    </w:p>
    <w:p>
      <w:pPr>
        <w:rPr>
          <w:rFonts w:ascii="Times New Roman" w:hAnsi="Times New Roman" w:cs="Times New Roman"/>
          <w:sz w:val="24"/>
          <w:szCs w:val="24"/>
        </w:rPr>
      </w:pPr>
      <w:r>
        <w:rPr>
          <w:rFonts w:ascii="Times New Roman" w:hAnsi="Times New Roman" w:cs="Times New Roman"/>
          <w:sz w:val="24"/>
          <w:szCs w:val="24"/>
        </w:rPr>
        <w:t>June 21, 2013</w:t>
      </w:r>
    </w:p>
    <w:p>
      <w:pPr>
        <w:rPr>
          <w:rFonts w:ascii="Times New Roman" w:hAnsi="Times New Roman" w:cs="Times New Roman"/>
          <w:sz w:val="24"/>
          <w:szCs w:val="24"/>
        </w:rPr>
      </w:pPr>
    </w:p>
    <w:p>
      <w:pPr>
        <w:rPr>
          <w:rFonts w:ascii="Times New Roman" w:hAnsi="Times New Roman" w:cs="Times New Roman"/>
          <w:sz w:val="24"/>
          <w:szCs w:val="24"/>
        </w:rPr>
      </w:pPr>
    </w:p>
    <w:p>
      <w:pPr>
        <w:widowControl/>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Steven King</w:t>
      </w:r>
    </w:p>
    <w:p>
      <w:pPr>
        <w:widowControl/>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Acting Executive Director and Secretary</w:t>
      </w:r>
    </w:p>
    <w:p>
      <w:pPr>
        <w:widowControl/>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1300 S. Evergreen Park Dr. S.W.</w:t>
      </w:r>
    </w:p>
    <w:p>
      <w:pPr>
        <w:widowControl/>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P.O. Box 47250</w:t>
      </w:r>
    </w:p>
    <w:p>
      <w:pPr>
        <w:widowControl/>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Olympia, Washington 98504-7250</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bCs/>
          <w:sz w:val="24"/>
          <w:szCs w:val="24"/>
        </w:rPr>
      </w:pPr>
      <w:r>
        <w:rPr>
          <w:rFonts w:ascii="Times New Roman" w:hAnsi="Times New Roman" w:cs="Times New Roman"/>
          <w:sz w:val="24"/>
          <w:szCs w:val="24"/>
        </w:rPr>
        <w:t xml:space="preserve">Re:   </w:t>
      </w:r>
      <w:r>
        <w:rPr>
          <w:rFonts w:ascii="Times New Roman" w:hAnsi="Times New Roman" w:cs="Times New Roman"/>
          <w:sz w:val="24"/>
          <w:szCs w:val="24"/>
        </w:rPr>
        <w:tab/>
      </w:r>
      <w:r>
        <w:rPr>
          <w:rFonts w:ascii="Times New Roman" w:hAnsi="Times New Roman" w:cs="Times New Roman"/>
          <w:bCs/>
          <w:sz w:val="24"/>
          <w:szCs w:val="24"/>
        </w:rPr>
        <w:t>UT-133011</w:t>
      </w:r>
      <w:proofErr w:type="gramStart"/>
      <w:r>
        <w:rPr>
          <w:rFonts w:ascii="Times New Roman" w:hAnsi="Times New Roman" w:cs="Times New Roman"/>
          <w:bCs/>
          <w:sz w:val="24"/>
          <w:szCs w:val="24"/>
        </w:rPr>
        <w:t>  Access</w:t>
      </w:r>
      <w:proofErr w:type="gramEnd"/>
      <w:r>
        <w:rPr>
          <w:rFonts w:ascii="Times New Roman" w:hAnsi="Times New Roman" w:cs="Times New Roman"/>
          <w:bCs/>
          <w:sz w:val="24"/>
          <w:szCs w:val="24"/>
        </w:rPr>
        <w:t xml:space="preserve"> Recovery Charge (ARC) and Connect America Fund (CAF)-ICC recovery annual certifications to the Federal Communications Commission pursuant to 47 C.F.R. § 51.915 for price cap carriers and 47 C.F.R. § 51.917 for rate-of-return carriers.</w:t>
      </w:r>
    </w:p>
    <w:p>
      <w:pPr>
        <w:rPr>
          <w:rFonts w:ascii="Times New Roman" w:hAnsi="Times New Roman" w:cs="Times New Roman"/>
          <w:bCs/>
          <w:sz w:val="24"/>
          <w:szCs w:val="24"/>
        </w:rPr>
      </w:pPr>
    </w:p>
    <w:p>
      <w:pPr>
        <w:rPr>
          <w:rFonts w:ascii="Times New Roman" w:hAnsi="Times New Roman" w:cs="Times New Roman"/>
          <w:sz w:val="24"/>
          <w:szCs w:val="24"/>
        </w:rPr>
      </w:pPr>
    </w:p>
    <w:p>
      <w:pPr>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Annual reporting requirement for CAF ICC recipients pursuant to 47 C.F.R. 54.304(c</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1)</w:t>
      </w:r>
    </w:p>
    <w:p>
      <w:pPr>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Dear Mr. King:</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The Federal Communications Commission (FCC) Report and Order released November 18, 2011 in WC Docket No. 10-90, et al. (USF/ICC Transformation Order) and associated FCC rules (47 C.F.R. 54.304(c)(1)), require price cap carriers to file data establishing the amount of a price cap carrier’s annual eligible CAF ICC funding.  The attached letter reflects the anticipated CAF ICC support and Access Recovery Charge Revenue amounts for CenturyLink Operating Companies together with Qwest Corporation d/b/a CenturyLink QC (CenturyLink) as submitted to the FCC for 2013.</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If you have questions concerning this filing, please contact Gary Kepley at </w:t>
      </w:r>
      <w:r>
        <w:rPr>
          <w:rFonts w:ascii="Times New Roman" w:hAnsi="Times New Roman" w:cs="Times New Roman"/>
          <w:w w:val="95"/>
          <w:sz w:val="24"/>
          <w:szCs w:val="24"/>
        </w:rPr>
        <w:t>913-345-7572</w:t>
      </w:r>
      <w:r>
        <w:rPr>
          <w:rFonts w:ascii="Times New Roman" w:hAnsi="Times New Roman" w:cs="Times New Roman"/>
          <w:sz w:val="24"/>
          <w:szCs w:val="24"/>
        </w:rPr>
        <w:t>.</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 </w:t>
      </w:r>
    </w:p>
    <w:p>
      <w:pPr>
        <w:pStyle w:val="Default"/>
      </w:pPr>
      <w:r>
        <w:t xml:space="preserve">Sincerely, </w:t>
      </w:r>
    </w:p>
    <w:p>
      <w:pPr>
        <w:pStyle w:val="Default"/>
      </w:pPr>
    </w:p>
    <w:p>
      <w:pPr>
        <w:pStyle w:val="Default"/>
      </w:pPr>
    </w:p>
    <w:p>
      <w:pPr>
        <w:pStyle w:val="Default"/>
      </w:pPr>
    </w:p>
    <w:p>
      <w:pPr>
        <w:rPr>
          <w:rFonts w:ascii="Times New Roman" w:hAnsi="Times New Roman" w:cs="Times New Roman"/>
          <w:sz w:val="24"/>
          <w:szCs w:val="24"/>
        </w:rPr>
      </w:pPr>
      <w:r>
        <w:rPr>
          <w:rFonts w:ascii="Times New Roman" w:hAnsi="Times New Roman" w:cs="Times New Roman"/>
          <w:sz w:val="24"/>
          <w:szCs w:val="24"/>
        </w:rPr>
        <w:t>Mark Reynolds</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Attachment</w:t>
      </w:r>
    </w:p>
    <w:p>
      <w:pPr>
        <w:rPr>
          <w:rFonts w:ascii="Arial" w:hAnsi="Arial" w:cs="Arial"/>
        </w:rPr>
      </w:pPr>
    </w:p>
    <w:p>
      <w:pPr>
        <w:rPr>
          <w:rFonts w:ascii="Arial" w:eastAsia="Arial" w:hAnsi="Arial" w:cs="Arial"/>
          <w:b/>
          <w:w w:val="95"/>
          <w:sz w:val="20"/>
          <w:szCs w:val="20"/>
        </w:rPr>
      </w:pPr>
      <w:r>
        <w:rPr>
          <w:rFonts w:ascii="Arial" w:eastAsia="Arial" w:hAnsi="Arial" w:cs="Arial"/>
          <w:b/>
          <w:w w:val="95"/>
          <w:sz w:val="20"/>
          <w:szCs w:val="20"/>
        </w:rPr>
        <w:br w:type="page"/>
      </w:r>
    </w:p>
    <w:p>
      <w:pPr>
        <w:ind w:left="101" w:right="5414"/>
        <w:jc w:val="both"/>
        <w:rPr>
          <w:rFonts w:ascii="Arial" w:eastAsia="Arial" w:hAnsi="Arial" w:cs="Arial"/>
          <w:b/>
          <w:w w:val="95"/>
          <w:sz w:val="20"/>
          <w:szCs w:val="20"/>
        </w:rPr>
      </w:pPr>
      <w:r>
        <w:rPr>
          <w:rFonts w:ascii="Arial" w:eastAsia="Arial" w:hAnsi="Arial" w:cs="Arial"/>
          <w:b/>
          <w:w w:val="95"/>
          <w:sz w:val="20"/>
          <w:szCs w:val="20"/>
        </w:rPr>
        <w:lastRenderedPageBreak/>
        <w:t xml:space="preserve">CenturyLink </w:t>
      </w:r>
    </w:p>
    <w:p>
      <w:pPr>
        <w:ind w:left="101" w:right="5414"/>
        <w:jc w:val="both"/>
        <w:rPr>
          <w:rFonts w:ascii="Arial" w:eastAsia="Arial" w:hAnsi="Arial" w:cs="Arial"/>
          <w:w w:val="95"/>
          <w:sz w:val="20"/>
          <w:szCs w:val="20"/>
        </w:rPr>
      </w:pPr>
      <w:r>
        <w:rPr>
          <w:rFonts w:ascii="Arial" w:eastAsia="Arial" w:hAnsi="Arial" w:cs="Arial"/>
          <w:noProof/>
          <w:sz w:val="20"/>
          <w:szCs w:val="20"/>
        </w:rPr>
        <w:drawing>
          <wp:anchor distT="0" distB="0" distL="114300" distR="114300" simplePos="0" relativeHeight="251658240" behindDoc="1" locked="0" layoutInCell="1" allowOverlap="1">
            <wp:simplePos x="0" y="0"/>
            <wp:positionH relativeFrom="page">
              <wp:posOffset>4998720</wp:posOffset>
            </wp:positionH>
            <wp:positionV relativeFrom="page">
              <wp:posOffset>-4445</wp:posOffset>
            </wp:positionV>
            <wp:extent cx="2775585" cy="1403985"/>
            <wp:effectExtent l="0" t="0" r="0" b="0"/>
            <wp:wrapNone/>
            <wp:docPr id="7" name="Picture 6" descr="CLink_ltt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nk_lttrhd"/>
                    <pic:cNvPicPr>
                      <a:picLocks noChangeAspect="1" noChangeArrowheads="1"/>
                    </pic:cNvPicPr>
                  </pic:nvPicPr>
                  <pic:blipFill>
                    <a:blip r:embed="rId4" cstate="print"/>
                    <a:srcRect/>
                    <a:stretch>
                      <a:fillRect/>
                    </a:stretch>
                  </pic:blipFill>
                  <pic:spPr bwMode="auto">
                    <a:xfrm>
                      <a:off x="0" y="0"/>
                      <a:ext cx="2775585" cy="1403985"/>
                    </a:xfrm>
                    <a:prstGeom prst="rect">
                      <a:avLst/>
                    </a:prstGeom>
                    <a:noFill/>
                    <a:ln w="9525">
                      <a:noFill/>
                      <a:miter lim="800000"/>
                      <a:headEnd/>
                      <a:tailEnd/>
                    </a:ln>
                  </pic:spPr>
                </pic:pic>
              </a:graphicData>
            </a:graphic>
          </wp:anchor>
        </w:drawing>
      </w:r>
      <w:r>
        <w:rPr>
          <w:rFonts w:ascii="Arial" w:eastAsia="Arial" w:hAnsi="Arial" w:cs="Arial"/>
          <w:w w:val="95"/>
          <w:sz w:val="20"/>
          <w:szCs w:val="20"/>
        </w:rPr>
        <w:t>Gary Kepley</w:t>
      </w:r>
    </w:p>
    <w:p>
      <w:pPr>
        <w:ind w:left="101" w:right="5414"/>
        <w:jc w:val="both"/>
        <w:rPr>
          <w:rFonts w:ascii="Arial" w:eastAsia="Arial" w:hAnsi="Arial" w:cs="Arial"/>
          <w:w w:val="95"/>
          <w:sz w:val="20"/>
          <w:szCs w:val="20"/>
        </w:rPr>
      </w:pPr>
      <w:r>
        <w:rPr>
          <w:rFonts w:ascii="Arial" w:eastAsia="Arial" w:hAnsi="Arial" w:cs="Arial"/>
          <w:w w:val="95"/>
          <w:sz w:val="20"/>
          <w:szCs w:val="20"/>
        </w:rPr>
        <w:t>5454 West 110</w:t>
      </w:r>
      <w:r>
        <w:rPr>
          <w:rFonts w:ascii="Arial" w:eastAsia="Arial" w:hAnsi="Arial" w:cs="Arial"/>
          <w:w w:val="95"/>
          <w:sz w:val="20"/>
          <w:szCs w:val="20"/>
          <w:vertAlign w:val="superscript"/>
        </w:rPr>
        <w:t>th</w:t>
      </w:r>
      <w:r>
        <w:rPr>
          <w:rFonts w:ascii="Arial" w:eastAsia="Arial" w:hAnsi="Arial" w:cs="Arial"/>
          <w:w w:val="95"/>
          <w:sz w:val="20"/>
          <w:szCs w:val="20"/>
        </w:rPr>
        <w:t xml:space="preserve"> Street</w:t>
      </w:r>
    </w:p>
    <w:p>
      <w:pPr>
        <w:ind w:left="101" w:right="5414"/>
        <w:jc w:val="both"/>
        <w:rPr>
          <w:rFonts w:ascii="Arial" w:eastAsia="Arial" w:hAnsi="Arial" w:cs="Arial"/>
          <w:w w:val="95"/>
          <w:sz w:val="20"/>
          <w:szCs w:val="20"/>
        </w:rPr>
      </w:pPr>
      <w:r>
        <w:rPr>
          <w:rFonts w:ascii="Arial" w:eastAsia="Arial" w:hAnsi="Arial" w:cs="Arial"/>
          <w:w w:val="95"/>
          <w:sz w:val="20"/>
          <w:szCs w:val="20"/>
        </w:rPr>
        <w:t>Overland Park, KS 66211</w:t>
      </w:r>
    </w:p>
    <w:p>
      <w:pPr>
        <w:ind w:left="101" w:right="5414"/>
        <w:jc w:val="both"/>
        <w:rPr>
          <w:rFonts w:ascii="Arial" w:eastAsia="Arial" w:hAnsi="Arial" w:cs="Arial"/>
          <w:w w:val="95"/>
          <w:sz w:val="20"/>
          <w:szCs w:val="20"/>
        </w:rPr>
      </w:pPr>
      <w:r>
        <w:rPr>
          <w:rFonts w:ascii="Arial" w:eastAsia="Arial" w:hAnsi="Arial" w:cs="Arial"/>
          <w:w w:val="95"/>
          <w:sz w:val="20"/>
          <w:szCs w:val="20"/>
        </w:rPr>
        <w:t>Tel: 913-345-7572   Fax: 913-345-6756</w:t>
      </w:r>
    </w:p>
    <w:p>
      <w:pPr>
        <w:ind w:left="101" w:right="5414"/>
        <w:jc w:val="both"/>
        <w:rPr>
          <w:sz w:val="20"/>
          <w:szCs w:val="20"/>
        </w:rPr>
      </w:pPr>
      <w:r>
        <w:rPr>
          <w:rFonts w:ascii="Arial" w:eastAsia="Arial" w:hAnsi="Arial" w:cs="Arial"/>
          <w:w w:val="95"/>
          <w:sz w:val="20"/>
          <w:szCs w:val="20"/>
        </w:rPr>
        <w:t>E mail: Gary.Kepley@CenturyLink.com</w:t>
      </w:r>
    </w:p>
    <w:p>
      <w:pPr>
        <w:spacing w:line="160" w:lineRule="exact"/>
        <w:rPr>
          <w:sz w:val="16"/>
          <w:szCs w:val="16"/>
        </w:rPr>
      </w:pPr>
    </w:p>
    <w:p>
      <w:pPr>
        <w:spacing w:line="160" w:lineRule="exact"/>
        <w:rPr>
          <w:sz w:val="16"/>
          <w:szCs w:val="16"/>
        </w:rPr>
      </w:pPr>
    </w:p>
    <w:p>
      <w:pPr>
        <w:spacing w:line="160" w:lineRule="exact"/>
        <w:rPr>
          <w:sz w:val="16"/>
          <w:szCs w:val="16"/>
        </w:rPr>
      </w:pPr>
    </w:p>
    <w:p>
      <w:pPr>
        <w:spacing w:line="160" w:lineRule="exact"/>
        <w:rPr>
          <w:sz w:val="16"/>
          <w:szCs w:val="16"/>
        </w:rPr>
      </w:pPr>
    </w:p>
    <w:p>
      <w:pPr>
        <w:spacing w:line="160" w:lineRule="exact"/>
        <w:rPr>
          <w:sz w:val="16"/>
          <w:szCs w:val="16"/>
        </w:rPr>
      </w:pPr>
    </w:p>
    <w:p>
      <w:pPr>
        <w:spacing w:line="160" w:lineRule="exact"/>
        <w:rPr>
          <w:sz w:val="16"/>
          <w:szCs w:val="16"/>
        </w:rPr>
      </w:pPr>
    </w:p>
    <w:p>
      <w:pPr>
        <w:spacing w:before="9" w:line="200" w:lineRule="exact"/>
        <w:rPr>
          <w:sz w:val="20"/>
          <w:szCs w:val="20"/>
        </w:rPr>
      </w:pPr>
    </w:p>
    <w:p>
      <w:pPr>
        <w:pStyle w:val="BodyText"/>
        <w:ind w:right="-40"/>
        <w:jc w:val="both"/>
      </w:pPr>
      <w:r>
        <w:rPr>
          <w:w w:val="95"/>
        </w:rPr>
        <w:t>June 18, 2013</w:t>
      </w:r>
    </w:p>
    <w:p>
      <w:pPr>
        <w:spacing w:before="1" w:line="260" w:lineRule="exact"/>
        <w:rPr>
          <w:sz w:val="26"/>
          <w:szCs w:val="26"/>
        </w:rPr>
      </w:pPr>
    </w:p>
    <w:p>
      <w:pPr>
        <w:spacing w:before="1" w:line="260" w:lineRule="exact"/>
        <w:rPr>
          <w:sz w:val="26"/>
          <w:szCs w:val="26"/>
        </w:rPr>
      </w:pPr>
    </w:p>
    <w:p>
      <w:pPr>
        <w:ind w:left="90"/>
        <w:rPr>
          <w:rFonts w:ascii="Arial" w:hAnsi="Arial" w:cs="Arial"/>
        </w:rPr>
      </w:pPr>
      <w:r>
        <w:rPr>
          <w:rFonts w:ascii="Arial" w:hAnsi="Arial" w:cs="Arial"/>
        </w:rPr>
        <w:t xml:space="preserve">The Federal Communications Commission (FCC) Report and Order released November 18, 2011 in WC Docket No. 10-90, et al. (USF/ICC Transformation Order) and associated FCC rules (47 C.F.R. 54.304(c)(1)), require price cap carriers to file data establishing the amount of a price cap carrier’s annual eligible CAF ICC funding.  The information presented below reflects the anticipated CAF ICC support and Access Recovery Charge Revenue amounts for CenturyLink Operating Companies together with Qwest Corporation d/b/a CenturyLink QC (CenturyLink) as submitted to the FCC for 2013.  </w:t>
      </w:r>
    </w:p>
    <w:p>
      <w:pPr>
        <w:spacing w:line="200" w:lineRule="exact"/>
        <w:ind w:left="90"/>
        <w:rPr>
          <w:sz w:val="20"/>
          <w:szCs w:val="20"/>
        </w:rPr>
      </w:pPr>
    </w:p>
    <w:p>
      <w:pPr>
        <w:spacing w:line="200" w:lineRule="exact"/>
        <w:rPr>
          <w:sz w:val="20"/>
          <w:szCs w:val="20"/>
        </w:rPr>
      </w:pPr>
    </w:p>
    <w:tbl>
      <w:tblPr>
        <w:tblW w:w="0" w:type="auto"/>
        <w:tblInd w:w="1584" w:type="dxa"/>
        <w:tblLayout w:type="fixed"/>
        <w:tblCellMar>
          <w:left w:w="0" w:type="dxa"/>
          <w:right w:w="0" w:type="dxa"/>
        </w:tblCellMar>
        <w:tblLook w:val="01E0"/>
      </w:tblPr>
      <w:tblGrid>
        <w:gridCol w:w="1982"/>
        <w:gridCol w:w="2141"/>
        <w:gridCol w:w="2285"/>
      </w:tblGrid>
      <w:tr>
        <w:trPr>
          <w:trHeight w:hRule="exact" w:val="1333"/>
        </w:trPr>
        <w:tc>
          <w:tcPr>
            <w:tcW w:w="1982" w:type="dxa"/>
            <w:tcBorders>
              <w:top w:val="single" w:sz="6" w:space="0" w:color="000000"/>
              <w:left w:val="single" w:sz="6" w:space="0" w:color="000000"/>
              <w:bottom w:val="single" w:sz="6" w:space="0" w:color="000000"/>
              <w:right w:val="single" w:sz="6" w:space="0" w:color="000000"/>
            </w:tcBorders>
          </w:tcPr>
          <w:p>
            <w:pPr>
              <w:pStyle w:val="TableParagraph"/>
              <w:spacing w:line="160" w:lineRule="exact"/>
              <w:jc w:val="center"/>
              <w:rPr>
                <w:rFonts w:ascii="Arial" w:hAnsi="Arial" w:cs="Arial"/>
                <w:sz w:val="20"/>
                <w:szCs w:val="20"/>
              </w:rPr>
            </w:pPr>
          </w:p>
          <w:p>
            <w:pPr>
              <w:pStyle w:val="TableParagraph"/>
              <w:spacing w:line="255" w:lineRule="auto"/>
              <w:ind w:left="383" w:right="327" w:hanging="34"/>
              <w:jc w:val="center"/>
              <w:rPr>
                <w:rFonts w:ascii="Arial" w:eastAsia="Calibri" w:hAnsi="Arial" w:cs="Arial"/>
                <w:sz w:val="20"/>
                <w:szCs w:val="20"/>
              </w:rPr>
            </w:pPr>
            <w:r>
              <w:rPr>
                <w:rFonts w:ascii="Arial" w:hAnsi="Arial" w:cs="Arial"/>
                <w:w w:val="105"/>
                <w:sz w:val="20"/>
                <w:szCs w:val="20"/>
              </w:rPr>
              <w:t>Holding</w:t>
            </w:r>
            <w:r>
              <w:rPr>
                <w:rFonts w:ascii="Arial" w:hAnsi="Arial" w:cs="Arial"/>
                <w:spacing w:val="-7"/>
                <w:w w:val="105"/>
                <w:sz w:val="20"/>
                <w:szCs w:val="20"/>
              </w:rPr>
              <w:t xml:space="preserve"> </w:t>
            </w:r>
            <w:r>
              <w:rPr>
                <w:rFonts w:ascii="Arial" w:hAnsi="Arial" w:cs="Arial"/>
                <w:w w:val="105"/>
                <w:sz w:val="20"/>
                <w:szCs w:val="20"/>
              </w:rPr>
              <w:t>Company</w:t>
            </w:r>
            <w:r>
              <w:rPr>
                <w:rFonts w:ascii="Arial" w:hAnsi="Arial" w:cs="Arial"/>
                <w:w w:val="104"/>
                <w:sz w:val="20"/>
                <w:szCs w:val="20"/>
              </w:rPr>
              <w:t xml:space="preserve"> </w:t>
            </w:r>
            <w:r>
              <w:rPr>
                <w:rFonts w:ascii="Arial" w:hAnsi="Arial" w:cs="Arial"/>
                <w:w w:val="105"/>
                <w:sz w:val="20"/>
                <w:szCs w:val="20"/>
              </w:rPr>
              <w:t>Eligible</w:t>
            </w:r>
            <w:r>
              <w:rPr>
                <w:rFonts w:ascii="Arial" w:hAnsi="Arial" w:cs="Arial"/>
                <w:spacing w:val="3"/>
                <w:w w:val="105"/>
                <w:sz w:val="20"/>
                <w:szCs w:val="20"/>
              </w:rPr>
              <w:t xml:space="preserve"> </w:t>
            </w:r>
            <w:r>
              <w:rPr>
                <w:rFonts w:ascii="Arial" w:hAnsi="Arial" w:cs="Arial"/>
                <w:w w:val="105"/>
                <w:sz w:val="20"/>
                <w:szCs w:val="20"/>
              </w:rPr>
              <w:t>Recovery</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spacing w:line="160" w:lineRule="exact"/>
              <w:jc w:val="center"/>
              <w:rPr>
                <w:rFonts w:ascii="Arial" w:hAnsi="Arial" w:cs="Arial"/>
                <w:sz w:val="20"/>
                <w:szCs w:val="20"/>
              </w:rPr>
            </w:pPr>
          </w:p>
          <w:p>
            <w:pPr>
              <w:pStyle w:val="TableParagraph"/>
              <w:spacing w:line="255" w:lineRule="auto"/>
              <w:ind w:left="153" w:right="118" w:firstLine="268"/>
              <w:jc w:val="center"/>
              <w:rPr>
                <w:rFonts w:ascii="Arial" w:eastAsia="Calibri" w:hAnsi="Arial" w:cs="Arial"/>
                <w:sz w:val="20"/>
                <w:szCs w:val="20"/>
              </w:rPr>
            </w:pPr>
            <w:r>
              <w:rPr>
                <w:rFonts w:ascii="Arial" w:hAnsi="Arial" w:cs="Arial"/>
                <w:w w:val="105"/>
                <w:sz w:val="20"/>
                <w:szCs w:val="20"/>
              </w:rPr>
              <w:t>Holding</w:t>
            </w:r>
            <w:r>
              <w:rPr>
                <w:rFonts w:ascii="Arial" w:hAnsi="Arial" w:cs="Arial"/>
                <w:spacing w:val="3"/>
                <w:w w:val="105"/>
                <w:sz w:val="20"/>
                <w:szCs w:val="20"/>
              </w:rPr>
              <w:t xml:space="preserve"> </w:t>
            </w:r>
            <w:r>
              <w:rPr>
                <w:rFonts w:ascii="Arial" w:hAnsi="Arial" w:cs="Arial"/>
                <w:w w:val="105"/>
                <w:sz w:val="20"/>
                <w:szCs w:val="20"/>
              </w:rPr>
              <w:t>Company</w:t>
            </w:r>
            <w:r>
              <w:rPr>
                <w:rFonts w:ascii="Arial" w:hAnsi="Arial" w:cs="Arial"/>
                <w:w w:val="104"/>
                <w:sz w:val="20"/>
                <w:szCs w:val="20"/>
              </w:rPr>
              <w:t xml:space="preserve"> </w:t>
            </w:r>
            <w:r>
              <w:rPr>
                <w:rFonts w:ascii="Arial" w:hAnsi="Arial" w:cs="Arial"/>
                <w:w w:val="105"/>
                <w:sz w:val="20"/>
                <w:szCs w:val="20"/>
              </w:rPr>
              <w:t>Maximum</w:t>
            </w:r>
            <w:r>
              <w:rPr>
                <w:rFonts w:ascii="Arial" w:hAnsi="Arial" w:cs="Arial"/>
                <w:spacing w:val="3"/>
                <w:w w:val="105"/>
                <w:sz w:val="20"/>
                <w:szCs w:val="20"/>
              </w:rPr>
              <w:t xml:space="preserve"> </w:t>
            </w:r>
            <w:r>
              <w:rPr>
                <w:rFonts w:ascii="Arial" w:hAnsi="Arial" w:cs="Arial"/>
                <w:w w:val="105"/>
                <w:sz w:val="20"/>
                <w:szCs w:val="20"/>
              </w:rPr>
              <w:t>ARC</w:t>
            </w:r>
            <w:r>
              <w:rPr>
                <w:rFonts w:ascii="Arial" w:hAnsi="Arial" w:cs="Arial"/>
                <w:spacing w:val="22"/>
                <w:w w:val="105"/>
                <w:sz w:val="20"/>
                <w:szCs w:val="20"/>
              </w:rPr>
              <w:t xml:space="preserve"> </w:t>
            </w:r>
            <w:r>
              <w:rPr>
                <w:rFonts w:ascii="Arial" w:hAnsi="Arial" w:cs="Arial"/>
                <w:w w:val="105"/>
                <w:sz w:val="20"/>
                <w:szCs w:val="20"/>
              </w:rPr>
              <w:t>Revenues</w:t>
            </w:r>
          </w:p>
        </w:tc>
        <w:tc>
          <w:tcPr>
            <w:tcW w:w="2285" w:type="dxa"/>
            <w:tcBorders>
              <w:top w:val="single" w:sz="6" w:space="0" w:color="000000"/>
              <w:left w:val="single" w:sz="6" w:space="0" w:color="000000"/>
              <w:bottom w:val="single" w:sz="6" w:space="0" w:color="000000"/>
              <w:right w:val="single" w:sz="6" w:space="0" w:color="000000"/>
            </w:tcBorders>
          </w:tcPr>
          <w:p>
            <w:pPr>
              <w:pStyle w:val="TableParagraph"/>
              <w:spacing w:before="4" w:line="110" w:lineRule="exact"/>
              <w:jc w:val="center"/>
              <w:rPr>
                <w:rFonts w:ascii="Arial" w:hAnsi="Arial" w:cs="Arial"/>
                <w:sz w:val="20"/>
                <w:szCs w:val="20"/>
              </w:rPr>
            </w:pPr>
          </w:p>
          <w:p>
            <w:pPr>
              <w:pStyle w:val="TableParagraph"/>
              <w:spacing w:line="160" w:lineRule="exact"/>
              <w:jc w:val="center"/>
              <w:rPr>
                <w:rFonts w:ascii="Arial" w:hAnsi="Arial" w:cs="Arial"/>
                <w:sz w:val="20"/>
                <w:szCs w:val="20"/>
              </w:rPr>
            </w:pPr>
          </w:p>
          <w:p>
            <w:pPr>
              <w:pStyle w:val="TableParagraph"/>
              <w:spacing w:line="160" w:lineRule="exact"/>
              <w:jc w:val="center"/>
              <w:rPr>
                <w:rFonts w:ascii="Arial" w:hAnsi="Arial" w:cs="Arial"/>
                <w:sz w:val="20"/>
                <w:szCs w:val="20"/>
              </w:rPr>
            </w:pPr>
          </w:p>
          <w:p>
            <w:pPr>
              <w:pStyle w:val="TableParagraph"/>
              <w:ind w:left="143"/>
              <w:jc w:val="center"/>
              <w:rPr>
                <w:rFonts w:ascii="Arial" w:hAnsi="Arial" w:cs="Arial"/>
                <w:w w:val="90"/>
                <w:sz w:val="20"/>
                <w:szCs w:val="20"/>
              </w:rPr>
            </w:pPr>
          </w:p>
          <w:p>
            <w:pPr>
              <w:pStyle w:val="TableParagraph"/>
              <w:ind w:left="143"/>
              <w:jc w:val="center"/>
              <w:rPr>
                <w:rFonts w:ascii="Arial" w:eastAsia="Arial" w:hAnsi="Arial" w:cs="Arial"/>
                <w:sz w:val="20"/>
                <w:szCs w:val="20"/>
              </w:rPr>
            </w:pPr>
            <w:r>
              <w:rPr>
                <w:rFonts w:ascii="Arial" w:hAnsi="Arial" w:cs="Arial"/>
                <w:w w:val="105"/>
                <w:sz w:val="20"/>
                <w:szCs w:val="20"/>
              </w:rPr>
              <w:t>Maximum CAF ICC Support</w:t>
            </w:r>
          </w:p>
        </w:tc>
      </w:tr>
      <w:tr>
        <w:trPr>
          <w:trHeight w:hRule="exact" w:val="595"/>
        </w:trPr>
        <w:tc>
          <w:tcPr>
            <w:tcW w:w="1982" w:type="dxa"/>
            <w:tcBorders>
              <w:top w:val="single" w:sz="6" w:space="0" w:color="000000"/>
              <w:left w:val="single" w:sz="6" w:space="0" w:color="000000"/>
              <w:bottom w:val="single" w:sz="6" w:space="0" w:color="000000"/>
              <w:right w:val="single" w:sz="6" w:space="0" w:color="000000"/>
            </w:tcBorders>
          </w:tcPr>
          <w:p>
            <w:pPr>
              <w:pStyle w:val="TableParagraph"/>
              <w:spacing w:before="7" w:line="170" w:lineRule="exact"/>
            </w:pPr>
          </w:p>
          <w:p>
            <w:pPr>
              <w:pStyle w:val="TableParagraph"/>
              <w:ind w:left="604"/>
              <w:rPr>
                <w:rFonts w:ascii="Arial" w:eastAsia="Arial" w:hAnsi="Arial" w:cs="Arial"/>
              </w:rPr>
            </w:pPr>
            <w:r>
              <w:rPr>
                <w:rFonts w:ascii="Arial"/>
                <w:w w:val="95"/>
              </w:rPr>
              <w:t>$153.697,466</w:t>
            </w:r>
          </w:p>
        </w:tc>
        <w:tc>
          <w:tcPr>
            <w:tcW w:w="2141" w:type="dxa"/>
            <w:tcBorders>
              <w:top w:val="single" w:sz="6" w:space="0" w:color="000000"/>
              <w:left w:val="single" w:sz="6" w:space="0" w:color="000000"/>
              <w:bottom w:val="single" w:sz="6" w:space="0" w:color="000000"/>
              <w:right w:val="single" w:sz="6" w:space="0" w:color="000000"/>
            </w:tcBorders>
          </w:tcPr>
          <w:p>
            <w:pPr>
              <w:pStyle w:val="TableParagraph"/>
              <w:spacing w:before="153"/>
              <w:ind w:left="590"/>
              <w:rPr>
                <w:rFonts w:ascii="Arial" w:eastAsia="Arial" w:hAnsi="Arial" w:cs="Arial"/>
              </w:rPr>
            </w:pPr>
            <w:r>
              <w:rPr>
                <w:rFonts w:ascii="Arial"/>
                <w:w w:val="90"/>
              </w:rPr>
              <w:t>$147,890,128</w:t>
            </w:r>
          </w:p>
        </w:tc>
        <w:tc>
          <w:tcPr>
            <w:tcW w:w="2285" w:type="dxa"/>
            <w:tcBorders>
              <w:top w:val="single" w:sz="6" w:space="0" w:color="000000"/>
              <w:left w:val="single" w:sz="6" w:space="0" w:color="000000"/>
              <w:bottom w:val="single" w:sz="6" w:space="0" w:color="000000"/>
              <w:right w:val="single" w:sz="6" w:space="0" w:color="000000"/>
            </w:tcBorders>
          </w:tcPr>
          <w:p>
            <w:pPr>
              <w:pStyle w:val="TableParagraph"/>
              <w:spacing w:before="2" w:line="160" w:lineRule="exact"/>
            </w:pPr>
          </w:p>
          <w:p>
            <w:pPr>
              <w:pStyle w:val="TableParagraph"/>
              <w:ind w:left="676"/>
              <w:rPr>
                <w:rFonts w:ascii="Arial" w:eastAsia="Arial" w:hAnsi="Arial" w:cs="Arial"/>
              </w:rPr>
            </w:pPr>
            <w:r>
              <w:rPr>
                <w:rFonts w:ascii="Arial"/>
                <w:w w:val="95"/>
              </w:rPr>
              <w:t>$5,807,338</w:t>
            </w:r>
          </w:p>
        </w:tc>
      </w:tr>
    </w:tbl>
    <w:p>
      <w:pPr>
        <w:spacing w:line="200" w:lineRule="exact"/>
        <w:rPr>
          <w:sz w:val="20"/>
          <w:szCs w:val="20"/>
        </w:rPr>
      </w:pPr>
    </w:p>
    <w:p>
      <w:pPr>
        <w:spacing w:before="13" w:line="200" w:lineRule="exact"/>
        <w:rPr>
          <w:sz w:val="20"/>
          <w:szCs w:val="20"/>
        </w:rPr>
      </w:pPr>
    </w:p>
    <w:p>
      <w:pPr>
        <w:pStyle w:val="BodyText"/>
        <w:spacing w:before="72"/>
        <w:ind w:left="135"/>
        <w:rPr>
          <w:w w:val="95"/>
        </w:rPr>
      </w:pPr>
      <w:r>
        <w:rPr>
          <w:w w:val="95"/>
        </w:rPr>
        <w:t>Please</w:t>
      </w:r>
      <w:r>
        <w:rPr>
          <w:spacing w:val="17"/>
          <w:w w:val="95"/>
        </w:rPr>
        <w:t xml:space="preserve"> </w:t>
      </w:r>
      <w:r>
        <w:rPr>
          <w:w w:val="95"/>
        </w:rPr>
        <w:t>call</w:t>
      </w:r>
      <w:r>
        <w:rPr>
          <w:spacing w:val="27"/>
          <w:w w:val="95"/>
        </w:rPr>
        <w:t xml:space="preserve"> </w:t>
      </w:r>
      <w:r>
        <w:rPr>
          <w:w w:val="95"/>
        </w:rPr>
        <w:t>me</w:t>
      </w:r>
      <w:r>
        <w:rPr>
          <w:spacing w:val="16"/>
          <w:w w:val="95"/>
        </w:rPr>
        <w:t xml:space="preserve"> </w:t>
      </w:r>
      <w:r>
        <w:rPr>
          <w:w w:val="95"/>
        </w:rPr>
        <w:t>at</w:t>
      </w:r>
      <w:r>
        <w:rPr>
          <w:spacing w:val="19"/>
          <w:w w:val="95"/>
        </w:rPr>
        <w:t xml:space="preserve"> </w:t>
      </w:r>
      <w:r>
        <w:rPr>
          <w:w w:val="95"/>
        </w:rPr>
        <w:t>913-345-7572</w:t>
      </w:r>
      <w:r>
        <w:rPr>
          <w:spacing w:val="46"/>
          <w:w w:val="95"/>
        </w:rPr>
        <w:t xml:space="preserve"> </w:t>
      </w:r>
      <w:r>
        <w:rPr>
          <w:w w:val="95"/>
        </w:rPr>
        <w:t>if</w:t>
      </w:r>
      <w:r>
        <w:rPr>
          <w:spacing w:val="21"/>
          <w:w w:val="95"/>
        </w:rPr>
        <w:t xml:space="preserve"> </w:t>
      </w:r>
      <w:r>
        <w:rPr>
          <w:w w:val="95"/>
        </w:rPr>
        <w:t>you</w:t>
      </w:r>
      <w:r>
        <w:rPr>
          <w:spacing w:val="29"/>
          <w:w w:val="95"/>
        </w:rPr>
        <w:t xml:space="preserve"> </w:t>
      </w:r>
      <w:r>
        <w:rPr>
          <w:w w:val="95"/>
        </w:rPr>
        <w:t>have</w:t>
      </w:r>
      <w:r>
        <w:rPr>
          <w:spacing w:val="18"/>
          <w:w w:val="95"/>
        </w:rPr>
        <w:t xml:space="preserve"> </w:t>
      </w:r>
      <w:r>
        <w:rPr>
          <w:w w:val="95"/>
        </w:rPr>
        <w:t>any</w:t>
      </w:r>
      <w:r>
        <w:rPr>
          <w:spacing w:val="15"/>
          <w:w w:val="95"/>
        </w:rPr>
        <w:t xml:space="preserve"> </w:t>
      </w:r>
      <w:r>
        <w:rPr>
          <w:w w:val="95"/>
        </w:rPr>
        <w:t>questions</w:t>
      </w:r>
      <w:r>
        <w:rPr>
          <w:spacing w:val="34"/>
          <w:w w:val="95"/>
        </w:rPr>
        <w:t xml:space="preserve"> </w:t>
      </w:r>
      <w:r>
        <w:rPr>
          <w:w w:val="95"/>
        </w:rPr>
        <w:t>regarding</w:t>
      </w:r>
      <w:r>
        <w:rPr>
          <w:spacing w:val="26"/>
          <w:w w:val="95"/>
        </w:rPr>
        <w:t xml:space="preserve"> </w:t>
      </w:r>
      <w:r>
        <w:rPr>
          <w:w w:val="95"/>
        </w:rPr>
        <w:t>this</w:t>
      </w:r>
      <w:r>
        <w:rPr>
          <w:spacing w:val="21"/>
          <w:w w:val="95"/>
        </w:rPr>
        <w:t xml:space="preserve"> </w:t>
      </w:r>
      <w:r>
        <w:rPr>
          <w:w w:val="95"/>
        </w:rPr>
        <w:t>filing.</w:t>
      </w:r>
    </w:p>
    <w:p>
      <w:pPr>
        <w:pStyle w:val="BodyText"/>
        <w:spacing w:before="72"/>
        <w:ind w:left="135"/>
        <w:rPr>
          <w:w w:val="95"/>
        </w:rPr>
      </w:pPr>
      <w:r>
        <w:rPr>
          <w:w w:val="95"/>
        </w:rPr>
        <w:tab/>
      </w:r>
      <w:r>
        <w:rPr>
          <w:w w:val="95"/>
        </w:rPr>
        <w:tab/>
      </w:r>
      <w:r>
        <w:rPr>
          <w:w w:val="95"/>
        </w:rPr>
        <w:tab/>
      </w:r>
      <w:r>
        <w:rPr>
          <w:w w:val="95"/>
        </w:rPr>
        <w:tab/>
      </w:r>
      <w:r>
        <w:rPr>
          <w:w w:val="95"/>
        </w:rPr>
        <w:tab/>
      </w:r>
      <w:r>
        <w:rPr>
          <w:w w:val="95"/>
        </w:rPr>
        <w:tab/>
      </w:r>
      <w:r>
        <w:rPr>
          <w:w w:val="95"/>
        </w:rPr>
        <w:tab/>
      </w:r>
      <w:r>
        <w:rPr>
          <w:w w:val="95"/>
        </w:rPr>
        <w:tab/>
      </w:r>
    </w:p>
    <w:p>
      <w:pPr>
        <w:pStyle w:val="BodyText"/>
        <w:spacing w:before="72"/>
        <w:ind w:left="5276" w:firstLine="585"/>
        <w:rPr>
          <w:sz w:val="28"/>
          <w:szCs w:val="28"/>
        </w:rPr>
      </w:pPr>
      <w:r>
        <w:rPr>
          <w:w w:val="95"/>
        </w:rPr>
        <w:t>Sincerely,</w:t>
      </w:r>
      <w:r>
        <w:rPr>
          <w:w w:val="95"/>
        </w:rPr>
        <w:tab/>
      </w:r>
    </w:p>
    <w:p>
      <w:pPr>
        <w:ind w:left="5861"/>
      </w:pPr>
      <w:r>
        <w:rPr>
          <w:rFonts w:ascii="Arial" w:eastAsia="Arial" w:hAnsi="Arial" w:cs="Arial"/>
          <w:noProof/>
          <w:sz w:val="23"/>
          <w:szCs w:val="23"/>
        </w:rPr>
        <w:drawing>
          <wp:inline distT="0" distB="0" distL="0" distR="0">
            <wp:extent cx="1618919" cy="437321"/>
            <wp:effectExtent l="19050" t="0" r="331" b="0"/>
            <wp:docPr id="5" name="Picture 0" descr="G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K.jpg"/>
                    <pic:cNvPicPr/>
                  </pic:nvPicPr>
                  <pic:blipFill>
                    <a:blip r:embed="rId5" cstate="print"/>
                    <a:stretch>
                      <a:fillRect/>
                    </a:stretch>
                  </pic:blipFill>
                  <pic:spPr>
                    <a:xfrm>
                      <a:off x="0" y="0"/>
                      <a:ext cx="1632164" cy="440899"/>
                    </a:xfrm>
                    <a:prstGeom prst="rect">
                      <a:avLst/>
                    </a:prstGeom>
                  </pic:spPr>
                </pic:pic>
              </a:graphicData>
            </a:graphic>
          </wp:inline>
        </w:drawing>
      </w:r>
    </w:p>
    <w:p>
      <w:pPr>
        <w:spacing w:line="220" w:lineRule="exact"/>
      </w:pPr>
    </w:p>
    <w:p>
      <w:pPr>
        <w:spacing w:line="263" w:lineRule="exact"/>
        <w:ind w:left="5876"/>
        <w:rPr>
          <w:rFonts w:ascii="Arial" w:eastAsia="Arial" w:hAnsi="Arial" w:cs="Arial"/>
          <w:sz w:val="23"/>
          <w:szCs w:val="23"/>
        </w:rPr>
      </w:pPr>
      <w:r>
        <w:rPr>
          <w:rFonts w:ascii="Arial" w:eastAsia="Arial" w:hAnsi="Arial" w:cs="Arial"/>
          <w:sz w:val="23"/>
          <w:szCs w:val="23"/>
        </w:rPr>
        <w:t>Gary Kepley</w:t>
      </w:r>
    </w:p>
    <w:p>
      <w:pPr>
        <w:spacing w:line="263" w:lineRule="exact"/>
        <w:ind w:left="5876"/>
        <w:rPr>
          <w:rFonts w:ascii="Arial" w:eastAsia="Arial" w:hAnsi="Arial" w:cs="Arial"/>
          <w:sz w:val="23"/>
          <w:szCs w:val="23"/>
        </w:rPr>
      </w:pPr>
      <w:r>
        <w:rPr>
          <w:rFonts w:ascii="Arial" w:eastAsia="Arial" w:hAnsi="Arial" w:cs="Arial"/>
          <w:sz w:val="23"/>
          <w:szCs w:val="23"/>
        </w:rPr>
        <w:t>Director – Regulatory Operations</w:t>
      </w:r>
    </w:p>
    <w:sectPr>
      <w:type w:val="continuous"/>
      <w:pgSz w:w="12240" w:h="15840" w:code="1"/>
      <w:pgMar w:top="1224" w:right="1195" w:bottom="274" w:left="1541" w:header="720" w:footer="720" w:gutter="0"/>
      <w:paperSrc w:first="258" w:other="258"/>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rPr>
      <w:color w:val="0000FF"/>
      <w:u w:val="single"/>
    </w:rPr>
  </w:style>
  <w:style w:type="paragraph" w:customStyle="1" w:styleId="Default">
    <w:name w:val="Default"/>
    <w:pPr>
      <w:widowControl/>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6096720">
      <w:bodyDiv w:val="1"/>
      <w:marLeft w:val="0"/>
      <w:marRight w:val="0"/>
      <w:marTop w:val="0"/>
      <w:marBottom w:val="0"/>
      <w:divBdr>
        <w:top w:val="none" w:sz="0" w:space="0" w:color="auto"/>
        <w:left w:val="none" w:sz="0" w:space="0" w:color="auto"/>
        <w:bottom w:val="none" w:sz="0" w:space="0" w:color="auto"/>
        <w:right w:val="none" w:sz="0" w:space="0" w:color="auto"/>
      </w:divBdr>
    </w:div>
    <w:div w:id="806170823">
      <w:bodyDiv w:val="1"/>
      <w:marLeft w:val="0"/>
      <w:marRight w:val="0"/>
      <w:marTop w:val="0"/>
      <w:marBottom w:val="0"/>
      <w:divBdr>
        <w:top w:val="none" w:sz="0" w:space="0" w:color="auto"/>
        <w:left w:val="none" w:sz="0" w:space="0" w:color="auto"/>
        <w:bottom w:val="none" w:sz="0" w:space="0" w:color="auto"/>
        <w:right w:val="none" w:sz="0" w:space="0" w:color="auto"/>
      </w:divBdr>
    </w:div>
    <w:div w:id="1591693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2013-06-17T07:00:00+00:00</OpenedDate>
    <Date1 xmlns="dc463f71-b30c-4ab2-9473-d307f9d35888">2013-06-21T07:00:00+00:00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133011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8F6A82B0B2E24BACE2077D2BFBC938" ma:contentTypeVersion="135" ma:contentTypeDescription="" ma:contentTypeScope="" ma:versionID="342e23d1c831537ad648d3ccb60cab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DBCB0-1C19-410A-AA91-EC8AEFA90148}"/>
</file>

<file path=customXml/itemProps2.xml><?xml version="1.0" encoding="utf-8"?>
<ds:datastoreItem xmlns:ds="http://schemas.openxmlformats.org/officeDocument/2006/customXml" ds:itemID="{BA28E0DE-8EDC-4A9C-909F-C83EFBF84B09}"/>
</file>

<file path=customXml/itemProps3.xml><?xml version="1.0" encoding="utf-8"?>
<ds:datastoreItem xmlns:ds="http://schemas.openxmlformats.org/officeDocument/2006/customXml" ds:itemID="{254C3955-359F-40D3-BECC-59986818FEF2}"/>
</file>

<file path=customXml/itemProps4.xml><?xml version="1.0" encoding="utf-8"?>
<ds:datastoreItem xmlns:ds="http://schemas.openxmlformats.org/officeDocument/2006/customXml" ds:itemID="{4DDBFB14-C4BC-4F7C-A43F-CDB4BD4CFB48}"/>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Felz, John M</dc:creator>
  <cp:lastModifiedBy>Peterson, Maura</cp:lastModifiedBy>
  <cp:revision>3</cp:revision>
  <cp:lastPrinted>2013-06-21T20:02:00Z</cp:lastPrinted>
  <dcterms:created xsi:type="dcterms:W3CDTF">2013-06-21T20:01:00Z</dcterms:created>
  <dcterms:modified xsi:type="dcterms:W3CDTF">2013-06-21T20:03:00Z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2013-05-01T00:00:00Z</vt:filetime>
  </property>
  <property fmtid="{D5CDD505-2E9C-101B-9397-08002B2CF9AE}" pid="3" name="LastSaved">
    <vt:filetime>2013-05-01T00:00:00Z</vt:filetime>
  </property>
  <property fmtid="{D5CDD505-2E9C-101B-9397-08002B2CF9AE}" pid="4" name="_NewReviewCycle">
    <vt:lpwstr/>
  </property>
  <property fmtid="{D5CDD505-2E9C-101B-9397-08002B2CF9AE}" pid="5" name="ContentTypeId">
    <vt:lpwstr>0x0101006E56B4D1795A2E4DB2F0B01679ED314A00AC8F6A82B0B2E24BACE2077D2BFBC938</vt:lpwstr>
  </property>
  <property fmtid="{D5CDD505-2E9C-101B-9397-08002B2CF9AE}" pid="6" name="_docset_NoMedatataSyncRequired">
    <vt:lpwstr>False</vt:lpwstr>
  </property>
</Properties>
</file>