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rsidR="00A17D6A" w:rsidRDefault="00A17D6A" w:rsidP="00A17D6A">
      <w:pPr>
        <w:jc w:val="center"/>
        <w:rPr>
          <w:b/>
          <w:bCs/>
          <w:szCs w:val="24"/>
        </w:rPr>
      </w:pPr>
    </w:p>
    <w:p w:rsidR="00A17D6A" w:rsidRPr="00376EF7" w:rsidRDefault="00A17D6A" w:rsidP="00A17D6A">
      <w:pPr>
        <w:jc w:val="center"/>
        <w:rPr>
          <w:b/>
          <w:bCs/>
          <w:szCs w:val="24"/>
        </w:rPr>
      </w:pPr>
      <w:r>
        <w:rPr>
          <w:b/>
          <w:bCs/>
          <w:szCs w:val="24"/>
        </w:rPr>
        <w:t xml:space="preserve">TRANSPORTATION COMMISSION </w:t>
      </w:r>
    </w:p>
    <w:p w:rsidR="00A17D6A" w:rsidRDefault="00A17D6A" w:rsidP="00A17D6A">
      <w:pPr>
        <w:jc w:val="center"/>
        <w:rPr>
          <w:szCs w:val="24"/>
        </w:rPr>
      </w:pPr>
    </w:p>
    <w:p w:rsidR="00A17D6A" w:rsidRPr="00376EF7" w:rsidRDefault="00A17D6A" w:rsidP="00A17D6A">
      <w:pPr>
        <w:pStyle w:val="Heading1"/>
        <w:rPr>
          <w:sz w:val="24"/>
          <w:szCs w:val="24"/>
        </w:rPr>
      </w:pPr>
      <w:r>
        <w:rPr>
          <w:sz w:val="24"/>
          <w:szCs w:val="24"/>
        </w:rPr>
        <w:t>A-130355</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17D6A" w:rsidTr="003471BB">
        <w:trPr>
          <w:trHeight w:val="2223"/>
        </w:trPr>
        <w:tc>
          <w:tcPr>
            <w:tcW w:w="4508" w:type="dxa"/>
            <w:tcBorders>
              <w:bottom w:val="single" w:sz="4" w:space="0" w:color="auto"/>
            </w:tcBorders>
          </w:tcPr>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In the Matter of</w:t>
            </w:r>
          </w:p>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Rulemaking to Consider Possible Correction and Changes in Rules in WAC 480-07, Relating to Procedural Rules</w:t>
            </w:r>
          </w:p>
          <w:p w:rsidR="00A17D6A" w:rsidRDefault="00A17D6A" w:rsidP="003471BB">
            <w:pPr>
              <w:tabs>
                <w:tab w:val="left" w:pos="1456"/>
              </w:tabs>
              <w:autoSpaceDE w:val="0"/>
              <w:autoSpaceDN w:val="0"/>
              <w:adjustRightInd w:val="0"/>
            </w:pPr>
          </w:p>
          <w:p w:rsidR="00A17D6A" w:rsidRPr="00625777" w:rsidRDefault="00A17D6A" w:rsidP="003471BB">
            <w:pPr>
              <w:autoSpaceDE w:val="0"/>
              <w:autoSpaceDN w:val="0"/>
              <w:adjustRightInd w:val="0"/>
              <w:rPr>
                <w:color w:val="000000"/>
              </w:rPr>
            </w:pPr>
          </w:p>
        </w:tc>
        <w:tc>
          <w:tcPr>
            <w:tcW w:w="310" w:type="dxa"/>
          </w:tcPr>
          <w:p w:rsidR="00A17D6A" w:rsidRDefault="00A17D6A" w:rsidP="003471BB">
            <w:pPr>
              <w:pStyle w:val="SingleSpacing"/>
              <w:spacing w:line="240" w:lineRule="auto"/>
            </w:pP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Pr="00340346" w:rsidRDefault="00A17D6A" w:rsidP="003471BB">
            <w:r>
              <w:t>)</w:t>
            </w:r>
          </w:p>
        </w:tc>
        <w:tc>
          <w:tcPr>
            <w:tcW w:w="4542" w:type="dxa"/>
          </w:tcPr>
          <w:p w:rsidR="00A17D6A" w:rsidRDefault="00A17D6A" w:rsidP="003471BB">
            <w:pPr>
              <w:pStyle w:val="SingleSpacing"/>
              <w:spacing w:line="240" w:lineRule="auto"/>
            </w:pPr>
            <w:bookmarkStart w:id="0" w:name="CaseNumber"/>
            <w:bookmarkEnd w:id="0"/>
          </w:p>
          <w:p w:rsidR="00A17D6A" w:rsidRDefault="00A17D6A" w:rsidP="003471BB">
            <w:pPr>
              <w:pStyle w:val="SingleSpacing"/>
              <w:spacing w:line="240" w:lineRule="auto"/>
            </w:pPr>
          </w:p>
          <w:p w:rsidR="00A17D6A" w:rsidRPr="00FA693A" w:rsidRDefault="00A17D6A" w:rsidP="003471BB">
            <w:pPr>
              <w:pStyle w:val="BodyText2"/>
              <w:ind w:left="410"/>
              <w:rPr>
                <w:b w:val="0"/>
                <w:bCs w:val="0"/>
                <w:sz w:val="24"/>
              </w:rPr>
            </w:pPr>
            <w:r>
              <w:rPr>
                <w:b w:val="0"/>
                <w:bCs w:val="0"/>
                <w:sz w:val="24"/>
              </w:rPr>
              <w:t>COMMENTS OF THE INDUSTRIAL CUSTOMERS OF NORTHWEST UTILITIES</w:t>
            </w:r>
          </w:p>
          <w:p w:rsidR="00A17D6A" w:rsidRPr="00FA693A" w:rsidRDefault="00A17D6A" w:rsidP="003471BB">
            <w:pPr>
              <w:pStyle w:val="BodyText2"/>
              <w:ind w:left="410"/>
              <w:rPr>
                <w:b w:val="0"/>
                <w:bCs w:val="0"/>
                <w:sz w:val="24"/>
              </w:rPr>
            </w:pPr>
          </w:p>
        </w:tc>
      </w:tr>
    </w:tbl>
    <w:p w:rsidR="00A17D6A" w:rsidRDefault="00A17D6A" w:rsidP="00A17D6A"/>
    <w:p w:rsidR="00A17D6A" w:rsidRPr="0059652A" w:rsidRDefault="00A17D6A" w:rsidP="00A17D6A">
      <w:pPr>
        <w:spacing w:line="480" w:lineRule="auto"/>
        <w:jc w:val="center"/>
        <w:rPr>
          <w:b/>
        </w:rPr>
      </w:pPr>
      <w:r>
        <w:rPr>
          <w:b/>
        </w:rPr>
        <w:t>I.</w:t>
      </w:r>
      <w:r>
        <w:rPr>
          <w:b/>
        </w:rPr>
        <w:tab/>
        <w:t>INTRODUCTION</w:t>
      </w:r>
    </w:p>
    <w:p w:rsidR="00A17D6A" w:rsidRDefault="00A17D6A" w:rsidP="00A17D6A">
      <w:pPr>
        <w:spacing w:line="480" w:lineRule="auto"/>
      </w:pPr>
      <w:r>
        <w:tab/>
      </w:r>
      <w:r>
        <w:tab/>
        <w:t>T</w:t>
      </w:r>
      <w:r w:rsidR="00527D43">
        <w:t xml:space="preserve">he Washington Utilities and Transportation Commission (the “Commission” or “WUTC”) opened this rulemaking to consider possible changes to the Commission’s procedural rules.  The </w:t>
      </w:r>
      <w:r>
        <w:t xml:space="preserve">Industrial Customers of Northwest Utilities (“ICNU”) </w:t>
      </w:r>
      <w:r w:rsidR="00397538">
        <w:t>appreciates the opportunity to submit these comments and looks for</w:t>
      </w:r>
      <w:r w:rsidR="00735AFB">
        <w:t>ward</w:t>
      </w:r>
      <w:r w:rsidR="00397538">
        <w:t xml:space="preserve"> to participating in the upcoming July 2, 2013 workshop</w:t>
      </w:r>
      <w:r w:rsidR="003471BB">
        <w:t xml:space="preserve">.  ICNU urges the Commission to take this opportunity to improve the ability for interested parties to meaningfully participate </w:t>
      </w:r>
      <w:r w:rsidR="007732B3">
        <w:t xml:space="preserve">in </w:t>
      </w:r>
      <w:r w:rsidR="003471BB">
        <w:t>Commission proceedings.</w:t>
      </w:r>
      <w:r w:rsidR="00527D43">
        <w:t xml:space="preserve">  Given the early stage of this process, ICNU is submitting conceptual proposals, rather than specific rule language.</w:t>
      </w:r>
    </w:p>
    <w:p w:rsidR="00A17D6A" w:rsidRPr="00774AFE" w:rsidRDefault="00A17D6A" w:rsidP="00A17D6A">
      <w:pPr>
        <w:spacing w:line="480" w:lineRule="auto"/>
        <w:jc w:val="center"/>
        <w:rPr>
          <w:b/>
        </w:rPr>
      </w:pPr>
      <w:r>
        <w:rPr>
          <w:b/>
        </w:rPr>
        <w:t>II.</w:t>
      </w:r>
      <w:r>
        <w:rPr>
          <w:b/>
        </w:rPr>
        <w:tab/>
      </w:r>
      <w:r w:rsidR="003471BB">
        <w:rPr>
          <w:b/>
        </w:rPr>
        <w:t>COMMENTS</w:t>
      </w:r>
    </w:p>
    <w:p w:rsidR="003471BB" w:rsidRDefault="003471BB" w:rsidP="00A735DF">
      <w:pPr>
        <w:ind w:left="720" w:hanging="720"/>
        <w:rPr>
          <w:b/>
        </w:rPr>
      </w:pPr>
      <w:r>
        <w:rPr>
          <w:b/>
        </w:rPr>
        <w:t>1.</w:t>
      </w:r>
      <w:r>
        <w:rPr>
          <w:b/>
        </w:rPr>
        <w:tab/>
      </w:r>
      <w:r w:rsidR="00A735DF">
        <w:rPr>
          <w:b/>
        </w:rPr>
        <w:t>The Commission Should Ensure that Utilities Cannot Avoid the General Rate Filing Requirements by</w:t>
      </w:r>
      <w:r w:rsidR="00FF7C93">
        <w:rPr>
          <w:b/>
        </w:rPr>
        <w:t xml:space="preserve"> Breaking Up Rate Filings into</w:t>
      </w:r>
      <w:r w:rsidR="00527D43">
        <w:rPr>
          <w:b/>
        </w:rPr>
        <w:t xml:space="preserve"> Multiple </w:t>
      </w:r>
      <w:r w:rsidR="00527D43" w:rsidRPr="00575F5E">
        <w:rPr>
          <w:b/>
        </w:rPr>
        <w:t>Cases</w:t>
      </w:r>
      <w:r w:rsidR="00A735DF" w:rsidRPr="00575F5E">
        <w:rPr>
          <w:b/>
        </w:rPr>
        <w:t xml:space="preserve"> </w:t>
      </w:r>
    </w:p>
    <w:p w:rsidR="00A735DF" w:rsidRPr="003471BB" w:rsidRDefault="00A735DF" w:rsidP="00A735DF">
      <w:pPr>
        <w:ind w:left="720" w:hanging="720"/>
        <w:rPr>
          <w:b/>
        </w:rPr>
      </w:pPr>
    </w:p>
    <w:p w:rsidR="003471BB" w:rsidRDefault="003471BB" w:rsidP="003471BB">
      <w:pPr>
        <w:spacing w:line="480" w:lineRule="auto"/>
      </w:pPr>
      <w:r>
        <w:tab/>
      </w:r>
      <w:r>
        <w:tab/>
        <w:t>The Commission should clarify its rules to ensure that utilities cannot avoid the requirement to file a general rate case</w:t>
      </w:r>
      <w:r w:rsidR="004E268B">
        <w:t xml:space="preserve"> by breaking up their rate filings.  The Commission’s rules provide that a general rate case is a filing that would increase gross annual revenues </w:t>
      </w:r>
      <w:r w:rsidR="00CE5FC4">
        <w:t xml:space="preserve">by any class </w:t>
      </w:r>
      <w:r w:rsidR="005D02C0">
        <w:t>by 3%</w:t>
      </w:r>
      <w:r w:rsidR="00CE5FC4">
        <w:t xml:space="preserve"> or more.  WAC § 480-07-505(1).  </w:t>
      </w:r>
      <w:r w:rsidR="005D02C0">
        <w:t>A utility should not be pe</w:t>
      </w:r>
      <w:r w:rsidR="005C0AFD">
        <w:t xml:space="preserve">rmitted to avoid this rule by </w:t>
      </w:r>
      <w:r w:rsidR="005C0AFD">
        <w:lastRenderedPageBreak/>
        <w:t>submitting</w:t>
      </w:r>
      <w:r w:rsidR="005D02C0">
        <w:t xml:space="preserve"> multiple rate filings </w:t>
      </w:r>
      <w:r w:rsidR="005C0AFD">
        <w:t xml:space="preserve">at roughly the same time </w:t>
      </w:r>
      <w:r w:rsidR="005D02C0">
        <w:t xml:space="preserve">that individually are less than </w:t>
      </w:r>
      <w:r w:rsidR="0051309F">
        <w:t>3%, but in total exceed more than 3%.</w:t>
      </w:r>
      <w:r w:rsidR="008F3D09">
        <w:t xml:space="preserve">  ICNU believes this change would be consistent with the purpose of and language in the current rule</w:t>
      </w:r>
      <w:r w:rsidR="005C0AFD">
        <w:t>.  T</w:t>
      </w:r>
      <w:r w:rsidR="00D5565F">
        <w:t xml:space="preserve">he Commission should consider all of the utility’s </w:t>
      </w:r>
      <w:r w:rsidR="008F3D09">
        <w:t xml:space="preserve">pending </w:t>
      </w:r>
      <w:r w:rsidR="00D5565F">
        <w:t>filing</w:t>
      </w:r>
      <w:r w:rsidR="00F0285A">
        <w:t>s</w:t>
      </w:r>
      <w:r w:rsidR="00D5565F">
        <w:t xml:space="preserve"> to </w:t>
      </w:r>
      <w:r w:rsidR="00915C46">
        <w:t xml:space="preserve">determine if </w:t>
      </w:r>
      <w:r w:rsidR="00F0285A">
        <w:t xml:space="preserve">they increase </w:t>
      </w:r>
      <w:r w:rsidR="00D5565F">
        <w:t xml:space="preserve">rates </w:t>
      </w:r>
      <w:r w:rsidR="00F0285A">
        <w:t xml:space="preserve">more </w:t>
      </w:r>
      <w:r w:rsidR="00D5565F">
        <w:t>than 3%</w:t>
      </w:r>
      <w:r w:rsidR="00A735DF">
        <w:t xml:space="preserve"> to determine if they qualify as a general rate case.  Once a utility has</w:t>
      </w:r>
      <w:r w:rsidR="00F0285A">
        <w:t xml:space="preserve"> made filings that</w:t>
      </w:r>
      <w:r w:rsidR="00A735DF">
        <w:t xml:space="preserve"> request a </w:t>
      </w:r>
      <w:r w:rsidR="00527D43">
        <w:t>cumulative</w:t>
      </w:r>
      <w:r w:rsidR="00F0285A">
        <w:t xml:space="preserve"> </w:t>
      </w:r>
      <w:r w:rsidR="00A735DF">
        <w:t xml:space="preserve">rate increase of more than 3% for any class, then the filings should be </w:t>
      </w:r>
      <w:r w:rsidR="00F0285A">
        <w:t xml:space="preserve">consolidated and </w:t>
      </w:r>
      <w:r w:rsidR="00A735DF">
        <w:t>considered a general rate case.</w:t>
      </w:r>
    </w:p>
    <w:p w:rsidR="00F858E5" w:rsidRDefault="00A735DF" w:rsidP="003471BB">
      <w:pPr>
        <w:spacing w:line="480" w:lineRule="auto"/>
      </w:pPr>
      <w:r>
        <w:rPr>
          <w:b/>
        </w:rPr>
        <w:t>2.</w:t>
      </w:r>
      <w:r>
        <w:rPr>
          <w:b/>
        </w:rPr>
        <w:tab/>
      </w:r>
      <w:r w:rsidR="00F858E5">
        <w:rPr>
          <w:b/>
        </w:rPr>
        <w:t>Parties Should Be Provided Discovery Rights in Non-Contested Case Proceedings</w:t>
      </w:r>
    </w:p>
    <w:p w:rsidR="00F0285A" w:rsidRDefault="00F858E5" w:rsidP="003471BB">
      <w:pPr>
        <w:spacing w:line="480" w:lineRule="auto"/>
      </w:pPr>
      <w:r>
        <w:tab/>
      </w:r>
      <w:r>
        <w:tab/>
      </w:r>
      <w:r w:rsidR="00043765">
        <w:t>The Commission should apply its discovery rules to its review of utility Integrated Resource Plans (“IRP”), Request for Proposals, Conservation Plans</w:t>
      </w:r>
      <w:r w:rsidR="006F68A6">
        <w:t>,</w:t>
      </w:r>
      <w:r w:rsidR="00527D43">
        <w:t xml:space="preserve"> and</w:t>
      </w:r>
      <w:r w:rsidR="00043765">
        <w:t xml:space="preserve"> I-937 plans.  Currently, the utilities conduct informal processes to develop IRPs and Conservation Plans, which are then filed with the Commission and reviewed through a notice and comment process.  </w:t>
      </w:r>
    </w:p>
    <w:p w:rsidR="007540F7" w:rsidRDefault="007540F7" w:rsidP="003471BB">
      <w:pPr>
        <w:spacing w:line="480" w:lineRule="auto"/>
      </w:pPr>
      <w:r>
        <w:t xml:space="preserve">When the utility is open with its information and cooperates with interested parties, as Puget Sound Energy (“PSE”) has done in the context of </w:t>
      </w:r>
      <w:r w:rsidR="00915C46">
        <w:t xml:space="preserve">its </w:t>
      </w:r>
      <w:r>
        <w:t>conservation costs</w:t>
      </w:r>
      <w:r w:rsidR="00915C46">
        <w:t xml:space="preserve"> and plans</w:t>
      </w:r>
      <w:r>
        <w:t>, then parti</w:t>
      </w:r>
      <w:r w:rsidR="00915C46">
        <w:t>es can effectively participate</w:t>
      </w:r>
      <w:r>
        <w:t xml:space="preserve"> </w:t>
      </w:r>
      <w:r w:rsidR="006F68A6">
        <w:t>and review the filing.  When a</w:t>
      </w:r>
      <w:r>
        <w:t xml:space="preserve"> utility, however, elects to withhold information, as PSE has done with its IRP</w:t>
      </w:r>
      <w:r w:rsidR="005C0AFD">
        <w:t xml:space="preserve"> process</w:t>
      </w:r>
      <w:r>
        <w:t xml:space="preserve">, then parties cannot meaningfully participate or review the filing.  For example, PSE elected not to provide ICNU with information in its current IRP process, which resulted in ICNU being unable to review the reasonableness of its planning reserve margins.  Attachment A (Irion Sanger Letter to Phillip Popoff).  </w:t>
      </w:r>
      <w:r w:rsidR="00F0285A">
        <w:t xml:space="preserve">The </w:t>
      </w:r>
      <w:r w:rsidR="006F68A6">
        <w:t xml:space="preserve">current </w:t>
      </w:r>
      <w:r w:rsidR="00F0285A">
        <w:t xml:space="preserve">lack of discovery </w:t>
      </w:r>
      <w:r w:rsidR="005C0AFD">
        <w:t>for more informal proceedings</w:t>
      </w:r>
      <w:r w:rsidR="006F68A6">
        <w:t xml:space="preserve"> means</w:t>
      </w:r>
      <w:r w:rsidR="00F0285A">
        <w:t xml:space="preserve"> that the utility can control access to whatever information it wishes </w:t>
      </w:r>
      <w:r w:rsidR="005C0AFD">
        <w:t xml:space="preserve">to provide </w:t>
      </w:r>
      <w:r w:rsidR="00F0285A">
        <w:t xml:space="preserve">and can effectively prevent a party from </w:t>
      </w:r>
      <w:r w:rsidR="005C0AFD">
        <w:t xml:space="preserve">fully </w:t>
      </w:r>
      <w:r w:rsidR="00F0285A">
        <w:t xml:space="preserve">reviewing the utility filing.  </w:t>
      </w:r>
    </w:p>
    <w:p w:rsidR="00F858E5" w:rsidRDefault="007540F7" w:rsidP="007540F7">
      <w:pPr>
        <w:ind w:left="720" w:hanging="720"/>
      </w:pPr>
      <w:r>
        <w:rPr>
          <w:b/>
        </w:rPr>
        <w:lastRenderedPageBreak/>
        <w:t>3.</w:t>
      </w:r>
      <w:r>
        <w:rPr>
          <w:b/>
        </w:rPr>
        <w:tab/>
        <w:t xml:space="preserve">Interested Parties Should Be Provided Access to Confidential Documents in Non-Adjudicative Proceedings </w:t>
      </w:r>
      <w:r>
        <w:t xml:space="preserve"> </w:t>
      </w:r>
      <w:r w:rsidR="00043765">
        <w:t xml:space="preserve"> </w:t>
      </w:r>
    </w:p>
    <w:p w:rsidR="007540F7" w:rsidRPr="00F858E5" w:rsidRDefault="007540F7" w:rsidP="007540F7">
      <w:pPr>
        <w:ind w:left="720" w:hanging="720"/>
      </w:pPr>
    </w:p>
    <w:p w:rsidR="000F79AF" w:rsidRDefault="007540F7" w:rsidP="003471BB">
      <w:pPr>
        <w:spacing w:line="480" w:lineRule="auto"/>
      </w:pPr>
      <w:r>
        <w:tab/>
      </w:r>
      <w:r>
        <w:tab/>
      </w:r>
      <w:r w:rsidR="0084094C">
        <w:t xml:space="preserve">The Commission should ensure that interested parties gain access to all information </w:t>
      </w:r>
      <w:r w:rsidR="00915C46">
        <w:t xml:space="preserve">they </w:t>
      </w:r>
      <w:r w:rsidR="0084094C">
        <w:t xml:space="preserve">need to review utility filings, even those in non-adjudicative proceedings.  </w:t>
      </w:r>
      <w:r w:rsidR="009B0461">
        <w:t>Over the past few years</w:t>
      </w:r>
      <w:r w:rsidR="007148FF">
        <w:t xml:space="preserve">, </w:t>
      </w:r>
      <w:r w:rsidR="009B0461">
        <w:t>the utilities</w:t>
      </w:r>
      <w:r w:rsidR="007148FF">
        <w:t xml:space="preserve"> have</w:t>
      </w:r>
      <w:r w:rsidR="009B0461">
        <w:t xml:space="preserve"> designat</w:t>
      </w:r>
      <w:r w:rsidR="007148FF">
        <w:t>ed</w:t>
      </w:r>
      <w:r w:rsidR="009B0461">
        <w:t xml:space="preserve"> more information as confidential, even material that was previously</w:t>
      </w:r>
      <w:r w:rsidR="007148FF">
        <w:t xml:space="preserve"> considered publicly available.  In addition, </w:t>
      </w:r>
      <w:r w:rsidR="006F68A6">
        <w:t>some utilities</w:t>
      </w:r>
      <w:r w:rsidR="009B0461">
        <w:t xml:space="preserve"> </w:t>
      </w:r>
      <w:r w:rsidR="007148FF">
        <w:t xml:space="preserve">frequently </w:t>
      </w:r>
      <w:r w:rsidR="009B0461">
        <w:t>designat</w:t>
      </w:r>
      <w:r w:rsidR="007148FF">
        <w:t>e</w:t>
      </w:r>
      <w:r w:rsidR="009B0461">
        <w:t xml:space="preserve"> entire documents as confidential</w:t>
      </w:r>
      <w:r w:rsidR="006F68A6">
        <w:t xml:space="preserve"> when only a small portion actually qualifies as </w:t>
      </w:r>
      <w:r w:rsidR="009B0461">
        <w:t xml:space="preserve">confidential.  </w:t>
      </w:r>
      <w:r w:rsidR="007148FF">
        <w:t>The utilities</w:t>
      </w:r>
      <w:r w:rsidR="00915C46">
        <w:t>’ routine failure to abide</w:t>
      </w:r>
      <w:r w:rsidR="007148FF">
        <w:t xml:space="preserve"> b</w:t>
      </w:r>
      <w:r w:rsidR="006F68A6">
        <w:t>y the requirements for designation</w:t>
      </w:r>
      <w:r w:rsidR="007148FF">
        <w:t xml:space="preserve"> of confidential material is</w:t>
      </w:r>
      <w:r w:rsidR="008F3D09">
        <w:t xml:space="preserve"> particularly </w:t>
      </w:r>
      <w:r w:rsidR="000F79AF">
        <w:t>problem</w:t>
      </w:r>
      <w:r w:rsidR="008F3D09">
        <w:t>atic</w:t>
      </w:r>
      <w:r w:rsidR="000F79AF">
        <w:t xml:space="preserve"> in non-adjudicative proceedings in which there</w:t>
      </w:r>
      <w:r w:rsidR="008F3D09">
        <w:t xml:space="preserve"> is no protective order and a utility’s designation of </w:t>
      </w:r>
      <w:r w:rsidR="000F79AF">
        <w:t>material as confidential re</w:t>
      </w:r>
      <w:r w:rsidR="00915C46">
        <w:t>sults in interested parties having</w:t>
      </w:r>
      <w:r w:rsidR="000F79AF">
        <w:t xml:space="preserve"> no </w:t>
      </w:r>
      <w:r w:rsidR="006F68A6">
        <w:t>access to the information necessary to participate effectively.</w:t>
      </w:r>
      <w:r w:rsidR="000F79AF">
        <w:t xml:space="preserve">  </w:t>
      </w:r>
    </w:p>
    <w:p w:rsidR="00A735DF" w:rsidRDefault="000F79AF" w:rsidP="003471BB">
      <w:pPr>
        <w:spacing w:line="480" w:lineRule="auto"/>
      </w:pPr>
      <w:r>
        <w:tab/>
      </w:r>
      <w:r>
        <w:tab/>
      </w:r>
      <w:r w:rsidR="006B591A">
        <w:t>The Commission should</w:t>
      </w:r>
      <w:r>
        <w:t xml:space="preserve"> issue protective orders in non-adjudicative proceedings</w:t>
      </w:r>
      <w:r w:rsidR="007148FF">
        <w:t>,</w:t>
      </w:r>
      <w:r>
        <w:t xml:space="preserve"> like the Oregon Public Utility Commission </w:t>
      </w:r>
      <w:r w:rsidR="00C83BED">
        <w:t>(“Oregon Commission”)</w:t>
      </w:r>
      <w:r w:rsidR="006B591A">
        <w:t xml:space="preserve"> does, or </w:t>
      </w:r>
      <w:r w:rsidR="00D5011E">
        <w:t xml:space="preserve">adopt a rule that </w:t>
      </w:r>
      <w:r>
        <w:t>require</w:t>
      </w:r>
      <w:r w:rsidR="00D5011E">
        <w:t>s</w:t>
      </w:r>
      <w:r>
        <w:t xml:space="preserve"> the utilities to enter into individual confidentiality agreements with interested parties</w:t>
      </w:r>
      <w:r w:rsidR="00D5011E">
        <w:t xml:space="preserve"> who would otherwise gain access to the confidential material if a protective order had been issued</w:t>
      </w:r>
      <w:r>
        <w:t xml:space="preserve">.  </w:t>
      </w:r>
      <w:r w:rsidR="00D5011E">
        <w:t>E</w:t>
      </w:r>
      <w:r w:rsidR="000D4D17">
        <w:t>ither a</w:t>
      </w:r>
      <w:r w:rsidR="005C0AFD">
        <w:t>pproach should be simple.  For e</w:t>
      </w:r>
      <w:r w:rsidR="000D4D17">
        <w:t xml:space="preserve">xample, </w:t>
      </w:r>
      <w:r w:rsidR="00D5011E">
        <w:t>ICNU has entered into numerous bilateral confidentiality agreements w</w:t>
      </w:r>
      <w:r w:rsidR="00C51D95">
        <w:t>ith</w:t>
      </w:r>
      <w:r w:rsidR="00915C46">
        <w:t xml:space="preserve"> utilities to obtain</w:t>
      </w:r>
      <w:r w:rsidR="00D5011E">
        <w:t xml:space="preserve"> co</w:t>
      </w:r>
      <w:r w:rsidR="00F55755">
        <w:t>nfidential material</w:t>
      </w:r>
      <w:r w:rsidR="00915C46">
        <w:t xml:space="preserve"> </w:t>
      </w:r>
      <w:r w:rsidR="00D5011E">
        <w:t>prior to the issuance of a pr</w:t>
      </w:r>
      <w:r w:rsidR="00DA2921">
        <w:t>otective order, or in cases in which</w:t>
      </w:r>
      <w:r w:rsidR="00D5011E">
        <w:t xml:space="preserve"> a protective order will not be issued.</w:t>
      </w:r>
      <w:r w:rsidR="00915C46">
        <w:t xml:space="preserve">  The Commissi</w:t>
      </w:r>
      <w:r w:rsidR="000D4D17">
        <w:t>on should codify this process, which is currently voluntary,</w:t>
      </w:r>
      <w:r w:rsidR="00915C46">
        <w:t xml:space="preserve"> so that a utility cannot refuse to pr</w:t>
      </w:r>
      <w:r w:rsidR="000D4D17">
        <w:t xml:space="preserve">ovide </w:t>
      </w:r>
      <w:r w:rsidR="00915C46">
        <w:t>material</w:t>
      </w:r>
      <w:r w:rsidR="000D4D17">
        <w:t>s</w:t>
      </w:r>
      <w:r w:rsidR="00915C46">
        <w:t xml:space="preserve"> that would ordinarily be pro</w:t>
      </w:r>
      <w:r w:rsidR="000D4D17">
        <w:t>vided under confidential cover</w:t>
      </w:r>
      <w:r w:rsidR="00DF31EC">
        <w:t xml:space="preserve"> in an adjudicative proceeding.</w:t>
      </w:r>
    </w:p>
    <w:p w:rsidR="006B591A" w:rsidRDefault="006B591A" w:rsidP="003471BB">
      <w:pPr>
        <w:spacing w:line="480" w:lineRule="auto"/>
      </w:pPr>
    </w:p>
    <w:p w:rsidR="004E268B" w:rsidRPr="00D5011E" w:rsidRDefault="00D5011E" w:rsidP="003471BB">
      <w:pPr>
        <w:spacing w:line="480" w:lineRule="auto"/>
        <w:rPr>
          <w:b/>
        </w:rPr>
      </w:pPr>
      <w:r>
        <w:rPr>
          <w:b/>
        </w:rPr>
        <w:lastRenderedPageBreak/>
        <w:t>4.</w:t>
      </w:r>
      <w:r>
        <w:rPr>
          <w:b/>
        </w:rPr>
        <w:tab/>
        <w:t>The Commission Should Streamline the Service List Process</w:t>
      </w:r>
    </w:p>
    <w:p w:rsidR="00D5011E" w:rsidRDefault="00D5011E" w:rsidP="003471BB">
      <w:pPr>
        <w:spacing w:line="480" w:lineRule="auto"/>
      </w:pPr>
      <w:r>
        <w:tab/>
      </w:r>
      <w:r>
        <w:tab/>
        <w:t xml:space="preserve">The Commission adopts a service list and courtesy email distribution list in its prehearing conference order; however, the service list </w:t>
      </w:r>
      <w:r w:rsidR="00DF31EC">
        <w:t>and courtesy email list frequently change</w:t>
      </w:r>
      <w:r>
        <w:t xml:space="preserve"> over the course of the proceeding and the only w</w:t>
      </w:r>
      <w:r w:rsidR="00DF31EC">
        <w:t>ay to obtain a corrected</w:t>
      </w:r>
      <w:r>
        <w:t xml:space="preserve"> list is by contacting the Commission directly.  The Commission should update th</w:t>
      </w:r>
      <w:r w:rsidR="00DF31EC">
        <w:t>ese lists</w:t>
      </w:r>
      <w:r>
        <w:t xml:space="preserve"> on its website, and lis</w:t>
      </w:r>
      <w:r w:rsidR="00DF31EC">
        <w:t>t all individuals on the</w:t>
      </w:r>
      <w:r>
        <w:t xml:space="preserve"> list</w:t>
      </w:r>
      <w:r w:rsidR="00DF31EC">
        <w:t>s</w:t>
      </w:r>
      <w:r>
        <w:t xml:space="preserve"> with their email addresses so that parties can easily access this information.</w:t>
      </w:r>
      <w:r w:rsidR="00EB5540">
        <w:t xml:space="preserve">  This would ultimately save time and resources of parties, but also of Commission employees, who currently field frequent calls from parties making filings.</w:t>
      </w:r>
      <w:r>
        <w:t xml:space="preserve">  </w:t>
      </w:r>
    </w:p>
    <w:p w:rsidR="00D5011E" w:rsidRDefault="00D5011E" w:rsidP="00D5011E">
      <w:pPr>
        <w:ind w:left="720" w:hanging="720"/>
        <w:rPr>
          <w:b/>
        </w:rPr>
      </w:pPr>
      <w:r>
        <w:rPr>
          <w:b/>
        </w:rPr>
        <w:t>5.</w:t>
      </w:r>
      <w:r>
        <w:rPr>
          <w:b/>
        </w:rPr>
        <w:tab/>
        <w:t xml:space="preserve">The Commission Should Require the Utilities to Pre-File Additional Information with their Rate Case Filings </w:t>
      </w:r>
    </w:p>
    <w:p w:rsidR="00D5011E" w:rsidRPr="00D5011E" w:rsidRDefault="00D5011E" w:rsidP="00D5011E">
      <w:pPr>
        <w:ind w:left="720" w:hanging="720"/>
        <w:rPr>
          <w:b/>
        </w:rPr>
      </w:pPr>
    </w:p>
    <w:p w:rsidR="00483BDA" w:rsidRDefault="005C0AFD" w:rsidP="00575F5E">
      <w:pPr>
        <w:tabs>
          <w:tab w:val="left" w:pos="1440"/>
        </w:tabs>
        <w:spacing w:line="480" w:lineRule="auto"/>
      </w:pPr>
      <w:r>
        <w:tab/>
      </w:r>
      <w:r w:rsidR="00D5011E">
        <w:t xml:space="preserve">The Commission could </w:t>
      </w:r>
      <w:r w:rsidR="00F852AC">
        <w:t xml:space="preserve">assist the review of </w:t>
      </w:r>
      <w:r w:rsidR="00527D43">
        <w:t xml:space="preserve">general </w:t>
      </w:r>
      <w:r w:rsidR="00F852AC">
        <w:t>rate case filings by requiring utilities to pre-file standard information that parties typ</w:t>
      </w:r>
      <w:r w:rsidR="00FE010C">
        <w:t>ically request in rate cases.  For example, t</w:t>
      </w:r>
      <w:r w:rsidR="00F852AC">
        <w:t xml:space="preserve">he Oregon Commission has adopted a set of Standard Data Requests that utilities must </w:t>
      </w:r>
      <w:r w:rsidR="00527D43">
        <w:t xml:space="preserve">respond to when they make a </w:t>
      </w:r>
      <w:r w:rsidR="00F852AC">
        <w:t xml:space="preserve">general rate </w:t>
      </w:r>
      <w:r w:rsidR="00527D43">
        <w:t>case filing</w:t>
      </w:r>
      <w:r w:rsidR="007148FF">
        <w:t>.  Attachment B (Oregon Standard Data Requests</w:t>
      </w:r>
      <w:r w:rsidR="00F852AC">
        <w:t>)</w:t>
      </w:r>
      <w:r w:rsidR="0071572C">
        <w:t>.</w:t>
      </w:r>
      <w:r w:rsidR="00F852AC">
        <w:t xml:space="preserve">  The information in the Standard Data Requests was </w:t>
      </w:r>
      <w:r w:rsidR="00FE010C">
        <w:t xml:space="preserve">developed jointly by </w:t>
      </w:r>
      <w:r w:rsidR="006B591A">
        <w:t xml:space="preserve">the Oregon </w:t>
      </w:r>
      <w:r w:rsidR="00FE010C">
        <w:t xml:space="preserve">Staff, Oregon </w:t>
      </w:r>
      <w:r w:rsidR="00F852AC">
        <w:t>utilities</w:t>
      </w:r>
      <w:r w:rsidR="00FE010C">
        <w:t xml:space="preserve">, </w:t>
      </w:r>
      <w:r w:rsidR="00F852AC">
        <w:t>and ratepayer advocates</w:t>
      </w:r>
      <w:r w:rsidR="0071572C">
        <w:t>,</w:t>
      </w:r>
      <w:r w:rsidR="00F852AC">
        <w:t xml:space="preserve"> and has reduced the amount and degree of discovery required in rate case proceedings.  In addition, </w:t>
      </w:r>
      <w:r w:rsidR="00735AFB">
        <w:t xml:space="preserve">the Oregon </w:t>
      </w:r>
      <w:r w:rsidR="00FE010C">
        <w:t xml:space="preserve">Staff, </w:t>
      </w:r>
      <w:r w:rsidR="00F852AC">
        <w:t>electric utilities</w:t>
      </w:r>
      <w:r w:rsidR="00FE010C">
        <w:t>,</w:t>
      </w:r>
      <w:r w:rsidR="00F852AC">
        <w:t xml:space="preserve"> and ICNU have also worked out separate minimum filing requirements for power cost issues, which has significantly reduced the amount of discovery.  For example, in Portland Genera</w:t>
      </w:r>
      <w:r w:rsidR="00483BDA">
        <w:t>l Electric Company’s last</w:t>
      </w:r>
      <w:r w:rsidR="00F852AC">
        <w:t xml:space="preserve"> power cost only proceeding</w:t>
      </w:r>
      <w:r w:rsidR="00FE010C">
        <w:t>,</w:t>
      </w:r>
      <w:r w:rsidR="00F852AC">
        <w:t xml:space="preserve"> the minimum filing requirements were so detailed and comprehensive that </w:t>
      </w:r>
      <w:r w:rsidR="00483BDA">
        <w:t xml:space="preserve">ICNU sent out almost no formal data requests.  </w:t>
      </w:r>
    </w:p>
    <w:p w:rsidR="006B591A" w:rsidRDefault="006B591A" w:rsidP="00575F5E">
      <w:pPr>
        <w:tabs>
          <w:tab w:val="left" w:pos="1440"/>
        </w:tabs>
        <w:spacing w:line="480" w:lineRule="auto"/>
      </w:pPr>
    </w:p>
    <w:p w:rsidR="00483BDA" w:rsidRPr="00483BDA" w:rsidRDefault="00483BDA" w:rsidP="003471BB">
      <w:pPr>
        <w:spacing w:line="480" w:lineRule="auto"/>
        <w:rPr>
          <w:b/>
        </w:rPr>
      </w:pPr>
      <w:r>
        <w:rPr>
          <w:b/>
        </w:rPr>
        <w:lastRenderedPageBreak/>
        <w:t>6.</w:t>
      </w:r>
      <w:r>
        <w:rPr>
          <w:b/>
        </w:rPr>
        <w:tab/>
        <w:t>The Commission Should Adopt a Rule that Bars Secret Settlements</w:t>
      </w:r>
    </w:p>
    <w:p w:rsidR="00D76312" w:rsidRDefault="00483BDA" w:rsidP="003471BB">
      <w:pPr>
        <w:spacing w:line="480" w:lineRule="auto"/>
      </w:pPr>
      <w:r>
        <w:tab/>
      </w:r>
      <w:r>
        <w:tab/>
        <w:t xml:space="preserve">The Commission’s current rules have failed to prevent the Commission Staff from engaging in secret </w:t>
      </w:r>
      <w:r w:rsidR="00FE010C">
        <w:t>settlement negotiations with</w:t>
      </w:r>
      <w:r>
        <w:t xml:space="preserve"> utilities, and ICNU urges the Commission to adopt a rule that bars Staff from conducting any settlement negotiations</w:t>
      </w:r>
      <w:r w:rsidR="00527D43">
        <w:t>,</w:t>
      </w:r>
      <w:r>
        <w:t xml:space="preserve"> unless all parties are </w:t>
      </w:r>
      <w:r w:rsidR="005C0AFD">
        <w:t>notified.</w:t>
      </w:r>
      <w:r>
        <w:t xml:space="preserve">  </w:t>
      </w:r>
      <w:r w:rsidR="006E05E3">
        <w:t>The Commission previously</w:t>
      </w:r>
      <w:r w:rsidR="009D55AD">
        <w:t xml:space="preserve"> attempted to resolve the problem of secret settlements by adopting </w:t>
      </w:r>
      <w:r w:rsidRPr="00483BDA">
        <w:t>WAC § 480-07-700(3)(b)</w:t>
      </w:r>
      <w:r w:rsidR="009D55AD">
        <w:t>, which</w:t>
      </w:r>
      <w:r w:rsidRPr="00483BDA">
        <w:t xml:space="preserve"> states that if any party wishes to initiate a settlement conference with any other party between the filing of the docket and the initial prehearing conference, it must provide 10-days’ notice to the Commission, parties, persons who have filed petitions to intervene, and any person that was a participant in the most recent proceeding involving the filing party.  </w:t>
      </w:r>
      <w:r w:rsidR="009D55AD">
        <w:t>This rule was adopted in response to Staff engaging in secret settlements to resolve rate case filings without inviting ratepayer representatives, but</w:t>
      </w:r>
      <w:r w:rsidR="00FE010C">
        <w:t xml:space="preserve"> recently, it  has failed to prevent</w:t>
      </w:r>
      <w:r w:rsidR="009D55AD">
        <w:t xml:space="preserve"> Staff from conducting secret settlement negotiations.  </w:t>
      </w:r>
    </w:p>
    <w:p w:rsidR="009D55AD" w:rsidRDefault="00D76312" w:rsidP="00D76312">
      <w:pPr>
        <w:tabs>
          <w:tab w:val="left" w:pos="1440"/>
        </w:tabs>
        <w:spacing w:line="480" w:lineRule="auto"/>
      </w:pPr>
      <w:r>
        <w:t xml:space="preserve">                        </w:t>
      </w:r>
      <w:r w:rsidR="00EB5540">
        <w:t>The current rule</w:t>
      </w:r>
      <w:r w:rsidR="009D55AD">
        <w:t xml:space="preserve"> has </w:t>
      </w:r>
      <w:r w:rsidR="00EB5540">
        <w:t>been interpreted as</w:t>
      </w:r>
      <w:r w:rsidR="009D55AD">
        <w:t xml:space="preserve"> not applying until a filing has been formally suspended, </w:t>
      </w:r>
      <w:r w:rsidR="00EB5540">
        <w:t xml:space="preserve">or to be inapplicable if a meeting is described as a “technical conference,” </w:t>
      </w:r>
      <w:r w:rsidR="009D55AD">
        <w:t>which allows Staff to circumvent the meaning and intent of the ru</w:t>
      </w:r>
      <w:r w:rsidR="00FE010C">
        <w:t>le by attempting to reach bilateral settlement</w:t>
      </w:r>
      <w:r w:rsidR="009D55AD">
        <w:t xml:space="preserve"> </w:t>
      </w:r>
      <w:r w:rsidR="0071572C">
        <w:t>before the case has even started.</w:t>
      </w:r>
      <w:r w:rsidR="009D55AD">
        <w:t xml:space="preserve">  </w:t>
      </w:r>
      <w:r w:rsidR="0071572C">
        <w:t>In addition, t</w:t>
      </w:r>
      <w:r w:rsidR="009D55AD">
        <w:t xml:space="preserve">he rule </w:t>
      </w:r>
      <w:r w:rsidR="0071572C">
        <w:t xml:space="preserve">does not prevent Staff from settling cases without </w:t>
      </w:r>
      <w:r w:rsidR="00FE010C">
        <w:t xml:space="preserve">participation of </w:t>
      </w:r>
      <w:r w:rsidR="0071572C">
        <w:t xml:space="preserve">other parties after the </w:t>
      </w:r>
      <w:r w:rsidR="009D55AD">
        <w:t xml:space="preserve">first noticed settlement conference.  </w:t>
      </w:r>
      <w:r w:rsidR="0071572C">
        <w:t xml:space="preserve">It should not be controversial </w:t>
      </w:r>
      <w:r w:rsidR="00B355F7">
        <w:t>to ensure that</w:t>
      </w:r>
      <w:r w:rsidR="00735AFB">
        <w:t>,</w:t>
      </w:r>
      <w:r w:rsidR="00B355F7">
        <w:t xml:space="preserve"> when key rate case decisions are made</w:t>
      </w:r>
      <w:r w:rsidR="00735AFB">
        <w:t>,</w:t>
      </w:r>
      <w:r w:rsidR="00B355F7">
        <w:t xml:space="preserve"> all parties are able to have a seat at the table, especially those that ultimately pay the bills.</w:t>
      </w:r>
    </w:p>
    <w:p w:rsidR="00BE6812" w:rsidRDefault="006E05E3" w:rsidP="003471BB">
      <w:pPr>
        <w:spacing w:line="480" w:lineRule="auto"/>
      </w:pPr>
      <w:r>
        <w:tab/>
      </w:r>
      <w:r>
        <w:tab/>
      </w:r>
      <w:r w:rsidR="00BE6812">
        <w:t xml:space="preserve">ICNU proposes two changes.  First, all parties must be provided notice and an opportunity to participate in any meeting in which discussion of settlement of any issue is likely </w:t>
      </w:r>
      <w:r w:rsidR="00BE6812">
        <w:lastRenderedPageBreak/>
        <w:t>to occur.  Second, the rule should apply to both docketed proceedings and proposed filings.  The rule would not apply to meetings that are purely informational.</w:t>
      </w:r>
    </w:p>
    <w:p w:rsidR="006E05E3" w:rsidRDefault="00BE6812" w:rsidP="00BE6812">
      <w:pPr>
        <w:tabs>
          <w:tab w:val="left" w:pos="1440"/>
        </w:tabs>
        <w:spacing w:line="480" w:lineRule="auto"/>
      </w:pPr>
      <w:r>
        <w:t xml:space="preserve">                        </w:t>
      </w:r>
      <w:r w:rsidR="006E05E3">
        <w:t xml:space="preserve">ICNU urges the Commission to adopt </w:t>
      </w:r>
      <w:r w:rsidR="00735AFB">
        <w:t xml:space="preserve">a rule similar to </w:t>
      </w:r>
      <w:r w:rsidR="005C0AFD">
        <w:t>the Oregon Commission’s</w:t>
      </w:r>
      <w:r w:rsidR="006E05E3">
        <w:t xml:space="preserve"> settlement rule, which provides that “all parties may attend a meeting in which Staff participates to discuss settlement.”   OAR § 860-001-0350(5).  </w:t>
      </w:r>
      <w:r w:rsidR="00B64EF8">
        <w:t xml:space="preserve">The rule does not bar ordinary communications between Staff and the utilities, and provides that settlement discussions </w:t>
      </w:r>
      <w:r w:rsidR="00D97D21">
        <w:t xml:space="preserve">do not </w:t>
      </w:r>
      <w:r w:rsidR="00B64EF8">
        <w:t>include communications primarily for the purpose of discovery</w:t>
      </w:r>
      <w:r w:rsidR="00D97D21">
        <w:t>.</w:t>
      </w:r>
      <w:r w:rsidR="00B64EF8">
        <w:t xml:space="preserve">  </w:t>
      </w:r>
      <w:r w:rsidR="00B64EF8" w:rsidRPr="00B64EF8">
        <w:rPr>
          <w:u w:val="single"/>
        </w:rPr>
        <w:t>Id.</w:t>
      </w:r>
      <w:r w:rsidR="00B64EF8">
        <w:t xml:space="preserve">  </w:t>
      </w:r>
      <w:r w:rsidR="006E05E3">
        <w:t>The Oregon rule has resulted in a more fair and participatory adjudicative process</w:t>
      </w:r>
      <w:r w:rsidR="00C1012D">
        <w:t xml:space="preserve">.  </w:t>
      </w:r>
      <w:r w:rsidR="00735AFB">
        <w:t>A similar rule in Washington c</w:t>
      </w:r>
      <w:r w:rsidR="00A75A52">
        <w:t>ould ensure that all parties can meaningfully participate in contested proceedings.</w:t>
      </w:r>
    </w:p>
    <w:p w:rsidR="003471BB" w:rsidRPr="00B64EF8" w:rsidRDefault="00B64EF8" w:rsidP="00B64EF8">
      <w:pPr>
        <w:spacing w:line="480" w:lineRule="auto"/>
        <w:jc w:val="center"/>
        <w:rPr>
          <w:b/>
        </w:rPr>
      </w:pPr>
      <w:r>
        <w:rPr>
          <w:b/>
        </w:rPr>
        <w:t>III.</w:t>
      </w:r>
      <w:r>
        <w:rPr>
          <w:b/>
        </w:rPr>
        <w:tab/>
        <w:t>CONCLUSION</w:t>
      </w:r>
    </w:p>
    <w:p w:rsidR="003471BB" w:rsidRDefault="00B64EF8" w:rsidP="003471BB">
      <w:pPr>
        <w:spacing w:line="480" w:lineRule="auto"/>
      </w:pPr>
      <w:r>
        <w:tab/>
      </w:r>
      <w:r>
        <w:tab/>
        <w:t xml:space="preserve">ICNU urges the Commission to make these minor modifications to its procedural rules to ensure that interested parties can more effectively participate in the important matters that come before it in adjudicatory and non-adjudicatory proceedings.  </w:t>
      </w:r>
    </w:p>
    <w:p w:rsidR="009D55AD" w:rsidRPr="009D55AD" w:rsidRDefault="009D55AD" w:rsidP="009D55AD">
      <w:pPr>
        <w:keepNext/>
        <w:spacing w:line="480" w:lineRule="auto"/>
        <w:ind w:firstLine="1426"/>
        <w:rPr>
          <w:szCs w:val="24"/>
        </w:rPr>
      </w:pPr>
      <w:r>
        <w:rPr>
          <w:szCs w:val="24"/>
        </w:rPr>
        <w:t>Dated this 17</w:t>
      </w:r>
      <w:r w:rsidRPr="009D55AD">
        <w:rPr>
          <w:szCs w:val="24"/>
        </w:rPr>
        <w:t>th day of May, 2013.</w:t>
      </w:r>
    </w:p>
    <w:p w:rsidR="00575F5E" w:rsidRDefault="00575F5E" w:rsidP="006B591A">
      <w:pPr>
        <w:spacing w:line="480" w:lineRule="auto"/>
        <w:rPr>
          <w:szCs w:val="24"/>
        </w:rPr>
      </w:pPr>
    </w:p>
    <w:p w:rsidR="009D55AD" w:rsidRPr="009D55AD" w:rsidRDefault="009D55AD" w:rsidP="009D55AD">
      <w:pPr>
        <w:spacing w:line="480" w:lineRule="auto"/>
        <w:ind w:left="2880" w:firstLine="720"/>
        <w:rPr>
          <w:szCs w:val="24"/>
        </w:rPr>
      </w:pPr>
      <w:r w:rsidRPr="009D55AD">
        <w:rPr>
          <w:szCs w:val="24"/>
        </w:rPr>
        <w:t>Respectfully submitted,</w:t>
      </w:r>
    </w:p>
    <w:p w:rsidR="006B591A" w:rsidRDefault="009D55AD" w:rsidP="006B591A">
      <w:pPr>
        <w:spacing w:line="480" w:lineRule="auto"/>
        <w:ind w:firstLine="720"/>
        <w:rPr>
          <w:szCs w:val="24"/>
        </w:rPr>
      </w:pPr>
      <w:r w:rsidRPr="009D55AD">
        <w:rPr>
          <w:szCs w:val="24"/>
        </w:rPr>
        <w:tab/>
      </w:r>
      <w:r w:rsidRPr="009D55AD">
        <w:rPr>
          <w:szCs w:val="24"/>
        </w:rPr>
        <w:tab/>
      </w:r>
      <w:r w:rsidRPr="009D55AD">
        <w:rPr>
          <w:szCs w:val="24"/>
        </w:rPr>
        <w:tab/>
      </w:r>
      <w:r w:rsidRPr="009D55AD">
        <w:rPr>
          <w:szCs w:val="24"/>
        </w:rPr>
        <w:tab/>
        <w:t>DAVISON VAN CLEVE, P.C.</w:t>
      </w:r>
    </w:p>
    <w:p w:rsidR="006B591A" w:rsidRDefault="006B591A" w:rsidP="006B591A">
      <w:pPr>
        <w:ind w:left="2880" w:firstLine="720"/>
        <w:rPr>
          <w:i/>
          <w:szCs w:val="24"/>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Pr="0037105B" w:rsidRDefault="0037105B" w:rsidP="0037105B">
      <w:pPr>
        <w:ind w:left="2880" w:firstLine="720"/>
        <w:jc w:val="both"/>
        <w:rPr>
          <w:i/>
          <w:szCs w:val="24"/>
          <w:u w:val="single"/>
        </w:rPr>
      </w:pPr>
      <w:r>
        <w:rPr>
          <w:i/>
          <w:u w:val="single"/>
        </w:rPr>
        <w:lastRenderedPageBreak/>
        <w:t>/s/ Irion A. Sanger</w:t>
      </w:r>
    </w:p>
    <w:p w:rsidR="006B591A" w:rsidRDefault="009D55AD" w:rsidP="006B591A">
      <w:pPr>
        <w:ind w:left="2880" w:firstLine="720"/>
        <w:rPr>
          <w:szCs w:val="24"/>
        </w:rPr>
      </w:pPr>
      <w:r w:rsidRPr="009D55AD">
        <w:rPr>
          <w:szCs w:val="24"/>
        </w:rPr>
        <w:t>Irion A. Sanger</w:t>
      </w:r>
      <w:bookmarkStart w:id="1" w:name="_GoBack"/>
      <w:bookmarkEnd w:id="1"/>
    </w:p>
    <w:p w:rsidR="00EB5540" w:rsidRPr="009D55AD" w:rsidRDefault="00EB5540" w:rsidP="009D55AD">
      <w:pPr>
        <w:keepNext/>
        <w:ind w:firstLine="3600"/>
        <w:rPr>
          <w:szCs w:val="24"/>
        </w:rPr>
      </w:pPr>
      <w:r>
        <w:rPr>
          <w:szCs w:val="24"/>
        </w:rPr>
        <w:t>Joshua D. Weber</w:t>
      </w:r>
    </w:p>
    <w:p w:rsidR="009D55AD" w:rsidRPr="009D55AD" w:rsidRDefault="009D55AD" w:rsidP="009D55AD">
      <w:pPr>
        <w:keepNext/>
        <w:ind w:firstLine="3600"/>
        <w:rPr>
          <w:szCs w:val="24"/>
        </w:rPr>
      </w:pPr>
      <w:r w:rsidRPr="009D55AD">
        <w:rPr>
          <w:szCs w:val="24"/>
        </w:rPr>
        <w:t>333 S.W. Taylor, Suite 400</w:t>
      </w:r>
    </w:p>
    <w:p w:rsidR="009D55AD" w:rsidRPr="009D55AD" w:rsidRDefault="009D55AD" w:rsidP="009D55AD">
      <w:pPr>
        <w:keepNext/>
        <w:ind w:firstLine="3600"/>
        <w:rPr>
          <w:szCs w:val="24"/>
        </w:rPr>
      </w:pPr>
      <w:r w:rsidRPr="009D55AD">
        <w:rPr>
          <w:szCs w:val="24"/>
        </w:rPr>
        <w:t>Portland, Oregon 97204</w:t>
      </w:r>
    </w:p>
    <w:p w:rsidR="009D55AD" w:rsidRPr="009D55AD" w:rsidRDefault="009D55AD" w:rsidP="009D55AD">
      <w:pPr>
        <w:keepNext/>
        <w:ind w:firstLine="3600"/>
        <w:rPr>
          <w:szCs w:val="24"/>
        </w:rPr>
      </w:pPr>
      <w:r w:rsidRPr="009D55AD">
        <w:rPr>
          <w:szCs w:val="24"/>
        </w:rPr>
        <w:t>(503) 241-7242 phone</w:t>
      </w:r>
    </w:p>
    <w:p w:rsidR="009D55AD" w:rsidRPr="009D55AD" w:rsidRDefault="009D55AD" w:rsidP="009D55AD">
      <w:pPr>
        <w:keepNext/>
        <w:ind w:firstLine="3600"/>
        <w:rPr>
          <w:szCs w:val="24"/>
        </w:rPr>
      </w:pPr>
      <w:r w:rsidRPr="009D55AD">
        <w:rPr>
          <w:szCs w:val="24"/>
        </w:rPr>
        <w:t>(503) 241-8160 facsimile</w:t>
      </w:r>
    </w:p>
    <w:p w:rsidR="009D55AD" w:rsidRDefault="00EB5540" w:rsidP="009D55AD">
      <w:pPr>
        <w:keepNext/>
        <w:ind w:firstLine="3600"/>
        <w:rPr>
          <w:szCs w:val="24"/>
        </w:rPr>
      </w:pPr>
      <w:r w:rsidRPr="00EB5540">
        <w:rPr>
          <w:szCs w:val="24"/>
        </w:rPr>
        <w:t>ias@dvclaw.com</w:t>
      </w:r>
    </w:p>
    <w:p w:rsidR="00EB5540" w:rsidRPr="009D55AD" w:rsidRDefault="00EB5540" w:rsidP="009D55AD">
      <w:pPr>
        <w:keepNext/>
        <w:ind w:firstLine="3600"/>
        <w:rPr>
          <w:szCs w:val="24"/>
        </w:rPr>
      </w:pPr>
      <w:r>
        <w:rPr>
          <w:szCs w:val="24"/>
        </w:rPr>
        <w:t>jdw@dvclaw.com</w:t>
      </w:r>
    </w:p>
    <w:p w:rsidR="009D55AD" w:rsidRPr="009D55AD" w:rsidRDefault="009D55AD" w:rsidP="009D55AD">
      <w:pPr>
        <w:ind w:left="2160" w:firstLine="1440"/>
        <w:rPr>
          <w:szCs w:val="24"/>
        </w:rPr>
      </w:pPr>
      <w:r w:rsidRPr="009D55AD">
        <w:rPr>
          <w:szCs w:val="24"/>
        </w:rPr>
        <w:t xml:space="preserve">Of Attorneys for Industrial Customers </w:t>
      </w:r>
    </w:p>
    <w:p w:rsidR="009D55AD" w:rsidRPr="009D55AD" w:rsidRDefault="009D55AD" w:rsidP="009D55AD">
      <w:pPr>
        <w:ind w:left="2160" w:firstLine="1440"/>
        <w:rPr>
          <w:szCs w:val="24"/>
        </w:rPr>
      </w:pPr>
      <w:r w:rsidRPr="009D55AD">
        <w:rPr>
          <w:szCs w:val="24"/>
        </w:rPr>
        <w:t>of Northwest Utilities</w:t>
      </w:r>
    </w:p>
    <w:p w:rsidR="00257819" w:rsidRDefault="00257819" w:rsidP="003471BB">
      <w:pPr>
        <w:spacing w:line="480" w:lineRule="auto"/>
      </w:pPr>
    </w:p>
    <w:sectPr w:rsidR="00257819"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1A" w:rsidRDefault="006B591A" w:rsidP="003471BB">
      <w:r>
        <w:separator/>
      </w:r>
    </w:p>
  </w:endnote>
  <w:endnote w:type="continuationSeparator" w:id="0">
    <w:p w:rsidR="006B591A" w:rsidRDefault="006B591A" w:rsidP="003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1A" w:rsidRPr="003471BB" w:rsidRDefault="006B591A" w:rsidP="003471BB">
    <w:pPr>
      <w:pStyle w:val="Footer"/>
    </w:pPr>
  </w:p>
  <w:p w:rsidR="006B591A" w:rsidRDefault="006B591A" w:rsidP="003471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05B">
      <w:rPr>
        <w:rStyle w:val="PageNumber"/>
        <w:noProof/>
      </w:rPr>
      <w:t>7</w:t>
    </w:r>
    <w:r>
      <w:rPr>
        <w:rStyle w:val="PageNumber"/>
      </w:rPr>
      <w:fldChar w:fldCharType="end"/>
    </w:r>
    <w:r>
      <w:t xml:space="preserve"> – ICNU COMMENTS </w:t>
    </w:r>
  </w:p>
  <w:p w:rsidR="006B591A" w:rsidRDefault="006B591A" w:rsidP="003471BB">
    <w:pPr>
      <w:pStyle w:val="Footer"/>
    </w:pPr>
  </w:p>
  <w:p w:rsidR="006B591A" w:rsidRDefault="006B591A" w:rsidP="003471BB">
    <w:pPr>
      <w:jc w:val="center"/>
      <w:rPr>
        <w:rFonts w:ascii="EngraversGothic BT" w:hAnsi="EngraversGothic BT"/>
        <w:sz w:val="14"/>
      </w:rPr>
    </w:pPr>
    <w:r>
      <w:rPr>
        <w:rFonts w:ascii="EngraversGothic BT" w:hAnsi="EngraversGothic BT"/>
        <w:sz w:val="14"/>
      </w:rPr>
      <w:t>DAVISON VAN CLEVE, P.C.</w:t>
    </w:r>
  </w:p>
  <w:p w:rsidR="006B591A" w:rsidRDefault="006B591A" w:rsidP="003471BB">
    <w:pPr>
      <w:tabs>
        <w:tab w:val="center" w:pos="4680"/>
      </w:tabs>
      <w:rPr>
        <w:rFonts w:ascii="EngraversGothic BT" w:hAnsi="EngraversGothic BT"/>
        <w:sz w:val="14"/>
      </w:rPr>
    </w:pPr>
    <w:r>
      <w:rPr>
        <w:rFonts w:ascii="EngraversGothic BT" w:hAnsi="EngraversGothic BT"/>
        <w:sz w:val="14"/>
      </w:rPr>
      <w:tab/>
      <w:t xml:space="preserve">333 S.W. Taylor, </w:t>
    </w:r>
    <w:smartTag w:uri="urn:schemas-microsoft-com:office:smarttags" w:element="address">
      <w:smartTag w:uri="urn:schemas-microsoft-com:office:smarttags" w:element="Street">
        <w:r>
          <w:rPr>
            <w:rFonts w:ascii="EngraversGothic BT" w:hAnsi="EngraversGothic BT"/>
            <w:sz w:val="14"/>
          </w:rPr>
          <w:t>Suite</w:t>
        </w:r>
      </w:smartTag>
      <w:r>
        <w:rPr>
          <w:rFonts w:ascii="EngraversGothic BT" w:hAnsi="EngraversGothic BT"/>
          <w:sz w:val="14"/>
        </w:rPr>
        <w:t xml:space="preserve"> 400</w:t>
      </w:r>
    </w:smartTag>
  </w:p>
  <w:p w:rsidR="006B591A" w:rsidRDefault="006B591A" w:rsidP="003471BB">
    <w:pPr>
      <w:tabs>
        <w:tab w:val="center" w:pos="4680"/>
      </w:tabs>
      <w:rPr>
        <w:rFonts w:ascii="EngraversGothic BT" w:hAnsi="EngraversGothic BT"/>
        <w:sz w:val="14"/>
      </w:rPr>
    </w:pPr>
    <w:r>
      <w:rPr>
        <w:rFonts w:ascii="EngraversGothic BT" w:hAnsi="EngraversGothic BT"/>
        <w:sz w:val="14"/>
      </w:rPr>
      <w:tab/>
    </w:r>
    <w:smartTag w:uri="urn:schemas-microsoft-com:office:smarttags" w:element="place">
      <w:smartTag w:uri="urn:schemas-microsoft-com:office:smarttags" w:element="City">
        <w:r>
          <w:rPr>
            <w:rFonts w:ascii="EngraversGothic BT" w:hAnsi="EngraversGothic BT"/>
            <w:sz w:val="14"/>
          </w:rPr>
          <w:t>Portland</w:t>
        </w:r>
      </w:smartTag>
      <w:r>
        <w:rPr>
          <w:rFonts w:ascii="EngraversGothic BT" w:hAnsi="EngraversGothic BT"/>
          <w:sz w:val="14"/>
        </w:rPr>
        <w:t xml:space="preserve">, </w:t>
      </w:r>
      <w:smartTag w:uri="urn:schemas-microsoft-com:office:smarttags" w:element="State">
        <w:r>
          <w:rPr>
            <w:rFonts w:ascii="EngraversGothic BT" w:hAnsi="EngraversGothic BT"/>
            <w:sz w:val="14"/>
          </w:rPr>
          <w:t>OR</w:t>
        </w:r>
      </w:smartTag>
      <w:r>
        <w:rPr>
          <w:rFonts w:ascii="EngraversGothic BT" w:hAnsi="EngraversGothic BT"/>
          <w:sz w:val="14"/>
        </w:rPr>
        <w:t xml:space="preserve"> </w:t>
      </w:r>
      <w:smartTag w:uri="urn:schemas-microsoft-com:office:smarttags" w:element="PostalCode">
        <w:r>
          <w:rPr>
            <w:rFonts w:ascii="EngraversGothic BT" w:hAnsi="EngraversGothic BT"/>
            <w:sz w:val="14"/>
          </w:rPr>
          <w:t>97204</w:t>
        </w:r>
      </w:smartTag>
    </w:smartTag>
  </w:p>
  <w:p w:rsidR="006B591A" w:rsidRDefault="006B591A" w:rsidP="003471BB">
    <w:pPr>
      <w:pStyle w:val="Footer"/>
      <w:jc w:val="center"/>
      <w:rPr>
        <w:sz w:val="14"/>
      </w:rPr>
    </w:pPr>
    <w:r>
      <w:rPr>
        <w:rFonts w:ascii="EngraversGothic BT" w:hAnsi="EngraversGothic BT"/>
        <w:sz w:val="14"/>
      </w:rPr>
      <w:t>Telephone:  (503) 241-7242</w:t>
    </w:r>
  </w:p>
  <w:p w:rsidR="006B591A" w:rsidRDefault="006B591A" w:rsidP="003471BB">
    <w:pPr>
      <w:pStyle w:val="Footer"/>
    </w:pPr>
  </w:p>
  <w:p w:rsidR="006B591A" w:rsidRDefault="006B5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1A" w:rsidRDefault="006B591A" w:rsidP="003471BB">
      <w:r>
        <w:separator/>
      </w:r>
    </w:p>
  </w:footnote>
  <w:footnote w:type="continuationSeparator" w:id="0">
    <w:p w:rsidR="006B591A" w:rsidRDefault="006B591A" w:rsidP="00347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7D6A"/>
    <w:rsid w:val="00043765"/>
    <w:rsid w:val="00067C04"/>
    <w:rsid w:val="000D4D17"/>
    <w:rsid w:val="000F79AF"/>
    <w:rsid w:val="00216B2D"/>
    <w:rsid w:val="00257819"/>
    <w:rsid w:val="00257D5D"/>
    <w:rsid w:val="0026128E"/>
    <w:rsid w:val="003053ED"/>
    <w:rsid w:val="00310F1E"/>
    <w:rsid w:val="003471BB"/>
    <w:rsid w:val="0037105B"/>
    <w:rsid w:val="00397538"/>
    <w:rsid w:val="00477395"/>
    <w:rsid w:val="00483BDA"/>
    <w:rsid w:val="004E268B"/>
    <w:rsid w:val="0051309F"/>
    <w:rsid w:val="00522BCE"/>
    <w:rsid w:val="00527D43"/>
    <w:rsid w:val="00530E0C"/>
    <w:rsid w:val="00553ECD"/>
    <w:rsid w:val="00575F5E"/>
    <w:rsid w:val="00581D69"/>
    <w:rsid w:val="005C0AFD"/>
    <w:rsid w:val="005D02C0"/>
    <w:rsid w:val="006B591A"/>
    <w:rsid w:val="006E05E3"/>
    <w:rsid w:val="006F5D68"/>
    <w:rsid w:val="006F68A6"/>
    <w:rsid w:val="007148FF"/>
    <w:rsid w:val="0071572C"/>
    <w:rsid w:val="00735AFB"/>
    <w:rsid w:val="007540F7"/>
    <w:rsid w:val="007732B3"/>
    <w:rsid w:val="007E61F3"/>
    <w:rsid w:val="00817D4D"/>
    <w:rsid w:val="0084094C"/>
    <w:rsid w:val="008F3D09"/>
    <w:rsid w:val="00915C46"/>
    <w:rsid w:val="009B0461"/>
    <w:rsid w:val="009D55AD"/>
    <w:rsid w:val="00A14ED7"/>
    <w:rsid w:val="00A17D6A"/>
    <w:rsid w:val="00A735DF"/>
    <w:rsid w:val="00A75A52"/>
    <w:rsid w:val="00B355F7"/>
    <w:rsid w:val="00B64EF8"/>
    <w:rsid w:val="00BE6812"/>
    <w:rsid w:val="00C1012D"/>
    <w:rsid w:val="00C377C0"/>
    <w:rsid w:val="00C51D95"/>
    <w:rsid w:val="00C63C4B"/>
    <w:rsid w:val="00C83BED"/>
    <w:rsid w:val="00CE5FC4"/>
    <w:rsid w:val="00D5011E"/>
    <w:rsid w:val="00D5565F"/>
    <w:rsid w:val="00D76312"/>
    <w:rsid w:val="00D97D21"/>
    <w:rsid w:val="00DA2921"/>
    <w:rsid w:val="00DF31EC"/>
    <w:rsid w:val="00E15482"/>
    <w:rsid w:val="00EB5540"/>
    <w:rsid w:val="00F0285A"/>
    <w:rsid w:val="00F55755"/>
    <w:rsid w:val="00F74B7D"/>
    <w:rsid w:val="00F852AC"/>
    <w:rsid w:val="00F858E5"/>
    <w:rsid w:val="00FE010C"/>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semiHidden/>
    <w:unhideWhenUsed/>
    <w:rsid w:val="003471BB"/>
    <w:pPr>
      <w:tabs>
        <w:tab w:val="center" w:pos="4680"/>
        <w:tab w:val="right" w:pos="9360"/>
      </w:tabs>
    </w:pPr>
  </w:style>
  <w:style w:type="character" w:customStyle="1" w:styleId="HeaderChar">
    <w:name w:val="Header Char"/>
    <w:basedOn w:val="DefaultParagraphFont"/>
    <w:link w:val="Header"/>
    <w:uiPriority w:val="99"/>
    <w:semiHidden/>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F75B2B-8A7A-4FEF-BC4E-5302201714CF}"/>
</file>

<file path=customXml/itemProps2.xml><?xml version="1.0" encoding="utf-8"?>
<ds:datastoreItem xmlns:ds="http://schemas.openxmlformats.org/officeDocument/2006/customXml" ds:itemID="{4BCC8799-6817-429E-8C9D-D9D2B26AFF5A}"/>
</file>

<file path=customXml/itemProps3.xml><?xml version="1.0" encoding="utf-8"?>
<ds:datastoreItem xmlns:ds="http://schemas.openxmlformats.org/officeDocument/2006/customXml" ds:itemID="{61D95E40-447E-4291-AA82-1B384BC64C0E}"/>
</file>

<file path=customXml/itemProps4.xml><?xml version="1.0" encoding="utf-8"?>
<ds:datastoreItem xmlns:ds="http://schemas.openxmlformats.org/officeDocument/2006/customXml" ds:itemID="{A4741077-2E09-4B20-B3C1-1D454AA27051}"/>
</file>

<file path=customXml/itemProps5.xml><?xml version="1.0" encoding="utf-8"?>
<ds:datastoreItem xmlns:ds="http://schemas.openxmlformats.org/officeDocument/2006/customXml" ds:itemID="{8E2B93C4-4420-4AE6-90C6-5E544444B478}"/>
</file>

<file path=docProps/app.xml><?xml version="1.0" encoding="utf-8"?>
<Properties xmlns="http://schemas.openxmlformats.org/officeDocument/2006/extended-properties" xmlns:vt="http://schemas.openxmlformats.org/officeDocument/2006/docPropsVTypes">
  <Template>Normal</Template>
  <TotalTime>317</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Karen A. Zolka</cp:lastModifiedBy>
  <cp:revision>45</cp:revision>
  <cp:lastPrinted>2013-05-17T22:20:00Z</cp:lastPrinted>
  <dcterms:created xsi:type="dcterms:W3CDTF">2013-05-16T21:21:00Z</dcterms:created>
  <dcterms:modified xsi:type="dcterms:W3CDTF">2013-05-17T22:42:00Z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