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8E" w:rsidRPr="00E73CEE" w:rsidRDefault="006C1D8E" w:rsidP="00E73CE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E73CEE">
        <w:rPr>
          <w:b/>
          <w:bCs/>
          <w:sz w:val="25"/>
          <w:szCs w:val="25"/>
        </w:rPr>
        <w:t>BEFORE THE WASHINGTON</w:t>
      </w:r>
    </w:p>
    <w:p w:rsidR="006C1D8E" w:rsidRPr="00E73CEE" w:rsidRDefault="006C1D8E" w:rsidP="00E73CEE">
      <w:pPr>
        <w:pStyle w:val="BodyText"/>
        <w:spacing w:line="264" w:lineRule="auto"/>
        <w:rPr>
          <w:b/>
          <w:bCs/>
          <w:sz w:val="25"/>
          <w:szCs w:val="25"/>
        </w:rPr>
      </w:pPr>
      <w:r w:rsidRPr="00E73CEE">
        <w:rPr>
          <w:b/>
          <w:bCs/>
          <w:sz w:val="25"/>
          <w:szCs w:val="25"/>
        </w:rPr>
        <w:t>UTILITIES AND TRANSPORTATION COMMISSION</w:t>
      </w:r>
    </w:p>
    <w:p w:rsidR="006C1D8E" w:rsidRPr="00E73CEE" w:rsidRDefault="006C1D8E" w:rsidP="00E73CEE">
      <w:pPr>
        <w:pStyle w:val="BodyText"/>
        <w:spacing w:line="264" w:lineRule="auto"/>
        <w:rPr>
          <w:sz w:val="25"/>
          <w:szCs w:val="25"/>
        </w:rPr>
      </w:pPr>
    </w:p>
    <w:p w:rsidR="008731C4" w:rsidRPr="00E73CEE" w:rsidRDefault="008731C4" w:rsidP="00E73CE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360"/>
        <w:gridCol w:w="3888"/>
      </w:tblGrid>
      <w:tr w:rsidR="006C1D8E" w:rsidRPr="00E73CEE" w:rsidTr="00C35667">
        <w:tc>
          <w:tcPr>
            <w:tcW w:w="4248" w:type="dxa"/>
          </w:tcPr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E73CEE">
              <w:rPr>
                <w:bCs/>
                <w:sz w:val="25"/>
                <w:szCs w:val="25"/>
              </w:rPr>
              <w:t>In the Matter of the Application of</w:t>
            </w:r>
          </w:p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E73CEE">
              <w:rPr>
                <w:bCs/>
                <w:sz w:val="25"/>
                <w:szCs w:val="25"/>
              </w:rPr>
              <w:t>WASTE MANAGEMENT OF WASHINGTON, INC. D/B/A WM HEALTHCARE SOLUTIONS OF WASHINGTON</w:t>
            </w:r>
          </w:p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E73CEE">
              <w:rPr>
                <w:bCs/>
                <w:sz w:val="25"/>
                <w:szCs w:val="25"/>
              </w:rPr>
              <w:t>For an Extension of Certificate G-237 for a Certificate of Public Convenience and Necessity to Operate Motor Vehicles in Furnishing Solid Waste Collection Service</w:t>
            </w:r>
          </w:p>
          <w:p w:rsidR="006C1D8E" w:rsidRPr="00E73CEE" w:rsidRDefault="006C1D8E" w:rsidP="00E73CEE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 xml:space="preserve">DOCKET TG-120033 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>ORDER 02</w:t>
            </w: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</w:p>
          <w:p w:rsidR="006C1D8E" w:rsidRPr="00E73CEE" w:rsidRDefault="006C1D8E" w:rsidP="00E73CEE">
            <w:pPr>
              <w:spacing w:line="264" w:lineRule="auto"/>
              <w:rPr>
                <w:sz w:val="25"/>
                <w:szCs w:val="25"/>
              </w:rPr>
            </w:pPr>
            <w:r w:rsidRPr="00E73CEE">
              <w:rPr>
                <w:sz w:val="25"/>
                <w:szCs w:val="25"/>
              </w:rPr>
              <w:t xml:space="preserve">ORDER GRANTING </w:t>
            </w:r>
            <w:r w:rsidR="008731C4" w:rsidRPr="00E73CEE">
              <w:rPr>
                <w:sz w:val="25"/>
                <w:szCs w:val="25"/>
              </w:rPr>
              <w:t xml:space="preserve">LATE-FILED </w:t>
            </w:r>
            <w:r w:rsidRPr="00E73CEE">
              <w:rPr>
                <w:sz w:val="25"/>
                <w:szCs w:val="25"/>
              </w:rPr>
              <w:t>PETITION TO INTERVENE</w:t>
            </w:r>
            <w:r w:rsidR="008731C4" w:rsidRPr="00E73CEE">
              <w:rPr>
                <w:sz w:val="25"/>
                <w:szCs w:val="25"/>
              </w:rPr>
              <w:t xml:space="preserve"> OF COMMISSION STAFF</w:t>
            </w:r>
          </w:p>
        </w:tc>
      </w:tr>
    </w:tbl>
    <w:p w:rsidR="006C1D8E" w:rsidRPr="00E73CEE" w:rsidRDefault="006C1D8E" w:rsidP="00E73CEE">
      <w:pPr>
        <w:spacing w:line="264" w:lineRule="auto"/>
        <w:rPr>
          <w:sz w:val="25"/>
          <w:szCs w:val="25"/>
        </w:rPr>
      </w:pPr>
    </w:p>
    <w:p w:rsidR="008731C4" w:rsidRPr="00E73CEE" w:rsidRDefault="008731C4" w:rsidP="00E73CEE">
      <w:pPr>
        <w:spacing w:line="264" w:lineRule="auto"/>
        <w:rPr>
          <w:sz w:val="25"/>
          <w:szCs w:val="25"/>
        </w:rPr>
      </w:pPr>
    </w:p>
    <w:p w:rsidR="00892CB2" w:rsidRPr="00E73CEE" w:rsidRDefault="008731C4" w:rsidP="00E73CEE">
      <w:pPr>
        <w:numPr>
          <w:ilvl w:val="0"/>
          <w:numId w:val="1"/>
        </w:numPr>
        <w:spacing w:after="240" w:line="264" w:lineRule="auto"/>
        <w:ind w:hanging="720"/>
        <w:rPr>
          <w:b/>
          <w:sz w:val="25"/>
          <w:szCs w:val="25"/>
        </w:rPr>
      </w:pPr>
      <w:r w:rsidRPr="00E73CEE">
        <w:rPr>
          <w:b/>
          <w:sz w:val="25"/>
          <w:szCs w:val="25"/>
        </w:rPr>
        <w:t xml:space="preserve">PROCEEDING.  </w:t>
      </w:r>
      <w:r w:rsidRPr="00E73CEE">
        <w:rPr>
          <w:bCs/>
          <w:sz w:val="25"/>
          <w:szCs w:val="25"/>
        </w:rPr>
        <w:t xml:space="preserve">On December 30, 2011, Waste Management of Washington, Inc. </w:t>
      </w:r>
      <w:r w:rsidRPr="00E73CEE">
        <w:rPr>
          <w:sz w:val="25"/>
          <w:szCs w:val="25"/>
        </w:rPr>
        <w:t>(Waste Management or Company), filed with the Washington Utilities and Transportation Commission (Commission) an application for an extension of authority under Certificate G-237, standing in the name of Waste Management of Washington, Inc., d/b/a WM Healthcare Solutions of Washington</w:t>
      </w:r>
      <w:r w:rsidR="00ED5E2A" w:rsidRPr="00E73CEE">
        <w:rPr>
          <w:sz w:val="25"/>
          <w:szCs w:val="25"/>
        </w:rPr>
        <w:t xml:space="preserve"> (Waste Management)</w:t>
      </w:r>
      <w:r w:rsidRPr="00E73CEE">
        <w:rPr>
          <w:sz w:val="25"/>
          <w:szCs w:val="25"/>
        </w:rPr>
        <w:t>, for authority to provide solid waste collection service consisting of bio-hazardous waste in the state of Washington.  Notice of the Application was published in the Commission’s weekly Docket on February 7, 2012.  On February 17, 2012, a protest against Waste Management’s application was filed jointly by Washington</w:t>
      </w:r>
      <w:r w:rsidR="00ED5E2A" w:rsidRPr="00E73CEE">
        <w:rPr>
          <w:sz w:val="25"/>
          <w:szCs w:val="25"/>
        </w:rPr>
        <w:t xml:space="preserve"> Refuse &amp; Recycling Association</w:t>
      </w:r>
      <w:r w:rsidRPr="00E73CEE">
        <w:rPr>
          <w:sz w:val="25"/>
          <w:szCs w:val="25"/>
        </w:rPr>
        <w:t>, Rubatino Refuse Removal, Inc. (Rubatino), Consolidated Disposal Services, Inc., Murrey’s Disposal, Inc., and Pullman Disposal Service, Inc. (</w:t>
      </w:r>
      <w:r w:rsidR="00ED5E2A" w:rsidRPr="00E73CEE">
        <w:rPr>
          <w:sz w:val="25"/>
          <w:szCs w:val="25"/>
        </w:rPr>
        <w:t>collectively WRRA</w:t>
      </w:r>
      <w:r w:rsidRPr="00E73CEE">
        <w:rPr>
          <w:sz w:val="25"/>
          <w:szCs w:val="25"/>
        </w:rPr>
        <w:t>).  On February 21, 2012, Stericycle of Washington, Inc.</w:t>
      </w:r>
      <w:r w:rsidR="00ED5E2A" w:rsidRPr="00E73CEE">
        <w:rPr>
          <w:sz w:val="25"/>
          <w:szCs w:val="25"/>
        </w:rPr>
        <w:t>,</w:t>
      </w:r>
      <w:r w:rsidRPr="00E73CEE">
        <w:rPr>
          <w:sz w:val="25"/>
          <w:szCs w:val="25"/>
        </w:rPr>
        <w:t xml:space="preserve"> filed a protest against Waste Management’s application.</w:t>
      </w:r>
    </w:p>
    <w:p w:rsidR="00892CB2" w:rsidRPr="00E73CEE" w:rsidRDefault="00892CB2" w:rsidP="00E73CEE">
      <w:pPr>
        <w:numPr>
          <w:ilvl w:val="0"/>
          <w:numId w:val="1"/>
        </w:numPr>
        <w:spacing w:after="240" w:line="264" w:lineRule="auto"/>
        <w:ind w:hanging="720"/>
        <w:rPr>
          <w:b/>
          <w:sz w:val="25"/>
          <w:szCs w:val="25"/>
        </w:rPr>
      </w:pPr>
      <w:r w:rsidRPr="00E73CEE">
        <w:rPr>
          <w:b/>
          <w:sz w:val="25"/>
          <w:szCs w:val="25"/>
        </w:rPr>
        <w:t>PREHEARING CONFERENCE.</w:t>
      </w:r>
      <w:r w:rsidRPr="00E73CEE">
        <w:rPr>
          <w:sz w:val="25"/>
          <w:szCs w:val="25"/>
        </w:rPr>
        <w:t xml:space="preserve">  The Commission conducted a prehearing conference on </w:t>
      </w:r>
      <w:r w:rsidR="00ED5E2A" w:rsidRPr="00E73CEE">
        <w:rPr>
          <w:sz w:val="25"/>
          <w:szCs w:val="25"/>
        </w:rPr>
        <w:t>April 10, 2012, in conjunction with a prehearing conference in Docket TG-112025</w:t>
      </w:r>
      <w:r w:rsidRPr="00E73CEE">
        <w:rPr>
          <w:sz w:val="25"/>
          <w:szCs w:val="25"/>
        </w:rPr>
        <w:t xml:space="preserve">.  Commission Staff (Staff) did not enter an appearance prior to or at the prehearing conference in this docket, but </w:t>
      </w:r>
      <w:r w:rsidR="00ED5E2A" w:rsidRPr="00E73CEE">
        <w:rPr>
          <w:sz w:val="25"/>
          <w:szCs w:val="25"/>
        </w:rPr>
        <w:t>indicated</w:t>
      </w:r>
      <w:r w:rsidRPr="00E73CEE">
        <w:rPr>
          <w:sz w:val="25"/>
          <w:szCs w:val="25"/>
        </w:rPr>
        <w:t xml:space="preserve"> as part of its appearance in Docket TG-112025 that it did not anticipate participating in this proceeding</w:t>
      </w:r>
      <w:r w:rsidR="00ED5E2A" w:rsidRPr="00E73CEE">
        <w:rPr>
          <w:sz w:val="25"/>
          <w:szCs w:val="25"/>
        </w:rPr>
        <w:t xml:space="preserve"> because the existing parties are represented by able and experienced counsel</w:t>
      </w:r>
      <w:r w:rsidRPr="00E73CEE">
        <w:rPr>
          <w:sz w:val="25"/>
          <w:szCs w:val="25"/>
        </w:rPr>
        <w:t>.</w:t>
      </w:r>
    </w:p>
    <w:p w:rsidR="006C1D8E" w:rsidRPr="00E73CEE" w:rsidRDefault="008731C4" w:rsidP="00E73CEE">
      <w:pPr>
        <w:numPr>
          <w:ilvl w:val="0"/>
          <w:numId w:val="1"/>
        </w:numPr>
        <w:spacing w:after="240" w:line="264" w:lineRule="auto"/>
        <w:ind w:hanging="720"/>
        <w:rPr>
          <w:sz w:val="25"/>
          <w:szCs w:val="25"/>
        </w:rPr>
      </w:pPr>
      <w:r w:rsidRPr="00E73CEE">
        <w:rPr>
          <w:b/>
          <w:sz w:val="25"/>
          <w:szCs w:val="25"/>
        </w:rPr>
        <w:lastRenderedPageBreak/>
        <w:t xml:space="preserve">PETITION TO INTERVENE.  </w:t>
      </w:r>
      <w:r w:rsidRPr="00E73CEE">
        <w:rPr>
          <w:sz w:val="25"/>
          <w:szCs w:val="25"/>
        </w:rPr>
        <w:t xml:space="preserve">On April 18, 2012, the Commission received a late-filed petition to intervene on behalf of Staff.  </w:t>
      </w:r>
      <w:r w:rsidR="00892CB2" w:rsidRPr="00E73CEE">
        <w:rPr>
          <w:sz w:val="25"/>
          <w:szCs w:val="25"/>
        </w:rPr>
        <w:t xml:space="preserve">Staff states that it has an interest in the legal issues framed in Order 01, Prehearing Conference Order, and </w:t>
      </w:r>
      <w:r w:rsidR="007D0656" w:rsidRPr="00E73CEE">
        <w:rPr>
          <w:sz w:val="25"/>
          <w:szCs w:val="25"/>
        </w:rPr>
        <w:t xml:space="preserve">that it understands </w:t>
      </w:r>
      <w:r w:rsidR="00892CB2" w:rsidRPr="00E73CEE">
        <w:rPr>
          <w:sz w:val="25"/>
          <w:szCs w:val="25"/>
        </w:rPr>
        <w:t xml:space="preserve">the Commission expects </w:t>
      </w:r>
      <w:r w:rsidR="007D0656" w:rsidRPr="00E73CEE">
        <w:rPr>
          <w:sz w:val="25"/>
          <w:szCs w:val="25"/>
        </w:rPr>
        <w:t xml:space="preserve">and would benefit from </w:t>
      </w:r>
      <w:r w:rsidR="00892CB2" w:rsidRPr="00E73CEE">
        <w:rPr>
          <w:sz w:val="25"/>
          <w:szCs w:val="25"/>
        </w:rPr>
        <w:t>Staff</w:t>
      </w:r>
      <w:r w:rsidR="007D0656" w:rsidRPr="00E73CEE">
        <w:rPr>
          <w:sz w:val="25"/>
          <w:szCs w:val="25"/>
        </w:rPr>
        <w:t>’s</w:t>
      </w:r>
      <w:r w:rsidR="00892CB2" w:rsidRPr="00E73CEE">
        <w:rPr>
          <w:sz w:val="25"/>
          <w:szCs w:val="25"/>
        </w:rPr>
        <w:t xml:space="preserve"> views</w:t>
      </w:r>
      <w:r w:rsidR="007D0656" w:rsidRPr="00E73CEE">
        <w:rPr>
          <w:sz w:val="25"/>
          <w:szCs w:val="25"/>
        </w:rPr>
        <w:t xml:space="preserve"> on these and other legal issues</w:t>
      </w:r>
      <w:r w:rsidRPr="00E73CEE">
        <w:rPr>
          <w:sz w:val="25"/>
          <w:szCs w:val="25"/>
        </w:rPr>
        <w:t xml:space="preserve">, </w:t>
      </w:r>
      <w:r w:rsidR="007D0656" w:rsidRPr="00E73CEE">
        <w:rPr>
          <w:sz w:val="25"/>
          <w:szCs w:val="25"/>
        </w:rPr>
        <w:t>including</w:t>
      </w:r>
      <w:r w:rsidRPr="00E73CEE">
        <w:rPr>
          <w:sz w:val="25"/>
          <w:szCs w:val="25"/>
        </w:rPr>
        <w:t xml:space="preserve"> interpretation of RCW Chapter 81.77 and prior decisions of the Commission involving solid waste.</w:t>
      </w:r>
      <w:r w:rsidR="007D0656" w:rsidRPr="00E73CEE">
        <w:rPr>
          <w:sz w:val="25"/>
          <w:szCs w:val="25"/>
        </w:rPr>
        <w:t xml:space="preserve">  Staff anticipates that its participation will be limited accordingly.  Staff represents that it has spoken with co</w:t>
      </w:r>
      <w:r w:rsidR="00ED5E2A" w:rsidRPr="00E73CEE">
        <w:rPr>
          <w:sz w:val="25"/>
          <w:szCs w:val="25"/>
        </w:rPr>
        <w:t>unsel for the other parties, and Waste Management and WRRA do not oppose Staff’s intervention.</w:t>
      </w:r>
    </w:p>
    <w:p w:rsidR="006C1D8E" w:rsidRPr="00E73CEE" w:rsidRDefault="008731C4" w:rsidP="00E73CEE">
      <w:pPr>
        <w:numPr>
          <w:ilvl w:val="0"/>
          <w:numId w:val="1"/>
        </w:numPr>
        <w:spacing w:after="240" w:line="264" w:lineRule="auto"/>
        <w:ind w:hanging="720"/>
        <w:rPr>
          <w:sz w:val="25"/>
          <w:szCs w:val="25"/>
        </w:rPr>
      </w:pPr>
      <w:r w:rsidRPr="00E73CEE">
        <w:rPr>
          <w:b/>
          <w:sz w:val="25"/>
          <w:szCs w:val="25"/>
        </w:rPr>
        <w:t xml:space="preserve">COMMISSION DECISION.  </w:t>
      </w:r>
      <w:r w:rsidR="007D0656" w:rsidRPr="00E73CEE">
        <w:rPr>
          <w:sz w:val="25"/>
          <w:szCs w:val="25"/>
        </w:rPr>
        <w:t>The Commission finds that Staff has stated good cause to intervene and that the Commission will benefit from Staff’s participation.  Accordingly, the Commission will grant the petition.  A revised service list is attached to this Order.</w:t>
      </w:r>
    </w:p>
    <w:p w:rsidR="008731C4" w:rsidRPr="00E73CEE" w:rsidRDefault="008731C4" w:rsidP="00E73CEE">
      <w:pPr>
        <w:pStyle w:val="NoSpacing"/>
        <w:spacing w:line="264" w:lineRule="auto"/>
        <w:rPr>
          <w:szCs w:val="25"/>
        </w:rPr>
      </w:pPr>
    </w:p>
    <w:p w:rsidR="008731C4" w:rsidRPr="00E73CEE" w:rsidRDefault="008731C4" w:rsidP="00E73CEE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E73CEE">
        <w:rPr>
          <w:b/>
          <w:sz w:val="25"/>
          <w:szCs w:val="25"/>
          <w:u w:val="single"/>
        </w:rPr>
        <w:t>ORDER</w:t>
      </w:r>
    </w:p>
    <w:p w:rsidR="008731C4" w:rsidRPr="00E73CEE" w:rsidRDefault="008731C4" w:rsidP="00E73CEE">
      <w:pPr>
        <w:spacing w:line="264" w:lineRule="auto"/>
        <w:rPr>
          <w:sz w:val="25"/>
          <w:szCs w:val="25"/>
        </w:rPr>
      </w:pPr>
    </w:p>
    <w:p w:rsidR="008731C4" w:rsidRPr="00E73CEE" w:rsidRDefault="008731C4" w:rsidP="00E73CEE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73CEE">
        <w:rPr>
          <w:sz w:val="25"/>
          <w:szCs w:val="25"/>
        </w:rPr>
        <w:t>THE COMMISSION ORDERS That the late-filed petition to intervene of Commission Staff is granted.</w:t>
      </w:r>
    </w:p>
    <w:p w:rsidR="008731C4" w:rsidRPr="00E73CEE" w:rsidRDefault="008731C4" w:rsidP="00E73CEE">
      <w:pPr>
        <w:pStyle w:val="NoSpacing"/>
        <w:spacing w:line="264" w:lineRule="auto"/>
        <w:rPr>
          <w:szCs w:val="25"/>
        </w:rPr>
      </w:pPr>
    </w:p>
    <w:p w:rsidR="006C1D8E" w:rsidRPr="00E73CEE" w:rsidRDefault="006C1D8E" w:rsidP="00E73CEE">
      <w:pPr>
        <w:spacing w:line="264" w:lineRule="auto"/>
        <w:rPr>
          <w:sz w:val="25"/>
          <w:szCs w:val="25"/>
        </w:rPr>
      </w:pPr>
      <w:r w:rsidRPr="00E73CEE">
        <w:rPr>
          <w:sz w:val="25"/>
          <w:szCs w:val="25"/>
        </w:rPr>
        <w:t xml:space="preserve">Dated at Olympia, Washington, and effective April </w:t>
      </w:r>
      <w:r w:rsidR="00892CB2" w:rsidRPr="00E73CEE">
        <w:rPr>
          <w:sz w:val="25"/>
          <w:szCs w:val="25"/>
        </w:rPr>
        <w:t>19</w:t>
      </w:r>
      <w:r w:rsidRPr="00E73CEE">
        <w:rPr>
          <w:sz w:val="25"/>
          <w:szCs w:val="25"/>
        </w:rPr>
        <w:t>, 2012.</w:t>
      </w:r>
    </w:p>
    <w:p w:rsidR="006C1D8E" w:rsidRPr="00E73CEE" w:rsidRDefault="006C1D8E" w:rsidP="00E73CE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6C1D8E" w:rsidRPr="00E73CEE" w:rsidRDefault="006C1D8E" w:rsidP="00E73CEE">
      <w:pPr>
        <w:spacing w:line="264" w:lineRule="auto"/>
        <w:jc w:val="center"/>
        <w:rPr>
          <w:sz w:val="25"/>
          <w:szCs w:val="25"/>
        </w:rPr>
      </w:pPr>
      <w:r w:rsidRPr="00E73CEE">
        <w:rPr>
          <w:sz w:val="25"/>
          <w:szCs w:val="25"/>
        </w:rPr>
        <w:t>WASHINGTON UTILITIES AND TRANSPORTATION COMMISSION</w:t>
      </w:r>
    </w:p>
    <w:p w:rsidR="006C1D8E" w:rsidRPr="00E73CEE" w:rsidRDefault="006C1D8E" w:rsidP="00E73CE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6C1D8E" w:rsidRPr="00E73CEE" w:rsidRDefault="006C1D8E" w:rsidP="00E73CEE">
      <w:pPr>
        <w:spacing w:line="264" w:lineRule="auto"/>
        <w:rPr>
          <w:sz w:val="25"/>
          <w:szCs w:val="25"/>
        </w:rPr>
      </w:pPr>
    </w:p>
    <w:p w:rsidR="006C1D8E" w:rsidRPr="00E73CEE" w:rsidRDefault="006C1D8E" w:rsidP="00E73CEE">
      <w:pPr>
        <w:spacing w:line="264" w:lineRule="auto"/>
        <w:rPr>
          <w:sz w:val="25"/>
          <w:szCs w:val="25"/>
        </w:rPr>
      </w:pPr>
    </w:p>
    <w:p w:rsidR="006C1D8E" w:rsidRPr="00E73CEE" w:rsidRDefault="006C1D8E" w:rsidP="00E73CEE">
      <w:pPr>
        <w:spacing w:line="264" w:lineRule="auto"/>
        <w:rPr>
          <w:sz w:val="25"/>
          <w:szCs w:val="25"/>
        </w:rPr>
      </w:pPr>
    </w:p>
    <w:p w:rsidR="006C1D8E" w:rsidRPr="00E73CEE" w:rsidRDefault="006C1D8E" w:rsidP="00E73CEE">
      <w:pPr>
        <w:spacing w:line="264" w:lineRule="auto"/>
        <w:ind w:left="4320"/>
        <w:rPr>
          <w:bCs/>
          <w:sz w:val="25"/>
          <w:szCs w:val="25"/>
        </w:rPr>
      </w:pPr>
      <w:r w:rsidRPr="00E73CEE">
        <w:rPr>
          <w:bCs/>
          <w:sz w:val="25"/>
          <w:szCs w:val="25"/>
        </w:rPr>
        <w:t>GREGORY J. KOPTA</w:t>
      </w:r>
    </w:p>
    <w:p w:rsidR="006C1D8E" w:rsidRPr="00E73CEE" w:rsidRDefault="006C1D8E" w:rsidP="00E73CEE">
      <w:pPr>
        <w:spacing w:line="264" w:lineRule="auto"/>
        <w:rPr>
          <w:sz w:val="25"/>
          <w:szCs w:val="25"/>
        </w:rPr>
      </w:pPr>
      <w:r w:rsidRPr="00E73CEE">
        <w:rPr>
          <w:sz w:val="25"/>
          <w:szCs w:val="25"/>
        </w:rPr>
        <w:tab/>
      </w:r>
      <w:r w:rsidRPr="00E73CEE">
        <w:rPr>
          <w:sz w:val="25"/>
          <w:szCs w:val="25"/>
        </w:rPr>
        <w:tab/>
      </w:r>
      <w:r w:rsidRPr="00E73CEE">
        <w:rPr>
          <w:sz w:val="25"/>
          <w:szCs w:val="25"/>
        </w:rPr>
        <w:tab/>
      </w:r>
      <w:r w:rsidRPr="00E73CEE">
        <w:rPr>
          <w:sz w:val="25"/>
          <w:szCs w:val="25"/>
        </w:rPr>
        <w:tab/>
      </w:r>
      <w:r w:rsidRPr="00E73CEE">
        <w:rPr>
          <w:sz w:val="25"/>
          <w:szCs w:val="25"/>
        </w:rPr>
        <w:tab/>
      </w:r>
      <w:r w:rsidRPr="00E73CEE">
        <w:rPr>
          <w:sz w:val="25"/>
          <w:szCs w:val="25"/>
        </w:rPr>
        <w:tab/>
        <w:t>Administrative Law Judge</w:t>
      </w:r>
    </w:p>
    <w:p w:rsidR="006C1D8E" w:rsidRDefault="006C1D8E">
      <w:pPr>
        <w:spacing w:line="264" w:lineRule="auto"/>
        <w:rPr>
          <w:rFonts w:eastAsiaTheme="minorHAnsi" w:cstheme="minorBidi"/>
          <w:sz w:val="25"/>
          <w:szCs w:val="22"/>
        </w:rPr>
      </w:pPr>
      <w:r>
        <w:br w:type="page"/>
      </w:r>
    </w:p>
    <w:p w:rsidR="006C1D8E" w:rsidRPr="00AB4520" w:rsidRDefault="006C1D8E" w:rsidP="006C1D8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tbl>
      <w:tblPr>
        <w:tblW w:w="100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2725"/>
        <w:gridCol w:w="1620"/>
        <w:gridCol w:w="1530"/>
        <w:gridCol w:w="2430"/>
      </w:tblGrid>
      <w:tr w:rsidR="006C1D8E" w:rsidRPr="00AB4520" w:rsidTr="00C35667">
        <w:trPr>
          <w:cantSplit/>
        </w:trPr>
        <w:tc>
          <w:tcPr>
            <w:tcW w:w="100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1D8E" w:rsidRPr="00AB4520" w:rsidRDefault="006C1D8E" w:rsidP="006C1D8E">
            <w:pPr>
              <w:pStyle w:val="Heading3"/>
              <w:spacing w:line="264" w:lineRule="auto"/>
              <w:jc w:val="center"/>
              <w:rPr>
                <w:sz w:val="25"/>
                <w:szCs w:val="25"/>
              </w:rPr>
            </w:pPr>
            <w:r w:rsidRPr="006C1D8E">
              <w:rPr>
                <w:i/>
                <w:szCs w:val="25"/>
              </w:rPr>
              <w:t>REVISED</w:t>
            </w:r>
            <w:r>
              <w:rPr>
                <w:szCs w:val="25"/>
              </w:rPr>
              <w:t xml:space="preserve"> </w:t>
            </w:r>
            <w:r w:rsidRPr="00AB4520">
              <w:rPr>
                <w:sz w:val="25"/>
                <w:szCs w:val="25"/>
              </w:rPr>
              <w:t>APPENDIX A</w:t>
            </w:r>
          </w:p>
        </w:tc>
      </w:tr>
      <w:tr w:rsidR="006C1D8E" w:rsidRPr="00AB4520" w:rsidTr="00C35667">
        <w:trPr>
          <w:cantSplit/>
        </w:trPr>
        <w:tc>
          <w:tcPr>
            <w:tcW w:w="100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6C1D8E" w:rsidRPr="00AB4520" w:rsidRDefault="006C1D8E" w:rsidP="006C1D8E">
            <w:pPr>
              <w:pStyle w:val="Heading3"/>
              <w:spacing w:line="264" w:lineRule="auto"/>
              <w:jc w:val="center"/>
              <w:rPr>
                <w:sz w:val="25"/>
                <w:szCs w:val="25"/>
              </w:rPr>
            </w:pPr>
            <w:r w:rsidRPr="00AB4520">
              <w:rPr>
                <w:sz w:val="25"/>
                <w:szCs w:val="25"/>
              </w:rPr>
              <w:t>PARTIES’ REPRESENTATIVES</w:t>
            </w:r>
          </w:p>
          <w:p w:rsidR="006C1D8E" w:rsidRPr="00AB4520" w:rsidRDefault="006C1D8E" w:rsidP="00C35667">
            <w:pPr>
              <w:spacing w:line="264" w:lineRule="auto"/>
              <w:jc w:val="center"/>
              <w:rPr>
                <w:b/>
                <w:sz w:val="25"/>
                <w:szCs w:val="25"/>
              </w:rPr>
            </w:pPr>
            <w:r w:rsidRPr="00AB4520">
              <w:rPr>
                <w:b/>
                <w:sz w:val="25"/>
                <w:szCs w:val="25"/>
              </w:rPr>
              <w:t>DOCKET TG-1</w:t>
            </w:r>
            <w:r>
              <w:rPr>
                <w:b/>
                <w:sz w:val="25"/>
                <w:szCs w:val="25"/>
              </w:rPr>
              <w:t>20033</w:t>
            </w:r>
          </w:p>
        </w:tc>
      </w:tr>
      <w:tr w:rsidR="006C1D8E" w:rsidRPr="00AB4520" w:rsidTr="008731C4">
        <w:tc>
          <w:tcPr>
            <w:tcW w:w="1775" w:type="dxa"/>
            <w:tcBorders>
              <w:top w:val="thinThickSmallGap" w:sz="24" w:space="0" w:color="auto"/>
              <w:left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pStyle w:val="Heading4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B4520">
              <w:rPr>
                <w:rFonts w:ascii="Times New Roman" w:hAnsi="Times New Roman"/>
                <w:sz w:val="22"/>
                <w:szCs w:val="22"/>
              </w:rPr>
              <w:t>PARTY</w:t>
            </w:r>
          </w:p>
        </w:tc>
        <w:tc>
          <w:tcPr>
            <w:tcW w:w="2725" w:type="dxa"/>
            <w:tcBorders>
              <w:top w:val="thinThickThin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REPRESENTATIVE</w:t>
            </w:r>
          </w:p>
        </w:tc>
        <w:tc>
          <w:tcPr>
            <w:tcW w:w="1620" w:type="dxa"/>
            <w:tcBorders>
              <w:top w:val="thinThickThin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FACSIMILE</w:t>
            </w:r>
          </w:p>
        </w:tc>
        <w:tc>
          <w:tcPr>
            <w:tcW w:w="2430" w:type="dxa"/>
            <w:tcBorders>
              <w:top w:val="thinThickThinSmallGap" w:sz="24" w:space="0" w:color="auto"/>
              <w:right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E-MAIL</w:t>
            </w:r>
          </w:p>
        </w:tc>
      </w:tr>
      <w:tr w:rsidR="006C1D8E" w:rsidRPr="00AB4520" w:rsidTr="008731C4">
        <w:tc>
          <w:tcPr>
            <w:tcW w:w="1775" w:type="dxa"/>
            <w:vMerge w:val="restart"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Waste Management of Washington, Inc.</w:t>
            </w:r>
            <w:r>
              <w:rPr>
                <w:sz w:val="20"/>
                <w:szCs w:val="20"/>
              </w:rPr>
              <w:t xml:space="preserve"> d/b/a WM Healthcare Solutions of Washington</w:t>
            </w:r>
          </w:p>
        </w:tc>
        <w:tc>
          <w:tcPr>
            <w:tcW w:w="2725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A. Weinstein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720 4</w:t>
            </w:r>
            <w:r w:rsidRPr="009A2E2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Avenue, Suite 400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Kirkland</w:t>
            </w:r>
            <w:r w:rsidRPr="00251B43">
              <w:rPr>
                <w:sz w:val="20"/>
                <w:szCs w:val="20"/>
              </w:rPr>
              <w:t>, WA  9803</w:t>
            </w:r>
            <w:r>
              <w:rPr>
                <w:sz w:val="20"/>
                <w:szCs w:val="20"/>
              </w:rPr>
              <w:t>3</w:t>
            </w:r>
          </w:p>
          <w:p w:rsidR="006C1D8E" w:rsidRPr="00AB4520" w:rsidRDefault="006C1D8E" w:rsidP="00C35667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C1D8E" w:rsidRPr="00AB4520" w:rsidRDefault="006C1D8E" w:rsidP="00C35667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6C1D8E" w:rsidRPr="00AB4520" w:rsidRDefault="006C1D8E" w:rsidP="00C35667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thinThickSmallGap" w:sz="24" w:space="0" w:color="auto"/>
            </w:tcBorders>
          </w:tcPr>
          <w:p w:rsidR="006C1D8E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8" w:history="1">
              <w:r w:rsidR="006C1D8E" w:rsidRPr="00A643B8">
                <w:rPr>
                  <w:rStyle w:val="Hyperlink"/>
                  <w:sz w:val="20"/>
                  <w:szCs w:val="20"/>
                </w:rPr>
                <w:t>mweinstein@wm.com</w:t>
              </w:r>
            </w:hyperlink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c>
          <w:tcPr>
            <w:tcW w:w="1775" w:type="dxa"/>
            <w:vMerge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Jessica Goldman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Summit Law Group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315 Fifth Avenue S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Suite 1000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Seattle, WA 98101-2939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206-676-7062</w:t>
            </w:r>
            <w:r w:rsidRPr="00AB4520">
              <w:rPr>
                <w:sz w:val="20"/>
                <w:szCs w:val="20"/>
              </w:rPr>
              <w:t xml:space="preserve"> 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206-676-7063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9" w:history="1">
              <w:r w:rsidR="006C1D8E" w:rsidRPr="00AB4520">
                <w:rPr>
                  <w:rStyle w:val="Hyperlink"/>
                  <w:sz w:val="20"/>
                  <w:szCs w:val="20"/>
                </w:rPr>
                <w:t>jessicag@summitlaw.com</w:t>
              </w:r>
            </w:hyperlink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c>
          <w:tcPr>
            <w:tcW w:w="1775" w:type="dxa"/>
            <w:vMerge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4520">
              <w:rPr>
                <w:sz w:val="20"/>
                <w:szCs w:val="20"/>
              </w:rPr>
              <w:t>olly L. McNeill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-</w:t>
            </w:r>
            <w:r w:rsidRPr="00AB4520">
              <w:rPr>
                <w:sz w:val="20"/>
                <w:szCs w:val="20"/>
              </w:rPr>
              <w:t xml:space="preserve"> 676-7040</w:t>
            </w:r>
          </w:p>
        </w:tc>
        <w:tc>
          <w:tcPr>
            <w:tcW w:w="153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</w:t>
            </w:r>
            <w:r w:rsidRPr="00AB4520">
              <w:rPr>
                <w:sz w:val="20"/>
                <w:szCs w:val="20"/>
              </w:rPr>
              <w:t xml:space="preserve"> 676-7041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</w:tcPr>
          <w:p w:rsidR="006C1D8E" w:rsidRPr="00AB4520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10" w:history="1">
              <w:r w:rsidR="006C1D8E" w:rsidRPr="00AB4520">
                <w:rPr>
                  <w:rStyle w:val="Hyperlink"/>
                  <w:sz w:val="20"/>
                  <w:szCs w:val="20"/>
                </w:rPr>
                <w:t>pollym@summitlaw.com</w:t>
              </w:r>
            </w:hyperlink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rPr>
          <w:cantSplit/>
          <w:trHeight w:val="4572"/>
        </w:trPr>
        <w:tc>
          <w:tcPr>
            <w:tcW w:w="1775" w:type="dxa"/>
            <w:vMerge w:val="restart"/>
            <w:tcBorders>
              <w:left w:val="thinThick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Washington Refuse and Recycling Association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Rubatino Refuse Removal, Inc,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Consolidated Disposal Services, Inc.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Murrey’s Disposal, Inc.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Pullman Disposal Service, Inc.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4160 - 6</w:t>
            </w:r>
            <w:r w:rsidRPr="00251B43">
              <w:rPr>
                <w:sz w:val="20"/>
                <w:szCs w:val="20"/>
                <w:vertAlign w:val="superscript"/>
              </w:rPr>
              <w:t>th</w:t>
            </w:r>
            <w:r w:rsidRPr="00251B43">
              <w:rPr>
                <w:sz w:val="20"/>
                <w:szCs w:val="20"/>
              </w:rPr>
              <w:t xml:space="preserve"> Avenue SE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Suite 205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Lacey, WA  98503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2812 Hoyt Avenue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P.O. Box 1029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Everett, WA  98206-1029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2370 Basin S.W.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P.O. Box 1154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Ephrata, WA  98823-1154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P.O. Box 399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Puyallup, WA  98371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135 NW Harold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Pullman, WA  99163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rPr>
          <w:cantSplit/>
        </w:trPr>
        <w:tc>
          <w:tcPr>
            <w:tcW w:w="177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James K. Sells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Attorney at Law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PMB 22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3110 Judson Street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Gig Harbor, WA  98335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360-307-8865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360-981-0168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C1D8E" w:rsidRPr="00AB4520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11" w:history="1">
              <w:r w:rsidR="006C1D8E" w:rsidRPr="00AB4520">
                <w:rPr>
                  <w:rStyle w:val="Hyperlink"/>
                  <w:sz w:val="20"/>
                  <w:szCs w:val="20"/>
                </w:rPr>
                <w:t>jamessells@comcast.net</w:t>
              </w:r>
            </w:hyperlink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6C1D8E" w:rsidRDefault="006C1D8E"/>
    <w:tbl>
      <w:tblPr>
        <w:tblW w:w="100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2725"/>
        <w:gridCol w:w="1620"/>
        <w:gridCol w:w="1530"/>
        <w:gridCol w:w="2430"/>
      </w:tblGrid>
      <w:tr w:rsidR="006C1D8E" w:rsidRPr="00AB4520" w:rsidTr="008731C4">
        <w:tc>
          <w:tcPr>
            <w:tcW w:w="1775" w:type="dxa"/>
            <w:tcBorders>
              <w:top w:val="thinThickSmallGap" w:sz="24" w:space="0" w:color="auto"/>
              <w:left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pStyle w:val="Heading4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AB4520">
              <w:rPr>
                <w:rFonts w:ascii="Times New Roman" w:hAnsi="Times New Roman"/>
                <w:sz w:val="22"/>
                <w:szCs w:val="22"/>
              </w:rPr>
              <w:lastRenderedPageBreak/>
              <w:t>PARTY</w:t>
            </w:r>
          </w:p>
        </w:tc>
        <w:tc>
          <w:tcPr>
            <w:tcW w:w="2725" w:type="dxa"/>
            <w:tcBorders>
              <w:top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REPRESENTATIVE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FACSIMILE</w:t>
            </w:r>
          </w:p>
        </w:tc>
        <w:tc>
          <w:tcPr>
            <w:tcW w:w="2430" w:type="dxa"/>
            <w:tcBorders>
              <w:top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:rsidR="006C1D8E" w:rsidRPr="00AB4520" w:rsidRDefault="006C1D8E" w:rsidP="00C35667">
            <w:pPr>
              <w:spacing w:line="264" w:lineRule="auto"/>
              <w:rPr>
                <w:b/>
                <w:sz w:val="22"/>
                <w:szCs w:val="22"/>
              </w:rPr>
            </w:pPr>
            <w:r w:rsidRPr="00AB4520">
              <w:rPr>
                <w:b/>
                <w:sz w:val="22"/>
                <w:szCs w:val="22"/>
              </w:rPr>
              <w:t>E-MAIL</w:t>
            </w:r>
          </w:p>
        </w:tc>
      </w:tr>
      <w:tr w:rsidR="006C1D8E" w:rsidRPr="00AB4520" w:rsidTr="008731C4">
        <w:trPr>
          <w:cantSplit/>
          <w:trHeight w:val="528"/>
        </w:trPr>
        <w:tc>
          <w:tcPr>
            <w:tcW w:w="1775" w:type="dxa"/>
            <w:vMerge w:val="restart"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Stericycle of Washington, Inc.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20320 80</w:t>
            </w:r>
            <w:r w:rsidRPr="00251B43">
              <w:rPr>
                <w:sz w:val="20"/>
                <w:szCs w:val="20"/>
                <w:vertAlign w:val="superscript"/>
              </w:rPr>
              <w:t>th</w:t>
            </w:r>
            <w:r w:rsidRPr="00251B43">
              <w:rPr>
                <w:sz w:val="20"/>
                <w:szCs w:val="20"/>
              </w:rPr>
              <w:t xml:space="preserve"> Avenue S.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251B43">
              <w:rPr>
                <w:sz w:val="20"/>
                <w:szCs w:val="20"/>
              </w:rPr>
              <w:t>Kent, WA  98032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Tr="008731C4">
        <w:trPr>
          <w:cantSplit/>
          <w:trHeight w:val="1385"/>
        </w:trPr>
        <w:tc>
          <w:tcPr>
            <w:tcW w:w="1775" w:type="dxa"/>
            <w:vMerge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Stephen B. Johnson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Garvey Schubert Barer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1191 Second Avenue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Suite 1800</w:t>
            </w:r>
          </w:p>
          <w:p w:rsidR="006C1D8E" w:rsidRPr="00251B43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Seattle, WA 98101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206-816-1309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-</w:t>
            </w:r>
            <w:r w:rsidRPr="00AB4520">
              <w:rPr>
                <w:sz w:val="20"/>
                <w:szCs w:val="20"/>
              </w:rPr>
              <w:t>464-0125</w:t>
            </w:r>
          </w:p>
        </w:tc>
        <w:tc>
          <w:tcPr>
            <w:tcW w:w="243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6C1D8E" w:rsidRPr="00AB4520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12" w:history="1">
              <w:r w:rsidR="006C1D8E" w:rsidRPr="008465E1">
                <w:rPr>
                  <w:rStyle w:val="Hyperlink"/>
                  <w:sz w:val="20"/>
                  <w:szCs w:val="20"/>
                </w:rPr>
                <w:t>sjohnson@gsblaw.com</w:t>
              </w:r>
            </w:hyperlink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c>
          <w:tcPr>
            <w:tcW w:w="1775" w:type="dxa"/>
            <w:vMerge/>
            <w:tcBorders>
              <w:left w:val="thinThick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 w:rsidRPr="00AB4520">
              <w:rPr>
                <w:sz w:val="20"/>
                <w:szCs w:val="20"/>
              </w:rPr>
              <w:t>Jared Van Kirk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206-816-1372</w:t>
            </w:r>
          </w:p>
        </w:tc>
        <w:tc>
          <w:tcPr>
            <w:tcW w:w="1530" w:type="dxa"/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thinThickSmallGap" w:sz="24" w:space="0" w:color="auto"/>
            </w:tcBorders>
          </w:tcPr>
          <w:p w:rsidR="006C1D8E" w:rsidRPr="00AB4520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13" w:history="1">
              <w:r w:rsidR="006C1D8E" w:rsidRPr="00AB4520">
                <w:rPr>
                  <w:rStyle w:val="Hyperlink"/>
                  <w:sz w:val="20"/>
                  <w:szCs w:val="20"/>
                </w:rPr>
                <w:t>jvankirk@gsblaw.com</w:t>
              </w:r>
            </w:hyperlink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6C1D8E" w:rsidRPr="00AB4520" w:rsidTr="008731C4">
        <w:tc>
          <w:tcPr>
            <w:tcW w:w="177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 Staff</w:t>
            </w:r>
          </w:p>
        </w:tc>
        <w:tc>
          <w:tcPr>
            <w:tcW w:w="2725" w:type="dxa"/>
            <w:tcBorders>
              <w:bottom w:val="thickThinSmallGap" w:sz="24" w:space="0" w:color="auto"/>
            </w:tcBorders>
          </w:tcPr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Fronda Woods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Attorney General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S. Evergreen Park Dr</w:t>
            </w:r>
            <w:r w:rsidR="008731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SW</w:t>
            </w:r>
          </w:p>
          <w:p w:rsidR="006C1D8E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40128</w:t>
            </w:r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Olympia, WA  98504-0128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6C1D8E" w:rsidRDefault="006C1D8E" w:rsidP="006C1D8E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360 664-1225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</w:tcPr>
          <w:p w:rsidR="006C1D8E" w:rsidRDefault="008731C4" w:rsidP="00C35667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360-586-5522</w:t>
            </w:r>
          </w:p>
        </w:tc>
        <w:tc>
          <w:tcPr>
            <w:tcW w:w="243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C1D8E" w:rsidRDefault="00C35667" w:rsidP="00C35667">
            <w:pPr>
              <w:spacing w:line="264" w:lineRule="auto"/>
              <w:rPr>
                <w:sz w:val="20"/>
                <w:szCs w:val="20"/>
              </w:rPr>
            </w:pPr>
            <w:hyperlink r:id="rId14" w:history="1">
              <w:r w:rsidR="006C1D8E" w:rsidRPr="00A50D68">
                <w:rPr>
                  <w:rStyle w:val="Hyperlink"/>
                  <w:sz w:val="20"/>
                  <w:szCs w:val="20"/>
                </w:rPr>
                <w:t>fwoods@utc.wa.gov</w:t>
              </w:r>
            </w:hyperlink>
          </w:p>
          <w:p w:rsidR="006C1D8E" w:rsidRPr="00AB4520" w:rsidRDefault="006C1D8E" w:rsidP="00C35667">
            <w:pPr>
              <w:spacing w:line="264" w:lineRule="auto"/>
              <w:rPr>
                <w:sz w:val="20"/>
                <w:szCs w:val="20"/>
              </w:rPr>
            </w:pPr>
          </w:p>
        </w:tc>
      </w:tr>
    </w:tbl>
    <w:p w:rsidR="006C1D8E" w:rsidRDefault="006C1D8E" w:rsidP="006C1D8E">
      <w:pPr>
        <w:pStyle w:val="NoSpacing"/>
      </w:pPr>
    </w:p>
    <w:sectPr w:rsidR="006C1D8E" w:rsidSect="00C35667">
      <w:headerReference w:type="default" r:id="rId15"/>
      <w:headerReference w:type="first" r:id="rId16"/>
      <w:pgSz w:w="12240" w:h="15840" w:code="1"/>
      <w:pgMar w:top="1440" w:right="1440" w:bottom="1440" w:left="2160" w:header="144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32" w:rsidRDefault="00023532" w:rsidP="008731C4">
      <w:r>
        <w:separator/>
      </w:r>
    </w:p>
  </w:endnote>
  <w:endnote w:type="continuationSeparator" w:id="0">
    <w:p w:rsidR="00023532" w:rsidRDefault="00023532" w:rsidP="008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32" w:rsidRDefault="00023532" w:rsidP="008731C4">
      <w:r>
        <w:separator/>
      </w:r>
    </w:p>
  </w:footnote>
  <w:footnote w:type="continuationSeparator" w:id="0">
    <w:p w:rsidR="00023532" w:rsidRDefault="00023532" w:rsidP="0087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32" w:rsidRPr="008731C4" w:rsidRDefault="00023532" w:rsidP="008731C4">
    <w:pPr>
      <w:pStyle w:val="Header"/>
      <w:tabs>
        <w:tab w:val="clear" w:pos="4320"/>
      </w:tabs>
      <w:rPr>
        <w:b/>
        <w:noProof/>
        <w:sz w:val="20"/>
        <w:szCs w:val="20"/>
      </w:rPr>
    </w:pPr>
    <w:r w:rsidRPr="008731C4">
      <w:rPr>
        <w:b/>
        <w:sz w:val="20"/>
        <w:szCs w:val="20"/>
      </w:rPr>
      <w:t>DOCKET TG-120033</w:t>
    </w:r>
    <w:r w:rsidRPr="008731C4">
      <w:rPr>
        <w:b/>
        <w:sz w:val="20"/>
        <w:szCs w:val="20"/>
      </w:rPr>
      <w:tab/>
      <w:t xml:space="preserve">PAGE </w:t>
    </w:r>
    <w:r w:rsidRPr="008731C4">
      <w:rPr>
        <w:b/>
        <w:sz w:val="20"/>
        <w:szCs w:val="20"/>
      </w:rPr>
      <w:fldChar w:fldCharType="begin"/>
    </w:r>
    <w:r w:rsidRPr="008731C4">
      <w:rPr>
        <w:b/>
        <w:sz w:val="20"/>
        <w:szCs w:val="20"/>
      </w:rPr>
      <w:instrText xml:space="preserve"> PAGE   \* MERGEFORMAT </w:instrText>
    </w:r>
    <w:r w:rsidRPr="008731C4">
      <w:rPr>
        <w:b/>
        <w:sz w:val="20"/>
        <w:szCs w:val="20"/>
      </w:rPr>
      <w:fldChar w:fldCharType="separate"/>
    </w:r>
    <w:r w:rsidR="001635E9">
      <w:rPr>
        <w:b/>
        <w:noProof/>
        <w:sz w:val="20"/>
        <w:szCs w:val="20"/>
      </w:rPr>
      <w:t>2</w:t>
    </w:r>
    <w:r w:rsidRPr="008731C4">
      <w:rPr>
        <w:b/>
        <w:noProof/>
        <w:sz w:val="20"/>
        <w:szCs w:val="20"/>
      </w:rPr>
      <w:fldChar w:fldCharType="end"/>
    </w:r>
  </w:p>
  <w:p w:rsidR="00023532" w:rsidRPr="008731C4" w:rsidRDefault="00023532" w:rsidP="008731C4">
    <w:pPr>
      <w:pStyle w:val="Header"/>
      <w:tabs>
        <w:tab w:val="clear" w:pos="4320"/>
      </w:tabs>
      <w:rPr>
        <w:b/>
        <w:sz w:val="20"/>
        <w:szCs w:val="20"/>
      </w:rPr>
    </w:pPr>
    <w:r w:rsidRPr="008731C4">
      <w:rPr>
        <w:b/>
        <w:noProof/>
        <w:sz w:val="20"/>
        <w:szCs w:val="20"/>
      </w:rPr>
      <w:t>ORDER 02</w:t>
    </w:r>
  </w:p>
  <w:p w:rsidR="00023532" w:rsidRDefault="00023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32" w:rsidRPr="001366A7" w:rsidRDefault="00023532" w:rsidP="00023532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1366A7">
      <w:rPr>
        <w:b/>
        <w:sz w:val="20"/>
        <w:szCs w:val="20"/>
      </w:rPr>
      <w:t xml:space="preserve">[Service Date April </w:t>
    </w:r>
    <w:r w:rsidR="001366A7" w:rsidRPr="001366A7">
      <w:rPr>
        <w:b/>
        <w:sz w:val="20"/>
        <w:szCs w:val="20"/>
      </w:rPr>
      <w:t>19,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8E"/>
    <w:rsid w:val="00000817"/>
    <w:rsid w:val="00000D94"/>
    <w:rsid w:val="00023532"/>
    <w:rsid w:val="00024FCC"/>
    <w:rsid w:val="00025066"/>
    <w:rsid w:val="00036A42"/>
    <w:rsid w:val="00054580"/>
    <w:rsid w:val="000A4CFE"/>
    <w:rsid w:val="000C159F"/>
    <w:rsid w:val="000C27A1"/>
    <w:rsid w:val="000D794B"/>
    <w:rsid w:val="000E69A6"/>
    <w:rsid w:val="000E6EFE"/>
    <w:rsid w:val="000F2FD4"/>
    <w:rsid w:val="000F4FEE"/>
    <w:rsid w:val="000F629A"/>
    <w:rsid w:val="000F6DD6"/>
    <w:rsid w:val="001076BE"/>
    <w:rsid w:val="001140DB"/>
    <w:rsid w:val="00124765"/>
    <w:rsid w:val="00125DE3"/>
    <w:rsid w:val="0012797D"/>
    <w:rsid w:val="00134F21"/>
    <w:rsid w:val="001366A7"/>
    <w:rsid w:val="0014077E"/>
    <w:rsid w:val="00141D59"/>
    <w:rsid w:val="001605B2"/>
    <w:rsid w:val="001635E9"/>
    <w:rsid w:val="001703EB"/>
    <w:rsid w:val="001723BF"/>
    <w:rsid w:val="00196394"/>
    <w:rsid w:val="001A7351"/>
    <w:rsid w:val="001B27DC"/>
    <w:rsid w:val="001B2E88"/>
    <w:rsid w:val="001B3E0A"/>
    <w:rsid w:val="001C463F"/>
    <w:rsid w:val="001C5C2C"/>
    <w:rsid w:val="001E109A"/>
    <w:rsid w:val="001F1ECC"/>
    <w:rsid w:val="001F33E6"/>
    <w:rsid w:val="001F5CE8"/>
    <w:rsid w:val="00221AE2"/>
    <w:rsid w:val="00223577"/>
    <w:rsid w:val="00223AAA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D0B5F"/>
    <w:rsid w:val="005D262D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71E79"/>
    <w:rsid w:val="006725EB"/>
    <w:rsid w:val="00672ABD"/>
    <w:rsid w:val="00682AAC"/>
    <w:rsid w:val="00685505"/>
    <w:rsid w:val="006967D3"/>
    <w:rsid w:val="006A46D9"/>
    <w:rsid w:val="006B51AE"/>
    <w:rsid w:val="006C1D8E"/>
    <w:rsid w:val="006C391D"/>
    <w:rsid w:val="006D55D8"/>
    <w:rsid w:val="006E57AA"/>
    <w:rsid w:val="0070503D"/>
    <w:rsid w:val="00725942"/>
    <w:rsid w:val="00744C85"/>
    <w:rsid w:val="00751967"/>
    <w:rsid w:val="00760467"/>
    <w:rsid w:val="00771B71"/>
    <w:rsid w:val="007777F4"/>
    <w:rsid w:val="0078059A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0656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731C4"/>
    <w:rsid w:val="00873734"/>
    <w:rsid w:val="00885F8D"/>
    <w:rsid w:val="008927D2"/>
    <w:rsid w:val="00892CB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0F63"/>
    <w:rsid w:val="00AA1D38"/>
    <w:rsid w:val="00AB33FE"/>
    <w:rsid w:val="00AD1F22"/>
    <w:rsid w:val="00AE465D"/>
    <w:rsid w:val="00AF0857"/>
    <w:rsid w:val="00B01186"/>
    <w:rsid w:val="00B3481A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D2231"/>
    <w:rsid w:val="00BD4460"/>
    <w:rsid w:val="00BE0AD2"/>
    <w:rsid w:val="00BE754D"/>
    <w:rsid w:val="00BF4AD3"/>
    <w:rsid w:val="00BF5A05"/>
    <w:rsid w:val="00C02040"/>
    <w:rsid w:val="00C03103"/>
    <w:rsid w:val="00C03C4D"/>
    <w:rsid w:val="00C1419E"/>
    <w:rsid w:val="00C227FD"/>
    <w:rsid w:val="00C32100"/>
    <w:rsid w:val="00C35667"/>
    <w:rsid w:val="00C37086"/>
    <w:rsid w:val="00C55CF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21AF0"/>
    <w:rsid w:val="00E43AD9"/>
    <w:rsid w:val="00E51DAB"/>
    <w:rsid w:val="00E5776C"/>
    <w:rsid w:val="00E666E8"/>
    <w:rsid w:val="00E73CEE"/>
    <w:rsid w:val="00E94DEF"/>
    <w:rsid w:val="00E95080"/>
    <w:rsid w:val="00EA64C0"/>
    <w:rsid w:val="00EC7B52"/>
    <w:rsid w:val="00ED08AA"/>
    <w:rsid w:val="00ED5E2A"/>
    <w:rsid w:val="00EE4F4B"/>
    <w:rsid w:val="00EF3F4D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D5807"/>
    <w:rsid w:val="00FD6F27"/>
    <w:rsid w:val="00FD7405"/>
    <w:rsid w:val="00FE1AD2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8E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6C1D8E"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C1D8E"/>
    <w:pPr>
      <w:spacing w:line="240" w:lineRule="auto"/>
    </w:pPr>
  </w:style>
  <w:style w:type="paragraph" w:styleId="BodyText">
    <w:name w:val="Body Text"/>
    <w:basedOn w:val="Normal"/>
    <w:link w:val="BodyTextChar"/>
    <w:rsid w:val="006C1D8E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6C1D8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C1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8E"/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C1D8E"/>
    <w:rPr>
      <w:rFonts w:ascii="Palatino Linotype" w:eastAsia="Times New Roman" w:hAnsi="Palatino Linotype" w:cs="Times New Roman"/>
      <w:b/>
      <w:bCs/>
      <w:sz w:val="28"/>
      <w:szCs w:val="24"/>
    </w:rPr>
  </w:style>
  <w:style w:type="character" w:styleId="Hyperlink">
    <w:name w:val="Hyperlink"/>
    <w:rsid w:val="006C1D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C4"/>
    <w:pPr>
      <w:ind w:left="720"/>
    </w:pPr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87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C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8E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6C1D8E"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C1D8E"/>
    <w:pPr>
      <w:spacing w:line="240" w:lineRule="auto"/>
    </w:pPr>
  </w:style>
  <w:style w:type="paragraph" w:styleId="BodyText">
    <w:name w:val="Body Text"/>
    <w:basedOn w:val="Normal"/>
    <w:link w:val="BodyTextChar"/>
    <w:rsid w:val="006C1D8E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6C1D8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C1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8E"/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C1D8E"/>
    <w:rPr>
      <w:rFonts w:ascii="Palatino Linotype" w:eastAsia="Times New Roman" w:hAnsi="Palatino Linotype" w:cs="Times New Roman"/>
      <w:b/>
      <w:bCs/>
      <w:sz w:val="28"/>
      <w:szCs w:val="24"/>
    </w:rPr>
  </w:style>
  <w:style w:type="character" w:styleId="Hyperlink">
    <w:name w:val="Hyperlink"/>
    <w:rsid w:val="006C1D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C4"/>
    <w:pPr>
      <w:ind w:left="720"/>
    </w:pPr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87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C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nstein@wm.com" TargetMode="External"/><Relationship Id="rId13" Type="http://schemas.openxmlformats.org/officeDocument/2006/relationships/hyperlink" Target="mailto:jvankirk@gsblaw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sjohnson@gsbla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messells@comcast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ollym@summitlaw.co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jessicag@summitlaw.com" TargetMode="External"/><Relationship Id="rId14" Type="http://schemas.openxmlformats.org/officeDocument/2006/relationships/hyperlink" Target="mailto:fwoods@utc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2012-04-19T07:00:00+00:00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CC171F8-9C36-470D-9936-783ECFD86D7E}"/>
</file>

<file path=customXml/itemProps2.xml><?xml version="1.0" encoding="utf-8"?>
<ds:datastoreItem xmlns:ds="http://schemas.openxmlformats.org/officeDocument/2006/customXml" ds:itemID="{86AEF4B9-D8BB-42B0-B5AB-5F929BA05CE7}"/>
</file>

<file path=customXml/itemProps3.xml><?xml version="1.0" encoding="utf-8"?>
<ds:datastoreItem xmlns:ds="http://schemas.openxmlformats.org/officeDocument/2006/customXml" ds:itemID="{CA506517-D36E-4071-ADB0-4A6E16242703}"/>
</file>

<file path=customXml/itemProps4.xml><?xml version="1.0" encoding="utf-8"?>
<ds:datastoreItem xmlns:ds="http://schemas.openxmlformats.org/officeDocument/2006/customXml" ds:itemID="{9A6335FF-880C-4930-ADF9-FEBA02E29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2012-04-19T16:14:00Z</dcterms:created>
  <dcterms:modified xsi:type="dcterms:W3CDTF">2012-04-19T16:14:00Z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