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5130"/>
      </w:tblGrid>
      <w:tr w:rsidR="00AA1B47">
        <w:tc>
          <w:tcPr>
            <w:tcW w:w="9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1D8" w:rsidRDefault="00AA1B47" w:rsidP="00B521D8">
            <w:pPr>
              <w:pStyle w:val="Heading1"/>
            </w:pPr>
            <w:r w:rsidRPr="00AA1B47">
              <w:t xml:space="preserve">BEFORE THE </w:t>
            </w:r>
          </w:p>
          <w:p w:rsidR="00AA1B47" w:rsidRPr="00AA1B47" w:rsidRDefault="00AA1B47" w:rsidP="00B521D8">
            <w:pPr>
              <w:pStyle w:val="Heading1"/>
            </w:pPr>
            <w:r w:rsidRPr="00AA1B47">
              <w:t>WASHINGTON UTILITIES AND TRANSPORTATION COMMISSION</w:t>
            </w:r>
          </w:p>
          <w:p w:rsidR="00AA1B47" w:rsidRDefault="00AA1B47" w:rsidP="0014786B">
            <w:pPr>
              <w:jc w:val="center"/>
              <w:rPr>
                <w:b/>
                <w:color w:val="000000"/>
              </w:rPr>
            </w:pPr>
          </w:p>
        </w:tc>
      </w:tr>
      <w:tr w:rsidR="009F3148">
        <w:tc>
          <w:tcPr>
            <w:tcW w:w="4428" w:type="dxa"/>
            <w:tcBorders>
              <w:top w:val="nil"/>
              <w:left w:val="nil"/>
            </w:tcBorders>
          </w:tcPr>
          <w:p w:rsidR="005E0462" w:rsidRDefault="005E0462">
            <w:pPr>
              <w:pStyle w:val="plain"/>
            </w:pPr>
          </w:p>
          <w:p w:rsidR="009F3148" w:rsidRDefault="009F3148">
            <w:pPr>
              <w:pStyle w:val="plain"/>
            </w:pPr>
            <w:r>
              <w:t>In the Matter of the Petition of</w:t>
            </w:r>
          </w:p>
          <w:p w:rsidR="009F3148" w:rsidRDefault="009F3148" w:rsidP="0014786B">
            <w:pPr>
              <w:pStyle w:val="plain"/>
              <w:jc w:val="center"/>
            </w:pPr>
          </w:p>
          <w:p w:rsidR="009F3148" w:rsidRDefault="009F3148">
            <w:pPr>
              <w:pStyle w:val="plain"/>
            </w:pPr>
            <w:r>
              <w:t>PUGET SOUND ENERGY</w:t>
            </w:r>
          </w:p>
          <w:p w:rsidR="009F3148" w:rsidRDefault="009F3148">
            <w:pPr>
              <w:pStyle w:val="plain"/>
            </w:pPr>
          </w:p>
          <w:p w:rsidR="009F3148" w:rsidRDefault="009F3148" w:rsidP="00D44E6E">
            <w:pPr>
              <w:pStyle w:val="plain"/>
              <w:rPr>
                <w:color w:val="000000"/>
              </w:rPr>
            </w:pPr>
            <w:r>
              <w:t xml:space="preserve">For Approval of </w:t>
            </w:r>
            <w:r w:rsidR="00EB1599">
              <w:t xml:space="preserve">its </w:t>
            </w:r>
            <w:r w:rsidR="00234796">
              <w:t>April 2017</w:t>
            </w:r>
            <w:r w:rsidR="00D44E6E">
              <w:t xml:space="preserve"> </w:t>
            </w:r>
            <w:r>
              <w:t>Power Cost Adjustment Mechanism Report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</w:tcPr>
          <w:p w:rsidR="005E0462" w:rsidRDefault="005E0462" w:rsidP="005E0462">
            <w:pPr>
              <w:pStyle w:val="plain"/>
              <w:ind w:left="342"/>
            </w:pPr>
          </w:p>
          <w:p w:rsidR="009F3148" w:rsidRDefault="009F3148" w:rsidP="005E0462">
            <w:pPr>
              <w:pStyle w:val="plain"/>
              <w:ind w:left="342"/>
            </w:pPr>
            <w:r>
              <w:t xml:space="preserve">DOCKET </w:t>
            </w:r>
            <w:r w:rsidR="00545564">
              <w:t>UE</w:t>
            </w:r>
            <w:r w:rsidR="00545564">
              <w:noBreakHyphen/>
            </w:r>
            <w:r w:rsidR="00886E17">
              <w:t>1</w:t>
            </w:r>
            <w:r w:rsidR="00234796">
              <w:t>7</w:t>
            </w:r>
            <w:r w:rsidR="001F1203">
              <w:t>____</w:t>
            </w:r>
          </w:p>
          <w:p w:rsidR="005E0462" w:rsidRDefault="005E0462" w:rsidP="005E0462">
            <w:pPr>
              <w:pStyle w:val="plain"/>
              <w:ind w:left="342"/>
              <w:rPr>
                <w:color w:val="000000"/>
              </w:rPr>
            </w:pPr>
          </w:p>
          <w:p w:rsidR="009F3148" w:rsidRDefault="009F3148" w:rsidP="005E0462">
            <w:pPr>
              <w:pStyle w:val="plain"/>
              <w:ind w:left="342"/>
              <w:rPr>
                <w:color w:val="000000"/>
              </w:rPr>
            </w:pPr>
            <w:r>
              <w:t>PETITION</w:t>
            </w:r>
            <w:r w:rsidR="005E0462">
              <w:t xml:space="preserve"> OF PUGET SOUND ENERGY</w:t>
            </w:r>
            <w:r w:rsidR="00F475CF">
              <w:t xml:space="preserve"> </w:t>
            </w:r>
            <w:r w:rsidR="005E0462">
              <w:t>FOR APPROVAL OF ITS</w:t>
            </w:r>
            <w:r w:rsidR="005E0462">
              <w:br/>
            </w:r>
            <w:r w:rsidR="00F83AAD">
              <w:t>APRIL</w:t>
            </w:r>
            <w:r w:rsidR="00DB0F82">
              <w:t xml:space="preserve"> </w:t>
            </w:r>
            <w:r w:rsidR="00B750D7">
              <w:t>201</w:t>
            </w:r>
            <w:r w:rsidR="00234796">
              <w:t>7</w:t>
            </w:r>
            <w:r w:rsidR="00B750D7">
              <w:t xml:space="preserve"> </w:t>
            </w:r>
            <w:r w:rsidR="005E0462">
              <w:t>POWER COST ADJUSTMENT MECHANISM REPORT</w:t>
            </w:r>
          </w:p>
          <w:p w:rsidR="00AB7148" w:rsidRDefault="00AB7148" w:rsidP="00AB7148">
            <w:pPr>
              <w:ind w:firstLine="0"/>
              <w:rPr>
                <w:b/>
                <w:color w:val="000000"/>
              </w:rPr>
            </w:pPr>
          </w:p>
        </w:tc>
      </w:tr>
    </w:tbl>
    <w:p w:rsidR="00873E54" w:rsidRDefault="009F3148" w:rsidP="001F1203">
      <w:pPr>
        <w:spacing w:before="480" w:line="480" w:lineRule="auto"/>
      </w:pPr>
      <w:r w:rsidRPr="008B6236">
        <w:rPr>
          <w:color w:val="000000"/>
        </w:rPr>
        <w:fldChar w:fldCharType="begin"/>
      </w:r>
      <w:r w:rsidRPr="008B6236">
        <w:rPr>
          <w:color w:val="000000"/>
        </w:rPr>
        <w:instrText xml:space="preserve"> AUTONUM </w:instrText>
      </w:r>
      <w:r w:rsidRPr="008B6236">
        <w:rPr>
          <w:color w:val="000000"/>
        </w:rPr>
        <w:fldChar w:fldCharType="end"/>
      </w:r>
      <w:r>
        <w:tab/>
        <w:t>This Petition is brought by Puget Sound Energy</w:t>
      </w:r>
      <w:r w:rsidR="00F475CF">
        <w:t xml:space="preserve"> </w:t>
      </w:r>
      <w:r>
        <w:t>("PSE" or the "Company")</w:t>
      </w:r>
      <w:r w:rsidR="00F53ABC">
        <w:t>.</w:t>
      </w:r>
      <w:r w:rsidR="00873E54">
        <w:t xml:space="preserve">  PSE's representative for purposes of this proceeding is:</w:t>
      </w:r>
    </w:p>
    <w:p w:rsidR="0047477C" w:rsidRPr="00BC026A" w:rsidRDefault="0094426E" w:rsidP="00BC026A">
      <w:pPr>
        <w:spacing w:line="240" w:lineRule="auto"/>
        <w:ind w:left="1440" w:firstLine="0"/>
      </w:pPr>
      <w:r>
        <w:t xml:space="preserve">Kenneth </w:t>
      </w:r>
      <w:r w:rsidR="00F974A4">
        <w:t xml:space="preserve">S. </w:t>
      </w:r>
      <w:r>
        <w:t>Johnson</w:t>
      </w:r>
    </w:p>
    <w:p w:rsidR="00BC026A" w:rsidRDefault="0047477C" w:rsidP="00BC026A">
      <w:pPr>
        <w:spacing w:line="240" w:lineRule="auto"/>
        <w:ind w:left="1440" w:firstLine="0"/>
      </w:pPr>
      <w:r w:rsidRPr="00BC026A">
        <w:t xml:space="preserve">Director, </w:t>
      </w:r>
      <w:r w:rsidR="00E40BD3">
        <w:t>State</w:t>
      </w:r>
      <w:r w:rsidRPr="00BC026A">
        <w:t xml:space="preserve"> Regulatory Affairs</w:t>
      </w:r>
    </w:p>
    <w:p w:rsidR="0047477C" w:rsidRPr="00BC026A" w:rsidRDefault="00BC026A" w:rsidP="00BC026A">
      <w:pPr>
        <w:spacing w:line="240" w:lineRule="auto"/>
        <w:ind w:left="1440" w:firstLine="0"/>
      </w:pPr>
      <w:r>
        <w:t>Puget Sound Energy</w:t>
      </w:r>
      <w:r w:rsidR="0047477C" w:rsidRPr="00BC026A">
        <w:br/>
        <w:t>P.O. Box 97034 PSE-08N</w:t>
      </w:r>
    </w:p>
    <w:p w:rsidR="0047477C" w:rsidRPr="00BC026A" w:rsidRDefault="0047477C" w:rsidP="00BC026A">
      <w:pPr>
        <w:spacing w:line="240" w:lineRule="auto"/>
        <w:ind w:left="1440" w:firstLine="0"/>
      </w:pPr>
      <w:r w:rsidRPr="00BC026A">
        <w:t>Bellevue, WA 98009-9734</w:t>
      </w:r>
    </w:p>
    <w:p w:rsidR="0047477C" w:rsidRPr="00BC026A" w:rsidRDefault="00BC026A" w:rsidP="00BC026A">
      <w:pPr>
        <w:spacing w:line="240" w:lineRule="auto"/>
        <w:ind w:left="1440" w:firstLine="0"/>
      </w:pPr>
      <w:r>
        <w:t>Telephone:</w:t>
      </w:r>
      <w:r w:rsidR="00650C94">
        <w:t xml:space="preserve">  </w:t>
      </w:r>
      <w:r>
        <w:t>425-</w:t>
      </w:r>
      <w:r w:rsidR="0047477C" w:rsidRPr="00BC026A">
        <w:t>4</w:t>
      </w:r>
      <w:r w:rsidR="0094426E">
        <w:t>56</w:t>
      </w:r>
      <w:r w:rsidR="0047477C" w:rsidRPr="00BC026A">
        <w:t>-</w:t>
      </w:r>
      <w:r w:rsidR="0094426E">
        <w:t>2110</w:t>
      </w:r>
    </w:p>
    <w:p w:rsidR="00BC026A" w:rsidRDefault="00BC026A" w:rsidP="00BC026A">
      <w:pPr>
        <w:spacing w:line="240" w:lineRule="auto"/>
        <w:ind w:left="1440" w:firstLine="0"/>
      </w:pPr>
      <w:r>
        <w:t>Facsimile:</w:t>
      </w:r>
      <w:r w:rsidR="00650C94">
        <w:t xml:space="preserve">  </w:t>
      </w:r>
      <w:r>
        <w:t>425-</w:t>
      </w:r>
      <w:r w:rsidR="0047477C" w:rsidRPr="00BC026A">
        <w:t>462-3414</w:t>
      </w:r>
      <w:r w:rsidR="00873E54" w:rsidRPr="00BC026A">
        <w:t xml:space="preserve"> </w:t>
      </w:r>
    </w:p>
    <w:p w:rsidR="00873E54" w:rsidRPr="008B6236" w:rsidRDefault="0094426E" w:rsidP="00BC026A">
      <w:pPr>
        <w:spacing w:line="240" w:lineRule="auto"/>
        <w:ind w:left="1440" w:firstLine="0"/>
        <w:rPr>
          <w:color w:val="000000"/>
          <w:u w:val="single"/>
        </w:rPr>
      </w:pPr>
      <w:r>
        <w:rPr>
          <w:color w:val="000000"/>
          <w:u w:val="single"/>
        </w:rPr>
        <w:t>Ken.s.johnson@pse.com</w:t>
      </w:r>
    </w:p>
    <w:p w:rsidR="00BC026A" w:rsidRDefault="00BC026A" w:rsidP="00BC026A">
      <w:pPr>
        <w:spacing w:line="240" w:lineRule="auto"/>
        <w:ind w:left="1440" w:firstLine="0"/>
      </w:pPr>
    </w:p>
    <w:p w:rsidR="00873E54" w:rsidRDefault="00873E54" w:rsidP="000454FE">
      <w:pPr>
        <w:keepNext/>
        <w:spacing w:line="480" w:lineRule="auto"/>
        <w:ind w:firstLine="0"/>
      </w:pPr>
      <w:r>
        <w:t>and its legal counsel for purposes of this proceeding is:</w:t>
      </w:r>
    </w:p>
    <w:p w:rsidR="00D44E6E" w:rsidRDefault="00D44E6E" w:rsidP="008F2208">
      <w:pPr>
        <w:spacing w:line="240" w:lineRule="auto"/>
        <w:ind w:left="1440" w:firstLine="0"/>
      </w:pPr>
      <w:r>
        <w:t>Donna L. Barnett</w:t>
      </w:r>
    </w:p>
    <w:p w:rsidR="00E40BD3" w:rsidRDefault="002D7DA1" w:rsidP="008F2208">
      <w:pPr>
        <w:spacing w:line="240" w:lineRule="auto"/>
        <w:ind w:left="1440" w:firstLine="0"/>
      </w:pPr>
      <w:r>
        <w:t>Sheree Strom Carson</w:t>
      </w:r>
    </w:p>
    <w:p w:rsidR="00D44E6E" w:rsidRDefault="00873E54" w:rsidP="008F2208">
      <w:pPr>
        <w:spacing w:line="240" w:lineRule="auto"/>
        <w:ind w:left="1440" w:firstLine="0"/>
      </w:pPr>
      <w:r w:rsidRPr="008F2208">
        <w:t>Pe</w:t>
      </w:r>
      <w:r>
        <w:t>rkins Coie</w:t>
      </w:r>
      <w:r w:rsidRPr="00BC026A">
        <w:t xml:space="preserve"> </w:t>
      </w:r>
      <w:r w:rsidRPr="00BC026A">
        <w:rPr>
          <w:sz w:val="20"/>
        </w:rPr>
        <w:t>LLP</w:t>
      </w:r>
      <w:r>
        <w:br/>
        <w:t>10885 N.E. Fourth St</w:t>
      </w:r>
      <w:r w:rsidR="002D7DA1">
        <w:t>reet</w:t>
      </w:r>
      <w:r>
        <w:t>, Suite 700</w:t>
      </w:r>
      <w:r>
        <w:br/>
        <w:t xml:space="preserve">Bellevue, WA </w:t>
      </w:r>
      <w:r w:rsidR="002D7DA1">
        <w:t xml:space="preserve"> </w:t>
      </w:r>
      <w:r>
        <w:t xml:space="preserve">98004 </w:t>
      </w:r>
      <w:r>
        <w:br/>
      </w:r>
      <w:r w:rsidR="00AF0BAE">
        <w:t>Telephone:</w:t>
      </w:r>
      <w:r w:rsidR="00650C94">
        <w:t xml:space="preserve">  </w:t>
      </w:r>
      <w:r>
        <w:t>425-6</w:t>
      </w:r>
      <w:r w:rsidR="00527BD7">
        <w:t>35-14</w:t>
      </w:r>
      <w:r w:rsidR="006C5B37">
        <w:t>00</w:t>
      </w:r>
      <w:r>
        <w:br/>
      </w:r>
      <w:r w:rsidR="00AF0BAE">
        <w:t>Facsimile:</w:t>
      </w:r>
      <w:r w:rsidR="00650C94">
        <w:t xml:space="preserve">  </w:t>
      </w:r>
      <w:r w:rsidR="00527BD7">
        <w:t>425-635-24</w:t>
      </w:r>
      <w:r w:rsidR="006C5B37">
        <w:t>00</w:t>
      </w:r>
      <w:r>
        <w:br/>
      </w:r>
      <w:r w:rsidR="00D44E6E">
        <w:t>DBarnett@perkinscoi</w:t>
      </w:r>
      <w:r w:rsidR="00F475CF">
        <w:t>e</w:t>
      </w:r>
      <w:r w:rsidR="00D44E6E">
        <w:t xml:space="preserve">.com </w:t>
      </w:r>
    </w:p>
    <w:p w:rsidR="008F2208" w:rsidRDefault="00EC46CC" w:rsidP="008F2208">
      <w:pPr>
        <w:spacing w:line="240" w:lineRule="auto"/>
        <w:ind w:left="1440" w:firstLine="0"/>
        <w:rPr>
          <w:rStyle w:val="Hyperlink"/>
        </w:rPr>
      </w:pPr>
      <w:hyperlink r:id="rId9" w:history="1">
        <w:r w:rsidR="0094426E" w:rsidRPr="00E0324D">
          <w:rPr>
            <w:rStyle w:val="Hyperlink"/>
          </w:rPr>
          <w:t>SCarson@perkinscoie.com</w:t>
        </w:r>
      </w:hyperlink>
    </w:p>
    <w:p w:rsidR="00F475CF" w:rsidRPr="00E40BD3" w:rsidRDefault="00F475CF" w:rsidP="008F2208">
      <w:pPr>
        <w:spacing w:line="240" w:lineRule="auto"/>
        <w:ind w:left="1440" w:firstLine="0"/>
        <w:rPr>
          <w:color w:val="000000"/>
        </w:rPr>
      </w:pPr>
    </w:p>
    <w:p w:rsidR="009F3148" w:rsidRDefault="00F53ABC" w:rsidP="00AF0BAE">
      <w:pPr>
        <w:spacing w:line="480" w:lineRule="auto"/>
      </w:pPr>
      <w:r w:rsidRPr="008B6236">
        <w:rPr>
          <w:color w:val="000000"/>
        </w:rPr>
        <w:lastRenderedPageBreak/>
        <w:fldChar w:fldCharType="begin"/>
      </w:r>
      <w:r w:rsidRPr="008B6236">
        <w:rPr>
          <w:color w:val="000000"/>
        </w:rPr>
        <w:instrText xml:space="preserve"> AUTONUM </w:instrText>
      </w:r>
      <w:r w:rsidRPr="008B6236">
        <w:rPr>
          <w:color w:val="000000"/>
        </w:rPr>
        <w:fldChar w:fldCharType="end"/>
      </w:r>
      <w:r>
        <w:tab/>
        <w:t xml:space="preserve">This Petition brings into issue: </w:t>
      </w:r>
      <w:r w:rsidR="008366BB">
        <w:t xml:space="preserve"> WAC </w:t>
      </w:r>
      <w:r w:rsidR="008366BB" w:rsidRPr="008366BB">
        <w:t>480-0</w:t>
      </w:r>
      <w:r w:rsidR="008366BB">
        <w:t>7</w:t>
      </w:r>
      <w:r w:rsidR="008366BB" w:rsidRPr="008366BB">
        <w:t>-</w:t>
      </w:r>
      <w:r w:rsidR="008366BB">
        <w:t>370(1)(b)</w:t>
      </w:r>
      <w:r w:rsidR="009F3148">
        <w:t xml:space="preserve">.  </w:t>
      </w:r>
    </w:p>
    <w:p w:rsidR="009F3148" w:rsidRDefault="00873E54" w:rsidP="00AF0BAE">
      <w:pPr>
        <w:pStyle w:val="Heading1"/>
        <w:spacing w:before="0" w:line="480" w:lineRule="auto"/>
      </w:pPr>
      <w:r>
        <w:t>I.</w:t>
      </w:r>
      <w:r>
        <w:tab/>
      </w:r>
      <w:r w:rsidR="009F3148">
        <w:t>BACKGROUND</w:t>
      </w:r>
    </w:p>
    <w:p w:rsidR="001C192E" w:rsidRPr="001C192E" w:rsidRDefault="001C192E" w:rsidP="00AF0BAE">
      <w:pPr>
        <w:pStyle w:val="Heading2"/>
        <w:spacing w:before="0" w:line="480" w:lineRule="auto"/>
      </w:pPr>
      <w:r>
        <w:t>A.</w:t>
      </w:r>
      <w:r>
        <w:tab/>
        <w:t>The Company's PCA Mechanism Requires Annual True-Up Filings</w:t>
      </w:r>
    </w:p>
    <w:p w:rsidR="009F3148" w:rsidRDefault="009F3148" w:rsidP="00AF0BAE">
      <w:pPr>
        <w:spacing w:line="480" w:lineRule="auto"/>
      </w:pPr>
      <w:r w:rsidRPr="008B6236">
        <w:rPr>
          <w:color w:val="000000"/>
        </w:rPr>
        <w:fldChar w:fldCharType="begin"/>
      </w:r>
      <w:r w:rsidRPr="008B6236">
        <w:rPr>
          <w:color w:val="000000"/>
        </w:rPr>
        <w:instrText xml:space="preserve"> AUTONUM </w:instrText>
      </w:r>
      <w:r w:rsidRPr="008B6236">
        <w:rPr>
          <w:color w:val="000000"/>
        </w:rPr>
        <w:fldChar w:fldCharType="end"/>
      </w:r>
      <w:r>
        <w:tab/>
        <w:t>In the Commission’s Twelfth Supplemental Order in Docket Nos. UE</w:t>
      </w:r>
      <w:r w:rsidR="00A26CA4">
        <w:noBreakHyphen/>
      </w:r>
      <w:r>
        <w:t xml:space="preserve">011570 and UG-011571 ("Twelfth Supplemental Order"), the Commission approved the parties' Settlement Stipulation for Electric and Common Issues for PSE's </w:t>
      </w:r>
      <w:r w:rsidR="00842C70">
        <w:t>2001</w:t>
      </w:r>
      <w:r w:rsidR="00A26CA4">
        <w:t xml:space="preserve"> </w:t>
      </w:r>
      <w:r w:rsidR="00842C70">
        <w:t xml:space="preserve">general </w:t>
      </w:r>
      <w:r>
        <w:t>rate case ("Stipulation").  Among other things, the Twelfth Supplemental Order authorized a Power Cost Adjus</w:t>
      </w:r>
      <w:r w:rsidR="00A26CA4">
        <w:t>tment Mechanism (</w:t>
      </w:r>
      <w:r w:rsidR="00827B2C">
        <w:t>"</w:t>
      </w:r>
      <w:r w:rsidR="00A26CA4">
        <w:t>PCA</w:t>
      </w:r>
      <w:r w:rsidR="00245413">
        <w:t xml:space="preserve"> Mechanism</w:t>
      </w:r>
      <w:r w:rsidR="00827B2C">
        <w:t>"</w:t>
      </w:r>
      <w:r w:rsidR="00A26CA4">
        <w:t>).  Exhibit </w:t>
      </w:r>
      <w:r>
        <w:t xml:space="preserve">A to the Stipulation, which </w:t>
      </w:r>
      <w:r w:rsidR="00B750D7">
        <w:t xml:space="preserve">was </w:t>
      </w:r>
      <w:r>
        <w:t>attached to the Twelfth Supplemental Order, sets forth details regarding the PCA</w:t>
      </w:r>
      <w:r w:rsidR="00245413">
        <w:t xml:space="preserve"> Mechanism</w:t>
      </w:r>
      <w:r>
        <w:t>, and is hereinafter referred to and cited as the "</w:t>
      </w:r>
      <w:r w:rsidR="00FB29F1">
        <w:t xml:space="preserve">2002 </w:t>
      </w:r>
      <w:r>
        <w:t xml:space="preserve">PCA Settlement."  A copy of the </w:t>
      </w:r>
      <w:r w:rsidR="00FB29F1">
        <w:t xml:space="preserve">2002 </w:t>
      </w:r>
      <w:r>
        <w:t>PCA Settlement, as revised, is attac</w:t>
      </w:r>
      <w:r w:rsidR="00B634BF">
        <w:t>hed to this Petition as Exhibit </w:t>
      </w:r>
      <w:r>
        <w:t xml:space="preserve">A. </w:t>
      </w:r>
    </w:p>
    <w:p w:rsidR="009F3148" w:rsidRDefault="009F3148" w:rsidP="00AF0BAE">
      <w:pPr>
        <w:spacing w:line="480" w:lineRule="auto"/>
      </w:pPr>
      <w:r w:rsidRPr="008B6236">
        <w:rPr>
          <w:color w:val="000000"/>
        </w:rPr>
        <w:fldChar w:fldCharType="begin"/>
      </w:r>
      <w:r w:rsidRPr="008B6236">
        <w:rPr>
          <w:color w:val="000000"/>
        </w:rPr>
        <w:instrText xml:space="preserve"> AUTONUM </w:instrText>
      </w:r>
      <w:r w:rsidRPr="008B6236">
        <w:rPr>
          <w:color w:val="000000"/>
        </w:rPr>
        <w:fldChar w:fldCharType="end"/>
      </w:r>
      <w:r>
        <w:tab/>
        <w:t xml:space="preserve">The </w:t>
      </w:r>
      <w:r w:rsidR="00FB29F1">
        <w:t xml:space="preserve">2002 </w:t>
      </w:r>
      <w:r>
        <w:t xml:space="preserve">PCA Settlement describes the PCA </w:t>
      </w:r>
      <w:r w:rsidR="00245413">
        <w:t xml:space="preserve">Mechanism </w:t>
      </w:r>
      <w:r>
        <w:t>as</w:t>
      </w:r>
    </w:p>
    <w:p w:rsidR="009F3148" w:rsidRDefault="009F3148" w:rsidP="001D22E2">
      <w:pPr>
        <w:pStyle w:val="NormalIndent"/>
        <w:spacing w:before="0" w:after="360" w:line="240" w:lineRule="auto"/>
      </w:pPr>
      <w:r>
        <w:t>a mechanism that would account for differences in PSE's modified actual power costs relative to a power cost baseline.  This mechanism would account for a sharing of costs and benefits that are graduated over four levels of power cost varian</w:t>
      </w:r>
      <w:r w:rsidR="00680FC4">
        <w:t>ces</w:t>
      </w:r>
      <w:r w:rsidR="008D56F1">
        <w:t>….</w:t>
      </w:r>
    </w:p>
    <w:p w:rsidR="009F3148" w:rsidRDefault="00FB29F1" w:rsidP="00AF0BAE">
      <w:pPr>
        <w:pStyle w:val="normalblock"/>
        <w:spacing w:line="480" w:lineRule="auto"/>
      </w:pPr>
      <w:r>
        <w:t xml:space="preserve">2002 </w:t>
      </w:r>
      <w:r w:rsidR="009F3148">
        <w:t xml:space="preserve">PCA Settlement, ¶ 2.  The </w:t>
      </w:r>
      <w:r>
        <w:t xml:space="preserve">2002 </w:t>
      </w:r>
      <w:r w:rsidR="009F3148">
        <w:t xml:space="preserve">PCA Settlement sets forth the various levels of costs and benefits sharing between the Company and its </w:t>
      </w:r>
      <w:r w:rsidR="001D22E2">
        <w:t>c</w:t>
      </w:r>
      <w:r w:rsidR="009F3148">
        <w:t>ustomers, and provides that "[t]he customer’s share of the power cost variability will be deferred as described below</w:t>
      </w:r>
      <w:r w:rsidR="00B634BF">
        <w:t>. . . .</w:t>
      </w:r>
      <w:r w:rsidR="009F3148">
        <w:t xml:space="preserve">"  </w:t>
      </w:r>
      <w:r w:rsidR="009F3148">
        <w:rPr>
          <w:i/>
        </w:rPr>
        <w:t>Id</w:t>
      </w:r>
      <w:r w:rsidR="009F3148">
        <w:t xml:space="preserve">. at ¶ 3.  </w:t>
      </w:r>
    </w:p>
    <w:p w:rsidR="009F3148" w:rsidRDefault="000454FE" w:rsidP="00AF0BAE">
      <w:pPr>
        <w:spacing w:line="480" w:lineRule="auto"/>
      </w:pPr>
      <w:r w:rsidRPr="008B6236">
        <w:rPr>
          <w:color w:val="000000"/>
        </w:rPr>
        <w:lastRenderedPageBreak/>
        <w:fldChar w:fldCharType="begin"/>
      </w:r>
      <w:r w:rsidRPr="008B6236">
        <w:rPr>
          <w:color w:val="000000"/>
        </w:rPr>
        <w:instrText xml:space="preserve"> AUTONUM </w:instrText>
      </w:r>
      <w:r w:rsidRPr="008B6236">
        <w:rPr>
          <w:color w:val="000000"/>
        </w:rPr>
        <w:fldChar w:fldCharType="end"/>
      </w:r>
      <w:r>
        <w:tab/>
      </w:r>
      <w:r w:rsidR="009F3148">
        <w:t xml:space="preserve">In order to implement its sharing provisions, the </w:t>
      </w:r>
      <w:r w:rsidR="00FB29F1">
        <w:t xml:space="preserve">2002 </w:t>
      </w:r>
      <w:r w:rsidR="009F3148">
        <w:t xml:space="preserve">PCA Settlement requires an annual true-up of actual power costs (versus the normalized level set in rates) and an accounting of sharing amounts, for Commission review and approval.  </w:t>
      </w:r>
      <w:r w:rsidR="00A56D03">
        <w:rPr>
          <w:i/>
        </w:rPr>
        <w:t xml:space="preserve">See </w:t>
      </w:r>
      <w:r w:rsidR="00B750D7" w:rsidRPr="00031140">
        <w:rPr>
          <w:i/>
        </w:rPr>
        <w:t>Id.</w:t>
      </w:r>
      <w:r w:rsidR="00B750D7">
        <w:t xml:space="preserve"> at</w:t>
      </w:r>
      <w:r w:rsidR="009F3148">
        <w:t xml:space="preserve"> ¶ 4.  </w:t>
      </w:r>
    </w:p>
    <w:p w:rsidR="00D44E6E" w:rsidRDefault="00D44E6E" w:rsidP="00AF0BAE">
      <w:pPr>
        <w:spacing w:line="480" w:lineRule="auto"/>
      </w:pPr>
      <w:r>
        <w:t>6.</w:t>
      </w:r>
      <w:r>
        <w:tab/>
      </w:r>
      <w:r w:rsidRPr="00135D3A">
        <w:t xml:space="preserve">In </w:t>
      </w:r>
      <w:r w:rsidR="00D02A8B">
        <w:t>March 2015</w:t>
      </w:r>
      <w:r w:rsidRPr="00135D3A">
        <w:t>, following a PCA Collaborative, PSE, Public Counsel, and WUTC Staff (collectively, “Settling Parties”) executed a settlement agreement that modified the PCA Mechanism, including changing the deadline for filing PSE’s PCA Mechanism Report from March to April of each year</w:t>
      </w:r>
      <w:r w:rsidR="00FB29F1">
        <w:t xml:space="preserve"> (“2015 PCA Settlement”)</w:t>
      </w:r>
      <w:r w:rsidRPr="00135D3A">
        <w:t xml:space="preserve">.  The Settling Parties agreed that the modified PCA Mechanism would take effect January 1, 2017.  The Commission approved the </w:t>
      </w:r>
      <w:r w:rsidR="00FB29F1">
        <w:t>2015 Settlement A</w:t>
      </w:r>
      <w:r w:rsidRPr="00135D3A">
        <w:t>greement in Order 11, issued in PSE’s 2013 PCORC</w:t>
      </w:r>
      <w:r>
        <w:t xml:space="preserve"> (Docket UE-130617)</w:t>
      </w:r>
      <w:r w:rsidRPr="00135D3A">
        <w:t xml:space="preserve">.  </w:t>
      </w:r>
      <w:r w:rsidR="003827F2">
        <w:t>Accordingly, PSE files this PCA Mechanism no later than April 30, 2017.</w:t>
      </w:r>
      <w:r w:rsidR="003827F2">
        <w:rPr>
          <w:rStyle w:val="FootnoteReference"/>
        </w:rPr>
        <w:footnoteReference w:id="1"/>
      </w:r>
      <w:r w:rsidR="003827F2">
        <w:t xml:space="preserve">  </w:t>
      </w:r>
    </w:p>
    <w:p w:rsidR="001C192E" w:rsidRDefault="001C192E" w:rsidP="00AF0BAE">
      <w:pPr>
        <w:pStyle w:val="Heading1"/>
        <w:spacing w:before="0" w:line="480" w:lineRule="auto"/>
      </w:pPr>
      <w:r>
        <w:t>II.</w:t>
      </w:r>
      <w:r>
        <w:tab/>
        <w:t>PSE'</w:t>
      </w:r>
      <w:r w:rsidR="00527BD7">
        <w:t>S</w:t>
      </w:r>
      <w:r>
        <w:t xml:space="preserve"> </w:t>
      </w:r>
      <w:r w:rsidR="008B5A80">
        <w:t>APRIL</w:t>
      </w:r>
      <w:r w:rsidR="00F6088B">
        <w:t xml:space="preserve"> </w:t>
      </w:r>
      <w:r w:rsidR="00713719">
        <w:t>201</w:t>
      </w:r>
      <w:r w:rsidR="001E15FE">
        <w:t>7</w:t>
      </w:r>
      <w:r w:rsidR="00713719">
        <w:t xml:space="preserve"> </w:t>
      </w:r>
      <w:r>
        <w:t>PCA REPORT</w:t>
      </w:r>
    </w:p>
    <w:p w:rsidR="00EC6CA6" w:rsidRDefault="00D44E6E" w:rsidP="00AF0BAE">
      <w:pPr>
        <w:spacing w:line="480" w:lineRule="auto"/>
      </w:pPr>
      <w:r>
        <w:rPr>
          <w:color w:val="000000"/>
        </w:rPr>
        <w:t>7.</w:t>
      </w:r>
      <w:r w:rsidR="000454FE">
        <w:tab/>
      </w:r>
      <w:r w:rsidR="009F3148">
        <w:t xml:space="preserve">In compliance with the </w:t>
      </w:r>
      <w:r w:rsidR="00FB29F1">
        <w:t xml:space="preserve">2002 </w:t>
      </w:r>
      <w:r w:rsidR="009F3148">
        <w:t xml:space="preserve">PCA Settlement and </w:t>
      </w:r>
      <w:r w:rsidR="00CA5217">
        <w:t xml:space="preserve">the Sixteenth Supplemental Order </w:t>
      </w:r>
      <w:r w:rsidR="002438DB">
        <w:t>in Docket Nos. UE-011570 and UG-011571</w:t>
      </w:r>
      <w:r w:rsidR="009F3148">
        <w:t xml:space="preserve">, this Petition presents to the Commission PSE's Power Cost Adjustment Mechanism </w:t>
      </w:r>
      <w:r w:rsidR="001D22E2">
        <w:t xml:space="preserve">Annual </w:t>
      </w:r>
      <w:r w:rsidR="009F3148">
        <w:t xml:space="preserve">Report </w:t>
      </w:r>
      <w:r w:rsidR="00606EAA">
        <w:t xml:space="preserve">("PCA Annual Report") </w:t>
      </w:r>
      <w:r w:rsidR="009F3148">
        <w:t xml:space="preserve">for </w:t>
      </w:r>
      <w:r w:rsidR="00EF690C">
        <w:t xml:space="preserve">the </w:t>
      </w:r>
      <w:r w:rsidR="00827B2C">
        <w:t>Twelve</w:t>
      </w:r>
      <w:r w:rsidR="00EF690C">
        <w:t xml:space="preserve"> Month</w:t>
      </w:r>
      <w:r w:rsidR="00C714E0">
        <w:t xml:space="preserve"> Time Period </w:t>
      </w:r>
      <w:r w:rsidR="00827B2C">
        <w:t>January</w:t>
      </w:r>
      <w:r w:rsidR="00C714E0">
        <w:t xml:space="preserve"> 1, </w:t>
      </w:r>
      <w:r w:rsidR="0067322D">
        <w:t>20</w:t>
      </w:r>
      <w:r w:rsidR="00051E76">
        <w:t>1</w:t>
      </w:r>
      <w:r w:rsidR="00B51EED">
        <w:t>6</w:t>
      </w:r>
      <w:r w:rsidR="0067322D">
        <w:t xml:space="preserve"> </w:t>
      </w:r>
      <w:r w:rsidR="00C714E0">
        <w:t>through December 31,</w:t>
      </w:r>
      <w:r w:rsidR="00C30D46">
        <w:t xml:space="preserve"> </w:t>
      </w:r>
      <w:r w:rsidR="0067322D">
        <w:t>20</w:t>
      </w:r>
      <w:r w:rsidR="00051E76">
        <w:t>1</w:t>
      </w:r>
      <w:r w:rsidR="00B51EED">
        <w:t>6</w:t>
      </w:r>
      <w:r w:rsidR="00EC46CC">
        <w:t xml:space="preserve"> </w:t>
      </w:r>
      <w:bookmarkStart w:id="0" w:name="_GoBack"/>
      <w:bookmarkEnd w:id="0"/>
      <w:r w:rsidR="00606EAA">
        <w:t>(“</w:t>
      </w:r>
      <w:r w:rsidR="001D22E2">
        <w:t xml:space="preserve">PCA Period </w:t>
      </w:r>
      <w:r w:rsidR="00B51EED">
        <w:t>Fif</w:t>
      </w:r>
      <w:r>
        <w:t>teen</w:t>
      </w:r>
      <w:r w:rsidR="00606EAA">
        <w:t>”)</w:t>
      </w:r>
      <w:r>
        <w:t xml:space="preserve"> </w:t>
      </w:r>
      <w:r w:rsidR="009E278A">
        <w:t xml:space="preserve">for </w:t>
      </w:r>
      <w:r w:rsidR="009F3148">
        <w:t>the Commission's review and approval</w:t>
      </w:r>
      <w:r w:rsidR="009E278A">
        <w:t xml:space="preserve">.  The </w:t>
      </w:r>
      <w:r w:rsidR="006E6607">
        <w:t>PCA Annual Report</w:t>
      </w:r>
      <w:r w:rsidR="00D6452B">
        <w:t xml:space="preserve"> </w:t>
      </w:r>
      <w:r w:rsidR="009F3148">
        <w:t xml:space="preserve">is </w:t>
      </w:r>
      <w:r w:rsidR="00074E98">
        <w:t xml:space="preserve">being </w:t>
      </w:r>
      <w:r w:rsidR="00817E47">
        <w:t xml:space="preserve">filed </w:t>
      </w:r>
      <w:r w:rsidR="00074E98">
        <w:t>along with</w:t>
      </w:r>
      <w:r w:rsidR="00817E47">
        <w:t xml:space="preserve"> this Petition</w:t>
      </w:r>
      <w:r w:rsidR="00A927E3">
        <w:t>.</w:t>
      </w:r>
      <w:r w:rsidR="00DF458F">
        <w:rPr>
          <w:rStyle w:val="FootnoteReference"/>
        </w:rPr>
        <w:footnoteReference w:id="2"/>
      </w:r>
      <w:r w:rsidR="009F3148">
        <w:t xml:space="preserve"> </w:t>
      </w:r>
      <w:r w:rsidR="00022104">
        <w:t xml:space="preserve"> </w:t>
      </w:r>
      <w:r w:rsidR="00F6088B">
        <w:t xml:space="preserve">Also filed with this Petition </w:t>
      </w:r>
      <w:r w:rsidR="000C318D">
        <w:t xml:space="preserve">are </w:t>
      </w:r>
      <w:r w:rsidR="00F6088B">
        <w:t xml:space="preserve">the </w:t>
      </w:r>
      <w:r w:rsidR="00CA6386">
        <w:t xml:space="preserve">prefiled direct testimonies and supporting exhibits </w:t>
      </w:r>
      <w:r w:rsidR="00F6088B">
        <w:t xml:space="preserve">of </w:t>
      </w:r>
      <w:r w:rsidR="0094426E">
        <w:t>Katherine</w:t>
      </w:r>
      <w:r w:rsidR="00F6088B">
        <w:t xml:space="preserve"> </w:t>
      </w:r>
      <w:r w:rsidR="0094426E">
        <w:t>J</w:t>
      </w:r>
      <w:r w:rsidR="00F6088B">
        <w:t xml:space="preserve">. </w:t>
      </w:r>
      <w:r w:rsidR="0094426E">
        <w:t>Barnard</w:t>
      </w:r>
      <w:r w:rsidR="00CA6386" w:rsidRPr="00CA6386">
        <w:t xml:space="preserve"> </w:t>
      </w:r>
      <w:r w:rsidR="00CA6386">
        <w:t>and Paul K. Wetherbee</w:t>
      </w:r>
      <w:r w:rsidR="00F6088B">
        <w:t xml:space="preserve">.  </w:t>
      </w:r>
      <w:r w:rsidR="00074E98">
        <w:t xml:space="preserve">Accompanying workpapers are </w:t>
      </w:r>
      <w:r w:rsidR="00DF458F">
        <w:t xml:space="preserve">also </w:t>
      </w:r>
      <w:r w:rsidR="00074E98">
        <w:t xml:space="preserve">being provided to </w:t>
      </w:r>
      <w:r w:rsidR="000C62FF">
        <w:t>WUTC</w:t>
      </w:r>
      <w:r w:rsidR="00074E98">
        <w:t xml:space="preserve"> Staff</w:t>
      </w:r>
      <w:r w:rsidR="000C62FF">
        <w:t>,</w:t>
      </w:r>
      <w:r w:rsidR="00074E98">
        <w:t xml:space="preserve"> Public Counsel </w:t>
      </w:r>
      <w:r w:rsidR="000C62FF">
        <w:t xml:space="preserve">and </w:t>
      </w:r>
      <w:r w:rsidR="00CA6386">
        <w:t>Industrial Customers of Northwest Utilities</w:t>
      </w:r>
      <w:r w:rsidR="00074E98">
        <w:t xml:space="preserve">.  </w:t>
      </w:r>
      <w:r w:rsidR="00791E6C">
        <w:t xml:space="preserve">As described below, PSE requests that </w:t>
      </w:r>
      <w:r w:rsidR="000C62FF">
        <w:t>the Commission</w:t>
      </w:r>
      <w:r w:rsidR="00791E6C">
        <w:t xml:space="preserve"> approve </w:t>
      </w:r>
      <w:r w:rsidR="00074E98">
        <w:t xml:space="preserve">the </w:t>
      </w:r>
      <w:r w:rsidR="006E6607">
        <w:t>PCA Annual Report</w:t>
      </w:r>
      <w:r w:rsidR="009127A8">
        <w:t xml:space="preserve"> </w:t>
      </w:r>
      <w:r w:rsidR="00074E98">
        <w:t>as filed</w:t>
      </w:r>
      <w:r w:rsidR="00791E6C">
        <w:t>.</w:t>
      </w:r>
    </w:p>
    <w:p w:rsidR="00DB0F82" w:rsidRPr="00DB0F82" w:rsidRDefault="000C62FF" w:rsidP="00F375DE">
      <w:pPr>
        <w:pStyle w:val="answer"/>
        <w:ind w:left="0" w:firstLine="720"/>
      </w:pPr>
      <w:r>
        <w:t>8.</w:t>
      </w:r>
      <w:r w:rsidR="000454FE">
        <w:tab/>
      </w:r>
      <w:r w:rsidR="008C0886" w:rsidRPr="00F375DE">
        <w:t xml:space="preserve">As detailed in </w:t>
      </w:r>
      <w:r w:rsidR="00DF458F">
        <w:t>the</w:t>
      </w:r>
      <w:r w:rsidR="008C0886" w:rsidRPr="00F375DE">
        <w:t xml:space="preserve"> </w:t>
      </w:r>
      <w:r w:rsidR="00C7694E" w:rsidRPr="00F375DE">
        <w:t xml:space="preserve">PCA </w:t>
      </w:r>
      <w:r w:rsidR="006E6607" w:rsidRPr="00F375DE">
        <w:t xml:space="preserve">Annual </w:t>
      </w:r>
      <w:r w:rsidR="00C7694E" w:rsidRPr="00F375DE">
        <w:t>Report</w:t>
      </w:r>
      <w:r w:rsidR="008C0886" w:rsidRPr="00F375DE">
        <w:t xml:space="preserve">, </w:t>
      </w:r>
      <w:r w:rsidR="0067322D" w:rsidRPr="00F375DE">
        <w:t>t</w:t>
      </w:r>
      <w:r w:rsidR="00AF5267" w:rsidRPr="00F375DE">
        <w:t xml:space="preserve">he average </w:t>
      </w:r>
      <w:r w:rsidR="00D6452B" w:rsidRPr="00F375DE">
        <w:t xml:space="preserve">power cost rate </w:t>
      </w:r>
      <w:r w:rsidR="00AF5267" w:rsidRPr="00F375DE">
        <w:t xml:space="preserve">during PCA Period </w:t>
      </w:r>
      <w:r w:rsidR="00A927E3">
        <w:t>1</w:t>
      </w:r>
      <w:r w:rsidR="009A06CC">
        <w:t>5</w:t>
      </w:r>
      <w:r w:rsidR="0067322D" w:rsidRPr="00F375DE">
        <w:t xml:space="preserve"> </w:t>
      </w:r>
      <w:r w:rsidR="00AF5267" w:rsidRPr="00E45803">
        <w:t xml:space="preserve">was </w:t>
      </w:r>
      <w:r w:rsidR="00A927E3" w:rsidRPr="00E45803">
        <w:t>$</w:t>
      </w:r>
      <w:r w:rsidR="00E45803" w:rsidRPr="00E45803">
        <w:t>59</w:t>
      </w:r>
      <w:r w:rsidR="00A927E3" w:rsidRPr="00E45803">
        <w:t>.</w:t>
      </w:r>
      <w:r w:rsidR="00E45803" w:rsidRPr="00E45803">
        <w:t>730</w:t>
      </w:r>
      <w:r w:rsidR="00A927E3" w:rsidRPr="00E45803">
        <w:t xml:space="preserve"> </w:t>
      </w:r>
      <w:r w:rsidR="00F6088B" w:rsidRPr="00E45803">
        <w:t>per</w:t>
      </w:r>
      <w:r w:rsidR="00F6088B" w:rsidRPr="00F375DE">
        <w:t xml:space="preserve"> </w:t>
      </w:r>
      <w:r w:rsidR="004C4C9A" w:rsidRPr="00F375DE">
        <w:t>Megawatt hour ("</w:t>
      </w:r>
      <w:r w:rsidR="00F6088B" w:rsidRPr="00F375DE">
        <w:t>MWh</w:t>
      </w:r>
      <w:r w:rsidR="004C4C9A" w:rsidRPr="00F375DE">
        <w:t>")</w:t>
      </w:r>
      <w:r w:rsidR="00AF5267" w:rsidRPr="00F375DE">
        <w:t xml:space="preserve">.  </w:t>
      </w:r>
      <w:r w:rsidR="00606EAA">
        <w:t>During PCA Period 15</w:t>
      </w:r>
      <w:r w:rsidR="00485DB7">
        <w:t>,</w:t>
      </w:r>
      <w:r w:rsidR="00133343" w:rsidRPr="005732CC">
        <w:t xml:space="preserve"> the baseline power cost rate was $</w:t>
      </w:r>
      <w:r w:rsidR="000F6B8D">
        <w:t>59</w:t>
      </w:r>
      <w:r w:rsidR="00133343" w:rsidRPr="005732CC">
        <w:t>.</w:t>
      </w:r>
      <w:r w:rsidR="000F6B8D">
        <w:t>819</w:t>
      </w:r>
      <w:r w:rsidR="00133343" w:rsidRPr="005732CC">
        <w:t xml:space="preserve"> per MWh</w:t>
      </w:r>
      <w:r w:rsidR="009A06CC">
        <w:t xml:space="preserve"> </w:t>
      </w:r>
      <w:r w:rsidR="00606EAA">
        <w:t xml:space="preserve">from January </w:t>
      </w:r>
      <w:r w:rsidR="009A06CC">
        <w:t xml:space="preserve">through November 2016, which </w:t>
      </w:r>
      <w:r w:rsidR="009A06CC" w:rsidRPr="00443D07">
        <w:t>was approved in Docket UE-1</w:t>
      </w:r>
      <w:r w:rsidR="009A06CC">
        <w:t>41141</w:t>
      </w:r>
      <w:r w:rsidR="00E35288">
        <w:t>,</w:t>
      </w:r>
      <w:r w:rsidR="009A06CC" w:rsidRPr="00443D07">
        <w:t xml:space="preserve"> PSE’s 201</w:t>
      </w:r>
      <w:r w:rsidR="009A06CC">
        <w:t>4</w:t>
      </w:r>
      <w:r w:rsidR="009A06CC" w:rsidRPr="00443D07">
        <w:t xml:space="preserve"> </w:t>
      </w:r>
      <w:r w:rsidR="009A06CC">
        <w:t>Power Costs Only Rate Case (“PCORC”), and $58.144 for the month of December 2016</w:t>
      </w:r>
      <w:r w:rsidR="00381D96">
        <w:t>,</w:t>
      </w:r>
      <w:r w:rsidR="009A06CC">
        <w:t xml:space="preserve"> which </w:t>
      </w:r>
      <w:r w:rsidR="009A06CC" w:rsidRPr="00443D07">
        <w:t>was approved in Docket UE-</w:t>
      </w:r>
      <w:r w:rsidR="0008019C">
        <w:t>161135</w:t>
      </w:r>
      <w:r w:rsidR="00E35288">
        <w:t xml:space="preserve">, </w:t>
      </w:r>
      <w:r w:rsidR="009A06CC" w:rsidRPr="00443D07">
        <w:t>PSE’s 201</w:t>
      </w:r>
      <w:r w:rsidR="009A06CC">
        <w:t>4</w:t>
      </w:r>
      <w:r w:rsidR="009A06CC" w:rsidRPr="00443D07">
        <w:t xml:space="preserve"> </w:t>
      </w:r>
      <w:r w:rsidR="00ED6901">
        <w:t>PCORC Com</w:t>
      </w:r>
      <w:r w:rsidR="00BD5FB0">
        <w:t xml:space="preserve">pliance </w:t>
      </w:r>
      <w:r w:rsidR="003C012A">
        <w:t>Update Filing</w:t>
      </w:r>
      <w:r w:rsidR="00443D07" w:rsidRPr="00443D07">
        <w:t>.</w:t>
      </w:r>
      <w:r w:rsidR="00133343">
        <w:t xml:space="preserve">  </w:t>
      </w:r>
      <w:r w:rsidR="00BD5FB0">
        <w:t>In 2016 a</w:t>
      </w:r>
      <w:r w:rsidR="00133343">
        <w:t xml:space="preserve">ctual power costs were </w:t>
      </w:r>
      <w:r w:rsidR="000F6B8D">
        <w:t>higher</w:t>
      </w:r>
      <w:r w:rsidR="00133343">
        <w:t xml:space="preserve"> than the average</w:t>
      </w:r>
      <w:r w:rsidR="00FB7B25">
        <w:t xml:space="preserve"> of the</w:t>
      </w:r>
      <w:r w:rsidR="00133343">
        <w:t xml:space="preserve"> baseline power cost rates in</w:t>
      </w:r>
      <w:r w:rsidR="00443D07">
        <w:t xml:space="preserve"> effect during PCA Period 1</w:t>
      </w:r>
      <w:r w:rsidR="00BD5FB0">
        <w:t>5</w:t>
      </w:r>
      <w:r w:rsidR="00133343">
        <w:t xml:space="preserve"> </w:t>
      </w:r>
      <w:r w:rsidR="00133343" w:rsidRPr="005469F1">
        <w:t>by $</w:t>
      </w:r>
      <w:r w:rsidR="005469F1" w:rsidRPr="005469F1">
        <w:t>2,058,382</w:t>
      </w:r>
      <w:r w:rsidR="00133343" w:rsidRPr="009A0017">
        <w:t xml:space="preserve"> (after adjustment</w:t>
      </w:r>
      <w:r w:rsidR="003F1102">
        <w:t xml:space="preserve"> for Firm Wholesale).</w:t>
      </w:r>
    </w:p>
    <w:p w:rsidR="00736CEE" w:rsidRDefault="000C62FF" w:rsidP="00AF0BAE">
      <w:pPr>
        <w:spacing w:line="480" w:lineRule="auto"/>
      </w:pPr>
      <w:r>
        <w:t>9.</w:t>
      </w:r>
      <w:r w:rsidR="000454FE">
        <w:tab/>
      </w:r>
      <w:r w:rsidR="00D02F3A">
        <w:t>The activity that occurred in PCA Period 1</w:t>
      </w:r>
      <w:r w:rsidR="0020728B">
        <w:t>5</w:t>
      </w:r>
      <w:r w:rsidR="00D02F3A">
        <w:t xml:space="preserve"> resulted in a cumulative </w:t>
      </w:r>
      <w:r w:rsidR="000F6B8D" w:rsidRPr="005653BB">
        <w:t>under</w:t>
      </w:r>
      <w:r w:rsidR="00D02F3A" w:rsidRPr="005653BB">
        <w:t>-collection of $</w:t>
      </w:r>
      <w:r w:rsidR="005469F1" w:rsidRPr="005653BB">
        <w:t>14</w:t>
      </w:r>
      <w:r w:rsidR="000F6B8D" w:rsidRPr="005653BB">
        <w:t>,</w:t>
      </w:r>
      <w:r w:rsidR="001D012A">
        <w:t>174</w:t>
      </w:r>
      <w:r w:rsidR="00D02F3A" w:rsidRPr="005653BB">
        <w:t>,</w:t>
      </w:r>
      <w:r w:rsidR="001D012A">
        <w:t>454</w:t>
      </w:r>
      <w:r w:rsidR="00194742">
        <w:t xml:space="preserve"> </w:t>
      </w:r>
      <w:r w:rsidR="00D02F3A">
        <w:t xml:space="preserve">(from inception of </w:t>
      </w:r>
      <w:r w:rsidR="00FB7B25">
        <w:t xml:space="preserve">the </w:t>
      </w:r>
      <w:r w:rsidR="00D02F3A">
        <w:t xml:space="preserve">PCA through </w:t>
      </w:r>
      <w:r w:rsidR="00B208C8">
        <w:t xml:space="preserve">December 31, </w:t>
      </w:r>
      <w:r w:rsidR="00FB7B25">
        <w:t>20</w:t>
      </w:r>
      <w:r w:rsidR="00D02F3A">
        <w:t>1</w:t>
      </w:r>
      <w:r w:rsidR="0020728B">
        <w:t>6</w:t>
      </w:r>
      <w:r w:rsidR="00D02F3A">
        <w:t xml:space="preserve">).  PSE’s share of this imbalance </w:t>
      </w:r>
      <w:r w:rsidR="00516382">
        <w:t>is</w:t>
      </w:r>
      <w:r w:rsidR="00AF25DE">
        <w:t xml:space="preserve"> </w:t>
      </w:r>
      <w:r w:rsidR="00D02F3A">
        <w:t>$</w:t>
      </w:r>
      <w:r w:rsidR="003C012A">
        <w:t>10,7</w:t>
      </w:r>
      <w:r w:rsidR="001D012A">
        <w:t>20</w:t>
      </w:r>
      <w:r w:rsidR="003C012A">
        <w:t>,</w:t>
      </w:r>
      <w:r w:rsidR="001D012A">
        <w:t>108</w:t>
      </w:r>
      <w:r w:rsidR="00D02F3A">
        <w:t>, with the remaining $</w:t>
      </w:r>
      <w:r w:rsidR="00516382">
        <w:t>3</w:t>
      </w:r>
      <w:r w:rsidR="00D02F3A">
        <w:t>,</w:t>
      </w:r>
      <w:r w:rsidR="001D012A">
        <w:t>454</w:t>
      </w:r>
      <w:r w:rsidR="00D02F3A">
        <w:t>,</w:t>
      </w:r>
      <w:r w:rsidR="001D012A">
        <w:t>344</w:t>
      </w:r>
      <w:r w:rsidR="000C33A5">
        <w:t xml:space="preserve"> </w:t>
      </w:r>
      <w:r w:rsidR="00D02F3A">
        <w:t>assigned to the customer.</w:t>
      </w:r>
    </w:p>
    <w:p w:rsidR="009F3148" w:rsidRDefault="001C192E" w:rsidP="00AF0BAE">
      <w:pPr>
        <w:pStyle w:val="Heading1"/>
        <w:spacing w:before="0" w:line="480" w:lineRule="auto"/>
      </w:pPr>
      <w:r>
        <w:t>III.</w:t>
      </w:r>
      <w:r>
        <w:tab/>
      </w:r>
      <w:r w:rsidR="009F3148">
        <w:t>REQUESTED ACTION</w:t>
      </w:r>
    </w:p>
    <w:p w:rsidR="001C192E" w:rsidRDefault="000C62FF" w:rsidP="00AF0BAE">
      <w:pPr>
        <w:spacing w:line="480" w:lineRule="auto"/>
      </w:pPr>
      <w:r>
        <w:rPr>
          <w:color w:val="000000"/>
        </w:rPr>
        <w:t>10.</w:t>
      </w:r>
      <w:r w:rsidR="000454FE">
        <w:tab/>
      </w:r>
      <w:r w:rsidR="009F3148">
        <w:t>PSE respectfully requests that the Commission issue an order</w:t>
      </w:r>
      <w:r w:rsidR="005B1686">
        <w:t xml:space="preserve"> approving PSE's </w:t>
      </w:r>
      <w:r w:rsidR="00C7694E">
        <w:t xml:space="preserve">PCA </w:t>
      </w:r>
      <w:r w:rsidR="00D6452B">
        <w:t xml:space="preserve">Annual </w:t>
      </w:r>
      <w:r w:rsidR="00C7694E">
        <w:t>Report</w:t>
      </w:r>
      <w:r w:rsidR="005B1686">
        <w:t>, as filed.</w:t>
      </w:r>
    </w:p>
    <w:p w:rsidR="00AB7148" w:rsidRDefault="00AB7148" w:rsidP="00510938">
      <w:pPr>
        <w:keepNext/>
        <w:spacing w:line="480" w:lineRule="auto"/>
      </w:pPr>
    </w:p>
    <w:p w:rsidR="003E1F15" w:rsidRDefault="00680FC4" w:rsidP="00510938">
      <w:pPr>
        <w:keepNext/>
        <w:spacing w:line="480" w:lineRule="auto"/>
      </w:pPr>
      <w:r>
        <w:t xml:space="preserve">DATED:  </w:t>
      </w:r>
      <w:r w:rsidR="001414A7">
        <w:t xml:space="preserve">APRIL </w:t>
      </w:r>
      <w:r w:rsidR="00806F99">
        <w:t>28</w:t>
      </w:r>
      <w:r w:rsidR="009F3148">
        <w:t xml:space="preserve">, </w:t>
      </w:r>
      <w:r w:rsidR="00806F99">
        <w:t>2017</w:t>
      </w:r>
      <w:r w:rsidR="00510938">
        <w:t>.</w:t>
      </w:r>
      <w:r w:rsidR="008E7E6A">
        <w:t xml:space="preserve">  </w:t>
      </w:r>
    </w:p>
    <w:p w:rsidR="006C3889" w:rsidRDefault="006C3889" w:rsidP="00510938">
      <w:pPr>
        <w:keepNext/>
        <w:spacing w:line="48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17"/>
        <w:gridCol w:w="4539"/>
      </w:tblGrid>
      <w:tr w:rsidR="006C3889" w:rsidTr="00B208C8">
        <w:tc>
          <w:tcPr>
            <w:tcW w:w="4317" w:type="dxa"/>
          </w:tcPr>
          <w:p w:rsidR="006C3889" w:rsidRDefault="006C3889" w:rsidP="006C3889">
            <w:pPr>
              <w:pStyle w:val="normalblock"/>
            </w:pPr>
          </w:p>
        </w:tc>
        <w:tc>
          <w:tcPr>
            <w:tcW w:w="4539" w:type="dxa"/>
          </w:tcPr>
          <w:p w:rsidR="00B208C8" w:rsidRDefault="006C3889" w:rsidP="000B3581">
            <w:pPr>
              <w:pStyle w:val="normalblock"/>
              <w:tabs>
                <w:tab w:val="left" w:pos="468"/>
                <w:tab w:val="left" w:pos="4248"/>
              </w:tabs>
              <w:spacing w:line="240" w:lineRule="auto"/>
              <w:rPr>
                <w:rStyle w:val="tabledatafont"/>
              </w:rPr>
            </w:pPr>
            <w:r w:rsidRPr="000B3581">
              <w:rPr>
                <w:b/>
              </w:rPr>
              <w:t xml:space="preserve">PERKINS COIE </w:t>
            </w:r>
            <w:r w:rsidRPr="000B3581">
              <w:rPr>
                <w:b/>
                <w:sz w:val="18"/>
              </w:rPr>
              <w:t>LLP</w:t>
            </w:r>
            <w:r w:rsidRPr="000B3581">
              <w:rPr>
                <w:b/>
              </w:rPr>
              <w:br/>
            </w:r>
            <w:r w:rsidR="00085492">
              <w:rPr>
                <w:noProof/>
              </w:rPr>
              <w:t xml:space="preserve">   </w:t>
            </w:r>
            <w:r>
              <w:t>By</w:t>
            </w:r>
            <w:r w:rsidRPr="0014786B">
              <w:tab/>
            </w:r>
            <w:r w:rsidR="00516382">
              <w:rPr>
                <w:noProof/>
                <w:u w:val="single"/>
              </w:rPr>
              <w:t>_</w:t>
            </w:r>
            <w:r w:rsidR="00B208C8" w:rsidRPr="008A1339">
              <w:rPr>
                <w:noProof/>
                <w:u w:val="single"/>
              </w:rPr>
              <w:drawing>
                <wp:inline distT="0" distB="0" distL="0" distR="0" wp14:anchorId="4B61C14E" wp14:editId="0041A17C">
                  <wp:extent cx="2089150" cy="54197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581">
              <w:rPr>
                <w:u w:val="single"/>
              </w:rPr>
              <w:br/>
            </w:r>
            <w:r w:rsidRPr="0014786B">
              <w:tab/>
            </w:r>
            <w:r w:rsidR="00B208C8">
              <w:rPr>
                <w:rStyle w:val="tabledatafont"/>
              </w:rPr>
              <w:t>Donna L. Barnett, WSBA #36794</w:t>
            </w:r>
          </w:p>
          <w:p w:rsidR="00B208C8" w:rsidRDefault="006C3889" w:rsidP="00B208C8">
            <w:pPr>
              <w:pStyle w:val="normalblock"/>
              <w:tabs>
                <w:tab w:val="left" w:pos="468"/>
                <w:tab w:val="left" w:pos="4248"/>
              </w:tabs>
              <w:spacing w:line="240" w:lineRule="auto"/>
              <w:ind w:left="543" w:hanging="90"/>
              <w:rPr>
                <w:rStyle w:val="tabledatafont"/>
              </w:rPr>
            </w:pPr>
            <w:r>
              <w:t>Sheree Strom Carson</w:t>
            </w:r>
            <w:r w:rsidR="006C5B37">
              <w:t>, WSBA #</w:t>
            </w:r>
            <w:r w:rsidR="006C5B37">
              <w:rPr>
                <w:rStyle w:val="tabledatafont"/>
              </w:rPr>
              <w:t>25349</w:t>
            </w:r>
          </w:p>
          <w:p w:rsidR="006C3889" w:rsidRDefault="006C3889" w:rsidP="00B208C8">
            <w:pPr>
              <w:pStyle w:val="normalblock"/>
              <w:tabs>
                <w:tab w:val="left" w:pos="543"/>
                <w:tab w:val="left" w:pos="4248"/>
              </w:tabs>
              <w:spacing w:line="240" w:lineRule="auto"/>
              <w:ind w:left="543" w:hanging="90"/>
            </w:pPr>
            <w:r>
              <w:t>Attorneys for Puget Sound Energy</w:t>
            </w:r>
          </w:p>
        </w:tc>
      </w:tr>
    </w:tbl>
    <w:p w:rsidR="009F3148" w:rsidRDefault="009F3148" w:rsidP="00AC22B5">
      <w:pPr>
        <w:suppressLineNumbers/>
      </w:pPr>
    </w:p>
    <w:sectPr w:rsidR="009F3148" w:rsidSect="00AC22B5">
      <w:footerReference w:type="default" r:id="rId11"/>
      <w:footerReference w:type="first" r:id="rId12"/>
      <w:type w:val="continuous"/>
      <w:pgSz w:w="12240" w:h="15840" w:code="1"/>
      <w:pgMar w:top="2160" w:right="1800" w:bottom="2304" w:left="180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CA" w:rsidRDefault="008302CA">
      <w:r>
        <w:separator/>
      </w:r>
    </w:p>
  </w:endnote>
  <w:endnote w:type="continuationSeparator" w:id="0">
    <w:p w:rsidR="008302CA" w:rsidRDefault="0083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F6F22BC-BE9D-4C8C-A7B1-35CA39181119}"/>
    <w:embedBold r:id="rId2" w:fontKey="{B159863C-E4F4-4F30-80D3-64A6EB0C1181}"/>
    <w:embedBoldItalic r:id="rId3" w:fontKey="{2EB38F29-69F0-4A6D-8C07-9B1DBC90A0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ACE0A83-9122-411F-AB02-F01D30C6CC01}"/>
    <w:embedBold r:id="rId5" w:fontKey="{5DE456D4-EFDD-4505-BD81-85A0A39A4D66}"/>
    <w:embedItalic r:id="rId6" w:fontKey="{58A14176-5C53-4697-B7F4-000A28899DEB}"/>
    <w:embedBoldItalic r:id="rId7" w:fontKey="{2C4C5743-6C6C-436A-894E-F917CAC71EE7}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30C9F7-1C90-43AA-8D68-3B72E7F3C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8856"/>
    </w:tblGrid>
    <w:tr w:rsidR="00423134" w:rsidTr="000B3581">
      <w:tc>
        <w:tcPr>
          <w:tcW w:w="9144" w:type="dxa"/>
        </w:tcPr>
        <w:p w:rsidR="00423134" w:rsidRDefault="00423134" w:rsidP="00F475CF">
          <w:pPr>
            <w:pStyle w:val="plain"/>
            <w:tabs>
              <w:tab w:val="center" w:pos="4680"/>
            </w:tabs>
          </w:pPr>
          <w:r w:rsidRPr="000B3581">
            <w:rPr>
              <w:color w:val="000000"/>
            </w:rPr>
            <w:t xml:space="preserve">Petition of </w:t>
          </w:r>
          <w:r>
            <w:t>Puget Sound Energy</w:t>
          </w:r>
          <w:r w:rsidRPr="000B3581">
            <w:rPr>
              <w:color w:val="000000"/>
            </w:rPr>
            <w:tab/>
            <w:t>- </w:t>
          </w:r>
          <w:r w:rsidRPr="000B3581">
            <w:rPr>
              <w:color w:val="0000FF"/>
            </w:rPr>
            <w:fldChar w:fldCharType="begin"/>
          </w:r>
          <w:r w:rsidRPr="000B3581">
            <w:rPr>
              <w:color w:val="0000FF"/>
            </w:rPr>
            <w:instrText>page</w:instrText>
          </w:r>
          <w:r w:rsidRPr="000B3581">
            <w:rPr>
              <w:color w:val="0000FF"/>
            </w:rPr>
            <w:fldChar w:fldCharType="separate"/>
          </w:r>
          <w:r w:rsidR="00EC46CC">
            <w:rPr>
              <w:noProof/>
              <w:color w:val="0000FF"/>
            </w:rPr>
            <w:t>4</w:t>
          </w:r>
          <w:r w:rsidRPr="000B3581">
            <w:rPr>
              <w:color w:val="0000FF"/>
            </w:rPr>
            <w:fldChar w:fldCharType="end"/>
          </w:r>
          <w:r w:rsidRPr="000B3581">
            <w:rPr>
              <w:color w:val="000000"/>
            </w:rPr>
            <w:t> -</w:t>
          </w:r>
          <w:r>
            <w:br/>
            <w:t xml:space="preserve">For Approval of its </w:t>
          </w:r>
          <w:r w:rsidR="008B5A80">
            <w:t>April</w:t>
          </w:r>
          <w:r>
            <w:t xml:space="preserve"> 201</w:t>
          </w:r>
          <w:r w:rsidR="00D02A8B">
            <w:t>7</w:t>
          </w:r>
          <w:r>
            <w:t xml:space="preserve"> Power Cost</w:t>
          </w:r>
          <w:r>
            <w:br/>
            <w:t>Adjustment Mechanism Report</w:t>
          </w:r>
        </w:p>
      </w:tc>
    </w:tr>
  </w:tbl>
  <w:p w:rsidR="00423134" w:rsidRPr="00AA1B47" w:rsidRDefault="00EC46CC" w:rsidP="00EC46CC">
    <w:pPr>
      <w:pStyle w:val="plain"/>
      <w:tabs>
        <w:tab w:val="center" w:pos="4320"/>
      </w:tabs>
      <w:spacing w:line="200" w:lineRule="exact"/>
    </w:pPr>
    <w:r w:rsidRPr="00EC46CC">
      <w:rPr>
        <w:rStyle w:val="zzmpTrailerItem"/>
      </w:rPr>
      <w:t>07772-1206/135421957.1</w:t>
    </w:r>
    <w:r w:rsidRPr="00EC46CC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134" w:rsidRPr="00CF1AC2" w:rsidRDefault="00423134" w:rsidP="00CF1AC2">
    <w:pPr>
      <w:pStyle w:val="Footer"/>
    </w:pPr>
    <w:r>
      <w:rPr>
        <w:color w:val="000000"/>
      </w:rPr>
      <w:t xml:space="preserve">Petition of </w:t>
    </w:r>
    <w:r>
      <w:t>Puget Sound Energy, Inc.</w:t>
    </w:r>
    <w:r>
      <w:rPr>
        <w:color w:val="000000"/>
      </w:rPr>
      <w:tab/>
      <w:t>- </w:t>
    </w:r>
    <w:r>
      <w:rPr>
        <w:color w:val="0000FF"/>
      </w:rPr>
      <w:fldChar w:fldCharType="begin"/>
    </w:r>
    <w:r>
      <w:rPr>
        <w:color w:val="0000FF"/>
      </w:rPr>
      <w:instrText>page</w:instrText>
    </w:r>
    <w:r>
      <w:rPr>
        <w:color w:val="0000FF"/>
      </w:rPr>
      <w:fldChar w:fldCharType="separate"/>
    </w:r>
    <w:r>
      <w:rPr>
        <w:noProof/>
        <w:color w:val="0000FF"/>
      </w:rPr>
      <w:t>1</w:t>
    </w:r>
    <w:r>
      <w:rPr>
        <w:color w:val="0000FF"/>
      </w:rPr>
      <w:fldChar w:fldCharType="end"/>
    </w:r>
    <w:r>
      <w:rPr>
        <w:color w:val="000000"/>
      </w:rPr>
      <w:t> -</w:t>
    </w:r>
    <w:r>
      <w:br/>
      <w:t>For Approval of its 2006 Power Cost</w:t>
    </w:r>
    <w:r>
      <w:br/>
      <w:t>Adjustment Mechanism Report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CA" w:rsidRDefault="008302CA">
      <w:r>
        <w:separator/>
      </w:r>
    </w:p>
  </w:footnote>
  <w:footnote w:type="continuationSeparator" w:id="0">
    <w:p w:rsidR="008302CA" w:rsidRDefault="008302CA">
      <w:r>
        <w:continuationSeparator/>
      </w:r>
    </w:p>
  </w:footnote>
  <w:footnote w:id="1">
    <w:p w:rsidR="003827F2" w:rsidRDefault="003827F2">
      <w:pPr>
        <w:pStyle w:val="FootnoteText"/>
      </w:pPr>
      <w:r>
        <w:rPr>
          <w:rStyle w:val="FootnoteReference"/>
        </w:rPr>
        <w:footnoteRef/>
      </w:r>
      <w:r>
        <w:t xml:space="preserve"> Due to significant f</w:t>
      </w:r>
      <w:r w:rsidR="00A75E9F">
        <w:t>iling commitments in March 2016, and</w:t>
      </w:r>
      <w:r>
        <w:t xml:space="preserve"> </w:t>
      </w:r>
      <w:r w:rsidR="00A75E9F">
        <w:t xml:space="preserve">after consulting with the </w:t>
      </w:r>
      <w:r>
        <w:t>other Settling Parties</w:t>
      </w:r>
      <w:r w:rsidR="00A75E9F">
        <w:t xml:space="preserve">, PSE </w:t>
      </w:r>
      <w:r>
        <w:t>file</w:t>
      </w:r>
      <w:r w:rsidR="00A75E9F">
        <w:t>d</w:t>
      </w:r>
      <w:r>
        <w:t xml:space="preserve"> its </w:t>
      </w:r>
      <w:r w:rsidR="00A75E9F">
        <w:t xml:space="preserve">2016 </w:t>
      </w:r>
      <w:r>
        <w:t xml:space="preserve">PCA Mechanism Report </w:t>
      </w:r>
      <w:r w:rsidR="00A75E9F">
        <w:t>in April 2016,</w:t>
      </w:r>
      <w:r>
        <w:t xml:space="preserve"> rather than </w:t>
      </w:r>
      <w:r w:rsidR="00A75E9F">
        <w:t xml:space="preserve">March </w:t>
      </w:r>
      <w:r>
        <w:t xml:space="preserve">2016.  </w:t>
      </w:r>
      <w:r w:rsidR="00667673">
        <w:t>Therefore</w:t>
      </w:r>
      <w:r w:rsidR="00A75E9F">
        <w:t>, this</w:t>
      </w:r>
      <w:r w:rsidR="00667673">
        <w:t xml:space="preserve"> year’s PCA compliance filing</w:t>
      </w:r>
      <w:r w:rsidR="00A75E9F">
        <w:t xml:space="preserve"> is </w:t>
      </w:r>
      <w:r w:rsidR="00667673">
        <w:t>actually the</w:t>
      </w:r>
      <w:r w:rsidR="00A75E9F">
        <w:t xml:space="preserve"> second </w:t>
      </w:r>
      <w:r w:rsidR="00667673">
        <w:t xml:space="preserve">one </w:t>
      </w:r>
      <w:r w:rsidR="00A75E9F">
        <w:t xml:space="preserve">to be filed in April.  </w:t>
      </w:r>
    </w:p>
  </w:footnote>
  <w:footnote w:id="2">
    <w:p w:rsidR="00423134" w:rsidRDefault="00423134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>
        <w:rPr>
          <w:i/>
        </w:rPr>
        <w:t xml:space="preserve">See </w:t>
      </w:r>
      <w:r>
        <w:t xml:space="preserve">Second Exhibit to the Prefiled Direct Testimony of </w:t>
      </w:r>
      <w:r w:rsidRPr="00F974A4">
        <w:t>Katherine J. Barnard</w:t>
      </w:r>
      <w:r>
        <w:t>, Exh</w:t>
      </w:r>
      <w:r w:rsidR="00CA6386">
        <w:t xml:space="preserve">. </w:t>
      </w:r>
      <w:r>
        <w:t>KJB-3.</w:t>
      </w:r>
    </w:p>
    <w:p w:rsidR="005C3976" w:rsidRDefault="005C3976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7A3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706C5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6136DE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F10E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F97EFE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6E07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03C54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A7C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2FC9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09A0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ED15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CB30924"/>
    <w:multiLevelType w:val="hybridMultilevel"/>
    <w:tmpl w:val="B77EED4A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intFractionalCharacterWidth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4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Footer"/>
    <w:docVar w:name="85TrailerTime" w:val="0"/>
    <w:docVar w:name="85TrailerType" w:val="100"/>
    <w:docVar w:name="MPDocID" w:val="07772-1206/135421957.1"/>
    <w:docVar w:name="MPDocIDTemplate" w:val="%c-|%m/|%n|.%v"/>
    <w:docVar w:name="MPDocIDTemplateDefault" w:val="%c-|%m/|%n|.%v"/>
    <w:docVar w:name="NewDocStampType" w:val="1"/>
  </w:docVars>
  <w:rsids>
    <w:rsidRoot w:val="009F3148"/>
    <w:rsid w:val="0000588D"/>
    <w:rsid w:val="00014964"/>
    <w:rsid w:val="00015AEF"/>
    <w:rsid w:val="0001656E"/>
    <w:rsid w:val="00022104"/>
    <w:rsid w:val="00031140"/>
    <w:rsid w:val="00031982"/>
    <w:rsid w:val="00035942"/>
    <w:rsid w:val="00042858"/>
    <w:rsid w:val="00042932"/>
    <w:rsid w:val="000454FE"/>
    <w:rsid w:val="000457BF"/>
    <w:rsid w:val="00051E76"/>
    <w:rsid w:val="00065469"/>
    <w:rsid w:val="00074E98"/>
    <w:rsid w:val="0008019C"/>
    <w:rsid w:val="000809A6"/>
    <w:rsid w:val="00085492"/>
    <w:rsid w:val="000943DF"/>
    <w:rsid w:val="0009468E"/>
    <w:rsid w:val="000B3581"/>
    <w:rsid w:val="000B68B5"/>
    <w:rsid w:val="000C298C"/>
    <w:rsid w:val="000C318D"/>
    <w:rsid w:val="000C33A5"/>
    <w:rsid w:val="000C62FF"/>
    <w:rsid w:val="000C68D8"/>
    <w:rsid w:val="000D6195"/>
    <w:rsid w:val="000D6D02"/>
    <w:rsid w:val="000E01E6"/>
    <w:rsid w:val="000F3237"/>
    <w:rsid w:val="000F575E"/>
    <w:rsid w:val="000F6B8D"/>
    <w:rsid w:val="001060CA"/>
    <w:rsid w:val="00107DED"/>
    <w:rsid w:val="001205B1"/>
    <w:rsid w:val="00125149"/>
    <w:rsid w:val="00133343"/>
    <w:rsid w:val="00136F4A"/>
    <w:rsid w:val="00140DB2"/>
    <w:rsid w:val="001414A7"/>
    <w:rsid w:val="0014786B"/>
    <w:rsid w:val="001544AA"/>
    <w:rsid w:val="00161A28"/>
    <w:rsid w:val="0017254D"/>
    <w:rsid w:val="00194742"/>
    <w:rsid w:val="001A3C26"/>
    <w:rsid w:val="001B1389"/>
    <w:rsid w:val="001C192E"/>
    <w:rsid w:val="001D012A"/>
    <w:rsid w:val="001D22E2"/>
    <w:rsid w:val="001D5CAD"/>
    <w:rsid w:val="001D6EE7"/>
    <w:rsid w:val="001E07F6"/>
    <w:rsid w:val="001E15FE"/>
    <w:rsid w:val="001F1203"/>
    <w:rsid w:val="002006A0"/>
    <w:rsid w:val="0020104A"/>
    <w:rsid w:val="00202BDC"/>
    <w:rsid w:val="0020728B"/>
    <w:rsid w:val="002231BB"/>
    <w:rsid w:val="00234796"/>
    <w:rsid w:val="00243658"/>
    <w:rsid w:val="002438DB"/>
    <w:rsid w:val="00243AB1"/>
    <w:rsid w:val="00245413"/>
    <w:rsid w:val="00256394"/>
    <w:rsid w:val="002654C7"/>
    <w:rsid w:val="002C1C86"/>
    <w:rsid w:val="002D0BA1"/>
    <w:rsid w:val="002D7DA1"/>
    <w:rsid w:val="00303416"/>
    <w:rsid w:val="0031124B"/>
    <w:rsid w:val="00317470"/>
    <w:rsid w:val="003418F9"/>
    <w:rsid w:val="003420B8"/>
    <w:rsid w:val="00360566"/>
    <w:rsid w:val="00381D96"/>
    <w:rsid w:val="003827F2"/>
    <w:rsid w:val="0038629F"/>
    <w:rsid w:val="003A33BB"/>
    <w:rsid w:val="003C012A"/>
    <w:rsid w:val="003C244B"/>
    <w:rsid w:val="003D7F32"/>
    <w:rsid w:val="003E1F15"/>
    <w:rsid w:val="003E66F1"/>
    <w:rsid w:val="003F1102"/>
    <w:rsid w:val="003F37B3"/>
    <w:rsid w:val="003F7885"/>
    <w:rsid w:val="00410327"/>
    <w:rsid w:val="00423134"/>
    <w:rsid w:val="00435670"/>
    <w:rsid w:val="004366F3"/>
    <w:rsid w:val="004379CF"/>
    <w:rsid w:val="004418AF"/>
    <w:rsid w:val="00443D07"/>
    <w:rsid w:val="00457AD7"/>
    <w:rsid w:val="004631E3"/>
    <w:rsid w:val="0047477C"/>
    <w:rsid w:val="00485DB7"/>
    <w:rsid w:val="004A1447"/>
    <w:rsid w:val="004A7D66"/>
    <w:rsid w:val="004B3800"/>
    <w:rsid w:val="004C41D2"/>
    <w:rsid w:val="004C4C9A"/>
    <w:rsid w:val="004D3ACF"/>
    <w:rsid w:val="004D7349"/>
    <w:rsid w:val="004E0047"/>
    <w:rsid w:val="00501D50"/>
    <w:rsid w:val="00503B38"/>
    <w:rsid w:val="00510938"/>
    <w:rsid w:val="00512A5C"/>
    <w:rsid w:val="00515D0C"/>
    <w:rsid w:val="00516382"/>
    <w:rsid w:val="00527BD7"/>
    <w:rsid w:val="00530870"/>
    <w:rsid w:val="00545564"/>
    <w:rsid w:val="00546820"/>
    <w:rsid w:val="005469F1"/>
    <w:rsid w:val="00555A5B"/>
    <w:rsid w:val="005653BB"/>
    <w:rsid w:val="0056739F"/>
    <w:rsid w:val="005732CC"/>
    <w:rsid w:val="0057762F"/>
    <w:rsid w:val="005B048F"/>
    <w:rsid w:val="005B1686"/>
    <w:rsid w:val="005C3976"/>
    <w:rsid w:val="005D5F36"/>
    <w:rsid w:val="005E0462"/>
    <w:rsid w:val="005F4406"/>
    <w:rsid w:val="005F5F70"/>
    <w:rsid w:val="00606EAA"/>
    <w:rsid w:val="006138CA"/>
    <w:rsid w:val="006317E8"/>
    <w:rsid w:val="00632265"/>
    <w:rsid w:val="00650C94"/>
    <w:rsid w:val="00653A6B"/>
    <w:rsid w:val="00663BC9"/>
    <w:rsid w:val="00667673"/>
    <w:rsid w:val="0067322D"/>
    <w:rsid w:val="00680FC4"/>
    <w:rsid w:val="006A07A8"/>
    <w:rsid w:val="006A5F60"/>
    <w:rsid w:val="006C3889"/>
    <w:rsid w:val="006C5B37"/>
    <w:rsid w:val="006C6AC7"/>
    <w:rsid w:val="006E6607"/>
    <w:rsid w:val="00703BFA"/>
    <w:rsid w:val="00711065"/>
    <w:rsid w:val="00713719"/>
    <w:rsid w:val="0071642E"/>
    <w:rsid w:val="00736CEE"/>
    <w:rsid w:val="007518F5"/>
    <w:rsid w:val="00767C18"/>
    <w:rsid w:val="007742DC"/>
    <w:rsid w:val="007777D7"/>
    <w:rsid w:val="00791E6C"/>
    <w:rsid w:val="007B57DE"/>
    <w:rsid w:val="007C5232"/>
    <w:rsid w:val="007C76F4"/>
    <w:rsid w:val="007E5F97"/>
    <w:rsid w:val="007F298B"/>
    <w:rsid w:val="00806F99"/>
    <w:rsid w:val="0081483F"/>
    <w:rsid w:val="00815827"/>
    <w:rsid w:val="00817E47"/>
    <w:rsid w:val="00827B2C"/>
    <w:rsid w:val="008302CA"/>
    <w:rsid w:val="008366BB"/>
    <w:rsid w:val="00842C70"/>
    <w:rsid w:val="00851260"/>
    <w:rsid w:val="00865614"/>
    <w:rsid w:val="0087380B"/>
    <w:rsid w:val="00873E54"/>
    <w:rsid w:val="00883DDA"/>
    <w:rsid w:val="00886E17"/>
    <w:rsid w:val="00890F58"/>
    <w:rsid w:val="0089210E"/>
    <w:rsid w:val="0089361E"/>
    <w:rsid w:val="00895716"/>
    <w:rsid w:val="008A1339"/>
    <w:rsid w:val="008A1F82"/>
    <w:rsid w:val="008A4234"/>
    <w:rsid w:val="008B5A80"/>
    <w:rsid w:val="008B6236"/>
    <w:rsid w:val="008C0886"/>
    <w:rsid w:val="008D4F8B"/>
    <w:rsid w:val="008D56F1"/>
    <w:rsid w:val="008D7682"/>
    <w:rsid w:val="008E6981"/>
    <w:rsid w:val="008E7E6A"/>
    <w:rsid w:val="008F2208"/>
    <w:rsid w:val="0090108A"/>
    <w:rsid w:val="00901767"/>
    <w:rsid w:val="0090610D"/>
    <w:rsid w:val="009127A8"/>
    <w:rsid w:val="00915604"/>
    <w:rsid w:val="00917B14"/>
    <w:rsid w:val="00926ECE"/>
    <w:rsid w:val="009346AD"/>
    <w:rsid w:val="00934FB8"/>
    <w:rsid w:val="00936D80"/>
    <w:rsid w:val="0094426E"/>
    <w:rsid w:val="009507F5"/>
    <w:rsid w:val="009559DC"/>
    <w:rsid w:val="00957BAD"/>
    <w:rsid w:val="00973D23"/>
    <w:rsid w:val="009803F3"/>
    <w:rsid w:val="00981D5D"/>
    <w:rsid w:val="00986AC6"/>
    <w:rsid w:val="00995218"/>
    <w:rsid w:val="009A0017"/>
    <w:rsid w:val="009A06CC"/>
    <w:rsid w:val="009A0B52"/>
    <w:rsid w:val="009B3BB8"/>
    <w:rsid w:val="009C09C1"/>
    <w:rsid w:val="009E278A"/>
    <w:rsid w:val="009F3148"/>
    <w:rsid w:val="00A03DEC"/>
    <w:rsid w:val="00A17587"/>
    <w:rsid w:val="00A26CA4"/>
    <w:rsid w:val="00A32648"/>
    <w:rsid w:val="00A33E38"/>
    <w:rsid w:val="00A3696B"/>
    <w:rsid w:val="00A50AB3"/>
    <w:rsid w:val="00A51049"/>
    <w:rsid w:val="00A554FA"/>
    <w:rsid w:val="00A56D03"/>
    <w:rsid w:val="00A73CAC"/>
    <w:rsid w:val="00A75802"/>
    <w:rsid w:val="00A75E9F"/>
    <w:rsid w:val="00A927E3"/>
    <w:rsid w:val="00A945C8"/>
    <w:rsid w:val="00AA1B47"/>
    <w:rsid w:val="00AB5008"/>
    <w:rsid w:val="00AB7148"/>
    <w:rsid w:val="00AC22B5"/>
    <w:rsid w:val="00AF0631"/>
    <w:rsid w:val="00AF0BAE"/>
    <w:rsid w:val="00AF25DE"/>
    <w:rsid w:val="00AF5267"/>
    <w:rsid w:val="00B208C8"/>
    <w:rsid w:val="00B37417"/>
    <w:rsid w:val="00B51EED"/>
    <w:rsid w:val="00B521D8"/>
    <w:rsid w:val="00B53F8A"/>
    <w:rsid w:val="00B62B86"/>
    <w:rsid w:val="00B634BF"/>
    <w:rsid w:val="00B66E1E"/>
    <w:rsid w:val="00B750D7"/>
    <w:rsid w:val="00B75114"/>
    <w:rsid w:val="00B803FC"/>
    <w:rsid w:val="00B9388E"/>
    <w:rsid w:val="00B9713D"/>
    <w:rsid w:val="00BB158E"/>
    <w:rsid w:val="00BB1669"/>
    <w:rsid w:val="00BB5F96"/>
    <w:rsid w:val="00BC026A"/>
    <w:rsid w:val="00BD147C"/>
    <w:rsid w:val="00BD238A"/>
    <w:rsid w:val="00BD4CDA"/>
    <w:rsid w:val="00BD5FB0"/>
    <w:rsid w:val="00C021D6"/>
    <w:rsid w:val="00C30D46"/>
    <w:rsid w:val="00C548AF"/>
    <w:rsid w:val="00C57FA6"/>
    <w:rsid w:val="00C714E0"/>
    <w:rsid w:val="00C7694E"/>
    <w:rsid w:val="00C87176"/>
    <w:rsid w:val="00CA5217"/>
    <w:rsid w:val="00CA6386"/>
    <w:rsid w:val="00CB2090"/>
    <w:rsid w:val="00CC2AEF"/>
    <w:rsid w:val="00CD41F4"/>
    <w:rsid w:val="00CD4BBE"/>
    <w:rsid w:val="00CE470D"/>
    <w:rsid w:val="00CF1AC2"/>
    <w:rsid w:val="00CF691C"/>
    <w:rsid w:val="00D02A8B"/>
    <w:rsid w:val="00D02F3A"/>
    <w:rsid w:val="00D12C69"/>
    <w:rsid w:val="00D15850"/>
    <w:rsid w:val="00D44E6E"/>
    <w:rsid w:val="00D6452B"/>
    <w:rsid w:val="00D72320"/>
    <w:rsid w:val="00DA041C"/>
    <w:rsid w:val="00DB0F82"/>
    <w:rsid w:val="00DB1D0E"/>
    <w:rsid w:val="00DD409D"/>
    <w:rsid w:val="00DE4DE0"/>
    <w:rsid w:val="00DE6B9E"/>
    <w:rsid w:val="00DF0AD7"/>
    <w:rsid w:val="00DF458F"/>
    <w:rsid w:val="00E0324D"/>
    <w:rsid w:val="00E041DF"/>
    <w:rsid w:val="00E04CDA"/>
    <w:rsid w:val="00E15CFF"/>
    <w:rsid w:val="00E25045"/>
    <w:rsid w:val="00E35282"/>
    <w:rsid w:val="00E35288"/>
    <w:rsid w:val="00E402E0"/>
    <w:rsid w:val="00E40BD3"/>
    <w:rsid w:val="00E41BA6"/>
    <w:rsid w:val="00E45803"/>
    <w:rsid w:val="00E9260C"/>
    <w:rsid w:val="00EA184B"/>
    <w:rsid w:val="00EA5439"/>
    <w:rsid w:val="00EB1599"/>
    <w:rsid w:val="00EC46CC"/>
    <w:rsid w:val="00EC6CA6"/>
    <w:rsid w:val="00EC7881"/>
    <w:rsid w:val="00ED6901"/>
    <w:rsid w:val="00ED695A"/>
    <w:rsid w:val="00EE6EB2"/>
    <w:rsid w:val="00EE7960"/>
    <w:rsid w:val="00EE7B34"/>
    <w:rsid w:val="00EF1462"/>
    <w:rsid w:val="00EF690C"/>
    <w:rsid w:val="00EF7042"/>
    <w:rsid w:val="00F03956"/>
    <w:rsid w:val="00F20AF6"/>
    <w:rsid w:val="00F21266"/>
    <w:rsid w:val="00F30507"/>
    <w:rsid w:val="00F31325"/>
    <w:rsid w:val="00F375DE"/>
    <w:rsid w:val="00F42FB5"/>
    <w:rsid w:val="00F475CF"/>
    <w:rsid w:val="00F47BE3"/>
    <w:rsid w:val="00F53ABC"/>
    <w:rsid w:val="00F6088B"/>
    <w:rsid w:val="00F64E35"/>
    <w:rsid w:val="00F72DD8"/>
    <w:rsid w:val="00F83AAD"/>
    <w:rsid w:val="00F87715"/>
    <w:rsid w:val="00F974A4"/>
    <w:rsid w:val="00FA3390"/>
    <w:rsid w:val="00FA4365"/>
    <w:rsid w:val="00FB29F1"/>
    <w:rsid w:val="00FB7B25"/>
    <w:rsid w:val="00FE46B5"/>
    <w:rsid w:val="00FE4A1A"/>
    <w:rsid w:val="00FE6776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N)" w:eastAsia="Times New Roman" w:hAnsi="CG Times (WN)" w:cs="CG Times (WN)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480" w:lineRule="atLeast"/>
      <w:ind w:firstLine="720"/>
    </w:pPr>
    <w:rPr>
      <w:rFonts w:ascii="Times New Roman" w:hAnsi="Times New Roman" w:cs="Times New Roman"/>
      <w:sz w:val="24"/>
    </w:rPr>
  </w:style>
  <w:style w:type="paragraph" w:styleId="Heading1">
    <w:name w:val="heading 1"/>
    <w:basedOn w:val="Heading2"/>
    <w:next w:val="Normal"/>
    <w:link w:val="Heading1Char"/>
    <w:uiPriority w:val="9"/>
    <w:qFormat/>
    <w:pPr>
      <w:ind w:firstLine="0"/>
      <w:jc w:val="center"/>
      <w:outlineLvl w:val="0"/>
    </w:pPr>
  </w:style>
  <w:style w:type="paragraph" w:styleId="Heading2">
    <w:name w:val="heading 2"/>
    <w:basedOn w:val="single"/>
    <w:next w:val="Normal"/>
    <w:link w:val="Heading2Char"/>
    <w:uiPriority w:val="9"/>
    <w:qFormat/>
    <w:pPr>
      <w:keepNext/>
      <w:keepLines/>
      <w:ind w:left="720" w:right="720" w:hanging="72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qFormat/>
    <w:pPr>
      <w:ind w:left="144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pPr>
      <w:ind w:left="2160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pPr>
      <w:ind w:left="2880"/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pPr>
      <w:ind w:left="3600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pPr>
      <w:ind w:left="4320"/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pPr>
      <w:ind w:left="5040"/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pPr>
      <w:ind w:left="576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Pr>
      <w:rFonts w:ascii="Cambria" w:eastAsia="Times New Roman" w:hAnsi="Cambria" w:cs="Times New Roman"/>
      <w:sz w:val="22"/>
      <w:szCs w:val="22"/>
    </w:rPr>
  </w:style>
  <w:style w:type="paragraph" w:customStyle="1" w:styleId="single">
    <w:name w:val="single"/>
    <w:basedOn w:val="Normal"/>
    <w:pPr>
      <w:spacing w:before="240" w:line="240" w:lineRule="atLeast"/>
    </w:pPr>
  </w:style>
  <w:style w:type="character" w:styleId="CommentReference">
    <w:name w:val="annotation reference"/>
    <w:uiPriority w:val="99"/>
    <w:semiHidden/>
    <w:rPr>
      <w:rFonts w:ascii="Univers (WN)" w:hAnsi="Univers (WN)"/>
      <w:position w:val="4"/>
      <w:sz w:val="16"/>
      <w:u w:val="double"/>
    </w:rPr>
  </w:style>
  <w:style w:type="paragraph" w:styleId="CommentText">
    <w:name w:val="annotation text"/>
    <w:basedOn w:val="FootnoteText"/>
    <w:link w:val="CommentTextChar"/>
    <w:uiPriority w:val="99"/>
    <w:semiHidden/>
  </w:style>
  <w:style w:type="character" w:customStyle="1" w:styleId="CommentTextChar">
    <w:name w:val="Comment Text Char"/>
    <w:link w:val="CommentText"/>
    <w:uiPriority w:val="99"/>
    <w:semiHidden/>
    <w:rPr>
      <w:rFonts w:ascii="Times New Roman" w:hAnsi="Times New Roman" w:cs="Times New Roman"/>
    </w:rPr>
  </w:style>
  <w:style w:type="paragraph" w:styleId="FootnoteText">
    <w:name w:val="footnote text"/>
    <w:basedOn w:val="single"/>
    <w:link w:val="FootnoteTextChar"/>
    <w:uiPriority w:val="99"/>
    <w:semiHidden/>
    <w:rPr>
      <w:sz w:val="22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hAnsi="Times New Roman" w:cs="Times New Roman"/>
    </w:rPr>
  </w:style>
  <w:style w:type="paragraph" w:styleId="TOC7">
    <w:name w:val="toc 7"/>
    <w:basedOn w:val="TOC4"/>
    <w:uiPriority w:val="39"/>
    <w:semiHidden/>
    <w:pPr>
      <w:ind w:left="5040"/>
    </w:pPr>
  </w:style>
  <w:style w:type="paragraph" w:styleId="TOC4">
    <w:name w:val="toc 4"/>
    <w:basedOn w:val="TOC3"/>
    <w:uiPriority w:val="39"/>
    <w:semiHidden/>
    <w:pPr>
      <w:ind w:left="2880"/>
    </w:pPr>
  </w:style>
  <w:style w:type="paragraph" w:styleId="TOC3">
    <w:name w:val="toc 3"/>
    <w:basedOn w:val="TOC2"/>
    <w:uiPriority w:val="39"/>
    <w:semiHidden/>
    <w:pPr>
      <w:ind w:left="2160"/>
    </w:pPr>
  </w:style>
  <w:style w:type="paragraph" w:styleId="TOC2">
    <w:name w:val="toc 2"/>
    <w:basedOn w:val="TOC1"/>
    <w:uiPriority w:val="39"/>
    <w:semiHidden/>
    <w:pPr>
      <w:ind w:left="1440"/>
    </w:pPr>
  </w:style>
  <w:style w:type="paragraph" w:styleId="TOC1">
    <w:name w:val="toc 1"/>
    <w:basedOn w:val="unjustifiedblock"/>
    <w:uiPriority w:val="39"/>
    <w:semiHidden/>
    <w:pPr>
      <w:keepLines/>
      <w:tabs>
        <w:tab w:val="right" w:leader="dot" w:pos="9000"/>
      </w:tabs>
      <w:ind w:left="720" w:right="720" w:hanging="720"/>
    </w:pPr>
    <w:rPr>
      <w:color w:val="0000FF"/>
    </w:rPr>
  </w:style>
  <w:style w:type="paragraph" w:customStyle="1" w:styleId="unjustifiedblock">
    <w:name w:val="unjustified block"/>
    <w:basedOn w:val="singleblock"/>
  </w:style>
  <w:style w:type="paragraph" w:customStyle="1" w:styleId="singleblock">
    <w:name w:val="single block"/>
    <w:basedOn w:val="single"/>
    <w:pPr>
      <w:ind w:firstLine="0"/>
    </w:pPr>
  </w:style>
  <w:style w:type="paragraph" w:styleId="TOC6">
    <w:name w:val="toc 6"/>
    <w:basedOn w:val="TOC4"/>
    <w:uiPriority w:val="39"/>
    <w:semiHidden/>
    <w:pPr>
      <w:ind w:left="4320"/>
    </w:pPr>
  </w:style>
  <w:style w:type="paragraph" w:styleId="TOC5">
    <w:name w:val="toc 5"/>
    <w:basedOn w:val="TOC4"/>
    <w:uiPriority w:val="39"/>
    <w:semiHidden/>
    <w:pPr>
      <w:ind w:left="3600"/>
    </w:pPr>
  </w:style>
  <w:style w:type="paragraph" w:styleId="Index3">
    <w:name w:val="index 3"/>
    <w:basedOn w:val="Index2"/>
    <w:uiPriority w:val="99"/>
    <w:semiHidden/>
    <w:pPr>
      <w:tabs>
        <w:tab w:val="right" w:pos="9000"/>
      </w:tabs>
      <w:spacing w:before="0"/>
    </w:pPr>
  </w:style>
  <w:style w:type="paragraph" w:styleId="Index2">
    <w:name w:val="index 2"/>
    <w:basedOn w:val="Normal"/>
    <w:next w:val="Normal"/>
    <w:uiPriority w:val="99"/>
    <w:semiHidden/>
    <w:pPr>
      <w:tabs>
        <w:tab w:val="right" w:leader="dot" w:pos="9000"/>
      </w:tabs>
      <w:spacing w:before="240" w:line="240" w:lineRule="atLeast"/>
      <w:ind w:left="360" w:right="1440" w:hanging="360"/>
    </w:pPr>
    <w:rPr>
      <w:color w:val="0000FF"/>
    </w:rPr>
  </w:style>
  <w:style w:type="paragraph" w:styleId="Index1">
    <w:name w:val="index 1"/>
    <w:basedOn w:val="Normal"/>
    <w:next w:val="Normal"/>
    <w:uiPriority w:val="99"/>
    <w:semiHidden/>
    <w:pPr>
      <w:spacing w:before="240" w:line="240" w:lineRule="atLeast"/>
      <w:ind w:firstLine="0"/>
    </w:pPr>
    <w:rPr>
      <w:b/>
      <w:color w:val="0000FF"/>
    </w:rPr>
  </w:style>
  <w:style w:type="paragraph" w:styleId="IndexHeading">
    <w:name w:val="index heading"/>
    <w:basedOn w:val="Normal"/>
    <w:next w:val="Normal"/>
    <w:uiPriority w:val="99"/>
    <w:semiHidden/>
    <w:rPr>
      <w:b/>
    </w:rPr>
  </w:style>
  <w:style w:type="paragraph" w:styleId="Footer">
    <w:name w:val="footer"/>
    <w:basedOn w:val="plain"/>
    <w:link w:val="FooterChar"/>
    <w:uiPriority w:val="99"/>
    <w:pPr>
      <w:tabs>
        <w:tab w:val="center" w:pos="4507"/>
        <w:tab w:val="right" w:pos="9000"/>
      </w:tabs>
      <w:ind w:right="4320"/>
    </w:pPr>
  </w:style>
  <w:style w:type="character" w:customStyle="1" w:styleId="FooterChar">
    <w:name w:val="Footer Char"/>
    <w:link w:val="Footer"/>
    <w:uiPriority w:val="99"/>
    <w:semiHidden/>
    <w:rPr>
      <w:rFonts w:ascii="Times New Roman" w:hAnsi="Times New Roman" w:cs="Times New Roman"/>
      <w:sz w:val="24"/>
    </w:rPr>
  </w:style>
  <w:style w:type="paragraph" w:customStyle="1" w:styleId="plain">
    <w:name w:val="plain"/>
    <w:basedOn w:val="unjustifiedblock"/>
    <w:pPr>
      <w:spacing w:before="0"/>
    </w:pPr>
  </w:style>
  <w:style w:type="paragraph" w:styleId="Header">
    <w:name w:val="header"/>
    <w:basedOn w:val="plain"/>
    <w:link w:val="HeaderChar"/>
    <w:uiPriority w:val="99"/>
    <w:pPr>
      <w:tabs>
        <w:tab w:val="center" w:pos="4507"/>
        <w:tab w:val="right" w:pos="9000"/>
      </w:tabs>
    </w:pPr>
  </w:style>
  <w:style w:type="character" w:customStyle="1" w:styleId="HeaderChar">
    <w:name w:val="Header Char"/>
    <w:link w:val="Header"/>
    <w:uiPriority w:val="99"/>
    <w:semiHidden/>
    <w:rPr>
      <w:rFonts w:ascii="Times New Roman" w:hAnsi="Times New Roman" w:cs="Times New Roman"/>
      <w:sz w:val="24"/>
    </w:rPr>
  </w:style>
  <w:style w:type="character" w:styleId="FootnoteReference">
    <w:name w:val="footnote reference"/>
    <w:uiPriority w:val="99"/>
    <w:semiHidden/>
    <w:rPr>
      <w:position w:val="6"/>
      <w:sz w:val="16"/>
    </w:rPr>
  </w:style>
  <w:style w:type="paragraph" w:styleId="NormalIndent">
    <w:name w:val="Normal Indent"/>
    <w:basedOn w:val="singleblock"/>
    <w:uiPriority w:val="99"/>
    <w:pPr>
      <w:ind w:left="1440" w:right="72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normalblock">
    <w:name w:val="normal block"/>
    <w:basedOn w:val="Normal"/>
    <w:pPr>
      <w:ind w:firstLine="0"/>
    </w:pPr>
  </w:style>
  <w:style w:type="paragraph" w:customStyle="1" w:styleId="coverpage">
    <w:name w:val="cover page"/>
    <w:basedOn w:val="unjustifiedblock"/>
    <w:pPr>
      <w:jc w:val="right"/>
    </w:pPr>
  </w:style>
  <w:style w:type="paragraph" w:customStyle="1" w:styleId="center">
    <w:name w:val="center"/>
    <w:basedOn w:val="unjustifiedblock"/>
    <w:pPr>
      <w:keepLines/>
      <w:jc w:val="center"/>
    </w:pPr>
  </w:style>
  <w:style w:type="paragraph" w:customStyle="1" w:styleId="cclist">
    <w:name w:val="cc list"/>
    <w:basedOn w:val="unjustifiedblock"/>
    <w:pPr>
      <w:keepLines/>
      <w:ind w:left="720" w:hanging="720"/>
    </w:pPr>
  </w:style>
  <w:style w:type="paragraph" w:customStyle="1" w:styleId="table">
    <w:name w:val="table"/>
    <w:basedOn w:val="plain"/>
    <w:pPr>
      <w:spacing w:before="60" w:after="60" w:line="240" w:lineRule="auto"/>
    </w:pPr>
  </w:style>
  <w:style w:type="paragraph" w:customStyle="1" w:styleId="footnoteblock">
    <w:name w:val="footnote block"/>
    <w:basedOn w:val="FootnoteText"/>
    <w:pPr>
      <w:ind w:firstLine="0"/>
    </w:pPr>
  </w:style>
  <w:style w:type="paragraph" w:customStyle="1" w:styleId="footnoteindent">
    <w:name w:val="footnote indent"/>
    <w:basedOn w:val="footnoteblock"/>
    <w:pPr>
      <w:ind w:left="1440" w:right="720"/>
    </w:pPr>
  </w:style>
  <w:style w:type="paragraph" w:styleId="Title">
    <w:name w:val="Title"/>
    <w:basedOn w:val="center"/>
    <w:link w:val="TitleChar"/>
    <w:uiPriority w:val="10"/>
    <w:qFormat/>
    <w:pPr>
      <w:keepNext/>
      <w:spacing w:after="240"/>
      <w:ind w:left="720" w:right="720"/>
    </w:pPr>
    <w:rPr>
      <w:b/>
    </w:rPr>
  </w:style>
  <w:style w:type="character" w:customStyle="1" w:styleId="TitleChar">
    <w:name w:val="Title Char"/>
    <w:link w:val="Titl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hangingindent">
    <w:name w:val="hanging indent"/>
    <w:basedOn w:val="normalblock"/>
    <w:pPr>
      <w:ind w:left="720" w:hanging="720"/>
    </w:pPr>
  </w:style>
  <w:style w:type="paragraph" w:customStyle="1" w:styleId="bulletitem">
    <w:name w:val="bullet item"/>
    <w:basedOn w:val="single"/>
    <w:pPr>
      <w:keepLines/>
      <w:ind w:left="720" w:right="360" w:hanging="720"/>
    </w:pPr>
  </w:style>
  <w:style w:type="paragraph" w:customStyle="1" w:styleId="righthalf">
    <w:name w:val="right half"/>
    <w:basedOn w:val="unjustifiedblock"/>
    <w:pPr>
      <w:keepLines/>
      <w:tabs>
        <w:tab w:val="left" w:pos="4860"/>
        <w:tab w:val="right" w:pos="9090"/>
      </w:tabs>
      <w:spacing w:before="480"/>
      <w:ind w:left="4320" w:right="187"/>
    </w:pPr>
  </w:style>
  <w:style w:type="paragraph" w:customStyle="1" w:styleId="hangingnormal">
    <w:name w:val="hanging normal"/>
    <w:basedOn w:val="normalblock"/>
    <w:pPr>
      <w:tabs>
        <w:tab w:val="right" w:pos="8820"/>
      </w:tabs>
      <w:ind w:left="720" w:hanging="720"/>
    </w:pPr>
  </w:style>
  <w:style w:type="paragraph" w:customStyle="1" w:styleId="hangingsingle">
    <w:name w:val="hanging single"/>
    <w:basedOn w:val="single"/>
    <w:pPr>
      <w:keepLines/>
      <w:tabs>
        <w:tab w:val="right" w:pos="8820"/>
      </w:tabs>
      <w:ind w:left="720" w:right="360" w:hanging="720"/>
    </w:pPr>
  </w:style>
  <w:style w:type="paragraph" w:customStyle="1" w:styleId="hangingunjustified">
    <w:name w:val="hanging unjustified"/>
    <w:basedOn w:val="unjustifiedblock"/>
    <w:pPr>
      <w:keepLines/>
      <w:tabs>
        <w:tab w:val="right" w:pos="8820"/>
      </w:tabs>
      <w:ind w:left="720" w:hanging="720"/>
    </w:pPr>
  </w:style>
  <w:style w:type="paragraph" w:customStyle="1" w:styleId="pleading-linenums">
    <w:name w:val="pleading-line nums"/>
    <w:pPr>
      <w:framePr w:w="360" w:hSpace="144" w:vSpace="144" w:wrap="auto" w:vAnchor="page" w:hAnchor="page" w:x="1081" w:y="2161"/>
      <w:spacing w:line="240" w:lineRule="exact"/>
      <w:jc w:val="right"/>
    </w:pPr>
    <w:rPr>
      <w:rFonts w:cs="Times New Roman"/>
    </w:rPr>
  </w:style>
  <w:style w:type="paragraph" w:customStyle="1" w:styleId="c">
    <w:name w:val="c"/>
    <w:basedOn w:val="center"/>
  </w:style>
  <w:style w:type="paragraph" w:customStyle="1" w:styleId="response">
    <w:name w:val="response"/>
    <w:basedOn w:val="Normal"/>
    <w:pPr>
      <w:spacing w:after="2880"/>
    </w:pPr>
  </w:style>
  <w:style w:type="paragraph" w:customStyle="1" w:styleId="pleading-leftbar">
    <w:name w:val="pleading-left bar"/>
    <w:pPr>
      <w:framePr w:w="144" w:wrap="auto" w:vAnchor="page" w:hAnchor="page" w:x="1441" w:yAlign="top"/>
      <w:pBdr>
        <w:left w:val="double" w:sz="6" w:space="1" w:color="auto"/>
      </w:pBdr>
      <w:spacing w:after="15600" w:line="240" w:lineRule="exact"/>
    </w:pPr>
    <w:rPr>
      <w:rFonts w:ascii="Courier" w:hAnsi="Courier" w:cs="Times New Roman"/>
      <w:sz w:val="24"/>
    </w:rPr>
  </w:style>
  <w:style w:type="paragraph" w:customStyle="1" w:styleId="pleading-rightbar">
    <w:name w:val="pleading-right bar"/>
    <w:pPr>
      <w:framePr w:w="144" w:wrap="auto" w:vAnchor="page" w:hAnchor="page" w:x="11377" w:yAlign="top"/>
      <w:pBdr>
        <w:left w:val="single" w:sz="6" w:space="1" w:color="auto"/>
      </w:pBdr>
      <w:spacing w:after="15600" w:line="240" w:lineRule="exact"/>
    </w:pPr>
    <w:rPr>
      <w:rFonts w:ascii="Courier" w:hAnsi="Courier" w:cs="Times New Roman"/>
      <w:sz w:val="24"/>
    </w:rPr>
  </w:style>
  <w:style w:type="paragraph" w:customStyle="1" w:styleId="pleading-firmname">
    <w:name w:val="pleading-firm name"/>
    <w:pPr>
      <w:framePr w:w="2880" w:hSpace="360" w:vSpace="360" w:wrap="auto" w:vAnchor="page" w:hAnchor="text" w:xAlign="right" w:yAlign="bottom"/>
      <w:spacing w:after="360"/>
      <w:jc w:val="center"/>
    </w:pPr>
    <w:rPr>
      <w:rFonts w:cs="Times New Roman"/>
      <w:color w:val="000000"/>
      <w:sz w:val="16"/>
    </w:rPr>
  </w:style>
  <w:style w:type="paragraph" w:customStyle="1" w:styleId="macrobutton">
    <w:name w:val="macrobutton"/>
    <w:basedOn w:val="plain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line="240" w:lineRule="auto"/>
      <w:ind w:left="-144" w:right="4320"/>
    </w:pPr>
    <w:rPr>
      <w:rFonts w:ascii="CG Times (WN)" w:hAnsi="CG Times (WN)"/>
      <w:b/>
      <w:vanish/>
      <w:color w:val="FF0000"/>
      <w:sz w:val="26"/>
    </w:rPr>
  </w:style>
  <w:style w:type="paragraph" w:customStyle="1" w:styleId="pleading-rightrule">
    <w:name w:val="pleading-right rule"/>
    <w:basedOn w:val="pleading-leftrule"/>
    <w:pPr>
      <w:framePr w:wrap="auto" w:x="11708"/>
    </w:pPr>
  </w:style>
  <w:style w:type="paragraph" w:customStyle="1" w:styleId="pleading-leftrule">
    <w:name w:val="pleading-left rule"/>
    <w:basedOn w:val="pleading-linenums"/>
    <w:pPr>
      <w:framePr w:w="0" w:hSpace="0" w:vSpace="0" w:wrap="auto" w:x="1513" w:yAlign="top"/>
      <w:jc w:val="left"/>
    </w:pPr>
    <w:rPr>
      <w:rFonts w:ascii="Courier" w:hAnsi="Courier"/>
      <w:color w:val="0000FF"/>
    </w:rPr>
  </w:style>
  <w:style w:type="paragraph" w:styleId="EnvelopeAddress">
    <w:name w:val="envelope address"/>
    <w:basedOn w:val="Normal"/>
    <w:uiPriority w:val="99"/>
    <w:pPr>
      <w:framePr w:w="7920" w:h="1987" w:hRule="exact" w:hSpace="187" w:wrap="around" w:hAnchor="page" w:xAlign="center" w:yAlign="bottom"/>
      <w:spacing w:line="240" w:lineRule="auto"/>
      <w:ind w:firstLine="0"/>
    </w:pPr>
  </w:style>
  <w:style w:type="paragraph" w:styleId="EnvelopeReturn">
    <w:name w:val="envelope return"/>
    <w:basedOn w:val="Normal"/>
    <w:uiPriority w:val="99"/>
    <w:pPr>
      <w:spacing w:line="240" w:lineRule="auto"/>
      <w:ind w:firstLine="0"/>
    </w:pPr>
    <w:rPr>
      <w:sz w:val="20"/>
    </w:rPr>
  </w:style>
  <w:style w:type="paragraph" w:styleId="TOAHeading">
    <w:name w:val="toa heading"/>
    <w:basedOn w:val="Normal"/>
    <w:next w:val="Normal"/>
    <w:uiPriority w:val="99"/>
    <w:semiHidden/>
    <w:pPr>
      <w:keepNext/>
      <w:keepLines/>
      <w:spacing w:before="120"/>
      <w:ind w:firstLine="0"/>
    </w:pPr>
    <w:rPr>
      <w:b/>
      <w:color w:val="0000FF"/>
    </w:rPr>
  </w:style>
  <w:style w:type="paragraph" w:styleId="TableofAuthorities">
    <w:name w:val="table of authorities"/>
    <w:basedOn w:val="Normal"/>
    <w:next w:val="Normal"/>
    <w:uiPriority w:val="99"/>
    <w:semiHidden/>
    <w:pPr>
      <w:tabs>
        <w:tab w:val="right" w:leader="dot" w:pos="9000"/>
      </w:tabs>
      <w:spacing w:before="240" w:line="240" w:lineRule="auto"/>
      <w:ind w:left="245" w:right="1440" w:hanging="245"/>
    </w:pPr>
    <w:rPr>
      <w:color w:val="0000FF"/>
    </w:rPr>
  </w:style>
  <w:style w:type="paragraph" w:customStyle="1" w:styleId="cite">
    <w:name w:val="cite"/>
    <w:basedOn w:val="hangingunjustified"/>
    <w:pPr>
      <w:framePr w:wrap="auto" w:hAnchor="text" w:yAlign="bottom"/>
      <w:tabs>
        <w:tab w:val="clear" w:pos="8820"/>
      </w:tabs>
      <w:spacing w:before="0"/>
      <w:ind w:left="360" w:hanging="360"/>
    </w:pPr>
    <w:rPr>
      <w:color w:val="0000FF"/>
    </w:rPr>
  </w:style>
  <w:style w:type="paragraph" w:customStyle="1" w:styleId="plead-firmname">
    <w:name w:val="plead-firm name"/>
    <w:pPr>
      <w:framePr w:w="2880" w:vSpace="360" w:wrap="around" w:vAnchor="page" w:hAnchor="text" w:xAlign="right" w:yAlign="bottom"/>
      <w:spacing w:after="360"/>
      <w:jc w:val="center"/>
    </w:pPr>
    <w:rPr>
      <w:rFonts w:cs="Times New Roman"/>
      <w:noProof/>
    </w:rPr>
  </w:style>
  <w:style w:type="paragraph" w:customStyle="1" w:styleId="plead-linenums">
    <w:name w:val="plead-line nums"/>
    <w:pPr>
      <w:framePr w:w="360" w:hSpace="144" w:vSpace="144" w:wrap="around" w:vAnchor="page" w:hAnchor="page" w:x="1081" w:y="2161"/>
      <w:spacing w:line="240" w:lineRule="exact"/>
      <w:jc w:val="right"/>
    </w:pPr>
    <w:rPr>
      <w:rFonts w:cs="Times New Roman"/>
      <w:noProof/>
      <w:color w:val="0000FF"/>
    </w:rPr>
  </w:style>
  <w:style w:type="paragraph" w:customStyle="1" w:styleId="plead-leftrule">
    <w:name w:val="plead-left rule"/>
    <w:basedOn w:val="Normal"/>
    <w:pPr>
      <w:framePr w:w="144" w:wrap="around" w:vAnchor="page" w:hAnchor="page" w:x="1513" w:yAlign="top"/>
      <w:pBdr>
        <w:right w:val="double" w:sz="6" w:space="0" w:color="auto"/>
      </w:pBdr>
      <w:spacing w:after="15600" w:line="240" w:lineRule="exact"/>
      <w:ind w:firstLine="0"/>
    </w:pPr>
    <w:rPr>
      <w:color w:val="0000FF"/>
      <w:sz w:val="20"/>
    </w:rPr>
  </w:style>
  <w:style w:type="paragraph" w:customStyle="1" w:styleId="plead-rightrule">
    <w:name w:val="plead-right rule"/>
    <w:basedOn w:val="plead-leftrule"/>
    <w:pPr>
      <w:framePr w:wrap="around" w:x="11737"/>
      <w:pBdr>
        <w:left w:val="single" w:sz="6" w:space="0" w:color="auto"/>
        <w:right w:val="none" w:sz="0" w:space="0" w:color="auto"/>
      </w:pBdr>
    </w:pPr>
  </w:style>
  <w:style w:type="paragraph" w:customStyle="1" w:styleId="CaptionTitle">
    <w:name w:val="CaptionTitle"/>
    <w:basedOn w:val="Normal"/>
    <w:pPr>
      <w:keepNext/>
      <w:keepLines/>
      <w:spacing w:before="240" w:after="240" w:line="240" w:lineRule="atLeast"/>
      <w:ind w:left="720" w:right="720" w:firstLine="0"/>
      <w:jc w:val="center"/>
    </w:pPr>
  </w:style>
  <w:style w:type="character" w:customStyle="1" w:styleId="Bold">
    <w:name w:val="Bold"/>
    <w:rPr>
      <w:b/>
    </w:rPr>
  </w:style>
  <w:style w:type="paragraph" w:styleId="TOC8">
    <w:name w:val="toc 8"/>
    <w:basedOn w:val="Normal"/>
    <w:next w:val="Normal"/>
    <w:uiPriority w:val="39"/>
    <w:semiHidden/>
    <w:pPr>
      <w:ind w:left="1680"/>
    </w:pPr>
    <w:rPr>
      <w:color w:val="0000FF"/>
    </w:rPr>
  </w:style>
  <w:style w:type="paragraph" w:styleId="TOC9">
    <w:name w:val="toc 9"/>
    <w:basedOn w:val="Normal"/>
    <w:next w:val="Normal"/>
    <w:uiPriority w:val="39"/>
    <w:semiHidden/>
    <w:pPr>
      <w:ind w:left="1920"/>
    </w:pPr>
    <w:rPr>
      <w:color w:val="0000FF"/>
    </w:rPr>
  </w:style>
  <w:style w:type="character" w:customStyle="1" w:styleId="BoldItalics">
    <w:name w:val="Bold Italics"/>
    <w:rPr>
      <w:b/>
      <w:i/>
    </w:rPr>
  </w:style>
  <w:style w:type="character" w:customStyle="1" w:styleId="Underline">
    <w:name w:val="Underline"/>
    <w:rPr>
      <w:u w:val="single"/>
    </w:rPr>
  </w:style>
  <w:style w:type="character" w:customStyle="1" w:styleId="Italics">
    <w:name w:val="Italics"/>
    <w:rPr>
      <w:i/>
    </w:rPr>
  </w:style>
  <w:style w:type="paragraph" w:styleId="BodyTextIndent">
    <w:name w:val="Body Text Indent"/>
    <w:basedOn w:val="Normal"/>
    <w:link w:val="BodyTextIndentChar"/>
    <w:uiPriority w:val="99"/>
    <w:pPr>
      <w:numPr>
        <w:ilvl w:val="12"/>
      </w:numPr>
      <w:tabs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uto"/>
      <w:ind w:left="900" w:firstLine="30"/>
    </w:pPr>
  </w:style>
  <w:style w:type="character" w:customStyle="1" w:styleId="BodyTextIndentChar">
    <w:name w:val="Body Text Indent Char"/>
    <w:link w:val="BodyTextIndent"/>
    <w:uiPriority w:val="99"/>
    <w:semiHidden/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firstLine="0"/>
      <w:jc w:val="center"/>
    </w:p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</w:rPr>
  </w:style>
  <w:style w:type="paragraph" w:customStyle="1" w:styleId="normalhanging">
    <w:name w:val="normal hanging"/>
    <w:basedOn w:val="Normal"/>
    <w:pPr>
      <w:ind w:left="720" w:hanging="720"/>
    </w:pPr>
  </w:style>
  <w:style w:type="paragraph" w:customStyle="1" w:styleId="draft">
    <w:name w:val="draft"/>
    <w:basedOn w:val="Header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tabs>
        <w:tab w:val="left" w:pos="4507"/>
        <w:tab w:val="center" w:pos="5850"/>
      </w:tabs>
      <w:ind w:left="4770"/>
      <w:jc w:val="center"/>
    </w:pPr>
    <w:rPr>
      <w:color w:val="FF0000"/>
    </w:rPr>
  </w:style>
  <w:style w:type="paragraph" w:customStyle="1" w:styleId="normalhanging2">
    <w:name w:val="normal hanging2"/>
    <w:basedOn w:val="Normal"/>
    <w:pPr>
      <w:spacing w:before="240" w:line="240" w:lineRule="atLeast"/>
      <w:ind w:left="1440" w:hanging="720"/>
    </w:pPr>
    <w:rPr>
      <w:sz w:val="26"/>
    </w:rPr>
  </w:style>
  <w:style w:type="paragraph" w:customStyle="1" w:styleId="answer">
    <w:name w:val="answer"/>
    <w:basedOn w:val="Normal"/>
    <w:link w:val="answerChar"/>
    <w:rsid w:val="00736CEE"/>
    <w:pPr>
      <w:spacing w:before="120" w:after="120" w:line="480" w:lineRule="auto"/>
      <w:ind w:left="720" w:hanging="720"/>
    </w:pPr>
  </w:style>
  <w:style w:type="paragraph" w:customStyle="1" w:styleId="question">
    <w:name w:val="question"/>
    <w:basedOn w:val="Normal"/>
    <w:next w:val="answer"/>
    <w:rsid w:val="00736CEE"/>
    <w:pPr>
      <w:keepNext/>
      <w:keepLines/>
      <w:adjustRightInd w:val="0"/>
      <w:spacing w:before="120" w:after="120" w:line="480" w:lineRule="auto"/>
      <w:ind w:left="720" w:hanging="720"/>
    </w:pPr>
    <w:rPr>
      <w:b/>
    </w:rPr>
  </w:style>
  <w:style w:type="character" w:styleId="LineNumber">
    <w:name w:val="line number"/>
    <w:uiPriority w:val="99"/>
    <w:rsid w:val="00AA1B47"/>
    <w:rPr>
      <w:rFonts w:cs="Times New Roman"/>
    </w:rPr>
  </w:style>
  <w:style w:type="table" w:styleId="TableGrid">
    <w:name w:val="Table Grid"/>
    <w:basedOn w:val="TableNormal"/>
    <w:uiPriority w:val="59"/>
    <w:rsid w:val="00136F4A"/>
    <w:pPr>
      <w:spacing w:line="480" w:lineRule="atLeast"/>
      <w:ind w:firstLine="72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zmpTrailerItem">
    <w:name w:val="zzmpTrailerItem"/>
    <w:rsid w:val="00EC46CC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styleId="Hyperlink">
    <w:name w:val="Hyperlink"/>
    <w:uiPriority w:val="99"/>
    <w:rsid w:val="006C5B37"/>
    <w:rPr>
      <w:color w:val="0000FF"/>
      <w:u w:val="single"/>
    </w:rPr>
  </w:style>
  <w:style w:type="character" w:customStyle="1" w:styleId="tabledatafont">
    <w:name w:val="tabledatafont"/>
    <w:rsid w:val="006C5B3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E0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answerChar">
    <w:name w:val="answer Char"/>
    <w:link w:val="answer"/>
    <w:locked/>
    <w:rsid w:val="00F375DE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 (WN)" w:eastAsia="Times New Roman" w:hAnsi="CG Times (WN)" w:cs="CG Times (WN)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480" w:lineRule="atLeast"/>
      <w:ind w:firstLine="720"/>
    </w:pPr>
    <w:rPr>
      <w:rFonts w:ascii="Times New Roman" w:hAnsi="Times New Roman" w:cs="Times New Roman"/>
      <w:sz w:val="24"/>
    </w:rPr>
  </w:style>
  <w:style w:type="paragraph" w:styleId="Heading1">
    <w:name w:val="heading 1"/>
    <w:basedOn w:val="Heading2"/>
    <w:next w:val="Normal"/>
    <w:link w:val="Heading1Char"/>
    <w:uiPriority w:val="9"/>
    <w:qFormat/>
    <w:pPr>
      <w:ind w:firstLine="0"/>
      <w:jc w:val="center"/>
      <w:outlineLvl w:val="0"/>
    </w:pPr>
  </w:style>
  <w:style w:type="paragraph" w:styleId="Heading2">
    <w:name w:val="heading 2"/>
    <w:basedOn w:val="single"/>
    <w:next w:val="Normal"/>
    <w:link w:val="Heading2Char"/>
    <w:uiPriority w:val="9"/>
    <w:qFormat/>
    <w:pPr>
      <w:keepNext/>
      <w:keepLines/>
      <w:ind w:left="720" w:right="720" w:hanging="72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qFormat/>
    <w:pPr>
      <w:ind w:left="144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pPr>
      <w:ind w:left="2160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pPr>
      <w:ind w:left="2880"/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pPr>
      <w:ind w:left="3600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pPr>
      <w:ind w:left="4320"/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pPr>
      <w:ind w:left="5040"/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pPr>
      <w:ind w:left="576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Pr>
      <w:rFonts w:ascii="Cambria" w:eastAsia="Times New Roman" w:hAnsi="Cambria" w:cs="Times New Roman"/>
      <w:sz w:val="22"/>
      <w:szCs w:val="22"/>
    </w:rPr>
  </w:style>
  <w:style w:type="paragraph" w:customStyle="1" w:styleId="single">
    <w:name w:val="single"/>
    <w:basedOn w:val="Normal"/>
    <w:pPr>
      <w:spacing w:before="240" w:line="240" w:lineRule="atLeast"/>
    </w:pPr>
  </w:style>
  <w:style w:type="character" w:styleId="CommentReference">
    <w:name w:val="annotation reference"/>
    <w:uiPriority w:val="99"/>
    <w:semiHidden/>
    <w:rPr>
      <w:rFonts w:ascii="Univers (WN)" w:hAnsi="Univers (WN)"/>
      <w:position w:val="4"/>
      <w:sz w:val="16"/>
      <w:u w:val="double"/>
    </w:rPr>
  </w:style>
  <w:style w:type="paragraph" w:styleId="CommentText">
    <w:name w:val="annotation text"/>
    <w:basedOn w:val="FootnoteText"/>
    <w:link w:val="CommentTextChar"/>
    <w:uiPriority w:val="99"/>
    <w:semiHidden/>
  </w:style>
  <w:style w:type="character" w:customStyle="1" w:styleId="CommentTextChar">
    <w:name w:val="Comment Text Char"/>
    <w:link w:val="CommentText"/>
    <w:uiPriority w:val="99"/>
    <w:semiHidden/>
    <w:rPr>
      <w:rFonts w:ascii="Times New Roman" w:hAnsi="Times New Roman" w:cs="Times New Roman"/>
    </w:rPr>
  </w:style>
  <w:style w:type="paragraph" w:styleId="FootnoteText">
    <w:name w:val="footnote text"/>
    <w:basedOn w:val="single"/>
    <w:link w:val="FootnoteTextChar"/>
    <w:uiPriority w:val="99"/>
    <w:semiHidden/>
    <w:rPr>
      <w:sz w:val="22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hAnsi="Times New Roman" w:cs="Times New Roman"/>
    </w:rPr>
  </w:style>
  <w:style w:type="paragraph" w:styleId="TOC7">
    <w:name w:val="toc 7"/>
    <w:basedOn w:val="TOC4"/>
    <w:uiPriority w:val="39"/>
    <w:semiHidden/>
    <w:pPr>
      <w:ind w:left="5040"/>
    </w:pPr>
  </w:style>
  <w:style w:type="paragraph" w:styleId="TOC4">
    <w:name w:val="toc 4"/>
    <w:basedOn w:val="TOC3"/>
    <w:uiPriority w:val="39"/>
    <w:semiHidden/>
    <w:pPr>
      <w:ind w:left="2880"/>
    </w:pPr>
  </w:style>
  <w:style w:type="paragraph" w:styleId="TOC3">
    <w:name w:val="toc 3"/>
    <w:basedOn w:val="TOC2"/>
    <w:uiPriority w:val="39"/>
    <w:semiHidden/>
    <w:pPr>
      <w:ind w:left="2160"/>
    </w:pPr>
  </w:style>
  <w:style w:type="paragraph" w:styleId="TOC2">
    <w:name w:val="toc 2"/>
    <w:basedOn w:val="TOC1"/>
    <w:uiPriority w:val="39"/>
    <w:semiHidden/>
    <w:pPr>
      <w:ind w:left="1440"/>
    </w:pPr>
  </w:style>
  <w:style w:type="paragraph" w:styleId="TOC1">
    <w:name w:val="toc 1"/>
    <w:basedOn w:val="unjustifiedblock"/>
    <w:uiPriority w:val="39"/>
    <w:semiHidden/>
    <w:pPr>
      <w:keepLines/>
      <w:tabs>
        <w:tab w:val="right" w:leader="dot" w:pos="9000"/>
      </w:tabs>
      <w:ind w:left="720" w:right="720" w:hanging="720"/>
    </w:pPr>
    <w:rPr>
      <w:color w:val="0000FF"/>
    </w:rPr>
  </w:style>
  <w:style w:type="paragraph" w:customStyle="1" w:styleId="unjustifiedblock">
    <w:name w:val="unjustified block"/>
    <w:basedOn w:val="singleblock"/>
  </w:style>
  <w:style w:type="paragraph" w:customStyle="1" w:styleId="singleblock">
    <w:name w:val="single block"/>
    <w:basedOn w:val="single"/>
    <w:pPr>
      <w:ind w:firstLine="0"/>
    </w:pPr>
  </w:style>
  <w:style w:type="paragraph" w:styleId="TOC6">
    <w:name w:val="toc 6"/>
    <w:basedOn w:val="TOC4"/>
    <w:uiPriority w:val="39"/>
    <w:semiHidden/>
    <w:pPr>
      <w:ind w:left="4320"/>
    </w:pPr>
  </w:style>
  <w:style w:type="paragraph" w:styleId="TOC5">
    <w:name w:val="toc 5"/>
    <w:basedOn w:val="TOC4"/>
    <w:uiPriority w:val="39"/>
    <w:semiHidden/>
    <w:pPr>
      <w:ind w:left="3600"/>
    </w:pPr>
  </w:style>
  <w:style w:type="paragraph" w:styleId="Index3">
    <w:name w:val="index 3"/>
    <w:basedOn w:val="Index2"/>
    <w:uiPriority w:val="99"/>
    <w:semiHidden/>
    <w:pPr>
      <w:tabs>
        <w:tab w:val="right" w:pos="9000"/>
      </w:tabs>
      <w:spacing w:before="0"/>
    </w:pPr>
  </w:style>
  <w:style w:type="paragraph" w:styleId="Index2">
    <w:name w:val="index 2"/>
    <w:basedOn w:val="Normal"/>
    <w:next w:val="Normal"/>
    <w:uiPriority w:val="99"/>
    <w:semiHidden/>
    <w:pPr>
      <w:tabs>
        <w:tab w:val="right" w:leader="dot" w:pos="9000"/>
      </w:tabs>
      <w:spacing w:before="240" w:line="240" w:lineRule="atLeast"/>
      <w:ind w:left="360" w:right="1440" w:hanging="360"/>
    </w:pPr>
    <w:rPr>
      <w:color w:val="0000FF"/>
    </w:rPr>
  </w:style>
  <w:style w:type="paragraph" w:styleId="Index1">
    <w:name w:val="index 1"/>
    <w:basedOn w:val="Normal"/>
    <w:next w:val="Normal"/>
    <w:uiPriority w:val="99"/>
    <w:semiHidden/>
    <w:pPr>
      <w:spacing w:before="240" w:line="240" w:lineRule="atLeast"/>
      <w:ind w:firstLine="0"/>
    </w:pPr>
    <w:rPr>
      <w:b/>
      <w:color w:val="0000FF"/>
    </w:rPr>
  </w:style>
  <w:style w:type="paragraph" w:styleId="IndexHeading">
    <w:name w:val="index heading"/>
    <w:basedOn w:val="Normal"/>
    <w:next w:val="Normal"/>
    <w:uiPriority w:val="99"/>
    <w:semiHidden/>
    <w:rPr>
      <w:b/>
    </w:rPr>
  </w:style>
  <w:style w:type="paragraph" w:styleId="Footer">
    <w:name w:val="footer"/>
    <w:basedOn w:val="plain"/>
    <w:link w:val="FooterChar"/>
    <w:uiPriority w:val="99"/>
    <w:pPr>
      <w:tabs>
        <w:tab w:val="center" w:pos="4507"/>
        <w:tab w:val="right" w:pos="9000"/>
      </w:tabs>
      <w:ind w:right="4320"/>
    </w:pPr>
  </w:style>
  <w:style w:type="character" w:customStyle="1" w:styleId="FooterChar">
    <w:name w:val="Footer Char"/>
    <w:link w:val="Footer"/>
    <w:uiPriority w:val="99"/>
    <w:semiHidden/>
    <w:rPr>
      <w:rFonts w:ascii="Times New Roman" w:hAnsi="Times New Roman" w:cs="Times New Roman"/>
      <w:sz w:val="24"/>
    </w:rPr>
  </w:style>
  <w:style w:type="paragraph" w:customStyle="1" w:styleId="plain">
    <w:name w:val="plain"/>
    <w:basedOn w:val="unjustifiedblock"/>
    <w:pPr>
      <w:spacing w:before="0"/>
    </w:pPr>
  </w:style>
  <w:style w:type="paragraph" w:styleId="Header">
    <w:name w:val="header"/>
    <w:basedOn w:val="plain"/>
    <w:link w:val="HeaderChar"/>
    <w:uiPriority w:val="99"/>
    <w:pPr>
      <w:tabs>
        <w:tab w:val="center" w:pos="4507"/>
        <w:tab w:val="right" w:pos="9000"/>
      </w:tabs>
    </w:pPr>
  </w:style>
  <w:style w:type="character" w:customStyle="1" w:styleId="HeaderChar">
    <w:name w:val="Header Char"/>
    <w:link w:val="Header"/>
    <w:uiPriority w:val="99"/>
    <w:semiHidden/>
    <w:rPr>
      <w:rFonts w:ascii="Times New Roman" w:hAnsi="Times New Roman" w:cs="Times New Roman"/>
      <w:sz w:val="24"/>
    </w:rPr>
  </w:style>
  <w:style w:type="character" w:styleId="FootnoteReference">
    <w:name w:val="footnote reference"/>
    <w:uiPriority w:val="99"/>
    <w:semiHidden/>
    <w:rPr>
      <w:position w:val="6"/>
      <w:sz w:val="16"/>
    </w:rPr>
  </w:style>
  <w:style w:type="paragraph" w:styleId="NormalIndent">
    <w:name w:val="Normal Indent"/>
    <w:basedOn w:val="singleblock"/>
    <w:uiPriority w:val="99"/>
    <w:pPr>
      <w:ind w:left="1440" w:right="72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normalblock">
    <w:name w:val="normal block"/>
    <w:basedOn w:val="Normal"/>
    <w:pPr>
      <w:ind w:firstLine="0"/>
    </w:pPr>
  </w:style>
  <w:style w:type="paragraph" w:customStyle="1" w:styleId="coverpage">
    <w:name w:val="cover page"/>
    <w:basedOn w:val="unjustifiedblock"/>
    <w:pPr>
      <w:jc w:val="right"/>
    </w:pPr>
  </w:style>
  <w:style w:type="paragraph" w:customStyle="1" w:styleId="center">
    <w:name w:val="center"/>
    <w:basedOn w:val="unjustifiedblock"/>
    <w:pPr>
      <w:keepLines/>
      <w:jc w:val="center"/>
    </w:pPr>
  </w:style>
  <w:style w:type="paragraph" w:customStyle="1" w:styleId="cclist">
    <w:name w:val="cc list"/>
    <w:basedOn w:val="unjustifiedblock"/>
    <w:pPr>
      <w:keepLines/>
      <w:ind w:left="720" w:hanging="720"/>
    </w:pPr>
  </w:style>
  <w:style w:type="paragraph" w:customStyle="1" w:styleId="table">
    <w:name w:val="table"/>
    <w:basedOn w:val="plain"/>
    <w:pPr>
      <w:spacing w:before="60" w:after="60" w:line="240" w:lineRule="auto"/>
    </w:pPr>
  </w:style>
  <w:style w:type="paragraph" w:customStyle="1" w:styleId="footnoteblock">
    <w:name w:val="footnote block"/>
    <w:basedOn w:val="FootnoteText"/>
    <w:pPr>
      <w:ind w:firstLine="0"/>
    </w:pPr>
  </w:style>
  <w:style w:type="paragraph" w:customStyle="1" w:styleId="footnoteindent">
    <w:name w:val="footnote indent"/>
    <w:basedOn w:val="footnoteblock"/>
    <w:pPr>
      <w:ind w:left="1440" w:right="720"/>
    </w:pPr>
  </w:style>
  <w:style w:type="paragraph" w:styleId="Title">
    <w:name w:val="Title"/>
    <w:basedOn w:val="center"/>
    <w:link w:val="TitleChar"/>
    <w:uiPriority w:val="10"/>
    <w:qFormat/>
    <w:pPr>
      <w:keepNext/>
      <w:spacing w:after="240"/>
      <w:ind w:left="720" w:right="720"/>
    </w:pPr>
    <w:rPr>
      <w:b/>
    </w:rPr>
  </w:style>
  <w:style w:type="character" w:customStyle="1" w:styleId="TitleChar">
    <w:name w:val="Title Char"/>
    <w:link w:val="Titl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hangingindent">
    <w:name w:val="hanging indent"/>
    <w:basedOn w:val="normalblock"/>
    <w:pPr>
      <w:ind w:left="720" w:hanging="720"/>
    </w:pPr>
  </w:style>
  <w:style w:type="paragraph" w:customStyle="1" w:styleId="bulletitem">
    <w:name w:val="bullet item"/>
    <w:basedOn w:val="single"/>
    <w:pPr>
      <w:keepLines/>
      <w:ind w:left="720" w:right="360" w:hanging="720"/>
    </w:pPr>
  </w:style>
  <w:style w:type="paragraph" w:customStyle="1" w:styleId="righthalf">
    <w:name w:val="right half"/>
    <w:basedOn w:val="unjustifiedblock"/>
    <w:pPr>
      <w:keepLines/>
      <w:tabs>
        <w:tab w:val="left" w:pos="4860"/>
        <w:tab w:val="right" w:pos="9090"/>
      </w:tabs>
      <w:spacing w:before="480"/>
      <w:ind w:left="4320" w:right="187"/>
    </w:pPr>
  </w:style>
  <w:style w:type="paragraph" w:customStyle="1" w:styleId="hangingnormal">
    <w:name w:val="hanging normal"/>
    <w:basedOn w:val="normalblock"/>
    <w:pPr>
      <w:tabs>
        <w:tab w:val="right" w:pos="8820"/>
      </w:tabs>
      <w:ind w:left="720" w:hanging="720"/>
    </w:pPr>
  </w:style>
  <w:style w:type="paragraph" w:customStyle="1" w:styleId="hangingsingle">
    <w:name w:val="hanging single"/>
    <w:basedOn w:val="single"/>
    <w:pPr>
      <w:keepLines/>
      <w:tabs>
        <w:tab w:val="right" w:pos="8820"/>
      </w:tabs>
      <w:ind w:left="720" w:right="360" w:hanging="720"/>
    </w:pPr>
  </w:style>
  <w:style w:type="paragraph" w:customStyle="1" w:styleId="hangingunjustified">
    <w:name w:val="hanging unjustified"/>
    <w:basedOn w:val="unjustifiedblock"/>
    <w:pPr>
      <w:keepLines/>
      <w:tabs>
        <w:tab w:val="right" w:pos="8820"/>
      </w:tabs>
      <w:ind w:left="720" w:hanging="720"/>
    </w:pPr>
  </w:style>
  <w:style w:type="paragraph" w:customStyle="1" w:styleId="pleading-linenums">
    <w:name w:val="pleading-line nums"/>
    <w:pPr>
      <w:framePr w:w="360" w:hSpace="144" w:vSpace="144" w:wrap="auto" w:vAnchor="page" w:hAnchor="page" w:x="1081" w:y="2161"/>
      <w:spacing w:line="240" w:lineRule="exact"/>
      <w:jc w:val="right"/>
    </w:pPr>
    <w:rPr>
      <w:rFonts w:cs="Times New Roman"/>
    </w:rPr>
  </w:style>
  <w:style w:type="paragraph" w:customStyle="1" w:styleId="c">
    <w:name w:val="c"/>
    <w:basedOn w:val="center"/>
  </w:style>
  <w:style w:type="paragraph" w:customStyle="1" w:styleId="response">
    <w:name w:val="response"/>
    <w:basedOn w:val="Normal"/>
    <w:pPr>
      <w:spacing w:after="2880"/>
    </w:pPr>
  </w:style>
  <w:style w:type="paragraph" w:customStyle="1" w:styleId="pleading-leftbar">
    <w:name w:val="pleading-left bar"/>
    <w:pPr>
      <w:framePr w:w="144" w:wrap="auto" w:vAnchor="page" w:hAnchor="page" w:x="1441" w:yAlign="top"/>
      <w:pBdr>
        <w:left w:val="double" w:sz="6" w:space="1" w:color="auto"/>
      </w:pBdr>
      <w:spacing w:after="15600" w:line="240" w:lineRule="exact"/>
    </w:pPr>
    <w:rPr>
      <w:rFonts w:ascii="Courier" w:hAnsi="Courier" w:cs="Times New Roman"/>
      <w:sz w:val="24"/>
    </w:rPr>
  </w:style>
  <w:style w:type="paragraph" w:customStyle="1" w:styleId="pleading-rightbar">
    <w:name w:val="pleading-right bar"/>
    <w:pPr>
      <w:framePr w:w="144" w:wrap="auto" w:vAnchor="page" w:hAnchor="page" w:x="11377" w:yAlign="top"/>
      <w:pBdr>
        <w:left w:val="single" w:sz="6" w:space="1" w:color="auto"/>
      </w:pBdr>
      <w:spacing w:after="15600" w:line="240" w:lineRule="exact"/>
    </w:pPr>
    <w:rPr>
      <w:rFonts w:ascii="Courier" w:hAnsi="Courier" w:cs="Times New Roman"/>
      <w:sz w:val="24"/>
    </w:rPr>
  </w:style>
  <w:style w:type="paragraph" w:customStyle="1" w:styleId="pleading-firmname">
    <w:name w:val="pleading-firm name"/>
    <w:pPr>
      <w:framePr w:w="2880" w:hSpace="360" w:vSpace="360" w:wrap="auto" w:vAnchor="page" w:hAnchor="text" w:xAlign="right" w:yAlign="bottom"/>
      <w:spacing w:after="360"/>
      <w:jc w:val="center"/>
    </w:pPr>
    <w:rPr>
      <w:rFonts w:cs="Times New Roman"/>
      <w:color w:val="000000"/>
      <w:sz w:val="16"/>
    </w:rPr>
  </w:style>
  <w:style w:type="paragraph" w:customStyle="1" w:styleId="macrobutton">
    <w:name w:val="macrobutton"/>
    <w:basedOn w:val="plain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line="240" w:lineRule="auto"/>
      <w:ind w:left="-144" w:right="4320"/>
    </w:pPr>
    <w:rPr>
      <w:rFonts w:ascii="CG Times (WN)" w:hAnsi="CG Times (WN)"/>
      <w:b/>
      <w:vanish/>
      <w:color w:val="FF0000"/>
      <w:sz w:val="26"/>
    </w:rPr>
  </w:style>
  <w:style w:type="paragraph" w:customStyle="1" w:styleId="pleading-rightrule">
    <w:name w:val="pleading-right rule"/>
    <w:basedOn w:val="pleading-leftrule"/>
    <w:pPr>
      <w:framePr w:wrap="auto" w:x="11708"/>
    </w:pPr>
  </w:style>
  <w:style w:type="paragraph" w:customStyle="1" w:styleId="pleading-leftrule">
    <w:name w:val="pleading-left rule"/>
    <w:basedOn w:val="pleading-linenums"/>
    <w:pPr>
      <w:framePr w:w="0" w:hSpace="0" w:vSpace="0" w:wrap="auto" w:x="1513" w:yAlign="top"/>
      <w:jc w:val="left"/>
    </w:pPr>
    <w:rPr>
      <w:rFonts w:ascii="Courier" w:hAnsi="Courier"/>
      <w:color w:val="0000FF"/>
    </w:rPr>
  </w:style>
  <w:style w:type="paragraph" w:styleId="EnvelopeAddress">
    <w:name w:val="envelope address"/>
    <w:basedOn w:val="Normal"/>
    <w:uiPriority w:val="99"/>
    <w:pPr>
      <w:framePr w:w="7920" w:h="1987" w:hRule="exact" w:hSpace="187" w:wrap="around" w:hAnchor="page" w:xAlign="center" w:yAlign="bottom"/>
      <w:spacing w:line="240" w:lineRule="auto"/>
      <w:ind w:firstLine="0"/>
    </w:pPr>
  </w:style>
  <w:style w:type="paragraph" w:styleId="EnvelopeReturn">
    <w:name w:val="envelope return"/>
    <w:basedOn w:val="Normal"/>
    <w:uiPriority w:val="99"/>
    <w:pPr>
      <w:spacing w:line="240" w:lineRule="auto"/>
      <w:ind w:firstLine="0"/>
    </w:pPr>
    <w:rPr>
      <w:sz w:val="20"/>
    </w:rPr>
  </w:style>
  <w:style w:type="paragraph" w:styleId="TOAHeading">
    <w:name w:val="toa heading"/>
    <w:basedOn w:val="Normal"/>
    <w:next w:val="Normal"/>
    <w:uiPriority w:val="99"/>
    <w:semiHidden/>
    <w:pPr>
      <w:keepNext/>
      <w:keepLines/>
      <w:spacing w:before="120"/>
      <w:ind w:firstLine="0"/>
    </w:pPr>
    <w:rPr>
      <w:b/>
      <w:color w:val="0000FF"/>
    </w:rPr>
  </w:style>
  <w:style w:type="paragraph" w:styleId="TableofAuthorities">
    <w:name w:val="table of authorities"/>
    <w:basedOn w:val="Normal"/>
    <w:next w:val="Normal"/>
    <w:uiPriority w:val="99"/>
    <w:semiHidden/>
    <w:pPr>
      <w:tabs>
        <w:tab w:val="right" w:leader="dot" w:pos="9000"/>
      </w:tabs>
      <w:spacing w:before="240" w:line="240" w:lineRule="auto"/>
      <w:ind w:left="245" w:right="1440" w:hanging="245"/>
    </w:pPr>
    <w:rPr>
      <w:color w:val="0000FF"/>
    </w:rPr>
  </w:style>
  <w:style w:type="paragraph" w:customStyle="1" w:styleId="cite">
    <w:name w:val="cite"/>
    <w:basedOn w:val="hangingunjustified"/>
    <w:pPr>
      <w:framePr w:wrap="auto" w:hAnchor="text" w:yAlign="bottom"/>
      <w:tabs>
        <w:tab w:val="clear" w:pos="8820"/>
      </w:tabs>
      <w:spacing w:before="0"/>
      <w:ind w:left="360" w:hanging="360"/>
    </w:pPr>
    <w:rPr>
      <w:color w:val="0000FF"/>
    </w:rPr>
  </w:style>
  <w:style w:type="paragraph" w:customStyle="1" w:styleId="plead-firmname">
    <w:name w:val="plead-firm name"/>
    <w:pPr>
      <w:framePr w:w="2880" w:vSpace="360" w:wrap="around" w:vAnchor="page" w:hAnchor="text" w:xAlign="right" w:yAlign="bottom"/>
      <w:spacing w:after="360"/>
      <w:jc w:val="center"/>
    </w:pPr>
    <w:rPr>
      <w:rFonts w:cs="Times New Roman"/>
      <w:noProof/>
    </w:rPr>
  </w:style>
  <w:style w:type="paragraph" w:customStyle="1" w:styleId="plead-linenums">
    <w:name w:val="plead-line nums"/>
    <w:pPr>
      <w:framePr w:w="360" w:hSpace="144" w:vSpace="144" w:wrap="around" w:vAnchor="page" w:hAnchor="page" w:x="1081" w:y="2161"/>
      <w:spacing w:line="240" w:lineRule="exact"/>
      <w:jc w:val="right"/>
    </w:pPr>
    <w:rPr>
      <w:rFonts w:cs="Times New Roman"/>
      <w:noProof/>
      <w:color w:val="0000FF"/>
    </w:rPr>
  </w:style>
  <w:style w:type="paragraph" w:customStyle="1" w:styleId="plead-leftrule">
    <w:name w:val="plead-left rule"/>
    <w:basedOn w:val="Normal"/>
    <w:pPr>
      <w:framePr w:w="144" w:wrap="around" w:vAnchor="page" w:hAnchor="page" w:x="1513" w:yAlign="top"/>
      <w:pBdr>
        <w:right w:val="double" w:sz="6" w:space="0" w:color="auto"/>
      </w:pBdr>
      <w:spacing w:after="15600" w:line="240" w:lineRule="exact"/>
      <w:ind w:firstLine="0"/>
    </w:pPr>
    <w:rPr>
      <w:color w:val="0000FF"/>
      <w:sz w:val="20"/>
    </w:rPr>
  </w:style>
  <w:style w:type="paragraph" w:customStyle="1" w:styleId="plead-rightrule">
    <w:name w:val="plead-right rule"/>
    <w:basedOn w:val="plead-leftrule"/>
    <w:pPr>
      <w:framePr w:wrap="around" w:x="11737"/>
      <w:pBdr>
        <w:left w:val="single" w:sz="6" w:space="0" w:color="auto"/>
        <w:right w:val="none" w:sz="0" w:space="0" w:color="auto"/>
      </w:pBdr>
    </w:pPr>
  </w:style>
  <w:style w:type="paragraph" w:customStyle="1" w:styleId="CaptionTitle">
    <w:name w:val="CaptionTitle"/>
    <w:basedOn w:val="Normal"/>
    <w:pPr>
      <w:keepNext/>
      <w:keepLines/>
      <w:spacing w:before="240" w:after="240" w:line="240" w:lineRule="atLeast"/>
      <w:ind w:left="720" w:right="720" w:firstLine="0"/>
      <w:jc w:val="center"/>
    </w:pPr>
  </w:style>
  <w:style w:type="character" w:customStyle="1" w:styleId="Bold">
    <w:name w:val="Bold"/>
    <w:rPr>
      <w:b/>
    </w:rPr>
  </w:style>
  <w:style w:type="paragraph" w:styleId="TOC8">
    <w:name w:val="toc 8"/>
    <w:basedOn w:val="Normal"/>
    <w:next w:val="Normal"/>
    <w:uiPriority w:val="39"/>
    <w:semiHidden/>
    <w:pPr>
      <w:ind w:left="1680"/>
    </w:pPr>
    <w:rPr>
      <w:color w:val="0000FF"/>
    </w:rPr>
  </w:style>
  <w:style w:type="paragraph" w:styleId="TOC9">
    <w:name w:val="toc 9"/>
    <w:basedOn w:val="Normal"/>
    <w:next w:val="Normal"/>
    <w:uiPriority w:val="39"/>
    <w:semiHidden/>
    <w:pPr>
      <w:ind w:left="1920"/>
    </w:pPr>
    <w:rPr>
      <w:color w:val="0000FF"/>
    </w:rPr>
  </w:style>
  <w:style w:type="character" w:customStyle="1" w:styleId="BoldItalics">
    <w:name w:val="Bold Italics"/>
    <w:rPr>
      <w:b/>
      <w:i/>
    </w:rPr>
  </w:style>
  <w:style w:type="character" w:customStyle="1" w:styleId="Underline">
    <w:name w:val="Underline"/>
    <w:rPr>
      <w:u w:val="single"/>
    </w:rPr>
  </w:style>
  <w:style w:type="character" w:customStyle="1" w:styleId="Italics">
    <w:name w:val="Italics"/>
    <w:rPr>
      <w:i/>
    </w:rPr>
  </w:style>
  <w:style w:type="paragraph" w:styleId="BodyTextIndent">
    <w:name w:val="Body Text Indent"/>
    <w:basedOn w:val="Normal"/>
    <w:link w:val="BodyTextIndentChar"/>
    <w:uiPriority w:val="99"/>
    <w:pPr>
      <w:numPr>
        <w:ilvl w:val="12"/>
      </w:numPr>
      <w:tabs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uto"/>
      <w:ind w:left="900" w:firstLine="30"/>
    </w:pPr>
  </w:style>
  <w:style w:type="character" w:customStyle="1" w:styleId="BodyTextIndentChar">
    <w:name w:val="Body Text Indent Char"/>
    <w:link w:val="BodyTextIndent"/>
    <w:uiPriority w:val="99"/>
    <w:semiHidden/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firstLine="0"/>
      <w:jc w:val="center"/>
    </w:p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</w:rPr>
  </w:style>
  <w:style w:type="paragraph" w:customStyle="1" w:styleId="normalhanging">
    <w:name w:val="normal hanging"/>
    <w:basedOn w:val="Normal"/>
    <w:pPr>
      <w:ind w:left="720" w:hanging="720"/>
    </w:pPr>
  </w:style>
  <w:style w:type="paragraph" w:customStyle="1" w:styleId="draft">
    <w:name w:val="draft"/>
    <w:basedOn w:val="Header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tabs>
        <w:tab w:val="left" w:pos="4507"/>
        <w:tab w:val="center" w:pos="5850"/>
      </w:tabs>
      <w:ind w:left="4770"/>
      <w:jc w:val="center"/>
    </w:pPr>
    <w:rPr>
      <w:color w:val="FF0000"/>
    </w:rPr>
  </w:style>
  <w:style w:type="paragraph" w:customStyle="1" w:styleId="normalhanging2">
    <w:name w:val="normal hanging2"/>
    <w:basedOn w:val="Normal"/>
    <w:pPr>
      <w:spacing w:before="240" w:line="240" w:lineRule="atLeast"/>
      <w:ind w:left="1440" w:hanging="720"/>
    </w:pPr>
    <w:rPr>
      <w:sz w:val="26"/>
    </w:rPr>
  </w:style>
  <w:style w:type="paragraph" w:customStyle="1" w:styleId="answer">
    <w:name w:val="answer"/>
    <w:basedOn w:val="Normal"/>
    <w:link w:val="answerChar"/>
    <w:rsid w:val="00736CEE"/>
    <w:pPr>
      <w:spacing w:before="120" w:after="120" w:line="480" w:lineRule="auto"/>
      <w:ind w:left="720" w:hanging="720"/>
    </w:pPr>
  </w:style>
  <w:style w:type="paragraph" w:customStyle="1" w:styleId="question">
    <w:name w:val="question"/>
    <w:basedOn w:val="Normal"/>
    <w:next w:val="answer"/>
    <w:rsid w:val="00736CEE"/>
    <w:pPr>
      <w:keepNext/>
      <w:keepLines/>
      <w:adjustRightInd w:val="0"/>
      <w:spacing w:before="120" w:after="120" w:line="480" w:lineRule="auto"/>
      <w:ind w:left="720" w:hanging="720"/>
    </w:pPr>
    <w:rPr>
      <w:b/>
    </w:rPr>
  </w:style>
  <w:style w:type="character" w:styleId="LineNumber">
    <w:name w:val="line number"/>
    <w:uiPriority w:val="99"/>
    <w:rsid w:val="00AA1B47"/>
    <w:rPr>
      <w:rFonts w:cs="Times New Roman"/>
    </w:rPr>
  </w:style>
  <w:style w:type="table" w:styleId="TableGrid">
    <w:name w:val="Table Grid"/>
    <w:basedOn w:val="TableNormal"/>
    <w:uiPriority w:val="59"/>
    <w:rsid w:val="00136F4A"/>
    <w:pPr>
      <w:spacing w:line="480" w:lineRule="atLeast"/>
      <w:ind w:firstLine="72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zmpTrailerItem">
    <w:name w:val="zzmpTrailerItem"/>
    <w:rsid w:val="00EC46CC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styleId="Hyperlink">
    <w:name w:val="Hyperlink"/>
    <w:uiPriority w:val="99"/>
    <w:rsid w:val="006C5B37"/>
    <w:rPr>
      <w:color w:val="0000FF"/>
      <w:u w:val="single"/>
    </w:rPr>
  </w:style>
  <w:style w:type="character" w:customStyle="1" w:styleId="tabledatafont">
    <w:name w:val="tabledatafont"/>
    <w:rsid w:val="006C5B3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E0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answerChar">
    <w:name w:val="answer Char"/>
    <w:link w:val="answer"/>
    <w:locked/>
    <w:rsid w:val="00F375DE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2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SCarson@perkinscoie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C-WAB_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5EE5914DE629D43A2BDE0E636F26AF3" ma:contentTypeVersion="92" ma:contentTypeDescription="" ma:contentTypeScope="" ma:versionID="a023db86b0b46471fed69d95a26feb5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Initial Filing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140</IndustryCode>
    <CaseStatus xmlns="dc463f71-b30c-4ab2-9473-d307f9d35888">Closed</CaseStatus>
    <OpenedDate xmlns="dc463f71-b30c-4ab2-9473-d307f9d35888">2017-04-28T07:00:00+00:00</OpenedDate>
    <Date1 xmlns="dc463f71-b30c-4ab2-9473-d307f9d35888">2017-04-28T07:00:00+00:00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170334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0FFF830E-BD60-4A1A-89DA-260558766C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12424-8203-4032-8FA4-939A954B9ADC}"/>
</file>

<file path=customXml/itemProps3.xml><?xml version="1.0" encoding="utf-8"?>
<ds:datastoreItem xmlns:ds="http://schemas.openxmlformats.org/officeDocument/2006/customXml" ds:itemID="{C43F6E09-66E2-4B12-8D4D-9979D997BF82}"/>
</file>

<file path=customXml/itemProps4.xml><?xml version="1.0" encoding="utf-8"?>
<ds:datastoreItem xmlns:ds="http://schemas.openxmlformats.org/officeDocument/2006/customXml" ds:itemID="{69556BDF-F5C3-422E-9B9D-50EC2C78A2A7}"/>
</file>

<file path=customXml/itemProps5.xml><?xml version="1.0" encoding="utf-8"?>
<ds:datastoreItem xmlns:ds="http://schemas.openxmlformats.org/officeDocument/2006/customXml" ds:itemID="{A0DB324C-12D3-4897-94B6-6A3D9D8B1E8C}"/>
</file>

<file path=docProps/app.xml><?xml version="1.0" encoding="utf-8"?>
<Properties xmlns="http://schemas.openxmlformats.org/officeDocument/2006/extended-properties" xmlns:vt="http://schemas.openxmlformats.org/officeDocument/2006/docPropsVTypes">
  <Template>PC-WAB_T.DOT</Template>
  <TotalTime>0</TotalTime>
  <Pages>5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5258</CharactersWithSpaces>
  <SharedDoc>false</SharedDoc>
  <HLinks>
    <vt:vector size="12" baseType="variant">
      <vt:variant>
        <vt:i4>327775</vt:i4>
      </vt:variant>
      <vt:variant>
        <vt:i4>5</vt:i4>
      </vt:variant>
      <vt:variant>
        <vt:i4>0</vt:i4>
      </vt:variant>
      <vt:variant>
        <vt:i4>5</vt:i4>
      </vt:variant>
      <vt:variant>
        <vt:lpwstr>C:\Users\npeder\AppData\Documents and Settings\akello\Local Settings\Temporary Internet Files\Content.IE5\P4EJZ0RI\PCA 9\DBarnett@perkinscoie.com</vt:lpwstr>
      </vt:variant>
      <vt:variant>
        <vt:lpwstr/>
      </vt:variant>
      <vt:variant>
        <vt:i4>7405663</vt:i4>
      </vt:variant>
      <vt:variant>
        <vt:i4>2</vt:i4>
      </vt:variant>
      <vt:variant>
        <vt:i4>0</vt:i4>
      </vt:variant>
      <vt:variant>
        <vt:i4>5</vt:i4>
      </vt:variant>
      <vt:variant>
        <vt:lpwstr>mailto:SCarson@perkinscoie.com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2017-04-11T23:45:00Z</dcterms:created>
  <dcterms:modified xsi:type="dcterms:W3CDTF">2017-04-28T20:29:00Z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0x0101006E56B4D1795A2E4DB2F0B01679ED314A00F5EE5914DE629D43A2BDE0E636F26AF3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