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B6E2A" w14:textId="77777777" w:rsidR="00D4200D" w:rsidRPr="00F66B34" w:rsidRDefault="00D4200D" w:rsidP="00F66B34">
      <w:pPr>
        <w:spacing w:after="200" w:line="276" w:lineRule="auto"/>
        <w:ind w:left="-810"/>
        <w:jc w:val="both"/>
      </w:pPr>
      <w:bookmarkStart w:id="0" w:name="_GoBack"/>
      <w:bookmarkEnd w:id="0"/>
      <w:r>
        <w:t xml:space="preserve"> </w:t>
      </w:r>
      <w:r w:rsidRPr="009F693C">
        <w:rPr>
          <w:noProof/>
          <w:lang w:eastAsia="en-US"/>
        </w:rPr>
        <w:t xml:space="preserve"> </w:t>
      </w:r>
      <w:bookmarkStart w:id="1" w:name="_Toc234046346"/>
      <w:bookmarkStart w:id="2" w:name="_Toc165107947"/>
      <w:bookmarkStart w:id="3" w:name="_Ref165107126"/>
      <w:r w:rsidRPr="00F66B34">
        <w:rPr>
          <w:noProof/>
          <w:lang w:eastAsia="en-US"/>
        </w:rPr>
        <w:drawing>
          <wp:inline distT="0" distB="0" distL="0" distR="0" wp14:anchorId="701B6FAE" wp14:editId="701B6FAF">
            <wp:extent cx="3753156" cy="65921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753156" cy="659219"/>
                    </a:xfrm>
                    <a:prstGeom prst="rect">
                      <a:avLst/>
                    </a:prstGeom>
                  </pic:spPr>
                </pic:pic>
              </a:graphicData>
            </a:graphic>
          </wp:inline>
        </w:drawing>
      </w:r>
    </w:p>
    <w:p w14:paraId="701B6E2B" w14:textId="77777777" w:rsidR="00D4200D" w:rsidRPr="00F66B34" w:rsidRDefault="00D4200D" w:rsidP="00F66B34">
      <w:pPr>
        <w:spacing w:after="200" w:line="276" w:lineRule="auto"/>
        <w:jc w:val="both"/>
        <w:rPr>
          <w:sz w:val="40"/>
          <w:szCs w:val="40"/>
        </w:rPr>
      </w:pPr>
    </w:p>
    <w:p w14:paraId="701B6E2C" w14:textId="77777777" w:rsidR="00D4200D" w:rsidRPr="00F66B34" w:rsidRDefault="00D4200D" w:rsidP="00F66B34">
      <w:pPr>
        <w:spacing w:after="200"/>
        <w:contextualSpacing/>
        <w:jc w:val="both"/>
        <w:rPr>
          <w:sz w:val="40"/>
          <w:szCs w:val="40"/>
        </w:rPr>
      </w:pPr>
    </w:p>
    <w:p w14:paraId="701B6E2D" w14:textId="77777777" w:rsidR="00D4200D" w:rsidRPr="00F66B34" w:rsidRDefault="00D4200D" w:rsidP="003A02A8">
      <w:pPr>
        <w:spacing w:after="200"/>
        <w:contextualSpacing/>
        <w:jc w:val="center"/>
        <w:rPr>
          <w:sz w:val="40"/>
          <w:szCs w:val="40"/>
        </w:rPr>
      </w:pPr>
      <w:r w:rsidRPr="00F66B34">
        <w:rPr>
          <w:sz w:val="40"/>
          <w:szCs w:val="40"/>
        </w:rPr>
        <w:t>Pacific Power &amp; Light Company</w:t>
      </w:r>
    </w:p>
    <w:p w14:paraId="701B6E2E" w14:textId="77777777" w:rsidR="00D4200D" w:rsidRPr="00F66B34" w:rsidRDefault="00D4200D" w:rsidP="00297ECE">
      <w:pPr>
        <w:spacing w:after="200"/>
        <w:contextualSpacing/>
        <w:jc w:val="center"/>
        <w:rPr>
          <w:sz w:val="40"/>
          <w:szCs w:val="40"/>
        </w:rPr>
      </w:pPr>
    </w:p>
    <w:p w14:paraId="701B6E2F" w14:textId="77777777" w:rsidR="00D4200D" w:rsidRPr="00F66B34" w:rsidRDefault="00D4200D" w:rsidP="00F675E0">
      <w:pPr>
        <w:spacing w:after="200"/>
        <w:contextualSpacing/>
        <w:jc w:val="center"/>
        <w:rPr>
          <w:sz w:val="40"/>
          <w:szCs w:val="40"/>
        </w:rPr>
      </w:pPr>
      <w:r w:rsidRPr="00F66B34">
        <w:rPr>
          <w:sz w:val="40"/>
          <w:szCs w:val="40"/>
        </w:rPr>
        <w:t>Washington Energy and Emissions Intensity Metrics</w:t>
      </w:r>
    </w:p>
    <w:p w14:paraId="701B6E30" w14:textId="77777777" w:rsidR="00D4200D" w:rsidRPr="00F66B34" w:rsidRDefault="00D4200D" w:rsidP="00F675E0">
      <w:pPr>
        <w:spacing w:after="200"/>
        <w:contextualSpacing/>
        <w:jc w:val="center"/>
        <w:rPr>
          <w:sz w:val="40"/>
          <w:szCs w:val="40"/>
        </w:rPr>
      </w:pPr>
    </w:p>
    <w:p w14:paraId="701B6E31" w14:textId="77777777" w:rsidR="00D4200D" w:rsidRPr="00F66B34" w:rsidRDefault="00C36D5B" w:rsidP="00F675E0">
      <w:pPr>
        <w:spacing w:after="200"/>
        <w:contextualSpacing/>
        <w:jc w:val="center"/>
        <w:rPr>
          <w:sz w:val="40"/>
          <w:szCs w:val="40"/>
        </w:rPr>
      </w:pPr>
      <w:r>
        <w:rPr>
          <w:sz w:val="40"/>
          <w:szCs w:val="40"/>
        </w:rPr>
        <w:t>2015 Report</w:t>
      </w:r>
    </w:p>
    <w:p w14:paraId="701B6E32" w14:textId="77777777" w:rsidR="00DB0817" w:rsidRPr="00F66B34" w:rsidRDefault="00DB0817" w:rsidP="00F675E0">
      <w:pPr>
        <w:spacing w:after="200"/>
        <w:contextualSpacing/>
        <w:jc w:val="center"/>
        <w:rPr>
          <w:sz w:val="40"/>
          <w:szCs w:val="40"/>
        </w:rPr>
      </w:pPr>
    </w:p>
    <w:p w14:paraId="701B6E33" w14:textId="77777777" w:rsidR="00D4200D" w:rsidRPr="00F66B34" w:rsidRDefault="00D4200D" w:rsidP="00F66B34">
      <w:pPr>
        <w:spacing w:after="200"/>
        <w:contextualSpacing/>
        <w:jc w:val="center"/>
        <w:rPr>
          <w:sz w:val="40"/>
          <w:szCs w:val="40"/>
        </w:rPr>
      </w:pPr>
    </w:p>
    <w:p w14:paraId="701B6E34" w14:textId="77777777" w:rsidR="00D4200D" w:rsidRPr="00F66B34" w:rsidRDefault="00D4200D" w:rsidP="003A02A8">
      <w:pPr>
        <w:jc w:val="center"/>
        <w:rPr>
          <w:b/>
          <w:sz w:val="40"/>
          <w:szCs w:val="40"/>
        </w:rPr>
      </w:pPr>
    </w:p>
    <w:p w14:paraId="701B6E35" w14:textId="77777777" w:rsidR="00D4200D" w:rsidRPr="00F66B34" w:rsidRDefault="00D4200D" w:rsidP="00297ECE">
      <w:pPr>
        <w:jc w:val="center"/>
        <w:rPr>
          <w:b/>
          <w:sz w:val="40"/>
          <w:szCs w:val="40"/>
        </w:rPr>
      </w:pPr>
    </w:p>
    <w:p w14:paraId="701B6E36" w14:textId="77777777" w:rsidR="00D4200D" w:rsidRPr="00F66B34" w:rsidRDefault="00D4200D" w:rsidP="00F675E0">
      <w:pPr>
        <w:jc w:val="center"/>
        <w:rPr>
          <w:b/>
          <w:sz w:val="40"/>
          <w:szCs w:val="40"/>
        </w:rPr>
      </w:pPr>
    </w:p>
    <w:p w14:paraId="701B6E37" w14:textId="77777777" w:rsidR="00D4200D" w:rsidRPr="00F66B34" w:rsidRDefault="00D4200D" w:rsidP="00F675E0">
      <w:pPr>
        <w:jc w:val="center"/>
        <w:rPr>
          <w:b/>
          <w:sz w:val="40"/>
          <w:szCs w:val="40"/>
        </w:rPr>
      </w:pPr>
    </w:p>
    <w:p w14:paraId="701B6E38" w14:textId="77777777" w:rsidR="00D4200D" w:rsidRPr="00F66B34" w:rsidRDefault="00D4200D" w:rsidP="00F675E0">
      <w:pPr>
        <w:jc w:val="center"/>
        <w:rPr>
          <w:b/>
          <w:sz w:val="40"/>
          <w:szCs w:val="40"/>
        </w:rPr>
      </w:pPr>
    </w:p>
    <w:p w14:paraId="701B6E39" w14:textId="77777777" w:rsidR="00D4200D" w:rsidRPr="00F66B34" w:rsidRDefault="00D4200D" w:rsidP="00F675E0">
      <w:pPr>
        <w:jc w:val="center"/>
        <w:rPr>
          <w:b/>
          <w:sz w:val="40"/>
          <w:szCs w:val="40"/>
        </w:rPr>
      </w:pPr>
    </w:p>
    <w:p w14:paraId="701B6E3A" w14:textId="77777777" w:rsidR="00D4200D" w:rsidRPr="00F66B34" w:rsidRDefault="00D4200D" w:rsidP="00F675E0">
      <w:pPr>
        <w:jc w:val="center"/>
        <w:rPr>
          <w:b/>
          <w:sz w:val="40"/>
          <w:szCs w:val="40"/>
        </w:rPr>
      </w:pPr>
    </w:p>
    <w:p w14:paraId="701B6E3B" w14:textId="77777777" w:rsidR="00D4200D" w:rsidRPr="00F66B34" w:rsidRDefault="00D4200D" w:rsidP="00F675E0">
      <w:pPr>
        <w:jc w:val="center"/>
        <w:rPr>
          <w:b/>
          <w:sz w:val="40"/>
          <w:szCs w:val="40"/>
        </w:rPr>
      </w:pPr>
    </w:p>
    <w:p w14:paraId="701B6E3C" w14:textId="77777777" w:rsidR="00D4200D" w:rsidRPr="00F66B34" w:rsidRDefault="00D4200D" w:rsidP="00F675E0">
      <w:pPr>
        <w:jc w:val="center"/>
        <w:rPr>
          <w:b/>
          <w:sz w:val="40"/>
          <w:szCs w:val="40"/>
        </w:rPr>
      </w:pPr>
    </w:p>
    <w:p w14:paraId="701B6E3D" w14:textId="77777777" w:rsidR="00D4200D" w:rsidRPr="00F66B34" w:rsidRDefault="00D4200D" w:rsidP="00F675E0">
      <w:pPr>
        <w:jc w:val="center"/>
        <w:rPr>
          <w:b/>
          <w:sz w:val="40"/>
          <w:szCs w:val="40"/>
        </w:rPr>
      </w:pPr>
    </w:p>
    <w:p w14:paraId="701B6E3E" w14:textId="77777777" w:rsidR="00D4200D" w:rsidRPr="00F66B34" w:rsidRDefault="00D4200D" w:rsidP="00F675E0">
      <w:pPr>
        <w:jc w:val="center"/>
        <w:rPr>
          <w:b/>
          <w:sz w:val="40"/>
          <w:szCs w:val="40"/>
        </w:rPr>
      </w:pPr>
    </w:p>
    <w:p w14:paraId="701B6E3F" w14:textId="77777777" w:rsidR="00D4200D" w:rsidRDefault="00D4200D" w:rsidP="00F675E0">
      <w:pPr>
        <w:jc w:val="center"/>
        <w:rPr>
          <w:b/>
          <w:sz w:val="40"/>
          <w:szCs w:val="40"/>
        </w:rPr>
      </w:pPr>
    </w:p>
    <w:p w14:paraId="701B6E40" w14:textId="77777777" w:rsidR="00115D6B" w:rsidRPr="00F66B34" w:rsidRDefault="00115D6B" w:rsidP="00F675E0">
      <w:pPr>
        <w:jc w:val="center"/>
        <w:rPr>
          <w:b/>
          <w:sz w:val="40"/>
          <w:szCs w:val="40"/>
        </w:rPr>
      </w:pPr>
    </w:p>
    <w:p w14:paraId="701B6E41" w14:textId="77777777" w:rsidR="00D4200D" w:rsidRPr="00F66B34" w:rsidRDefault="00D4200D" w:rsidP="00F675E0">
      <w:pPr>
        <w:jc w:val="center"/>
        <w:rPr>
          <w:b/>
          <w:sz w:val="32"/>
          <w:szCs w:val="32"/>
        </w:rPr>
      </w:pPr>
      <w:r w:rsidRPr="00F66B34">
        <w:rPr>
          <w:b/>
          <w:sz w:val="32"/>
          <w:szCs w:val="32"/>
        </w:rPr>
        <w:t>June 1, 2016</w:t>
      </w:r>
    </w:p>
    <w:p w14:paraId="701B6E42" w14:textId="77777777" w:rsidR="00DB0817" w:rsidRPr="00F66B34" w:rsidRDefault="00DB0817" w:rsidP="00F66B34">
      <w:pPr>
        <w:spacing w:after="200" w:line="276" w:lineRule="auto"/>
        <w:jc w:val="both"/>
        <w:sectPr w:rsidR="00DB0817" w:rsidRPr="00F66B34" w:rsidSect="00B25488">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pPr>
    </w:p>
    <w:p w14:paraId="701B6E43" w14:textId="77777777" w:rsidR="00D4200D" w:rsidRPr="00F66B34" w:rsidRDefault="00D4200D" w:rsidP="00F66B34">
      <w:pPr>
        <w:pStyle w:val="TOCHeading"/>
        <w:jc w:val="both"/>
        <w:rPr>
          <w:rFonts w:ascii="Times New Roman" w:hAnsi="Times New Roman" w:cs="Times New Roman"/>
          <w:color w:val="auto"/>
        </w:rPr>
      </w:pPr>
      <w:bookmarkStart w:id="4" w:name="_Toc427070621"/>
      <w:r w:rsidRPr="00F66B34">
        <w:rPr>
          <w:rFonts w:ascii="Times New Roman" w:hAnsi="Times New Roman" w:cs="Times New Roman"/>
          <w:color w:val="auto"/>
        </w:rPr>
        <w:lastRenderedPageBreak/>
        <w:t>Introduction</w:t>
      </w:r>
      <w:bookmarkEnd w:id="4"/>
    </w:p>
    <w:p w14:paraId="701B6E44" w14:textId="77777777" w:rsidR="00D4200D" w:rsidRPr="00F66B34" w:rsidRDefault="00D4200D" w:rsidP="00F66B34">
      <w:pPr>
        <w:jc w:val="both"/>
      </w:pPr>
    </w:p>
    <w:p w14:paraId="701B6E45" w14:textId="77777777" w:rsidR="008F1948" w:rsidRPr="00F66B34" w:rsidRDefault="007700C1" w:rsidP="00BF1DA1">
      <w:r w:rsidRPr="00F66B34">
        <w:t xml:space="preserve">In November 2006, Washington </w:t>
      </w:r>
      <w:r w:rsidR="006A5903" w:rsidRPr="00F66B34">
        <w:t>voters approved Initiative 937,</w:t>
      </w:r>
      <w:r w:rsidRPr="00F66B34">
        <w:t xml:space="preserve"> establishing the Energy Independence Act</w:t>
      </w:r>
      <w:r w:rsidR="00467ABC" w:rsidRPr="00F66B34">
        <w:t xml:space="preserve"> (EIA)</w:t>
      </w:r>
      <w:r w:rsidRPr="00F66B34">
        <w:t xml:space="preserve">, </w:t>
      </w:r>
      <w:r w:rsidR="006A5903" w:rsidRPr="00F66B34">
        <w:t xml:space="preserve">which requires electric utilities serving at least 25,000 retail customers to use renewable energy and energy conservation in serving those customers. </w:t>
      </w:r>
      <w:r w:rsidR="00D4200D" w:rsidRPr="00F66B34">
        <w:t xml:space="preserve">In September 2015, the Washington Utilities and Transportation Commission (Commission) adopted </w:t>
      </w:r>
      <w:r w:rsidRPr="00F66B34">
        <w:t xml:space="preserve">new administrative rules to implement several legislative changes to the EIA, including </w:t>
      </w:r>
      <w:r w:rsidR="006A5903" w:rsidRPr="00F66B34">
        <w:t xml:space="preserve">introducing </w:t>
      </w:r>
      <w:r w:rsidRPr="00F66B34">
        <w:t>WAC 480-109-300</w:t>
      </w:r>
      <w:r w:rsidR="006A5903" w:rsidRPr="00F66B34">
        <w:t xml:space="preserve">, </w:t>
      </w:r>
      <w:r w:rsidR="00172808" w:rsidRPr="00F66B34">
        <w:t>pertaining</w:t>
      </w:r>
      <w:r w:rsidR="006A5903" w:rsidRPr="00F66B34">
        <w:t xml:space="preserve"> to </w:t>
      </w:r>
      <w:r w:rsidR="00172808" w:rsidRPr="00F66B34">
        <w:t>the reporting of energy and emissions i</w:t>
      </w:r>
      <w:r w:rsidR="00D4200D" w:rsidRPr="00F66B34">
        <w:t xml:space="preserve">ntensity </w:t>
      </w:r>
      <w:r w:rsidR="00172808" w:rsidRPr="00F66B34">
        <w:t>metrics</w:t>
      </w:r>
      <w:r w:rsidR="00D4200D" w:rsidRPr="00F66B34">
        <w:t xml:space="preserve">. </w:t>
      </w:r>
      <w:r w:rsidR="00F35288" w:rsidRPr="00F66B34">
        <w:t xml:space="preserve">WAC 480-109-300 states, in relevant part: </w:t>
      </w:r>
    </w:p>
    <w:p w14:paraId="701B6E46" w14:textId="77777777" w:rsidR="00F35288" w:rsidRPr="00F66B34" w:rsidRDefault="00F35288" w:rsidP="00BF1DA1">
      <w:pPr>
        <w:autoSpaceDE w:val="0"/>
        <w:autoSpaceDN w:val="0"/>
        <w:adjustRightInd w:val="0"/>
        <w:rPr>
          <w:rFonts w:eastAsiaTheme="minorHAnsi"/>
          <w:b/>
          <w:bCs/>
          <w:i/>
          <w:color w:val="000000"/>
          <w:sz w:val="23"/>
          <w:szCs w:val="23"/>
          <w:lang w:eastAsia="en-US"/>
        </w:rPr>
      </w:pPr>
    </w:p>
    <w:p w14:paraId="701B6E47" w14:textId="77777777" w:rsidR="00F35288" w:rsidRPr="00F66B34" w:rsidRDefault="00F35288" w:rsidP="00BF1DA1">
      <w:pPr>
        <w:autoSpaceDE w:val="0"/>
        <w:autoSpaceDN w:val="0"/>
        <w:adjustRightInd w:val="0"/>
        <w:ind w:left="720"/>
        <w:rPr>
          <w:rFonts w:eastAsiaTheme="minorHAnsi"/>
          <w:i/>
          <w:color w:val="000000"/>
          <w:lang w:eastAsia="en-US"/>
        </w:rPr>
      </w:pPr>
      <w:r w:rsidRPr="00F66B34">
        <w:rPr>
          <w:rFonts w:eastAsiaTheme="minorHAnsi"/>
          <w:i/>
          <w:color w:val="000000"/>
          <w:lang w:eastAsia="en-US"/>
        </w:rPr>
        <w:t>(1) A utility must report metrics of energy and emissions intensity to the commission on or before June 1st of each year. The report must include annual values for each metric for the preceding ten calendar years. Each value reported must be based on the annual energy or emissions from all generating resources providing service to customers of that utility in Washington state, regardless of the location of the generating resources. When the metrics are calculated from generators that serve out-of-state and in-state customers, the annual energy and emissions outputs must be prorated to represent the proportion of the resource used by Washington customers.</w:t>
      </w:r>
    </w:p>
    <w:p w14:paraId="701B6E48" w14:textId="77777777" w:rsidR="00F35288" w:rsidRPr="00F66B34" w:rsidRDefault="00F35288" w:rsidP="00BF1DA1">
      <w:pPr>
        <w:autoSpaceDE w:val="0"/>
        <w:autoSpaceDN w:val="0"/>
        <w:adjustRightInd w:val="0"/>
        <w:ind w:left="720"/>
        <w:rPr>
          <w:rFonts w:eastAsiaTheme="minorHAnsi"/>
          <w:i/>
          <w:color w:val="000000"/>
          <w:lang w:eastAsia="en-US"/>
        </w:rPr>
      </w:pPr>
      <w:r w:rsidRPr="00F66B34">
        <w:rPr>
          <w:rFonts w:eastAsiaTheme="minorHAnsi"/>
          <w:i/>
          <w:color w:val="000000"/>
          <w:lang w:eastAsia="en-US"/>
        </w:rPr>
        <w:t>(2) The energy and emissions intensity report shall include the following metrics:</w:t>
      </w:r>
    </w:p>
    <w:p w14:paraId="701B6E49" w14:textId="77777777" w:rsidR="00F35288" w:rsidRPr="00F66B34" w:rsidRDefault="00F35288" w:rsidP="00BF1DA1">
      <w:pPr>
        <w:autoSpaceDE w:val="0"/>
        <w:autoSpaceDN w:val="0"/>
        <w:adjustRightInd w:val="0"/>
        <w:ind w:left="720"/>
        <w:rPr>
          <w:rFonts w:eastAsiaTheme="minorHAnsi"/>
          <w:i/>
          <w:color w:val="000000"/>
          <w:lang w:eastAsia="en-US"/>
        </w:rPr>
      </w:pPr>
      <w:r w:rsidRPr="00F66B34">
        <w:rPr>
          <w:rFonts w:eastAsiaTheme="minorHAnsi"/>
          <w:i/>
          <w:color w:val="000000"/>
          <w:lang w:eastAsia="en-US"/>
        </w:rPr>
        <w:t>(a) Average megawatt-hours per residential customer;</w:t>
      </w:r>
    </w:p>
    <w:p w14:paraId="701B6E4A" w14:textId="77777777" w:rsidR="00F35288" w:rsidRPr="00F66B34" w:rsidRDefault="00F35288" w:rsidP="00BF1DA1">
      <w:pPr>
        <w:autoSpaceDE w:val="0"/>
        <w:autoSpaceDN w:val="0"/>
        <w:adjustRightInd w:val="0"/>
        <w:ind w:left="720"/>
        <w:rPr>
          <w:rFonts w:eastAsiaTheme="minorHAnsi"/>
          <w:i/>
          <w:color w:val="000000"/>
          <w:lang w:eastAsia="en-US"/>
        </w:rPr>
      </w:pPr>
      <w:r w:rsidRPr="00F66B34">
        <w:rPr>
          <w:rFonts w:eastAsiaTheme="minorHAnsi"/>
          <w:i/>
          <w:color w:val="000000"/>
          <w:lang w:eastAsia="en-US"/>
        </w:rPr>
        <w:t>(b) Average megawatt-hours per commercial customer;</w:t>
      </w:r>
    </w:p>
    <w:p w14:paraId="701B6E4B" w14:textId="77777777" w:rsidR="00F35288" w:rsidRPr="00F66B34" w:rsidRDefault="00F35288" w:rsidP="00BF1DA1">
      <w:pPr>
        <w:autoSpaceDE w:val="0"/>
        <w:autoSpaceDN w:val="0"/>
        <w:adjustRightInd w:val="0"/>
        <w:ind w:left="720"/>
        <w:rPr>
          <w:rFonts w:eastAsiaTheme="minorHAnsi"/>
          <w:i/>
          <w:color w:val="000000"/>
          <w:lang w:eastAsia="en-US"/>
        </w:rPr>
      </w:pPr>
      <w:r w:rsidRPr="00F66B34">
        <w:rPr>
          <w:rFonts w:eastAsiaTheme="minorHAnsi"/>
          <w:i/>
          <w:color w:val="000000"/>
          <w:lang w:eastAsia="en-US"/>
        </w:rPr>
        <w:t>(c) Megawatt-hours per capita;</w:t>
      </w:r>
    </w:p>
    <w:p w14:paraId="701B6E4C" w14:textId="77777777" w:rsidR="00F35288" w:rsidRPr="00F66B34" w:rsidRDefault="00F35288" w:rsidP="00BF1DA1">
      <w:pPr>
        <w:autoSpaceDE w:val="0"/>
        <w:autoSpaceDN w:val="0"/>
        <w:adjustRightInd w:val="0"/>
        <w:ind w:left="720"/>
        <w:rPr>
          <w:rFonts w:eastAsiaTheme="minorHAnsi"/>
          <w:i/>
          <w:color w:val="000000"/>
          <w:lang w:eastAsia="en-US"/>
        </w:rPr>
      </w:pPr>
      <w:r w:rsidRPr="00F66B34">
        <w:rPr>
          <w:rFonts w:eastAsiaTheme="minorHAnsi"/>
          <w:i/>
          <w:color w:val="000000"/>
          <w:lang w:eastAsia="en-US"/>
        </w:rPr>
        <w:t>(d) Million short tons of CO2 emissions; and</w:t>
      </w:r>
    </w:p>
    <w:p w14:paraId="701B6E4D" w14:textId="77777777" w:rsidR="00F35288" w:rsidRPr="00F66B34" w:rsidRDefault="00F35288" w:rsidP="00BF1DA1">
      <w:pPr>
        <w:autoSpaceDE w:val="0"/>
        <w:autoSpaceDN w:val="0"/>
        <w:adjustRightInd w:val="0"/>
        <w:ind w:left="720"/>
        <w:rPr>
          <w:rFonts w:eastAsiaTheme="minorHAnsi"/>
          <w:i/>
          <w:color w:val="000000"/>
          <w:lang w:eastAsia="en-US"/>
        </w:rPr>
      </w:pPr>
      <w:r w:rsidRPr="00F66B34">
        <w:rPr>
          <w:rFonts w:eastAsiaTheme="minorHAnsi"/>
          <w:i/>
          <w:color w:val="000000"/>
          <w:lang w:eastAsia="en-US"/>
        </w:rPr>
        <w:t>(e) Comparison of annual million short tons of CO2 emissions to 1990 emissions.</w:t>
      </w:r>
    </w:p>
    <w:p w14:paraId="701B6E4E" w14:textId="77777777" w:rsidR="003505E4" w:rsidRPr="00F66B34" w:rsidRDefault="003505E4" w:rsidP="00BF1DA1"/>
    <w:p w14:paraId="701B6E4F" w14:textId="77777777" w:rsidR="00467ABC" w:rsidRPr="00F66B34" w:rsidRDefault="00467ABC" w:rsidP="00BF1DA1">
      <w:r w:rsidRPr="00F66B34">
        <w:t xml:space="preserve">Pacific Power &amp; Light Company (Pacific Power or Company), a division of PacifiCorp, submits this </w:t>
      </w:r>
      <w:r w:rsidR="00172808" w:rsidRPr="00F66B34">
        <w:t xml:space="preserve">2015 </w:t>
      </w:r>
      <w:r w:rsidRPr="00F66B34">
        <w:t xml:space="preserve">Energy and Emissions Intensity Report (Emissions Report) to the </w:t>
      </w:r>
      <w:r w:rsidR="00BF1DA1">
        <w:t>Commission</w:t>
      </w:r>
      <w:r w:rsidR="00BF1DA1" w:rsidRPr="00F66B34">
        <w:t xml:space="preserve"> </w:t>
      </w:r>
      <w:r w:rsidRPr="00F66B34">
        <w:t xml:space="preserve">in accordance with reporting requirements established as part of </w:t>
      </w:r>
      <w:r w:rsidR="00172808" w:rsidRPr="00F66B34">
        <w:t>the Energy Independence Act</w:t>
      </w:r>
      <w:r w:rsidRPr="00F66B34">
        <w:t xml:space="preserve">.  </w:t>
      </w:r>
    </w:p>
    <w:p w14:paraId="701B6E50" w14:textId="77777777" w:rsidR="00D4200D" w:rsidRPr="00F66B34" w:rsidRDefault="00D4200D" w:rsidP="00BF1DA1"/>
    <w:p w14:paraId="701B6E51" w14:textId="77777777" w:rsidR="00D4200D" w:rsidRPr="00F66B34" w:rsidRDefault="00D4200D" w:rsidP="00BF1DA1">
      <w:r w:rsidRPr="00F66B34">
        <w:t>This report is consistent with the collaborative workshop documents addressing annual reporting requirements, in Docket UE-131723.</w:t>
      </w:r>
    </w:p>
    <w:p w14:paraId="701B6E52" w14:textId="77777777" w:rsidR="00F35288" w:rsidRPr="00F66B34" w:rsidRDefault="00F35288" w:rsidP="00BF1DA1"/>
    <w:p w14:paraId="701B6E53" w14:textId="77777777" w:rsidR="00F35288" w:rsidRPr="00F66B34" w:rsidRDefault="00F35288" w:rsidP="00BF1DA1"/>
    <w:p w14:paraId="701B6E54" w14:textId="77777777" w:rsidR="00F35288" w:rsidRPr="00F66B34" w:rsidRDefault="00F35288" w:rsidP="00BF1DA1"/>
    <w:p w14:paraId="701B6E55" w14:textId="77777777" w:rsidR="00F35288" w:rsidRPr="00F66B34" w:rsidRDefault="00F35288" w:rsidP="00BF1DA1"/>
    <w:p w14:paraId="701B6E56" w14:textId="77777777" w:rsidR="00F35288" w:rsidRPr="00F66B34" w:rsidRDefault="00F35288" w:rsidP="00BF1DA1"/>
    <w:p w14:paraId="701B6E57" w14:textId="77777777" w:rsidR="00F35288" w:rsidRPr="00F66B34" w:rsidRDefault="00F35288" w:rsidP="00BF1DA1"/>
    <w:p w14:paraId="701B6E58" w14:textId="77777777" w:rsidR="00F35288" w:rsidRPr="00F66B34" w:rsidRDefault="00F35288" w:rsidP="00BF1DA1"/>
    <w:p w14:paraId="701B6E59" w14:textId="77777777" w:rsidR="00F35288" w:rsidRPr="00F66B34" w:rsidRDefault="00F35288" w:rsidP="00BF1DA1"/>
    <w:p w14:paraId="701B6E5A" w14:textId="77777777" w:rsidR="00F35288" w:rsidRPr="00F66B34" w:rsidRDefault="00F35288" w:rsidP="00BF1DA1"/>
    <w:p w14:paraId="701B6E5B" w14:textId="77777777" w:rsidR="00F35288" w:rsidRPr="00F66B34" w:rsidRDefault="00F35288" w:rsidP="00BF1DA1"/>
    <w:p w14:paraId="701B6E5C" w14:textId="77777777" w:rsidR="00F35288" w:rsidRPr="00F66B34" w:rsidRDefault="00F35288" w:rsidP="00BF1DA1"/>
    <w:p w14:paraId="701B6E5D" w14:textId="77777777" w:rsidR="00F35288" w:rsidRPr="00F66B34" w:rsidRDefault="00F35288" w:rsidP="00BF1DA1"/>
    <w:p w14:paraId="701B6E5E" w14:textId="77777777" w:rsidR="00D4200D" w:rsidRPr="00F66B34" w:rsidRDefault="00D4200D" w:rsidP="00BF1DA1">
      <w:pPr>
        <w:pStyle w:val="Caption"/>
        <w:jc w:val="left"/>
        <w:rPr>
          <w:sz w:val="28"/>
        </w:rPr>
      </w:pPr>
      <w:bookmarkStart w:id="5" w:name="_Toc427070622"/>
      <w:r w:rsidRPr="00F66B34">
        <w:rPr>
          <w:sz w:val="28"/>
        </w:rPr>
        <w:lastRenderedPageBreak/>
        <w:t>Executive Summary</w:t>
      </w:r>
      <w:bookmarkEnd w:id="5"/>
    </w:p>
    <w:p w14:paraId="701B6E5F" w14:textId="77777777" w:rsidR="00D4200D" w:rsidRPr="00F66B34" w:rsidRDefault="00D4200D" w:rsidP="00BF1DA1"/>
    <w:p w14:paraId="701B6E60" w14:textId="77777777" w:rsidR="00C02F2F" w:rsidRPr="00F66B34" w:rsidRDefault="00BB02DE" w:rsidP="00BF1DA1">
      <w:r w:rsidRPr="00F66B34">
        <w:t xml:space="preserve">This report </w:t>
      </w:r>
      <w:r w:rsidR="002A6B3B" w:rsidRPr="00F66B34">
        <w:t xml:space="preserve">includes </w:t>
      </w:r>
      <w:r w:rsidR="006A14BE" w:rsidRPr="00F66B34">
        <w:t>the estimated c</w:t>
      </w:r>
      <w:r w:rsidR="007C25BF" w:rsidRPr="00F66B34">
        <w:t xml:space="preserve">arbon </w:t>
      </w:r>
      <w:r w:rsidR="002A6B3B" w:rsidRPr="00F66B34">
        <w:t xml:space="preserve">emissions </w:t>
      </w:r>
      <w:r w:rsidR="007C25BF" w:rsidRPr="00F66B34">
        <w:t xml:space="preserve">associated with </w:t>
      </w:r>
      <w:r w:rsidR="002A6B3B" w:rsidRPr="00F66B34">
        <w:t xml:space="preserve">serving </w:t>
      </w:r>
      <w:r w:rsidR="006A14BE" w:rsidRPr="00F66B34">
        <w:t xml:space="preserve">PacifiCorp’s </w:t>
      </w:r>
      <w:r w:rsidR="002A6B3B" w:rsidRPr="00F66B34">
        <w:t xml:space="preserve">Washington customers </w:t>
      </w:r>
      <w:r w:rsidR="006A14BE" w:rsidRPr="00F66B34">
        <w:t>between</w:t>
      </w:r>
      <w:r w:rsidR="002A6B3B" w:rsidRPr="00F66B34">
        <w:t xml:space="preserve"> 2006</w:t>
      </w:r>
      <w:r w:rsidR="003241A3" w:rsidRPr="00F66B34">
        <w:t xml:space="preserve"> and </w:t>
      </w:r>
      <w:r w:rsidR="002A6B3B" w:rsidRPr="00F66B34">
        <w:t>2015</w:t>
      </w:r>
      <w:r w:rsidR="00A8713D" w:rsidRPr="00F66B34">
        <w:t xml:space="preserve">, </w:t>
      </w:r>
      <w:r w:rsidR="006A14BE" w:rsidRPr="00F66B34">
        <w:t xml:space="preserve">compared </w:t>
      </w:r>
      <w:r w:rsidR="00A8713D" w:rsidRPr="00F66B34">
        <w:t xml:space="preserve">to </w:t>
      </w:r>
      <w:r w:rsidR="006A14BE" w:rsidRPr="00F66B34">
        <w:t>an estimate of the Company’s</w:t>
      </w:r>
      <w:r w:rsidR="00A8713D" w:rsidRPr="00F66B34">
        <w:t xml:space="preserve"> 1990 </w:t>
      </w:r>
      <w:r w:rsidR="006A14BE" w:rsidRPr="00F66B34">
        <w:t xml:space="preserve">carbon </w:t>
      </w:r>
      <w:r w:rsidR="00A8713D" w:rsidRPr="00F66B34">
        <w:t>emissions</w:t>
      </w:r>
      <w:r w:rsidR="00C02F2F" w:rsidRPr="00F66B34">
        <w:t xml:space="preserve">. </w:t>
      </w:r>
      <w:r w:rsidR="00C64727" w:rsidRPr="00F66B34">
        <w:t>PacifiCorp’s</w:t>
      </w:r>
      <w:r w:rsidR="006A14BE" w:rsidRPr="00F66B34">
        <w:t xml:space="preserve"> 1990 carbon e</w:t>
      </w:r>
      <w:r w:rsidR="00C02F2F" w:rsidRPr="00F66B34">
        <w:t>mission level is estimated to be 2,399,078 sh</w:t>
      </w:r>
      <w:r w:rsidR="00C64727" w:rsidRPr="00F66B34">
        <w:t xml:space="preserve">ort tons, as established during </w:t>
      </w:r>
      <w:r w:rsidR="00C02F2F" w:rsidRPr="00F66B34">
        <w:t xml:space="preserve">workshops </w:t>
      </w:r>
      <w:r w:rsidR="006A14BE" w:rsidRPr="00F66B34">
        <w:t>in Docket UE-131723, regarding</w:t>
      </w:r>
      <w:r w:rsidR="00C02F2F" w:rsidRPr="00F66B34">
        <w:t xml:space="preserve"> the </w:t>
      </w:r>
      <w:r w:rsidR="006A14BE" w:rsidRPr="00F66B34">
        <w:t xml:space="preserve">emissions reporting requirements. </w:t>
      </w:r>
    </w:p>
    <w:p w14:paraId="701B6E61" w14:textId="77777777" w:rsidR="007C25BF" w:rsidRPr="00F66B34" w:rsidRDefault="007C25BF" w:rsidP="00BF1DA1">
      <w:bookmarkStart w:id="6" w:name="_Toc427070623"/>
    </w:p>
    <w:p w14:paraId="701B6E62" w14:textId="77777777" w:rsidR="003E572A" w:rsidRPr="00F66B34" w:rsidRDefault="00BD264E" w:rsidP="00BF1DA1">
      <w:r w:rsidRPr="00F66B34">
        <w:t xml:space="preserve">As shown in Table 1 below, </w:t>
      </w:r>
      <w:r w:rsidR="007C25BF" w:rsidRPr="00F66B34">
        <w:t xml:space="preserve">PacifiCorp estimates the Washington-allocated emissions </w:t>
      </w:r>
      <w:r w:rsidR="00BC774B" w:rsidRPr="00F66B34">
        <w:t xml:space="preserve">from </w:t>
      </w:r>
      <w:r w:rsidR="007C25BF" w:rsidRPr="00F66B34">
        <w:t>2006</w:t>
      </w:r>
      <w:r w:rsidR="003241A3" w:rsidRPr="00F66B34">
        <w:t xml:space="preserve"> </w:t>
      </w:r>
      <w:r w:rsidR="00BC774B" w:rsidRPr="00F66B34">
        <w:t xml:space="preserve">to </w:t>
      </w:r>
      <w:r w:rsidR="007C25BF" w:rsidRPr="00F66B34">
        <w:t xml:space="preserve">2015 to </w:t>
      </w:r>
      <w:r w:rsidR="003E572A" w:rsidRPr="00F66B34">
        <w:t xml:space="preserve">be </w:t>
      </w:r>
      <w:r w:rsidR="007C25BF" w:rsidRPr="00F66B34">
        <w:t>between 2.5 and 3 million short tons of carbon</w:t>
      </w:r>
      <w:r w:rsidR="003E572A" w:rsidRPr="00F66B34">
        <w:t xml:space="preserve"> annually; or between 106</w:t>
      </w:r>
      <w:r w:rsidR="003241A3" w:rsidRPr="00F66B34">
        <w:t xml:space="preserve"> and </w:t>
      </w:r>
      <w:r w:rsidR="003E572A" w:rsidRPr="00F66B34">
        <w:t>128 percent of 1990 emissions.</w:t>
      </w:r>
    </w:p>
    <w:p w14:paraId="701B6E63" w14:textId="77777777" w:rsidR="00C64727" w:rsidRPr="00F66B34" w:rsidRDefault="00C64727" w:rsidP="00F675E0">
      <w:pPr>
        <w:jc w:val="both"/>
      </w:pPr>
    </w:p>
    <w:p w14:paraId="701B6E64" w14:textId="77777777" w:rsidR="00C64727" w:rsidRPr="00F66B34" w:rsidRDefault="00C64727" w:rsidP="00F675E0">
      <w:pPr>
        <w:jc w:val="center"/>
        <w:rPr>
          <w:b/>
        </w:rPr>
      </w:pPr>
      <w:r w:rsidRPr="00F66B34">
        <w:rPr>
          <w:b/>
        </w:rPr>
        <w:t>Table 1</w:t>
      </w:r>
    </w:p>
    <w:p w14:paraId="701B6E65" w14:textId="77777777" w:rsidR="003E572A" w:rsidRPr="00F66B34" w:rsidRDefault="003E572A" w:rsidP="00F66B34">
      <w:pPr>
        <w:jc w:val="center"/>
      </w:pPr>
    </w:p>
    <w:tbl>
      <w:tblPr>
        <w:tblW w:w="6750" w:type="dxa"/>
        <w:jc w:val="center"/>
        <w:tblLook w:val="04A0" w:firstRow="1" w:lastRow="0" w:firstColumn="1" w:lastColumn="0" w:noHBand="0" w:noVBand="1"/>
      </w:tblPr>
      <w:tblGrid>
        <w:gridCol w:w="2250"/>
        <w:gridCol w:w="2250"/>
        <w:gridCol w:w="2250"/>
      </w:tblGrid>
      <w:tr w:rsidR="00F43A5E" w:rsidRPr="00F66B34" w14:paraId="701B6E69" w14:textId="77777777" w:rsidTr="00F66B34">
        <w:trPr>
          <w:trHeight w:val="1277"/>
          <w:jc w:val="center"/>
        </w:trPr>
        <w:tc>
          <w:tcPr>
            <w:tcW w:w="2250" w:type="dxa"/>
            <w:tcBorders>
              <w:top w:val="single" w:sz="8" w:space="0" w:color="auto"/>
              <w:left w:val="single" w:sz="8" w:space="0" w:color="auto"/>
              <w:bottom w:val="single" w:sz="8" w:space="0" w:color="auto"/>
              <w:right w:val="single" w:sz="8" w:space="0" w:color="auto"/>
            </w:tcBorders>
            <w:shd w:val="clear" w:color="000000" w:fill="000000"/>
            <w:vAlign w:val="center"/>
            <w:hideMark/>
          </w:tcPr>
          <w:p w14:paraId="701B6E66" w14:textId="77777777" w:rsidR="00F43A5E" w:rsidRPr="00F66B34" w:rsidRDefault="00F43A5E" w:rsidP="003A02A8">
            <w:pPr>
              <w:jc w:val="center"/>
              <w:rPr>
                <w:rFonts w:eastAsia="Times New Roman"/>
                <w:b/>
                <w:bCs/>
                <w:color w:val="FFFFFF"/>
                <w:lang w:eastAsia="en-US"/>
              </w:rPr>
            </w:pPr>
            <w:r w:rsidRPr="00F66B34">
              <w:rPr>
                <w:rFonts w:eastAsia="Times New Roman"/>
                <w:b/>
                <w:bCs/>
                <w:color w:val="FFFFFF"/>
                <w:lang w:eastAsia="en-US"/>
              </w:rPr>
              <w:t>Year</w:t>
            </w:r>
          </w:p>
        </w:tc>
        <w:tc>
          <w:tcPr>
            <w:tcW w:w="2250" w:type="dxa"/>
            <w:tcBorders>
              <w:top w:val="single" w:sz="8" w:space="0" w:color="auto"/>
              <w:left w:val="nil"/>
              <w:bottom w:val="single" w:sz="8" w:space="0" w:color="auto"/>
              <w:right w:val="single" w:sz="8" w:space="0" w:color="auto"/>
            </w:tcBorders>
            <w:shd w:val="clear" w:color="000000" w:fill="000000"/>
            <w:vAlign w:val="center"/>
            <w:hideMark/>
          </w:tcPr>
          <w:p w14:paraId="701B6E67" w14:textId="77777777" w:rsidR="00F43A5E" w:rsidRPr="00F66B34" w:rsidRDefault="00F43A5E" w:rsidP="00297ECE">
            <w:pPr>
              <w:jc w:val="center"/>
              <w:rPr>
                <w:rFonts w:eastAsia="Times New Roman"/>
                <w:b/>
                <w:bCs/>
                <w:color w:val="FFFFFF"/>
                <w:lang w:eastAsia="en-US"/>
              </w:rPr>
            </w:pPr>
            <w:r w:rsidRPr="00F66B34">
              <w:rPr>
                <w:rFonts w:eastAsia="Times New Roman"/>
                <w:b/>
                <w:bCs/>
                <w:color w:val="FFFFFF"/>
                <w:lang w:eastAsia="en-US"/>
              </w:rPr>
              <w:t>Total Annual CO</w:t>
            </w:r>
            <w:r w:rsidRPr="00F66B34">
              <w:rPr>
                <w:rFonts w:eastAsia="Times New Roman"/>
                <w:b/>
                <w:bCs/>
                <w:color w:val="FFFFFF"/>
                <w:vertAlign w:val="subscript"/>
                <w:lang w:eastAsia="en-US"/>
              </w:rPr>
              <w:t>2</w:t>
            </w:r>
            <w:r w:rsidRPr="00F66B34">
              <w:rPr>
                <w:rFonts w:eastAsia="Times New Roman"/>
                <w:b/>
                <w:bCs/>
                <w:color w:val="FFFFFF"/>
                <w:lang w:eastAsia="en-US"/>
              </w:rPr>
              <w:t xml:space="preserve"> Emissions </w:t>
            </w:r>
            <w:r w:rsidRPr="00F66B34">
              <w:rPr>
                <w:rFonts w:eastAsia="Times New Roman"/>
                <w:b/>
                <w:bCs/>
                <w:color w:val="FFFFFF"/>
                <w:lang w:eastAsia="en-US"/>
              </w:rPr>
              <w:br/>
              <w:t>(Short Tons)</w:t>
            </w:r>
          </w:p>
        </w:tc>
        <w:tc>
          <w:tcPr>
            <w:tcW w:w="2250" w:type="dxa"/>
            <w:tcBorders>
              <w:top w:val="single" w:sz="8" w:space="0" w:color="auto"/>
              <w:left w:val="nil"/>
              <w:bottom w:val="single" w:sz="8" w:space="0" w:color="auto"/>
              <w:right w:val="single" w:sz="8" w:space="0" w:color="auto"/>
            </w:tcBorders>
            <w:shd w:val="clear" w:color="000000" w:fill="000000"/>
            <w:vAlign w:val="center"/>
            <w:hideMark/>
          </w:tcPr>
          <w:p w14:paraId="701B6E68" w14:textId="77777777" w:rsidR="00F43A5E" w:rsidRPr="00F66B34" w:rsidRDefault="00F43A5E" w:rsidP="00F675E0">
            <w:pPr>
              <w:jc w:val="center"/>
              <w:rPr>
                <w:rFonts w:eastAsia="Times New Roman"/>
                <w:b/>
                <w:bCs/>
                <w:color w:val="FFFFFF"/>
                <w:lang w:eastAsia="en-US"/>
              </w:rPr>
            </w:pPr>
            <w:r w:rsidRPr="00F66B34">
              <w:rPr>
                <w:rFonts w:eastAsia="Times New Roman"/>
                <w:b/>
                <w:bCs/>
                <w:color w:val="FFFFFF"/>
                <w:lang w:eastAsia="en-US"/>
              </w:rPr>
              <w:t>Ratio of Annual CO</w:t>
            </w:r>
            <w:r w:rsidRPr="00F66B34">
              <w:rPr>
                <w:rFonts w:eastAsia="Times New Roman"/>
                <w:b/>
                <w:bCs/>
                <w:color w:val="FFFFFF"/>
                <w:vertAlign w:val="subscript"/>
                <w:lang w:eastAsia="en-US"/>
              </w:rPr>
              <w:t>2</w:t>
            </w:r>
            <w:r w:rsidRPr="00F66B34">
              <w:rPr>
                <w:rFonts w:eastAsia="Times New Roman"/>
                <w:b/>
                <w:bCs/>
                <w:color w:val="FFFFFF"/>
                <w:lang w:eastAsia="en-US"/>
              </w:rPr>
              <w:t xml:space="preserve"> Emissions to 1990 Emissions</w:t>
            </w:r>
          </w:p>
        </w:tc>
      </w:tr>
      <w:tr w:rsidR="00F43A5E" w:rsidRPr="00F66B34" w14:paraId="701B6E6D" w14:textId="77777777" w:rsidTr="00F66B34">
        <w:trPr>
          <w:trHeight w:val="349"/>
          <w:jc w:val="center"/>
        </w:trPr>
        <w:tc>
          <w:tcPr>
            <w:tcW w:w="2250" w:type="dxa"/>
            <w:tcBorders>
              <w:top w:val="nil"/>
              <w:left w:val="single" w:sz="8" w:space="0" w:color="auto"/>
              <w:bottom w:val="single" w:sz="8" w:space="0" w:color="auto"/>
              <w:right w:val="single" w:sz="8" w:space="0" w:color="auto"/>
            </w:tcBorders>
            <w:shd w:val="clear" w:color="auto" w:fill="auto"/>
            <w:noWrap/>
            <w:vAlign w:val="center"/>
            <w:hideMark/>
          </w:tcPr>
          <w:p w14:paraId="701B6E6A" w14:textId="77777777" w:rsidR="00F43A5E" w:rsidRPr="00F66B34" w:rsidRDefault="00F43A5E" w:rsidP="003A02A8">
            <w:pPr>
              <w:jc w:val="center"/>
              <w:rPr>
                <w:rFonts w:eastAsia="Times New Roman"/>
                <w:color w:val="000000"/>
                <w:lang w:eastAsia="en-US"/>
              </w:rPr>
            </w:pPr>
            <w:r w:rsidRPr="00F66B34">
              <w:rPr>
                <w:rFonts w:eastAsia="Times New Roman"/>
                <w:color w:val="000000"/>
                <w:lang w:eastAsia="en-US"/>
              </w:rPr>
              <w:t>2006</w:t>
            </w:r>
          </w:p>
        </w:tc>
        <w:tc>
          <w:tcPr>
            <w:tcW w:w="2250" w:type="dxa"/>
            <w:tcBorders>
              <w:top w:val="nil"/>
              <w:left w:val="nil"/>
              <w:bottom w:val="single" w:sz="8" w:space="0" w:color="auto"/>
              <w:right w:val="single" w:sz="8" w:space="0" w:color="auto"/>
            </w:tcBorders>
            <w:shd w:val="clear" w:color="auto" w:fill="auto"/>
            <w:noWrap/>
            <w:vAlign w:val="center"/>
            <w:hideMark/>
          </w:tcPr>
          <w:p w14:paraId="701B6E6B" w14:textId="77777777" w:rsidR="00F43A5E" w:rsidRPr="00F66B34" w:rsidRDefault="00F43A5E" w:rsidP="00297ECE">
            <w:pPr>
              <w:jc w:val="center"/>
              <w:rPr>
                <w:rFonts w:eastAsia="Times New Roman"/>
                <w:color w:val="000000"/>
                <w:lang w:eastAsia="en-US"/>
              </w:rPr>
            </w:pPr>
            <w:r w:rsidRPr="00F66B34">
              <w:rPr>
                <w:rFonts w:eastAsia="Times New Roman"/>
                <w:color w:val="000000"/>
                <w:lang w:eastAsia="en-US"/>
              </w:rPr>
              <w:t>2,790,784</w:t>
            </w:r>
          </w:p>
        </w:tc>
        <w:tc>
          <w:tcPr>
            <w:tcW w:w="2250" w:type="dxa"/>
            <w:tcBorders>
              <w:top w:val="nil"/>
              <w:left w:val="nil"/>
              <w:bottom w:val="single" w:sz="8" w:space="0" w:color="auto"/>
              <w:right w:val="single" w:sz="8" w:space="0" w:color="auto"/>
            </w:tcBorders>
            <w:shd w:val="clear" w:color="auto" w:fill="auto"/>
            <w:noWrap/>
            <w:vAlign w:val="center"/>
            <w:hideMark/>
          </w:tcPr>
          <w:p w14:paraId="701B6E6C" w14:textId="77777777" w:rsidR="00F43A5E" w:rsidRPr="00F66B34" w:rsidRDefault="00F43A5E" w:rsidP="00F675E0">
            <w:pPr>
              <w:jc w:val="center"/>
              <w:rPr>
                <w:rFonts w:eastAsia="Times New Roman"/>
                <w:color w:val="000000"/>
                <w:lang w:eastAsia="en-US"/>
              </w:rPr>
            </w:pPr>
            <w:r w:rsidRPr="00F66B34">
              <w:rPr>
                <w:rFonts w:eastAsia="Times New Roman"/>
                <w:color w:val="000000"/>
                <w:lang w:eastAsia="en-US"/>
              </w:rPr>
              <w:t>116.33%</w:t>
            </w:r>
          </w:p>
        </w:tc>
      </w:tr>
      <w:tr w:rsidR="00F43A5E" w:rsidRPr="00F66B34" w14:paraId="701B6E71" w14:textId="77777777" w:rsidTr="00F66B34">
        <w:trPr>
          <w:trHeight w:val="349"/>
          <w:jc w:val="center"/>
        </w:trPr>
        <w:tc>
          <w:tcPr>
            <w:tcW w:w="2250" w:type="dxa"/>
            <w:tcBorders>
              <w:top w:val="nil"/>
              <w:left w:val="single" w:sz="8" w:space="0" w:color="auto"/>
              <w:bottom w:val="single" w:sz="8" w:space="0" w:color="auto"/>
              <w:right w:val="single" w:sz="8" w:space="0" w:color="auto"/>
            </w:tcBorders>
            <w:shd w:val="clear" w:color="auto" w:fill="auto"/>
            <w:noWrap/>
            <w:vAlign w:val="center"/>
            <w:hideMark/>
          </w:tcPr>
          <w:p w14:paraId="701B6E6E" w14:textId="77777777" w:rsidR="00F43A5E" w:rsidRPr="00F66B34" w:rsidRDefault="00F43A5E" w:rsidP="003A02A8">
            <w:pPr>
              <w:jc w:val="center"/>
              <w:rPr>
                <w:rFonts w:eastAsia="Times New Roman"/>
                <w:color w:val="000000"/>
                <w:lang w:eastAsia="en-US"/>
              </w:rPr>
            </w:pPr>
            <w:r w:rsidRPr="00F66B34">
              <w:rPr>
                <w:rFonts w:eastAsia="Times New Roman"/>
                <w:color w:val="000000"/>
                <w:lang w:eastAsia="en-US"/>
              </w:rPr>
              <w:t>2007</w:t>
            </w:r>
          </w:p>
        </w:tc>
        <w:tc>
          <w:tcPr>
            <w:tcW w:w="2250" w:type="dxa"/>
            <w:tcBorders>
              <w:top w:val="nil"/>
              <w:left w:val="nil"/>
              <w:bottom w:val="single" w:sz="8" w:space="0" w:color="auto"/>
              <w:right w:val="single" w:sz="8" w:space="0" w:color="auto"/>
            </w:tcBorders>
            <w:shd w:val="clear" w:color="auto" w:fill="auto"/>
            <w:noWrap/>
            <w:vAlign w:val="center"/>
            <w:hideMark/>
          </w:tcPr>
          <w:p w14:paraId="701B6E6F" w14:textId="77777777" w:rsidR="00F43A5E" w:rsidRPr="00F66B34" w:rsidRDefault="00F43A5E" w:rsidP="003A02A8">
            <w:pPr>
              <w:jc w:val="center"/>
              <w:rPr>
                <w:rFonts w:eastAsia="Times New Roman"/>
                <w:color w:val="000000"/>
                <w:lang w:eastAsia="en-US"/>
              </w:rPr>
            </w:pPr>
            <w:r w:rsidRPr="00F66B34">
              <w:rPr>
                <w:rFonts w:eastAsia="Times New Roman"/>
                <w:color w:val="000000"/>
                <w:lang w:eastAsia="en-US"/>
              </w:rPr>
              <w:t>2,680,795</w:t>
            </w:r>
          </w:p>
        </w:tc>
        <w:tc>
          <w:tcPr>
            <w:tcW w:w="2250" w:type="dxa"/>
            <w:tcBorders>
              <w:top w:val="nil"/>
              <w:left w:val="nil"/>
              <w:bottom w:val="single" w:sz="8" w:space="0" w:color="auto"/>
              <w:right w:val="single" w:sz="8" w:space="0" w:color="auto"/>
            </w:tcBorders>
            <w:shd w:val="clear" w:color="auto" w:fill="auto"/>
            <w:noWrap/>
            <w:vAlign w:val="center"/>
            <w:hideMark/>
          </w:tcPr>
          <w:p w14:paraId="701B6E70" w14:textId="77777777" w:rsidR="00F43A5E" w:rsidRPr="00F66B34" w:rsidRDefault="00F43A5E" w:rsidP="00297ECE">
            <w:pPr>
              <w:jc w:val="center"/>
              <w:rPr>
                <w:rFonts w:eastAsia="Times New Roman"/>
                <w:color w:val="000000"/>
                <w:lang w:eastAsia="en-US"/>
              </w:rPr>
            </w:pPr>
            <w:r w:rsidRPr="00F66B34">
              <w:rPr>
                <w:rFonts w:eastAsia="Times New Roman"/>
                <w:color w:val="000000"/>
                <w:lang w:eastAsia="en-US"/>
              </w:rPr>
              <w:t>111.74%</w:t>
            </w:r>
          </w:p>
        </w:tc>
      </w:tr>
      <w:tr w:rsidR="00F43A5E" w:rsidRPr="00F66B34" w14:paraId="701B6E75" w14:textId="77777777" w:rsidTr="00F66B34">
        <w:trPr>
          <w:trHeight w:val="349"/>
          <w:jc w:val="center"/>
        </w:trPr>
        <w:tc>
          <w:tcPr>
            <w:tcW w:w="2250" w:type="dxa"/>
            <w:tcBorders>
              <w:top w:val="nil"/>
              <w:left w:val="single" w:sz="8" w:space="0" w:color="auto"/>
              <w:bottom w:val="single" w:sz="8" w:space="0" w:color="auto"/>
              <w:right w:val="single" w:sz="8" w:space="0" w:color="auto"/>
            </w:tcBorders>
            <w:shd w:val="clear" w:color="auto" w:fill="auto"/>
            <w:noWrap/>
            <w:vAlign w:val="center"/>
            <w:hideMark/>
          </w:tcPr>
          <w:p w14:paraId="701B6E72" w14:textId="77777777" w:rsidR="00F43A5E" w:rsidRPr="00F66B34" w:rsidRDefault="00F43A5E" w:rsidP="003A02A8">
            <w:pPr>
              <w:jc w:val="center"/>
              <w:rPr>
                <w:rFonts w:eastAsia="Times New Roman"/>
                <w:color w:val="000000"/>
                <w:lang w:eastAsia="en-US"/>
              </w:rPr>
            </w:pPr>
            <w:r w:rsidRPr="00F66B34">
              <w:rPr>
                <w:rFonts w:eastAsia="Times New Roman"/>
                <w:color w:val="000000"/>
                <w:lang w:eastAsia="en-US"/>
              </w:rPr>
              <w:t>2008</w:t>
            </w:r>
          </w:p>
        </w:tc>
        <w:tc>
          <w:tcPr>
            <w:tcW w:w="2250" w:type="dxa"/>
            <w:tcBorders>
              <w:top w:val="nil"/>
              <w:left w:val="nil"/>
              <w:bottom w:val="single" w:sz="8" w:space="0" w:color="auto"/>
              <w:right w:val="single" w:sz="8" w:space="0" w:color="auto"/>
            </w:tcBorders>
            <w:shd w:val="clear" w:color="auto" w:fill="auto"/>
            <w:noWrap/>
            <w:vAlign w:val="center"/>
            <w:hideMark/>
          </w:tcPr>
          <w:p w14:paraId="701B6E73" w14:textId="77777777" w:rsidR="00F43A5E" w:rsidRPr="00F66B34" w:rsidRDefault="00F43A5E" w:rsidP="00297ECE">
            <w:pPr>
              <w:jc w:val="center"/>
              <w:rPr>
                <w:rFonts w:eastAsia="Times New Roman"/>
                <w:color w:val="000000"/>
                <w:lang w:eastAsia="en-US"/>
              </w:rPr>
            </w:pPr>
            <w:r w:rsidRPr="00F66B34">
              <w:rPr>
                <w:rFonts w:eastAsia="Times New Roman"/>
                <w:color w:val="000000"/>
                <w:lang w:eastAsia="en-US"/>
              </w:rPr>
              <w:t>2,766,051</w:t>
            </w:r>
          </w:p>
        </w:tc>
        <w:tc>
          <w:tcPr>
            <w:tcW w:w="2250" w:type="dxa"/>
            <w:tcBorders>
              <w:top w:val="nil"/>
              <w:left w:val="nil"/>
              <w:bottom w:val="single" w:sz="8" w:space="0" w:color="auto"/>
              <w:right w:val="single" w:sz="8" w:space="0" w:color="auto"/>
            </w:tcBorders>
            <w:shd w:val="clear" w:color="auto" w:fill="auto"/>
            <w:noWrap/>
            <w:vAlign w:val="center"/>
            <w:hideMark/>
          </w:tcPr>
          <w:p w14:paraId="701B6E74" w14:textId="77777777" w:rsidR="00F43A5E" w:rsidRPr="00F66B34" w:rsidRDefault="00F43A5E" w:rsidP="00F675E0">
            <w:pPr>
              <w:jc w:val="center"/>
              <w:rPr>
                <w:rFonts w:eastAsia="Times New Roman"/>
                <w:color w:val="000000"/>
                <w:lang w:eastAsia="en-US"/>
              </w:rPr>
            </w:pPr>
            <w:r w:rsidRPr="00F66B34">
              <w:rPr>
                <w:rFonts w:eastAsia="Times New Roman"/>
                <w:color w:val="000000"/>
                <w:lang w:eastAsia="en-US"/>
              </w:rPr>
              <w:t>115.30%</w:t>
            </w:r>
          </w:p>
        </w:tc>
      </w:tr>
      <w:tr w:rsidR="00F43A5E" w:rsidRPr="00F66B34" w14:paraId="701B6E79" w14:textId="77777777" w:rsidTr="00F66B34">
        <w:trPr>
          <w:trHeight w:val="349"/>
          <w:jc w:val="center"/>
        </w:trPr>
        <w:tc>
          <w:tcPr>
            <w:tcW w:w="2250" w:type="dxa"/>
            <w:tcBorders>
              <w:top w:val="nil"/>
              <w:left w:val="single" w:sz="8" w:space="0" w:color="auto"/>
              <w:bottom w:val="single" w:sz="8" w:space="0" w:color="auto"/>
              <w:right w:val="single" w:sz="8" w:space="0" w:color="auto"/>
            </w:tcBorders>
            <w:shd w:val="clear" w:color="auto" w:fill="auto"/>
            <w:noWrap/>
            <w:vAlign w:val="center"/>
            <w:hideMark/>
          </w:tcPr>
          <w:p w14:paraId="701B6E76" w14:textId="77777777" w:rsidR="00F43A5E" w:rsidRPr="00F66B34" w:rsidRDefault="00F43A5E" w:rsidP="003A02A8">
            <w:pPr>
              <w:jc w:val="center"/>
              <w:rPr>
                <w:rFonts w:eastAsia="Times New Roman"/>
                <w:color w:val="000000"/>
                <w:lang w:eastAsia="en-US"/>
              </w:rPr>
            </w:pPr>
            <w:r w:rsidRPr="00F66B34">
              <w:rPr>
                <w:rFonts w:eastAsia="Times New Roman"/>
                <w:color w:val="000000"/>
                <w:lang w:eastAsia="en-US"/>
              </w:rPr>
              <w:t>2009</w:t>
            </w:r>
          </w:p>
        </w:tc>
        <w:tc>
          <w:tcPr>
            <w:tcW w:w="2250" w:type="dxa"/>
            <w:tcBorders>
              <w:top w:val="nil"/>
              <w:left w:val="nil"/>
              <w:bottom w:val="single" w:sz="8" w:space="0" w:color="auto"/>
              <w:right w:val="single" w:sz="8" w:space="0" w:color="auto"/>
            </w:tcBorders>
            <w:shd w:val="clear" w:color="auto" w:fill="auto"/>
            <w:noWrap/>
            <w:vAlign w:val="center"/>
            <w:hideMark/>
          </w:tcPr>
          <w:p w14:paraId="701B6E77" w14:textId="77777777" w:rsidR="00F43A5E" w:rsidRPr="00F66B34" w:rsidRDefault="00F43A5E" w:rsidP="00297ECE">
            <w:pPr>
              <w:jc w:val="center"/>
              <w:rPr>
                <w:rFonts w:eastAsia="Times New Roman"/>
                <w:color w:val="000000"/>
                <w:lang w:eastAsia="en-US"/>
              </w:rPr>
            </w:pPr>
            <w:r w:rsidRPr="00F66B34">
              <w:rPr>
                <w:rFonts w:eastAsia="Times New Roman"/>
                <w:color w:val="000000"/>
                <w:lang w:eastAsia="en-US"/>
              </w:rPr>
              <w:t>2,847,360</w:t>
            </w:r>
          </w:p>
        </w:tc>
        <w:tc>
          <w:tcPr>
            <w:tcW w:w="2250" w:type="dxa"/>
            <w:tcBorders>
              <w:top w:val="nil"/>
              <w:left w:val="nil"/>
              <w:bottom w:val="single" w:sz="8" w:space="0" w:color="auto"/>
              <w:right w:val="single" w:sz="8" w:space="0" w:color="auto"/>
            </w:tcBorders>
            <w:shd w:val="clear" w:color="auto" w:fill="auto"/>
            <w:noWrap/>
            <w:vAlign w:val="center"/>
            <w:hideMark/>
          </w:tcPr>
          <w:p w14:paraId="701B6E78" w14:textId="77777777" w:rsidR="00F43A5E" w:rsidRPr="00F66B34" w:rsidRDefault="00F43A5E" w:rsidP="00F675E0">
            <w:pPr>
              <w:jc w:val="center"/>
              <w:rPr>
                <w:rFonts w:eastAsia="Times New Roman"/>
                <w:color w:val="000000"/>
                <w:lang w:eastAsia="en-US"/>
              </w:rPr>
            </w:pPr>
            <w:r w:rsidRPr="00F66B34">
              <w:rPr>
                <w:rFonts w:eastAsia="Times New Roman"/>
                <w:color w:val="000000"/>
                <w:lang w:eastAsia="en-US"/>
              </w:rPr>
              <w:t>118.69%</w:t>
            </w:r>
          </w:p>
        </w:tc>
      </w:tr>
      <w:tr w:rsidR="00F43A5E" w:rsidRPr="00F66B34" w14:paraId="701B6E7D" w14:textId="77777777" w:rsidTr="00F66B34">
        <w:trPr>
          <w:trHeight w:val="349"/>
          <w:jc w:val="center"/>
        </w:trPr>
        <w:tc>
          <w:tcPr>
            <w:tcW w:w="2250" w:type="dxa"/>
            <w:tcBorders>
              <w:top w:val="nil"/>
              <w:left w:val="single" w:sz="8" w:space="0" w:color="auto"/>
              <w:bottom w:val="single" w:sz="8" w:space="0" w:color="auto"/>
              <w:right w:val="single" w:sz="8" w:space="0" w:color="auto"/>
            </w:tcBorders>
            <w:shd w:val="clear" w:color="auto" w:fill="auto"/>
            <w:noWrap/>
            <w:vAlign w:val="center"/>
            <w:hideMark/>
          </w:tcPr>
          <w:p w14:paraId="701B6E7A" w14:textId="77777777" w:rsidR="00F43A5E" w:rsidRPr="00F66B34" w:rsidRDefault="00F43A5E" w:rsidP="003A02A8">
            <w:pPr>
              <w:jc w:val="center"/>
              <w:rPr>
                <w:rFonts w:eastAsia="Times New Roman"/>
                <w:color w:val="000000"/>
                <w:lang w:eastAsia="en-US"/>
              </w:rPr>
            </w:pPr>
            <w:r w:rsidRPr="00F66B34">
              <w:rPr>
                <w:rFonts w:eastAsia="Times New Roman"/>
                <w:color w:val="000000"/>
                <w:lang w:eastAsia="en-US"/>
              </w:rPr>
              <w:t>2010</w:t>
            </w:r>
          </w:p>
        </w:tc>
        <w:tc>
          <w:tcPr>
            <w:tcW w:w="2250" w:type="dxa"/>
            <w:tcBorders>
              <w:top w:val="nil"/>
              <w:left w:val="nil"/>
              <w:bottom w:val="single" w:sz="8" w:space="0" w:color="auto"/>
              <w:right w:val="single" w:sz="8" w:space="0" w:color="auto"/>
            </w:tcBorders>
            <w:shd w:val="clear" w:color="auto" w:fill="auto"/>
            <w:noWrap/>
            <w:vAlign w:val="center"/>
            <w:hideMark/>
          </w:tcPr>
          <w:p w14:paraId="701B6E7B" w14:textId="77777777" w:rsidR="00F43A5E" w:rsidRPr="00F66B34" w:rsidRDefault="00F43A5E" w:rsidP="00297ECE">
            <w:pPr>
              <w:jc w:val="center"/>
              <w:rPr>
                <w:rFonts w:eastAsia="Times New Roman"/>
                <w:color w:val="000000"/>
                <w:lang w:eastAsia="en-US"/>
              </w:rPr>
            </w:pPr>
            <w:r w:rsidRPr="00F66B34">
              <w:rPr>
                <w:rFonts w:eastAsia="Times New Roman"/>
                <w:color w:val="000000"/>
                <w:lang w:eastAsia="en-US"/>
              </w:rPr>
              <w:t>2,745,710</w:t>
            </w:r>
          </w:p>
        </w:tc>
        <w:tc>
          <w:tcPr>
            <w:tcW w:w="2250" w:type="dxa"/>
            <w:tcBorders>
              <w:top w:val="nil"/>
              <w:left w:val="nil"/>
              <w:bottom w:val="single" w:sz="8" w:space="0" w:color="auto"/>
              <w:right w:val="single" w:sz="8" w:space="0" w:color="auto"/>
            </w:tcBorders>
            <w:shd w:val="clear" w:color="auto" w:fill="auto"/>
            <w:noWrap/>
            <w:vAlign w:val="center"/>
            <w:hideMark/>
          </w:tcPr>
          <w:p w14:paraId="701B6E7C" w14:textId="77777777" w:rsidR="00F43A5E" w:rsidRPr="00F66B34" w:rsidRDefault="00F43A5E" w:rsidP="00F675E0">
            <w:pPr>
              <w:jc w:val="center"/>
              <w:rPr>
                <w:rFonts w:eastAsia="Times New Roman"/>
                <w:color w:val="000000"/>
                <w:lang w:eastAsia="en-US"/>
              </w:rPr>
            </w:pPr>
            <w:r w:rsidRPr="00F66B34">
              <w:rPr>
                <w:rFonts w:eastAsia="Times New Roman"/>
                <w:color w:val="000000"/>
                <w:lang w:eastAsia="en-US"/>
              </w:rPr>
              <w:t>114.45%</w:t>
            </w:r>
          </w:p>
        </w:tc>
      </w:tr>
      <w:tr w:rsidR="00F43A5E" w:rsidRPr="00F66B34" w14:paraId="701B6E81" w14:textId="77777777" w:rsidTr="00F66B34">
        <w:trPr>
          <w:trHeight w:val="349"/>
          <w:jc w:val="center"/>
        </w:trPr>
        <w:tc>
          <w:tcPr>
            <w:tcW w:w="2250" w:type="dxa"/>
            <w:tcBorders>
              <w:top w:val="nil"/>
              <w:left w:val="single" w:sz="8" w:space="0" w:color="auto"/>
              <w:bottom w:val="single" w:sz="8" w:space="0" w:color="auto"/>
              <w:right w:val="single" w:sz="8" w:space="0" w:color="auto"/>
            </w:tcBorders>
            <w:shd w:val="clear" w:color="auto" w:fill="auto"/>
            <w:noWrap/>
            <w:vAlign w:val="center"/>
            <w:hideMark/>
          </w:tcPr>
          <w:p w14:paraId="701B6E7E" w14:textId="77777777" w:rsidR="00F43A5E" w:rsidRPr="00F66B34" w:rsidRDefault="00F43A5E" w:rsidP="003A02A8">
            <w:pPr>
              <w:jc w:val="center"/>
              <w:rPr>
                <w:rFonts w:eastAsia="Times New Roman"/>
                <w:color w:val="000000"/>
                <w:lang w:eastAsia="en-US"/>
              </w:rPr>
            </w:pPr>
            <w:r w:rsidRPr="00F66B34">
              <w:rPr>
                <w:rFonts w:eastAsia="Times New Roman"/>
                <w:color w:val="000000"/>
                <w:lang w:eastAsia="en-US"/>
              </w:rPr>
              <w:t>2011</w:t>
            </w:r>
          </w:p>
        </w:tc>
        <w:tc>
          <w:tcPr>
            <w:tcW w:w="2250" w:type="dxa"/>
            <w:tcBorders>
              <w:top w:val="nil"/>
              <w:left w:val="nil"/>
              <w:bottom w:val="single" w:sz="8" w:space="0" w:color="auto"/>
              <w:right w:val="single" w:sz="8" w:space="0" w:color="auto"/>
            </w:tcBorders>
            <w:shd w:val="clear" w:color="auto" w:fill="auto"/>
            <w:noWrap/>
            <w:vAlign w:val="center"/>
            <w:hideMark/>
          </w:tcPr>
          <w:p w14:paraId="701B6E7F" w14:textId="77777777" w:rsidR="00F43A5E" w:rsidRPr="00F66B34" w:rsidRDefault="0070446A" w:rsidP="00297ECE">
            <w:pPr>
              <w:jc w:val="center"/>
              <w:rPr>
                <w:rFonts w:eastAsia="Times New Roman"/>
                <w:color w:val="000000"/>
                <w:lang w:eastAsia="en-US"/>
              </w:rPr>
            </w:pPr>
            <w:r w:rsidRPr="00F66B34">
              <w:rPr>
                <w:rFonts w:eastAsia="Times New Roman"/>
                <w:color w:val="000000"/>
                <w:lang w:eastAsia="en-US"/>
              </w:rPr>
              <w:t>2,531,097</w:t>
            </w:r>
          </w:p>
        </w:tc>
        <w:tc>
          <w:tcPr>
            <w:tcW w:w="2250" w:type="dxa"/>
            <w:tcBorders>
              <w:top w:val="nil"/>
              <w:left w:val="nil"/>
              <w:bottom w:val="single" w:sz="8" w:space="0" w:color="auto"/>
              <w:right w:val="single" w:sz="8" w:space="0" w:color="auto"/>
            </w:tcBorders>
            <w:shd w:val="clear" w:color="auto" w:fill="auto"/>
            <w:noWrap/>
            <w:vAlign w:val="center"/>
            <w:hideMark/>
          </w:tcPr>
          <w:p w14:paraId="701B6E80" w14:textId="77777777" w:rsidR="00F43A5E" w:rsidRPr="00F66B34" w:rsidRDefault="00F43A5E" w:rsidP="00F675E0">
            <w:pPr>
              <w:jc w:val="center"/>
              <w:rPr>
                <w:rFonts w:eastAsia="Times New Roman"/>
                <w:color w:val="000000"/>
                <w:lang w:eastAsia="en-US"/>
              </w:rPr>
            </w:pPr>
            <w:r w:rsidRPr="00F66B34">
              <w:rPr>
                <w:rFonts w:eastAsia="Times New Roman"/>
                <w:color w:val="000000"/>
                <w:lang w:eastAsia="en-US"/>
              </w:rPr>
              <w:t>105.50%</w:t>
            </w:r>
          </w:p>
        </w:tc>
      </w:tr>
      <w:tr w:rsidR="00F43A5E" w:rsidRPr="00F66B34" w14:paraId="701B6E85" w14:textId="77777777" w:rsidTr="00F66B34">
        <w:trPr>
          <w:trHeight w:val="349"/>
          <w:jc w:val="center"/>
        </w:trPr>
        <w:tc>
          <w:tcPr>
            <w:tcW w:w="2250" w:type="dxa"/>
            <w:tcBorders>
              <w:top w:val="nil"/>
              <w:left w:val="single" w:sz="8" w:space="0" w:color="auto"/>
              <w:bottom w:val="single" w:sz="8" w:space="0" w:color="auto"/>
              <w:right w:val="single" w:sz="8" w:space="0" w:color="auto"/>
            </w:tcBorders>
            <w:shd w:val="clear" w:color="auto" w:fill="auto"/>
            <w:noWrap/>
            <w:vAlign w:val="center"/>
            <w:hideMark/>
          </w:tcPr>
          <w:p w14:paraId="701B6E82" w14:textId="77777777" w:rsidR="00F43A5E" w:rsidRPr="00F66B34" w:rsidRDefault="00F43A5E" w:rsidP="003A02A8">
            <w:pPr>
              <w:jc w:val="center"/>
              <w:rPr>
                <w:rFonts w:eastAsia="Times New Roman"/>
                <w:color w:val="000000"/>
                <w:lang w:eastAsia="en-US"/>
              </w:rPr>
            </w:pPr>
            <w:r w:rsidRPr="00F66B34">
              <w:rPr>
                <w:rFonts w:eastAsia="Times New Roman"/>
                <w:color w:val="000000"/>
                <w:lang w:eastAsia="en-US"/>
              </w:rPr>
              <w:t>2012</w:t>
            </w:r>
          </w:p>
        </w:tc>
        <w:tc>
          <w:tcPr>
            <w:tcW w:w="2250" w:type="dxa"/>
            <w:tcBorders>
              <w:top w:val="nil"/>
              <w:left w:val="nil"/>
              <w:bottom w:val="single" w:sz="8" w:space="0" w:color="auto"/>
              <w:right w:val="single" w:sz="8" w:space="0" w:color="auto"/>
            </w:tcBorders>
            <w:shd w:val="clear" w:color="auto" w:fill="auto"/>
            <w:noWrap/>
            <w:vAlign w:val="center"/>
            <w:hideMark/>
          </w:tcPr>
          <w:p w14:paraId="701B6E83" w14:textId="77777777" w:rsidR="00F43A5E" w:rsidRPr="00F66B34" w:rsidRDefault="00F43A5E" w:rsidP="00297ECE">
            <w:pPr>
              <w:jc w:val="center"/>
              <w:rPr>
                <w:rFonts w:eastAsia="Times New Roman"/>
                <w:color w:val="000000"/>
                <w:lang w:eastAsia="en-US"/>
              </w:rPr>
            </w:pPr>
            <w:r w:rsidRPr="00F66B34">
              <w:rPr>
                <w:rFonts w:eastAsia="Times New Roman"/>
                <w:color w:val="000000"/>
                <w:lang w:eastAsia="en-US"/>
              </w:rPr>
              <w:t>2,764,788</w:t>
            </w:r>
          </w:p>
        </w:tc>
        <w:tc>
          <w:tcPr>
            <w:tcW w:w="2250" w:type="dxa"/>
            <w:tcBorders>
              <w:top w:val="nil"/>
              <w:left w:val="nil"/>
              <w:bottom w:val="single" w:sz="8" w:space="0" w:color="auto"/>
              <w:right w:val="single" w:sz="8" w:space="0" w:color="auto"/>
            </w:tcBorders>
            <w:shd w:val="clear" w:color="auto" w:fill="auto"/>
            <w:noWrap/>
            <w:vAlign w:val="center"/>
            <w:hideMark/>
          </w:tcPr>
          <w:p w14:paraId="701B6E84" w14:textId="77777777" w:rsidR="00F43A5E" w:rsidRPr="00F66B34" w:rsidRDefault="00F43A5E" w:rsidP="00F675E0">
            <w:pPr>
              <w:jc w:val="center"/>
              <w:rPr>
                <w:rFonts w:eastAsia="Times New Roman"/>
                <w:color w:val="000000"/>
                <w:lang w:eastAsia="en-US"/>
              </w:rPr>
            </w:pPr>
            <w:r w:rsidRPr="00F66B34">
              <w:rPr>
                <w:rFonts w:eastAsia="Times New Roman"/>
                <w:color w:val="000000"/>
                <w:lang w:eastAsia="en-US"/>
              </w:rPr>
              <w:t>115.24%</w:t>
            </w:r>
          </w:p>
        </w:tc>
      </w:tr>
      <w:tr w:rsidR="00F43A5E" w:rsidRPr="00F66B34" w14:paraId="701B6E89" w14:textId="77777777" w:rsidTr="00F66B34">
        <w:trPr>
          <w:trHeight w:val="349"/>
          <w:jc w:val="center"/>
        </w:trPr>
        <w:tc>
          <w:tcPr>
            <w:tcW w:w="2250" w:type="dxa"/>
            <w:tcBorders>
              <w:top w:val="nil"/>
              <w:left w:val="single" w:sz="8" w:space="0" w:color="auto"/>
              <w:bottom w:val="single" w:sz="8" w:space="0" w:color="auto"/>
              <w:right w:val="single" w:sz="8" w:space="0" w:color="auto"/>
            </w:tcBorders>
            <w:shd w:val="clear" w:color="auto" w:fill="auto"/>
            <w:noWrap/>
            <w:vAlign w:val="center"/>
            <w:hideMark/>
          </w:tcPr>
          <w:p w14:paraId="701B6E86" w14:textId="77777777" w:rsidR="00F43A5E" w:rsidRPr="00F66B34" w:rsidRDefault="00F43A5E" w:rsidP="003A02A8">
            <w:pPr>
              <w:jc w:val="center"/>
              <w:rPr>
                <w:rFonts w:eastAsia="Times New Roman"/>
                <w:color w:val="000000"/>
                <w:lang w:eastAsia="en-US"/>
              </w:rPr>
            </w:pPr>
            <w:r w:rsidRPr="00F66B34">
              <w:rPr>
                <w:rFonts w:eastAsia="Times New Roman"/>
                <w:color w:val="000000"/>
                <w:lang w:eastAsia="en-US"/>
              </w:rPr>
              <w:t>2013</w:t>
            </w:r>
          </w:p>
        </w:tc>
        <w:tc>
          <w:tcPr>
            <w:tcW w:w="2250" w:type="dxa"/>
            <w:tcBorders>
              <w:top w:val="nil"/>
              <w:left w:val="nil"/>
              <w:bottom w:val="single" w:sz="8" w:space="0" w:color="auto"/>
              <w:right w:val="single" w:sz="8" w:space="0" w:color="auto"/>
            </w:tcBorders>
            <w:shd w:val="clear" w:color="auto" w:fill="auto"/>
            <w:noWrap/>
            <w:vAlign w:val="center"/>
            <w:hideMark/>
          </w:tcPr>
          <w:p w14:paraId="701B6E87" w14:textId="77777777" w:rsidR="00F43A5E" w:rsidRPr="00F66B34" w:rsidRDefault="00F43A5E" w:rsidP="003A02A8">
            <w:pPr>
              <w:jc w:val="center"/>
              <w:rPr>
                <w:rFonts w:eastAsia="Times New Roman"/>
                <w:color w:val="000000"/>
                <w:lang w:eastAsia="en-US"/>
              </w:rPr>
            </w:pPr>
            <w:r w:rsidRPr="00F66B34">
              <w:rPr>
                <w:rFonts w:eastAsia="Times New Roman"/>
                <w:color w:val="000000"/>
                <w:lang w:eastAsia="en-US"/>
              </w:rPr>
              <w:t>3,075,139</w:t>
            </w:r>
          </w:p>
        </w:tc>
        <w:tc>
          <w:tcPr>
            <w:tcW w:w="2250" w:type="dxa"/>
            <w:tcBorders>
              <w:top w:val="nil"/>
              <w:left w:val="nil"/>
              <w:bottom w:val="single" w:sz="8" w:space="0" w:color="auto"/>
              <w:right w:val="single" w:sz="8" w:space="0" w:color="auto"/>
            </w:tcBorders>
            <w:shd w:val="clear" w:color="auto" w:fill="auto"/>
            <w:noWrap/>
            <w:vAlign w:val="center"/>
            <w:hideMark/>
          </w:tcPr>
          <w:p w14:paraId="701B6E88" w14:textId="77777777" w:rsidR="00F43A5E" w:rsidRPr="00F66B34" w:rsidRDefault="00F43A5E" w:rsidP="00297ECE">
            <w:pPr>
              <w:jc w:val="center"/>
              <w:rPr>
                <w:rFonts w:eastAsia="Times New Roman"/>
                <w:color w:val="000000"/>
                <w:lang w:eastAsia="en-US"/>
              </w:rPr>
            </w:pPr>
            <w:r w:rsidRPr="00F66B34">
              <w:rPr>
                <w:rFonts w:eastAsia="Times New Roman"/>
                <w:color w:val="000000"/>
                <w:lang w:eastAsia="en-US"/>
              </w:rPr>
              <w:t>128.18%</w:t>
            </w:r>
          </w:p>
        </w:tc>
      </w:tr>
      <w:tr w:rsidR="00F43A5E" w:rsidRPr="00F66B34" w14:paraId="701B6E8D" w14:textId="77777777" w:rsidTr="00F66B34">
        <w:trPr>
          <w:trHeight w:val="349"/>
          <w:jc w:val="center"/>
        </w:trPr>
        <w:tc>
          <w:tcPr>
            <w:tcW w:w="2250" w:type="dxa"/>
            <w:tcBorders>
              <w:top w:val="nil"/>
              <w:left w:val="single" w:sz="8" w:space="0" w:color="auto"/>
              <w:bottom w:val="single" w:sz="8" w:space="0" w:color="auto"/>
              <w:right w:val="single" w:sz="8" w:space="0" w:color="auto"/>
            </w:tcBorders>
            <w:shd w:val="clear" w:color="auto" w:fill="auto"/>
            <w:noWrap/>
            <w:vAlign w:val="center"/>
            <w:hideMark/>
          </w:tcPr>
          <w:p w14:paraId="701B6E8A" w14:textId="77777777" w:rsidR="00F43A5E" w:rsidRPr="00F66B34" w:rsidRDefault="00F43A5E" w:rsidP="003A02A8">
            <w:pPr>
              <w:jc w:val="center"/>
              <w:rPr>
                <w:rFonts w:eastAsia="Times New Roman"/>
                <w:color w:val="000000"/>
                <w:lang w:eastAsia="en-US"/>
              </w:rPr>
            </w:pPr>
            <w:r w:rsidRPr="00F66B34">
              <w:rPr>
                <w:rFonts w:eastAsia="Times New Roman"/>
                <w:color w:val="000000"/>
                <w:lang w:eastAsia="en-US"/>
              </w:rPr>
              <w:t>2014</w:t>
            </w:r>
          </w:p>
        </w:tc>
        <w:tc>
          <w:tcPr>
            <w:tcW w:w="2250" w:type="dxa"/>
            <w:tcBorders>
              <w:top w:val="nil"/>
              <w:left w:val="nil"/>
              <w:bottom w:val="single" w:sz="8" w:space="0" w:color="auto"/>
              <w:right w:val="single" w:sz="8" w:space="0" w:color="auto"/>
            </w:tcBorders>
            <w:shd w:val="clear" w:color="auto" w:fill="auto"/>
            <w:noWrap/>
            <w:vAlign w:val="center"/>
            <w:hideMark/>
          </w:tcPr>
          <w:p w14:paraId="701B6E8B" w14:textId="77777777" w:rsidR="00F43A5E" w:rsidRPr="00F66B34" w:rsidRDefault="00F43A5E" w:rsidP="00297ECE">
            <w:pPr>
              <w:jc w:val="center"/>
              <w:rPr>
                <w:rFonts w:eastAsia="Times New Roman"/>
                <w:color w:val="000000"/>
                <w:lang w:eastAsia="en-US"/>
              </w:rPr>
            </w:pPr>
            <w:r w:rsidRPr="00F66B34">
              <w:rPr>
                <w:rFonts w:eastAsia="Times New Roman"/>
                <w:color w:val="000000"/>
                <w:lang w:eastAsia="en-US"/>
              </w:rPr>
              <w:t>2,865,259</w:t>
            </w:r>
          </w:p>
        </w:tc>
        <w:tc>
          <w:tcPr>
            <w:tcW w:w="2250" w:type="dxa"/>
            <w:tcBorders>
              <w:top w:val="nil"/>
              <w:left w:val="nil"/>
              <w:bottom w:val="single" w:sz="8" w:space="0" w:color="auto"/>
              <w:right w:val="single" w:sz="8" w:space="0" w:color="auto"/>
            </w:tcBorders>
            <w:shd w:val="clear" w:color="auto" w:fill="auto"/>
            <w:noWrap/>
            <w:vAlign w:val="center"/>
            <w:hideMark/>
          </w:tcPr>
          <w:p w14:paraId="701B6E8C" w14:textId="77777777" w:rsidR="00F43A5E" w:rsidRPr="00F66B34" w:rsidRDefault="00F43A5E" w:rsidP="00F675E0">
            <w:pPr>
              <w:jc w:val="center"/>
              <w:rPr>
                <w:rFonts w:eastAsia="Times New Roman"/>
                <w:color w:val="000000"/>
                <w:lang w:eastAsia="en-US"/>
              </w:rPr>
            </w:pPr>
            <w:r w:rsidRPr="00F66B34">
              <w:rPr>
                <w:rFonts w:eastAsia="Times New Roman"/>
                <w:color w:val="000000"/>
                <w:lang w:eastAsia="en-US"/>
              </w:rPr>
              <w:t>119.43%</w:t>
            </w:r>
          </w:p>
        </w:tc>
      </w:tr>
      <w:tr w:rsidR="00F43A5E" w:rsidRPr="00F66B34" w14:paraId="701B6E91" w14:textId="77777777" w:rsidTr="00F66B34">
        <w:trPr>
          <w:trHeight w:val="349"/>
          <w:jc w:val="center"/>
        </w:trPr>
        <w:tc>
          <w:tcPr>
            <w:tcW w:w="2250" w:type="dxa"/>
            <w:tcBorders>
              <w:top w:val="nil"/>
              <w:left w:val="single" w:sz="8" w:space="0" w:color="auto"/>
              <w:bottom w:val="single" w:sz="8" w:space="0" w:color="auto"/>
              <w:right w:val="single" w:sz="8" w:space="0" w:color="auto"/>
            </w:tcBorders>
            <w:shd w:val="clear" w:color="auto" w:fill="auto"/>
            <w:noWrap/>
            <w:vAlign w:val="center"/>
            <w:hideMark/>
          </w:tcPr>
          <w:p w14:paraId="701B6E8E" w14:textId="77777777" w:rsidR="00F43A5E" w:rsidRPr="00F66B34" w:rsidRDefault="00F43A5E" w:rsidP="003A02A8">
            <w:pPr>
              <w:jc w:val="center"/>
              <w:rPr>
                <w:rFonts w:eastAsia="Times New Roman"/>
                <w:color w:val="000000"/>
                <w:lang w:eastAsia="en-US"/>
              </w:rPr>
            </w:pPr>
            <w:r w:rsidRPr="00F66B34">
              <w:rPr>
                <w:rFonts w:eastAsia="Times New Roman"/>
                <w:color w:val="000000"/>
                <w:lang w:eastAsia="en-US"/>
              </w:rPr>
              <w:t>2015</w:t>
            </w:r>
          </w:p>
        </w:tc>
        <w:tc>
          <w:tcPr>
            <w:tcW w:w="2250" w:type="dxa"/>
            <w:tcBorders>
              <w:top w:val="nil"/>
              <w:left w:val="nil"/>
              <w:bottom w:val="single" w:sz="8" w:space="0" w:color="auto"/>
              <w:right w:val="single" w:sz="8" w:space="0" w:color="auto"/>
            </w:tcBorders>
            <w:shd w:val="clear" w:color="auto" w:fill="auto"/>
            <w:noWrap/>
            <w:vAlign w:val="center"/>
            <w:hideMark/>
          </w:tcPr>
          <w:p w14:paraId="701B6E8F" w14:textId="77777777" w:rsidR="00F43A5E" w:rsidRPr="00F66B34" w:rsidRDefault="00F43A5E" w:rsidP="00297ECE">
            <w:pPr>
              <w:jc w:val="center"/>
              <w:rPr>
                <w:rFonts w:eastAsia="Times New Roman"/>
                <w:color w:val="000000"/>
                <w:lang w:eastAsia="en-US"/>
              </w:rPr>
            </w:pPr>
            <w:r w:rsidRPr="00F66B34">
              <w:rPr>
                <w:rFonts w:eastAsia="Times New Roman"/>
                <w:color w:val="000000"/>
                <w:lang w:eastAsia="en-US"/>
              </w:rPr>
              <w:t>2,988,262</w:t>
            </w:r>
          </w:p>
        </w:tc>
        <w:tc>
          <w:tcPr>
            <w:tcW w:w="2250" w:type="dxa"/>
            <w:tcBorders>
              <w:top w:val="nil"/>
              <w:left w:val="nil"/>
              <w:bottom w:val="single" w:sz="8" w:space="0" w:color="auto"/>
              <w:right w:val="single" w:sz="8" w:space="0" w:color="auto"/>
            </w:tcBorders>
            <w:shd w:val="clear" w:color="auto" w:fill="auto"/>
            <w:noWrap/>
            <w:vAlign w:val="center"/>
            <w:hideMark/>
          </w:tcPr>
          <w:p w14:paraId="701B6E90" w14:textId="77777777" w:rsidR="00F43A5E" w:rsidRPr="00F66B34" w:rsidRDefault="00F43A5E" w:rsidP="00F675E0">
            <w:pPr>
              <w:jc w:val="center"/>
              <w:rPr>
                <w:rFonts w:eastAsia="Times New Roman"/>
                <w:color w:val="000000"/>
                <w:lang w:eastAsia="en-US"/>
              </w:rPr>
            </w:pPr>
            <w:r w:rsidRPr="00F66B34">
              <w:rPr>
                <w:rFonts w:eastAsia="Times New Roman"/>
                <w:color w:val="000000"/>
                <w:lang w:eastAsia="en-US"/>
              </w:rPr>
              <w:t>124.56%</w:t>
            </w:r>
          </w:p>
        </w:tc>
      </w:tr>
    </w:tbl>
    <w:p w14:paraId="701B6E92" w14:textId="77777777" w:rsidR="00684C8F" w:rsidRPr="00F66B34" w:rsidRDefault="00684C8F" w:rsidP="00F66B34">
      <w:pPr>
        <w:jc w:val="center"/>
      </w:pPr>
    </w:p>
    <w:p w14:paraId="701B6E93" w14:textId="77777777" w:rsidR="00684C8F" w:rsidRPr="00F66B34" w:rsidRDefault="00684C8F" w:rsidP="00F66B34">
      <w:pPr>
        <w:jc w:val="center"/>
      </w:pPr>
    </w:p>
    <w:p w14:paraId="701B6E94" w14:textId="77777777" w:rsidR="00684C8F" w:rsidRPr="00F66B34" w:rsidRDefault="00684C8F" w:rsidP="00F66B34">
      <w:pPr>
        <w:jc w:val="center"/>
      </w:pPr>
    </w:p>
    <w:p w14:paraId="701B6E95" w14:textId="77777777" w:rsidR="00684C8F" w:rsidRPr="00F66B34" w:rsidRDefault="00684C8F" w:rsidP="00F66B34">
      <w:pPr>
        <w:jc w:val="center"/>
      </w:pPr>
    </w:p>
    <w:p w14:paraId="701B6E96" w14:textId="77777777" w:rsidR="00684C8F" w:rsidRPr="00F66B34" w:rsidRDefault="00684C8F" w:rsidP="003A02A8">
      <w:pPr>
        <w:jc w:val="both"/>
      </w:pPr>
    </w:p>
    <w:p w14:paraId="701B6E97" w14:textId="77777777" w:rsidR="00684C8F" w:rsidRPr="00F66B34" w:rsidRDefault="00684C8F" w:rsidP="00297ECE">
      <w:pPr>
        <w:jc w:val="both"/>
      </w:pPr>
    </w:p>
    <w:p w14:paraId="701B6E98" w14:textId="77777777" w:rsidR="00684C8F" w:rsidRPr="00F66B34" w:rsidRDefault="00684C8F" w:rsidP="00F675E0">
      <w:pPr>
        <w:jc w:val="both"/>
      </w:pPr>
    </w:p>
    <w:p w14:paraId="701B6E99" w14:textId="77777777" w:rsidR="00684C8F" w:rsidRPr="00F66B34" w:rsidRDefault="00684C8F" w:rsidP="00F675E0">
      <w:pPr>
        <w:jc w:val="both"/>
      </w:pPr>
    </w:p>
    <w:p w14:paraId="701B6E9A" w14:textId="77777777" w:rsidR="00684C8F" w:rsidRPr="00F66B34" w:rsidRDefault="00684C8F" w:rsidP="00F675E0">
      <w:pPr>
        <w:jc w:val="both"/>
      </w:pPr>
    </w:p>
    <w:p w14:paraId="701B6E9B" w14:textId="77777777" w:rsidR="00684C8F" w:rsidRPr="00F66B34" w:rsidRDefault="00684C8F" w:rsidP="00F675E0">
      <w:pPr>
        <w:jc w:val="both"/>
      </w:pPr>
    </w:p>
    <w:p w14:paraId="701B6E9C" w14:textId="77777777" w:rsidR="00684C8F" w:rsidRPr="00F66B34" w:rsidRDefault="00684C8F" w:rsidP="00F675E0">
      <w:pPr>
        <w:jc w:val="both"/>
      </w:pPr>
    </w:p>
    <w:p w14:paraId="701B6E9D" w14:textId="77777777" w:rsidR="00684C8F" w:rsidRPr="00F66B34" w:rsidRDefault="00684C8F" w:rsidP="00F675E0">
      <w:pPr>
        <w:jc w:val="both"/>
        <w:rPr>
          <w:sz w:val="28"/>
          <w:szCs w:val="28"/>
        </w:rPr>
      </w:pPr>
    </w:p>
    <w:p w14:paraId="701B6E9E" w14:textId="77777777" w:rsidR="00BC774B" w:rsidRPr="00F66B34" w:rsidRDefault="00BC774B" w:rsidP="00F66B34">
      <w:pPr>
        <w:spacing w:after="200" w:line="276" w:lineRule="auto"/>
        <w:jc w:val="both"/>
        <w:rPr>
          <w:rFonts w:eastAsia="Times New Roman"/>
          <w:b/>
          <w:bCs/>
          <w:sz w:val="28"/>
          <w:lang w:eastAsia="en-US"/>
        </w:rPr>
      </w:pPr>
      <w:r w:rsidRPr="00F66B34">
        <w:rPr>
          <w:sz w:val="28"/>
        </w:rPr>
        <w:br w:type="page"/>
      </w:r>
    </w:p>
    <w:p w14:paraId="701B6E9F" w14:textId="77777777" w:rsidR="00574F72" w:rsidRPr="00F66B34" w:rsidRDefault="008F1948" w:rsidP="00BF1DA1">
      <w:pPr>
        <w:pStyle w:val="Caption"/>
        <w:jc w:val="left"/>
        <w:rPr>
          <w:sz w:val="28"/>
        </w:rPr>
      </w:pPr>
      <w:r w:rsidRPr="00F66B34">
        <w:rPr>
          <w:sz w:val="28"/>
        </w:rPr>
        <w:lastRenderedPageBreak/>
        <w:t>Prior 10-year Annual Metrics for all Generating R</w:t>
      </w:r>
      <w:r w:rsidR="00574F72" w:rsidRPr="00F66B34">
        <w:rPr>
          <w:sz w:val="28"/>
        </w:rPr>
        <w:t>esourc</w:t>
      </w:r>
      <w:r w:rsidRPr="00F66B34">
        <w:rPr>
          <w:sz w:val="28"/>
        </w:rPr>
        <w:t>es Serving Washington C</w:t>
      </w:r>
      <w:r w:rsidR="00574F72" w:rsidRPr="00F66B34">
        <w:rPr>
          <w:sz w:val="28"/>
        </w:rPr>
        <w:t>ustomers</w:t>
      </w:r>
    </w:p>
    <w:p w14:paraId="701B6EA0" w14:textId="77777777" w:rsidR="008F1948" w:rsidRPr="00F66B34" w:rsidRDefault="008F1948" w:rsidP="00BF1DA1"/>
    <w:p w14:paraId="701B6EA1" w14:textId="77777777" w:rsidR="002C6D49" w:rsidRPr="00F66B34" w:rsidRDefault="002C6D49" w:rsidP="00BF1DA1">
      <w:r w:rsidRPr="00F66B34">
        <w:t xml:space="preserve">Table </w:t>
      </w:r>
      <w:r w:rsidR="00BD264E" w:rsidRPr="00F66B34">
        <w:t>2</w:t>
      </w:r>
      <w:r w:rsidR="008F1948" w:rsidRPr="00F66B34">
        <w:t xml:space="preserve"> below provides the average megawatt-hour </w:t>
      </w:r>
      <w:r w:rsidRPr="00F66B34">
        <w:t xml:space="preserve">(MWh) </w:t>
      </w:r>
      <w:r w:rsidR="008F1948" w:rsidRPr="00F66B34">
        <w:t>per resi</w:t>
      </w:r>
      <w:r w:rsidRPr="00F66B34">
        <w:t>dential and commercial customer,</w:t>
      </w:r>
      <w:r w:rsidR="008F1948" w:rsidRPr="00F66B34">
        <w:t xml:space="preserve"> the average megawatt-hour per capita, and </w:t>
      </w:r>
      <w:r w:rsidRPr="00F66B34">
        <w:t>estimated population served over time.</w:t>
      </w:r>
      <w:r w:rsidR="00BC2CD5" w:rsidRPr="00F66B34">
        <w:rPr>
          <w:rStyle w:val="FootnoteReference"/>
        </w:rPr>
        <w:footnoteReference w:id="1"/>
      </w:r>
      <w:r w:rsidR="00BC2CD5" w:rsidRPr="00F66B34">
        <w:t xml:space="preserve"> </w:t>
      </w:r>
      <w:r w:rsidRPr="00F66B34">
        <w:t xml:space="preserve"> </w:t>
      </w:r>
    </w:p>
    <w:p w14:paraId="701B6EA2" w14:textId="77777777" w:rsidR="0064513B" w:rsidRPr="00F66B34" w:rsidRDefault="0064513B" w:rsidP="00BF1DA1"/>
    <w:p w14:paraId="701B6EA3" w14:textId="77777777" w:rsidR="008F1948" w:rsidRPr="00F66B34" w:rsidRDefault="002C6D49" w:rsidP="00BF1DA1">
      <w:r w:rsidRPr="00F66B34">
        <w:t xml:space="preserve">The MWh per customer is determined by dividing the proportional MWh for each customer class by the number of customers for the same </w:t>
      </w:r>
      <w:r w:rsidR="00684C8F" w:rsidRPr="00F66B34">
        <w:t xml:space="preserve">customer class. </w:t>
      </w:r>
      <w:r w:rsidRPr="00F66B34">
        <w:t xml:space="preserve">The MWh per capita represents the </w:t>
      </w:r>
      <w:r w:rsidR="00BC2CD5" w:rsidRPr="00F66B34">
        <w:t xml:space="preserve">total annual load for the year, divided by the estimated population served for the year. </w:t>
      </w:r>
    </w:p>
    <w:p w14:paraId="701B6EA4" w14:textId="77777777" w:rsidR="008F1948" w:rsidRPr="00F66B34" w:rsidRDefault="008F1948" w:rsidP="00BF1DA1"/>
    <w:p w14:paraId="701B6EA5" w14:textId="77777777" w:rsidR="008F1948" w:rsidRPr="00F66B34" w:rsidRDefault="008F1948" w:rsidP="003A02A8">
      <w:pPr>
        <w:jc w:val="center"/>
        <w:rPr>
          <w:b/>
        </w:rPr>
      </w:pPr>
      <w:r w:rsidRPr="00F66B34">
        <w:rPr>
          <w:b/>
        </w:rPr>
        <w:t xml:space="preserve">Table </w:t>
      </w:r>
      <w:r w:rsidR="00BD264E" w:rsidRPr="00F66B34">
        <w:rPr>
          <w:b/>
        </w:rPr>
        <w:t>2</w:t>
      </w:r>
    </w:p>
    <w:p w14:paraId="701B6EA6" w14:textId="77777777" w:rsidR="00574F72" w:rsidRPr="00F66B34" w:rsidRDefault="00574F72" w:rsidP="00F66B34">
      <w:pPr>
        <w:jc w:val="center"/>
      </w:pPr>
    </w:p>
    <w:tbl>
      <w:tblPr>
        <w:tblW w:w="8830" w:type="dxa"/>
        <w:jc w:val="center"/>
        <w:tblLook w:val="04A0" w:firstRow="1" w:lastRow="0" w:firstColumn="1" w:lastColumn="0" w:noHBand="0" w:noVBand="1"/>
      </w:tblPr>
      <w:tblGrid>
        <w:gridCol w:w="1645"/>
        <w:gridCol w:w="1887"/>
        <w:gridCol w:w="1746"/>
        <w:gridCol w:w="1966"/>
        <w:gridCol w:w="1586"/>
      </w:tblGrid>
      <w:tr w:rsidR="00C55599" w:rsidRPr="00F66B34" w14:paraId="701B6EAD" w14:textId="77777777" w:rsidTr="00BF1DA1">
        <w:trPr>
          <w:trHeight w:val="1360"/>
          <w:jc w:val="center"/>
        </w:trPr>
        <w:tc>
          <w:tcPr>
            <w:tcW w:w="1645"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01B6EA7" w14:textId="77777777" w:rsidR="00C55599" w:rsidRPr="00F66B34" w:rsidRDefault="00C55599" w:rsidP="003A02A8">
            <w:pPr>
              <w:jc w:val="center"/>
              <w:rPr>
                <w:rFonts w:eastAsia="Times New Roman"/>
                <w:b/>
                <w:bCs/>
                <w:color w:val="FFFFFF"/>
                <w:szCs w:val="22"/>
                <w:lang w:eastAsia="en-US"/>
              </w:rPr>
            </w:pPr>
            <w:r w:rsidRPr="00F66B34">
              <w:rPr>
                <w:rFonts w:eastAsia="Times New Roman"/>
                <w:b/>
                <w:bCs/>
                <w:color w:val="FFFFFF"/>
                <w:szCs w:val="22"/>
                <w:lang w:eastAsia="en-US"/>
              </w:rPr>
              <w:t>Year</w:t>
            </w:r>
          </w:p>
        </w:tc>
        <w:tc>
          <w:tcPr>
            <w:tcW w:w="1887" w:type="dxa"/>
            <w:tcBorders>
              <w:top w:val="single" w:sz="4" w:space="0" w:color="auto"/>
              <w:left w:val="nil"/>
              <w:bottom w:val="single" w:sz="4" w:space="0" w:color="auto"/>
              <w:right w:val="single" w:sz="4" w:space="0" w:color="auto"/>
            </w:tcBorders>
            <w:shd w:val="clear" w:color="000000" w:fill="000000"/>
            <w:vAlign w:val="center"/>
            <w:hideMark/>
          </w:tcPr>
          <w:p w14:paraId="701B6EA8" w14:textId="77777777" w:rsidR="00C55599" w:rsidRPr="00F66B34" w:rsidRDefault="00C55599" w:rsidP="00297ECE">
            <w:pPr>
              <w:jc w:val="center"/>
              <w:rPr>
                <w:rFonts w:eastAsia="Times New Roman"/>
                <w:b/>
                <w:bCs/>
                <w:color w:val="FFFFFF"/>
                <w:szCs w:val="22"/>
                <w:lang w:eastAsia="en-US"/>
              </w:rPr>
            </w:pPr>
            <w:r w:rsidRPr="00F66B34">
              <w:rPr>
                <w:rFonts w:eastAsia="Times New Roman"/>
                <w:b/>
                <w:bCs/>
                <w:color w:val="FFFFFF"/>
                <w:szCs w:val="22"/>
                <w:lang w:eastAsia="en-US"/>
              </w:rPr>
              <w:t>Average MWh per Residential Customer</w:t>
            </w:r>
          </w:p>
        </w:tc>
        <w:tc>
          <w:tcPr>
            <w:tcW w:w="1746" w:type="dxa"/>
            <w:tcBorders>
              <w:top w:val="single" w:sz="4" w:space="0" w:color="auto"/>
              <w:left w:val="nil"/>
              <w:bottom w:val="single" w:sz="4" w:space="0" w:color="auto"/>
              <w:right w:val="single" w:sz="4" w:space="0" w:color="auto"/>
            </w:tcBorders>
            <w:shd w:val="clear" w:color="000000" w:fill="000000"/>
            <w:vAlign w:val="center"/>
          </w:tcPr>
          <w:p w14:paraId="701B6EA9" w14:textId="77777777" w:rsidR="00C55599" w:rsidRPr="00F66B34" w:rsidRDefault="00C55599" w:rsidP="00F675E0">
            <w:pPr>
              <w:jc w:val="center"/>
            </w:pPr>
            <w:r w:rsidRPr="00F66B34">
              <w:rPr>
                <w:rFonts w:eastAsia="Times New Roman"/>
                <w:b/>
                <w:bCs/>
                <w:color w:val="FFFFFF"/>
                <w:szCs w:val="22"/>
                <w:lang w:eastAsia="en-US"/>
              </w:rPr>
              <w:t>Population</w:t>
            </w:r>
          </w:p>
          <w:p w14:paraId="701B6EAA" w14:textId="77777777" w:rsidR="00C55599" w:rsidRPr="00F66B34" w:rsidRDefault="00C55599" w:rsidP="00F675E0">
            <w:pPr>
              <w:jc w:val="center"/>
              <w:rPr>
                <w:rFonts w:eastAsia="Times New Roman"/>
                <w:b/>
                <w:bCs/>
                <w:color w:val="FFFFFF"/>
                <w:szCs w:val="22"/>
                <w:lang w:eastAsia="en-US"/>
              </w:rPr>
            </w:pPr>
            <w:r w:rsidRPr="00F66B34">
              <w:rPr>
                <w:b/>
              </w:rPr>
              <w:t>(Residential)</w:t>
            </w:r>
          </w:p>
        </w:tc>
        <w:tc>
          <w:tcPr>
            <w:tcW w:w="1966"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01B6EAB" w14:textId="77777777" w:rsidR="00C55599" w:rsidRPr="00F66B34" w:rsidRDefault="00C55599" w:rsidP="00F675E0">
            <w:pPr>
              <w:jc w:val="center"/>
              <w:rPr>
                <w:rFonts w:eastAsia="Times New Roman"/>
                <w:b/>
                <w:bCs/>
                <w:color w:val="FFFFFF"/>
                <w:szCs w:val="22"/>
                <w:lang w:eastAsia="en-US"/>
              </w:rPr>
            </w:pPr>
            <w:r w:rsidRPr="00F66B34">
              <w:rPr>
                <w:rFonts w:eastAsia="Times New Roman"/>
                <w:b/>
                <w:bCs/>
                <w:color w:val="FFFFFF"/>
                <w:szCs w:val="22"/>
                <w:lang w:eastAsia="en-US"/>
              </w:rPr>
              <w:t>Average MWh per Commercial Customer</w:t>
            </w:r>
          </w:p>
        </w:tc>
        <w:tc>
          <w:tcPr>
            <w:tcW w:w="1586" w:type="dxa"/>
            <w:tcBorders>
              <w:top w:val="single" w:sz="4" w:space="0" w:color="auto"/>
              <w:left w:val="nil"/>
              <w:bottom w:val="single" w:sz="4" w:space="0" w:color="auto"/>
              <w:right w:val="single" w:sz="4" w:space="0" w:color="auto"/>
            </w:tcBorders>
            <w:shd w:val="clear" w:color="000000" w:fill="000000"/>
            <w:vAlign w:val="center"/>
            <w:hideMark/>
          </w:tcPr>
          <w:p w14:paraId="701B6EAC" w14:textId="77777777" w:rsidR="00C55599" w:rsidRPr="00F66B34" w:rsidRDefault="00C55599" w:rsidP="00F675E0">
            <w:pPr>
              <w:jc w:val="center"/>
              <w:rPr>
                <w:rFonts w:eastAsia="Times New Roman"/>
                <w:b/>
                <w:bCs/>
                <w:color w:val="FFFFFF"/>
                <w:szCs w:val="22"/>
                <w:lang w:eastAsia="en-US"/>
              </w:rPr>
            </w:pPr>
            <w:r w:rsidRPr="00F66B34">
              <w:rPr>
                <w:rFonts w:eastAsia="Times New Roman"/>
                <w:b/>
                <w:bCs/>
                <w:color w:val="FFFFFF"/>
                <w:szCs w:val="22"/>
                <w:lang w:eastAsia="en-US"/>
              </w:rPr>
              <w:t>MWh per Capita</w:t>
            </w:r>
            <w:r w:rsidR="003E572A" w:rsidRPr="00F66B34">
              <w:rPr>
                <w:rFonts w:eastAsia="Times New Roman"/>
                <w:b/>
                <w:bCs/>
                <w:color w:val="FFFFFF"/>
                <w:szCs w:val="22"/>
                <w:lang w:eastAsia="en-US"/>
              </w:rPr>
              <w:t xml:space="preserve"> (Total)</w:t>
            </w:r>
          </w:p>
        </w:tc>
      </w:tr>
      <w:tr w:rsidR="00C55599" w:rsidRPr="00F66B34" w14:paraId="701B6EB3" w14:textId="77777777" w:rsidTr="00BF1DA1">
        <w:trPr>
          <w:trHeight w:val="332"/>
          <w:jc w:val="center"/>
        </w:trPr>
        <w:tc>
          <w:tcPr>
            <w:tcW w:w="1645" w:type="dxa"/>
            <w:tcBorders>
              <w:top w:val="nil"/>
              <w:left w:val="single" w:sz="4" w:space="0" w:color="auto"/>
              <w:bottom w:val="single" w:sz="4" w:space="0" w:color="auto"/>
              <w:right w:val="single" w:sz="4" w:space="0" w:color="auto"/>
            </w:tcBorders>
            <w:shd w:val="clear" w:color="auto" w:fill="auto"/>
            <w:vAlign w:val="center"/>
            <w:hideMark/>
          </w:tcPr>
          <w:p w14:paraId="701B6EAE" w14:textId="77777777" w:rsidR="00C55599" w:rsidRPr="00F66B34" w:rsidRDefault="00C55599" w:rsidP="003A02A8">
            <w:pPr>
              <w:jc w:val="center"/>
              <w:rPr>
                <w:rFonts w:eastAsia="Times New Roman"/>
                <w:color w:val="000000"/>
                <w:lang w:eastAsia="en-US"/>
              </w:rPr>
            </w:pPr>
            <w:r w:rsidRPr="00F66B34">
              <w:rPr>
                <w:rFonts w:eastAsia="Times New Roman"/>
                <w:color w:val="000000"/>
                <w:lang w:eastAsia="en-US"/>
              </w:rPr>
              <w:t>2006</w:t>
            </w:r>
          </w:p>
        </w:tc>
        <w:tc>
          <w:tcPr>
            <w:tcW w:w="1887" w:type="dxa"/>
            <w:tcBorders>
              <w:top w:val="nil"/>
              <w:left w:val="nil"/>
              <w:bottom w:val="single" w:sz="4" w:space="0" w:color="auto"/>
              <w:right w:val="single" w:sz="4" w:space="0" w:color="auto"/>
            </w:tcBorders>
            <w:shd w:val="clear" w:color="auto" w:fill="auto"/>
            <w:vAlign w:val="center"/>
            <w:hideMark/>
          </w:tcPr>
          <w:p w14:paraId="701B6EAF" w14:textId="77777777" w:rsidR="00C55599" w:rsidRPr="00F66B34" w:rsidRDefault="00C55599" w:rsidP="00297ECE">
            <w:pPr>
              <w:jc w:val="center"/>
              <w:rPr>
                <w:rFonts w:eastAsia="Times New Roman"/>
                <w:color w:val="000000"/>
                <w:lang w:eastAsia="en-US"/>
              </w:rPr>
            </w:pPr>
            <w:r w:rsidRPr="00F66B34">
              <w:rPr>
                <w:rFonts w:eastAsia="Times New Roman"/>
                <w:color w:val="000000"/>
                <w:lang w:eastAsia="en-US"/>
              </w:rPr>
              <w:t>17.74</w:t>
            </w:r>
          </w:p>
        </w:tc>
        <w:tc>
          <w:tcPr>
            <w:tcW w:w="1746" w:type="dxa"/>
            <w:tcBorders>
              <w:top w:val="single" w:sz="4" w:space="0" w:color="auto"/>
              <w:left w:val="nil"/>
              <w:bottom w:val="single" w:sz="4" w:space="0" w:color="auto"/>
              <w:right w:val="single" w:sz="4" w:space="0" w:color="auto"/>
            </w:tcBorders>
            <w:vAlign w:val="center"/>
          </w:tcPr>
          <w:p w14:paraId="701B6EB0" w14:textId="77777777" w:rsidR="00C55599" w:rsidRPr="00F66B34" w:rsidRDefault="00C55599" w:rsidP="00F675E0">
            <w:pPr>
              <w:jc w:val="center"/>
              <w:rPr>
                <w:rFonts w:eastAsia="Times New Roman"/>
                <w:color w:val="000000"/>
                <w:lang w:eastAsia="en-US"/>
              </w:rPr>
            </w:pPr>
            <w:r w:rsidRPr="00F66B34">
              <w:rPr>
                <w:rFonts w:eastAsia="Times New Roman"/>
                <w:color w:val="000000"/>
                <w:lang w:eastAsia="en-US"/>
              </w:rPr>
              <w:t>282,440</w:t>
            </w:r>
          </w:p>
        </w:tc>
        <w:tc>
          <w:tcPr>
            <w:tcW w:w="1966" w:type="dxa"/>
            <w:tcBorders>
              <w:top w:val="nil"/>
              <w:left w:val="single" w:sz="4" w:space="0" w:color="auto"/>
              <w:bottom w:val="single" w:sz="4" w:space="0" w:color="auto"/>
              <w:right w:val="single" w:sz="4" w:space="0" w:color="auto"/>
            </w:tcBorders>
            <w:shd w:val="clear" w:color="auto" w:fill="auto"/>
            <w:vAlign w:val="center"/>
            <w:hideMark/>
          </w:tcPr>
          <w:p w14:paraId="701B6EB1" w14:textId="77777777" w:rsidR="00C55599" w:rsidRPr="00F66B34" w:rsidRDefault="00C55599" w:rsidP="00F675E0">
            <w:pPr>
              <w:jc w:val="center"/>
              <w:rPr>
                <w:rFonts w:eastAsia="Times New Roman"/>
                <w:color w:val="000000"/>
                <w:lang w:eastAsia="en-US"/>
              </w:rPr>
            </w:pPr>
            <w:r w:rsidRPr="00F66B34">
              <w:rPr>
                <w:rFonts w:eastAsia="Times New Roman"/>
                <w:color w:val="000000"/>
                <w:lang w:eastAsia="en-US"/>
              </w:rPr>
              <w:t>93.31</w:t>
            </w:r>
          </w:p>
        </w:tc>
        <w:tc>
          <w:tcPr>
            <w:tcW w:w="1586" w:type="dxa"/>
            <w:tcBorders>
              <w:top w:val="nil"/>
              <w:left w:val="nil"/>
              <w:bottom w:val="single" w:sz="4" w:space="0" w:color="auto"/>
              <w:right w:val="single" w:sz="4" w:space="0" w:color="auto"/>
            </w:tcBorders>
            <w:shd w:val="clear" w:color="auto" w:fill="auto"/>
            <w:vAlign w:val="center"/>
            <w:hideMark/>
          </w:tcPr>
          <w:p w14:paraId="701B6EB2" w14:textId="77777777" w:rsidR="00C55599" w:rsidRPr="00F66B34" w:rsidRDefault="00C55599" w:rsidP="00F675E0">
            <w:pPr>
              <w:jc w:val="center"/>
              <w:rPr>
                <w:rFonts w:eastAsia="Times New Roman"/>
                <w:color w:val="000000"/>
                <w:lang w:eastAsia="en-US"/>
              </w:rPr>
            </w:pPr>
            <w:r w:rsidRPr="00F66B34">
              <w:rPr>
                <w:rFonts w:eastAsia="Times New Roman"/>
                <w:color w:val="000000"/>
                <w:lang w:eastAsia="en-US"/>
              </w:rPr>
              <w:t>16.42</w:t>
            </w:r>
          </w:p>
        </w:tc>
      </w:tr>
      <w:tr w:rsidR="00C55599" w:rsidRPr="00F66B34" w14:paraId="701B6EB9" w14:textId="77777777" w:rsidTr="00BF1DA1">
        <w:trPr>
          <w:trHeight w:val="332"/>
          <w:jc w:val="center"/>
        </w:trPr>
        <w:tc>
          <w:tcPr>
            <w:tcW w:w="1645" w:type="dxa"/>
            <w:tcBorders>
              <w:top w:val="nil"/>
              <w:left w:val="single" w:sz="4" w:space="0" w:color="auto"/>
              <w:bottom w:val="single" w:sz="4" w:space="0" w:color="auto"/>
              <w:right w:val="single" w:sz="4" w:space="0" w:color="auto"/>
            </w:tcBorders>
            <w:shd w:val="clear" w:color="auto" w:fill="auto"/>
            <w:vAlign w:val="center"/>
            <w:hideMark/>
          </w:tcPr>
          <w:p w14:paraId="701B6EB4" w14:textId="77777777" w:rsidR="00C55599" w:rsidRPr="00F66B34" w:rsidRDefault="00C55599" w:rsidP="003A02A8">
            <w:pPr>
              <w:jc w:val="center"/>
              <w:rPr>
                <w:rFonts w:eastAsia="Times New Roman"/>
                <w:color w:val="000000"/>
                <w:lang w:eastAsia="en-US"/>
              </w:rPr>
            </w:pPr>
            <w:r w:rsidRPr="00F66B34">
              <w:rPr>
                <w:rFonts w:eastAsia="Times New Roman"/>
                <w:color w:val="000000"/>
                <w:lang w:eastAsia="en-US"/>
              </w:rPr>
              <w:t>2007</w:t>
            </w:r>
          </w:p>
        </w:tc>
        <w:tc>
          <w:tcPr>
            <w:tcW w:w="1887" w:type="dxa"/>
            <w:tcBorders>
              <w:top w:val="nil"/>
              <w:left w:val="nil"/>
              <w:bottom w:val="single" w:sz="4" w:space="0" w:color="auto"/>
              <w:right w:val="single" w:sz="4" w:space="0" w:color="auto"/>
            </w:tcBorders>
            <w:shd w:val="clear" w:color="auto" w:fill="auto"/>
            <w:vAlign w:val="center"/>
            <w:hideMark/>
          </w:tcPr>
          <w:p w14:paraId="701B6EB5" w14:textId="77777777" w:rsidR="00C55599" w:rsidRPr="00F66B34" w:rsidRDefault="00C55599" w:rsidP="00297ECE">
            <w:pPr>
              <w:jc w:val="center"/>
              <w:rPr>
                <w:rFonts w:eastAsia="Times New Roman"/>
                <w:color w:val="000000"/>
                <w:lang w:eastAsia="en-US"/>
              </w:rPr>
            </w:pPr>
            <w:r w:rsidRPr="00F66B34">
              <w:rPr>
                <w:rFonts w:eastAsia="Times New Roman"/>
                <w:color w:val="000000"/>
                <w:lang w:eastAsia="en-US"/>
              </w:rPr>
              <w:t>17.86</w:t>
            </w:r>
          </w:p>
        </w:tc>
        <w:tc>
          <w:tcPr>
            <w:tcW w:w="1746" w:type="dxa"/>
            <w:tcBorders>
              <w:top w:val="single" w:sz="4" w:space="0" w:color="auto"/>
              <w:left w:val="nil"/>
              <w:bottom w:val="single" w:sz="4" w:space="0" w:color="auto"/>
              <w:right w:val="single" w:sz="4" w:space="0" w:color="auto"/>
            </w:tcBorders>
            <w:vAlign w:val="center"/>
          </w:tcPr>
          <w:p w14:paraId="701B6EB6" w14:textId="77777777" w:rsidR="00C55599" w:rsidRPr="00F66B34" w:rsidRDefault="00C55599" w:rsidP="00F675E0">
            <w:pPr>
              <w:jc w:val="center"/>
              <w:rPr>
                <w:rFonts w:eastAsia="Times New Roman"/>
                <w:color w:val="000000"/>
                <w:lang w:eastAsia="en-US"/>
              </w:rPr>
            </w:pPr>
            <w:r w:rsidRPr="00F66B34">
              <w:rPr>
                <w:rFonts w:eastAsia="Times New Roman"/>
                <w:color w:val="000000"/>
                <w:lang w:eastAsia="en-US"/>
              </w:rPr>
              <w:t>285,296</w:t>
            </w:r>
          </w:p>
        </w:tc>
        <w:tc>
          <w:tcPr>
            <w:tcW w:w="1966" w:type="dxa"/>
            <w:tcBorders>
              <w:top w:val="nil"/>
              <w:left w:val="single" w:sz="4" w:space="0" w:color="auto"/>
              <w:bottom w:val="single" w:sz="4" w:space="0" w:color="auto"/>
              <w:right w:val="single" w:sz="4" w:space="0" w:color="auto"/>
            </w:tcBorders>
            <w:shd w:val="clear" w:color="auto" w:fill="auto"/>
            <w:vAlign w:val="center"/>
            <w:hideMark/>
          </w:tcPr>
          <w:p w14:paraId="701B6EB7" w14:textId="77777777" w:rsidR="00C55599" w:rsidRPr="00F66B34" w:rsidRDefault="00C55599" w:rsidP="00F675E0">
            <w:pPr>
              <w:jc w:val="center"/>
              <w:rPr>
                <w:rFonts w:eastAsia="Times New Roman"/>
                <w:color w:val="000000"/>
                <w:lang w:eastAsia="en-US"/>
              </w:rPr>
            </w:pPr>
            <w:r w:rsidRPr="00F66B34">
              <w:rPr>
                <w:rFonts w:eastAsia="Times New Roman"/>
                <w:color w:val="000000"/>
                <w:lang w:eastAsia="en-US"/>
              </w:rPr>
              <w:t>92.31</w:t>
            </w:r>
          </w:p>
        </w:tc>
        <w:tc>
          <w:tcPr>
            <w:tcW w:w="1586" w:type="dxa"/>
            <w:tcBorders>
              <w:top w:val="nil"/>
              <w:left w:val="nil"/>
              <w:bottom w:val="single" w:sz="4" w:space="0" w:color="auto"/>
              <w:right w:val="single" w:sz="4" w:space="0" w:color="auto"/>
            </w:tcBorders>
            <w:shd w:val="clear" w:color="auto" w:fill="auto"/>
            <w:vAlign w:val="center"/>
            <w:hideMark/>
          </w:tcPr>
          <w:p w14:paraId="701B6EB8" w14:textId="77777777" w:rsidR="00C55599" w:rsidRPr="00F66B34" w:rsidRDefault="00C55599" w:rsidP="00F675E0">
            <w:pPr>
              <w:jc w:val="center"/>
              <w:rPr>
                <w:rFonts w:eastAsia="Times New Roman"/>
                <w:color w:val="000000"/>
                <w:lang w:eastAsia="en-US"/>
              </w:rPr>
            </w:pPr>
            <w:r w:rsidRPr="00F66B34">
              <w:rPr>
                <w:rFonts w:eastAsia="Times New Roman"/>
                <w:color w:val="000000"/>
                <w:lang w:eastAsia="en-US"/>
              </w:rPr>
              <w:t>15.89</w:t>
            </w:r>
          </w:p>
        </w:tc>
      </w:tr>
      <w:tr w:rsidR="00C55599" w:rsidRPr="00F66B34" w14:paraId="701B6EBF" w14:textId="77777777" w:rsidTr="00BF1DA1">
        <w:trPr>
          <w:trHeight w:val="349"/>
          <w:jc w:val="center"/>
        </w:trPr>
        <w:tc>
          <w:tcPr>
            <w:tcW w:w="1645" w:type="dxa"/>
            <w:tcBorders>
              <w:top w:val="nil"/>
              <w:left w:val="single" w:sz="4" w:space="0" w:color="auto"/>
              <w:bottom w:val="single" w:sz="4" w:space="0" w:color="auto"/>
              <w:right w:val="single" w:sz="4" w:space="0" w:color="auto"/>
            </w:tcBorders>
            <w:shd w:val="clear" w:color="auto" w:fill="auto"/>
            <w:vAlign w:val="center"/>
            <w:hideMark/>
          </w:tcPr>
          <w:p w14:paraId="701B6EBA" w14:textId="77777777" w:rsidR="00C55599" w:rsidRPr="00F66B34" w:rsidRDefault="00C55599" w:rsidP="003A02A8">
            <w:pPr>
              <w:jc w:val="center"/>
              <w:rPr>
                <w:rFonts w:eastAsia="Times New Roman"/>
                <w:color w:val="000000"/>
                <w:lang w:eastAsia="en-US"/>
              </w:rPr>
            </w:pPr>
            <w:r w:rsidRPr="00F66B34">
              <w:rPr>
                <w:rFonts w:eastAsia="Times New Roman"/>
                <w:color w:val="000000"/>
                <w:lang w:eastAsia="en-US"/>
              </w:rPr>
              <w:t>2008</w:t>
            </w:r>
          </w:p>
        </w:tc>
        <w:tc>
          <w:tcPr>
            <w:tcW w:w="1887" w:type="dxa"/>
            <w:tcBorders>
              <w:top w:val="nil"/>
              <w:left w:val="nil"/>
              <w:bottom w:val="single" w:sz="4" w:space="0" w:color="auto"/>
              <w:right w:val="single" w:sz="4" w:space="0" w:color="auto"/>
            </w:tcBorders>
            <w:shd w:val="clear" w:color="auto" w:fill="auto"/>
            <w:vAlign w:val="center"/>
            <w:hideMark/>
          </w:tcPr>
          <w:p w14:paraId="701B6EBB" w14:textId="77777777" w:rsidR="00C55599" w:rsidRPr="00F66B34" w:rsidRDefault="00C55599" w:rsidP="00297ECE">
            <w:pPr>
              <w:jc w:val="center"/>
              <w:rPr>
                <w:rFonts w:eastAsia="Times New Roman"/>
                <w:color w:val="000000"/>
                <w:lang w:eastAsia="en-US"/>
              </w:rPr>
            </w:pPr>
            <w:r w:rsidRPr="00F66B34">
              <w:rPr>
                <w:rFonts w:eastAsia="Times New Roman"/>
                <w:color w:val="000000"/>
                <w:lang w:eastAsia="en-US"/>
              </w:rPr>
              <w:t>17.80</w:t>
            </w:r>
          </w:p>
        </w:tc>
        <w:tc>
          <w:tcPr>
            <w:tcW w:w="1746" w:type="dxa"/>
            <w:tcBorders>
              <w:top w:val="single" w:sz="4" w:space="0" w:color="auto"/>
              <w:left w:val="nil"/>
              <w:bottom w:val="single" w:sz="4" w:space="0" w:color="auto"/>
              <w:right w:val="single" w:sz="4" w:space="0" w:color="auto"/>
            </w:tcBorders>
            <w:vAlign w:val="center"/>
          </w:tcPr>
          <w:p w14:paraId="701B6EBC" w14:textId="77777777" w:rsidR="00C55599" w:rsidRPr="00F66B34" w:rsidRDefault="00C55599" w:rsidP="00F675E0">
            <w:pPr>
              <w:jc w:val="center"/>
              <w:rPr>
                <w:rFonts w:eastAsia="Times New Roman"/>
                <w:color w:val="000000"/>
                <w:lang w:eastAsia="en-US"/>
              </w:rPr>
            </w:pPr>
            <w:r w:rsidRPr="00F66B34">
              <w:rPr>
                <w:rFonts w:eastAsia="Times New Roman"/>
                <w:color w:val="000000"/>
                <w:lang w:eastAsia="en-US"/>
              </w:rPr>
              <w:t>288,079</w:t>
            </w:r>
          </w:p>
        </w:tc>
        <w:tc>
          <w:tcPr>
            <w:tcW w:w="1966" w:type="dxa"/>
            <w:tcBorders>
              <w:top w:val="nil"/>
              <w:left w:val="single" w:sz="4" w:space="0" w:color="auto"/>
              <w:bottom w:val="single" w:sz="4" w:space="0" w:color="auto"/>
              <w:right w:val="single" w:sz="4" w:space="0" w:color="auto"/>
            </w:tcBorders>
            <w:shd w:val="clear" w:color="auto" w:fill="auto"/>
            <w:vAlign w:val="center"/>
            <w:hideMark/>
          </w:tcPr>
          <w:p w14:paraId="701B6EBD" w14:textId="77777777" w:rsidR="00C55599" w:rsidRPr="00F66B34" w:rsidRDefault="00C55599" w:rsidP="00F675E0">
            <w:pPr>
              <w:jc w:val="center"/>
              <w:rPr>
                <w:rFonts w:eastAsia="Times New Roman"/>
                <w:color w:val="000000"/>
                <w:lang w:eastAsia="en-US"/>
              </w:rPr>
            </w:pPr>
            <w:r w:rsidRPr="00F66B34">
              <w:rPr>
                <w:rFonts w:eastAsia="Times New Roman"/>
                <w:color w:val="000000"/>
                <w:lang w:eastAsia="en-US"/>
              </w:rPr>
              <w:t>90.67</w:t>
            </w:r>
          </w:p>
        </w:tc>
        <w:tc>
          <w:tcPr>
            <w:tcW w:w="1586" w:type="dxa"/>
            <w:tcBorders>
              <w:top w:val="nil"/>
              <w:left w:val="nil"/>
              <w:bottom w:val="single" w:sz="4" w:space="0" w:color="auto"/>
              <w:right w:val="single" w:sz="4" w:space="0" w:color="auto"/>
            </w:tcBorders>
            <w:shd w:val="clear" w:color="auto" w:fill="auto"/>
            <w:vAlign w:val="center"/>
            <w:hideMark/>
          </w:tcPr>
          <w:p w14:paraId="701B6EBE" w14:textId="77777777" w:rsidR="00C55599" w:rsidRPr="00F66B34" w:rsidRDefault="00C55599" w:rsidP="00F675E0">
            <w:pPr>
              <w:jc w:val="center"/>
              <w:rPr>
                <w:rFonts w:eastAsia="Times New Roman"/>
                <w:color w:val="000000"/>
                <w:lang w:eastAsia="en-US"/>
              </w:rPr>
            </w:pPr>
            <w:r w:rsidRPr="00F66B34">
              <w:rPr>
                <w:rFonts w:eastAsia="Times New Roman"/>
                <w:color w:val="000000"/>
                <w:lang w:eastAsia="en-US"/>
              </w:rPr>
              <w:t>15.86</w:t>
            </w:r>
          </w:p>
        </w:tc>
      </w:tr>
      <w:tr w:rsidR="00C55599" w:rsidRPr="00F66B34" w14:paraId="701B6EC5" w14:textId="77777777" w:rsidTr="00BF1DA1">
        <w:trPr>
          <w:trHeight w:val="332"/>
          <w:jc w:val="center"/>
        </w:trPr>
        <w:tc>
          <w:tcPr>
            <w:tcW w:w="1645" w:type="dxa"/>
            <w:tcBorders>
              <w:top w:val="nil"/>
              <w:left w:val="single" w:sz="4" w:space="0" w:color="auto"/>
              <w:bottom w:val="single" w:sz="4" w:space="0" w:color="auto"/>
              <w:right w:val="single" w:sz="4" w:space="0" w:color="auto"/>
            </w:tcBorders>
            <w:shd w:val="clear" w:color="auto" w:fill="auto"/>
            <w:vAlign w:val="center"/>
            <w:hideMark/>
          </w:tcPr>
          <w:p w14:paraId="701B6EC0" w14:textId="77777777" w:rsidR="00C55599" w:rsidRPr="00F66B34" w:rsidRDefault="00C55599" w:rsidP="003A02A8">
            <w:pPr>
              <w:jc w:val="center"/>
              <w:rPr>
                <w:rFonts w:eastAsia="Times New Roman"/>
                <w:color w:val="000000"/>
                <w:lang w:eastAsia="en-US"/>
              </w:rPr>
            </w:pPr>
            <w:r w:rsidRPr="00F66B34">
              <w:rPr>
                <w:rFonts w:eastAsia="Times New Roman"/>
                <w:color w:val="000000"/>
                <w:lang w:eastAsia="en-US"/>
              </w:rPr>
              <w:t>2009</w:t>
            </w:r>
          </w:p>
        </w:tc>
        <w:tc>
          <w:tcPr>
            <w:tcW w:w="1887" w:type="dxa"/>
            <w:tcBorders>
              <w:top w:val="nil"/>
              <w:left w:val="nil"/>
              <w:bottom w:val="single" w:sz="4" w:space="0" w:color="auto"/>
              <w:right w:val="single" w:sz="4" w:space="0" w:color="auto"/>
            </w:tcBorders>
            <w:shd w:val="clear" w:color="auto" w:fill="auto"/>
            <w:vAlign w:val="center"/>
            <w:hideMark/>
          </w:tcPr>
          <w:p w14:paraId="701B6EC1" w14:textId="77777777" w:rsidR="00C55599" w:rsidRPr="00F66B34" w:rsidRDefault="00C55599" w:rsidP="00297ECE">
            <w:pPr>
              <w:jc w:val="center"/>
              <w:rPr>
                <w:rFonts w:eastAsia="Times New Roman"/>
                <w:color w:val="000000"/>
                <w:lang w:eastAsia="en-US"/>
              </w:rPr>
            </w:pPr>
            <w:r w:rsidRPr="00F66B34">
              <w:rPr>
                <w:rFonts w:eastAsia="Times New Roman"/>
                <w:color w:val="000000"/>
                <w:lang w:eastAsia="en-US"/>
              </w:rPr>
              <w:t>17.99</w:t>
            </w:r>
          </w:p>
        </w:tc>
        <w:tc>
          <w:tcPr>
            <w:tcW w:w="1746" w:type="dxa"/>
            <w:tcBorders>
              <w:top w:val="single" w:sz="4" w:space="0" w:color="auto"/>
              <w:left w:val="nil"/>
              <w:bottom w:val="single" w:sz="4" w:space="0" w:color="auto"/>
              <w:right w:val="single" w:sz="4" w:space="0" w:color="auto"/>
            </w:tcBorders>
            <w:vAlign w:val="center"/>
          </w:tcPr>
          <w:p w14:paraId="701B6EC2" w14:textId="77777777" w:rsidR="00C55599" w:rsidRPr="00F66B34" w:rsidRDefault="00C55599" w:rsidP="00F675E0">
            <w:pPr>
              <w:jc w:val="center"/>
              <w:rPr>
                <w:rFonts w:eastAsia="Times New Roman"/>
                <w:color w:val="000000"/>
                <w:lang w:eastAsia="en-US"/>
              </w:rPr>
            </w:pPr>
            <w:r w:rsidRPr="00F66B34">
              <w:rPr>
                <w:rFonts w:eastAsia="Times New Roman"/>
                <w:color w:val="000000"/>
                <w:lang w:eastAsia="en-US"/>
              </w:rPr>
              <w:t>290,624</w:t>
            </w:r>
          </w:p>
        </w:tc>
        <w:tc>
          <w:tcPr>
            <w:tcW w:w="1966" w:type="dxa"/>
            <w:tcBorders>
              <w:top w:val="nil"/>
              <w:left w:val="single" w:sz="4" w:space="0" w:color="auto"/>
              <w:bottom w:val="single" w:sz="4" w:space="0" w:color="auto"/>
              <w:right w:val="single" w:sz="4" w:space="0" w:color="auto"/>
            </w:tcBorders>
            <w:shd w:val="clear" w:color="auto" w:fill="auto"/>
            <w:vAlign w:val="center"/>
            <w:hideMark/>
          </w:tcPr>
          <w:p w14:paraId="701B6EC3" w14:textId="77777777" w:rsidR="00C55599" w:rsidRPr="00F66B34" w:rsidRDefault="00C55599" w:rsidP="00F675E0">
            <w:pPr>
              <w:jc w:val="center"/>
              <w:rPr>
                <w:rFonts w:eastAsia="Times New Roman"/>
                <w:color w:val="000000"/>
                <w:lang w:eastAsia="en-US"/>
              </w:rPr>
            </w:pPr>
            <w:r w:rsidRPr="00F66B34">
              <w:rPr>
                <w:rFonts w:eastAsia="Times New Roman"/>
                <w:color w:val="000000"/>
                <w:lang w:eastAsia="en-US"/>
              </w:rPr>
              <w:t>92.91</w:t>
            </w:r>
          </w:p>
        </w:tc>
        <w:tc>
          <w:tcPr>
            <w:tcW w:w="1586" w:type="dxa"/>
            <w:tcBorders>
              <w:top w:val="nil"/>
              <w:left w:val="nil"/>
              <w:bottom w:val="single" w:sz="4" w:space="0" w:color="auto"/>
              <w:right w:val="single" w:sz="4" w:space="0" w:color="auto"/>
            </w:tcBorders>
            <w:shd w:val="clear" w:color="auto" w:fill="auto"/>
            <w:vAlign w:val="center"/>
            <w:hideMark/>
          </w:tcPr>
          <w:p w14:paraId="701B6EC4" w14:textId="77777777" w:rsidR="00C55599" w:rsidRPr="00F66B34" w:rsidRDefault="00C55599" w:rsidP="00F675E0">
            <w:pPr>
              <w:jc w:val="center"/>
              <w:rPr>
                <w:rFonts w:eastAsia="Times New Roman"/>
                <w:color w:val="000000"/>
                <w:lang w:eastAsia="en-US"/>
              </w:rPr>
            </w:pPr>
            <w:r w:rsidRPr="00F66B34">
              <w:rPr>
                <w:rFonts w:eastAsia="Times New Roman"/>
                <w:color w:val="000000"/>
                <w:lang w:eastAsia="en-US"/>
              </w:rPr>
              <w:t>15.92</w:t>
            </w:r>
          </w:p>
        </w:tc>
      </w:tr>
      <w:tr w:rsidR="00C55599" w:rsidRPr="00F66B34" w14:paraId="701B6ECB" w14:textId="77777777" w:rsidTr="00BF1DA1">
        <w:trPr>
          <w:trHeight w:val="332"/>
          <w:jc w:val="center"/>
        </w:trPr>
        <w:tc>
          <w:tcPr>
            <w:tcW w:w="1645" w:type="dxa"/>
            <w:tcBorders>
              <w:top w:val="nil"/>
              <w:left w:val="single" w:sz="4" w:space="0" w:color="auto"/>
              <w:bottom w:val="single" w:sz="4" w:space="0" w:color="auto"/>
              <w:right w:val="single" w:sz="4" w:space="0" w:color="auto"/>
            </w:tcBorders>
            <w:shd w:val="clear" w:color="auto" w:fill="auto"/>
            <w:vAlign w:val="center"/>
            <w:hideMark/>
          </w:tcPr>
          <w:p w14:paraId="701B6EC6" w14:textId="77777777" w:rsidR="00C55599" w:rsidRPr="00F66B34" w:rsidRDefault="00C55599" w:rsidP="003A02A8">
            <w:pPr>
              <w:jc w:val="center"/>
              <w:rPr>
                <w:rFonts w:eastAsia="Times New Roman"/>
                <w:color w:val="000000"/>
                <w:lang w:eastAsia="en-US"/>
              </w:rPr>
            </w:pPr>
            <w:r w:rsidRPr="00F66B34">
              <w:rPr>
                <w:rFonts w:eastAsia="Times New Roman"/>
                <w:color w:val="000000"/>
                <w:lang w:eastAsia="en-US"/>
              </w:rPr>
              <w:t>2010</w:t>
            </w:r>
          </w:p>
        </w:tc>
        <w:tc>
          <w:tcPr>
            <w:tcW w:w="1887" w:type="dxa"/>
            <w:tcBorders>
              <w:top w:val="nil"/>
              <w:left w:val="nil"/>
              <w:bottom w:val="single" w:sz="4" w:space="0" w:color="auto"/>
              <w:right w:val="single" w:sz="4" w:space="0" w:color="auto"/>
            </w:tcBorders>
            <w:shd w:val="clear" w:color="auto" w:fill="auto"/>
            <w:vAlign w:val="center"/>
            <w:hideMark/>
          </w:tcPr>
          <w:p w14:paraId="701B6EC7" w14:textId="77777777" w:rsidR="00C55599" w:rsidRPr="00F66B34" w:rsidRDefault="00C55599" w:rsidP="00297ECE">
            <w:pPr>
              <w:jc w:val="center"/>
              <w:rPr>
                <w:rFonts w:eastAsia="Times New Roman"/>
                <w:color w:val="000000"/>
                <w:lang w:eastAsia="en-US"/>
              </w:rPr>
            </w:pPr>
            <w:r w:rsidRPr="00F66B34">
              <w:rPr>
                <w:rFonts w:eastAsia="Times New Roman"/>
                <w:color w:val="000000"/>
                <w:lang w:eastAsia="en-US"/>
              </w:rPr>
              <w:t>17.38</w:t>
            </w:r>
          </w:p>
        </w:tc>
        <w:tc>
          <w:tcPr>
            <w:tcW w:w="1746" w:type="dxa"/>
            <w:tcBorders>
              <w:top w:val="single" w:sz="4" w:space="0" w:color="auto"/>
              <w:left w:val="nil"/>
              <w:bottom w:val="single" w:sz="4" w:space="0" w:color="auto"/>
              <w:right w:val="single" w:sz="4" w:space="0" w:color="auto"/>
            </w:tcBorders>
            <w:vAlign w:val="center"/>
          </w:tcPr>
          <w:p w14:paraId="701B6EC8" w14:textId="77777777" w:rsidR="00C55599" w:rsidRPr="00F66B34" w:rsidRDefault="00C55599" w:rsidP="00F675E0">
            <w:pPr>
              <w:jc w:val="center"/>
              <w:rPr>
                <w:rFonts w:eastAsia="Times New Roman"/>
                <w:color w:val="000000"/>
                <w:lang w:eastAsia="en-US"/>
              </w:rPr>
            </w:pPr>
            <w:r w:rsidRPr="00F66B34">
              <w:rPr>
                <w:rFonts w:eastAsia="Times New Roman"/>
                <w:color w:val="000000"/>
                <w:lang w:eastAsia="en-US"/>
              </w:rPr>
              <w:t>292,271</w:t>
            </w:r>
          </w:p>
        </w:tc>
        <w:tc>
          <w:tcPr>
            <w:tcW w:w="1966" w:type="dxa"/>
            <w:tcBorders>
              <w:top w:val="nil"/>
              <w:left w:val="single" w:sz="4" w:space="0" w:color="auto"/>
              <w:bottom w:val="single" w:sz="4" w:space="0" w:color="auto"/>
              <w:right w:val="single" w:sz="4" w:space="0" w:color="auto"/>
            </w:tcBorders>
            <w:shd w:val="clear" w:color="auto" w:fill="auto"/>
            <w:vAlign w:val="center"/>
            <w:hideMark/>
          </w:tcPr>
          <w:p w14:paraId="701B6EC9" w14:textId="77777777" w:rsidR="00C55599" w:rsidRPr="00F66B34" w:rsidRDefault="00C55599" w:rsidP="00F675E0">
            <w:pPr>
              <w:jc w:val="center"/>
              <w:rPr>
                <w:rFonts w:eastAsia="Times New Roman"/>
                <w:color w:val="000000"/>
                <w:lang w:eastAsia="en-US"/>
              </w:rPr>
            </w:pPr>
            <w:r w:rsidRPr="00F66B34">
              <w:rPr>
                <w:rFonts w:eastAsia="Times New Roman"/>
                <w:color w:val="000000"/>
                <w:lang w:eastAsia="en-US"/>
              </w:rPr>
              <w:t>86.89</w:t>
            </w:r>
          </w:p>
        </w:tc>
        <w:tc>
          <w:tcPr>
            <w:tcW w:w="1586" w:type="dxa"/>
            <w:tcBorders>
              <w:top w:val="nil"/>
              <w:left w:val="nil"/>
              <w:bottom w:val="single" w:sz="4" w:space="0" w:color="auto"/>
              <w:right w:val="single" w:sz="4" w:space="0" w:color="auto"/>
            </w:tcBorders>
            <w:shd w:val="clear" w:color="auto" w:fill="auto"/>
            <w:vAlign w:val="center"/>
            <w:hideMark/>
          </w:tcPr>
          <w:p w14:paraId="701B6ECA" w14:textId="77777777" w:rsidR="00C55599" w:rsidRPr="00F66B34" w:rsidRDefault="00C55599" w:rsidP="00F675E0">
            <w:pPr>
              <w:jc w:val="center"/>
              <w:rPr>
                <w:rFonts w:eastAsia="Times New Roman"/>
                <w:color w:val="000000"/>
                <w:lang w:eastAsia="en-US"/>
              </w:rPr>
            </w:pPr>
            <w:r w:rsidRPr="00F66B34">
              <w:rPr>
                <w:rFonts w:eastAsia="Times New Roman"/>
                <w:color w:val="000000"/>
                <w:lang w:eastAsia="en-US"/>
              </w:rPr>
              <w:t>15.11</w:t>
            </w:r>
          </w:p>
        </w:tc>
      </w:tr>
      <w:tr w:rsidR="00C55599" w:rsidRPr="00F66B34" w14:paraId="701B6ED1" w14:textId="77777777" w:rsidTr="00BF1DA1">
        <w:trPr>
          <w:trHeight w:val="332"/>
          <w:jc w:val="center"/>
        </w:trPr>
        <w:tc>
          <w:tcPr>
            <w:tcW w:w="1645" w:type="dxa"/>
            <w:tcBorders>
              <w:top w:val="nil"/>
              <w:left w:val="single" w:sz="4" w:space="0" w:color="auto"/>
              <w:bottom w:val="single" w:sz="4" w:space="0" w:color="auto"/>
              <w:right w:val="single" w:sz="4" w:space="0" w:color="auto"/>
            </w:tcBorders>
            <w:shd w:val="clear" w:color="auto" w:fill="auto"/>
            <w:vAlign w:val="center"/>
            <w:hideMark/>
          </w:tcPr>
          <w:p w14:paraId="701B6ECC" w14:textId="77777777" w:rsidR="00C55599" w:rsidRPr="00F66B34" w:rsidRDefault="00C55599" w:rsidP="003A02A8">
            <w:pPr>
              <w:jc w:val="center"/>
              <w:rPr>
                <w:rFonts w:eastAsia="Times New Roman"/>
                <w:color w:val="000000"/>
                <w:lang w:eastAsia="en-US"/>
              </w:rPr>
            </w:pPr>
            <w:r w:rsidRPr="00F66B34">
              <w:rPr>
                <w:rFonts w:eastAsia="Times New Roman"/>
                <w:color w:val="000000"/>
                <w:lang w:eastAsia="en-US"/>
              </w:rPr>
              <w:t>2011</w:t>
            </w:r>
          </w:p>
        </w:tc>
        <w:tc>
          <w:tcPr>
            <w:tcW w:w="1887" w:type="dxa"/>
            <w:tcBorders>
              <w:top w:val="nil"/>
              <w:left w:val="nil"/>
              <w:bottom w:val="single" w:sz="4" w:space="0" w:color="auto"/>
              <w:right w:val="single" w:sz="4" w:space="0" w:color="auto"/>
            </w:tcBorders>
            <w:shd w:val="clear" w:color="auto" w:fill="auto"/>
            <w:vAlign w:val="center"/>
            <w:hideMark/>
          </w:tcPr>
          <w:p w14:paraId="701B6ECD" w14:textId="77777777" w:rsidR="00C55599" w:rsidRPr="00F66B34" w:rsidRDefault="00C55599" w:rsidP="00297ECE">
            <w:pPr>
              <w:jc w:val="center"/>
              <w:rPr>
                <w:rFonts w:eastAsia="Times New Roman"/>
                <w:color w:val="000000"/>
                <w:lang w:eastAsia="en-US"/>
              </w:rPr>
            </w:pPr>
            <w:r w:rsidRPr="00F66B34">
              <w:rPr>
                <w:rFonts w:eastAsia="Times New Roman"/>
                <w:color w:val="000000"/>
                <w:lang w:eastAsia="en-US"/>
              </w:rPr>
              <w:t>17.47</w:t>
            </w:r>
          </w:p>
        </w:tc>
        <w:tc>
          <w:tcPr>
            <w:tcW w:w="1746" w:type="dxa"/>
            <w:tcBorders>
              <w:top w:val="single" w:sz="4" w:space="0" w:color="auto"/>
              <w:left w:val="nil"/>
              <w:bottom w:val="single" w:sz="4" w:space="0" w:color="auto"/>
              <w:right w:val="single" w:sz="4" w:space="0" w:color="auto"/>
            </w:tcBorders>
            <w:vAlign w:val="center"/>
          </w:tcPr>
          <w:p w14:paraId="701B6ECE" w14:textId="77777777" w:rsidR="00C55599" w:rsidRPr="00F66B34" w:rsidRDefault="00C55599" w:rsidP="00F675E0">
            <w:pPr>
              <w:jc w:val="center"/>
              <w:rPr>
                <w:rFonts w:eastAsia="Times New Roman"/>
                <w:color w:val="000000"/>
                <w:lang w:eastAsia="en-US"/>
              </w:rPr>
            </w:pPr>
            <w:r w:rsidRPr="00F66B34">
              <w:rPr>
                <w:rFonts w:eastAsia="Times New Roman"/>
                <w:color w:val="000000"/>
                <w:lang w:eastAsia="en-US"/>
              </w:rPr>
              <w:t>299,135</w:t>
            </w:r>
          </w:p>
        </w:tc>
        <w:tc>
          <w:tcPr>
            <w:tcW w:w="1966" w:type="dxa"/>
            <w:tcBorders>
              <w:top w:val="nil"/>
              <w:left w:val="single" w:sz="4" w:space="0" w:color="auto"/>
              <w:bottom w:val="single" w:sz="4" w:space="0" w:color="auto"/>
              <w:right w:val="single" w:sz="4" w:space="0" w:color="auto"/>
            </w:tcBorders>
            <w:shd w:val="clear" w:color="auto" w:fill="auto"/>
            <w:vAlign w:val="center"/>
            <w:hideMark/>
          </w:tcPr>
          <w:p w14:paraId="701B6ECF" w14:textId="77777777" w:rsidR="00C55599" w:rsidRPr="00F66B34" w:rsidRDefault="00C55599" w:rsidP="00F675E0">
            <w:pPr>
              <w:jc w:val="center"/>
              <w:rPr>
                <w:rFonts w:eastAsia="Times New Roman"/>
                <w:color w:val="000000"/>
                <w:lang w:eastAsia="en-US"/>
              </w:rPr>
            </w:pPr>
            <w:r w:rsidRPr="00F66B34">
              <w:rPr>
                <w:rFonts w:eastAsia="Times New Roman"/>
                <w:color w:val="000000"/>
                <w:lang w:eastAsia="en-US"/>
              </w:rPr>
              <w:t>87.52</w:t>
            </w:r>
          </w:p>
        </w:tc>
        <w:tc>
          <w:tcPr>
            <w:tcW w:w="1586" w:type="dxa"/>
            <w:tcBorders>
              <w:top w:val="nil"/>
              <w:left w:val="nil"/>
              <w:bottom w:val="single" w:sz="4" w:space="0" w:color="auto"/>
              <w:right w:val="single" w:sz="4" w:space="0" w:color="auto"/>
            </w:tcBorders>
            <w:shd w:val="clear" w:color="auto" w:fill="auto"/>
            <w:vAlign w:val="center"/>
            <w:hideMark/>
          </w:tcPr>
          <w:p w14:paraId="701B6ED0" w14:textId="77777777" w:rsidR="00C55599" w:rsidRPr="00F66B34" w:rsidRDefault="00C55599" w:rsidP="00F675E0">
            <w:pPr>
              <w:jc w:val="center"/>
              <w:rPr>
                <w:rFonts w:eastAsia="Times New Roman"/>
                <w:color w:val="000000"/>
                <w:lang w:eastAsia="en-US"/>
              </w:rPr>
            </w:pPr>
            <w:r w:rsidRPr="00F66B34">
              <w:rPr>
                <w:rFonts w:eastAsia="Times New Roman"/>
                <w:color w:val="000000"/>
                <w:lang w:eastAsia="en-US"/>
              </w:rPr>
              <w:t>14.90</w:t>
            </w:r>
          </w:p>
        </w:tc>
      </w:tr>
      <w:tr w:rsidR="00C55599" w:rsidRPr="00F66B34" w14:paraId="701B6ED7" w14:textId="77777777" w:rsidTr="00BF1DA1">
        <w:trPr>
          <w:trHeight w:val="349"/>
          <w:jc w:val="center"/>
        </w:trPr>
        <w:tc>
          <w:tcPr>
            <w:tcW w:w="1645" w:type="dxa"/>
            <w:tcBorders>
              <w:top w:val="nil"/>
              <w:left w:val="single" w:sz="4" w:space="0" w:color="auto"/>
              <w:bottom w:val="single" w:sz="4" w:space="0" w:color="auto"/>
              <w:right w:val="single" w:sz="4" w:space="0" w:color="auto"/>
            </w:tcBorders>
            <w:shd w:val="clear" w:color="auto" w:fill="auto"/>
            <w:vAlign w:val="center"/>
            <w:hideMark/>
          </w:tcPr>
          <w:p w14:paraId="701B6ED2" w14:textId="77777777" w:rsidR="00C55599" w:rsidRPr="00F66B34" w:rsidRDefault="00C55599" w:rsidP="003A02A8">
            <w:pPr>
              <w:jc w:val="center"/>
              <w:rPr>
                <w:rFonts w:eastAsia="Times New Roman"/>
                <w:color w:val="000000"/>
                <w:lang w:eastAsia="en-US"/>
              </w:rPr>
            </w:pPr>
            <w:r w:rsidRPr="00F66B34">
              <w:rPr>
                <w:rFonts w:eastAsia="Times New Roman"/>
                <w:color w:val="000000"/>
                <w:lang w:eastAsia="en-US"/>
              </w:rPr>
              <w:t>2012</w:t>
            </w:r>
          </w:p>
        </w:tc>
        <w:tc>
          <w:tcPr>
            <w:tcW w:w="1887" w:type="dxa"/>
            <w:tcBorders>
              <w:top w:val="nil"/>
              <w:left w:val="nil"/>
              <w:bottom w:val="single" w:sz="4" w:space="0" w:color="auto"/>
              <w:right w:val="single" w:sz="4" w:space="0" w:color="auto"/>
            </w:tcBorders>
            <w:shd w:val="clear" w:color="auto" w:fill="auto"/>
            <w:vAlign w:val="center"/>
            <w:hideMark/>
          </w:tcPr>
          <w:p w14:paraId="701B6ED3" w14:textId="77777777" w:rsidR="00C55599" w:rsidRPr="00F66B34" w:rsidRDefault="00C55599" w:rsidP="00297ECE">
            <w:pPr>
              <w:jc w:val="center"/>
              <w:rPr>
                <w:rFonts w:eastAsia="Times New Roman"/>
                <w:color w:val="000000"/>
                <w:lang w:eastAsia="en-US"/>
              </w:rPr>
            </w:pPr>
            <w:r w:rsidRPr="00F66B34">
              <w:rPr>
                <w:rFonts w:eastAsia="Times New Roman"/>
                <w:color w:val="000000"/>
                <w:lang w:eastAsia="en-US"/>
              </w:rPr>
              <w:t>16.99</w:t>
            </w:r>
          </w:p>
        </w:tc>
        <w:tc>
          <w:tcPr>
            <w:tcW w:w="1746" w:type="dxa"/>
            <w:tcBorders>
              <w:top w:val="single" w:sz="4" w:space="0" w:color="auto"/>
              <w:left w:val="nil"/>
              <w:bottom w:val="single" w:sz="4" w:space="0" w:color="auto"/>
              <w:right w:val="single" w:sz="4" w:space="0" w:color="auto"/>
            </w:tcBorders>
            <w:vAlign w:val="center"/>
          </w:tcPr>
          <w:p w14:paraId="701B6ED4" w14:textId="77777777" w:rsidR="00C55599" w:rsidRPr="00F66B34" w:rsidRDefault="00C55599" w:rsidP="00F675E0">
            <w:pPr>
              <w:jc w:val="center"/>
              <w:rPr>
                <w:rFonts w:eastAsia="Times New Roman"/>
                <w:color w:val="000000"/>
                <w:lang w:eastAsia="en-US"/>
              </w:rPr>
            </w:pPr>
            <w:r w:rsidRPr="00F66B34">
              <w:rPr>
                <w:rFonts w:eastAsia="Times New Roman"/>
                <w:color w:val="000000"/>
                <w:lang w:eastAsia="en-US"/>
              </w:rPr>
              <w:t>301,385</w:t>
            </w:r>
          </w:p>
        </w:tc>
        <w:tc>
          <w:tcPr>
            <w:tcW w:w="1966" w:type="dxa"/>
            <w:tcBorders>
              <w:top w:val="nil"/>
              <w:left w:val="single" w:sz="4" w:space="0" w:color="auto"/>
              <w:bottom w:val="single" w:sz="4" w:space="0" w:color="auto"/>
              <w:right w:val="single" w:sz="4" w:space="0" w:color="auto"/>
            </w:tcBorders>
            <w:shd w:val="clear" w:color="auto" w:fill="auto"/>
            <w:vAlign w:val="center"/>
            <w:hideMark/>
          </w:tcPr>
          <w:p w14:paraId="701B6ED5" w14:textId="77777777" w:rsidR="00C55599" w:rsidRPr="00F66B34" w:rsidRDefault="00C55599" w:rsidP="00F675E0">
            <w:pPr>
              <w:jc w:val="center"/>
              <w:rPr>
                <w:rFonts w:eastAsia="Times New Roman"/>
                <w:color w:val="000000"/>
                <w:lang w:eastAsia="en-US"/>
              </w:rPr>
            </w:pPr>
            <w:r w:rsidRPr="00F66B34">
              <w:rPr>
                <w:rFonts w:eastAsia="Times New Roman"/>
                <w:color w:val="000000"/>
                <w:lang w:eastAsia="en-US"/>
              </w:rPr>
              <w:t>90.90</w:t>
            </w:r>
          </w:p>
        </w:tc>
        <w:tc>
          <w:tcPr>
            <w:tcW w:w="1586" w:type="dxa"/>
            <w:tcBorders>
              <w:top w:val="nil"/>
              <w:left w:val="nil"/>
              <w:bottom w:val="single" w:sz="4" w:space="0" w:color="auto"/>
              <w:right w:val="single" w:sz="4" w:space="0" w:color="auto"/>
            </w:tcBorders>
            <w:shd w:val="clear" w:color="auto" w:fill="auto"/>
            <w:vAlign w:val="center"/>
            <w:hideMark/>
          </w:tcPr>
          <w:p w14:paraId="701B6ED6" w14:textId="77777777" w:rsidR="00C55599" w:rsidRPr="00F66B34" w:rsidRDefault="00C55599" w:rsidP="00F675E0">
            <w:pPr>
              <w:jc w:val="center"/>
              <w:rPr>
                <w:rFonts w:eastAsia="Times New Roman"/>
                <w:color w:val="000000"/>
                <w:lang w:eastAsia="en-US"/>
              </w:rPr>
            </w:pPr>
            <w:r w:rsidRPr="00F66B34">
              <w:rPr>
                <w:rFonts w:eastAsia="Times New Roman"/>
                <w:color w:val="000000"/>
                <w:lang w:eastAsia="en-US"/>
              </w:rPr>
              <w:t>14.88</w:t>
            </w:r>
          </w:p>
        </w:tc>
      </w:tr>
      <w:tr w:rsidR="00C55599" w:rsidRPr="00F66B34" w14:paraId="701B6EDD" w14:textId="77777777" w:rsidTr="00BF1DA1">
        <w:trPr>
          <w:trHeight w:val="332"/>
          <w:jc w:val="center"/>
        </w:trPr>
        <w:tc>
          <w:tcPr>
            <w:tcW w:w="1645" w:type="dxa"/>
            <w:tcBorders>
              <w:top w:val="nil"/>
              <w:left w:val="single" w:sz="4" w:space="0" w:color="auto"/>
              <w:bottom w:val="single" w:sz="4" w:space="0" w:color="auto"/>
              <w:right w:val="single" w:sz="4" w:space="0" w:color="auto"/>
            </w:tcBorders>
            <w:shd w:val="clear" w:color="auto" w:fill="auto"/>
            <w:vAlign w:val="center"/>
            <w:hideMark/>
          </w:tcPr>
          <w:p w14:paraId="701B6ED8" w14:textId="77777777" w:rsidR="00C55599" w:rsidRPr="00F66B34" w:rsidRDefault="00C55599" w:rsidP="003A02A8">
            <w:pPr>
              <w:jc w:val="center"/>
              <w:rPr>
                <w:rFonts w:eastAsia="Times New Roman"/>
                <w:color w:val="000000"/>
                <w:lang w:eastAsia="en-US"/>
              </w:rPr>
            </w:pPr>
            <w:r w:rsidRPr="00F66B34">
              <w:rPr>
                <w:rFonts w:eastAsia="Times New Roman"/>
                <w:color w:val="000000"/>
                <w:lang w:eastAsia="en-US"/>
              </w:rPr>
              <w:t>2013</w:t>
            </w:r>
          </w:p>
        </w:tc>
        <w:tc>
          <w:tcPr>
            <w:tcW w:w="1887" w:type="dxa"/>
            <w:tcBorders>
              <w:top w:val="nil"/>
              <w:left w:val="nil"/>
              <w:bottom w:val="single" w:sz="4" w:space="0" w:color="auto"/>
              <w:right w:val="single" w:sz="4" w:space="0" w:color="auto"/>
            </w:tcBorders>
            <w:shd w:val="clear" w:color="auto" w:fill="auto"/>
            <w:vAlign w:val="center"/>
            <w:hideMark/>
          </w:tcPr>
          <w:p w14:paraId="701B6ED9" w14:textId="77777777" w:rsidR="00C55599" w:rsidRPr="00F66B34" w:rsidRDefault="00C55599" w:rsidP="00297ECE">
            <w:pPr>
              <w:jc w:val="center"/>
              <w:rPr>
                <w:rFonts w:eastAsia="Times New Roman"/>
                <w:color w:val="000000"/>
                <w:lang w:eastAsia="en-US"/>
              </w:rPr>
            </w:pPr>
            <w:r w:rsidRPr="00F66B34">
              <w:rPr>
                <w:rFonts w:eastAsia="Times New Roman"/>
                <w:color w:val="000000"/>
                <w:lang w:eastAsia="en-US"/>
              </w:rPr>
              <w:t>17.32</w:t>
            </w:r>
          </w:p>
        </w:tc>
        <w:tc>
          <w:tcPr>
            <w:tcW w:w="1746" w:type="dxa"/>
            <w:tcBorders>
              <w:top w:val="single" w:sz="4" w:space="0" w:color="auto"/>
              <w:left w:val="nil"/>
              <w:bottom w:val="single" w:sz="4" w:space="0" w:color="auto"/>
              <w:right w:val="single" w:sz="4" w:space="0" w:color="auto"/>
            </w:tcBorders>
            <w:vAlign w:val="center"/>
          </w:tcPr>
          <w:p w14:paraId="701B6EDA" w14:textId="77777777" w:rsidR="00C55599" w:rsidRPr="00F66B34" w:rsidRDefault="00C55599" w:rsidP="00F675E0">
            <w:pPr>
              <w:jc w:val="center"/>
              <w:rPr>
                <w:rFonts w:eastAsia="Times New Roman"/>
                <w:color w:val="000000"/>
                <w:lang w:eastAsia="en-US"/>
              </w:rPr>
            </w:pPr>
            <w:r w:rsidRPr="00F66B34">
              <w:rPr>
                <w:rFonts w:eastAsia="Times New Roman"/>
                <w:color w:val="000000"/>
                <w:lang w:eastAsia="en-US"/>
              </w:rPr>
              <w:t>303,352</w:t>
            </w:r>
          </w:p>
        </w:tc>
        <w:tc>
          <w:tcPr>
            <w:tcW w:w="1966" w:type="dxa"/>
            <w:tcBorders>
              <w:top w:val="nil"/>
              <w:left w:val="single" w:sz="4" w:space="0" w:color="auto"/>
              <w:bottom w:val="single" w:sz="4" w:space="0" w:color="auto"/>
              <w:right w:val="single" w:sz="4" w:space="0" w:color="auto"/>
            </w:tcBorders>
            <w:shd w:val="clear" w:color="auto" w:fill="auto"/>
            <w:vAlign w:val="center"/>
            <w:hideMark/>
          </w:tcPr>
          <w:p w14:paraId="701B6EDB" w14:textId="77777777" w:rsidR="00C55599" w:rsidRPr="00F66B34" w:rsidRDefault="00C55599" w:rsidP="00F675E0">
            <w:pPr>
              <w:jc w:val="center"/>
              <w:rPr>
                <w:rFonts w:eastAsia="Times New Roman"/>
                <w:color w:val="000000"/>
                <w:lang w:eastAsia="en-US"/>
              </w:rPr>
            </w:pPr>
            <w:r w:rsidRPr="00F66B34">
              <w:rPr>
                <w:rFonts w:eastAsia="Times New Roman"/>
                <w:color w:val="000000"/>
                <w:lang w:eastAsia="en-US"/>
              </w:rPr>
              <w:t>99.10</w:t>
            </w:r>
          </w:p>
        </w:tc>
        <w:tc>
          <w:tcPr>
            <w:tcW w:w="1586" w:type="dxa"/>
            <w:tcBorders>
              <w:top w:val="nil"/>
              <w:left w:val="nil"/>
              <w:bottom w:val="single" w:sz="4" w:space="0" w:color="auto"/>
              <w:right w:val="single" w:sz="4" w:space="0" w:color="auto"/>
            </w:tcBorders>
            <w:shd w:val="clear" w:color="auto" w:fill="auto"/>
            <w:vAlign w:val="center"/>
            <w:hideMark/>
          </w:tcPr>
          <w:p w14:paraId="701B6EDC" w14:textId="77777777" w:rsidR="00C55599" w:rsidRPr="00F66B34" w:rsidRDefault="00C55599" w:rsidP="00F675E0">
            <w:pPr>
              <w:jc w:val="center"/>
              <w:rPr>
                <w:rFonts w:eastAsia="Times New Roman"/>
                <w:color w:val="000000"/>
                <w:lang w:eastAsia="en-US"/>
              </w:rPr>
            </w:pPr>
            <w:r w:rsidRPr="00F66B34">
              <w:rPr>
                <w:rFonts w:eastAsia="Times New Roman"/>
                <w:color w:val="000000"/>
                <w:lang w:eastAsia="en-US"/>
              </w:rPr>
              <w:t>15.07</w:t>
            </w:r>
          </w:p>
        </w:tc>
      </w:tr>
      <w:tr w:rsidR="00C55599" w:rsidRPr="00F66B34" w14:paraId="701B6EE3" w14:textId="77777777" w:rsidTr="00BF1DA1">
        <w:trPr>
          <w:trHeight w:val="332"/>
          <w:jc w:val="center"/>
        </w:trPr>
        <w:tc>
          <w:tcPr>
            <w:tcW w:w="1645" w:type="dxa"/>
            <w:tcBorders>
              <w:top w:val="nil"/>
              <w:left w:val="single" w:sz="4" w:space="0" w:color="auto"/>
              <w:bottom w:val="single" w:sz="4" w:space="0" w:color="auto"/>
              <w:right w:val="single" w:sz="4" w:space="0" w:color="auto"/>
            </w:tcBorders>
            <w:shd w:val="clear" w:color="auto" w:fill="auto"/>
            <w:vAlign w:val="center"/>
            <w:hideMark/>
          </w:tcPr>
          <w:p w14:paraId="701B6EDE" w14:textId="77777777" w:rsidR="00C55599" w:rsidRPr="00F66B34" w:rsidRDefault="00C55599" w:rsidP="003A02A8">
            <w:pPr>
              <w:jc w:val="center"/>
              <w:rPr>
                <w:rFonts w:eastAsia="Times New Roman"/>
                <w:color w:val="000000"/>
                <w:lang w:eastAsia="en-US"/>
              </w:rPr>
            </w:pPr>
            <w:r w:rsidRPr="00F66B34">
              <w:rPr>
                <w:rFonts w:eastAsia="Times New Roman"/>
                <w:color w:val="000000"/>
                <w:lang w:eastAsia="en-US"/>
              </w:rPr>
              <w:t>2014</w:t>
            </w:r>
          </w:p>
        </w:tc>
        <w:tc>
          <w:tcPr>
            <w:tcW w:w="1887" w:type="dxa"/>
            <w:tcBorders>
              <w:top w:val="nil"/>
              <w:left w:val="nil"/>
              <w:bottom w:val="single" w:sz="4" w:space="0" w:color="auto"/>
              <w:right w:val="single" w:sz="4" w:space="0" w:color="auto"/>
            </w:tcBorders>
            <w:shd w:val="clear" w:color="auto" w:fill="auto"/>
            <w:vAlign w:val="center"/>
            <w:hideMark/>
          </w:tcPr>
          <w:p w14:paraId="701B6EDF" w14:textId="77777777" w:rsidR="00C55599" w:rsidRPr="00F66B34" w:rsidRDefault="00C55599" w:rsidP="00297ECE">
            <w:pPr>
              <w:jc w:val="center"/>
              <w:rPr>
                <w:rFonts w:eastAsia="Times New Roman"/>
                <w:color w:val="000000"/>
                <w:lang w:eastAsia="en-US"/>
              </w:rPr>
            </w:pPr>
            <w:r w:rsidRPr="00F66B34">
              <w:rPr>
                <w:rFonts w:eastAsia="Times New Roman"/>
                <w:color w:val="000000"/>
                <w:lang w:eastAsia="en-US"/>
              </w:rPr>
              <w:t>16.64</w:t>
            </w:r>
          </w:p>
        </w:tc>
        <w:tc>
          <w:tcPr>
            <w:tcW w:w="1746" w:type="dxa"/>
            <w:tcBorders>
              <w:top w:val="single" w:sz="4" w:space="0" w:color="auto"/>
              <w:left w:val="nil"/>
              <w:bottom w:val="single" w:sz="4" w:space="0" w:color="auto"/>
              <w:right w:val="single" w:sz="4" w:space="0" w:color="auto"/>
            </w:tcBorders>
            <w:vAlign w:val="center"/>
          </w:tcPr>
          <w:p w14:paraId="701B6EE0" w14:textId="77777777" w:rsidR="00C55599" w:rsidRPr="00F66B34" w:rsidRDefault="00C55599" w:rsidP="00F675E0">
            <w:pPr>
              <w:jc w:val="center"/>
              <w:rPr>
                <w:rFonts w:eastAsia="Times New Roman"/>
                <w:color w:val="000000"/>
                <w:lang w:eastAsia="en-US"/>
              </w:rPr>
            </w:pPr>
            <w:r w:rsidRPr="00F66B34">
              <w:rPr>
                <w:rFonts w:eastAsia="Times New Roman"/>
                <w:color w:val="000000"/>
                <w:lang w:eastAsia="en-US"/>
              </w:rPr>
              <w:t>302,069</w:t>
            </w:r>
          </w:p>
        </w:tc>
        <w:tc>
          <w:tcPr>
            <w:tcW w:w="1966" w:type="dxa"/>
            <w:tcBorders>
              <w:top w:val="nil"/>
              <w:left w:val="single" w:sz="4" w:space="0" w:color="auto"/>
              <w:bottom w:val="single" w:sz="4" w:space="0" w:color="auto"/>
              <w:right w:val="single" w:sz="4" w:space="0" w:color="auto"/>
            </w:tcBorders>
            <w:shd w:val="clear" w:color="auto" w:fill="auto"/>
            <w:vAlign w:val="center"/>
            <w:hideMark/>
          </w:tcPr>
          <w:p w14:paraId="701B6EE1" w14:textId="77777777" w:rsidR="00C55599" w:rsidRPr="00F66B34" w:rsidRDefault="00C55599" w:rsidP="00F675E0">
            <w:pPr>
              <w:jc w:val="center"/>
              <w:rPr>
                <w:rFonts w:eastAsia="Times New Roman"/>
                <w:color w:val="000000"/>
                <w:lang w:eastAsia="en-US"/>
              </w:rPr>
            </w:pPr>
            <w:r w:rsidRPr="00F66B34">
              <w:rPr>
                <w:rFonts w:eastAsia="Times New Roman"/>
                <w:color w:val="000000"/>
                <w:lang w:eastAsia="en-US"/>
              </w:rPr>
              <w:t>108.42</w:t>
            </w:r>
          </w:p>
        </w:tc>
        <w:tc>
          <w:tcPr>
            <w:tcW w:w="1586" w:type="dxa"/>
            <w:tcBorders>
              <w:top w:val="nil"/>
              <w:left w:val="nil"/>
              <w:bottom w:val="single" w:sz="4" w:space="0" w:color="auto"/>
              <w:right w:val="single" w:sz="4" w:space="0" w:color="auto"/>
            </w:tcBorders>
            <w:shd w:val="clear" w:color="auto" w:fill="auto"/>
            <w:vAlign w:val="center"/>
            <w:hideMark/>
          </w:tcPr>
          <w:p w14:paraId="701B6EE2" w14:textId="77777777" w:rsidR="00C55599" w:rsidRPr="00F66B34" w:rsidRDefault="00C55599" w:rsidP="00F675E0">
            <w:pPr>
              <w:jc w:val="center"/>
              <w:rPr>
                <w:rFonts w:eastAsia="Times New Roman"/>
                <w:color w:val="000000"/>
                <w:lang w:eastAsia="en-US"/>
              </w:rPr>
            </w:pPr>
            <w:r w:rsidRPr="00F66B34">
              <w:rPr>
                <w:rFonts w:eastAsia="Times New Roman"/>
                <w:color w:val="000000"/>
                <w:lang w:eastAsia="en-US"/>
              </w:rPr>
              <w:t>15.15</w:t>
            </w:r>
          </w:p>
        </w:tc>
      </w:tr>
      <w:tr w:rsidR="00C55599" w:rsidRPr="00F66B34" w14:paraId="701B6EE9" w14:textId="77777777" w:rsidTr="00BF1DA1">
        <w:trPr>
          <w:trHeight w:val="332"/>
          <w:jc w:val="center"/>
        </w:trPr>
        <w:tc>
          <w:tcPr>
            <w:tcW w:w="1645" w:type="dxa"/>
            <w:tcBorders>
              <w:top w:val="nil"/>
              <w:left w:val="single" w:sz="4" w:space="0" w:color="auto"/>
              <w:bottom w:val="single" w:sz="4" w:space="0" w:color="auto"/>
              <w:right w:val="single" w:sz="4" w:space="0" w:color="auto"/>
            </w:tcBorders>
            <w:shd w:val="clear" w:color="auto" w:fill="auto"/>
            <w:vAlign w:val="center"/>
            <w:hideMark/>
          </w:tcPr>
          <w:p w14:paraId="701B6EE4" w14:textId="77777777" w:rsidR="00C55599" w:rsidRPr="00F66B34" w:rsidRDefault="00C55599" w:rsidP="003A02A8">
            <w:pPr>
              <w:jc w:val="center"/>
              <w:rPr>
                <w:rFonts w:eastAsia="Times New Roman"/>
                <w:color w:val="000000"/>
                <w:lang w:eastAsia="en-US"/>
              </w:rPr>
            </w:pPr>
            <w:r w:rsidRPr="00F66B34">
              <w:rPr>
                <w:rFonts w:eastAsia="Times New Roman"/>
                <w:color w:val="000000"/>
                <w:lang w:eastAsia="en-US"/>
              </w:rPr>
              <w:t>2015</w:t>
            </w:r>
          </w:p>
        </w:tc>
        <w:tc>
          <w:tcPr>
            <w:tcW w:w="1887" w:type="dxa"/>
            <w:tcBorders>
              <w:top w:val="nil"/>
              <w:left w:val="nil"/>
              <w:bottom w:val="single" w:sz="4" w:space="0" w:color="auto"/>
              <w:right w:val="single" w:sz="4" w:space="0" w:color="auto"/>
            </w:tcBorders>
            <w:shd w:val="clear" w:color="auto" w:fill="auto"/>
            <w:vAlign w:val="center"/>
            <w:hideMark/>
          </w:tcPr>
          <w:p w14:paraId="701B6EE5" w14:textId="77777777" w:rsidR="00C55599" w:rsidRPr="00F66B34" w:rsidRDefault="00C55599" w:rsidP="00297ECE">
            <w:pPr>
              <w:jc w:val="center"/>
              <w:rPr>
                <w:rFonts w:eastAsia="Times New Roman"/>
                <w:color w:val="000000"/>
                <w:lang w:eastAsia="en-US"/>
              </w:rPr>
            </w:pPr>
            <w:r w:rsidRPr="00F66B34">
              <w:rPr>
                <w:rFonts w:eastAsia="Times New Roman"/>
                <w:color w:val="000000"/>
                <w:lang w:eastAsia="en-US"/>
              </w:rPr>
              <w:t>15.91</w:t>
            </w:r>
          </w:p>
        </w:tc>
        <w:tc>
          <w:tcPr>
            <w:tcW w:w="1746" w:type="dxa"/>
            <w:tcBorders>
              <w:top w:val="single" w:sz="4" w:space="0" w:color="auto"/>
              <w:left w:val="nil"/>
              <w:bottom w:val="single" w:sz="4" w:space="0" w:color="auto"/>
              <w:right w:val="single" w:sz="4" w:space="0" w:color="auto"/>
            </w:tcBorders>
            <w:vAlign w:val="center"/>
          </w:tcPr>
          <w:p w14:paraId="701B6EE6" w14:textId="77777777" w:rsidR="00C55599" w:rsidRPr="00F66B34" w:rsidRDefault="00C55599" w:rsidP="00F675E0">
            <w:pPr>
              <w:jc w:val="center"/>
              <w:rPr>
                <w:rFonts w:eastAsia="Times New Roman"/>
                <w:color w:val="000000"/>
                <w:lang w:eastAsia="en-US"/>
              </w:rPr>
            </w:pPr>
            <w:r w:rsidRPr="00F66B34">
              <w:rPr>
                <w:rFonts w:eastAsia="Times New Roman"/>
                <w:color w:val="000000"/>
                <w:lang w:eastAsia="en-US"/>
              </w:rPr>
              <w:t>300,450</w:t>
            </w:r>
          </w:p>
        </w:tc>
        <w:tc>
          <w:tcPr>
            <w:tcW w:w="1966" w:type="dxa"/>
            <w:tcBorders>
              <w:top w:val="nil"/>
              <w:left w:val="single" w:sz="4" w:space="0" w:color="auto"/>
              <w:bottom w:val="single" w:sz="4" w:space="0" w:color="auto"/>
              <w:right w:val="single" w:sz="4" w:space="0" w:color="auto"/>
            </w:tcBorders>
            <w:shd w:val="clear" w:color="auto" w:fill="auto"/>
            <w:vAlign w:val="center"/>
            <w:hideMark/>
          </w:tcPr>
          <w:p w14:paraId="701B6EE7" w14:textId="77777777" w:rsidR="00C55599" w:rsidRPr="00F66B34" w:rsidRDefault="00C55599" w:rsidP="00F675E0">
            <w:pPr>
              <w:jc w:val="center"/>
              <w:rPr>
                <w:rFonts w:eastAsia="Times New Roman"/>
                <w:color w:val="000000"/>
                <w:lang w:eastAsia="en-US"/>
              </w:rPr>
            </w:pPr>
            <w:r w:rsidRPr="00F66B34">
              <w:rPr>
                <w:rFonts w:eastAsia="Times New Roman"/>
                <w:color w:val="000000"/>
                <w:lang w:eastAsia="en-US"/>
              </w:rPr>
              <w:t>111.11</w:t>
            </w:r>
          </w:p>
        </w:tc>
        <w:tc>
          <w:tcPr>
            <w:tcW w:w="1586" w:type="dxa"/>
            <w:tcBorders>
              <w:top w:val="nil"/>
              <w:left w:val="nil"/>
              <w:bottom w:val="single" w:sz="4" w:space="0" w:color="auto"/>
              <w:right w:val="single" w:sz="4" w:space="0" w:color="auto"/>
            </w:tcBorders>
            <w:shd w:val="clear" w:color="auto" w:fill="auto"/>
            <w:vAlign w:val="center"/>
            <w:hideMark/>
          </w:tcPr>
          <w:p w14:paraId="701B6EE8" w14:textId="77777777" w:rsidR="00C55599" w:rsidRPr="00F66B34" w:rsidRDefault="00C55599" w:rsidP="00F675E0">
            <w:pPr>
              <w:jc w:val="center"/>
              <w:rPr>
                <w:rFonts w:eastAsia="Times New Roman"/>
                <w:color w:val="000000"/>
                <w:lang w:eastAsia="en-US"/>
              </w:rPr>
            </w:pPr>
            <w:r w:rsidRPr="00F66B34">
              <w:rPr>
                <w:rFonts w:eastAsia="Times New Roman"/>
                <w:color w:val="000000"/>
                <w:lang w:eastAsia="en-US"/>
              </w:rPr>
              <w:t>15.16</w:t>
            </w:r>
          </w:p>
        </w:tc>
      </w:tr>
      <w:tr w:rsidR="00C55599" w:rsidRPr="00F66B34" w14:paraId="701B6EEF" w14:textId="77777777" w:rsidTr="00BF1DA1">
        <w:trPr>
          <w:trHeight w:val="349"/>
          <w:jc w:val="center"/>
        </w:trPr>
        <w:tc>
          <w:tcPr>
            <w:tcW w:w="1645" w:type="dxa"/>
            <w:tcBorders>
              <w:top w:val="nil"/>
              <w:left w:val="single" w:sz="4" w:space="0" w:color="auto"/>
              <w:bottom w:val="single" w:sz="4" w:space="0" w:color="auto"/>
              <w:right w:val="single" w:sz="4" w:space="0" w:color="auto"/>
            </w:tcBorders>
            <w:shd w:val="clear" w:color="auto" w:fill="auto"/>
            <w:vAlign w:val="center"/>
            <w:hideMark/>
          </w:tcPr>
          <w:p w14:paraId="701B6EEA" w14:textId="77777777" w:rsidR="00C55599" w:rsidRPr="00F66B34" w:rsidRDefault="00C55599" w:rsidP="003A02A8">
            <w:pPr>
              <w:jc w:val="center"/>
              <w:rPr>
                <w:rFonts w:eastAsia="Times New Roman"/>
                <w:b/>
                <w:color w:val="000000"/>
                <w:lang w:eastAsia="en-US"/>
              </w:rPr>
            </w:pPr>
            <w:r w:rsidRPr="00F66B34">
              <w:rPr>
                <w:rFonts w:eastAsia="Times New Roman"/>
                <w:b/>
                <w:color w:val="000000"/>
                <w:lang w:eastAsia="en-US"/>
              </w:rPr>
              <w:t>10-Year Average</w:t>
            </w:r>
          </w:p>
        </w:tc>
        <w:tc>
          <w:tcPr>
            <w:tcW w:w="1887" w:type="dxa"/>
            <w:tcBorders>
              <w:top w:val="nil"/>
              <w:left w:val="nil"/>
              <w:bottom w:val="single" w:sz="4" w:space="0" w:color="auto"/>
              <w:right w:val="single" w:sz="4" w:space="0" w:color="auto"/>
            </w:tcBorders>
            <w:shd w:val="clear" w:color="auto" w:fill="auto"/>
            <w:vAlign w:val="center"/>
            <w:hideMark/>
          </w:tcPr>
          <w:p w14:paraId="701B6EEB" w14:textId="77777777" w:rsidR="00C55599" w:rsidRPr="00F66B34" w:rsidRDefault="00C55599" w:rsidP="00297ECE">
            <w:pPr>
              <w:jc w:val="center"/>
              <w:rPr>
                <w:rFonts w:eastAsia="Times New Roman"/>
                <w:b/>
                <w:color w:val="000000"/>
                <w:lang w:eastAsia="en-US"/>
              </w:rPr>
            </w:pPr>
            <w:r w:rsidRPr="00F66B34">
              <w:rPr>
                <w:rFonts w:eastAsia="Times New Roman"/>
                <w:b/>
                <w:color w:val="000000"/>
                <w:lang w:eastAsia="en-US"/>
              </w:rPr>
              <w:t>17.31</w:t>
            </w:r>
          </w:p>
        </w:tc>
        <w:tc>
          <w:tcPr>
            <w:tcW w:w="1746" w:type="dxa"/>
            <w:tcBorders>
              <w:top w:val="single" w:sz="4" w:space="0" w:color="auto"/>
              <w:left w:val="nil"/>
              <w:bottom w:val="single" w:sz="4" w:space="0" w:color="auto"/>
              <w:right w:val="single" w:sz="4" w:space="0" w:color="auto"/>
            </w:tcBorders>
            <w:vAlign w:val="center"/>
          </w:tcPr>
          <w:p w14:paraId="701B6EEC" w14:textId="77777777" w:rsidR="00C55599" w:rsidRPr="00F66B34" w:rsidRDefault="00C55599" w:rsidP="00F675E0">
            <w:pPr>
              <w:jc w:val="center"/>
              <w:rPr>
                <w:rFonts w:eastAsia="Times New Roman"/>
                <w:b/>
                <w:color w:val="000000"/>
                <w:lang w:eastAsia="en-US"/>
              </w:rPr>
            </w:pPr>
            <w:r w:rsidRPr="00F66B34">
              <w:rPr>
                <w:rFonts w:eastAsia="Times New Roman"/>
                <w:b/>
                <w:color w:val="000000"/>
                <w:lang w:eastAsia="en-US"/>
              </w:rPr>
              <w:t>294,510</w:t>
            </w:r>
          </w:p>
        </w:tc>
        <w:tc>
          <w:tcPr>
            <w:tcW w:w="1966" w:type="dxa"/>
            <w:tcBorders>
              <w:top w:val="nil"/>
              <w:left w:val="single" w:sz="4" w:space="0" w:color="auto"/>
              <w:bottom w:val="single" w:sz="4" w:space="0" w:color="auto"/>
              <w:right w:val="single" w:sz="4" w:space="0" w:color="auto"/>
            </w:tcBorders>
            <w:shd w:val="clear" w:color="auto" w:fill="auto"/>
            <w:vAlign w:val="center"/>
            <w:hideMark/>
          </w:tcPr>
          <w:p w14:paraId="701B6EED" w14:textId="77777777" w:rsidR="00C55599" w:rsidRPr="00F66B34" w:rsidRDefault="00C55599" w:rsidP="00F675E0">
            <w:pPr>
              <w:jc w:val="center"/>
              <w:rPr>
                <w:rFonts w:eastAsia="Times New Roman"/>
                <w:b/>
                <w:color w:val="000000"/>
                <w:lang w:eastAsia="en-US"/>
              </w:rPr>
            </w:pPr>
            <w:r w:rsidRPr="00F66B34">
              <w:rPr>
                <w:rFonts w:eastAsia="Times New Roman"/>
                <w:b/>
                <w:color w:val="000000"/>
                <w:lang w:eastAsia="en-US"/>
              </w:rPr>
              <w:t>95.31</w:t>
            </w:r>
          </w:p>
        </w:tc>
        <w:tc>
          <w:tcPr>
            <w:tcW w:w="1586" w:type="dxa"/>
            <w:tcBorders>
              <w:top w:val="nil"/>
              <w:left w:val="nil"/>
              <w:bottom w:val="single" w:sz="4" w:space="0" w:color="auto"/>
              <w:right w:val="single" w:sz="4" w:space="0" w:color="auto"/>
            </w:tcBorders>
            <w:shd w:val="clear" w:color="auto" w:fill="auto"/>
            <w:vAlign w:val="center"/>
            <w:hideMark/>
          </w:tcPr>
          <w:p w14:paraId="701B6EEE" w14:textId="77777777" w:rsidR="00C55599" w:rsidRPr="00F66B34" w:rsidRDefault="00C55599" w:rsidP="00F675E0">
            <w:pPr>
              <w:jc w:val="center"/>
              <w:rPr>
                <w:rFonts w:eastAsia="Times New Roman"/>
                <w:b/>
                <w:color w:val="000000"/>
                <w:lang w:eastAsia="en-US"/>
              </w:rPr>
            </w:pPr>
            <w:r w:rsidRPr="00F66B34">
              <w:rPr>
                <w:rFonts w:eastAsia="Times New Roman"/>
                <w:b/>
                <w:color w:val="000000"/>
                <w:lang w:eastAsia="en-US"/>
              </w:rPr>
              <w:t>15.44</w:t>
            </w:r>
          </w:p>
        </w:tc>
      </w:tr>
    </w:tbl>
    <w:p w14:paraId="701B6EF0" w14:textId="77777777" w:rsidR="0064513B" w:rsidRPr="00F66B34" w:rsidRDefault="0064513B" w:rsidP="00BF1DA1">
      <w:pPr>
        <w:pStyle w:val="Heading1"/>
        <w:rPr>
          <w:b w:val="0"/>
        </w:rPr>
      </w:pPr>
      <w:r w:rsidRPr="00D84004">
        <w:rPr>
          <w:rFonts w:ascii="Times New Roman" w:hAnsi="Times New Roman" w:cs="Times New Roman"/>
          <w:b w:val="0"/>
          <w:sz w:val="24"/>
          <w:szCs w:val="24"/>
        </w:rPr>
        <w:t xml:space="preserve">PacifiCorp’s Washington population had steady </w:t>
      </w:r>
      <w:r w:rsidR="00BA5C01" w:rsidRPr="00D84004">
        <w:rPr>
          <w:rFonts w:ascii="Times New Roman" w:hAnsi="Times New Roman" w:cs="Times New Roman"/>
          <w:b w:val="0"/>
          <w:sz w:val="24"/>
          <w:szCs w:val="24"/>
        </w:rPr>
        <w:t xml:space="preserve">year-over-year growth </w:t>
      </w:r>
      <w:r w:rsidR="00DB593B" w:rsidRPr="00D84004">
        <w:rPr>
          <w:rFonts w:ascii="Times New Roman" w:hAnsi="Times New Roman" w:cs="Times New Roman"/>
          <w:b w:val="0"/>
          <w:sz w:val="24"/>
          <w:szCs w:val="24"/>
        </w:rPr>
        <w:t xml:space="preserve">between </w:t>
      </w:r>
      <w:r w:rsidRPr="00D84004">
        <w:rPr>
          <w:rFonts w:ascii="Times New Roman" w:hAnsi="Times New Roman" w:cs="Times New Roman"/>
          <w:b w:val="0"/>
          <w:sz w:val="24"/>
          <w:szCs w:val="24"/>
        </w:rPr>
        <w:t>2006</w:t>
      </w:r>
      <w:r w:rsidR="00DB593B" w:rsidRPr="00D84004">
        <w:rPr>
          <w:rFonts w:ascii="Times New Roman" w:hAnsi="Times New Roman" w:cs="Times New Roman"/>
          <w:b w:val="0"/>
          <w:sz w:val="24"/>
          <w:szCs w:val="24"/>
        </w:rPr>
        <w:t xml:space="preserve"> and </w:t>
      </w:r>
      <w:r w:rsidRPr="00D84004">
        <w:rPr>
          <w:rFonts w:ascii="Times New Roman" w:hAnsi="Times New Roman" w:cs="Times New Roman"/>
          <w:b w:val="0"/>
          <w:sz w:val="24"/>
          <w:szCs w:val="24"/>
        </w:rPr>
        <w:t>2014</w:t>
      </w:r>
      <w:r w:rsidR="00DB593B" w:rsidRPr="00D84004">
        <w:rPr>
          <w:rFonts w:ascii="Times New Roman" w:hAnsi="Times New Roman" w:cs="Times New Roman"/>
          <w:b w:val="0"/>
          <w:sz w:val="24"/>
          <w:szCs w:val="24"/>
        </w:rPr>
        <w:t xml:space="preserve">. </w:t>
      </w:r>
      <w:r w:rsidR="00BF1DA1">
        <w:rPr>
          <w:rFonts w:ascii="Times New Roman" w:hAnsi="Times New Roman" w:cs="Times New Roman"/>
          <w:b w:val="0"/>
          <w:sz w:val="24"/>
          <w:szCs w:val="24"/>
        </w:rPr>
        <w:t xml:space="preserve"> </w:t>
      </w:r>
      <w:r w:rsidR="00DB593B" w:rsidRPr="00D84004">
        <w:rPr>
          <w:rFonts w:ascii="Times New Roman" w:hAnsi="Times New Roman" w:cs="Times New Roman"/>
          <w:b w:val="0"/>
          <w:sz w:val="24"/>
          <w:szCs w:val="24"/>
        </w:rPr>
        <w:t xml:space="preserve">However, the average MWh per residential customer declined, which could indicate increased adoption </w:t>
      </w:r>
      <w:r w:rsidR="00C71C0B" w:rsidRPr="00D84004">
        <w:rPr>
          <w:rFonts w:ascii="Times New Roman" w:hAnsi="Times New Roman" w:cs="Times New Roman"/>
          <w:b w:val="0"/>
          <w:sz w:val="24"/>
          <w:szCs w:val="24"/>
        </w:rPr>
        <w:t xml:space="preserve">of </w:t>
      </w:r>
      <w:r w:rsidR="00DB593B" w:rsidRPr="00D84004">
        <w:rPr>
          <w:rFonts w:ascii="Times New Roman" w:hAnsi="Times New Roman" w:cs="Times New Roman"/>
          <w:b w:val="0"/>
          <w:sz w:val="24"/>
          <w:szCs w:val="24"/>
        </w:rPr>
        <w:t>energy efficiency.</w:t>
      </w:r>
      <w:r w:rsidR="00BA5C01" w:rsidRPr="00D84004">
        <w:rPr>
          <w:rStyle w:val="FootnoteReference"/>
          <w:rFonts w:ascii="Times New Roman" w:hAnsi="Times New Roman" w:cs="Times New Roman"/>
          <w:b w:val="0"/>
          <w:sz w:val="24"/>
          <w:szCs w:val="24"/>
        </w:rPr>
        <w:footnoteReference w:id="2"/>
      </w:r>
      <w:r w:rsidR="00BA5C01" w:rsidRPr="00F66B34">
        <w:rPr>
          <w:rFonts w:ascii="Times New Roman" w:hAnsi="Times New Roman" w:cs="Times New Roman"/>
          <w:b w:val="0"/>
          <w:sz w:val="24"/>
          <w:szCs w:val="24"/>
        </w:rPr>
        <w:t xml:space="preserve"> </w:t>
      </w:r>
    </w:p>
    <w:bookmarkEnd w:id="1"/>
    <w:bookmarkEnd w:id="2"/>
    <w:bookmarkEnd w:id="3"/>
    <w:bookmarkEnd w:id="6"/>
    <w:p w14:paraId="701B6EF1" w14:textId="77777777" w:rsidR="0070446A" w:rsidRPr="00F66B34" w:rsidRDefault="0070446A" w:rsidP="00F66B34">
      <w:pPr>
        <w:jc w:val="both"/>
      </w:pPr>
    </w:p>
    <w:p w14:paraId="701B6EF2" w14:textId="77777777" w:rsidR="00684C8F" w:rsidRPr="00F66B34" w:rsidRDefault="00BD264E" w:rsidP="00BF1DA1">
      <w:pPr>
        <w:pStyle w:val="Caption"/>
        <w:jc w:val="left"/>
        <w:rPr>
          <w:sz w:val="28"/>
        </w:rPr>
      </w:pPr>
      <w:r w:rsidRPr="00F66B34">
        <w:rPr>
          <w:sz w:val="28"/>
        </w:rPr>
        <w:lastRenderedPageBreak/>
        <w:t>Subtotal Metrics – Energy and Emissions from Unknown Generation Sources</w:t>
      </w:r>
    </w:p>
    <w:p w14:paraId="701B6EF3" w14:textId="77777777" w:rsidR="005B7E3D" w:rsidRPr="00F66B34" w:rsidRDefault="005B7E3D" w:rsidP="00BF1DA1">
      <w:pPr>
        <w:rPr>
          <w:rFonts w:ascii="Garamond" w:hAnsi="Garamond"/>
        </w:rPr>
      </w:pPr>
    </w:p>
    <w:p w14:paraId="701B6EF4" w14:textId="77777777" w:rsidR="005B7E3D" w:rsidRPr="00F66B34" w:rsidRDefault="00BD264E" w:rsidP="00BF1DA1">
      <w:r w:rsidRPr="00F66B34">
        <w:t xml:space="preserve">The table below shows </w:t>
      </w:r>
      <w:r w:rsidR="00685970" w:rsidRPr="00F66B34">
        <w:t>the ann</w:t>
      </w:r>
      <w:r w:rsidR="003C01F1" w:rsidRPr="00F66B34">
        <w:t xml:space="preserve">ual Washington-allocated energy, </w:t>
      </w:r>
      <w:r w:rsidR="00685970" w:rsidRPr="00F66B34">
        <w:t>emissions</w:t>
      </w:r>
      <w:r w:rsidR="003C01F1" w:rsidRPr="00F66B34">
        <w:t>, and percentage of load served</w:t>
      </w:r>
      <w:r w:rsidR="00685970" w:rsidRPr="00F66B34">
        <w:t xml:space="preserve"> from unknown generation sources</w:t>
      </w:r>
      <w:r w:rsidR="003C01F1" w:rsidRPr="00F66B34">
        <w:t xml:space="preserve">. </w:t>
      </w:r>
      <w:r w:rsidR="00685970" w:rsidRPr="00F66B34">
        <w:t xml:space="preserve"> </w:t>
      </w:r>
    </w:p>
    <w:p w14:paraId="701B6EF5" w14:textId="77777777" w:rsidR="003C01F1" w:rsidRPr="00F66B34" w:rsidRDefault="003C01F1" w:rsidP="00BF1DA1"/>
    <w:p w14:paraId="701B6EF6" w14:textId="77777777" w:rsidR="003C01F1" w:rsidRPr="00F66B34" w:rsidRDefault="003C01F1" w:rsidP="003A02A8">
      <w:pPr>
        <w:jc w:val="center"/>
        <w:rPr>
          <w:b/>
        </w:rPr>
      </w:pPr>
      <w:r w:rsidRPr="00F66B34">
        <w:rPr>
          <w:b/>
        </w:rPr>
        <w:t>Table 3</w:t>
      </w:r>
    </w:p>
    <w:p w14:paraId="701B6EF7" w14:textId="77777777" w:rsidR="003C01F1" w:rsidRPr="00F66B34" w:rsidRDefault="003C01F1" w:rsidP="00297ECE">
      <w:pPr>
        <w:jc w:val="center"/>
        <w:rPr>
          <w:b/>
        </w:rPr>
      </w:pPr>
    </w:p>
    <w:tbl>
      <w:tblPr>
        <w:tblW w:w="8576" w:type="dxa"/>
        <w:jc w:val="center"/>
        <w:tblLook w:val="04A0" w:firstRow="1" w:lastRow="0" w:firstColumn="1" w:lastColumn="0" w:noHBand="0" w:noVBand="1"/>
      </w:tblPr>
      <w:tblGrid>
        <w:gridCol w:w="1883"/>
        <w:gridCol w:w="2169"/>
        <w:gridCol w:w="2227"/>
        <w:gridCol w:w="2297"/>
      </w:tblGrid>
      <w:tr w:rsidR="003C01F1" w:rsidRPr="00F66B34" w14:paraId="701B6EF9" w14:textId="77777777" w:rsidTr="00BF1DA1">
        <w:trPr>
          <w:trHeight w:val="389"/>
          <w:jc w:val="center"/>
        </w:trPr>
        <w:tc>
          <w:tcPr>
            <w:tcW w:w="8576" w:type="dxa"/>
            <w:gridSpan w:val="4"/>
            <w:tcBorders>
              <w:top w:val="nil"/>
              <w:left w:val="nil"/>
              <w:bottom w:val="single" w:sz="4" w:space="0" w:color="FFFFFF"/>
              <w:right w:val="nil"/>
            </w:tcBorders>
            <w:shd w:val="clear" w:color="000000" w:fill="000000"/>
            <w:noWrap/>
            <w:vAlign w:val="center"/>
            <w:hideMark/>
          </w:tcPr>
          <w:p w14:paraId="701B6EF8" w14:textId="77777777" w:rsidR="003C01F1" w:rsidRPr="00F66B34" w:rsidRDefault="003C01F1" w:rsidP="00F675E0">
            <w:pPr>
              <w:jc w:val="center"/>
              <w:rPr>
                <w:rFonts w:eastAsia="Times New Roman"/>
                <w:b/>
                <w:bCs/>
                <w:color w:val="FFFFFF"/>
                <w:lang w:eastAsia="en-US"/>
              </w:rPr>
            </w:pPr>
            <w:r w:rsidRPr="00F66B34">
              <w:rPr>
                <w:rFonts w:eastAsia="Times New Roman"/>
                <w:b/>
                <w:bCs/>
                <w:color w:val="FFFFFF"/>
                <w:lang w:eastAsia="en-US"/>
              </w:rPr>
              <w:t>Unknown Resource - Annual Metrics</w:t>
            </w:r>
            <w:r w:rsidR="00AE0E84" w:rsidRPr="00F66B34">
              <w:rPr>
                <w:rStyle w:val="FootnoteReference"/>
                <w:rFonts w:eastAsia="Times New Roman"/>
                <w:b/>
                <w:bCs/>
                <w:color w:val="FFFFFF"/>
                <w:lang w:eastAsia="en-US"/>
              </w:rPr>
              <w:footnoteReference w:id="3"/>
            </w:r>
          </w:p>
        </w:tc>
      </w:tr>
      <w:tr w:rsidR="003C01F1" w:rsidRPr="00F66B34" w14:paraId="701B6EFE" w14:textId="77777777" w:rsidTr="00BF1DA1">
        <w:trPr>
          <w:trHeight w:val="755"/>
          <w:jc w:val="center"/>
        </w:trPr>
        <w:tc>
          <w:tcPr>
            <w:tcW w:w="1883" w:type="dxa"/>
            <w:tcBorders>
              <w:top w:val="nil"/>
              <w:left w:val="single" w:sz="4" w:space="0" w:color="auto"/>
              <w:bottom w:val="single" w:sz="4" w:space="0" w:color="auto"/>
              <w:right w:val="single" w:sz="4" w:space="0" w:color="auto"/>
            </w:tcBorders>
            <w:shd w:val="clear" w:color="000000" w:fill="000000"/>
            <w:vAlign w:val="center"/>
            <w:hideMark/>
          </w:tcPr>
          <w:p w14:paraId="701B6EFA" w14:textId="77777777" w:rsidR="003C01F1" w:rsidRPr="00F66B34" w:rsidRDefault="003C01F1" w:rsidP="003A02A8">
            <w:pPr>
              <w:jc w:val="center"/>
              <w:rPr>
                <w:rFonts w:eastAsia="Times New Roman"/>
                <w:b/>
                <w:bCs/>
                <w:color w:val="FFFFFF"/>
                <w:lang w:eastAsia="en-US"/>
              </w:rPr>
            </w:pPr>
            <w:r w:rsidRPr="00F66B34">
              <w:rPr>
                <w:rFonts w:eastAsia="Times New Roman"/>
                <w:b/>
                <w:bCs/>
                <w:color w:val="FFFFFF"/>
                <w:lang w:eastAsia="en-US"/>
              </w:rPr>
              <w:t>Year</w:t>
            </w:r>
          </w:p>
        </w:tc>
        <w:tc>
          <w:tcPr>
            <w:tcW w:w="2169" w:type="dxa"/>
            <w:tcBorders>
              <w:top w:val="nil"/>
              <w:left w:val="nil"/>
              <w:bottom w:val="single" w:sz="4" w:space="0" w:color="auto"/>
              <w:right w:val="single" w:sz="4" w:space="0" w:color="auto"/>
            </w:tcBorders>
            <w:shd w:val="clear" w:color="000000" w:fill="000000"/>
            <w:vAlign w:val="center"/>
            <w:hideMark/>
          </w:tcPr>
          <w:p w14:paraId="701B6EFB" w14:textId="77777777" w:rsidR="003C01F1" w:rsidRPr="00F66B34" w:rsidRDefault="003C01F1" w:rsidP="00297ECE">
            <w:pPr>
              <w:jc w:val="center"/>
              <w:rPr>
                <w:rFonts w:eastAsia="Times New Roman"/>
                <w:b/>
                <w:bCs/>
                <w:color w:val="FFFFFF"/>
                <w:lang w:eastAsia="en-US"/>
              </w:rPr>
            </w:pPr>
            <w:r w:rsidRPr="00F66B34">
              <w:rPr>
                <w:rFonts w:eastAsia="Times New Roman"/>
                <w:b/>
                <w:bCs/>
                <w:color w:val="FFFFFF"/>
                <w:lang w:eastAsia="en-US"/>
              </w:rPr>
              <w:t>MWh</w:t>
            </w:r>
          </w:p>
        </w:tc>
        <w:tc>
          <w:tcPr>
            <w:tcW w:w="2227" w:type="dxa"/>
            <w:tcBorders>
              <w:top w:val="nil"/>
              <w:left w:val="nil"/>
              <w:bottom w:val="single" w:sz="4" w:space="0" w:color="auto"/>
              <w:right w:val="single" w:sz="4" w:space="0" w:color="auto"/>
            </w:tcBorders>
            <w:shd w:val="clear" w:color="000000" w:fill="000000"/>
            <w:vAlign w:val="center"/>
            <w:hideMark/>
          </w:tcPr>
          <w:p w14:paraId="701B6EFC" w14:textId="77777777" w:rsidR="003C01F1" w:rsidRPr="00F66B34" w:rsidRDefault="003C01F1" w:rsidP="00F675E0">
            <w:pPr>
              <w:jc w:val="center"/>
              <w:rPr>
                <w:rFonts w:eastAsia="Times New Roman"/>
                <w:b/>
                <w:bCs/>
                <w:color w:val="FFFFFF"/>
                <w:lang w:eastAsia="en-US"/>
              </w:rPr>
            </w:pPr>
            <w:r w:rsidRPr="00F66B34">
              <w:rPr>
                <w:rFonts w:eastAsia="Times New Roman"/>
                <w:b/>
                <w:bCs/>
                <w:color w:val="FFFFFF"/>
                <w:lang w:eastAsia="en-US"/>
              </w:rPr>
              <w:t>CO</w:t>
            </w:r>
            <w:r w:rsidRPr="00F66B34">
              <w:rPr>
                <w:rFonts w:eastAsia="Times New Roman"/>
                <w:b/>
                <w:bCs/>
                <w:color w:val="FFFFFF"/>
                <w:vertAlign w:val="subscript"/>
                <w:lang w:eastAsia="en-US"/>
              </w:rPr>
              <w:t>2</w:t>
            </w:r>
            <w:r w:rsidRPr="00F66B34">
              <w:rPr>
                <w:rFonts w:eastAsia="Times New Roman"/>
                <w:b/>
                <w:bCs/>
                <w:color w:val="FFFFFF"/>
                <w:lang w:eastAsia="en-US"/>
              </w:rPr>
              <w:t xml:space="preserve"> Emissions</w:t>
            </w:r>
          </w:p>
        </w:tc>
        <w:tc>
          <w:tcPr>
            <w:tcW w:w="2297" w:type="dxa"/>
            <w:tcBorders>
              <w:top w:val="nil"/>
              <w:left w:val="nil"/>
              <w:bottom w:val="single" w:sz="4" w:space="0" w:color="auto"/>
              <w:right w:val="single" w:sz="4" w:space="0" w:color="auto"/>
            </w:tcBorders>
            <w:shd w:val="clear" w:color="000000" w:fill="000000"/>
            <w:vAlign w:val="center"/>
            <w:hideMark/>
          </w:tcPr>
          <w:p w14:paraId="701B6EFD" w14:textId="77777777" w:rsidR="003C01F1" w:rsidRPr="00F66B34" w:rsidRDefault="003C01F1" w:rsidP="00F675E0">
            <w:pPr>
              <w:jc w:val="center"/>
              <w:rPr>
                <w:rFonts w:eastAsia="Times New Roman"/>
                <w:b/>
                <w:bCs/>
                <w:color w:val="FFFFFF"/>
                <w:lang w:eastAsia="en-US"/>
              </w:rPr>
            </w:pPr>
            <w:r w:rsidRPr="00F66B34">
              <w:rPr>
                <w:rFonts w:eastAsia="Times New Roman"/>
                <w:b/>
                <w:bCs/>
                <w:color w:val="FFFFFF"/>
                <w:lang w:eastAsia="en-US"/>
              </w:rPr>
              <w:t>Percentage of Load Served</w:t>
            </w:r>
          </w:p>
        </w:tc>
      </w:tr>
      <w:tr w:rsidR="00AE0E84" w:rsidRPr="00F66B34" w14:paraId="701B6F03" w14:textId="77777777" w:rsidTr="00BF1DA1">
        <w:trPr>
          <w:trHeight w:val="371"/>
          <w:jc w:val="center"/>
        </w:trPr>
        <w:tc>
          <w:tcPr>
            <w:tcW w:w="1883" w:type="dxa"/>
            <w:tcBorders>
              <w:top w:val="nil"/>
              <w:left w:val="single" w:sz="4" w:space="0" w:color="auto"/>
              <w:bottom w:val="single" w:sz="4" w:space="0" w:color="auto"/>
              <w:right w:val="single" w:sz="4" w:space="0" w:color="auto"/>
            </w:tcBorders>
            <w:shd w:val="clear" w:color="auto" w:fill="auto"/>
            <w:noWrap/>
            <w:vAlign w:val="center"/>
            <w:hideMark/>
          </w:tcPr>
          <w:p w14:paraId="701B6EFF" w14:textId="77777777" w:rsidR="00AE0E84" w:rsidRPr="00F66B34" w:rsidRDefault="00AE0E84" w:rsidP="003A02A8">
            <w:pPr>
              <w:jc w:val="center"/>
              <w:rPr>
                <w:rFonts w:eastAsia="Times New Roman"/>
                <w:color w:val="000000"/>
                <w:lang w:eastAsia="en-US"/>
              </w:rPr>
            </w:pPr>
            <w:r w:rsidRPr="00F66B34">
              <w:rPr>
                <w:rFonts w:eastAsia="Times New Roman"/>
                <w:color w:val="000000"/>
                <w:lang w:eastAsia="en-US"/>
              </w:rPr>
              <w:t>2006</w:t>
            </w:r>
          </w:p>
        </w:tc>
        <w:tc>
          <w:tcPr>
            <w:tcW w:w="2169" w:type="dxa"/>
            <w:tcBorders>
              <w:top w:val="nil"/>
              <w:left w:val="nil"/>
              <w:bottom w:val="single" w:sz="4" w:space="0" w:color="auto"/>
              <w:right w:val="single" w:sz="4" w:space="0" w:color="auto"/>
            </w:tcBorders>
            <w:shd w:val="clear" w:color="auto" w:fill="auto"/>
            <w:noWrap/>
            <w:vAlign w:val="center"/>
          </w:tcPr>
          <w:p w14:paraId="701B6F00" w14:textId="77777777" w:rsidR="00AE0E84" w:rsidRPr="00F66B34" w:rsidRDefault="00AE0E84" w:rsidP="00297ECE">
            <w:pPr>
              <w:jc w:val="center"/>
              <w:rPr>
                <w:color w:val="000000"/>
              </w:rPr>
            </w:pPr>
            <w:r w:rsidRPr="00F66B34">
              <w:rPr>
                <w:color w:val="000000"/>
              </w:rPr>
              <w:t>314,992</w:t>
            </w:r>
          </w:p>
        </w:tc>
        <w:tc>
          <w:tcPr>
            <w:tcW w:w="2227" w:type="dxa"/>
            <w:tcBorders>
              <w:top w:val="nil"/>
              <w:left w:val="nil"/>
              <w:bottom w:val="single" w:sz="4" w:space="0" w:color="auto"/>
              <w:right w:val="single" w:sz="4" w:space="0" w:color="auto"/>
            </w:tcBorders>
            <w:shd w:val="clear" w:color="auto" w:fill="auto"/>
            <w:noWrap/>
            <w:vAlign w:val="center"/>
            <w:hideMark/>
          </w:tcPr>
          <w:p w14:paraId="701B6F01" w14:textId="77777777" w:rsidR="00AE0E84" w:rsidRPr="00F66B34" w:rsidRDefault="00AE0E84" w:rsidP="00F675E0">
            <w:pPr>
              <w:jc w:val="center"/>
              <w:rPr>
                <w:rFonts w:eastAsia="Times New Roman"/>
                <w:color w:val="000000"/>
                <w:lang w:eastAsia="en-US"/>
              </w:rPr>
            </w:pPr>
            <w:r w:rsidRPr="00F66B34">
              <w:rPr>
                <w:rFonts w:eastAsia="Times New Roman"/>
                <w:color w:val="000000"/>
                <w:lang w:eastAsia="en-US"/>
              </w:rPr>
              <w:t>159,676</w:t>
            </w:r>
          </w:p>
        </w:tc>
        <w:tc>
          <w:tcPr>
            <w:tcW w:w="2297" w:type="dxa"/>
            <w:tcBorders>
              <w:top w:val="nil"/>
              <w:left w:val="nil"/>
              <w:bottom w:val="single" w:sz="4" w:space="0" w:color="auto"/>
              <w:right w:val="single" w:sz="4" w:space="0" w:color="auto"/>
            </w:tcBorders>
            <w:shd w:val="clear" w:color="auto" w:fill="auto"/>
            <w:noWrap/>
            <w:vAlign w:val="center"/>
            <w:hideMark/>
          </w:tcPr>
          <w:p w14:paraId="701B6F02" w14:textId="77777777" w:rsidR="00AE0E84" w:rsidRPr="00F66B34" w:rsidRDefault="00AE0E84" w:rsidP="00F675E0">
            <w:pPr>
              <w:jc w:val="center"/>
              <w:rPr>
                <w:rFonts w:eastAsia="Times New Roman"/>
                <w:color w:val="000000"/>
                <w:lang w:eastAsia="en-US"/>
              </w:rPr>
            </w:pPr>
            <w:r w:rsidRPr="00F66B34">
              <w:rPr>
                <w:rFonts w:eastAsia="Times New Roman"/>
                <w:color w:val="000000"/>
                <w:lang w:eastAsia="en-US"/>
              </w:rPr>
              <w:t>6.79%</w:t>
            </w:r>
          </w:p>
        </w:tc>
      </w:tr>
      <w:tr w:rsidR="00AE0E84" w:rsidRPr="00F66B34" w14:paraId="701B6F08" w14:textId="77777777" w:rsidTr="00BF1DA1">
        <w:trPr>
          <w:trHeight w:val="371"/>
          <w:jc w:val="center"/>
        </w:trPr>
        <w:tc>
          <w:tcPr>
            <w:tcW w:w="1883" w:type="dxa"/>
            <w:tcBorders>
              <w:top w:val="nil"/>
              <w:left w:val="single" w:sz="4" w:space="0" w:color="auto"/>
              <w:bottom w:val="single" w:sz="4" w:space="0" w:color="auto"/>
              <w:right w:val="single" w:sz="4" w:space="0" w:color="auto"/>
            </w:tcBorders>
            <w:shd w:val="clear" w:color="auto" w:fill="auto"/>
            <w:noWrap/>
            <w:vAlign w:val="center"/>
            <w:hideMark/>
          </w:tcPr>
          <w:p w14:paraId="701B6F04" w14:textId="77777777" w:rsidR="00AE0E84" w:rsidRPr="00F66B34" w:rsidRDefault="00AE0E84" w:rsidP="003A02A8">
            <w:pPr>
              <w:jc w:val="center"/>
              <w:rPr>
                <w:rFonts w:eastAsia="Times New Roman"/>
                <w:color w:val="000000"/>
                <w:lang w:eastAsia="en-US"/>
              </w:rPr>
            </w:pPr>
            <w:r w:rsidRPr="00F66B34">
              <w:rPr>
                <w:rFonts w:eastAsia="Times New Roman"/>
                <w:color w:val="000000"/>
                <w:lang w:eastAsia="en-US"/>
              </w:rPr>
              <w:t>2007</w:t>
            </w:r>
          </w:p>
        </w:tc>
        <w:tc>
          <w:tcPr>
            <w:tcW w:w="2169" w:type="dxa"/>
            <w:tcBorders>
              <w:top w:val="nil"/>
              <w:left w:val="nil"/>
              <w:bottom w:val="single" w:sz="4" w:space="0" w:color="auto"/>
              <w:right w:val="single" w:sz="4" w:space="0" w:color="auto"/>
            </w:tcBorders>
            <w:shd w:val="clear" w:color="auto" w:fill="auto"/>
            <w:noWrap/>
            <w:vAlign w:val="center"/>
          </w:tcPr>
          <w:p w14:paraId="701B6F05" w14:textId="77777777" w:rsidR="00AE0E84" w:rsidRPr="00F66B34" w:rsidRDefault="00AE0E84" w:rsidP="00297ECE">
            <w:pPr>
              <w:jc w:val="center"/>
              <w:rPr>
                <w:color w:val="000000"/>
              </w:rPr>
            </w:pPr>
            <w:r w:rsidRPr="00F66B34">
              <w:rPr>
                <w:color w:val="000000"/>
              </w:rPr>
              <w:t>141,670</w:t>
            </w:r>
          </w:p>
        </w:tc>
        <w:tc>
          <w:tcPr>
            <w:tcW w:w="2227" w:type="dxa"/>
            <w:tcBorders>
              <w:top w:val="nil"/>
              <w:left w:val="nil"/>
              <w:bottom w:val="single" w:sz="4" w:space="0" w:color="auto"/>
              <w:right w:val="single" w:sz="4" w:space="0" w:color="auto"/>
            </w:tcBorders>
            <w:shd w:val="clear" w:color="auto" w:fill="auto"/>
            <w:noWrap/>
            <w:vAlign w:val="center"/>
            <w:hideMark/>
          </w:tcPr>
          <w:p w14:paraId="701B6F06" w14:textId="77777777" w:rsidR="00AE0E84" w:rsidRPr="00F66B34" w:rsidRDefault="00AE0E84" w:rsidP="00F675E0">
            <w:pPr>
              <w:jc w:val="center"/>
              <w:rPr>
                <w:rFonts w:eastAsia="Times New Roman"/>
                <w:color w:val="000000"/>
                <w:lang w:eastAsia="en-US"/>
              </w:rPr>
            </w:pPr>
            <w:r w:rsidRPr="00F66B34">
              <w:rPr>
                <w:rFonts w:eastAsia="Times New Roman"/>
                <w:color w:val="000000"/>
                <w:lang w:eastAsia="en-US"/>
              </w:rPr>
              <w:t>85,130</w:t>
            </w:r>
          </w:p>
        </w:tc>
        <w:tc>
          <w:tcPr>
            <w:tcW w:w="2297" w:type="dxa"/>
            <w:tcBorders>
              <w:top w:val="nil"/>
              <w:left w:val="nil"/>
              <w:bottom w:val="single" w:sz="4" w:space="0" w:color="auto"/>
              <w:right w:val="single" w:sz="4" w:space="0" w:color="auto"/>
            </w:tcBorders>
            <w:shd w:val="clear" w:color="auto" w:fill="auto"/>
            <w:noWrap/>
            <w:vAlign w:val="center"/>
            <w:hideMark/>
          </w:tcPr>
          <w:p w14:paraId="701B6F07" w14:textId="77777777" w:rsidR="00AE0E84" w:rsidRPr="00F66B34" w:rsidRDefault="00AE0E84" w:rsidP="00F675E0">
            <w:pPr>
              <w:jc w:val="center"/>
              <w:rPr>
                <w:rFonts w:eastAsia="Times New Roman"/>
                <w:color w:val="000000"/>
                <w:lang w:eastAsia="en-US"/>
              </w:rPr>
            </w:pPr>
            <w:r w:rsidRPr="00F66B34">
              <w:rPr>
                <w:rFonts w:eastAsia="Times New Roman"/>
                <w:color w:val="000000"/>
                <w:lang w:eastAsia="en-US"/>
              </w:rPr>
              <w:t>3.20%</w:t>
            </w:r>
          </w:p>
        </w:tc>
      </w:tr>
      <w:tr w:rsidR="00AE0E84" w:rsidRPr="00F66B34" w14:paraId="701B6F0D" w14:textId="77777777" w:rsidTr="00BF1DA1">
        <w:trPr>
          <w:trHeight w:val="371"/>
          <w:jc w:val="center"/>
        </w:trPr>
        <w:tc>
          <w:tcPr>
            <w:tcW w:w="1883" w:type="dxa"/>
            <w:tcBorders>
              <w:top w:val="nil"/>
              <w:left w:val="single" w:sz="4" w:space="0" w:color="auto"/>
              <w:bottom w:val="single" w:sz="4" w:space="0" w:color="auto"/>
              <w:right w:val="single" w:sz="4" w:space="0" w:color="auto"/>
            </w:tcBorders>
            <w:shd w:val="clear" w:color="auto" w:fill="auto"/>
            <w:noWrap/>
            <w:vAlign w:val="center"/>
            <w:hideMark/>
          </w:tcPr>
          <w:p w14:paraId="701B6F09" w14:textId="77777777" w:rsidR="00AE0E84" w:rsidRPr="00F66B34" w:rsidRDefault="00AE0E84" w:rsidP="003A02A8">
            <w:pPr>
              <w:jc w:val="center"/>
              <w:rPr>
                <w:rFonts w:eastAsia="Times New Roman"/>
                <w:color w:val="000000"/>
                <w:lang w:eastAsia="en-US"/>
              </w:rPr>
            </w:pPr>
            <w:r w:rsidRPr="00F66B34">
              <w:rPr>
                <w:rFonts w:eastAsia="Times New Roman"/>
                <w:color w:val="000000"/>
                <w:lang w:eastAsia="en-US"/>
              </w:rPr>
              <w:t>2008</w:t>
            </w:r>
          </w:p>
        </w:tc>
        <w:tc>
          <w:tcPr>
            <w:tcW w:w="2169" w:type="dxa"/>
            <w:tcBorders>
              <w:top w:val="nil"/>
              <w:left w:val="nil"/>
              <w:bottom w:val="single" w:sz="4" w:space="0" w:color="auto"/>
              <w:right w:val="single" w:sz="4" w:space="0" w:color="auto"/>
            </w:tcBorders>
            <w:shd w:val="clear" w:color="auto" w:fill="auto"/>
            <w:noWrap/>
            <w:vAlign w:val="center"/>
          </w:tcPr>
          <w:p w14:paraId="701B6F0A" w14:textId="77777777" w:rsidR="00AE0E84" w:rsidRPr="00F66B34" w:rsidRDefault="00AE0E84" w:rsidP="003A02A8">
            <w:pPr>
              <w:jc w:val="center"/>
              <w:rPr>
                <w:color w:val="000000"/>
              </w:rPr>
            </w:pPr>
            <w:r w:rsidRPr="00F66B34">
              <w:rPr>
                <w:color w:val="000000"/>
              </w:rPr>
              <w:t>(376,496)</w:t>
            </w:r>
          </w:p>
        </w:tc>
        <w:tc>
          <w:tcPr>
            <w:tcW w:w="2227" w:type="dxa"/>
            <w:tcBorders>
              <w:top w:val="nil"/>
              <w:left w:val="nil"/>
              <w:bottom w:val="single" w:sz="4" w:space="0" w:color="auto"/>
              <w:right w:val="single" w:sz="4" w:space="0" w:color="auto"/>
            </w:tcBorders>
            <w:shd w:val="clear" w:color="auto" w:fill="auto"/>
            <w:noWrap/>
            <w:vAlign w:val="center"/>
            <w:hideMark/>
          </w:tcPr>
          <w:p w14:paraId="701B6F0B" w14:textId="77777777" w:rsidR="00AE0E84" w:rsidRPr="00F66B34" w:rsidRDefault="00AE0E84" w:rsidP="00297ECE">
            <w:pPr>
              <w:jc w:val="center"/>
              <w:rPr>
                <w:rFonts w:eastAsia="Times New Roman"/>
                <w:color w:val="000000"/>
                <w:lang w:eastAsia="en-US"/>
              </w:rPr>
            </w:pPr>
            <w:r w:rsidRPr="00F66B34">
              <w:rPr>
                <w:rFonts w:eastAsia="Times New Roman"/>
                <w:color w:val="000000"/>
                <w:lang w:eastAsia="en-US"/>
              </w:rPr>
              <w:t>(192,854)</w:t>
            </w:r>
          </w:p>
        </w:tc>
        <w:tc>
          <w:tcPr>
            <w:tcW w:w="2297" w:type="dxa"/>
            <w:tcBorders>
              <w:top w:val="nil"/>
              <w:left w:val="nil"/>
              <w:bottom w:val="single" w:sz="4" w:space="0" w:color="auto"/>
              <w:right w:val="single" w:sz="4" w:space="0" w:color="auto"/>
            </w:tcBorders>
            <w:shd w:val="clear" w:color="auto" w:fill="auto"/>
            <w:noWrap/>
            <w:vAlign w:val="center"/>
            <w:hideMark/>
          </w:tcPr>
          <w:p w14:paraId="701B6F0C" w14:textId="77777777" w:rsidR="00AE0E84" w:rsidRPr="00F66B34" w:rsidRDefault="00AE0E84" w:rsidP="00F675E0">
            <w:pPr>
              <w:jc w:val="center"/>
              <w:rPr>
                <w:rFonts w:eastAsia="Times New Roman"/>
                <w:color w:val="000000"/>
                <w:lang w:eastAsia="en-US"/>
              </w:rPr>
            </w:pPr>
            <w:r w:rsidRPr="00F66B34">
              <w:rPr>
                <w:rFonts w:eastAsia="Times New Roman"/>
                <w:color w:val="000000"/>
                <w:lang w:eastAsia="en-US"/>
              </w:rPr>
              <w:t>-8.28%</w:t>
            </w:r>
          </w:p>
        </w:tc>
      </w:tr>
      <w:tr w:rsidR="00AE0E84" w:rsidRPr="00F66B34" w14:paraId="701B6F12" w14:textId="77777777" w:rsidTr="00BF1DA1">
        <w:trPr>
          <w:trHeight w:val="371"/>
          <w:jc w:val="center"/>
        </w:trPr>
        <w:tc>
          <w:tcPr>
            <w:tcW w:w="1883" w:type="dxa"/>
            <w:tcBorders>
              <w:top w:val="nil"/>
              <w:left w:val="single" w:sz="4" w:space="0" w:color="auto"/>
              <w:bottom w:val="single" w:sz="4" w:space="0" w:color="auto"/>
              <w:right w:val="single" w:sz="4" w:space="0" w:color="auto"/>
            </w:tcBorders>
            <w:shd w:val="clear" w:color="auto" w:fill="auto"/>
            <w:noWrap/>
            <w:vAlign w:val="center"/>
            <w:hideMark/>
          </w:tcPr>
          <w:p w14:paraId="701B6F0E" w14:textId="77777777" w:rsidR="00AE0E84" w:rsidRPr="00F66B34" w:rsidRDefault="00AE0E84" w:rsidP="003A02A8">
            <w:pPr>
              <w:jc w:val="center"/>
              <w:rPr>
                <w:rFonts w:eastAsia="Times New Roman"/>
                <w:color w:val="000000"/>
                <w:lang w:eastAsia="en-US"/>
              </w:rPr>
            </w:pPr>
            <w:r w:rsidRPr="00F66B34">
              <w:rPr>
                <w:rFonts w:eastAsia="Times New Roman"/>
                <w:color w:val="000000"/>
                <w:lang w:eastAsia="en-US"/>
              </w:rPr>
              <w:t>2009</w:t>
            </w:r>
          </w:p>
        </w:tc>
        <w:tc>
          <w:tcPr>
            <w:tcW w:w="2169" w:type="dxa"/>
            <w:tcBorders>
              <w:top w:val="nil"/>
              <w:left w:val="nil"/>
              <w:bottom w:val="single" w:sz="4" w:space="0" w:color="auto"/>
              <w:right w:val="single" w:sz="4" w:space="0" w:color="auto"/>
            </w:tcBorders>
            <w:shd w:val="clear" w:color="auto" w:fill="auto"/>
            <w:noWrap/>
            <w:vAlign w:val="center"/>
          </w:tcPr>
          <w:p w14:paraId="701B6F0F" w14:textId="77777777" w:rsidR="00AE0E84" w:rsidRPr="00F66B34" w:rsidRDefault="00AE0E84" w:rsidP="00297ECE">
            <w:pPr>
              <w:jc w:val="center"/>
              <w:rPr>
                <w:color w:val="000000"/>
              </w:rPr>
            </w:pPr>
            <w:r w:rsidRPr="00F66B34">
              <w:rPr>
                <w:color w:val="000000"/>
              </w:rPr>
              <w:t>(166,660)</w:t>
            </w:r>
          </w:p>
        </w:tc>
        <w:tc>
          <w:tcPr>
            <w:tcW w:w="2227" w:type="dxa"/>
            <w:tcBorders>
              <w:top w:val="nil"/>
              <w:left w:val="nil"/>
              <w:bottom w:val="single" w:sz="4" w:space="0" w:color="auto"/>
              <w:right w:val="single" w:sz="4" w:space="0" w:color="auto"/>
            </w:tcBorders>
            <w:shd w:val="clear" w:color="auto" w:fill="auto"/>
            <w:noWrap/>
            <w:vAlign w:val="center"/>
            <w:hideMark/>
          </w:tcPr>
          <w:p w14:paraId="701B6F10" w14:textId="77777777" w:rsidR="00AE0E84" w:rsidRPr="00F66B34" w:rsidRDefault="00AE0E84" w:rsidP="00F675E0">
            <w:pPr>
              <w:jc w:val="center"/>
              <w:rPr>
                <w:rFonts w:eastAsia="Times New Roman"/>
                <w:color w:val="000000"/>
                <w:lang w:eastAsia="en-US"/>
              </w:rPr>
            </w:pPr>
            <w:r w:rsidRPr="00F66B34">
              <w:rPr>
                <w:rFonts w:eastAsia="Times New Roman"/>
                <w:color w:val="000000"/>
                <w:lang w:eastAsia="en-US"/>
              </w:rPr>
              <w:t>(93,229)</w:t>
            </w:r>
          </w:p>
        </w:tc>
        <w:tc>
          <w:tcPr>
            <w:tcW w:w="2297" w:type="dxa"/>
            <w:tcBorders>
              <w:top w:val="nil"/>
              <w:left w:val="nil"/>
              <w:bottom w:val="single" w:sz="4" w:space="0" w:color="auto"/>
              <w:right w:val="single" w:sz="4" w:space="0" w:color="auto"/>
            </w:tcBorders>
            <w:shd w:val="clear" w:color="auto" w:fill="auto"/>
            <w:noWrap/>
            <w:vAlign w:val="center"/>
            <w:hideMark/>
          </w:tcPr>
          <w:p w14:paraId="701B6F11" w14:textId="77777777" w:rsidR="00AE0E84" w:rsidRPr="00F66B34" w:rsidRDefault="00AE0E84" w:rsidP="00F675E0">
            <w:pPr>
              <w:jc w:val="center"/>
              <w:rPr>
                <w:rFonts w:eastAsia="Times New Roman"/>
                <w:color w:val="000000"/>
                <w:lang w:eastAsia="en-US"/>
              </w:rPr>
            </w:pPr>
            <w:r w:rsidRPr="00F66B34">
              <w:rPr>
                <w:rFonts w:eastAsia="Times New Roman"/>
                <w:color w:val="000000"/>
                <w:lang w:eastAsia="en-US"/>
              </w:rPr>
              <w:t>-3.65%</w:t>
            </w:r>
          </w:p>
        </w:tc>
      </w:tr>
      <w:tr w:rsidR="00AE0E84" w:rsidRPr="00F66B34" w14:paraId="701B6F17" w14:textId="77777777" w:rsidTr="00BF1DA1">
        <w:trPr>
          <w:trHeight w:val="371"/>
          <w:jc w:val="center"/>
        </w:trPr>
        <w:tc>
          <w:tcPr>
            <w:tcW w:w="1883" w:type="dxa"/>
            <w:tcBorders>
              <w:top w:val="nil"/>
              <w:left w:val="single" w:sz="4" w:space="0" w:color="auto"/>
              <w:bottom w:val="single" w:sz="4" w:space="0" w:color="auto"/>
              <w:right w:val="single" w:sz="4" w:space="0" w:color="auto"/>
            </w:tcBorders>
            <w:shd w:val="clear" w:color="auto" w:fill="auto"/>
            <w:noWrap/>
            <w:vAlign w:val="center"/>
            <w:hideMark/>
          </w:tcPr>
          <w:p w14:paraId="701B6F13" w14:textId="77777777" w:rsidR="00AE0E84" w:rsidRPr="00F66B34" w:rsidRDefault="00AE0E84" w:rsidP="003A02A8">
            <w:pPr>
              <w:jc w:val="center"/>
              <w:rPr>
                <w:rFonts w:eastAsia="Times New Roman"/>
                <w:color w:val="000000"/>
                <w:lang w:eastAsia="en-US"/>
              </w:rPr>
            </w:pPr>
            <w:r w:rsidRPr="00F66B34">
              <w:rPr>
                <w:rFonts w:eastAsia="Times New Roman"/>
                <w:color w:val="000000"/>
                <w:lang w:eastAsia="en-US"/>
              </w:rPr>
              <w:t>2010</w:t>
            </w:r>
          </w:p>
        </w:tc>
        <w:tc>
          <w:tcPr>
            <w:tcW w:w="2169" w:type="dxa"/>
            <w:tcBorders>
              <w:top w:val="nil"/>
              <w:left w:val="nil"/>
              <w:bottom w:val="single" w:sz="4" w:space="0" w:color="auto"/>
              <w:right w:val="single" w:sz="4" w:space="0" w:color="auto"/>
            </w:tcBorders>
            <w:shd w:val="clear" w:color="auto" w:fill="auto"/>
            <w:noWrap/>
            <w:vAlign w:val="center"/>
          </w:tcPr>
          <w:p w14:paraId="701B6F14" w14:textId="77777777" w:rsidR="00AE0E84" w:rsidRPr="00F66B34" w:rsidRDefault="00AE0E84" w:rsidP="00297ECE">
            <w:pPr>
              <w:jc w:val="center"/>
              <w:rPr>
                <w:color w:val="000000"/>
              </w:rPr>
            </w:pPr>
            <w:r w:rsidRPr="00F66B34">
              <w:rPr>
                <w:color w:val="000000"/>
              </w:rPr>
              <w:t>(254,053)</w:t>
            </w:r>
          </w:p>
        </w:tc>
        <w:tc>
          <w:tcPr>
            <w:tcW w:w="2227" w:type="dxa"/>
            <w:tcBorders>
              <w:top w:val="nil"/>
              <w:left w:val="nil"/>
              <w:bottom w:val="single" w:sz="4" w:space="0" w:color="auto"/>
              <w:right w:val="single" w:sz="4" w:space="0" w:color="auto"/>
            </w:tcBorders>
            <w:shd w:val="clear" w:color="auto" w:fill="auto"/>
            <w:noWrap/>
            <w:vAlign w:val="center"/>
            <w:hideMark/>
          </w:tcPr>
          <w:p w14:paraId="701B6F15" w14:textId="77777777" w:rsidR="00AE0E84" w:rsidRPr="00F66B34" w:rsidRDefault="00AE0E84" w:rsidP="00F675E0">
            <w:pPr>
              <w:jc w:val="center"/>
              <w:rPr>
                <w:rFonts w:eastAsia="Times New Roman"/>
                <w:color w:val="000000"/>
                <w:lang w:eastAsia="en-US"/>
              </w:rPr>
            </w:pPr>
            <w:r w:rsidRPr="00F66B34">
              <w:rPr>
                <w:rFonts w:eastAsia="Times New Roman"/>
                <w:color w:val="000000"/>
                <w:lang w:eastAsia="en-US"/>
              </w:rPr>
              <w:t>(151,380)</w:t>
            </w:r>
          </w:p>
        </w:tc>
        <w:tc>
          <w:tcPr>
            <w:tcW w:w="2297" w:type="dxa"/>
            <w:tcBorders>
              <w:top w:val="nil"/>
              <w:left w:val="nil"/>
              <w:bottom w:val="single" w:sz="4" w:space="0" w:color="auto"/>
              <w:right w:val="single" w:sz="4" w:space="0" w:color="auto"/>
            </w:tcBorders>
            <w:shd w:val="clear" w:color="auto" w:fill="auto"/>
            <w:noWrap/>
            <w:vAlign w:val="center"/>
            <w:hideMark/>
          </w:tcPr>
          <w:p w14:paraId="701B6F16" w14:textId="77777777" w:rsidR="00AE0E84" w:rsidRPr="00F66B34" w:rsidRDefault="00AE0E84" w:rsidP="00F675E0">
            <w:pPr>
              <w:jc w:val="center"/>
              <w:rPr>
                <w:rFonts w:eastAsia="Times New Roman"/>
                <w:color w:val="000000"/>
                <w:lang w:eastAsia="en-US"/>
              </w:rPr>
            </w:pPr>
            <w:r w:rsidRPr="00F66B34">
              <w:rPr>
                <w:rFonts w:eastAsia="Times New Roman"/>
                <w:color w:val="000000"/>
                <w:lang w:eastAsia="en-US"/>
              </w:rPr>
              <w:t>-5.80%</w:t>
            </w:r>
          </w:p>
        </w:tc>
      </w:tr>
      <w:tr w:rsidR="00AE0E84" w:rsidRPr="00F66B34" w14:paraId="701B6F1C" w14:textId="77777777" w:rsidTr="00BF1DA1">
        <w:trPr>
          <w:trHeight w:val="371"/>
          <w:jc w:val="center"/>
        </w:trPr>
        <w:tc>
          <w:tcPr>
            <w:tcW w:w="1883" w:type="dxa"/>
            <w:tcBorders>
              <w:top w:val="nil"/>
              <w:left w:val="single" w:sz="4" w:space="0" w:color="auto"/>
              <w:bottom w:val="single" w:sz="4" w:space="0" w:color="auto"/>
              <w:right w:val="single" w:sz="4" w:space="0" w:color="auto"/>
            </w:tcBorders>
            <w:shd w:val="clear" w:color="auto" w:fill="auto"/>
            <w:noWrap/>
            <w:vAlign w:val="center"/>
            <w:hideMark/>
          </w:tcPr>
          <w:p w14:paraId="701B6F18" w14:textId="77777777" w:rsidR="00AE0E84" w:rsidRPr="00F66B34" w:rsidRDefault="00AE0E84" w:rsidP="003A02A8">
            <w:pPr>
              <w:jc w:val="center"/>
              <w:rPr>
                <w:rFonts w:eastAsia="Times New Roman"/>
                <w:color w:val="000000"/>
                <w:lang w:eastAsia="en-US"/>
              </w:rPr>
            </w:pPr>
            <w:r w:rsidRPr="00F66B34">
              <w:rPr>
                <w:rFonts w:eastAsia="Times New Roman"/>
                <w:color w:val="000000"/>
                <w:lang w:eastAsia="en-US"/>
              </w:rPr>
              <w:t>2011</w:t>
            </w:r>
          </w:p>
        </w:tc>
        <w:tc>
          <w:tcPr>
            <w:tcW w:w="2169" w:type="dxa"/>
            <w:tcBorders>
              <w:top w:val="nil"/>
              <w:left w:val="nil"/>
              <w:bottom w:val="single" w:sz="4" w:space="0" w:color="auto"/>
              <w:right w:val="single" w:sz="4" w:space="0" w:color="auto"/>
            </w:tcBorders>
            <w:shd w:val="clear" w:color="auto" w:fill="auto"/>
            <w:noWrap/>
            <w:vAlign w:val="center"/>
          </w:tcPr>
          <w:p w14:paraId="701B6F19" w14:textId="77777777" w:rsidR="00AE0E84" w:rsidRPr="00F66B34" w:rsidRDefault="00AE0E84" w:rsidP="00297ECE">
            <w:pPr>
              <w:jc w:val="center"/>
              <w:rPr>
                <w:color w:val="000000"/>
              </w:rPr>
            </w:pPr>
            <w:r w:rsidRPr="00F66B34">
              <w:rPr>
                <w:color w:val="000000"/>
              </w:rPr>
              <w:t>265,797</w:t>
            </w:r>
          </w:p>
        </w:tc>
        <w:tc>
          <w:tcPr>
            <w:tcW w:w="2227" w:type="dxa"/>
            <w:tcBorders>
              <w:top w:val="nil"/>
              <w:left w:val="nil"/>
              <w:bottom w:val="single" w:sz="4" w:space="0" w:color="auto"/>
              <w:right w:val="single" w:sz="4" w:space="0" w:color="auto"/>
            </w:tcBorders>
            <w:shd w:val="clear" w:color="auto" w:fill="auto"/>
            <w:noWrap/>
            <w:vAlign w:val="center"/>
            <w:hideMark/>
          </w:tcPr>
          <w:p w14:paraId="701B6F1A" w14:textId="77777777" w:rsidR="00AE0E84" w:rsidRPr="00F66B34" w:rsidRDefault="00AE0E84" w:rsidP="00F675E0">
            <w:pPr>
              <w:jc w:val="center"/>
              <w:rPr>
                <w:rFonts w:eastAsia="Times New Roman"/>
                <w:color w:val="000000"/>
                <w:lang w:eastAsia="en-US"/>
              </w:rPr>
            </w:pPr>
            <w:r w:rsidRPr="00F66B34">
              <w:rPr>
                <w:rFonts w:eastAsia="Times New Roman"/>
                <w:color w:val="000000"/>
                <w:lang w:eastAsia="en-US"/>
              </w:rPr>
              <w:t>120,228</w:t>
            </w:r>
          </w:p>
        </w:tc>
        <w:tc>
          <w:tcPr>
            <w:tcW w:w="2297" w:type="dxa"/>
            <w:tcBorders>
              <w:top w:val="nil"/>
              <w:left w:val="nil"/>
              <w:bottom w:val="single" w:sz="4" w:space="0" w:color="auto"/>
              <w:right w:val="single" w:sz="4" w:space="0" w:color="auto"/>
            </w:tcBorders>
            <w:shd w:val="clear" w:color="auto" w:fill="auto"/>
            <w:noWrap/>
            <w:vAlign w:val="center"/>
            <w:hideMark/>
          </w:tcPr>
          <w:p w14:paraId="701B6F1B" w14:textId="77777777" w:rsidR="00AE0E84" w:rsidRPr="00F66B34" w:rsidRDefault="00AE0E84" w:rsidP="00F675E0">
            <w:pPr>
              <w:jc w:val="center"/>
              <w:rPr>
                <w:rFonts w:eastAsia="Times New Roman"/>
                <w:color w:val="000000"/>
                <w:lang w:eastAsia="en-US"/>
              </w:rPr>
            </w:pPr>
            <w:r w:rsidRPr="00F66B34">
              <w:rPr>
                <w:rFonts w:eastAsia="Times New Roman"/>
                <w:color w:val="000000"/>
                <w:lang w:eastAsia="en-US"/>
              </w:rPr>
              <w:t>6.02%</w:t>
            </w:r>
          </w:p>
        </w:tc>
      </w:tr>
      <w:tr w:rsidR="00AE0E84" w:rsidRPr="00F66B34" w14:paraId="701B6F21" w14:textId="77777777" w:rsidTr="00BF1DA1">
        <w:trPr>
          <w:trHeight w:val="371"/>
          <w:jc w:val="center"/>
        </w:trPr>
        <w:tc>
          <w:tcPr>
            <w:tcW w:w="1883" w:type="dxa"/>
            <w:tcBorders>
              <w:top w:val="nil"/>
              <w:left w:val="single" w:sz="4" w:space="0" w:color="auto"/>
              <w:bottom w:val="single" w:sz="4" w:space="0" w:color="auto"/>
              <w:right w:val="single" w:sz="4" w:space="0" w:color="auto"/>
            </w:tcBorders>
            <w:shd w:val="clear" w:color="auto" w:fill="auto"/>
            <w:noWrap/>
            <w:vAlign w:val="center"/>
            <w:hideMark/>
          </w:tcPr>
          <w:p w14:paraId="701B6F1D" w14:textId="77777777" w:rsidR="00AE0E84" w:rsidRPr="00F66B34" w:rsidRDefault="00AE0E84" w:rsidP="003A02A8">
            <w:pPr>
              <w:jc w:val="center"/>
              <w:rPr>
                <w:rFonts w:eastAsia="Times New Roman"/>
                <w:color w:val="000000"/>
                <w:lang w:eastAsia="en-US"/>
              </w:rPr>
            </w:pPr>
            <w:r w:rsidRPr="00F66B34">
              <w:rPr>
                <w:rFonts w:eastAsia="Times New Roman"/>
                <w:color w:val="000000"/>
                <w:lang w:eastAsia="en-US"/>
              </w:rPr>
              <w:t>2012</w:t>
            </w:r>
          </w:p>
        </w:tc>
        <w:tc>
          <w:tcPr>
            <w:tcW w:w="2169" w:type="dxa"/>
            <w:tcBorders>
              <w:top w:val="nil"/>
              <w:left w:val="nil"/>
              <w:bottom w:val="single" w:sz="4" w:space="0" w:color="auto"/>
              <w:right w:val="single" w:sz="4" w:space="0" w:color="auto"/>
            </w:tcBorders>
            <w:shd w:val="clear" w:color="auto" w:fill="auto"/>
            <w:noWrap/>
            <w:vAlign w:val="center"/>
          </w:tcPr>
          <w:p w14:paraId="701B6F1E" w14:textId="77777777" w:rsidR="00AE0E84" w:rsidRPr="00F66B34" w:rsidRDefault="00AE0E84" w:rsidP="00297ECE">
            <w:pPr>
              <w:jc w:val="center"/>
              <w:rPr>
                <w:color w:val="000000"/>
              </w:rPr>
            </w:pPr>
            <w:r w:rsidRPr="00F66B34">
              <w:rPr>
                <w:color w:val="000000"/>
              </w:rPr>
              <w:t>369,810</w:t>
            </w:r>
          </w:p>
        </w:tc>
        <w:tc>
          <w:tcPr>
            <w:tcW w:w="2227" w:type="dxa"/>
            <w:tcBorders>
              <w:top w:val="nil"/>
              <w:left w:val="nil"/>
              <w:bottom w:val="single" w:sz="4" w:space="0" w:color="auto"/>
              <w:right w:val="single" w:sz="4" w:space="0" w:color="auto"/>
            </w:tcBorders>
            <w:shd w:val="clear" w:color="auto" w:fill="auto"/>
            <w:noWrap/>
            <w:vAlign w:val="center"/>
            <w:hideMark/>
          </w:tcPr>
          <w:p w14:paraId="701B6F1F" w14:textId="77777777" w:rsidR="00AE0E84" w:rsidRPr="00F66B34" w:rsidRDefault="00AE0E84" w:rsidP="00F675E0">
            <w:pPr>
              <w:jc w:val="center"/>
              <w:rPr>
                <w:rFonts w:eastAsia="Times New Roman"/>
                <w:color w:val="000000"/>
                <w:lang w:eastAsia="en-US"/>
              </w:rPr>
            </w:pPr>
            <w:r w:rsidRPr="00F66B34">
              <w:rPr>
                <w:rFonts w:eastAsia="Times New Roman"/>
                <w:color w:val="000000"/>
                <w:lang w:eastAsia="en-US"/>
              </w:rPr>
              <w:t>166,994</w:t>
            </w:r>
          </w:p>
        </w:tc>
        <w:tc>
          <w:tcPr>
            <w:tcW w:w="2297" w:type="dxa"/>
            <w:tcBorders>
              <w:top w:val="nil"/>
              <w:left w:val="nil"/>
              <w:bottom w:val="single" w:sz="4" w:space="0" w:color="auto"/>
              <w:right w:val="single" w:sz="4" w:space="0" w:color="auto"/>
            </w:tcBorders>
            <w:shd w:val="clear" w:color="auto" w:fill="auto"/>
            <w:noWrap/>
            <w:vAlign w:val="center"/>
            <w:hideMark/>
          </w:tcPr>
          <w:p w14:paraId="701B6F20" w14:textId="77777777" w:rsidR="00AE0E84" w:rsidRPr="00F66B34" w:rsidRDefault="00AE0E84" w:rsidP="00F675E0">
            <w:pPr>
              <w:jc w:val="center"/>
              <w:rPr>
                <w:rFonts w:eastAsia="Times New Roman"/>
                <w:color w:val="000000"/>
                <w:lang w:eastAsia="en-US"/>
              </w:rPr>
            </w:pPr>
            <w:r w:rsidRPr="00F66B34">
              <w:rPr>
                <w:rFonts w:eastAsia="Times New Roman"/>
                <w:color w:val="000000"/>
                <w:lang w:eastAsia="en-US"/>
              </w:rPr>
              <w:t>8.32%</w:t>
            </w:r>
          </w:p>
        </w:tc>
      </w:tr>
      <w:tr w:rsidR="00AE0E84" w:rsidRPr="00F66B34" w14:paraId="701B6F26" w14:textId="77777777" w:rsidTr="00BF1DA1">
        <w:trPr>
          <w:trHeight w:val="371"/>
          <w:jc w:val="center"/>
        </w:trPr>
        <w:tc>
          <w:tcPr>
            <w:tcW w:w="1883" w:type="dxa"/>
            <w:tcBorders>
              <w:top w:val="nil"/>
              <w:left w:val="single" w:sz="4" w:space="0" w:color="auto"/>
              <w:bottom w:val="single" w:sz="4" w:space="0" w:color="auto"/>
              <w:right w:val="single" w:sz="4" w:space="0" w:color="auto"/>
            </w:tcBorders>
            <w:shd w:val="clear" w:color="auto" w:fill="auto"/>
            <w:noWrap/>
            <w:vAlign w:val="center"/>
            <w:hideMark/>
          </w:tcPr>
          <w:p w14:paraId="701B6F22" w14:textId="77777777" w:rsidR="00AE0E84" w:rsidRPr="00F66B34" w:rsidRDefault="00AE0E84" w:rsidP="003A02A8">
            <w:pPr>
              <w:jc w:val="center"/>
              <w:rPr>
                <w:rFonts w:eastAsia="Times New Roman"/>
                <w:color w:val="000000"/>
                <w:lang w:eastAsia="en-US"/>
              </w:rPr>
            </w:pPr>
            <w:r w:rsidRPr="00F66B34">
              <w:rPr>
                <w:rFonts w:eastAsia="Times New Roman"/>
                <w:color w:val="000000"/>
                <w:lang w:eastAsia="en-US"/>
              </w:rPr>
              <w:t>2013</w:t>
            </w:r>
          </w:p>
        </w:tc>
        <w:tc>
          <w:tcPr>
            <w:tcW w:w="2169" w:type="dxa"/>
            <w:tcBorders>
              <w:top w:val="nil"/>
              <w:left w:val="nil"/>
              <w:bottom w:val="single" w:sz="4" w:space="0" w:color="auto"/>
              <w:right w:val="single" w:sz="4" w:space="0" w:color="auto"/>
            </w:tcBorders>
            <w:shd w:val="clear" w:color="auto" w:fill="auto"/>
            <w:noWrap/>
            <w:vAlign w:val="center"/>
          </w:tcPr>
          <w:p w14:paraId="701B6F23" w14:textId="77777777" w:rsidR="00AE0E84" w:rsidRPr="00F66B34" w:rsidRDefault="00AE0E84" w:rsidP="00297ECE">
            <w:pPr>
              <w:jc w:val="center"/>
              <w:rPr>
                <w:color w:val="000000"/>
              </w:rPr>
            </w:pPr>
            <w:r w:rsidRPr="00F66B34">
              <w:rPr>
                <w:color w:val="000000"/>
              </w:rPr>
              <w:t>342,608</w:t>
            </w:r>
          </w:p>
        </w:tc>
        <w:tc>
          <w:tcPr>
            <w:tcW w:w="2227" w:type="dxa"/>
            <w:tcBorders>
              <w:top w:val="nil"/>
              <w:left w:val="nil"/>
              <w:bottom w:val="single" w:sz="4" w:space="0" w:color="auto"/>
              <w:right w:val="single" w:sz="4" w:space="0" w:color="auto"/>
            </w:tcBorders>
            <w:shd w:val="clear" w:color="auto" w:fill="auto"/>
            <w:noWrap/>
            <w:vAlign w:val="center"/>
            <w:hideMark/>
          </w:tcPr>
          <w:p w14:paraId="701B6F24" w14:textId="77777777" w:rsidR="00AE0E84" w:rsidRPr="00F66B34" w:rsidRDefault="00AE0E84" w:rsidP="00F675E0">
            <w:pPr>
              <w:jc w:val="center"/>
              <w:rPr>
                <w:rFonts w:eastAsia="Times New Roman"/>
                <w:color w:val="000000"/>
                <w:lang w:eastAsia="en-US"/>
              </w:rPr>
            </w:pPr>
            <w:r w:rsidRPr="00F66B34">
              <w:rPr>
                <w:rFonts w:eastAsia="Times New Roman"/>
                <w:color w:val="000000"/>
                <w:lang w:eastAsia="en-US"/>
              </w:rPr>
              <w:t>193,937</w:t>
            </w:r>
          </w:p>
        </w:tc>
        <w:tc>
          <w:tcPr>
            <w:tcW w:w="2297" w:type="dxa"/>
            <w:tcBorders>
              <w:top w:val="nil"/>
              <w:left w:val="nil"/>
              <w:bottom w:val="single" w:sz="4" w:space="0" w:color="auto"/>
              <w:right w:val="single" w:sz="4" w:space="0" w:color="auto"/>
            </w:tcBorders>
            <w:shd w:val="clear" w:color="auto" w:fill="auto"/>
            <w:noWrap/>
            <w:vAlign w:val="center"/>
            <w:hideMark/>
          </w:tcPr>
          <w:p w14:paraId="701B6F25" w14:textId="77777777" w:rsidR="00AE0E84" w:rsidRPr="00F66B34" w:rsidRDefault="00AE0E84" w:rsidP="00F675E0">
            <w:pPr>
              <w:jc w:val="center"/>
              <w:rPr>
                <w:rFonts w:eastAsia="Times New Roman"/>
                <w:color w:val="000000"/>
                <w:lang w:eastAsia="en-US"/>
              </w:rPr>
            </w:pPr>
            <w:r w:rsidRPr="00F66B34">
              <w:rPr>
                <w:rFonts w:eastAsia="Times New Roman"/>
                <w:color w:val="000000"/>
                <w:lang w:eastAsia="en-US"/>
              </w:rPr>
              <w:t>7.45%</w:t>
            </w:r>
          </w:p>
        </w:tc>
      </w:tr>
      <w:tr w:rsidR="00AE0E84" w:rsidRPr="00F66B34" w14:paraId="701B6F2B" w14:textId="77777777" w:rsidTr="00BF1DA1">
        <w:trPr>
          <w:trHeight w:val="371"/>
          <w:jc w:val="center"/>
        </w:trPr>
        <w:tc>
          <w:tcPr>
            <w:tcW w:w="1883" w:type="dxa"/>
            <w:tcBorders>
              <w:top w:val="nil"/>
              <w:left w:val="single" w:sz="4" w:space="0" w:color="auto"/>
              <w:bottom w:val="single" w:sz="4" w:space="0" w:color="auto"/>
              <w:right w:val="single" w:sz="4" w:space="0" w:color="auto"/>
            </w:tcBorders>
            <w:shd w:val="clear" w:color="auto" w:fill="auto"/>
            <w:noWrap/>
            <w:vAlign w:val="center"/>
            <w:hideMark/>
          </w:tcPr>
          <w:p w14:paraId="701B6F27" w14:textId="77777777" w:rsidR="00AE0E84" w:rsidRPr="00F66B34" w:rsidRDefault="00AE0E84" w:rsidP="003A02A8">
            <w:pPr>
              <w:jc w:val="center"/>
              <w:rPr>
                <w:rFonts w:eastAsia="Times New Roman"/>
                <w:color w:val="000000"/>
                <w:lang w:eastAsia="en-US"/>
              </w:rPr>
            </w:pPr>
            <w:r w:rsidRPr="00F66B34">
              <w:rPr>
                <w:rFonts w:eastAsia="Times New Roman"/>
                <w:color w:val="000000"/>
                <w:lang w:eastAsia="en-US"/>
              </w:rPr>
              <w:t>2014</w:t>
            </w:r>
          </w:p>
        </w:tc>
        <w:tc>
          <w:tcPr>
            <w:tcW w:w="2169" w:type="dxa"/>
            <w:tcBorders>
              <w:top w:val="nil"/>
              <w:left w:val="nil"/>
              <w:bottom w:val="single" w:sz="4" w:space="0" w:color="auto"/>
              <w:right w:val="single" w:sz="4" w:space="0" w:color="auto"/>
            </w:tcBorders>
            <w:shd w:val="clear" w:color="auto" w:fill="auto"/>
            <w:noWrap/>
            <w:vAlign w:val="center"/>
          </w:tcPr>
          <w:p w14:paraId="701B6F28" w14:textId="77777777" w:rsidR="00AE0E84" w:rsidRPr="00F66B34" w:rsidRDefault="00AE0E84" w:rsidP="00297ECE">
            <w:pPr>
              <w:jc w:val="center"/>
              <w:rPr>
                <w:color w:val="000000"/>
              </w:rPr>
            </w:pPr>
            <w:r w:rsidRPr="00F66B34">
              <w:rPr>
                <w:color w:val="000000"/>
              </w:rPr>
              <w:t>58,961</w:t>
            </w:r>
          </w:p>
        </w:tc>
        <w:tc>
          <w:tcPr>
            <w:tcW w:w="2227" w:type="dxa"/>
            <w:tcBorders>
              <w:top w:val="nil"/>
              <w:left w:val="nil"/>
              <w:bottom w:val="single" w:sz="4" w:space="0" w:color="auto"/>
              <w:right w:val="single" w:sz="4" w:space="0" w:color="auto"/>
            </w:tcBorders>
            <w:shd w:val="clear" w:color="auto" w:fill="auto"/>
            <w:noWrap/>
            <w:vAlign w:val="center"/>
            <w:hideMark/>
          </w:tcPr>
          <w:p w14:paraId="701B6F29" w14:textId="77777777" w:rsidR="00AE0E84" w:rsidRPr="00F66B34" w:rsidRDefault="00AE0E84" w:rsidP="00F675E0">
            <w:pPr>
              <w:jc w:val="center"/>
              <w:rPr>
                <w:rFonts w:eastAsia="Times New Roman"/>
                <w:color w:val="000000"/>
                <w:lang w:eastAsia="en-US"/>
              </w:rPr>
            </w:pPr>
            <w:r w:rsidRPr="00F66B34">
              <w:rPr>
                <w:rFonts w:eastAsia="Times New Roman"/>
                <w:color w:val="000000"/>
                <w:lang w:eastAsia="en-US"/>
              </w:rPr>
              <w:t>30,176</w:t>
            </w:r>
          </w:p>
        </w:tc>
        <w:tc>
          <w:tcPr>
            <w:tcW w:w="2297" w:type="dxa"/>
            <w:tcBorders>
              <w:top w:val="nil"/>
              <w:left w:val="nil"/>
              <w:bottom w:val="single" w:sz="4" w:space="0" w:color="auto"/>
              <w:right w:val="single" w:sz="4" w:space="0" w:color="auto"/>
            </w:tcBorders>
            <w:shd w:val="clear" w:color="auto" w:fill="auto"/>
            <w:noWrap/>
            <w:vAlign w:val="center"/>
            <w:hideMark/>
          </w:tcPr>
          <w:p w14:paraId="701B6F2A" w14:textId="77777777" w:rsidR="00AE0E84" w:rsidRPr="00F66B34" w:rsidRDefault="00AE0E84" w:rsidP="00F675E0">
            <w:pPr>
              <w:jc w:val="center"/>
              <w:rPr>
                <w:rFonts w:eastAsia="Times New Roman"/>
                <w:color w:val="000000"/>
                <w:lang w:eastAsia="en-US"/>
              </w:rPr>
            </w:pPr>
            <w:r w:rsidRPr="00F66B34">
              <w:rPr>
                <w:rFonts w:eastAsia="Times New Roman"/>
                <w:color w:val="000000"/>
                <w:lang w:eastAsia="en-US"/>
              </w:rPr>
              <w:t>1.31%</w:t>
            </w:r>
          </w:p>
        </w:tc>
      </w:tr>
      <w:tr w:rsidR="00AE0E84" w:rsidRPr="00F66B34" w14:paraId="701B6F30" w14:textId="77777777" w:rsidTr="00BF1DA1">
        <w:trPr>
          <w:trHeight w:val="371"/>
          <w:jc w:val="center"/>
        </w:trPr>
        <w:tc>
          <w:tcPr>
            <w:tcW w:w="1883" w:type="dxa"/>
            <w:tcBorders>
              <w:top w:val="nil"/>
              <w:left w:val="single" w:sz="4" w:space="0" w:color="auto"/>
              <w:bottom w:val="single" w:sz="4" w:space="0" w:color="auto"/>
              <w:right w:val="single" w:sz="4" w:space="0" w:color="auto"/>
            </w:tcBorders>
            <w:shd w:val="clear" w:color="auto" w:fill="auto"/>
            <w:noWrap/>
            <w:vAlign w:val="center"/>
            <w:hideMark/>
          </w:tcPr>
          <w:p w14:paraId="701B6F2C" w14:textId="77777777" w:rsidR="00AE0E84" w:rsidRPr="00F66B34" w:rsidRDefault="00AE0E84" w:rsidP="003A02A8">
            <w:pPr>
              <w:jc w:val="center"/>
              <w:rPr>
                <w:rFonts w:eastAsia="Times New Roman"/>
                <w:color w:val="000000"/>
                <w:lang w:eastAsia="en-US"/>
              </w:rPr>
            </w:pPr>
            <w:r w:rsidRPr="00F66B34">
              <w:rPr>
                <w:rFonts w:eastAsia="Times New Roman"/>
                <w:color w:val="000000"/>
                <w:lang w:eastAsia="en-US"/>
              </w:rPr>
              <w:t>2015</w:t>
            </w:r>
          </w:p>
        </w:tc>
        <w:tc>
          <w:tcPr>
            <w:tcW w:w="2169" w:type="dxa"/>
            <w:tcBorders>
              <w:top w:val="nil"/>
              <w:left w:val="nil"/>
              <w:bottom w:val="single" w:sz="4" w:space="0" w:color="auto"/>
              <w:right w:val="single" w:sz="4" w:space="0" w:color="auto"/>
            </w:tcBorders>
            <w:shd w:val="clear" w:color="auto" w:fill="auto"/>
            <w:noWrap/>
            <w:vAlign w:val="center"/>
          </w:tcPr>
          <w:p w14:paraId="701B6F2D" w14:textId="77777777" w:rsidR="00AE0E84" w:rsidRPr="00F66B34" w:rsidRDefault="00AE0E84" w:rsidP="00297ECE">
            <w:pPr>
              <w:jc w:val="center"/>
              <w:rPr>
                <w:color w:val="000000"/>
              </w:rPr>
            </w:pPr>
            <w:r w:rsidRPr="00F66B34">
              <w:rPr>
                <w:color w:val="000000"/>
              </w:rPr>
              <w:t>596,016</w:t>
            </w:r>
          </w:p>
        </w:tc>
        <w:tc>
          <w:tcPr>
            <w:tcW w:w="2227" w:type="dxa"/>
            <w:tcBorders>
              <w:top w:val="nil"/>
              <w:left w:val="nil"/>
              <w:bottom w:val="single" w:sz="4" w:space="0" w:color="auto"/>
              <w:right w:val="single" w:sz="4" w:space="0" w:color="auto"/>
            </w:tcBorders>
            <w:shd w:val="clear" w:color="auto" w:fill="auto"/>
            <w:noWrap/>
            <w:vAlign w:val="center"/>
            <w:hideMark/>
          </w:tcPr>
          <w:p w14:paraId="701B6F2E" w14:textId="77777777" w:rsidR="00AE0E84" w:rsidRPr="00F66B34" w:rsidRDefault="00AE0E84" w:rsidP="00F675E0">
            <w:pPr>
              <w:jc w:val="center"/>
              <w:rPr>
                <w:rFonts w:eastAsia="Times New Roman"/>
                <w:color w:val="000000"/>
                <w:lang w:eastAsia="en-US"/>
              </w:rPr>
            </w:pPr>
            <w:r w:rsidRPr="00F66B34">
              <w:rPr>
                <w:rFonts w:eastAsia="Times New Roman"/>
                <w:color w:val="000000"/>
                <w:lang w:eastAsia="en-US"/>
              </w:rPr>
              <w:t>311,655</w:t>
            </w:r>
          </w:p>
        </w:tc>
        <w:tc>
          <w:tcPr>
            <w:tcW w:w="2297" w:type="dxa"/>
            <w:tcBorders>
              <w:top w:val="nil"/>
              <w:left w:val="nil"/>
              <w:bottom w:val="single" w:sz="4" w:space="0" w:color="auto"/>
              <w:right w:val="single" w:sz="4" w:space="0" w:color="auto"/>
            </w:tcBorders>
            <w:shd w:val="clear" w:color="auto" w:fill="auto"/>
            <w:noWrap/>
            <w:vAlign w:val="center"/>
            <w:hideMark/>
          </w:tcPr>
          <w:p w14:paraId="701B6F2F" w14:textId="77777777" w:rsidR="00AE0E84" w:rsidRPr="00F66B34" w:rsidRDefault="00AE0E84" w:rsidP="00F675E0">
            <w:pPr>
              <w:jc w:val="center"/>
              <w:rPr>
                <w:rFonts w:eastAsia="Times New Roman"/>
                <w:color w:val="000000"/>
                <w:lang w:eastAsia="en-US"/>
              </w:rPr>
            </w:pPr>
            <w:r w:rsidRPr="00F66B34">
              <w:rPr>
                <w:rFonts w:eastAsia="Times New Roman"/>
                <w:color w:val="000000"/>
                <w:lang w:eastAsia="en-US"/>
              </w:rPr>
              <w:t>13.28%</w:t>
            </w:r>
          </w:p>
        </w:tc>
      </w:tr>
    </w:tbl>
    <w:p w14:paraId="701B6F31" w14:textId="77777777" w:rsidR="00BD264E" w:rsidRPr="00F66B34" w:rsidRDefault="00BD264E" w:rsidP="00F66B34">
      <w:pPr>
        <w:jc w:val="center"/>
        <w:rPr>
          <w:rFonts w:ascii="Garamond" w:hAnsi="Garamond"/>
        </w:rPr>
      </w:pPr>
    </w:p>
    <w:p w14:paraId="701B6F32" w14:textId="77777777" w:rsidR="005B7E3D" w:rsidRPr="00F66B34" w:rsidRDefault="005B7E3D" w:rsidP="00F66B34">
      <w:pPr>
        <w:jc w:val="center"/>
        <w:rPr>
          <w:rFonts w:ascii="Garamond" w:hAnsi="Garamond"/>
        </w:rPr>
      </w:pPr>
    </w:p>
    <w:p w14:paraId="701B6F33" w14:textId="77777777" w:rsidR="005B7E3D" w:rsidRPr="00F66B34" w:rsidRDefault="005B7E3D" w:rsidP="00F66B34">
      <w:pPr>
        <w:jc w:val="center"/>
        <w:rPr>
          <w:rFonts w:ascii="Garamond" w:hAnsi="Garamond"/>
        </w:rPr>
      </w:pPr>
    </w:p>
    <w:p w14:paraId="701B6F34" w14:textId="77777777" w:rsidR="005B7E3D" w:rsidRPr="00F66B34" w:rsidRDefault="005B7E3D" w:rsidP="00F66B34">
      <w:pPr>
        <w:jc w:val="center"/>
        <w:rPr>
          <w:rFonts w:ascii="Garamond" w:hAnsi="Garamond"/>
        </w:rPr>
        <w:sectPr w:rsidR="005B7E3D" w:rsidRPr="00F66B34" w:rsidSect="00B25488">
          <w:footerReference w:type="default" r:id="rId17"/>
          <w:pgSz w:w="12240" w:h="15840"/>
          <w:pgMar w:top="1440" w:right="1800" w:bottom="1440" w:left="1800" w:header="720" w:footer="720" w:gutter="0"/>
          <w:cols w:space="720"/>
          <w:docGrid w:linePitch="360"/>
        </w:sectPr>
      </w:pPr>
    </w:p>
    <w:p w14:paraId="701B6F35" w14:textId="77777777" w:rsidR="00B76B5D" w:rsidRPr="00F66B34" w:rsidRDefault="00B76B5D" w:rsidP="00BF1DA1">
      <w:pPr>
        <w:pStyle w:val="Caption"/>
        <w:jc w:val="left"/>
        <w:rPr>
          <w:sz w:val="28"/>
        </w:rPr>
      </w:pPr>
      <w:r w:rsidRPr="00F66B34">
        <w:rPr>
          <w:sz w:val="28"/>
        </w:rPr>
        <w:lastRenderedPageBreak/>
        <w:t>Carbon Emissions Trend Analysis</w:t>
      </w:r>
    </w:p>
    <w:p w14:paraId="701B6F36" w14:textId="77777777" w:rsidR="00B76B5D" w:rsidRPr="00F66B34" w:rsidRDefault="00B76B5D" w:rsidP="00BF1DA1"/>
    <w:p w14:paraId="701B6F37" w14:textId="77777777" w:rsidR="00B76B5D" w:rsidRPr="00F66B34" w:rsidRDefault="00B76B5D" w:rsidP="00BF1DA1">
      <w:r w:rsidRPr="00F66B34">
        <w:t xml:space="preserve">There are multiple factors that generally impact a utility’s carbon emissions levels. These factors include, but are not limited to: </w:t>
      </w:r>
    </w:p>
    <w:p w14:paraId="701B6F38" w14:textId="77777777" w:rsidR="00B76B5D" w:rsidRPr="00F66B34" w:rsidRDefault="00B76B5D" w:rsidP="00BF1DA1">
      <w:pPr>
        <w:pStyle w:val="ListParagraph"/>
        <w:numPr>
          <w:ilvl w:val="0"/>
          <w:numId w:val="5"/>
        </w:numPr>
        <w:spacing w:after="200" w:line="276" w:lineRule="auto"/>
      </w:pPr>
      <w:r w:rsidRPr="00F66B34">
        <w:t xml:space="preserve">Changes in demand due to economic growth or recession </w:t>
      </w:r>
    </w:p>
    <w:p w14:paraId="701B6F39" w14:textId="77777777" w:rsidR="00B76B5D" w:rsidRPr="00F66B34" w:rsidRDefault="00B76B5D" w:rsidP="00BF1DA1">
      <w:pPr>
        <w:pStyle w:val="ListParagraph"/>
        <w:numPr>
          <w:ilvl w:val="0"/>
          <w:numId w:val="5"/>
        </w:numPr>
        <w:spacing w:after="200" w:line="276" w:lineRule="auto"/>
      </w:pPr>
      <w:r w:rsidRPr="00F66B34">
        <w:t xml:space="preserve">The price of different fuel and energy sources </w:t>
      </w:r>
    </w:p>
    <w:p w14:paraId="701B6F3A" w14:textId="77777777" w:rsidR="00B76B5D" w:rsidRPr="00F66B34" w:rsidRDefault="00B76B5D" w:rsidP="00BF1DA1">
      <w:pPr>
        <w:pStyle w:val="ListParagraph"/>
        <w:numPr>
          <w:ilvl w:val="0"/>
          <w:numId w:val="5"/>
        </w:numPr>
        <w:spacing w:after="200" w:line="276" w:lineRule="auto"/>
      </w:pPr>
      <w:r w:rsidRPr="00F66B34">
        <w:t xml:space="preserve">Variations in generation and the relative resource mix in a particular year </w:t>
      </w:r>
    </w:p>
    <w:p w14:paraId="701B6F3B" w14:textId="77777777" w:rsidR="00B76B5D" w:rsidRPr="00F66B34" w:rsidRDefault="00B76B5D" w:rsidP="00BF1DA1">
      <w:pPr>
        <w:pStyle w:val="ListParagraph"/>
        <w:numPr>
          <w:ilvl w:val="0"/>
          <w:numId w:val="5"/>
        </w:numPr>
        <w:spacing w:after="200" w:line="276" w:lineRule="auto"/>
      </w:pPr>
      <w:r w:rsidRPr="00F66B34">
        <w:t xml:space="preserve">State policy developments such as renewable portfolio standards and emissions performance standards </w:t>
      </w:r>
    </w:p>
    <w:p w14:paraId="701B6F3C" w14:textId="77777777" w:rsidR="00B76B5D" w:rsidRPr="00F66B34" w:rsidRDefault="00B76B5D" w:rsidP="00BF1DA1">
      <w:pPr>
        <w:pStyle w:val="ListParagraph"/>
        <w:numPr>
          <w:ilvl w:val="0"/>
          <w:numId w:val="5"/>
        </w:numPr>
        <w:spacing w:after="200" w:line="276" w:lineRule="auto"/>
      </w:pPr>
      <w:r w:rsidRPr="00F66B34">
        <w:t xml:space="preserve">Demand-side efficiency improvements </w:t>
      </w:r>
    </w:p>
    <w:p w14:paraId="701B6F3D" w14:textId="77777777" w:rsidR="00B76B5D" w:rsidRDefault="00B76B5D" w:rsidP="00BF1DA1">
      <w:r w:rsidRPr="00F66B34">
        <w:t xml:space="preserve">The figure below illustrates PacifiCorp’s Washington-allocated carbon emissions between 2006 and 2015. </w:t>
      </w:r>
      <w:r w:rsidR="00BF1DA1">
        <w:t xml:space="preserve"> </w:t>
      </w:r>
      <w:r w:rsidRPr="00F66B34">
        <w:t xml:space="preserve">The quantity of </w:t>
      </w:r>
      <w:r w:rsidR="009219C9" w:rsidRPr="00F66B34">
        <w:t xml:space="preserve">total </w:t>
      </w:r>
      <w:r w:rsidRPr="00F66B34">
        <w:t>emissions associated with Washington over this period of time is generally between 2.5 and 3 million short tons of carbon</w:t>
      </w:r>
      <w:r w:rsidR="009219C9" w:rsidRPr="00F66B34">
        <w:t xml:space="preserve"> annually</w:t>
      </w:r>
      <w:r w:rsidRPr="00F66B34">
        <w:t xml:space="preserve">. </w:t>
      </w:r>
      <w:r w:rsidR="00BF1DA1">
        <w:t xml:space="preserve"> </w:t>
      </w:r>
      <w:r w:rsidRPr="00F66B34">
        <w:t xml:space="preserve">As the figure indicates, carbon emissions generally increased from 2006 through 2010, with a relatively minor reduction in emissions in 2007. </w:t>
      </w:r>
      <w:r w:rsidR="00BF1DA1">
        <w:t xml:space="preserve"> </w:t>
      </w:r>
      <w:r w:rsidRPr="00F66B34">
        <w:t xml:space="preserve">Carbon emissions then decreased over the 2010-2011 timeframe and increased again in 2012.  </w:t>
      </w:r>
    </w:p>
    <w:p w14:paraId="701B6F3E" w14:textId="77777777" w:rsidR="00BF1DA1" w:rsidRPr="00F66B34" w:rsidRDefault="00BF1DA1" w:rsidP="00BF1DA1"/>
    <w:p w14:paraId="701B6F3F" w14:textId="77777777" w:rsidR="003241A3" w:rsidRPr="00F66B34" w:rsidRDefault="003241A3" w:rsidP="00F675E0">
      <w:pPr>
        <w:spacing w:after="200" w:line="276" w:lineRule="auto"/>
        <w:jc w:val="center"/>
        <w:rPr>
          <w:b/>
        </w:rPr>
      </w:pPr>
      <w:r w:rsidRPr="00F66B34">
        <w:rPr>
          <w:b/>
        </w:rPr>
        <w:t>Figure 1</w:t>
      </w:r>
    </w:p>
    <w:p w14:paraId="701B6F40" w14:textId="77777777" w:rsidR="006749AA" w:rsidRPr="00F66B34" w:rsidRDefault="008B1E7D" w:rsidP="00BF1DA1">
      <w:pPr>
        <w:jc w:val="center"/>
        <w:rPr>
          <w:rFonts w:ascii="Garamond" w:hAnsi="Garamond"/>
        </w:rPr>
        <w:sectPr w:rsidR="006749AA" w:rsidRPr="00F66B34" w:rsidSect="00B76B5D">
          <w:pgSz w:w="12240" w:h="15840"/>
          <w:pgMar w:top="1440" w:right="1584" w:bottom="1440" w:left="1584" w:header="720" w:footer="720" w:gutter="0"/>
          <w:cols w:space="720"/>
          <w:docGrid w:linePitch="360"/>
        </w:sectPr>
      </w:pPr>
      <w:r w:rsidRPr="00F66B34">
        <w:rPr>
          <w:noProof/>
          <w:lang w:eastAsia="en-US"/>
        </w:rPr>
        <w:drawing>
          <wp:inline distT="0" distB="0" distL="0" distR="0" wp14:anchorId="701B6FB0" wp14:editId="701B6FB1">
            <wp:extent cx="5934075" cy="40671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01B6F41" w14:textId="77777777" w:rsidR="00B81FCC" w:rsidRPr="00F66B34" w:rsidRDefault="00B81FCC" w:rsidP="00BF1DA1">
      <w:r w:rsidRPr="00F66B34">
        <w:lastRenderedPageBreak/>
        <w:t xml:space="preserve">Given the many factors that contribute to the level of carbon emitted over a time period, it is very difficult to identify a single contributing factor </w:t>
      </w:r>
      <w:r w:rsidR="003A02A8" w:rsidRPr="00F66B34">
        <w:t xml:space="preserve">to substantiate </w:t>
      </w:r>
      <w:r w:rsidRPr="00F66B34">
        <w:t xml:space="preserve">an emissions trend. </w:t>
      </w:r>
      <w:r w:rsidR="00BF1DA1">
        <w:t xml:space="preserve"> </w:t>
      </w:r>
      <w:r w:rsidRPr="00F66B34">
        <w:t xml:space="preserve">However, a number of </w:t>
      </w:r>
      <w:r w:rsidR="000E4EDB" w:rsidRPr="00F66B34">
        <w:t>correlations may be drawn about</w:t>
      </w:r>
      <w:r w:rsidRPr="00F66B34">
        <w:t xml:space="preserve"> </w:t>
      </w:r>
      <w:r w:rsidR="000C514A" w:rsidRPr="00F66B34">
        <w:t>PacifiCorp’s estimated emissions in</w:t>
      </w:r>
      <w:r w:rsidRPr="00F66B34">
        <w:t xml:space="preserve"> </w:t>
      </w:r>
      <w:r w:rsidR="00B71FA2" w:rsidRPr="00F66B34">
        <w:t>Figure 1:</w:t>
      </w:r>
    </w:p>
    <w:p w14:paraId="701B6F42" w14:textId="77777777" w:rsidR="009219C9" w:rsidRPr="00F66B34" w:rsidRDefault="009219C9" w:rsidP="00BF1DA1"/>
    <w:p w14:paraId="701B6F43" w14:textId="77777777" w:rsidR="00B81FCC" w:rsidRPr="00F66B34" w:rsidRDefault="002601A0" w:rsidP="00BF1DA1">
      <w:pPr>
        <w:pStyle w:val="ListParagraph"/>
        <w:numPr>
          <w:ilvl w:val="0"/>
          <w:numId w:val="6"/>
        </w:numPr>
        <w:spacing w:after="200" w:line="276" w:lineRule="auto"/>
      </w:pPr>
      <w:r w:rsidRPr="00F66B34">
        <w:t xml:space="preserve">The global financial crisis of </w:t>
      </w:r>
      <w:r w:rsidR="00CE61FC" w:rsidRPr="00F66B34">
        <w:t xml:space="preserve">late </w:t>
      </w:r>
      <w:r w:rsidR="00B81FCC" w:rsidRPr="00F66B34">
        <w:t>2007-2008</w:t>
      </w:r>
      <w:r w:rsidR="003A02A8" w:rsidRPr="00F66B34">
        <w:t xml:space="preserve"> </w:t>
      </w:r>
      <w:r w:rsidR="00B81FCC" w:rsidRPr="00F66B34">
        <w:t>included a downturn in U.S. economic activity from 2008-2012, which may have contributed to a reduction in demand and associated emissions over this time period.</w:t>
      </w:r>
    </w:p>
    <w:p w14:paraId="701B6F44" w14:textId="77777777" w:rsidR="000E4EDB" w:rsidRPr="00F66B34" w:rsidRDefault="000E4EDB" w:rsidP="00BF1DA1">
      <w:pPr>
        <w:pStyle w:val="ListParagraph"/>
        <w:numPr>
          <w:ilvl w:val="0"/>
          <w:numId w:val="6"/>
        </w:numPr>
        <w:spacing w:after="200" w:line="276" w:lineRule="auto"/>
      </w:pPr>
      <w:r w:rsidRPr="00F66B34">
        <w:t>Hydro condition</w:t>
      </w:r>
      <w:r w:rsidR="003A02A8" w:rsidRPr="00F66B34">
        <w:t>s</w:t>
      </w:r>
      <w:r w:rsidRPr="00F66B34">
        <w:t xml:space="preserve"> can have a substantial impact on annual emissions:</w:t>
      </w:r>
    </w:p>
    <w:p w14:paraId="701B6F45" w14:textId="77777777" w:rsidR="000E4EDB" w:rsidRPr="00F66B34" w:rsidRDefault="000E4EDB" w:rsidP="00BF1DA1">
      <w:pPr>
        <w:pStyle w:val="ListParagraph"/>
        <w:numPr>
          <w:ilvl w:val="1"/>
          <w:numId w:val="6"/>
        </w:numPr>
        <w:spacing w:after="200" w:line="276" w:lineRule="auto"/>
      </w:pPr>
      <w:r w:rsidRPr="00F66B34">
        <w:t xml:space="preserve"> </w:t>
      </w:r>
      <w:r w:rsidR="00B81FCC" w:rsidRPr="00F66B34">
        <w:t xml:space="preserve">The 2011 and 2012 hydro seasons began earlier and lasted significantly longer than in years prior to 2011, resulting in significant displacement of fossil-fueled energy over those years. </w:t>
      </w:r>
    </w:p>
    <w:p w14:paraId="701B6F46" w14:textId="77777777" w:rsidR="000E4EDB" w:rsidRPr="00F66B34" w:rsidRDefault="000E4EDB" w:rsidP="00BF1DA1">
      <w:pPr>
        <w:pStyle w:val="ListParagraph"/>
        <w:numPr>
          <w:ilvl w:val="1"/>
          <w:numId w:val="6"/>
        </w:numPr>
        <w:spacing w:after="200" w:line="276" w:lineRule="auto"/>
      </w:pPr>
      <w:r w:rsidRPr="00F66B34">
        <w:t xml:space="preserve">2013 and 2015 had the lowest hydro generation over the ten-year period. Consequently, emissions from unknown resources in those years were two of the highest. </w:t>
      </w:r>
    </w:p>
    <w:p w14:paraId="701B6F47" w14:textId="77777777" w:rsidR="00B81FCC" w:rsidRPr="00F66B34" w:rsidRDefault="00B81FCC" w:rsidP="00BF1DA1">
      <w:pPr>
        <w:pStyle w:val="ListParagraph"/>
        <w:numPr>
          <w:ilvl w:val="0"/>
          <w:numId w:val="6"/>
        </w:numPr>
        <w:spacing w:after="200" w:line="276" w:lineRule="auto"/>
      </w:pPr>
      <w:r w:rsidRPr="00F66B34">
        <w:t>In 2008, PacifiCorp acquired the 520-megawatt natural gas Chehalis Generating Facility</w:t>
      </w:r>
      <w:r w:rsidR="002511A4" w:rsidRPr="00F66B34">
        <w:t xml:space="preserve">, which could have contributed to </w:t>
      </w:r>
      <w:r w:rsidR="00C71C0B">
        <w:t>the</w:t>
      </w:r>
      <w:r w:rsidR="00C71C0B" w:rsidRPr="00F66B34">
        <w:t xml:space="preserve"> </w:t>
      </w:r>
      <w:r w:rsidR="002511A4" w:rsidRPr="00F66B34">
        <w:t xml:space="preserve">increase in emissions from known resources. </w:t>
      </w:r>
    </w:p>
    <w:p w14:paraId="701B6F48" w14:textId="77777777" w:rsidR="000E4EDB" w:rsidRPr="00F66B34" w:rsidRDefault="000E4EDB" w:rsidP="00BF1DA1">
      <w:pPr>
        <w:pStyle w:val="ListParagraph"/>
        <w:numPr>
          <w:ilvl w:val="0"/>
          <w:numId w:val="6"/>
        </w:numPr>
        <w:spacing w:after="200" w:line="276" w:lineRule="auto"/>
      </w:pPr>
      <w:r w:rsidRPr="00F66B34">
        <w:t xml:space="preserve">Lower emissions in 2007 are likely a result of Marengo I and Leaning Juniper wind facilities coming online. </w:t>
      </w:r>
    </w:p>
    <w:p w14:paraId="701B6F49" w14:textId="77777777" w:rsidR="009219C9" w:rsidRPr="00F66B34" w:rsidRDefault="009219C9" w:rsidP="00BF1DA1">
      <w:pPr>
        <w:spacing w:after="200" w:line="276" w:lineRule="auto"/>
      </w:pPr>
    </w:p>
    <w:p w14:paraId="701B6F4A" w14:textId="77777777" w:rsidR="009219C9" w:rsidRPr="00F66B34" w:rsidRDefault="009219C9" w:rsidP="00F675E0">
      <w:pPr>
        <w:spacing w:after="200" w:line="276" w:lineRule="auto"/>
        <w:jc w:val="both"/>
      </w:pPr>
    </w:p>
    <w:p w14:paraId="701B6F4B" w14:textId="77777777" w:rsidR="009219C9" w:rsidRPr="00F66B34" w:rsidRDefault="009219C9" w:rsidP="00F675E0">
      <w:pPr>
        <w:spacing w:after="200" w:line="276" w:lineRule="auto"/>
        <w:jc w:val="both"/>
      </w:pPr>
    </w:p>
    <w:p w14:paraId="701B6F4C" w14:textId="77777777" w:rsidR="009219C9" w:rsidRPr="00F66B34" w:rsidRDefault="009219C9" w:rsidP="00F675E0">
      <w:pPr>
        <w:spacing w:after="200" w:line="276" w:lineRule="auto"/>
        <w:jc w:val="both"/>
      </w:pPr>
    </w:p>
    <w:p w14:paraId="701B6F4D" w14:textId="77777777" w:rsidR="009219C9" w:rsidRPr="00F66B34" w:rsidRDefault="009219C9" w:rsidP="00F675E0">
      <w:pPr>
        <w:spacing w:after="200" w:line="276" w:lineRule="auto"/>
        <w:jc w:val="both"/>
      </w:pPr>
    </w:p>
    <w:p w14:paraId="701B6F4E" w14:textId="77777777" w:rsidR="009219C9" w:rsidRPr="00F66B34" w:rsidRDefault="009219C9" w:rsidP="00F675E0">
      <w:pPr>
        <w:spacing w:after="200" w:line="276" w:lineRule="auto"/>
        <w:jc w:val="both"/>
      </w:pPr>
    </w:p>
    <w:p w14:paraId="701B6F4F" w14:textId="77777777" w:rsidR="009219C9" w:rsidRPr="00F66B34" w:rsidRDefault="009219C9" w:rsidP="00F675E0">
      <w:pPr>
        <w:spacing w:after="200" w:line="276" w:lineRule="auto"/>
        <w:jc w:val="both"/>
      </w:pPr>
    </w:p>
    <w:p w14:paraId="701B6F50" w14:textId="77777777" w:rsidR="009219C9" w:rsidRPr="00F66B34" w:rsidRDefault="009219C9" w:rsidP="00F675E0">
      <w:pPr>
        <w:spacing w:after="200" w:line="276" w:lineRule="auto"/>
        <w:jc w:val="both"/>
      </w:pPr>
    </w:p>
    <w:p w14:paraId="701B6F51" w14:textId="77777777" w:rsidR="009219C9" w:rsidRPr="00F66B34" w:rsidRDefault="009219C9" w:rsidP="00F675E0">
      <w:pPr>
        <w:spacing w:after="200" w:line="276" w:lineRule="auto"/>
        <w:jc w:val="both"/>
      </w:pPr>
    </w:p>
    <w:p w14:paraId="701B6F52" w14:textId="77777777" w:rsidR="009219C9" w:rsidRPr="00F66B34" w:rsidRDefault="009219C9" w:rsidP="00F675E0">
      <w:pPr>
        <w:spacing w:after="200" w:line="276" w:lineRule="auto"/>
        <w:jc w:val="both"/>
      </w:pPr>
    </w:p>
    <w:p w14:paraId="701B6F53" w14:textId="77777777" w:rsidR="009219C9" w:rsidRPr="00F66B34" w:rsidRDefault="009219C9" w:rsidP="00F675E0">
      <w:pPr>
        <w:spacing w:after="200" w:line="276" w:lineRule="auto"/>
        <w:jc w:val="both"/>
      </w:pPr>
    </w:p>
    <w:p w14:paraId="701B6F54" w14:textId="77777777" w:rsidR="009219C9" w:rsidRPr="00F66B34" w:rsidRDefault="009219C9" w:rsidP="00F675E0">
      <w:pPr>
        <w:spacing w:after="200" w:line="276" w:lineRule="auto"/>
        <w:jc w:val="both"/>
      </w:pPr>
    </w:p>
    <w:p w14:paraId="701B6F55" w14:textId="77777777" w:rsidR="009219C9" w:rsidRPr="00F66B34" w:rsidRDefault="009219C9" w:rsidP="00F675E0">
      <w:pPr>
        <w:spacing w:after="200" w:line="276" w:lineRule="auto"/>
        <w:jc w:val="both"/>
      </w:pPr>
    </w:p>
    <w:p w14:paraId="701B6F56" w14:textId="77777777" w:rsidR="009219C9" w:rsidRPr="00F66B34" w:rsidRDefault="009219C9" w:rsidP="00F675E0">
      <w:pPr>
        <w:spacing w:after="200" w:line="276" w:lineRule="auto"/>
        <w:jc w:val="both"/>
      </w:pPr>
    </w:p>
    <w:p w14:paraId="701B6F57" w14:textId="77777777" w:rsidR="000E4EDB" w:rsidRPr="002C2A52" w:rsidRDefault="000E4EDB" w:rsidP="002C2A52">
      <w:pPr>
        <w:pStyle w:val="Caption"/>
        <w:spacing w:before="0" w:after="0"/>
        <w:rPr>
          <w:sz w:val="28"/>
        </w:rPr>
      </w:pPr>
      <w:r w:rsidRPr="002C2A52">
        <w:rPr>
          <w:sz w:val="28"/>
        </w:rPr>
        <w:lastRenderedPageBreak/>
        <w:t>Appendix – Metrics Calculation Methodology, Information Sources and Formula Explanations</w:t>
      </w:r>
    </w:p>
    <w:p w14:paraId="701B6F58" w14:textId="77777777" w:rsidR="009219C9" w:rsidRPr="00F66B34" w:rsidRDefault="009219C9" w:rsidP="003A02A8">
      <w:pPr>
        <w:spacing w:after="200" w:line="276" w:lineRule="auto"/>
        <w:jc w:val="both"/>
      </w:pPr>
    </w:p>
    <w:p w14:paraId="701B6F59" w14:textId="77777777" w:rsidR="000E4EDB" w:rsidRDefault="000E4EDB" w:rsidP="00BF1DA1">
      <w:r w:rsidRPr="00F66B34">
        <w:rPr>
          <w:lang w:eastAsia="en-US"/>
        </w:rPr>
        <w:t xml:space="preserve">This appendix identifies the calculation methodologies, data sources and formulas used to compile the </w:t>
      </w:r>
      <w:r w:rsidRPr="00F66B34">
        <w:t xml:space="preserve">Energy and Emissions Intensity </w:t>
      </w:r>
      <w:r w:rsidR="002C2A52">
        <w:t>Summaries</w:t>
      </w:r>
      <w:r w:rsidR="002C2A52" w:rsidRPr="00F66B34">
        <w:t xml:space="preserve"> </w:t>
      </w:r>
      <w:r w:rsidRPr="00F66B34">
        <w:t>for 2006 through 2015</w:t>
      </w:r>
      <w:r w:rsidR="002C2A52">
        <w:t>.</w:t>
      </w:r>
      <w:r w:rsidR="00BF1DA1">
        <w:t xml:space="preserve"> </w:t>
      </w:r>
      <w:r w:rsidR="002C2A52">
        <w:t xml:space="preserve"> </w:t>
      </w:r>
      <w:r w:rsidRPr="00F66B34">
        <w:t>The metrics calculated in this report are consistent with the mutually agreed upon methodologies identified in the workshops in Docket UE-131723.</w:t>
      </w:r>
      <w:r w:rsidR="002C2A52">
        <w:t xml:space="preserve"> </w:t>
      </w:r>
    </w:p>
    <w:p w14:paraId="701B6F5A" w14:textId="77777777" w:rsidR="002C2A52" w:rsidRDefault="002C2A52" w:rsidP="00BF1DA1"/>
    <w:p w14:paraId="701B6F5B" w14:textId="77777777" w:rsidR="002C2A52" w:rsidRDefault="002C2A52" w:rsidP="00297ECE">
      <w:pPr>
        <w:jc w:val="both"/>
      </w:pPr>
    </w:p>
    <w:p w14:paraId="701B6F5C" w14:textId="77777777" w:rsidR="002C2A52" w:rsidRPr="002C2A52" w:rsidRDefault="002C2A52" w:rsidP="002C2A52">
      <w:pPr>
        <w:jc w:val="center"/>
        <w:rPr>
          <w:b/>
        </w:rPr>
      </w:pPr>
      <w:r w:rsidRPr="002C2A52">
        <w:rPr>
          <w:b/>
        </w:rPr>
        <w:t>Table 1 – Summary Energy and Emissions Intensity Report - 2015</w:t>
      </w:r>
    </w:p>
    <w:p w14:paraId="701B6F5D" w14:textId="77777777" w:rsidR="002C2A52" w:rsidRDefault="002C2A52" w:rsidP="00297ECE">
      <w:pPr>
        <w:jc w:val="both"/>
      </w:pPr>
    </w:p>
    <w:p w14:paraId="701B6F5E" w14:textId="77777777" w:rsidR="002C2A52" w:rsidRPr="00F66B34" w:rsidRDefault="002C2A52" w:rsidP="002C2A52"/>
    <w:p w14:paraId="701B6F5F" w14:textId="77777777" w:rsidR="000E4EDB" w:rsidRPr="00F66B34" w:rsidRDefault="002C2A52" w:rsidP="00F675E0">
      <w:pPr>
        <w:spacing w:after="200" w:line="276" w:lineRule="auto"/>
        <w:jc w:val="both"/>
      </w:pPr>
      <w:r w:rsidRPr="002C2A52">
        <w:rPr>
          <w:noProof/>
          <w:lang w:eastAsia="en-US"/>
        </w:rPr>
        <w:drawing>
          <wp:inline distT="0" distB="0" distL="0" distR="0" wp14:anchorId="701B6FB2" wp14:editId="701B6FB3">
            <wp:extent cx="6039293" cy="5709428"/>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9293" cy="5709428"/>
                    </a:xfrm>
                    <a:prstGeom prst="rect">
                      <a:avLst/>
                    </a:prstGeom>
                    <a:noFill/>
                    <a:ln>
                      <a:noFill/>
                    </a:ln>
                  </pic:spPr>
                </pic:pic>
              </a:graphicData>
            </a:graphic>
          </wp:inline>
        </w:drawing>
      </w:r>
    </w:p>
    <w:p w14:paraId="701B6F60" w14:textId="77777777" w:rsidR="000E4EDB" w:rsidRPr="00F66B34" w:rsidRDefault="000E4EDB" w:rsidP="00BF1DA1">
      <w:pPr>
        <w:spacing w:after="200" w:line="276" w:lineRule="auto"/>
        <w:ind w:left="-180"/>
        <w:rPr>
          <w:b/>
        </w:rPr>
      </w:pPr>
      <w:r w:rsidRPr="00F66B34">
        <w:rPr>
          <w:b/>
        </w:rPr>
        <w:lastRenderedPageBreak/>
        <w:t>I. Energy Intensity Metrics</w:t>
      </w:r>
    </w:p>
    <w:p w14:paraId="701B6F61" w14:textId="77777777" w:rsidR="000E4EDB" w:rsidRPr="00F66B34" w:rsidRDefault="000E4EDB" w:rsidP="00BF1DA1">
      <w:pPr>
        <w:tabs>
          <w:tab w:val="left" w:pos="90"/>
          <w:tab w:val="left" w:pos="180"/>
        </w:tabs>
        <w:rPr>
          <w:b/>
        </w:rPr>
      </w:pPr>
      <w:r w:rsidRPr="00F66B34">
        <w:t xml:space="preserve">    </w:t>
      </w:r>
      <w:r w:rsidRPr="00F66B34">
        <w:rPr>
          <w:b/>
        </w:rPr>
        <w:t>A. Megawatt-hours (MWh) per Capita</w:t>
      </w:r>
    </w:p>
    <w:p w14:paraId="701B6F62" w14:textId="77777777" w:rsidR="000E4EDB" w:rsidRPr="00F66B34" w:rsidRDefault="000E4EDB" w:rsidP="00BF1DA1"/>
    <w:p w14:paraId="701B6F63" w14:textId="77777777" w:rsidR="000E4EDB" w:rsidRPr="00F66B34" w:rsidRDefault="000E4EDB" w:rsidP="00BF1DA1">
      <w:pPr>
        <w:pStyle w:val="Default"/>
        <w:tabs>
          <w:tab w:val="left" w:pos="0"/>
        </w:tabs>
        <w:ind w:left="180"/>
        <w:rPr>
          <w:rFonts w:ascii="Times New Roman" w:hAnsi="Times New Roman" w:cs="Times New Roman"/>
        </w:rPr>
      </w:pPr>
      <w:r w:rsidRPr="00F66B34">
        <w:rPr>
          <w:rFonts w:ascii="Times New Roman" w:hAnsi="Times New Roman" w:cs="Times New Roman"/>
        </w:rPr>
        <w:t>WAC 480-109-300(2)(c) requires a utility to annually report the number of megawatt-hours used per capita. The MWh per capita metric estimates the amount of energy consumed annually by each person in PacifiCorp’s Washington service area, using the following calculation:</w:t>
      </w:r>
    </w:p>
    <w:p w14:paraId="701B6F64" w14:textId="77777777" w:rsidR="000E4EDB" w:rsidRPr="00F66B34" w:rsidRDefault="000E4EDB" w:rsidP="003A02A8">
      <w:pPr>
        <w:pStyle w:val="Default"/>
        <w:jc w:val="both"/>
        <w:rPr>
          <w:rFonts w:ascii="Times New Roman" w:hAnsi="Times New Roman" w:cs="Times New Roman"/>
        </w:rPr>
      </w:pPr>
    </w:p>
    <w:p w14:paraId="701B6F65" w14:textId="77777777" w:rsidR="000E4EDB" w:rsidRPr="00F66B34" w:rsidRDefault="006E431B" w:rsidP="003A02A8">
      <w:pPr>
        <w:pStyle w:val="Default"/>
        <w:ind w:left="720"/>
        <w:jc w:val="both"/>
        <w:rPr>
          <w:rFonts w:ascii="Times New Roman" w:hAnsi="Times New Roman" w:cs="Times New Roman"/>
          <w:color w:val="17365D" w:themeColor="text2" w:themeShade="BF"/>
        </w:rPr>
      </w:pPr>
      <m:oMathPara>
        <m:oMathParaPr>
          <m:jc m:val="center"/>
        </m:oMathParaPr>
        <m:oMath>
          <m:f>
            <m:fPr>
              <m:ctrlPr>
                <w:rPr>
                  <w:rFonts w:ascii="Cambria Math" w:hAnsi="Cambria Math" w:cs="Times New Roman"/>
                  <w:i/>
                  <w:color w:val="17365D" w:themeColor="text2" w:themeShade="BF"/>
                </w:rPr>
              </m:ctrlPr>
            </m:fPr>
            <m:num>
              <m:r>
                <w:rPr>
                  <w:rFonts w:ascii="Cambria Math" w:hAnsi="Cambria Math" w:cs="Times New Roman"/>
                  <w:color w:val="17365D" w:themeColor="text2" w:themeShade="BF"/>
                </w:rPr>
                <m:t>Total Annual Washington Retail Load</m:t>
              </m:r>
            </m:num>
            <m:den>
              <m:r>
                <w:rPr>
                  <w:rFonts w:ascii="Cambria Math" w:hAnsi="Cambria Math" w:cs="Times New Roman"/>
                  <w:color w:val="17365D" w:themeColor="text2" w:themeShade="BF"/>
                </w:rPr>
                <m:t>Annual Population Served</m:t>
              </m:r>
            </m:den>
          </m:f>
        </m:oMath>
      </m:oMathPara>
    </w:p>
    <w:p w14:paraId="701B6F66" w14:textId="77777777" w:rsidR="000E4EDB" w:rsidRPr="00F66B34" w:rsidRDefault="000E4EDB" w:rsidP="00297ECE">
      <w:pPr>
        <w:pStyle w:val="Default"/>
        <w:ind w:left="720"/>
        <w:jc w:val="both"/>
        <w:rPr>
          <w:rFonts w:ascii="Times New Roman" w:hAnsi="Times New Roman" w:cs="Times New Roman"/>
        </w:rPr>
      </w:pPr>
    </w:p>
    <w:p w14:paraId="701B6F67" w14:textId="77777777" w:rsidR="000E4EDB" w:rsidRPr="00F66B34" w:rsidRDefault="000E4EDB" w:rsidP="00BF1DA1">
      <w:pPr>
        <w:pStyle w:val="Default"/>
        <w:ind w:firstLine="540"/>
        <w:rPr>
          <w:rFonts w:ascii="Times New Roman" w:hAnsi="Times New Roman" w:cs="Times New Roman"/>
        </w:rPr>
      </w:pPr>
      <w:r w:rsidRPr="00F66B34">
        <w:rPr>
          <w:rFonts w:ascii="Times New Roman" w:hAnsi="Times New Roman" w:cs="Times New Roman"/>
          <w:b/>
        </w:rPr>
        <w:t xml:space="preserve">A.1 Total Annual Washington Retail Load </w:t>
      </w:r>
    </w:p>
    <w:p w14:paraId="701B6F68" w14:textId="77777777" w:rsidR="000E4EDB" w:rsidRPr="00F66B34" w:rsidRDefault="000E4EDB" w:rsidP="00BF1DA1">
      <w:pPr>
        <w:pStyle w:val="Heading2"/>
        <w:spacing w:before="0"/>
        <w:ind w:left="720" w:firstLine="540"/>
        <w:rPr>
          <w:rFonts w:ascii="Times New Roman" w:hAnsi="Times New Roman" w:cs="Times New Roman"/>
          <w:b w:val="0"/>
          <w:color w:val="auto"/>
          <w:sz w:val="24"/>
        </w:rPr>
      </w:pPr>
    </w:p>
    <w:p w14:paraId="701B6F69" w14:textId="77777777" w:rsidR="000E4EDB" w:rsidRPr="00F66B34" w:rsidRDefault="000E4EDB" w:rsidP="00BF1DA1">
      <w:pPr>
        <w:pStyle w:val="Heading2"/>
        <w:spacing w:before="0"/>
        <w:ind w:left="720" w:hanging="180"/>
        <w:rPr>
          <w:rFonts w:ascii="Times New Roman" w:hAnsi="Times New Roman" w:cs="Times New Roman"/>
          <w:b w:val="0"/>
          <w:color w:val="auto"/>
          <w:sz w:val="24"/>
        </w:rPr>
      </w:pPr>
      <w:r w:rsidRPr="00F66B34">
        <w:rPr>
          <w:rFonts w:ascii="Times New Roman" w:hAnsi="Times New Roman" w:cs="Times New Roman"/>
          <w:b w:val="0"/>
          <w:color w:val="auto"/>
          <w:sz w:val="24"/>
        </w:rPr>
        <w:t xml:space="preserve">Annual Washington retail load is derived from the Company’s FERC Form 1 filings. </w:t>
      </w:r>
    </w:p>
    <w:p w14:paraId="701B6F6A" w14:textId="77777777" w:rsidR="000E4EDB" w:rsidRPr="00F66B34" w:rsidRDefault="000E4EDB" w:rsidP="00BF1DA1">
      <w:pPr>
        <w:pStyle w:val="Heading2"/>
        <w:spacing w:before="0"/>
        <w:ind w:left="720" w:firstLine="540"/>
        <w:rPr>
          <w:rFonts w:ascii="Times New Roman" w:hAnsi="Times New Roman" w:cs="Times New Roman"/>
        </w:rPr>
      </w:pPr>
    </w:p>
    <w:p w14:paraId="701B6F6B" w14:textId="77777777" w:rsidR="000E4EDB" w:rsidRPr="00F66B34" w:rsidDel="003D0C91" w:rsidRDefault="000E4EDB" w:rsidP="00BF1DA1">
      <w:pPr>
        <w:pStyle w:val="Heading2"/>
        <w:spacing w:before="0"/>
        <w:ind w:left="720" w:hanging="180"/>
        <w:rPr>
          <w:rFonts w:ascii="Times New Roman" w:hAnsi="Times New Roman" w:cs="Times New Roman"/>
          <w:color w:val="auto"/>
          <w:sz w:val="24"/>
          <w:szCs w:val="24"/>
        </w:rPr>
      </w:pPr>
      <w:r w:rsidRPr="00F66B34">
        <w:rPr>
          <w:rFonts w:ascii="Times New Roman" w:hAnsi="Times New Roman" w:cs="Times New Roman"/>
          <w:color w:val="auto"/>
          <w:sz w:val="24"/>
          <w:szCs w:val="24"/>
        </w:rPr>
        <w:t xml:space="preserve">A.2 </w:t>
      </w:r>
      <w:r w:rsidRPr="00F66B34" w:rsidDel="003D0C91">
        <w:rPr>
          <w:rFonts w:ascii="Times New Roman" w:hAnsi="Times New Roman" w:cs="Times New Roman"/>
          <w:color w:val="auto"/>
          <w:sz w:val="24"/>
          <w:szCs w:val="24"/>
        </w:rPr>
        <w:t>Population Served</w:t>
      </w:r>
    </w:p>
    <w:p w14:paraId="701B6F6C" w14:textId="77777777" w:rsidR="000E4EDB" w:rsidRPr="00F66B34" w:rsidRDefault="000E4EDB" w:rsidP="00BF1DA1">
      <w:pPr>
        <w:pStyle w:val="Default"/>
        <w:ind w:firstLine="540"/>
        <w:rPr>
          <w:rFonts w:ascii="Times New Roman" w:hAnsi="Times New Roman" w:cs="Times New Roman"/>
          <w:b/>
        </w:rPr>
      </w:pPr>
    </w:p>
    <w:p w14:paraId="701B6F6D" w14:textId="77777777" w:rsidR="000E4EDB" w:rsidRPr="00F66B34" w:rsidRDefault="000E4EDB" w:rsidP="00BF1DA1">
      <w:pPr>
        <w:pStyle w:val="Default"/>
        <w:tabs>
          <w:tab w:val="left" w:pos="180"/>
        </w:tabs>
        <w:ind w:left="540"/>
        <w:rPr>
          <w:rFonts w:ascii="Times New Roman" w:hAnsi="Times New Roman" w:cs="Times New Roman"/>
        </w:rPr>
      </w:pPr>
      <w:r w:rsidRPr="00F66B34">
        <w:rPr>
          <w:rFonts w:ascii="Times New Roman" w:hAnsi="Times New Roman" w:cs="Times New Roman"/>
        </w:rPr>
        <w:t xml:space="preserve">During the UE-131723 workshops, the United States Census Bureau </w:t>
      </w:r>
      <w:r w:rsidRPr="00F66B34">
        <w:rPr>
          <w:rFonts w:ascii="Times New Roman" w:hAnsi="Times New Roman" w:cs="Times New Roman"/>
          <w:i/>
        </w:rPr>
        <w:t xml:space="preserve">American Communities Survey </w:t>
      </w:r>
      <w:r w:rsidRPr="00F66B34">
        <w:rPr>
          <w:rFonts w:ascii="Times New Roman" w:hAnsi="Times New Roman" w:cs="Times New Roman"/>
        </w:rPr>
        <w:t xml:space="preserve">(ACS) was identified as the preferred data source for calculating population served.  However, the Company was only able to utilize this methodology for 2011-2015 populations due to the lack of consistent five-year-average ACS data for earlier years.  An alternative method was used for years 2006 through 2010. </w:t>
      </w:r>
    </w:p>
    <w:p w14:paraId="701B6F6E" w14:textId="77777777" w:rsidR="000E4EDB" w:rsidRPr="00F66B34" w:rsidRDefault="000E4EDB" w:rsidP="00BF1DA1">
      <w:pPr>
        <w:pStyle w:val="Default"/>
        <w:ind w:left="1170" w:firstLine="540"/>
        <w:rPr>
          <w:rFonts w:ascii="Times New Roman" w:hAnsi="Times New Roman" w:cs="Times New Roman"/>
        </w:rPr>
      </w:pPr>
    </w:p>
    <w:p w14:paraId="701B6F6F" w14:textId="77777777" w:rsidR="000E4EDB" w:rsidRPr="00F66B34" w:rsidRDefault="000E4EDB" w:rsidP="00BF1DA1">
      <w:pPr>
        <w:pStyle w:val="Default"/>
        <w:ind w:left="540"/>
        <w:rPr>
          <w:rFonts w:ascii="Times New Roman" w:hAnsi="Times New Roman" w:cs="Times New Roman"/>
        </w:rPr>
      </w:pPr>
      <w:r w:rsidRPr="00F66B34">
        <w:rPr>
          <w:rFonts w:ascii="Times New Roman" w:hAnsi="Times New Roman" w:cs="Times New Roman"/>
          <w:u w:val="single"/>
        </w:rPr>
        <w:t>Method 1</w:t>
      </w:r>
      <w:r w:rsidRPr="00F66B34">
        <w:rPr>
          <w:rFonts w:ascii="Times New Roman" w:hAnsi="Times New Roman" w:cs="Times New Roman"/>
        </w:rPr>
        <w:t xml:space="preserve"> – For each year between 2011 and 2015, five-year-average, Census block-level ACS data was used to calculate an average household size.</w:t>
      </w:r>
      <w:r w:rsidRPr="00F66B34">
        <w:rPr>
          <w:rStyle w:val="FootnoteReference"/>
          <w:rFonts w:ascii="Times New Roman" w:hAnsi="Times New Roman" w:cs="Times New Roman"/>
        </w:rPr>
        <w:footnoteReference w:id="4"/>
      </w:r>
      <w:r w:rsidRPr="00F66B34">
        <w:rPr>
          <w:rFonts w:ascii="Times New Roman" w:hAnsi="Times New Roman" w:cs="Times New Roman"/>
          <w:i/>
        </w:rPr>
        <w:t xml:space="preserve"> </w:t>
      </w:r>
      <w:r w:rsidRPr="00F66B34">
        <w:rPr>
          <w:rFonts w:ascii="Times New Roman" w:hAnsi="Times New Roman" w:cs="Times New Roman"/>
        </w:rPr>
        <w:t>The average household size was then applied to the number of residential customers by county, in order to determine a total population served for each year. Method 1 uses the following formula:</w:t>
      </w:r>
    </w:p>
    <w:p w14:paraId="701B6F70" w14:textId="77777777" w:rsidR="000E4EDB" w:rsidRPr="00F66B34" w:rsidRDefault="000E4EDB" w:rsidP="00F66B34">
      <w:pPr>
        <w:pStyle w:val="Default"/>
        <w:ind w:left="1440" w:firstLine="540"/>
        <w:jc w:val="both"/>
        <w:rPr>
          <w:rFonts w:ascii="Times New Roman" w:hAnsi="Times New Roman" w:cs="Times New Roman"/>
        </w:rPr>
      </w:pPr>
    </w:p>
    <w:p w14:paraId="701B6F71" w14:textId="77777777" w:rsidR="000E4EDB" w:rsidRPr="00F66B34" w:rsidRDefault="000E4EDB" w:rsidP="00F66B34">
      <w:pPr>
        <w:pStyle w:val="Default"/>
        <w:ind w:left="450" w:hanging="450"/>
        <w:jc w:val="both"/>
        <w:rPr>
          <w:rFonts w:ascii="Times New Roman" w:hAnsi="Times New Roman" w:cs="Times New Roman"/>
          <w:color w:val="17365D" w:themeColor="text2" w:themeShade="BF"/>
        </w:rPr>
      </w:pPr>
      <m:oMathPara>
        <m:oMathParaPr>
          <m:jc m:val="center"/>
        </m:oMathParaPr>
        <m:oMath>
          <m:r>
            <w:rPr>
              <w:rFonts w:ascii="Cambria Math" w:hAnsi="Cambria Math" w:cs="Times New Roman"/>
              <w:color w:val="17365D" w:themeColor="text2" w:themeShade="BF"/>
            </w:rPr>
            <m:t>County Average Household Size  x  Washington Residential Customers Served</m:t>
          </m:r>
        </m:oMath>
      </m:oMathPara>
    </w:p>
    <w:p w14:paraId="701B6F72" w14:textId="77777777" w:rsidR="000E4EDB" w:rsidRPr="00F66B34" w:rsidRDefault="000E4EDB" w:rsidP="00F66B34">
      <w:pPr>
        <w:jc w:val="both"/>
      </w:pPr>
    </w:p>
    <w:p w14:paraId="701B6F73" w14:textId="77777777" w:rsidR="000E4EDB" w:rsidRPr="00F66B34" w:rsidRDefault="000E4EDB" w:rsidP="00BF1DA1">
      <w:pPr>
        <w:pStyle w:val="Default"/>
        <w:tabs>
          <w:tab w:val="left" w:pos="540"/>
        </w:tabs>
        <w:ind w:left="540"/>
        <w:rPr>
          <w:rFonts w:ascii="Times New Roman" w:hAnsi="Times New Roman" w:cs="Times New Roman"/>
        </w:rPr>
      </w:pPr>
      <w:r w:rsidRPr="00F66B34">
        <w:rPr>
          <w:rFonts w:ascii="Times New Roman" w:hAnsi="Times New Roman" w:cs="Times New Roman"/>
          <w:u w:val="single"/>
        </w:rPr>
        <w:t>Method 2</w:t>
      </w:r>
      <w:r w:rsidRPr="00F66B34">
        <w:rPr>
          <w:rFonts w:ascii="Times New Roman" w:hAnsi="Times New Roman" w:cs="Times New Roman"/>
        </w:rPr>
        <w:t xml:space="preserve"> – The alternate methodology used year-over-year population growth rates (% change) to estimate annual population from 2006 through 2010.  Method 2 involved the following steps:</w:t>
      </w:r>
    </w:p>
    <w:p w14:paraId="701B6F74" w14:textId="77777777" w:rsidR="000E4EDB" w:rsidRPr="00F66B34" w:rsidRDefault="000E4EDB" w:rsidP="00BF1DA1">
      <w:pPr>
        <w:pStyle w:val="Default"/>
        <w:ind w:left="2520"/>
        <w:rPr>
          <w:rFonts w:ascii="Times New Roman" w:hAnsi="Times New Roman" w:cs="Times New Roman"/>
        </w:rPr>
      </w:pPr>
    </w:p>
    <w:p w14:paraId="701B6F75" w14:textId="77777777" w:rsidR="000E4EDB" w:rsidRPr="00F66B34" w:rsidRDefault="000E4EDB" w:rsidP="00BF1DA1">
      <w:pPr>
        <w:pStyle w:val="Heading6"/>
        <w:spacing w:before="0"/>
        <w:ind w:left="810" w:firstLine="90"/>
        <w:rPr>
          <w:rFonts w:ascii="Times New Roman" w:hAnsi="Times New Roman" w:cs="Times New Roman"/>
          <w:i w:val="0"/>
          <w:color w:val="auto"/>
        </w:rPr>
      </w:pPr>
      <w:r w:rsidRPr="00F66B34">
        <w:rPr>
          <w:rFonts w:ascii="Times New Roman" w:hAnsi="Times New Roman" w:cs="Times New Roman"/>
          <w:i w:val="0"/>
          <w:color w:val="auto"/>
        </w:rPr>
        <w:t>(a) Calculating year-over-year percentage growth rates for the reporting period, using population data from the Washington State Office of Financial Management.</w:t>
      </w:r>
      <w:r w:rsidRPr="00F66B34">
        <w:rPr>
          <w:rStyle w:val="FootnoteReference"/>
          <w:rFonts w:ascii="Times New Roman" w:hAnsi="Times New Roman" w:cs="Times New Roman"/>
          <w:i w:val="0"/>
          <w:color w:val="auto"/>
        </w:rPr>
        <w:footnoteReference w:id="5"/>
      </w:r>
      <w:r w:rsidRPr="00F66B34">
        <w:rPr>
          <w:rFonts w:ascii="Times New Roman" w:hAnsi="Times New Roman" w:cs="Times New Roman"/>
          <w:i w:val="0"/>
          <w:color w:val="auto"/>
        </w:rPr>
        <w:t xml:space="preserve"> </w:t>
      </w:r>
    </w:p>
    <w:p w14:paraId="701B6F76" w14:textId="77777777" w:rsidR="000E4EDB" w:rsidRPr="00F66B34" w:rsidRDefault="000E4EDB" w:rsidP="00BF1DA1">
      <w:pPr>
        <w:pStyle w:val="Default"/>
        <w:ind w:left="720"/>
        <w:rPr>
          <w:rFonts w:ascii="Times New Roman" w:hAnsi="Times New Roman" w:cs="Times New Roman"/>
          <w:color w:val="0F243E" w:themeColor="text2" w:themeShade="80"/>
        </w:rPr>
      </w:pPr>
    </w:p>
    <w:p w14:paraId="701B6F77" w14:textId="77777777" w:rsidR="000E4EDB" w:rsidRPr="00F66B34" w:rsidRDefault="006E431B" w:rsidP="00F66B34">
      <w:pPr>
        <w:pStyle w:val="Default"/>
        <w:tabs>
          <w:tab w:val="left" w:pos="1170"/>
          <w:tab w:val="left" w:pos="2070"/>
          <w:tab w:val="left" w:pos="2700"/>
        </w:tabs>
        <w:ind w:hanging="1080"/>
        <w:jc w:val="both"/>
        <w:rPr>
          <w:rFonts w:ascii="Times New Roman" w:hAnsi="Times New Roman" w:cs="Times New Roman"/>
          <w:color w:val="17365D" w:themeColor="text2" w:themeShade="BF"/>
        </w:rPr>
      </w:pPr>
      <m:oMathPara>
        <m:oMath>
          <m:d>
            <m:dPr>
              <m:begChr m:val="["/>
              <m:endChr m:val="]"/>
              <m:ctrlPr>
                <w:rPr>
                  <w:rFonts w:ascii="Cambria Math" w:hAnsi="Cambria Math" w:cs="Times New Roman"/>
                  <w:i/>
                  <w:color w:val="17365D" w:themeColor="text2" w:themeShade="BF"/>
                </w:rPr>
              </m:ctrlPr>
            </m:dPr>
            <m:e>
              <m:f>
                <m:fPr>
                  <m:ctrlPr>
                    <w:rPr>
                      <w:rFonts w:ascii="Cambria Math" w:hAnsi="Cambria Math" w:cs="Times New Roman"/>
                      <w:i/>
                      <w:color w:val="17365D" w:themeColor="text2" w:themeShade="BF"/>
                    </w:rPr>
                  </m:ctrlPr>
                </m:fPr>
                <m:num>
                  <m:d>
                    <m:dPr>
                      <m:ctrlPr>
                        <w:rPr>
                          <w:rFonts w:ascii="Cambria Math" w:hAnsi="Cambria Math" w:cs="Times New Roman"/>
                          <w:i/>
                          <w:color w:val="17365D" w:themeColor="text2" w:themeShade="BF"/>
                        </w:rPr>
                      </m:ctrlPr>
                    </m:dPr>
                    <m:e>
                      <m:r>
                        <w:rPr>
                          <w:rFonts w:ascii="Cambria Math" w:hAnsi="Cambria Math" w:cs="Times New Roman"/>
                          <w:color w:val="17365D" w:themeColor="text2" w:themeShade="BF"/>
                        </w:rPr>
                        <m:t>Population Year 2-Population Year 1</m:t>
                      </m:r>
                    </m:e>
                  </m:d>
                </m:num>
                <m:den>
                  <m:d>
                    <m:dPr>
                      <m:ctrlPr>
                        <w:rPr>
                          <w:rFonts w:ascii="Cambria Math" w:hAnsi="Cambria Math" w:cs="Times New Roman"/>
                          <w:i/>
                          <w:color w:val="17365D" w:themeColor="text2" w:themeShade="BF"/>
                        </w:rPr>
                      </m:ctrlPr>
                    </m:dPr>
                    <m:e>
                      <m:r>
                        <w:rPr>
                          <w:rFonts w:ascii="Cambria Math" w:hAnsi="Cambria Math" w:cs="Times New Roman"/>
                          <w:color w:val="17365D" w:themeColor="text2" w:themeShade="BF"/>
                        </w:rPr>
                        <m:t>Population Year 1</m:t>
                      </m:r>
                    </m:e>
                  </m:d>
                </m:den>
              </m:f>
            </m:e>
          </m:d>
          <m:r>
            <w:rPr>
              <w:rFonts w:ascii="Cambria Math" w:hAnsi="Cambria Math" w:cs="Times New Roman"/>
              <w:color w:val="17365D" w:themeColor="text2" w:themeShade="BF"/>
            </w:rPr>
            <m:t>x 100</m:t>
          </m:r>
        </m:oMath>
      </m:oMathPara>
    </w:p>
    <w:p w14:paraId="701B6F78" w14:textId="77777777" w:rsidR="000E4EDB" w:rsidRPr="00F66B34" w:rsidRDefault="000E4EDB" w:rsidP="00BF1DA1">
      <w:pPr>
        <w:pStyle w:val="Heading6"/>
        <w:spacing w:before="0"/>
        <w:ind w:left="900"/>
        <w:rPr>
          <w:rFonts w:ascii="Times New Roman" w:hAnsi="Times New Roman" w:cs="Times New Roman"/>
          <w:i w:val="0"/>
          <w:color w:val="auto"/>
        </w:rPr>
      </w:pPr>
      <w:r w:rsidRPr="00F66B34">
        <w:rPr>
          <w:rFonts w:ascii="Times New Roman" w:hAnsi="Times New Roman" w:cs="Times New Roman"/>
          <w:i w:val="0"/>
          <w:color w:val="auto"/>
        </w:rPr>
        <w:lastRenderedPageBreak/>
        <w:t xml:space="preserve">(b) Using the 2015 population calculated with Method 1 as a starting point, apply the year-over-year, county-level growth rates to estimate the annual population going back to 2006.  </w:t>
      </w:r>
    </w:p>
    <w:p w14:paraId="701B6F79" w14:textId="77777777" w:rsidR="00297ECE" w:rsidRPr="00F66B34" w:rsidRDefault="00297ECE" w:rsidP="00F66B34">
      <w:pPr>
        <w:jc w:val="both"/>
      </w:pPr>
    </w:p>
    <w:p w14:paraId="701B6F7A" w14:textId="77777777" w:rsidR="000E4EDB" w:rsidRPr="00F66B34" w:rsidRDefault="000E4EDB" w:rsidP="00F66B34">
      <w:pPr>
        <w:pStyle w:val="Default"/>
        <w:jc w:val="both"/>
        <w:rPr>
          <w:rFonts w:ascii="Times New Roman" w:hAnsi="Times New Roman" w:cs="Times New Roman"/>
          <w:color w:val="17365D" w:themeColor="text2" w:themeShade="BF"/>
        </w:rPr>
      </w:pPr>
      <m:oMathPara>
        <m:oMath>
          <m:r>
            <w:rPr>
              <w:rFonts w:ascii="Cambria Math" w:eastAsia="MS Mincho" w:hAnsi="Cambria Math" w:cs="Times New Roman"/>
              <w:color w:val="17365D" w:themeColor="text2" w:themeShade="BF"/>
            </w:rPr>
            <m:t xml:space="preserve">2015 </m:t>
          </m:r>
          <m:r>
            <w:rPr>
              <w:rFonts w:ascii="Cambria Math" w:hAnsi="Cambria Math" w:cs="Times New Roman"/>
              <w:color w:val="17365D" w:themeColor="text2" w:themeShade="BF"/>
            </w:rPr>
            <m:t>Populuation×</m:t>
          </m:r>
          <m:sSup>
            <m:sSupPr>
              <m:ctrlPr>
                <w:rPr>
                  <w:rFonts w:ascii="Cambria Math" w:hAnsi="Cambria Math" w:cs="Times New Roman"/>
                  <w:i/>
                  <w:color w:val="17365D" w:themeColor="text2" w:themeShade="BF"/>
                </w:rPr>
              </m:ctrlPr>
            </m:sSupPr>
            <m:e>
              <m:r>
                <w:rPr>
                  <w:rFonts w:ascii="Cambria Math" w:hAnsi="Cambria Math" w:cs="Times New Roman"/>
                  <w:color w:val="17365D" w:themeColor="text2" w:themeShade="BF"/>
                </w:rPr>
                <m:t>(1+growth rate)</m:t>
              </m:r>
            </m:e>
            <m:sup>
              <m:r>
                <w:rPr>
                  <w:rFonts w:ascii="Cambria Math" w:hAnsi="Cambria Math" w:cs="Times New Roman"/>
                  <w:color w:val="17365D" w:themeColor="text2" w:themeShade="BF"/>
                </w:rPr>
                <m:t>year-2015</m:t>
              </m:r>
            </m:sup>
          </m:sSup>
        </m:oMath>
      </m:oMathPara>
    </w:p>
    <w:p w14:paraId="701B6F7B" w14:textId="77777777" w:rsidR="00297ECE" w:rsidRPr="00F66B34" w:rsidRDefault="00297ECE" w:rsidP="00F66B34">
      <w:pPr>
        <w:pStyle w:val="Heading2"/>
        <w:spacing w:before="0"/>
        <w:ind w:left="180"/>
        <w:jc w:val="both"/>
        <w:rPr>
          <w:rFonts w:ascii="Times New Roman" w:hAnsi="Times New Roman" w:cs="Times New Roman"/>
          <w:color w:val="auto"/>
          <w:sz w:val="24"/>
          <w:szCs w:val="24"/>
        </w:rPr>
      </w:pPr>
    </w:p>
    <w:p w14:paraId="701B6F7C" w14:textId="77777777" w:rsidR="000E4EDB" w:rsidRPr="00F66B34" w:rsidRDefault="000E4EDB" w:rsidP="00BF1DA1">
      <w:pPr>
        <w:pStyle w:val="Heading2"/>
        <w:spacing w:before="0"/>
        <w:ind w:left="180"/>
        <w:rPr>
          <w:rFonts w:ascii="Times New Roman" w:hAnsi="Times New Roman" w:cs="Times New Roman"/>
          <w:color w:val="auto"/>
          <w:sz w:val="24"/>
          <w:szCs w:val="24"/>
        </w:rPr>
      </w:pPr>
      <w:r w:rsidRPr="00F66B34">
        <w:rPr>
          <w:rFonts w:ascii="Times New Roman" w:hAnsi="Times New Roman" w:cs="Times New Roman"/>
          <w:color w:val="auto"/>
          <w:sz w:val="24"/>
          <w:szCs w:val="24"/>
        </w:rPr>
        <w:t>B. Megawatt-hour per Customer</w:t>
      </w:r>
    </w:p>
    <w:p w14:paraId="701B6F7D" w14:textId="77777777" w:rsidR="000E4EDB" w:rsidRPr="00F66B34" w:rsidRDefault="000E4EDB" w:rsidP="00BF1DA1">
      <w:pPr>
        <w:pStyle w:val="ListParagraph"/>
        <w:rPr>
          <w:b/>
        </w:rPr>
      </w:pPr>
    </w:p>
    <w:p w14:paraId="701B6F7E" w14:textId="77777777" w:rsidR="000E4EDB" w:rsidRPr="00F66B34" w:rsidRDefault="000E4EDB" w:rsidP="00BF1DA1">
      <w:pPr>
        <w:pStyle w:val="ListParagraph"/>
        <w:tabs>
          <w:tab w:val="left" w:pos="1350"/>
        </w:tabs>
        <w:ind w:left="180"/>
      </w:pPr>
      <w:r w:rsidRPr="00F66B34">
        <w:t xml:space="preserve">WAC 480-109-300(2)(a) and (b) require a utility to annually report the average number of megawatt-hours per residential customer and per commercial customer. </w:t>
      </w:r>
      <w:r w:rsidR="00BF1DA1">
        <w:t xml:space="preserve"> </w:t>
      </w:r>
      <w:r w:rsidRPr="00F66B34">
        <w:t xml:space="preserve">The average MWhs per customer is determined by dividing Washington’s annual retail load (MWh at meter) serving a customer class by the number of customers in the same class, in any given year. </w:t>
      </w:r>
    </w:p>
    <w:p w14:paraId="701B6F7F" w14:textId="77777777" w:rsidR="000E4EDB" w:rsidRPr="00F66B34" w:rsidRDefault="000E4EDB" w:rsidP="00F675E0">
      <w:pPr>
        <w:pStyle w:val="Default"/>
        <w:ind w:left="720"/>
        <w:jc w:val="both"/>
        <w:rPr>
          <w:rFonts w:ascii="Times New Roman" w:hAnsi="Times New Roman" w:cs="Times New Roman"/>
          <w:color w:val="17365D" w:themeColor="text2" w:themeShade="BF"/>
        </w:rPr>
      </w:pPr>
      <w:r w:rsidRPr="00F66B34">
        <w:t xml:space="preserve"> </w:t>
      </w:r>
      <m:oMath>
        <m:r>
          <m:rPr>
            <m:sty m:val="p"/>
          </m:rPr>
          <w:rPr>
            <w:rFonts w:ascii="Cambria Math" w:hAnsi="Cambria Math" w:cs="Times New Roman"/>
            <w:color w:val="17365D" w:themeColor="text2" w:themeShade="BF"/>
          </w:rPr>
          <w:br/>
        </m:r>
      </m:oMath>
      <m:oMathPara>
        <m:oMathParaPr>
          <m:jc m:val="center"/>
        </m:oMathParaPr>
        <m:oMath>
          <m:f>
            <m:fPr>
              <m:ctrlPr>
                <w:rPr>
                  <w:rFonts w:ascii="Cambria Math" w:hAnsi="Cambria Math" w:cs="Times New Roman"/>
                  <w:i/>
                  <w:color w:val="17365D" w:themeColor="text2" w:themeShade="BF"/>
                </w:rPr>
              </m:ctrlPr>
            </m:fPr>
            <m:num>
              <m:r>
                <w:rPr>
                  <w:rFonts w:ascii="Cambria Math" w:hAnsi="Cambria Math" w:cs="Times New Roman"/>
                  <w:color w:val="17365D" w:themeColor="text2" w:themeShade="BF"/>
                </w:rPr>
                <m:t>Total Annual Retail Load Serving the Customer Class</m:t>
              </m:r>
            </m:num>
            <m:den>
              <m:r>
                <w:rPr>
                  <w:rFonts w:ascii="Cambria Math" w:hAnsi="Cambria Math" w:cs="Times New Roman"/>
                  <w:color w:val="17365D" w:themeColor="text2" w:themeShade="BF"/>
                </w:rPr>
                <m:t>Annual Customers in Class</m:t>
              </m:r>
            </m:den>
          </m:f>
        </m:oMath>
      </m:oMathPara>
    </w:p>
    <w:p w14:paraId="701B6F80" w14:textId="77777777" w:rsidR="000E4EDB" w:rsidRPr="00F66B34" w:rsidRDefault="000E4EDB" w:rsidP="00F66B34">
      <w:pPr>
        <w:pStyle w:val="ListParagraph"/>
        <w:jc w:val="both"/>
      </w:pPr>
    </w:p>
    <w:p w14:paraId="701B6F81" w14:textId="77777777" w:rsidR="000E4EDB" w:rsidRPr="00F66B34" w:rsidRDefault="000E4EDB" w:rsidP="00F66B34">
      <w:pPr>
        <w:pStyle w:val="ListParagraph"/>
        <w:jc w:val="both"/>
      </w:pPr>
    </w:p>
    <w:p w14:paraId="701B6F82" w14:textId="77777777" w:rsidR="000E4EDB" w:rsidRPr="00F66B34" w:rsidRDefault="000E4EDB" w:rsidP="00BF1DA1">
      <w:pPr>
        <w:pStyle w:val="ListParagraph"/>
        <w:ind w:left="180"/>
      </w:pPr>
      <w:r w:rsidRPr="00F66B34">
        <w:t>Annual retail load (MWhs sold) and number of customers are derived from PacifiCorp’s annual FERC Form 1 filings.</w:t>
      </w:r>
    </w:p>
    <w:p w14:paraId="701B6F83" w14:textId="77777777" w:rsidR="009219C9" w:rsidRPr="00F66B34" w:rsidRDefault="009219C9" w:rsidP="00BF1DA1">
      <w:pPr>
        <w:spacing w:after="200" w:line="276" w:lineRule="auto"/>
      </w:pPr>
    </w:p>
    <w:p w14:paraId="701B6F84" w14:textId="77777777" w:rsidR="000E4EDB" w:rsidRPr="00F66B34" w:rsidRDefault="000E4EDB" w:rsidP="00BF1DA1">
      <w:pPr>
        <w:pStyle w:val="Heading1"/>
        <w:spacing w:before="0"/>
        <w:ind w:left="-180"/>
        <w:rPr>
          <w:rFonts w:ascii="Times New Roman" w:hAnsi="Times New Roman" w:cs="Times New Roman"/>
          <w:sz w:val="24"/>
          <w:szCs w:val="24"/>
        </w:rPr>
      </w:pPr>
      <w:r w:rsidRPr="00F66B34">
        <w:rPr>
          <w:rFonts w:ascii="Times New Roman" w:hAnsi="Times New Roman" w:cs="Times New Roman"/>
          <w:sz w:val="24"/>
          <w:szCs w:val="24"/>
        </w:rPr>
        <w:t>II. Emissions Intensity Metrics</w:t>
      </w:r>
    </w:p>
    <w:p w14:paraId="701B6F85" w14:textId="77777777" w:rsidR="000E4EDB" w:rsidRPr="00F66B34" w:rsidRDefault="000E4EDB" w:rsidP="00BF1DA1">
      <w:pPr>
        <w:pStyle w:val="ListParagraph"/>
        <w:ind w:left="360"/>
        <w:rPr>
          <w:b/>
        </w:rPr>
      </w:pPr>
    </w:p>
    <w:p w14:paraId="701B6F86" w14:textId="77777777" w:rsidR="000E4EDB" w:rsidRPr="00F66B34" w:rsidRDefault="000E4EDB" w:rsidP="00BF1DA1">
      <w:pPr>
        <w:pStyle w:val="ListParagraph"/>
        <w:ind w:left="180"/>
      </w:pPr>
      <w:r w:rsidRPr="00F66B34">
        <w:t>WAC 480-109-300(2)(d) requires utilities to report annual CO</w:t>
      </w:r>
      <w:r w:rsidRPr="00F66B34">
        <w:rPr>
          <w:vertAlign w:val="subscript"/>
        </w:rPr>
        <w:t>2</w:t>
      </w:r>
      <w:r w:rsidRPr="00F66B34">
        <w:t xml:space="preserve"> emissions (millions of short tons).  </w:t>
      </w:r>
    </w:p>
    <w:p w14:paraId="701B6F87" w14:textId="77777777" w:rsidR="000E4EDB" w:rsidRPr="00F66B34" w:rsidRDefault="000E4EDB" w:rsidP="00BF1DA1">
      <w:pPr>
        <w:pStyle w:val="ListParagraph"/>
        <w:tabs>
          <w:tab w:val="left" w:pos="180"/>
        </w:tabs>
        <w:ind w:left="360"/>
      </w:pPr>
    </w:p>
    <w:p w14:paraId="701B6F88" w14:textId="77777777" w:rsidR="000E4EDB" w:rsidRPr="00F66B34" w:rsidRDefault="003A02A8" w:rsidP="00BF1DA1">
      <w:pPr>
        <w:pStyle w:val="Heading2"/>
        <w:spacing w:before="0"/>
        <w:ind w:left="180"/>
        <w:rPr>
          <w:rFonts w:ascii="Times New Roman" w:hAnsi="Times New Roman" w:cs="Times New Roman"/>
          <w:color w:val="auto"/>
          <w:sz w:val="24"/>
          <w:szCs w:val="24"/>
        </w:rPr>
      </w:pPr>
      <w:r w:rsidRPr="00F66B34">
        <w:rPr>
          <w:rFonts w:ascii="Times New Roman" w:hAnsi="Times New Roman" w:cs="Times New Roman"/>
          <w:bCs w:val="0"/>
          <w:color w:val="auto"/>
          <w:sz w:val="24"/>
          <w:szCs w:val="24"/>
        </w:rPr>
        <w:t>A.</w:t>
      </w:r>
      <w:r w:rsidRPr="00F66B34">
        <w:rPr>
          <w:rFonts w:ascii="Times New Roman" w:hAnsi="Times New Roman" w:cs="Times New Roman"/>
          <w:color w:val="auto"/>
          <w:sz w:val="24"/>
          <w:szCs w:val="24"/>
        </w:rPr>
        <w:t xml:space="preserve"> </w:t>
      </w:r>
      <w:r w:rsidR="000E4EDB" w:rsidRPr="00F66B34">
        <w:rPr>
          <w:rFonts w:ascii="Times New Roman" w:hAnsi="Times New Roman" w:cs="Times New Roman"/>
          <w:color w:val="auto"/>
          <w:sz w:val="24"/>
          <w:szCs w:val="24"/>
        </w:rPr>
        <w:t>Annual CO</w:t>
      </w:r>
      <w:r w:rsidR="000E4EDB" w:rsidRPr="00F66B34">
        <w:rPr>
          <w:rFonts w:ascii="Times New Roman" w:hAnsi="Times New Roman" w:cs="Times New Roman"/>
          <w:color w:val="auto"/>
          <w:sz w:val="24"/>
          <w:szCs w:val="24"/>
          <w:vertAlign w:val="subscript"/>
        </w:rPr>
        <w:t>2</w:t>
      </w:r>
      <w:r w:rsidR="000E4EDB" w:rsidRPr="00F66B34">
        <w:rPr>
          <w:rFonts w:ascii="Times New Roman" w:hAnsi="Times New Roman" w:cs="Times New Roman"/>
          <w:color w:val="auto"/>
          <w:sz w:val="24"/>
          <w:szCs w:val="24"/>
        </w:rPr>
        <w:t xml:space="preserve"> Emissions</w:t>
      </w:r>
    </w:p>
    <w:p w14:paraId="701B6F89" w14:textId="77777777" w:rsidR="000E4EDB" w:rsidRPr="00F66B34" w:rsidRDefault="000E4EDB" w:rsidP="00BF1DA1">
      <w:pPr>
        <w:pStyle w:val="ListParagraph"/>
      </w:pPr>
    </w:p>
    <w:p w14:paraId="701B6F8A" w14:textId="77777777" w:rsidR="000E4EDB" w:rsidRPr="00F66B34" w:rsidRDefault="000E4EDB" w:rsidP="00BF1DA1">
      <w:pPr>
        <w:pStyle w:val="ListParagraph"/>
        <w:ind w:left="180"/>
      </w:pPr>
      <w:r w:rsidRPr="00F66B34">
        <w:t xml:space="preserve">The Company’s total annual emissions are calculated by aggregating the emissions from all generation allocated to serving Washington customers.  The generation identified to have served Washington is consistent with the Commission-approved West Control Area </w:t>
      </w:r>
      <w:r w:rsidR="00785004">
        <w:t>Inter-Jurisdictional Allocation M</w:t>
      </w:r>
      <w:r w:rsidRPr="00F66B34">
        <w:t>ethodology</w:t>
      </w:r>
      <w:r w:rsidR="00785004">
        <w:t xml:space="preserve"> </w:t>
      </w:r>
      <w:r w:rsidR="00785004" w:rsidRPr="00F66B34">
        <w:t>(WCA)</w:t>
      </w:r>
      <w:r w:rsidRPr="00F66B34">
        <w:t xml:space="preserve">, which isolates costs associated with the assets, purchases and sales in the </w:t>
      </w:r>
      <w:r w:rsidR="00785004">
        <w:t>west control area</w:t>
      </w:r>
      <w:r w:rsidRPr="00F66B34">
        <w:t>.</w:t>
      </w:r>
      <w:r w:rsidRPr="00F66B34">
        <w:rPr>
          <w:rStyle w:val="FootnoteReference"/>
        </w:rPr>
        <w:footnoteReference w:id="6"/>
      </w:r>
      <w:r w:rsidRPr="00F66B34">
        <w:t xml:space="preserve">  </w:t>
      </w:r>
    </w:p>
    <w:p w14:paraId="701B6F8B" w14:textId="77777777" w:rsidR="00297ECE" w:rsidRPr="00F66B34" w:rsidRDefault="00297ECE" w:rsidP="00BF1DA1">
      <w:pPr>
        <w:pStyle w:val="ListParagraph"/>
        <w:ind w:left="180"/>
      </w:pPr>
    </w:p>
    <w:p w14:paraId="701B6F8C" w14:textId="77777777" w:rsidR="00297ECE" w:rsidRPr="00F66B34" w:rsidRDefault="00297ECE" w:rsidP="00BF1DA1">
      <w:pPr>
        <w:pStyle w:val="ListParagraph"/>
        <w:ind w:left="180"/>
      </w:pPr>
      <w:r w:rsidRPr="00F66B34">
        <w:t>To calculate total annual emissions, the Company first assigned an annual emission factor to each generation source.</w:t>
      </w:r>
      <w:r w:rsidR="00BF1DA1">
        <w:t xml:space="preserve"> </w:t>
      </w:r>
      <w:r w:rsidRPr="00F66B34">
        <w:t xml:space="preserve"> The emission factor was applied to Washington’s allocated share (MWhs) of the resource’s annual output to calculate the annual short tons of emitted CO</w:t>
      </w:r>
      <w:r w:rsidRPr="00F66B34">
        <w:rPr>
          <w:vertAlign w:val="subscript"/>
        </w:rPr>
        <w:t xml:space="preserve">2 </w:t>
      </w:r>
      <w:r w:rsidRPr="00F66B34">
        <w:t xml:space="preserve">attributed to Washington customers. </w:t>
      </w:r>
      <w:r w:rsidR="00BF1DA1">
        <w:t xml:space="preserve"> </w:t>
      </w:r>
      <w:r w:rsidRPr="00F66B34">
        <w:t>Identified below are the steps taken to calculate total carbon emissions per annum.</w:t>
      </w:r>
    </w:p>
    <w:p w14:paraId="701B6F8D" w14:textId="77777777" w:rsidR="009F5B64" w:rsidRPr="00F66B34" w:rsidRDefault="009F5B64" w:rsidP="00BF1DA1"/>
    <w:p w14:paraId="701B6F8E" w14:textId="77777777" w:rsidR="00297ECE" w:rsidRPr="00F66B34" w:rsidRDefault="00297ECE" w:rsidP="00BF1DA1">
      <w:pPr>
        <w:pStyle w:val="Heading3"/>
        <w:spacing w:before="0"/>
        <w:ind w:left="1620"/>
        <w:rPr>
          <w:rFonts w:ascii="Times New Roman" w:hAnsi="Times New Roman" w:cs="Times New Roman"/>
          <w:b w:val="0"/>
          <w:color w:val="auto"/>
        </w:rPr>
      </w:pPr>
      <w:r w:rsidRPr="00F66B34">
        <w:rPr>
          <w:rFonts w:ascii="Times New Roman" w:hAnsi="Times New Roman" w:cs="Times New Roman"/>
          <w:b w:val="0"/>
          <w:bCs w:val="0"/>
          <w:iCs/>
          <w:color w:val="auto"/>
        </w:rPr>
        <w:lastRenderedPageBreak/>
        <w:t>(</w:t>
      </w:r>
      <w:r w:rsidRPr="00F66B34">
        <w:rPr>
          <w:rFonts w:ascii="Times New Roman" w:hAnsi="Times New Roman" w:cs="Times New Roman"/>
          <w:b w:val="0"/>
          <w:bCs w:val="0"/>
          <w:color w:val="auto"/>
        </w:rPr>
        <w:t>a</w:t>
      </w:r>
      <w:r w:rsidRPr="00F66B34">
        <w:rPr>
          <w:rFonts w:ascii="Times New Roman" w:hAnsi="Times New Roman" w:cs="Times New Roman"/>
          <w:b w:val="0"/>
          <w:color w:val="auto"/>
        </w:rPr>
        <w:t>) Assign each resource an annual emission factor (pounds of CO2/MWh)</w:t>
      </w:r>
    </w:p>
    <w:p w14:paraId="701B6F8F" w14:textId="77777777" w:rsidR="00297ECE" w:rsidRPr="00F66B34" w:rsidRDefault="00297ECE" w:rsidP="00BF1DA1"/>
    <w:p w14:paraId="701B6F90" w14:textId="77777777" w:rsidR="00297ECE" w:rsidRPr="00F66B34" w:rsidRDefault="00297ECE" w:rsidP="00BF1DA1">
      <w:pPr>
        <w:pStyle w:val="Heading6"/>
        <w:tabs>
          <w:tab w:val="left" w:pos="1620"/>
        </w:tabs>
        <w:spacing w:before="0"/>
        <w:ind w:left="1440" w:firstLine="180"/>
        <w:rPr>
          <w:rFonts w:ascii="Times New Roman" w:hAnsi="Times New Roman" w:cs="Times New Roman"/>
          <w:i w:val="0"/>
          <w:color w:val="auto"/>
        </w:rPr>
      </w:pPr>
      <w:r w:rsidRPr="00F66B34">
        <w:rPr>
          <w:rFonts w:ascii="Times New Roman" w:hAnsi="Times New Roman" w:cs="Times New Roman"/>
          <w:i w:val="0"/>
          <w:color w:val="auto"/>
          <w:u w:val="single"/>
        </w:rPr>
        <w:t>Unknown Resources</w:t>
      </w:r>
      <w:r w:rsidRPr="00F66B34">
        <w:rPr>
          <w:rFonts w:ascii="Times New Roman" w:hAnsi="Times New Roman" w:cs="Times New Roman"/>
          <w:i w:val="0"/>
          <w:color w:val="auto"/>
        </w:rPr>
        <w:t xml:space="preserve"> </w:t>
      </w:r>
    </w:p>
    <w:p w14:paraId="701B6F91" w14:textId="77777777" w:rsidR="00297ECE" w:rsidRPr="00F66B34" w:rsidRDefault="00297ECE" w:rsidP="00BF1DA1">
      <w:pPr>
        <w:pStyle w:val="Heading6"/>
        <w:spacing w:before="0"/>
        <w:ind w:left="1620"/>
        <w:rPr>
          <w:rFonts w:ascii="Times New Roman" w:hAnsi="Times New Roman" w:cs="Times New Roman"/>
          <w:i w:val="0"/>
          <w:color w:val="auto"/>
        </w:rPr>
      </w:pPr>
      <w:r w:rsidRPr="00F66B34">
        <w:rPr>
          <w:rFonts w:ascii="Times New Roman" w:hAnsi="Times New Roman" w:cs="Times New Roman"/>
          <w:i w:val="0"/>
          <w:color w:val="auto"/>
        </w:rPr>
        <w:t>Consistent with WAC 480-109-300(3), generation from unknown resources were assigned the average electric power CO2 emissions rate described as the net system mix (spot market) in the Washington state electric utility fuel mix disclosure reports compiled by the department of Commerce.</w:t>
      </w:r>
      <w:r w:rsidRPr="00F66B34">
        <w:rPr>
          <w:rStyle w:val="FootnoteReference"/>
          <w:rFonts w:ascii="Times New Roman" w:hAnsi="Times New Roman" w:cs="Times New Roman"/>
          <w:i w:val="0"/>
          <w:color w:val="auto"/>
        </w:rPr>
        <w:footnoteReference w:id="7"/>
      </w:r>
      <w:r w:rsidRPr="00F66B34">
        <w:rPr>
          <w:rFonts w:ascii="Times New Roman" w:hAnsi="Times New Roman" w:cs="Times New Roman"/>
          <w:i w:val="0"/>
          <w:color w:val="auto"/>
        </w:rPr>
        <w:t xml:space="preserve"> </w:t>
      </w:r>
    </w:p>
    <w:p w14:paraId="701B6F92" w14:textId="77777777" w:rsidR="00297ECE" w:rsidRPr="00F66B34" w:rsidRDefault="00297ECE" w:rsidP="00BF1DA1"/>
    <w:p w14:paraId="701B6F93" w14:textId="77777777" w:rsidR="00297ECE" w:rsidRPr="00F66B34" w:rsidRDefault="00297ECE" w:rsidP="00BF1DA1">
      <w:pPr>
        <w:pStyle w:val="Heading3"/>
        <w:spacing w:before="0"/>
        <w:ind w:left="1620"/>
        <w:rPr>
          <w:rFonts w:ascii="Times New Roman" w:hAnsi="Times New Roman" w:cs="Times New Roman"/>
          <w:b w:val="0"/>
          <w:color w:val="auto"/>
        </w:rPr>
      </w:pPr>
      <w:r w:rsidRPr="00F66B34">
        <w:rPr>
          <w:rFonts w:ascii="Times New Roman" w:hAnsi="Times New Roman" w:cs="Times New Roman"/>
          <w:b w:val="0"/>
          <w:color w:val="auto"/>
          <w:u w:val="single"/>
        </w:rPr>
        <w:t>Known Resources</w:t>
      </w:r>
    </w:p>
    <w:p w14:paraId="701B6F94" w14:textId="77777777" w:rsidR="00297ECE" w:rsidRPr="00F66B34" w:rsidRDefault="00297ECE" w:rsidP="00BF1DA1">
      <w:pPr>
        <w:pStyle w:val="Heading3"/>
        <w:spacing w:before="0"/>
        <w:ind w:left="1620"/>
        <w:rPr>
          <w:rFonts w:ascii="Times New Roman" w:hAnsi="Times New Roman" w:cs="Times New Roman"/>
          <w:b w:val="0"/>
          <w:color w:val="auto"/>
        </w:rPr>
      </w:pPr>
      <w:r w:rsidRPr="00F66B34">
        <w:rPr>
          <w:rFonts w:ascii="Times New Roman" w:hAnsi="Times New Roman" w:cs="Times New Roman"/>
          <w:color w:val="auto"/>
        </w:rPr>
        <w:t>Non-carbon-producing resources</w:t>
      </w:r>
      <w:r w:rsidRPr="00F66B34">
        <w:rPr>
          <w:rFonts w:ascii="Times New Roman" w:hAnsi="Times New Roman" w:cs="Times New Roman"/>
          <w:b w:val="0"/>
          <w:color w:val="auto"/>
        </w:rPr>
        <w:t xml:space="preserve"> such as wind, hydro, cogeneration and biogas were assigned an emission factor of zero.  </w:t>
      </w:r>
    </w:p>
    <w:p w14:paraId="701B6F95" w14:textId="77777777" w:rsidR="00297ECE" w:rsidRPr="00F66B34" w:rsidRDefault="00297ECE" w:rsidP="00BF1DA1">
      <w:pPr>
        <w:pStyle w:val="Heading3"/>
        <w:spacing w:before="0"/>
        <w:ind w:left="1440"/>
        <w:rPr>
          <w:rFonts w:ascii="Times New Roman" w:hAnsi="Times New Roman" w:cs="Times New Roman"/>
          <w:b w:val="0"/>
          <w:color w:val="auto"/>
        </w:rPr>
      </w:pPr>
    </w:p>
    <w:p w14:paraId="701B6F96" w14:textId="77777777" w:rsidR="00297ECE" w:rsidRPr="00F66B34" w:rsidRDefault="00297ECE" w:rsidP="00BF1DA1">
      <w:pPr>
        <w:pStyle w:val="Heading3"/>
        <w:spacing w:before="0"/>
        <w:ind w:left="1620"/>
        <w:rPr>
          <w:rFonts w:ascii="Times New Roman" w:hAnsi="Times New Roman" w:cs="Times New Roman"/>
          <w:b w:val="0"/>
          <w:color w:val="auto"/>
        </w:rPr>
      </w:pPr>
      <w:r w:rsidRPr="00F66B34">
        <w:rPr>
          <w:rFonts w:ascii="Times New Roman" w:hAnsi="Times New Roman" w:cs="Times New Roman"/>
          <w:color w:val="auto"/>
        </w:rPr>
        <w:t>Carbon emitting resources</w:t>
      </w:r>
      <w:r w:rsidRPr="00F66B34">
        <w:rPr>
          <w:rFonts w:ascii="Times New Roman" w:hAnsi="Times New Roman" w:cs="Times New Roman"/>
          <w:b w:val="0"/>
          <w:color w:val="auto"/>
        </w:rPr>
        <w:t xml:space="preserve"> such as coal and natural gas were assigned an emissions factor using CO</w:t>
      </w:r>
      <w:r w:rsidRPr="00F66B34">
        <w:rPr>
          <w:rFonts w:ascii="Times New Roman" w:hAnsi="Times New Roman" w:cs="Times New Roman"/>
          <w:b w:val="0"/>
          <w:color w:val="auto"/>
          <w:vertAlign w:val="subscript"/>
        </w:rPr>
        <w:t>2</w:t>
      </w:r>
      <w:r w:rsidRPr="00F66B34">
        <w:rPr>
          <w:rFonts w:ascii="Times New Roman" w:hAnsi="Times New Roman" w:cs="Times New Roman"/>
          <w:b w:val="0"/>
          <w:color w:val="auto"/>
        </w:rPr>
        <w:t xml:space="preserve"> emission data from the Environmental Protection Agency’s (EPA) </w:t>
      </w:r>
      <w:r w:rsidRPr="00F66B34">
        <w:rPr>
          <w:rFonts w:ascii="Times New Roman" w:hAnsi="Times New Roman" w:cs="Times New Roman"/>
          <w:b w:val="0"/>
          <w:i/>
          <w:color w:val="auto"/>
        </w:rPr>
        <w:t>Air Markets Program</w:t>
      </w:r>
      <w:r w:rsidRPr="00F66B34">
        <w:rPr>
          <w:rFonts w:ascii="Times New Roman" w:hAnsi="Times New Roman" w:cs="Times New Roman"/>
          <w:b w:val="0"/>
          <w:color w:val="auto"/>
        </w:rPr>
        <w:t>,</w:t>
      </w:r>
      <w:r w:rsidRPr="00F66B34">
        <w:rPr>
          <w:rStyle w:val="FootnoteReference"/>
          <w:rFonts w:ascii="Times New Roman" w:hAnsi="Times New Roman" w:cs="Times New Roman"/>
          <w:b w:val="0"/>
          <w:color w:val="auto"/>
        </w:rPr>
        <w:footnoteReference w:id="8"/>
      </w:r>
      <w:r w:rsidRPr="00F66B34">
        <w:rPr>
          <w:rFonts w:ascii="Times New Roman" w:hAnsi="Times New Roman" w:cs="Times New Roman"/>
          <w:b w:val="0"/>
          <w:color w:val="auto"/>
        </w:rPr>
        <w:t xml:space="preserve">  and each resource’s MWh generation reported in the Company’s annual FERC Form 1 filings. The formula to calculate a resource’s emission factor is:</w:t>
      </w:r>
    </w:p>
    <w:p w14:paraId="701B6F97" w14:textId="77777777" w:rsidR="00297ECE" w:rsidRPr="00F66B34" w:rsidRDefault="00297ECE" w:rsidP="00F66B34">
      <w:pPr>
        <w:ind w:left="720"/>
        <w:jc w:val="both"/>
      </w:pPr>
    </w:p>
    <w:p w14:paraId="701B6F98" w14:textId="77777777" w:rsidR="00297ECE" w:rsidRPr="00F66B34" w:rsidRDefault="006E431B" w:rsidP="00F66B34">
      <w:pPr>
        <w:ind w:left="1440"/>
        <w:jc w:val="both"/>
        <w:rPr>
          <w:color w:val="17365D" w:themeColor="text2" w:themeShade="BF"/>
        </w:rPr>
      </w:pPr>
      <m:oMathPara>
        <m:oMathParaPr>
          <m:jc m:val="center"/>
        </m:oMathParaPr>
        <m:oMath>
          <m:f>
            <m:fPr>
              <m:ctrlPr>
                <w:rPr>
                  <w:rFonts w:ascii="Cambria Math" w:hAnsi="Cambria Math"/>
                  <w:i/>
                  <w:color w:val="17365D" w:themeColor="text2" w:themeShade="BF"/>
                </w:rPr>
              </m:ctrlPr>
            </m:fPr>
            <m:num>
              <m:d>
                <m:dPr>
                  <m:ctrlPr>
                    <w:rPr>
                      <w:rFonts w:ascii="Cambria Math" w:hAnsi="Cambria Math"/>
                      <w:i/>
                      <w:color w:val="17365D" w:themeColor="text2" w:themeShade="BF"/>
                    </w:rPr>
                  </m:ctrlPr>
                </m:dPr>
                <m:e>
                  <m:r>
                    <w:rPr>
                      <w:rFonts w:ascii="Cambria Math" w:hAnsi="Cambria Math"/>
                      <w:color w:val="17365D" w:themeColor="text2" w:themeShade="BF"/>
                    </w:rPr>
                    <m:t>Annual Short Tons CO₂ Emissions  x  2000</m:t>
                  </m:r>
                </m:e>
              </m:d>
            </m:num>
            <m:den>
              <m:r>
                <w:rPr>
                  <w:rFonts w:ascii="Cambria Math" w:hAnsi="Cambria Math"/>
                  <w:color w:val="17365D" w:themeColor="text2" w:themeShade="BF"/>
                </w:rPr>
                <m:t>Annual Generation</m:t>
              </m:r>
            </m:den>
          </m:f>
        </m:oMath>
      </m:oMathPara>
    </w:p>
    <w:p w14:paraId="701B6F99" w14:textId="77777777" w:rsidR="00297ECE" w:rsidRPr="00F66B34" w:rsidRDefault="00297ECE" w:rsidP="00F66B34">
      <w:pPr>
        <w:ind w:left="720"/>
        <w:jc w:val="both"/>
      </w:pPr>
    </w:p>
    <w:p w14:paraId="701B6F9A" w14:textId="77777777" w:rsidR="00297ECE" w:rsidRPr="00F66B34" w:rsidRDefault="00297ECE" w:rsidP="00BF1DA1">
      <w:pPr>
        <w:ind w:left="1620"/>
      </w:pPr>
      <w:r w:rsidRPr="00F66B34">
        <w:t>(b) Allocate Washington’s share of WCA generation (MWh) of each resource using the state’s control area generation west (CAGW %) allocation factor, as shown below.</w:t>
      </w:r>
      <w:r w:rsidRPr="00F66B34">
        <w:rPr>
          <w:rStyle w:val="FootnoteReference"/>
        </w:rPr>
        <w:footnoteReference w:id="9"/>
      </w:r>
      <w:r w:rsidRPr="00F66B34">
        <w:t xml:space="preserve"> </w:t>
      </w:r>
    </w:p>
    <w:p w14:paraId="701B6F9B" w14:textId="77777777" w:rsidR="00297ECE" w:rsidRPr="00F66B34" w:rsidRDefault="00297ECE" w:rsidP="00BF1DA1">
      <w:pPr>
        <w:ind w:left="720"/>
      </w:pPr>
    </w:p>
    <w:p w14:paraId="701B6F9C" w14:textId="77777777" w:rsidR="00297ECE" w:rsidRPr="00F66B34" w:rsidRDefault="00297ECE" w:rsidP="00F66B34">
      <w:pPr>
        <w:ind w:left="1440"/>
        <w:jc w:val="both"/>
        <w:rPr>
          <w:color w:val="17365D" w:themeColor="text2" w:themeShade="BF"/>
        </w:rPr>
      </w:pPr>
      <m:oMathPara>
        <m:oMathParaPr>
          <m:jc m:val="center"/>
        </m:oMathParaPr>
        <m:oMath>
          <m:r>
            <w:rPr>
              <w:rFonts w:ascii="Cambria Math" w:hAnsi="Cambria Math"/>
              <w:color w:val="17365D" w:themeColor="text2" w:themeShade="BF"/>
            </w:rPr>
            <m:t>Total Annual Generation  x  CAGW Allocation Factor(%)</m:t>
          </m:r>
        </m:oMath>
      </m:oMathPara>
    </w:p>
    <w:p w14:paraId="701B6F9D" w14:textId="77777777" w:rsidR="00297ECE" w:rsidRPr="00F66B34" w:rsidRDefault="00297ECE" w:rsidP="00F66B34">
      <w:pPr>
        <w:ind w:left="720"/>
        <w:jc w:val="both"/>
        <w:rPr>
          <w:color w:val="17365D" w:themeColor="text2" w:themeShade="BF"/>
        </w:rPr>
      </w:pPr>
    </w:p>
    <w:p w14:paraId="701B6F9E" w14:textId="77777777" w:rsidR="00297ECE" w:rsidRPr="00F66B34" w:rsidRDefault="00297ECE" w:rsidP="00BF1DA1">
      <w:pPr>
        <w:ind w:left="1620"/>
      </w:pPr>
      <w:r w:rsidRPr="00F66B34">
        <w:t>(c) Calculate Short Tons of CO</w:t>
      </w:r>
      <w:r w:rsidRPr="00F66B34">
        <w:rPr>
          <w:vertAlign w:val="subscript"/>
        </w:rPr>
        <w:t>2</w:t>
      </w:r>
      <w:r w:rsidRPr="00F66B34">
        <w:t xml:space="preserve"> emissions using the following formula:</w:t>
      </w:r>
    </w:p>
    <w:p w14:paraId="701B6F9F" w14:textId="77777777" w:rsidR="00297ECE" w:rsidRPr="00F66B34" w:rsidRDefault="00297ECE" w:rsidP="00F66B34">
      <w:pPr>
        <w:pStyle w:val="ListParagraph"/>
        <w:jc w:val="both"/>
      </w:pPr>
    </w:p>
    <w:p w14:paraId="701B6FA0" w14:textId="77777777" w:rsidR="00297ECE" w:rsidRPr="00F66B34" w:rsidRDefault="006E431B" w:rsidP="00F66B34">
      <w:pPr>
        <w:ind w:left="1440"/>
        <w:jc w:val="both"/>
        <w:rPr>
          <w:color w:val="17365D" w:themeColor="text2" w:themeShade="BF"/>
        </w:rPr>
      </w:pPr>
      <m:oMathPara>
        <m:oMathParaPr>
          <m:jc m:val="center"/>
        </m:oMathParaPr>
        <m:oMath>
          <m:f>
            <m:fPr>
              <m:ctrlPr>
                <w:rPr>
                  <w:rFonts w:ascii="Cambria Math" w:hAnsi="Cambria Math"/>
                  <w:i/>
                  <w:color w:val="17365D" w:themeColor="text2" w:themeShade="BF"/>
                </w:rPr>
              </m:ctrlPr>
            </m:fPr>
            <m:num>
              <m:r>
                <w:rPr>
                  <w:rFonts w:ascii="Cambria Math" w:hAnsi="Cambria Math"/>
                  <w:color w:val="17365D" w:themeColor="text2" w:themeShade="BF"/>
                </w:rPr>
                <m:t>(Washington Allocated MWh Generation  x  Emission Factor)</m:t>
              </m:r>
            </m:num>
            <m:den>
              <m:r>
                <w:rPr>
                  <w:rFonts w:ascii="Cambria Math" w:hAnsi="Cambria Math"/>
                  <w:color w:val="17365D" w:themeColor="text2" w:themeShade="BF"/>
                </w:rPr>
                <m:t>2000</m:t>
              </m:r>
            </m:den>
          </m:f>
        </m:oMath>
      </m:oMathPara>
    </w:p>
    <w:p w14:paraId="701B6FA1" w14:textId="77777777" w:rsidR="00297ECE" w:rsidRPr="00F66B34" w:rsidRDefault="00297ECE" w:rsidP="00F66B34">
      <w:pPr>
        <w:ind w:left="720"/>
        <w:jc w:val="both"/>
      </w:pPr>
    </w:p>
    <w:p w14:paraId="701B6FA2" w14:textId="77777777" w:rsidR="00297ECE" w:rsidRDefault="00297ECE" w:rsidP="00BF1DA1">
      <w:pPr>
        <w:ind w:left="1620"/>
      </w:pPr>
      <w:r w:rsidRPr="00F66B34">
        <w:t>(d) Sum all emissions from unknown and known resources to determine total annual Short Tons of CO</w:t>
      </w:r>
      <w:r w:rsidRPr="00F66B34">
        <w:rPr>
          <w:vertAlign w:val="subscript"/>
        </w:rPr>
        <w:t>2</w:t>
      </w:r>
      <w:r w:rsidRPr="00F66B34">
        <w:t xml:space="preserve"> emissions. </w:t>
      </w:r>
    </w:p>
    <w:p w14:paraId="701B6FA3" w14:textId="77777777" w:rsidR="00785004" w:rsidRPr="00F66B34" w:rsidRDefault="00785004" w:rsidP="00BF1DA1">
      <w:pPr>
        <w:ind w:left="1620"/>
      </w:pPr>
    </w:p>
    <w:p w14:paraId="701B6FA4" w14:textId="77777777" w:rsidR="00F675E0" w:rsidRPr="00F66B34" w:rsidRDefault="00F675E0" w:rsidP="00F66B34">
      <w:pPr>
        <w:pStyle w:val="Heading2"/>
        <w:spacing w:before="0"/>
        <w:ind w:left="180"/>
        <w:rPr>
          <w:rFonts w:ascii="Times New Roman" w:hAnsi="Times New Roman" w:cs="Times New Roman"/>
          <w:color w:val="auto"/>
          <w:sz w:val="24"/>
          <w:szCs w:val="24"/>
        </w:rPr>
      </w:pPr>
      <w:r w:rsidRPr="00F66B34">
        <w:rPr>
          <w:rFonts w:ascii="Times New Roman" w:hAnsi="Times New Roman" w:cs="Times New Roman"/>
          <w:color w:val="auto"/>
          <w:sz w:val="24"/>
          <w:szCs w:val="24"/>
        </w:rPr>
        <w:t>B. Ratio of Annual CO</w:t>
      </w:r>
      <w:r w:rsidRPr="00F66B34">
        <w:rPr>
          <w:rFonts w:ascii="Times New Roman" w:hAnsi="Times New Roman" w:cs="Times New Roman"/>
          <w:color w:val="auto"/>
          <w:sz w:val="24"/>
          <w:szCs w:val="24"/>
          <w:vertAlign w:val="subscript"/>
        </w:rPr>
        <w:t>2</w:t>
      </w:r>
      <w:r w:rsidRPr="00F66B34">
        <w:rPr>
          <w:rFonts w:ascii="Times New Roman" w:hAnsi="Times New Roman" w:cs="Times New Roman"/>
          <w:color w:val="auto"/>
          <w:sz w:val="24"/>
          <w:szCs w:val="24"/>
        </w:rPr>
        <w:t xml:space="preserve"> Emissions to 1990 CO</w:t>
      </w:r>
      <w:r w:rsidRPr="00F66B34">
        <w:rPr>
          <w:rFonts w:ascii="Times New Roman" w:hAnsi="Times New Roman" w:cs="Times New Roman"/>
          <w:color w:val="auto"/>
          <w:sz w:val="24"/>
          <w:szCs w:val="24"/>
          <w:vertAlign w:val="subscript"/>
        </w:rPr>
        <w:t>2</w:t>
      </w:r>
      <w:r w:rsidRPr="00F66B34">
        <w:rPr>
          <w:rFonts w:ascii="Times New Roman" w:hAnsi="Times New Roman" w:cs="Times New Roman"/>
          <w:color w:val="auto"/>
          <w:sz w:val="24"/>
          <w:szCs w:val="24"/>
        </w:rPr>
        <w:t xml:space="preserve"> Emissions </w:t>
      </w:r>
    </w:p>
    <w:p w14:paraId="701B6FA5" w14:textId="77777777" w:rsidR="00F675E0" w:rsidRPr="00F66B34" w:rsidRDefault="00F675E0" w:rsidP="00F675E0">
      <w:pPr>
        <w:rPr>
          <w:b/>
        </w:rPr>
      </w:pPr>
    </w:p>
    <w:p w14:paraId="701B6FA6" w14:textId="77777777" w:rsidR="00F675E0" w:rsidRPr="00F66B34" w:rsidRDefault="00F675E0" w:rsidP="00F66B34">
      <w:pPr>
        <w:ind w:left="180"/>
      </w:pPr>
      <w:r w:rsidRPr="00F66B34">
        <w:t>WAC 480-109-300(2)(e) requires utilities to report a comparison of annual million short tons of to 1990 emissions. This metric is a simple percentage calculation of each reporting year’s total calculated emissions as described above, relative to the utility’s estimated carbon emissions in 1990:</w:t>
      </w:r>
    </w:p>
    <w:p w14:paraId="701B6FA7" w14:textId="77777777" w:rsidR="00F675E0" w:rsidRPr="00F66B34" w:rsidRDefault="00F675E0" w:rsidP="00F675E0">
      <w:pPr>
        <w:ind w:left="720"/>
        <w:rPr>
          <w:color w:val="17365D" w:themeColor="text2" w:themeShade="BF"/>
        </w:rPr>
      </w:pPr>
    </w:p>
    <w:p w14:paraId="701B6FA8" w14:textId="77777777" w:rsidR="00F675E0" w:rsidRPr="00F66B34" w:rsidRDefault="006E431B" w:rsidP="00F675E0">
      <w:pPr>
        <w:ind w:left="720"/>
        <w:rPr>
          <w:color w:val="17365D" w:themeColor="text2" w:themeShade="BF"/>
        </w:rPr>
      </w:pPr>
      <m:oMathPara>
        <m:oMath>
          <m:f>
            <m:fPr>
              <m:ctrlPr>
                <w:rPr>
                  <w:rFonts w:ascii="Cambria Math" w:hAnsi="Cambria Math"/>
                  <w:i/>
                  <w:color w:val="17365D" w:themeColor="text2" w:themeShade="BF"/>
                </w:rPr>
              </m:ctrlPr>
            </m:fPr>
            <m:num>
              <m:r>
                <w:rPr>
                  <w:rFonts w:ascii="Cambria Math" w:hAnsi="Cambria Math"/>
                  <w:color w:val="17365D" w:themeColor="text2" w:themeShade="BF"/>
                </w:rPr>
                <m:t>Annual Short Tons of CO₂ Emitted</m:t>
              </m:r>
            </m:num>
            <m:den>
              <m:r>
                <w:rPr>
                  <w:rFonts w:ascii="Cambria Math" w:hAnsi="Cambria Math"/>
                  <w:color w:val="17365D" w:themeColor="text2" w:themeShade="BF"/>
                </w:rPr>
                <m:t>1990 Short Tons of CO₂ Emitted</m:t>
              </m:r>
            </m:den>
          </m:f>
        </m:oMath>
      </m:oMathPara>
    </w:p>
    <w:p w14:paraId="701B6FA9" w14:textId="77777777" w:rsidR="00F675E0" w:rsidRPr="00F66B34" w:rsidRDefault="00F675E0" w:rsidP="00F675E0">
      <w:pPr>
        <w:ind w:left="720"/>
      </w:pPr>
    </w:p>
    <w:p w14:paraId="701B6FAA" w14:textId="77777777" w:rsidR="00F675E0" w:rsidRPr="00F66B34" w:rsidRDefault="00F675E0" w:rsidP="00F66B34">
      <w:pPr>
        <w:ind w:left="180"/>
      </w:pPr>
      <w:r w:rsidRPr="00F66B34">
        <w:t xml:space="preserve">The 1990 carbon emission values for each utility were developed in UE-131723 workgroups. </w:t>
      </w:r>
    </w:p>
    <w:p w14:paraId="701B6FAB" w14:textId="77777777" w:rsidR="00F675E0" w:rsidRPr="00F66B34" w:rsidRDefault="00F675E0" w:rsidP="00F675E0">
      <w:pPr>
        <w:ind w:left="720"/>
        <w:jc w:val="center"/>
      </w:pPr>
    </w:p>
    <w:p w14:paraId="701B6FAC" w14:textId="77777777" w:rsidR="00F675E0" w:rsidRPr="00EE7260" w:rsidRDefault="00F675E0" w:rsidP="00F675E0"/>
    <w:p w14:paraId="701B6FAD" w14:textId="77777777" w:rsidR="00297ECE" w:rsidRPr="00F66B34" w:rsidRDefault="00297ECE" w:rsidP="00F66B34">
      <w:pPr>
        <w:jc w:val="both"/>
        <w:rPr>
          <w:b/>
        </w:rPr>
      </w:pPr>
    </w:p>
    <w:sectPr w:rsidR="00297ECE" w:rsidRPr="00F66B34" w:rsidSect="009048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B6FB6" w14:textId="77777777" w:rsidR="00DB593B" w:rsidRDefault="00DB593B" w:rsidP="00D4200D">
      <w:r>
        <w:separator/>
      </w:r>
    </w:p>
  </w:endnote>
  <w:endnote w:type="continuationSeparator" w:id="0">
    <w:p w14:paraId="701B6FB7" w14:textId="77777777" w:rsidR="00DB593B" w:rsidRDefault="00DB593B" w:rsidP="00D4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B6FBA" w14:textId="77777777" w:rsidR="003B752D" w:rsidRDefault="003B75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182693"/>
      <w:docPartObj>
        <w:docPartGallery w:val="Page Numbers (Bottom of Page)"/>
        <w:docPartUnique/>
      </w:docPartObj>
    </w:sdtPr>
    <w:sdtEndPr/>
    <w:sdtContent>
      <w:p w14:paraId="701B6FBB" w14:textId="77777777" w:rsidR="00DB593B" w:rsidRDefault="006E431B">
        <w:pPr>
          <w:pStyle w:val="Footer"/>
          <w:jc w:val="center"/>
        </w:pPr>
      </w:p>
    </w:sdtContent>
  </w:sdt>
  <w:p w14:paraId="701B6FBC" w14:textId="77777777" w:rsidR="00DB593B" w:rsidRDefault="00DB59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B6FBE" w14:textId="77777777" w:rsidR="003B752D" w:rsidRDefault="003B75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770691"/>
      <w:docPartObj>
        <w:docPartGallery w:val="Page Numbers (Bottom of Page)"/>
        <w:docPartUnique/>
      </w:docPartObj>
    </w:sdtPr>
    <w:sdtEndPr/>
    <w:sdtContent>
      <w:p w14:paraId="701B6FBF" w14:textId="77777777" w:rsidR="00DB593B" w:rsidRPr="00EA0F4C" w:rsidRDefault="00DB593B">
        <w:pPr>
          <w:pStyle w:val="Footer"/>
          <w:jc w:val="center"/>
        </w:pPr>
        <w:r w:rsidRPr="00EA0F4C">
          <w:t xml:space="preserve">Page </w:t>
        </w:r>
        <w:r>
          <w:fldChar w:fldCharType="begin"/>
        </w:r>
        <w:r>
          <w:instrText xml:space="preserve"> PAGE   \* MERGEFORMAT </w:instrText>
        </w:r>
        <w:r>
          <w:fldChar w:fldCharType="separate"/>
        </w:r>
        <w:r w:rsidR="006E431B">
          <w:rPr>
            <w:noProof/>
          </w:rPr>
          <w:t>12</w:t>
        </w:r>
        <w:r>
          <w:rPr>
            <w:noProof/>
          </w:rPr>
          <w:fldChar w:fldCharType="end"/>
        </w:r>
      </w:p>
    </w:sdtContent>
  </w:sdt>
  <w:p w14:paraId="701B6FC0" w14:textId="77777777" w:rsidR="00DB593B" w:rsidRDefault="00DB5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B6FB4" w14:textId="77777777" w:rsidR="00DB593B" w:rsidRDefault="00DB593B" w:rsidP="00D4200D">
      <w:r>
        <w:separator/>
      </w:r>
    </w:p>
  </w:footnote>
  <w:footnote w:type="continuationSeparator" w:id="0">
    <w:p w14:paraId="701B6FB5" w14:textId="77777777" w:rsidR="00DB593B" w:rsidRDefault="00DB593B" w:rsidP="00D4200D">
      <w:r>
        <w:continuationSeparator/>
      </w:r>
    </w:p>
  </w:footnote>
  <w:footnote w:id="1">
    <w:p w14:paraId="701B6FC1" w14:textId="77777777" w:rsidR="00DB593B" w:rsidRDefault="00DB593B" w:rsidP="00BC2CD5">
      <w:pPr>
        <w:pStyle w:val="FootnoteText"/>
      </w:pPr>
      <w:r>
        <w:rPr>
          <w:rStyle w:val="FootnoteReference"/>
        </w:rPr>
        <w:footnoteRef/>
      </w:r>
      <w:r>
        <w:t xml:space="preserve"> In this report, the term ‘customer’ represents the number of customers billed. The term ‘population’ refers to the estimated number of people served within the residential customer count.  </w:t>
      </w:r>
    </w:p>
  </w:footnote>
  <w:footnote w:id="2">
    <w:p w14:paraId="701B6FC2" w14:textId="77777777" w:rsidR="00DB593B" w:rsidRDefault="00DB593B">
      <w:pPr>
        <w:pStyle w:val="FootnoteText"/>
      </w:pPr>
      <w:r>
        <w:rPr>
          <w:rStyle w:val="FootnoteReference"/>
        </w:rPr>
        <w:footnoteRef/>
      </w:r>
      <w:r>
        <w:t xml:space="preserve"> The change in 2010 to 2011 is largely attributed to how the population is calculated. Years 2006-2010 use a different methodology than years 2011-2015. The methodologies are described in greater detail in the report appendices.</w:t>
      </w:r>
    </w:p>
  </w:footnote>
  <w:footnote w:id="3">
    <w:p w14:paraId="701B6FC3" w14:textId="77777777" w:rsidR="00DB593B" w:rsidRDefault="00DB593B">
      <w:pPr>
        <w:pStyle w:val="FootnoteText"/>
      </w:pPr>
      <w:r>
        <w:rPr>
          <w:rStyle w:val="FootnoteReference"/>
        </w:rPr>
        <w:footnoteRef/>
      </w:r>
      <w:r>
        <w:t xml:space="preserve"> Negative metrics are attributed to having more sales than purchases from unknown resources from 2008 through 2010.  </w:t>
      </w:r>
    </w:p>
  </w:footnote>
  <w:footnote w:id="4">
    <w:p w14:paraId="701B6FC4" w14:textId="77777777" w:rsidR="00DB593B" w:rsidRDefault="00DB593B" w:rsidP="000E4EDB">
      <w:pPr>
        <w:pStyle w:val="FootnoteText"/>
      </w:pPr>
      <w:r>
        <w:rPr>
          <w:rStyle w:val="FootnoteReference"/>
        </w:rPr>
        <w:footnoteRef/>
      </w:r>
      <w:r>
        <w:t xml:space="preserve"> United States Census Bureau </w:t>
      </w:r>
      <w:r w:rsidRPr="00480858">
        <w:rPr>
          <w:i/>
        </w:rPr>
        <w:t>American Communities Survey</w:t>
      </w:r>
      <w:r>
        <w:rPr>
          <w:i/>
        </w:rPr>
        <w:t xml:space="preserve"> </w:t>
      </w:r>
      <w:r w:rsidRPr="00A25CF3">
        <w:t>(ACS)</w:t>
      </w:r>
      <w:r>
        <w:t xml:space="preserve"> data for reporting years 2011 through 2015 were derived from </w:t>
      </w:r>
      <w:r w:rsidRPr="00EE176C">
        <w:rPr>
          <w:i/>
        </w:rPr>
        <w:t xml:space="preserve">Detailed Tables </w:t>
      </w:r>
      <w:r w:rsidRPr="00EE176C">
        <w:t xml:space="preserve">and </w:t>
      </w:r>
      <w:r w:rsidRPr="00EE176C">
        <w:rPr>
          <w:i/>
        </w:rPr>
        <w:t>Block Group Data</w:t>
      </w:r>
      <w:r>
        <w:t xml:space="preserve"> accessed from </w:t>
      </w:r>
      <w:hyperlink r:id="rId1" w:history="1">
        <w:r w:rsidRPr="004969EF">
          <w:rPr>
            <w:rStyle w:val="Hyperlink"/>
          </w:rPr>
          <w:t>https://www.census.gov/geo/maps-data/data/tiger-data.html</w:t>
        </w:r>
      </w:hyperlink>
      <w:r>
        <w:t xml:space="preserve"> </w:t>
      </w:r>
    </w:p>
  </w:footnote>
  <w:footnote w:id="5">
    <w:p w14:paraId="701B6FC5" w14:textId="77777777" w:rsidR="00DB593B" w:rsidRDefault="00DB593B" w:rsidP="000E4EDB">
      <w:pPr>
        <w:pStyle w:val="FootnoteText"/>
      </w:pPr>
      <w:r>
        <w:rPr>
          <w:rStyle w:val="FootnoteReference"/>
        </w:rPr>
        <w:footnoteRef/>
      </w:r>
      <w:r>
        <w:t xml:space="preserve"> Washington State Office of Financial Management </w:t>
      </w:r>
      <w:r>
        <w:rPr>
          <w:i/>
        </w:rPr>
        <w:t>Population Trends</w:t>
      </w:r>
      <w:r>
        <w:t xml:space="preserve"> available at </w:t>
      </w:r>
      <w:hyperlink r:id="rId2" w:history="1">
        <w:r w:rsidRPr="004969EF">
          <w:rPr>
            <w:rStyle w:val="Hyperlink"/>
          </w:rPr>
          <w:t>http://www.ofm.wa.gov/pop/april1/hseries/default.asp</w:t>
        </w:r>
      </w:hyperlink>
      <w:r>
        <w:t xml:space="preserve"> and </w:t>
      </w:r>
      <w:hyperlink r:id="rId3" w:history="1">
        <w:r w:rsidRPr="004969EF">
          <w:rPr>
            <w:rStyle w:val="Hyperlink"/>
          </w:rPr>
          <w:t>http://www.ofm.wa.gov/pop/april1/hseries/ofm_april1_intercensal_estimates_2000-2010.xlsx</w:t>
        </w:r>
      </w:hyperlink>
      <w:r>
        <w:t xml:space="preserve"> </w:t>
      </w:r>
    </w:p>
  </w:footnote>
  <w:footnote w:id="6">
    <w:p w14:paraId="701B6FC6" w14:textId="77777777" w:rsidR="00DB593B" w:rsidRDefault="00DB593B" w:rsidP="000E4EDB">
      <w:pPr>
        <w:pStyle w:val="FootnoteText"/>
      </w:pPr>
      <w:r>
        <w:rPr>
          <w:rStyle w:val="FootnoteReference"/>
        </w:rPr>
        <w:footnoteRef/>
      </w:r>
      <w:r>
        <w:t xml:space="preserve"> For reporting years 2007 through 2015.  </w:t>
      </w:r>
    </w:p>
    <w:p w14:paraId="701B6FC7" w14:textId="77777777" w:rsidR="00DB593B" w:rsidRDefault="00DB593B" w:rsidP="000E4EDB">
      <w:pPr>
        <w:pStyle w:val="FootnoteText"/>
      </w:pPr>
      <w:r>
        <w:t>For reporting year 2006 (</w:t>
      </w:r>
      <w:r w:rsidR="00785004">
        <w:t>before</w:t>
      </w:r>
      <w:r>
        <w:t xml:space="preserve"> adoption of the WCA methodology), the Company made an effort to report em</w:t>
      </w:r>
      <w:r w:rsidR="00785004">
        <w:t>issions consistent with the WCA</w:t>
      </w:r>
      <w:r>
        <w:t xml:space="preserve">.  PacifiCorp was able to identify approximately 93 percent of the generation that would have been allocated to serving Washington on a WCA basis. The remaining generation was assumed to have been from unknown resources. </w:t>
      </w:r>
    </w:p>
  </w:footnote>
  <w:footnote w:id="7">
    <w:p w14:paraId="701B6FC8" w14:textId="77777777" w:rsidR="00DB593B" w:rsidRPr="00EE7260" w:rsidRDefault="00DB593B" w:rsidP="00297ECE">
      <w:pPr>
        <w:pStyle w:val="FootnoteText"/>
        <w:rPr>
          <w:i/>
        </w:rPr>
      </w:pPr>
      <w:r>
        <w:rPr>
          <w:rStyle w:val="FootnoteReference"/>
        </w:rPr>
        <w:footnoteRef/>
      </w:r>
      <w:r>
        <w:t xml:space="preserve"> Annual emission rates provided by Washington Department of Commerce on May 23, 2016; </w:t>
      </w:r>
      <w:r w:rsidRPr="00EE7260">
        <w:t xml:space="preserve">NW Power Pool Net System Emissions Rates 2005-2005 Revised ab.xlsx </w:t>
      </w:r>
    </w:p>
  </w:footnote>
  <w:footnote w:id="8">
    <w:p w14:paraId="701B6FC9" w14:textId="77777777" w:rsidR="00DB593B" w:rsidRDefault="00DB593B" w:rsidP="00297ECE">
      <w:pPr>
        <w:pStyle w:val="FootnoteText"/>
      </w:pPr>
      <w:r>
        <w:rPr>
          <w:rStyle w:val="FootnoteReference"/>
        </w:rPr>
        <w:footnoteRef/>
      </w:r>
      <w:r>
        <w:t xml:space="preserve"> EP</w:t>
      </w:r>
      <w:r w:rsidRPr="00434375">
        <w:t xml:space="preserve">A’s </w:t>
      </w:r>
      <w:r w:rsidRPr="00EE7260">
        <w:rPr>
          <w:i/>
        </w:rPr>
        <w:t>Air Markets Program</w:t>
      </w:r>
      <w:r w:rsidRPr="00434375">
        <w:t xml:space="preserve"> Data (AMPD) </w:t>
      </w:r>
      <w:r>
        <w:t xml:space="preserve">contains </w:t>
      </w:r>
      <w:r w:rsidRPr="00434375">
        <w:t xml:space="preserve">current and historical data collected as part of </w:t>
      </w:r>
      <w:r>
        <w:t xml:space="preserve">the </w:t>
      </w:r>
      <w:r w:rsidRPr="00434375">
        <w:t>EPA's emissions trading programs.</w:t>
      </w:r>
      <w:r>
        <w:t xml:space="preserve">  Accessed from: </w:t>
      </w:r>
      <w:hyperlink r:id="rId4" w:history="1">
        <w:r w:rsidRPr="00416864">
          <w:rPr>
            <w:rStyle w:val="Hyperlink"/>
          </w:rPr>
          <w:t>https://ampd.epa.gov/ampd/</w:t>
        </w:r>
      </w:hyperlink>
      <w:r>
        <w:t xml:space="preserve">.  </w:t>
      </w:r>
    </w:p>
  </w:footnote>
  <w:footnote w:id="9">
    <w:p w14:paraId="701B6FCA" w14:textId="77777777" w:rsidR="00DB593B" w:rsidRDefault="00DB593B" w:rsidP="00297ECE">
      <w:pPr>
        <w:pStyle w:val="FootnoteText"/>
      </w:pPr>
      <w:r>
        <w:rPr>
          <w:rStyle w:val="FootnoteReference"/>
        </w:rPr>
        <w:footnoteRef/>
      </w:r>
      <w:r>
        <w:t xml:space="preserve"> Consistent with PacifiCorp’s </w:t>
      </w:r>
      <w:r w:rsidR="00785004">
        <w:t>West Control Area Inter-Jurisdictional Allocation Methodology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B6FB8" w14:textId="77777777" w:rsidR="003B752D" w:rsidRDefault="003B75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B6FB9" w14:textId="77777777" w:rsidR="003B752D" w:rsidRDefault="003B75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B6FBD" w14:textId="77777777" w:rsidR="003B752D" w:rsidRDefault="003B75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751A"/>
    <w:multiLevelType w:val="singleLevel"/>
    <w:tmpl w:val="436ABFDA"/>
    <w:lvl w:ilvl="0">
      <w:start w:val="1"/>
      <w:numFmt w:val="bullet"/>
      <w:pStyle w:val="b"/>
      <w:lvlText w:val=""/>
      <w:lvlJc w:val="left"/>
      <w:pPr>
        <w:tabs>
          <w:tab w:val="num" w:pos="360"/>
        </w:tabs>
        <w:ind w:left="360" w:hanging="360"/>
      </w:pPr>
      <w:rPr>
        <w:rFonts w:ascii="Wingdings" w:hAnsi="Wingdings" w:hint="default"/>
      </w:rPr>
    </w:lvl>
  </w:abstractNum>
  <w:abstractNum w:abstractNumId="1" w15:restartNumberingAfterBreak="0">
    <w:nsid w:val="11F522CF"/>
    <w:multiLevelType w:val="hybridMultilevel"/>
    <w:tmpl w:val="4FD86FA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B83423"/>
    <w:multiLevelType w:val="hybridMultilevel"/>
    <w:tmpl w:val="B8A8A886"/>
    <w:lvl w:ilvl="0" w:tplc="1FBA7A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10F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1F2C2D"/>
    <w:multiLevelType w:val="hybridMultilevel"/>
    <w:tmpl w:val="CED44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32EFF"/>
    <w:multiLevelType w:val="hybridMultilevel"/>
    <w:tmpl w:val="0540B65C"/>
    <w:lvl w:ilvl="0" w:tplc="6EE608E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46A06"/>
    <w:multiLevelType w:val="hybridMultilevel"/>
    <w:tmpl w:val="58D42C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2E068D"/>
    <w:multiLevelType w:val="hybridMultilevel"/>
    <w:tmpl w:val="7CC61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796094"/>
    <w:multiLevelType w:val="hybridMultilevel"/>
    <w:tmpl w:val="9AE6EC44"/>
    <w:lvl w:ilvl="0" w:tplc="1D769C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190DCD"/>
    <w:multiLevelType w:val="hybridMultilevel"/>
    <w:tmpl w:val="6EB447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B02871"/>
    <w:multiLevelType w:val="hybridMultilevel"/>
    <w:tmpl w:val="C47095EC"/>
    <w:lvl w:ilvl="0" w:tplc="25B298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73F66"/>
    <w:multiLevelType w:val="hybridMultilevel"/>
    <w:tmpl w:val="E342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6259A"/>
    <w:multiLevelType w:val="hybridMultilevel"/>
    <w:tmpl w:val="DFC060F2"/>
    <w:lvl w:ilvl="0" w:tplc="4F144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FD798E"/>
    <w:multiLevelType w:val="hybridMultilevel"/>
    <w:tmpl w:val="DECCD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4F23635"/>
    <w:multiLevelType w:val="hybridMultilevel"/>
    <w:tmpl w:val="62CEDB6A"/>
    <w:lvl w:ilvl="0" w:tplc="E5F206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1"/>
  </w:num>
  <w:num w:numId="5">
    <w:abstractNumId w:val="11"/>
  </w:num>
  <w:num w:numId="6">
    <w:abstractNumId w:val="4"/>
  </w:num>
  <w:num w:numId="7">
    <w:abstractNumId w:val="5"/>
  </w:num>
  <w:num w:numId="8">
    <w:abstractNumId w:val="14"/>
  </w:num>
  <w:num w:numId="9">
    <w:abstractNumId w:val="3"/>
  </w:num>
  <w:num w:numId="10">
    <w:abstractNumId w:val="12"/>
  </w:num>
  <w:num w:numId="11">
    <w:abstractNumId w:val="8"/>
  </w:num>
  <w:num w:numId="12">
    <w:abstractNumId w:val="13"/>
  </w:num>
  <w:num w:numId="13">
    <w:abstractNumId w:val="10"/>
  </w:num>
  <w:num w:numId="14">
    <w:abstractNumId w:val="2"/>
  </w:num>
  <w:num w:numId="1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00D"/>
    <w:rsid w:val="00071EFC"/>
    <w:rsid w:val="000C514A"/>
    <w:rsid w:val="000E4EDB"/>
    <w:rsid w:val="000E7B79"/>
    <w:rsid w:val="00115D6B"/>
    <w:rsid w:val="001336D5"/>
    <w:rsid w:val="001348B6"/>
    <w:rsid w:val="001427C4"/>
    <w:rsid w:val="00172808"/>
    <w:rsid w:val="001C70C5"/>
    <w:rsid w:val="002511A4"/>
    <w:rsid w:val="002601A0"/>
    <w:rsid w:val="00264F5A"/>
    <w:rsid w:val="0026772D"/>
    <w:rsid w:val="0028293A"/>
    <w:rsid w:val="00297ECE"/>
    <w:rsid w:val="002A2850"/>
    <w:rsid w:val="002A6B3B"/>
    <w:rsid w:val="002C2A52"/>
    <w:rsid w:val="002C6D49"/>
    <w:rsid w:val="00314F2D"/>
    <w:rsid w:val="003241A3"/>
    <w:rsid w:val="003308A7"/>
    <w:rsid w:val="003505E4"/>
    <w:rsid w:val="00371E8D"/>
    <w:rsid w:val="00373051"/>
    <w:rsid w:val="00383347"/>
    <w:rsid w:val="003A02A8"/>
    <w:rsid w:val="003B63DF"/>
    <w:rsid w:val="003B752D"/>
    <w:rsid w:val="003C01F1"/>
    <w:rsid w:val="003E572A"/>
    <w:rsid w:val="00421585"/>
    <w:rsid w:val="00431D06"/>
    <w:rsid w:val="00437BC4"/>
    <w:rsid w:val="004454B6"/>
    <w:rsid w:val="00451AEA"/>
    <w:rsid w:val="00467ABC"/>
    <w:rsid w:val="00480858"/>
    <w:rsid w:val="004973A2"/>
    <w:rsid w:val="004A3B9C"/>
    <w:rsid w:val="004E5072"/>
    <w:rsid w:val="004F214E"/>
    <w:rsid w:val="0052524D"/>
    <w:rsid w:val="00574F72"/>
    <w:rsid w:val="005B7E3D"/>
    <w:rsid w:val="006153E3"/>
    <w:rsid w:val="0064513B"/>
    <w:rsid w:val="0065531F"/>
    <w:rsid w:val="006749AA"/>
    <w:rsid w:val="00684C8F"/>
    <w:rsid w:val="00685970"/>
    <w:rsid w:val="006A14BE"/>
    <w:rsid w:val="006A5903"/>
    <w:rsid w:val="006A5F7C"/>
    <w:rsid w:val="006E2060"/>
    <w:rsid w:val="006E431B"/>
    <w:rsid w:val="006F1340"/>
    <w:rsid w:val="006F529D"/>
    <w:rsid w:val="0070446A"/>
    <w:rsid w:val="00710443"/>
    <w:rsid w:val="007355E4"/>
    <w:rsid w:val="00764EA8"/>
    <w:rsid w:val="007700C1"/>
    <w:rsid w:val="00785004"/>
    <w:rsid w:val="00790D02"/>
    <w:rsid w:val="00795A97"/>
    <w:rsid w:val="007A682F"/>
    <w:rsid w:val="007C25BF"/>
    <w:rsid w:val="007D0D46"/>
    <w:rsid w:val="007E0C44"/>
    <w:rsid w:val="007F1C85"/>
    <w:rsid w:val="00805225"/>
    <w:rsid w:val="008A5C36"/>
    <w:rsid w:val="008B1E7D"/>
    <w:rsid w:val="008C085B"/>
    <w:rsid w:val="008C31F8"/>
    <w:rsid w:val="008F1948"/>
    <w:rsid w:val="00904861"/>
    <w:rsid w:val="00905BF4"/>
    <w:rsid w:val="009219C9"/>
    <w:rsid w:val="009557E2"/>
    <w:rsid w:val="0096769C"/>
    <w:rsid w:val="009A12F1"/>
    <w:rsid w:val="009A69D9"/>
    <w:rsid w:val="009F0F5E"/>
    <w:rsid w:val="009F5B64"/>
    <w:rsid w:val="00A25CF3"/>
    <w:rsid w:val="00A2752E"/>
    <w:rsid w:val="00A360E2"/>
    <w:rsid w:val="00A54294"/>
    <w:rsid w:val="00A8713D"/>
    <w:rsid w:val="00AE0E84"/>
    <w:rsid w:val="00B05510"/>
    <w:rsid w:val="00B25488"/>
    <w:rsid w:val="00B35E4A"/>
    <w:rsid w:val="00B71FA2"/>
    <w:rsid w:val="00B76B5D"/>
    <w:rsid w:val="00B81FCC"/>
    <w:rsid w:val="00BA5C01"/>
    <w:rsid w:val="00BB02DE"/>
    <w:rsid w:val="00BC2CD5"/>
    <w:rsid w:val="00BC774B"/>
    <w:rsid w:val="00BD264E"/>
    <w:rsid w:val="00BF1DA1"/>
    <w:rsid w:val="00C02A0E"/>
    <w:rsid w:val="00C02F2F"/>
    <w:rsid w:val="00C05E04"/>
    <w:rsid w:val="00C34992"/>
    <w:rsid w:val="00C36D5B"/>
    <w:rsid w:val="00C55599"/>
    <w:rsid w:val="00C64727"/>
    <w:rsid w:val="00C71C0B"/>
    <w:rsid w:val="00C744E7"/>
    <w:rsid w:val="00CE61FC"/>
    <w:rsid w:val="00D12AE4"/>
    <w:rsid w:val="00D32321"/>
    <w:rsid w:val="00D4200D"/>
    <w:rsid w:val="00D84004"/>
    <w:rsid w:val="00DB0817"/>
    <w:rsid w:val="00DB593B"/>
    <w:rsid w:val="00DD04F2"/>
    <w:rsid w:val="00DF1462"/>
    <w:rsid w:val="00E13E1D"/>
    <w:rsid w:val="00E52AD9"/>
    <w:rsid w:val="00EB407B"/>
    <w:rsid w:val="00EE176C"/>
    <w:rsid w:val="00F016FB"/>
    <w:rsid w:val="00F20FC4"/>
    <w:rsid w:val="00F35288"/>
    <w:rsid w:val="00F438B2"/>
    <w:rsid w:val="00F43A5E"/>
    <w:rsid w:val="00F66B34"/>
    <w:rsid w:val="00F675E0"/>
    <w:rsid w:val="00FD6ED8"/>
    <w:rsid w:val="00FF4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1B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00D"/>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qFormat/>
    <w:rsid w:val="00D42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D420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219C9"/>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0E4ED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200D"/>
    <w:rPr>
      <w:rFonts w:ascii="Arial" w:eastAsia="MS Mincho" w:hAnsi="Arial" w:cs="Arial"/>
      <w:b/>
      <w:bCs/>
      <w:kern w:val="32"/>
      <w:sz w:val="32"/>
      <w:szCs w:val="32"/>
      <w:lang w:eastAsia="ja-JP"/>
    </w:rPr>
  </w:style>
  <w:style w:type="character" w:customStyle="1" w:styleId="Heading2Char">
    <w:name w:val="Heading 2 Char"/>
    <w:basedOn w:val="DefaultParagraphFont"/>
    <w:link w:val="Heading2"/>
    <w:uiPriority w:val="9"/>
    <w:rsid w:val="00D4200D"/>
    <w:rPr>
      <w:rFonts w:asciiTheme="majorHAnsi" w:eastAsiaTheme="majorEastAsia" w:hAnsiTheme="majorHAnsi" w:cstheme="majorBidi"/>
      <w:b/>
      <w:bCs/>
      <w:color w:val="4F81BD" w:themeColor="accent1"/>
      <w:sz w:val="26"/>
      <w:szCs w:val="26"/>
      <w:lang w:eastAsia="ja-JP"/>
    </w:rPr>
  </w:style>
  <w:style w:type="paragraph" w:customStyle="1" w:styleId="tabletitle">
    <w:name w:val="table title"/>
    <w:basedOn w:val="Normal"/>
    <w:rsid w:val="00D4200D"/>
    <w:pPr>
      <w:keepNext/>
      <w:spacing w:before="180" w:after="60"/>
      <w:jc w:val="center"/>
    </w:pPr>
    <w:rPr>
      <w:rFonts w:eastAsia="Times New Roman"/>
      <w:b/>
      <w:bCs/>
      <w:lang w:eastAsia="en-US"/>
    </w:rPr>
  </w:style>
  <w:style w:type="paragraph" w:styleId="FootnoteText">
    <w:name w:val="footnote text"/>
    <w:aliases w:val="Footnote Text1 Char,Footnote Text Char Ch,Car"/>
    <w:basedOn w:val="Normal"/>
    <w:link w:val="FootnoteTextChar"/>
    <w:uiPriority w:val="99"/>
    <w:rsid w:val="00D4200D"/>
    <w:rPr>
      <w:sz w:val="20"/>
      <w:szCs w:val="20"/>
    </w:rPr>
  </w:style>
  <w:style w:type="character" w:customStyle="1" w:styleId="FootnoteTextChar">
    <w:name w:val="Footnote Text Char"/>
    <w:aliases w:val="Footnote Text1 Char Char,Footnote Text Char Ch Char,Car Char"/>
    <w:basedOn w:val="DefaultParagraphFont"/>
    <w:link w:val="FootnoteText"/>
    <w:uiPriority w:val="99"/>
    <w:rsid w:val="00D4200D"/>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rsid w:val="00D4200D"/>
    <w:rPr>
      <w:vertAlign w:val="superscript"/>
    </w:rPr>
  </w:style>
  <w:style w:type="table" w:styleId="TableGrid">
    <w:name w:val="Table Grid"/>
    <w:basedOn w:val="TableNormal"/>
    <w:uiPriority w:val="39"/>
    <w:rsid w:val="00D4200D"/>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uiPriority w:val="99"/>
    <w:rsid w:val="00D4200D"/>
    <w:pPr>
      <w:spacing w:after="160" w:line="240" w:lineRule="exact"/>
    </w:pPr>
    <w:rPr>
      <w:rFonts w:ascii="CG Times" w:eastAsia="Times New Roman" w:hAnsi="CG Times" w:cs="CG Times"/>
      <w:sz w:val="20"/>
      <w:szCs w:val="20"/>
      <w:lang w:eastAsia="en-US"/>
    </w:rPr>
  </w:style>
  <w:style w:type="paragraph" w:styleId="BalloonText">
    <w:name w:val="Balloon Text"/>
    <w:basedOn w:val="Normal"/>
    <w:link w:val="BalloonTextChar"/>
    <w:uiPriority w:val="99"/>
    <w:semiHidden/>
    <w:rsid w:val="00D4200D"/>
    <w:rPr>
      <w:rFonts w:ascii="Tahoma" w:hAnsi="Tahoma" w:cs="Tahoma"/>
      <w:sz w:val="16"/>
      <w:szCs w:val="16"/>
    </w:rPr>
  </w:style>
  <w:style w:type="character" w:customStyle="1" w:styleId="BalloonTextChar">
    <w:name w:val="Balloon Text Char"/>
    <w:basedOn w:val="DefaultParagraphFont"/>
    <w:link w:val="BalloonText"/>
    <w:uiPriority w:val="99"/>
    <w:semiHidden/>
    <w:rsid w:val="00D4200D"/>
    <w:rPr>
      <w:rFonts w:ascii="Tahoma" w:eastAsia="MS Mincho" w:hAnsi="Tahoma" w:cs="Tahoma"/>
      <w:sz w:val="16"/>
      <w:szCs w:val="16"/>
      <w:lang w:eastAsia="ja-JP"/>
    </w:rPr>
  </w:style>
  <w:style w:type="character" w:styleId="Hyperlink">
    <w:name w:val="Hyperlink"/>
    <w:basedOn w:val="DefaultParagraphFont"/>
    <w:uiPriority w:val="99"/>
    <w:rsid w:val="00D4200D"/>
    <w:rPr>
      <w:color w:val="0000FF"/>
      <w:u w:val="single"/>
    </w:rPr>
  </w:style>
  <w:style w:type="paragraph" w:customStyle="1" w:styleId="CharChar21">
    <w:name w:val="Char Char21"/>
    <w:basedOn w:val="Normal"/>
    <w:uiPriority w:val="99"/>
    <w:rsid w:val="00D4200D"/>
    <w:pPr>
      <w:spacing w:after="160" w:line="240" w:lineRule="exact"/>
    </w:pPr>
    <w:rPr>
      <w:rFonts w:ascii="CG Times" w:eastAsia="Times New Roman" w:hAnsi="CG Times" w:cs="CG Times"/>
      <w:sz w:val="20"/>
      <w:szCs w:val="20"/>
      <w:lang w:eastAsia="en-US"/>
    </w:rPr>
  </w:style>
  <w:style w:type="paragraph" w:styleId="ListParagraph">
    <w:name w:val="List Paragraph"/>
    <w:basedOn w:val="Normal"/>
    <w:uiPriority w:val="34"/>
    <w:qFormat/>
    <w:rsid w:val="00D4200D"/>
    <w:pPr>
      <w:ind w:left="720"/>
      <w:contextualSpacing/>
    </w:pPr>
  </w:style>
  <w:style w:type="paragraph" w:styleId="Header">
    <w:name w:val="header"/>
    <w:basedOn w:val="Normal"/>
    <w:link w:val="HeaderChar"/>
    <w:uiPriority w:val="99"/>
    <w:semiHidden/>
    <w:rsid w:val="00D4200D"/>
    <w:pPr>
      <w:tabs>
        <w:tab w:val="center" w:pos="4680"/>
        <w:tab w:val="right" w:pos="9360"/>
      </w:tabs>
    </w:pPr>
  </w:style>
  <w:style w:type="character" w:customStyle="1" w:styleId="HeaderChar">
    <w:name w:val="Header Char"/>
    <w:basedOn w:val="DefaultParagraphFont"/>
    <w:link w:val="Header"/>
    <w:uiPriority w:val="99"/>
    <w:semiHidden/>
    <w:rsid w:val="00D4200D"/>
    <w:rPr>
      <w:rFonts w:ascii="Times New Roman" w:eastAsia="MS Mincho" w:hAnsi="Times New Roman" w:cs="Times New Roman"/>
      <w:sz w:val="24"/>
      <w:szCs w:val="24"/>
      <w:lang w:eastAsia="ja-JP"/>
    </w:rPr>
  </w:style>
  <w:style w:type="paragraph" w:styleId="Footer">
    <w:name w:val="footer"/>
    <w:basedOn w:val="Normal"/>
    <w:link w:val="FooterChar"/>
    <w:uiPriority w:val="99"/>
    <w:rsid w:val="00D4200D"/>
    <w:pPr>
      <w:tabs>
        <w:tab w:val="center" w:pos="4680"/>
        <w:tab w:val="right" w:pos="9360"/>
      </w:tabs>
    </w:pPr>
  </w:style>
  <w:style w:type="character" w:customStyle="1" w:styleId="FooterChar">
    <w:name w:val="Footer Char"/>
    <w:basedOn w:val="DefaultParagraphFont"/>
    <w:link w:val="Footer"/>
    <w:uiPriority w:val="99"/>
    <w:rsid w:val="00D4200D"/>
    <w:rPr>
      <w:rFonts w:ascii="Times New Roman" w:eastAsia="MS Mincho" w:hAnsi="Times New Roman" w:cs="Times New Roman"/>
      <w:sz w:val="24"/>
      <w:szCs w:val="24"/>
      <w:lang w:eastAsia="ja-JP"/>
    </w:rPr>
  </w:style>
  <w:style w:type="paragraph" w:customStyle="1" w:styleId="tabletext">
    <w:name w:val="table text"/>
    <w:basedOn w:val="Normal"/>
    <w:rsid w:val="00D4200D"/>
    <w:pPr>
      <w:spacing w:before="20" w:after="20"/>
    </w:pPr>
    <w:rPr>
      <w:rFonts w:ascii="Arial Narrow" w:eastAsia="Times New Roman" w:hAnsi="Arial Narrow" w:cs="Arial Narrow"/>
      <w:sz w:val="20"/>
      <w:szCs w:val="20"/>
      <w:lang w:eastAsia="en-US"/>
    </w:rPr>
  </w:style>
  <w:style w:type="paragraph" w:styleId="NoSpacing">
    <w:name w:val="No Spacing"/>
    <w:link w:val="NoSpacingChar"/>
    <w:uiPriority w:val="1"/>
    <w:qFormat/>
    <w:rsid w:val="00D4200D"/>
    <w:pPr>
      <w:spacing w:after="0" w:line="240" w:lineRule="auto"/>
    </w:pPr>
    <w:rPr>
      <w:rFonts w:ascii="Calibri" w:eastAsia="Times New Roman" w:hAnsi="Calibri" w:cs="Calibri"/>
    </w:rPr>
  </w:style>
  <w:style w:type="character" w:customStyle="1" w:styleId="NoSpacingChar">
    <w:name w:val="No Spacing Char"/>
    <w:basedOn w:val="DefaultParagraphFont"/>
    <w:link w:val="NoSpacing"/>
    <w:uiPriority w:val="1"/>
    <w:rsid w:val="00D4200D"/>
    <w:rPr>
      <w:rFonts w:ascii="Calibri" w:eastAsia="Times New Roman" w:hAnsi="Calibri" w:cs="Calibri"/>
    </w:rPr>
  </w:style>
  <w:style w:type="paragraph" w:styleId="TOCHeading">
    <w:name w:val="TOC Heading"/>
    <w:basedOn w:val="Heading1"/>
    <w:next w:val="Normal"/>
    <w:uiPriority w:val="39"/>
    <w:qFormat/>
    <w:rsid w:val="00D4200D"/>
    <w:pPr>
      <w:keepLines/>
      <w:spacing w:before="480" w:after="0" w:line="276" w:lineRule="auto"/>
      <w:outlineLvl w:val="9"/>
    </w:pPr>
    <w:rPr>
      <w:rFonts w:ascii="Cambria" w:eastAsia="Times New Roman" w:hAnsi="Cambria" w:cs="Cambria"/>
      <w:color w:val="365F91"/>
      <w:kern w:val="0"/>
      <w:sz w:val="28"/>
      <w:szCs w:val="28"/>
      <w:lang w:eastAsia="en-US"/>
    </w:rPr>
  </w:style>
  <w:style w:type="paragraph" w:styleId="TOC1">
    <w:name w:val="toc 1"/>
    <w:basedOn w:val="Normal"/>
    <w:next w:val="Normal"/>
    <w:autoRedefine/>
    <w:uiPriority w:val="39"/>
    <w:rsid w:val="00D4200D"/>
    <w:pPr>
      <w:spacing w:after="100"/>
    </w:pPr>
  </w:style>
  <w:style w:type="paragraph" w:styleId="TOC2">
    <w:name w:val="toc 2"/>
    <w:basedOn w:val="Normal"/>
    <w:next w:val="Normal"/>
    <w:autoRedefine/>
    <w:uiPriority w:val="39"/>
    <w:rsid w:val="00D4200D"/>
    <w:pPr>
      <w:spacing w:after="100" w:line="276" w:lineRule="auto"/>
      <w:ind w:left="220"/>
    </w:pPr>
    <w:rPr>
      <w:rFonts w:ascii="Calibri" w:eastAsia="Times New Roman" w:hAnsi="Calibri" w:cs="Calibri"/>
      <w:sz w:val="22"/>
      <w:szCs w:val="22"/>
      <w:lang w:eastAsia="en-US"/>
    </w:rPr>
  </w:style>
  <w:style w:type="paragraph" w:styleId="TOC3">
    <w:name w:val="toc 3"/>
    <w:basedOn w:val="Normal"/>
    <w:next w:val="Normal"/>
    <w:autoRedefine/>
    <w:uiPriority w:val="99"/>
    <w:semiHidden/>
    <w:rsid w:val="00D4200D"/>
    <w:pPr>
      <w:spacing w:after="100" w:line="276" w:lineRule="auto"/>
      <w:ind w:left="440"/>
    </w:pPr>
    <w:rPr>
      <w:rFonts w:ascii="Calibri" w:eastAsia="Times New Roman" w:hAnsi="Calibri" w:cs="Calibri"/>
      <w:sz w:val="22"/>
      <w:szCs w:val="22"/>
      <w:lang w:eastAsia="en-US"/>
    </w:rPr>
  </w:style>
  <w:style w:type="paragraph" w:styleId="Revision">
    <w:name w:val="Revision"/>
    <w:hidden/>
    <w:uiPriority w:val="99"/>
    <w:semiHidden/>
    <w:rsid w:val="00D4200D"/>
    <w:pPr>
      <w:spacing w:after="0" w:line="240" w:lineRule="auto"/>
    </w:pPr>
    <w:rPr>
      <w:rFonts w:ascii="Times New Roman" w:eastAsia="MS Mincho" w:hAnsi="Times New Roman" w:cs="Times New Roman"/>
      <w:sz w:val="24"/>
      <w:szCs w:val="24"/>
      <w:lang w:eastAsia="ja-JP"/>
    </w:rPr>
  </w:style>
  <w:style w:type="character" w:styleId="FollowedHyperlink">
    <w:name w:val="FollowedHyperlink"/>
    <w:basedOn w:val="DefaultParagraphFont"/>
    <w:uiPriority w:val="99"/>
    <w:semiHidden/>
    <w:rsid w:val="00D4200D"/>
    <w:rPr>
      <w:color w:val="800080"/>
      <w:u w:val="single"/>
    </w:rPr>
  </w:style>
  <w:style w:type="character" w:styleId="Strong">
    <w:name w:val="Strong"/>
    <w:basedOn w:val="DefaultParagraphFont"/>
    <w:uiPriority w:val="99"/>
    <w:qFormat/>
    <w:rsid w:val="00D4200D"/>
    <w:rPr>
      <w:b/>
      <w:bCs/>
    </w:rPr>
  </w:style>
  <w:style w:type="character" w:styleId="CommentReference">
    <w:name w:val="annotation reference"/>
    <w:basedOn w:val="DefaultParagraphFont"/>
    <w:uiPriority w:val="99"/>
    <w:semiHidden/>
    <w:rsid w:val="00D4200D"/>
    <w:rPr>
      <w:sz w:val="16"/>
      <w:szCs w:val="16"/>
    </w:rPr>
  </w:style>
  <w:style w:type="paragraph" w:styleId="CommentText">
    <w:name w:val="annotation text"/>
    <w:basedOn w:val="Normal"/>
    <w:link w:val="CommentTextChar"/>
    <w:uiPriority w:val="99"/>
    <w:rsid w:val="00D4200D"/>
    <w:rPr>
      <w:sz w:val="20"/>
      <w:szCs w:val="20"/>
    </w:rPr>
  </w:style>
  <w:style w:type="character" w:customStyle="1" w:styleId="CommentTextChar">
    <w:name w:val="Comment Text Char"/>
    <w:basedOn w:val="DefaultParagraphFont"/>
    <w:link w:val="CommentText"/>
    <w:uiPriority w:val="99"/>
    <w:rsid w:val="00D4200D"/>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rsid w:val="00D4200D"/>
    <w:rPr>
      <w:b/>
      <w:bCs/>
    </w:rPr>
  </w:style>
  <w:style w:type="character" w:customStyle="1" w:styleId="CommentSubjectChar">
    <w:name w:val="Comment Subject Char"/>
    <w:basedOn w:val="CommentTextChar"/>
    <w:link w:val="CommentSubject"/>
    <w:uiPriority w:val="99"/>
    <w:semiHidden/>
    <w:rsid w:val="00D4200D"/>
    <w:rPr>
      <w:rFonts w:ascii="Times New Roman" w:eastAsia="MS Mincho" w:hAnsi="Times New Roman" w:cs="Times New Roman"/>
      <w:b/>
      <w:bCs/>
      <w:sz w:val="20"/>
      <w:szCs w:val="20"/>
      <w:lang w:eastAsia="ja-JP"/>
    </w:rPr>
  </w:style>
  <w:style w:type="paragraph" w:styleId="EndnoteText">
    <w:name w:val="endnote text"/>
    <w:basedOn w:val="Normal"/>
    <w:link w:val="EndnoteTextChar"/>
    <w:uiPriority w:val="99"/>
    <w:semiHidden/>
    <w:rsid w:val="00D4200D"/>
    <w:rPr>
      <w:sz w:val="20"/>
      <w:szCs w:val="20"/>
    </w:rPr>
  </w:style>
  <w:style w:type="character" w:customStyle="1" w:styleId="EndnoteTextChar">
    <w:name w:val="Endnote Text Char"/>
    <w:basedOn w:val="DefaultParagraphFont"/>
    <w:link w:val="EndnoteText"/>
    <w:uiPriority w:val="99"/>
    <w:semiHidden/>
    <w:rsid w:val="00D4200D"/>
    <w:rPr>
      <w:rFonts w:ascii="Times New Roman" w:eastAsia="MS Mincho" w:hAnsi="Times New Roman" w:cs="Times New Roman"/>
      <w:sz w:val="20"/>
      <w:szCs w:val="20"/>
      <w:lang w:eastAsia="ja-JP"/>
    </w:rPr>
  </w:style>
  <w:style w:type="character" w:styleId="EndnoteReference">
    <w:name w:val="endnote reference"/>
    <w:basedOn w:val="DefaultParagraphFont"/>
    <w:uiPriority w:val="99"/>
    <w:semiHidden/>
    <w:rsid w:val="00D4200D"/>
    <w:rPr>
      <w:vertAlign w:val="superscript"/>
    </w:rPr>
  </w:style>
  <w:style w:type="paragraph" w:styleId="TableofFigures">
    <w:name w:val="table of figures"/>
    <w:basedOn w:val="Normal"/>
    <w:next w:val="Normal"/>
    <w:uiPriority w:val="99"/>
    <w:unhideWhenUsed/>
    <w:rsid w:val="00D4200D"/>
  </w:style>
  <w:style w:type="paragraph" w:customStyle="1" w:styleId="memoaddress">
    <w:name w:val="memo address"/>
    <w:next w:val="FootnoteText"/>
    <w:rsid w:val="00D4200D"/>
    <w:pPr>
      <w:tabs>
        <w:tab w:val="left" w:pos="1350"/>
      </w:tabs>
      <w:spacing w:before="120" w:after="120" w:line="240" w:lineRule="auto"/>
    </w:pPr>
    <w:rPr>
      <w:rFonts w:ascii="Arial" w:eastAsia="Times New Roman" w:hAnsi="Arial" w:cs="Times New Roman"/>
      <w:b/>
      <w:szCs w:val="20"/>
    </w:rPr>
  </w:style>
  <w:style w:type="paragraph" w:styleId="Caption">
    <w:name w:val="caption"/>
    <w:basedOn w:val="Normal"/>
    <w:next w:val="Normal"/>
    <w:qFormat/>
    <w:rsid w:val="00D4200D"/>
    <w:pPr>
      <w:keepNext/>
      <w:spacing w:before="180" w:after="60"/>
      <w:jc w:val="center"/>
    </w:pPr>
    <w:rPr>
      <w:rFonts w:eastAsia="Times New Roman"/>
      <w:b/>
      <w:bCs/>
      <w:lang w:eastAsia="en-US"/>
    </w:rPr>
  </w:style>
  <w:style w:type="paragraph" w:styleId="BodyTextIndent">
    <w:name w:val="Body Text Indent"/>
    <w:basedOn w:val="Normal"/>
    <w:link w:val="BodyTextIndentChar"/>
    <w:uiPriority w:val="99"/>
    <w:semiHidden/>
    <w:unhideWhenUsed/>
    <w:rsid w:val="00D4200D"/>
    <w:pPr>
      <w:spacing w:after="120"/>
      <w:ind w:left="360"/>
    </w:pPr>
  </w:style>
  <w:style w:type="character" w:customStyle="1" w:styleId="BodyTextIndentChar">
    <w:name w:val="Body Text Indent Char"/>
    <w:basedOn w:val="DefaultParagraphFont"/>
    <w:link w:val="BodyTextIndent"/>
    <w:uiPriority w:val="99"/>
    <w:semiHidden/>
    <w:rsid w:val="00D4200D"/>
    <w:rPr>
      <w:rFonts w:ascii="Times New Roman" w:eastAsia="MS Mincho" w:hAnsi="Times New Roman" w:cs="Times New Roman"/>
      <w:sz w:val="24"/>
      <w:szCs w:val="24"/>
      <w:lang w:eastAsia="ja-JP"/>
    </w:rPr>
  </w:style>
  <w:style w:type="paragraph" w:customStyle="1" w:styleId="Default">
    <w:name w:val="Default"/>
    <w:rsid w:val="00D4200D"/>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
    <w:name w:val="b"/>
    <w:aliases w:val="bullet"/>
    <w:basedOn w:val="Normal"/>
    <w:link w:val="bChar"/>
    <w:rsid w:val="00D4200D"/>
    <w:pPr>
      <w:numPr>
        <w:numId w:val="1"/>
      </w:numPr>
      <w:spacing w:after="120" w:line="264" w:lineRule="auto"/>
    </w:pPr>
    <w:rPr>
      <w:rFonts w:ascii="Calibri" w:eastAsia="Times New Roman" w:hAnsi="Calibri" w:cs="Arial"/>
      <w:sz w:val="22"/>
      <w:szCs w:val="22"/>
      <w:lang w:eastAsia="en-US"/>
    </w:rPr>
  </w:style>
  <w:style w:type="character" w:customStyle="1" w:styleId="bChar">
    <w:name w:val="b Char"/>
    <w:aliases w:val="bullet Char,bullet Char Char"/>
    <w:basedOn w:val="DefaultParagraphFont"/>
    <w:link w:val="b"/>
    <w:rsid w:val="00D4200D"/>
    <w:rPr>
      <w:rFonts w:ascii="Calibri" w:eastAsia="Times New Roman" w:hAnsi="Calibri" w:cs="Arial"/>
    </w:rPr>
  </w:style>
  <w:style w:type="paragraph" w:customStyle="1" w:styleId="in">
    <w:name w:val="in"/>
    <w:aliases w:val="into bullet"/>
    <w:basedOn w:val="Normal"/>
    <w:link w:val="inChar"/>
    <w:rsid w:val="00D4200D"/>
    <w:pPr>
      <w:spacing w:after="120" w:line="264" w:lineRule="auto"/>
      <w:ind w:left="360"/>
    </w:pPr>
    <w:rPr>
      <w:rFonts w:ascii="Calibri" w:eastAsia="Times New Roman" w:hAnsi="Calibri" w:cs="Arial"/>
      <w:sz w:val="22"/>
      <w:szCs w:val="22"/>
      <w:lang w:eastAsia="en-US"/>
    </w:rPr>
  </w:style>
  <w:style w:type="character" w:customStyle="1" w:styleId="inChar">
    <w:name w:val="in Char"/>
    <w:aliases w:val="into bullet Char"/>
    <w:basedOn w:val="DefaultParagraphFont"/>
    <w:link w:val="in"/>
    <w:rsid w:val="00D4200D"/>
    <w:rPr>
      <w:rFonts w:ascii="Calibri" w:eastAsia="Times New Roman" w:hAnsi="Calibri" w:cs="Arial"/>
    </w:rPr>
  </w:style>
  <w:style w:type="paragraph" w:customStyle="1" w:styleId="t">
    <w:name w:val="t"/>
    <w:aliases w:val="text"/>
    <w:basedOn w:val="Normal"/>
    <w:link w:val="tChar"/>
    <w:rsid w:val="00D4200D"/>
    <w:pPr>
      <w:spacing w:after="240" w:line="264" w:lineRule="auto"/>
      <w:ind w:left="360"/>
    </w:pPr>
    <w:rPr>
      <w:rFonts w:ascii="Calibri" w:eastAsia="Times New Roman" w:hAnsi="Calibri" w:cs="Arial"/>
      <w:sz w:val="22"/>
      <w:szCs w:val="22"/>
      <w:lang w:eastAsia="en-US"/>
    </w:rPr>
  </w:style>
  <w:style w:type="character" w:customStyle="1" w:styleId="tChar">
    <w:name w:val="t Char"/>
    <w:aliases w:val="text Char Char"/>
    <w:basedOn w:val="DefaultParagraphFont"/>
    <w:link w:val="t"/>
    <w:rsid w:val="00D4200D"/>
    <w:rPr>
      <w:rFonts w:ascii="Calibri" w:eastAsia="Times New Roman" w:hAnsi="Calibri" w:cs="Arial"/>
    </w:rPr>
  </w:style>
  <w:style w:type="character" w:customStyle="1" w:styleId="st1">
    <w:name w:val="st1"/>
    <w:basedOn w:val="DefaultParagraphFont"/>
    <w:rsid w:val="00D4200D"/>
  </w:style>
  <w:style w:type="paragraph" w:styleId="NormalWeb">
    <w:name w:val="Normal (Web)"/>
    <w:basedOn w:val="Normal"/>
    <w:uiPriority w:val="99"/>
    <w:semiHidden/>
    <w:unhideWhenUsed/>
    <w:rsid w:val="00D4200D"/>
    <w:pPr>
      <w:spacing w:before="100" w:beforeAutospacing="1" w:after="100" w:afterAutospacing="1"/>
    </w:pPr>
    <w:rPr>
      <w:rFonts w:eastAsiaTheme="minorEastAsia"/>
      <w:lang w:eastAsia="en-US"/>
    </w:rPr>
  </w:style>
  <w:style w:type="character" w:customStyle="1" w:styleId="Heading3Char">
    <w:name w:val="Heading 3 Char"/>
    <w:basedOn w:val="DefaultParagraphFont"/>
    <w:link w:val="Heading3"/>
    <w:uiPriority w:val="9"/>
    <w:rsid w:val="009219C9"/>
    <w:rPr>
      <w:rFonts w:asciiTheme="majorHAnsi" w:eastAsiaTheme="majorEastAsia" w:hAnsiTheme="majorHAnsi" w:cstheme="majorBidi"/>
      <w:b/>
      <w:bCs/>
      <w:color w:val="4F81BD" w:themeColor="accent1"/>
      <w:sz w:val="24"/>
      <w:szCs w:val="24"/>
      <w:lang w:eastAsia="ja-JP"/>
    </w:rPr>
  </w:style>
  <w:style w:type="character" w:styleId="PlaceholderText">
    <w:name w:val="Placeholder Text"/>
    <w:basedOn w:val="DefaultParagraphFont"/>
    <w:uiPriority w:val="99"/>
    <w:semiHidden/>
    <w:rsid w:val="007A682F"/>
    <w:rPr>
      <w:color w:val="808080"/>
    </w:rPr>
  </w:style>
  <w:style w:type="character" w:customStyle="1" w:styleId="Heading6Char">
    <w:name w:val="Heading 6 Char"/>
    <w:basedOn w:val="DefaultParagraphFont"/>
    <w:link w:val="Heading6"/>
    <w:uiPriority w:val="9"/>
    <w:semiHidden/>
    <w:rsid w:val="000E4EDB"/>
    <w:rPr>
      <w:rFonts w:asciiTheme="majorHAnsi" w:eastAsiaTheme="majorEastAsia" w:hAnsiTheme="majorHAnsi" w:cstheme="majorBidi"/>
      <w:i/>
      <w:iCs/>
      <w:color w:val="243F60" w:themeColor="accent1" w:themeShade="7F"/>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07050">
      <w:bodyDiv w:val="1"/>
      <w:marLeft w:val="0"/>
      <w:marRight w:val="0"/>
      <w:marTop w:val="0"/>
      <w:marBottom w:val="0"/>
      <w:divBdr>
        <w:top w:val="none" w:sz="0" w:space="0" w:color="auto"/>
        <w:left w:val="none" w:sz="0" w:space="0" w:color="auto"/>
        <w:bottom w:val="none" w:sz="0" w:space="0" w:color="auto"/>
        <w:right w:val="none" w:sz="0" w:space="0" w:color="auto"/>
      </w:divBdr>
    </w:div>
    <w:div w:id="171576425">
      <w:bodyDiv w:val="1"/>
      <w:marLeft w:val="0"/>
      <w:marRight w:val="0"/>
      <w:marTop w:val="0"/>
      <w:marBottom w:val="0"/>
      <w:divBdr>
        <w:top w:val="none" w:sz="0" w:space="0" w:color="auto"/>
        <w:left w:val="none" w:sz="0" w:space="0" w:color="auto"/>
        <w:bottom w:val="none" w:sz="0" w:space="0" w:color="auto"/>
        <w:right w:val="none" w:sz="0" w:space="0" w:color="auto"/>
      </w:divBdr>
    </w:div>
    <w:div w:id="176696746">
      <w:bodyDiv w:val="1"/>
      <w:marLeft w:val="0"/>
      <w:marRight w:val="0"/>
      <w:marTop w:val="0"/>
      <w:marBottom w:val="0"/>
      <w:divBdr>
        <w:top w:val="none" w:sz="0" w:space="0" w:color="auto"/>
        <w:left w:val="none" w:sz="0" w:space="0" w:color="auto"/>
        <w:bottom w:val="none" w:sz="0" w:space="0" w:color="auto"/>
        <w:right w:val="none" w:sz="0" w:space="0" w:color="auto"/>
      </w:divBdr>
    </w:div>
    <w:div w:id="242107289">
      <w:bodyDiv w:val="1"/>
      <w:marLeft w:val="0"/>
      <w:marRight w:val="0"/>
      <w:marTop w:val="0"/>
      <w:marBottom w:val="0"/>
      <w:divBdr>
        <w:top w:val="none" w:sz="0" w:space="0" w:color="auto"/>
        <w:left w:val="none" w:sz="0" w:space="0" w:color="auto"/>
        <w:bottom w:val="none" w:sz="0" w:space="0" w:color="auto"/>
        <w:right w:val="none" w:sz="0" w:space="0" w:color="auto"/>
      </w:divBdr>
    </w:div>
    <w:div w:id="245071118">
      <w:bodyDiv w:val="1"/>
      <w:marLeft w:val="0"/>
      <w:marRight w:val="0"/>
      <w:marTop w:val="0"/>
      <w:marBottom w:val="0"/>
      <w:divBdr>
        <w:top w:val="none" w:sz="0" w:space="0" w:color="auto"/>
        <w:left w:val="none" w:sz="0" w:space="0" w:color="auto"/>
        <w:bottom w:val="none" w:sz="0" w:space="0" w:color="auto"/>
        <w:right w:val="none" w:sz="0" w:space="0" w:color="auto"/>
      </w:divBdr>
    </w:div>
    <w:div w:id="393628789">
      <w:bodyDiv w:val="1"/>
      <w:marLeft w:val="0"/>
      <w:marRight w:val="0"/>
      <w:marTop w:val="0"/>
      <w:marBottom w:val="0"/>
      <w:divBdr>
        <w:top w:val="none" w:sz="0" w:space="0" w:color="auto"/>
        <w:left w:val="none" w:sz="0" w:space="0" w:color="auto"/>
        <w:bottom w:val="none" w:sz="0" w:space="0" w:color="auto"/>
        <w:right w:val="none" w:sz="0" w:space="0" w:color="auto"/>
      </w:divBdr>
    </w:div>
    <w:div w:id="493764790">
      <w:bodyDiv w:val="1"/>
      <w:marLeft w:val="0"/>
      <w:marRight w:val="0"/>
      <w:marTop w:val="0"/>
      <w:marBottom w:val="0"/>
      <w:divBdr>
        <w:top w:val="none" w:sz="0" w:space="0" w:color="auto"/>
        <w:left w:val="none" w:sz="0" w:space="0" w:color="auto"/>
        <w:bottom w:val="none" w:sz="0" w:space="0" w:color="auto"/>
        <w:right w:val="none" w:sz="0" w:space="0" w:color="auto"/>
      </w:divBdr>
    </w:div>
    <w:div w:id="499003422">
      <w:bodyDiv w:val="1"/>
      <w:marLeft w:val="0"/>
      <w:marRight w:val="0"/>
      <w:marTop w:val="0"/>
      <w:marBottom w:val="0"/>
      <w:divBdr>
        <w:top w:val="none" w:sz="0" w:space="0" w:color="auto"/>
        <w:left w:val="none" w:sz="0" w:space="0" w:color="auto"/>
        <w:bottom w:val="none" w:sz="0" w:space="0" w:color="auto"/>
        <w:right w:val="none" w:sz="0" w:space="0" w:color="auto"/>
      </w:divBdr>
    </w:div>
    <w:div w:id="681706962">
      <w:bodyDiv w:val="1"/>
      <w:marLeft w:val="0"/>
      <w:marRight w:val="0"/>
      <w:marTop w:val="0"/>
      <w:marBottom w:val="0"/>
      <w:divBdr>
        <w:top w:val="none" w:sz="0" w:space="0" w:color="auto"/>
        <w:left w:val="none" w:sz="0" w:space="0" w:color="auto"/>
        <w:bottom w:val="none" w:sz="0" w:space="0" w:color="auto"/>
        <w:right w:val="none" w:sz="0" w:space="0" w:color="auto"/>
      </w:divBdr>
    </w:div>
    <w:div w:id="754672794">
      <w:bodyDiv w:val="1"/>
      <w:marLeft w:val="0"/>
      <w:marRight w:val="0"/>
      <w:marTop w:val="0"/>
      <w:marBottom w:val="0"/>
      <w:divBdr>
        <w:top w:val="none" w:sz="0" w:space="0" w:color="auto"/>
        <w:left w:val="none" w:sz="0" w:space="0" w:color="auto"/>
        <w:bottom w:val="none" w:sz="0" w:space="0" w:color="auto"/>
        <w:right w:val="none" w:sz="0" w:space="0" w:color="auto"/>
      </w:divBdr>
    </w:div>
    <w:div w:id="867252459">
      <w:bodyDiv w:val="1"/>
      <w:marLeft w:val="0"/>
      <w:marRight w:val="0"/>
      <w:marTop w:val="0"/>
      <w:marBottom w:val="0"/>
      <w:divBdr>
        <w:top w:val="none" w:sz="0" w:space="0" w:color="auto"/>
        <w:left w:val="none" w:sz="0" w:space="0" w:color="auto"/>
        <w:bottom w:val="none" w:sz="0" w:space="0" w:color="auto"/>
        <w:right w:val="none" w:sz="0" w:space="0" w:color="auto"/>
      </w:divBdr>
    </w:div>
    <w:div w:id="944733557">
      <w:bodyDiv w:val="1"/>
      <w:marLeft w:val="0"/>
      <w:marRight w:val="0"/>
      <w:marTop w:val="0"/>
      <w:marBottom w:val="0"/>
      <w:divBdr>
        <w:top w:val="none" w:sz="0" w:space="0" w:color="auto"/>
        <w:left w:val="none" w:sz="0" w:space="0" w:color="auto"/>
        <w:bottom w:val="none" w:sz="0" w:space="0" w:color="auto"/>
        <w:right w:val="none" w:sz="0" w:space="0" w:color="auto"/>
      </w:divBdr>
    </w:div>
    <w:div w:id="1002581892">
      <w:bodyDiv w:val="1"/>
      <w:marLeft w:val="0"/>
      <w:marRight w:val="0"/>
      <w:marTop w:val="0"/>
      <w:marBottom w:val="0"/>
      <w:divBdr>
        <w:top w:val="none" w:sz="0" w:space="0" w:color="auto"/>
        <w:left w:val="none" w:sz="0" w:space="0" w:color="auto"/>
        <w:bottom w:val="none" w:sz="0" w:space="0" w:color="auto"/>
        <w:right w:val="none" w:sz="0" w:space="0" w:color="auto"/>
      </w:divBdr>
    </w:div>
    <w:div w:id="1027023012">
      <w:bodyDiv w:val="1"/>
      <w:marLeft w:val="0"/>
      <w:marRight w:val="0"/>
      <w:marTop w:val="0"/>
      <w:marBottom w:val="0"/>
      <w:divBdr>
        <w:top w:val="none" w:sz="0" w:space="0" w:color="auto"/>
        <w:left w:val="none" w:sz="0" w:space="0" w:color="auto"/>
        <w:bottom w:val="none" w:sz="0" w:space="0" w:color="auto"/>
        <w:right w:val="none" w:sz="0" w:space="0" w:color="auto"/>
      </w:divBdr>
    </w:div>
    <w:div w:id="1148550418">
      <w:bodyDiv w:val="1"/>
      <w:marLeft w:val="0"/>
      <w:marRight w:val="0"/>
      <w:marTop w:val="0"/>
      <w:marBottom w:val="0"/>
      <w:divBdr>
        <w:top w:val="none" w:sz="0" w:space="0" w:color="auto"/>
        <w:left w:val="none" w:sz="0" w:space="0" w:color="auto"/>
        <w:bottom w:val="none" w:sz="0" w:space="0" w:color="auto"/>
        <w:right w:val="none" w:sz="0" w:space="0" w:color="auto"/>
      </w:divBdr>
    </w:div>
    <w:div w:id="1190218340">
      <w:bodyDiv w:val="1"/>
      <w:marLeft w:val="0"/>
      <w:marRight w:val="0"/>
      <w:marTop w:val="0"/>
      <w:marBottom w:val="0"/>
      <w:divBdr>
        <w:top w:val="none" w:sz="0" w:space="0" w:color="auto"/>
        <w:left w:val="none" w:sz="0" w:space="0" w:color="auto"/>
        <w:bottom w:val="none" w:sz="0" w:space="0" w:color="auto"/>
        <w:right w:val="none" w:sz="0" w:space="0" w:color="auto"/>
      </w:divBdr>
    </w:div>
    <w:div w:id="1239704137">
      <w:bodyDiv w:val="1"/>
      <w:marLeft w:val="0"/>
      <w:marRight w:val="0"/>
      <w:marTop w:val="0"/>
      <w:marBottom w:val="0"/>
      <w:divBdr>
        <w:top w:val="none" w:sz="0" w:space="0" w:color="auto"/>
        <w:left w:val="none" w:sz="0" w:space="0" w:color="auto"/>
        <w:bottom w:val="none" w:sz="0" w:space="0" w:color="auto"/>
        <w:right w:val="none" w:sz="0" w:space="0" w:color="auto"/>
      </w:divBdr>
    </w:div>
    <w:div w:id="1340962713">
      <w:bodyDiv w:val="1"/>
      <w:marLeft w:val="0"/>
      <w:marRight w:val="0"/>
      <w:marTop w:val="0"/>
      <w:marBottom w:val="0"/>
      <w:divBdr>
        <w:top w:val="none" w:sz="0" w:space="0" w:color="auto"/>
        <w:left w:val="none" w:sz="0" w:space="0" w:color="auto"/>
        <w:bottom w:val="none" w:sz="0" w:space="0" w:color="auto"/>
        <w:right w:val="none" w:sz="0" w:space="0" w:color="auto"/>
      </w:divBdr>
    </w:div>
    <w:div w:id="1577325880">
      <w:bodyDiv w:val="1"/>
      <w:marLeft w:val="0"/>
      <w:marRight w:val="0"/>
      <w:marTop w:val="0"/>
      <w:marBottom w:val="0"/>
      <w:divBdr>
        <w:top w:val="none" w:sz="0" w:space="0" w:color="auto"/>
        <w:left w:val="none" w:sz="0" w:space="0" w:color="auto"/>
        <w:bottom w:val="none" w:sz="0" w:space="0" w:color="auto"/>
        <w:right w:val="none" w:sz="0" w:space="0" w:color="auto"/>
      </w:divBdr>
    </w:div>
    <w:div w:id="1882012417">
      <w:bodyDiv w:val="1"/>
      <w:marLeft w:val="0"/>
      <w:marRight w:val="0"/>
      <w:marTop w:val="0"/>
      <w:marBottom w:val="0"/>
      <w:divBdr>
        <w:top w:val="none" w:sz="0" w:space="0" w:color="auto"/>
        <w:left w:val="none" w:sz="0" w:space="0" w:color="auto"/>
        <w:bottom w:val="none" w:sz="0" w:space="0" w:color="auto"/>
        <w:right w:val="none" w:sz="0" w:space="0" w:color="auto"/>
      </w:divBdr>
    </w:div>
    <w:div w:id="189847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ofm.wa.gov/pop/april1/hseries/ofm_april1_intercensal_estimates_2000-2010.xlsx" TargetMode="External"/><Relationship Id="rId2" Type="http://schemas.openxmlformats.org/officeDocument/2006/relationships/hyperlink" Target="http://www.ofm.wa.gov/pop/april1/hseries/default.asp" TargetMode="External"/><Relationship Id="rId1" Type="http://schemas.openxmlformats.org/officeDocument/2006/relationships/hyperlink" Target="https://www.census.gov/geo/maps-data/data/tiger-data.html" TargetMode="External"/><Relationship Id="rId4" Type="http://schemas.openxmlformats.org/officeDocument/2006/relationships/hyperlink" Target="https://ampd.epa.gov/ampd/"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pacificorp.us\dfs\pdxco\psb1\rps\zGHG%20Reporting\Washington\Tables%20and%20Graphs%20for%20Narrativ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PacifiCorp Washington CO</a:t>
            </a:r>
            <a:r>
              <a:rPr lang="en-US" baseline="-25000"/>
              <a:t>2</a:t>
            </a:r>
            <a:r>
              <a:rPr lang="en-US"/>
              <a:t> Emissions Trend</a:t>
            </a:r>
          </a:p>
        </c:rich>
      </c:tx>
      <c:layout>
        <c:manualLayout>
          <c:xMode val="edge"/>
          <c:yMode val="edge"/>
          <c:x val="0.20476692479555758"/>
          <c:y val="2.7757349402229368E-2"/>
        </c:manualLayout>
      </c:layout>
      <c:overlay val="0"/>
    </c:title>
    <c:autoTitleDeleted val="0"/>
    <c:plotArea>
      <c:layout>
        <c:manualLayout>
          <c:layoutTarget val="inner"/>
          <c:xMode val="edge"/>
          <c:yMode val="edge"/>
          <c:x val="0.20189219322791263"/>
          <c:y val="0.17495434097632662"/>
          <c:w val="0.74309747488632549"/>
          <c:h val="0.69986841508428654"/>
        </c:manualLayout>
      </c:layout>
      <c:barChart>
        <c:barDir val="col"/>
        <c:grouping val="stacked"/>
        <c:varyColors val="0"/>
        <c:ser>
          <c:idx val="0"/>
          <c:order val="0"/>
          <c:tx>
            <c:strRef>
              <c:f>'Figure 1 - All Resource Emiss.'!$E$5</c:f>
              <c:strCache>
                <c:ptCount val="1"/>
                <c:pt idx="0">
                  <c:v>CO2 - Known Sources</c:v>
                </c:pt>
              </c:strCache>
            </c:strRef>
          </c:tx>
          <c:spPr>
            <a:solidFill>
              <a:srgbClr val="497DBB"/>
            </a:solidFill>
          </c:spPr>
          <c:invertIfNegative val="0"/>
          <c:dPt>
            <c:idx val="0"/>
            <c:invertIfNegative val="0"/>
            <c:bubble3D val="0"/>
            <c:spPr>
              <a:solidFill>
                <a:srgbClr val="497DBB"/>
              </a:solidFill>
            </c:spPr>
          </c:dPt>
          <c:cat>
            <c:numRef>
              <c:f>'Figure 1 - All Resource Emiss.'!$D$6:$D$15</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'Figure 1 - All Resource Emiss.'!$E$6:$E$15</c:f>
              <c:numCache>
                <c:formatCode>#,##0</c:formatCode>
                <c:ptCount val="10"/>
                <c:pt idx="0">
                  <c:v>2631107.4337437688</c:v>
                </c:pt>
                <c:pt idx="1">
                  <c:v>2595665.2363875904</c:v>
                </c:pt>
                <c:pt idx="2">
                  <c:v>2958905.0921832654</c:v>
                </c:pt>
                <c:pt idx="3">
                  <c:v>2940588.8905549804</c:v>
                </c:pt>
                <c:pt idx="4">
                  <c:v>2897089.3077089847</c:v>
                </c:pt>
                <c:pt idx="5">
                  <c:v>2410868.6492222925</c:v>
                </c:pt>
                <c:pt idx="6">
                  <c:v>2597793.925191313</c:v>
                </c:pt>
                <c:pt idx="7">
                  <c:v>2881201.2321352335</c:v>
                </c:pt>
                <c:pt idx="8">
                  <c:v>2835083.4543936243</c:v>
                </c:pt>
                <c:pt idx="9">
                  <c:v>2676607.0038551888</c:v>
                </c:pt>
              </c:numCache>
            </c:numRef>
          </c:val>
        </c:ser>
        <c:ser>
          <c:idx val="1"/>
          <c:order val="1"/>
          <c:tx>
            <c:strRef>
              <c:f>'Figure 1 - All Resource Emiss.'!$F$5</c:f>
              <c:strCache>
                <c:ptCount val="1"/>
                <c:pt idx="0">
                  <c:v>CO2 - Unknown Resources</c:v>
                </c:pt>
              </c:strCache>
            </c:strRef>
          </c:tx>
          <c:spPr>
            <a:solidFill>
              <a:schemeClr val="accent2"/>
            </a:solidFill>
          </c:spPr>
          <c:invertIfNegative val="0"/>
          <c:cat>
            <c:numRef>
              <c:f>'Figure 1 - All Resource Emiss.'!$D$6:$D$15</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'Figure 1 - All Resource Emiss.'!$F$6:$F$15</c:f>
              <c:numCache>
                <c:formatCode>#,##0</c:formatCode>
                <c:ptCount val="10"/>
                <c:pt idx="0">
                  <c:v>159676.39328805753</c:v>
                </c:pt>
                <c:pt idx="1">
                  <c:v>85129.84878749674</c:v>
                </c:pt>
                <c:pt idx="2">
                  <c:v>-192854.44359098596</c:v>
                </c:pt>
                <c:pt idx="3">
                  <c:v>-93229.238977012545</c:v>
                </c:pt>
                <c:pt idx="4">
                  <c:v>-151379.72974576833</c:v>
                </c:pt>
                <c:pt idx="5">
                  <c:v>120228.01822139339</c:v>
                </c:pt>
                <c:pt idx="6">
                  <c:v>166993.96513715188</c:v>
                </c:pt>
                <c:pt idx="7">
                  <c:v>193937.29255893655</c:v>
                </c:pt>
                <c:pt idx="8">
                  <c:v>30175.562542982108</c:v>
                </c:pt>
                <c:pt idx="9">
                  <c:v>311655.35309953877</c:v>
                </c:pt>
              </c:numCache>
            </c:numRef>
          </c:val>
        </c:ser>
        <c:dLbls>
          <c:showLegendKey val="0"/>
          <c:showVal val="0"/>
          <c:showCatName val="0"/>
          <c:showSerName val="0"/>
          <c:showPercent val="0"/>
          <c:showBubbleSize val="0"/>
        </c:dLbls>
        <c:gapWidth val="150"/>
        <c:overlap val="100"/>
        <c:axId val="143853968"/>
        <c:axId val="143858448"/>
      </c:barChart>
      <c:lineChart>
        <c:grouping val="standard"/>
        <c:varyColors val="0"/>
        <c:ser>
          <c:idx val="2"/>
          <c:order val="2"/>
          <c:tx>
            <c:strRef>
              <c:f>'Figure 1 - All Resource Emiss.'!$G$5</c:f>
              <c:strCache>
                <c:ptCount val="1"/>
                <c:pt idx="0">
                  <c:v>1990 CO2 Emission Levels</c:v>
                </c:pt>
              </c:strCache>
            </c:strRef>
          </c:tx>
          <c:spPr>
            <a:ln>
              <a:solidFill>
                <a:schemeClr val="accent3"/>
              </a:solidFill>
            </a:ln>
          </c:spPr>
          <c:marker>
            <c:symbol val="none"/>
          </c:marker>
          <c:cat>
            <c:numRef>
              <c:f>'Figure 1 - All Resource Emiss.'!$D$6:$D$15</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'Figure 1 - All Resource Emiss.'!$G$6:$G$15</c:f>
              <c:numCache>
                <c:formatCode>#,##0</c:formatCode>
                <c:ptCount val="10"/>
                <c:pt idx="0">
                  <c:v>2399078</c:v>
                </c:pt>
                <c:pt idx="1">
                  <c:v>2399078</c:v>
                </c:pt>
                <c:pt idx="2">
                  <c:v>2399078</c:v>
                </c:pt>
                <c:pt idx="3">
                  <c:v>2399078</c:v>
                </c:pt>
                <c:pt idx="4">
                  <c:v>2399078</c:v>
                </c:pt>
                <c:pt idx="5">
                  <c:v>2399078</c:v>
                </c:pt>
                <c:pt idx="6">
                  <c:v>2399078</c:v>
                </c:pt>
                <c:pt idx="7">
                  <c:v>2399078</c:v>
                </c:pt>
                <c:pt idx="8">
                  <c:v>2399078</c:v>
                </c:pt>
                <c:pt idx="9">
                  <c:v>2399078</c:v>
                </c:pt>
              </c:numCache>
            </c:numRef>
          </c:val>
          <c:smooth val="0"/>
        </c:ser>
        <c:dLbls>
          <c:showLegendKey val="0"/>
          <c:showVal val="0"/>
          <c:showCatName val="0"/>
          <c:showSerName val="0"/>
          <c:showPercent val="0"/>
          <c:showBubbleSize val="0"/>
        </c:dLbls>
        <c:marker val="1"/>
        <c:smooth val="0"/>
        <c:axId val="143853968"/>
        <c:axId val="143858448"/>
      </c:lineChart>
      <c:catAx>
        <c:axId val="143853968"/>
        <c:scaling>
          <c:orientation val="minMax"/>
        </c:scaling>
        <c:delete val="0"/>
        <c:axPos val="b"/>
        <c:numFmt formatCode="General" sourceLinked="1"/>
        <c:majorTickMark val="out"/>
        <c:minorTickMark val="none"/>
        <c:tickLblPos val="nextTo"/>
        <c:crossAx val="143858448"/>
        <c:crosses val="autoZero"/>
        <c:auto val="1"/>
        <c:lblAlgn val="ctr"/>
        <c:lblOffset val="100"/>
        <c:noMultiLvlLbl val="0"/>
      </c:catAx>
      <c:valAx>
        <c:axId val="143858448"/>
        <c:scaling>
          <c:orientation val="minMax"/>
        </c:scaling>
        <c:delete val="0"/>
        <c:axPos val="l"/>
        <c:title>
          <c:tx>
            <c:rich>
              <a:bodyPr rot="-5400000" vert="horz"/>
              <a:lstStyle/>
              <a:p>
                <a:pPr>
                  <a:defRPr sz="1050"/>
                </a:pPr>
                <a:r>
                  <a:rPr lang="en-US" sz="1050"/>
                  <a:t>CO</a:t>
                </a:r>
                <a:r>
                  <a:rPr lang="en-US" sz="1050" baseline="-25000"/>
                  <a:t>2</a:t>
                </a:r>
                <a:r>
                  <a:rPr lang="en-US" sz="1050"/>
                  <a:t> Emissions (Short Tons)</a:t>
                </a:r>
              </a:p>
            </c:rich>
          </c:tx>
          <c:layout>
            <c:manualLayout>
              <c:xMode val="edge"/>
              <c:yMode val="edge"/>
              <c:x val="3.3488227200747643E-2"/>
              <c:y val="0.28453682968528016"/>
            </c:manualLayout>
          </c:layout>
          <c:overlay val="0"/>
        </c:title>
        <c:numFmt formatCode="#,##0" sourceLinked="1"/>
        <c:majorTickMark val="out"/>
        <c:minorTickMark val="none"/>
        <c:tickLblPos val="nextTo"/>
        <c:crossAx val="143853968"/>
        <c:crosses val="autoZero"/>
        <c:crossBetween val="between"/>
      </c:valAx>
    </c:plotArea>
    <c:legend>
      <c:legendPos val="b"/>
      <c:layout>
        <c:manualLayout>
          <c:xMode val="edge"/>
          <c:yMode val="edge"/>
          <c:x val="6.186331922323559E-2"/>
          <c:y val="0.91084786556233865"/>
          <c:w val="0.89999996290217288"/>
          <c:h val="5.2074612773113205E-2"/>
        </c:manualLayout>
      </c:layout>
      <c:overlay val="0"/>
      <c:txPr>
        <a:bodyPr/>
        <a:lstStyle/>
        <a:p>
          <a:pPr>
            <a:defRPr sz="10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3A2927A0C4BA94B916181EF5D41A282" ma:contentTypeVersion="104" ma:contentTypeDescription="" ma:contentTypeScope="" ma:versionID="d2b61e5fdfa9e0a2fa8615ff9339d8c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2016-06-01T07:00:00+00:00</OpenedDate>
    <Date1 xmlns="dc463f71-b30c-4ab2-9473-d307f9d35888">2016-06-01T07:00:00+00:00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160781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156809C-F3AD-4F62-8746-3D0717809433}"/>
</file>

<file path=customXml/itemProps2.xml><?xml version="1.0" encoding="utf-8"?>
<ds:datastoreItem xmlns:ds="http://schemas.openxmlformats.org/officeDocument/2006/customXml" ds:itemID="{E8A333C7-A7AB-4164-A8B8-62F6FB544B3C}"/>
</file>

<file path=customXml/itemProps3.xml><?xml version="1.0" encoding="utf-8"?>
<ds:datastoreItem xmlns:ds="http://schemas.openxmlformats.org/officeDocument/2006/customXml" ds:itemID="{BB3DF5C5-BBE7-4CCB-A359-85701A56EDAA}"/>
</file>

<file path=customXml/itemProps4.xml><?xml version="1.0" encoding="utf-8"?>
<ds:datastoreItem xmlns:ds="http://schemas.openxmlformats.org/officeDocument/2006/customXml" ds:itemID="{9AAB3575-269A-4FCC-BB42-6E9EAE365485}"/>
</file>

<file path=docProps/app.xml><?xml version="1.0" encoding="utf-8"?>
<Properties xmlns="http://schemas.openxmlformats.org/officeDocument/2006/extended-properties" xmlns:vt="http://schemas.openxmlformats.org/officeDocument/2006/docPropsVTypes">
  <Template>Normal</Template>
  <TotalTime>0</TotalTime>
  <Pages>12</Pages>
  <Words>2021</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2016-06-02T23:44:00Z</dcterms:created>
  <dcterms:modified xsi:type="dcterms:W3CDTF">2016-06-02T23:44:00Z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0x0101006E56B4D1795A2E4DB2F0B01679ED314A00C3A2927A0C4BA94B916181EF5D41A282</vt:lpwstr>
  </property>
  <property fmtid="{D5CDD505-2E9C-101B-9397-08002B2CF9AE}" pid="4" name="_docset_NoMedatataSyncRequired">
    <vt:lpwstr>False</vt:lpwstr>
  </property>
</Properties>
</file>