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44776" w14:textId="77777777" w:rsidR="00D2493D" w:rsidRDefault="00EE3F03" w:rsidP="007B5571">
      <w:pPr>
        <w:ind w:left="-810" w:right="-540"/>
      </w:pPr>
      <w:bookmarkStart w:id="0" w:name="_GoBack"/>
      <w:bookmarkEnd w:id="0"/>
      <w:r w:rsidRPr="00EE3F03">
        <w:rPr>
          <w:noProof/>
        </w:rPr>
        <w:drawing>
          <wp:inline distT="0" distB="0" distL="0" distR="0" wp14:anchorId="1F9447C4" wp14:editId="1F9447C5">
            <wp:extent cx="7090012" cy="118053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95" cy="117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44777" w14:textId="77777777" w:rsidR="00D2493D" w:rsidRDefault="00D2493D"/>
    <w:p w14:paraId="1F944778" w14:textId="77777777" w:rsidR="00D2493D" w:rsidRDefault="00D2493D"/>
    <w:p w14:paraId="1F944779" w14:textId="77777777" w:rsidR="00D2493D" w:rsidRDefault="00D2493D"/>
    <w:p w14:paraId="1F94477A" w14:textId="77777777"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40621" w14:paraId="1F944782" w14:textId="77777777">
        <w:tc>
          <w:tcPr>
            <w:tcW w:w="4788" w:type="dxa"/>
          </w:tcPr>
          <w:p w14:paraId="1F94477B" w14:textId="77777777"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14:paraId="1F94477C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14:paraId="1F94477D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14:paraId="1F94477E" w14:textId="77777777"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14:paraId="1F94477F" w14:textId="77777777"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14:paraId="1F944780" w14:textId="77777777"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1F944781" w14:textId="77777777"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1F944783" w14:textId="77777777" w:rsidR="00040621" w:rsidRDefault="00040621">
      <w:pPr>
        <w:jc w:val="both"/>
        <w:rPr>
          <w:sz w:val="24"/>
        </w:rPr>
      </w:pPr>
    </w:p>
    <w:p w14:paraId="1F944784" w14:textId="77777777"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 xml:space="preserve">VIA – </w:t>
      </w:r>
      <w:r w:rsidR="003F1C8C">
        <w:rPr>
          <w:b/>
          <w:i/>
          <w:sz w:val="24"/>
        </w:rPr>
        <w:t>Commission Web-Portal</w:t>
      </w:r>
    </w:p>
    <w:p w14:paraId="1F944785" w14:textId="77777777" w:rsidR="00CD60DE" w:rsidRDefault="00CD60DE">
      <w:pPr>
        <w:jc w:val="both"/>
        <w:rPr>
          <w:sz w:val="24"/>
        </w:rPr>
      </w:pPr>
    </w:p>
    <w:p w14:paraId="1F944786" w14:textId="77777777" w:rsidR="00CD60DE" w:rsidRDefault="00CD60DE">
      <w:pPr>
        <w:jc w:val="both"/>
        <w:rPr>
          <w:sz w:val="24"/>
        </w:rPr>
      </w:pPr>
    </w:p>
    <w:p w14:paraId="1F944787" w14:textId="77777777" w:rsidR="00040621" w:rsidRDefault="00E3421E">
      <w:pPr>
        <w:jc w:val="both"/>
        <w:rPr>
          <w:sz w:val="24"/>
        </w:rPr>
      </w:pPr>
      <w:r>
        <w:rPr>
          <w:sz w:val="24"/>
        </w:rPr>
        <w:t>May 31, 2016</w:t>
      </w:r>
    </w:p>
    <w:p w14:paraId="1F944788" w14:textId="77777777" w:rsidR="00040621" w:rsidRDefault="00040621">
      <w:pPr>
        <w:jc w:val="both"/>
        <w:rPr>
          <w:sz w:val="24"/>
        </w:rPr>
      </w:pPr>
    </w:p>
    <w:p w14:paraId="1F944789" w14:textId="77777777" w:rsidR="005C2F04" w:rsidRDefault="005C2F04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14:paraId="1F94478A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14:paraId="1F94478B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14:paraId="1F94478C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14:paraId="1F94478D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1300 S. Evergreen Park Drive S. W.</w:t>
      </w:r>
    </w:p>
    <w:p w14:paraId="1F94478E" w14:textId="77777777"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14:paraId="1F94478F" w14:textId="77777777"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14:paraId="1F944790" w14:textId="77777777" w:rsidR="00EE3F03" w:rsidRDefault="00EE3F03">
      <w:pPr>
        <w:jc w:val="both"/>
        <w:rPr>
          <w:sz w:val="24"/>
        </w:rPr>
      </w:pPr>
    </w:p>
    <w:p w14:paraId="1F944791" w14:textId="77777777" w:rsidR="00EE3F03" w:rsidRDefault="00EE3F03">
      <w:pPr>
        <w:jc w:val="both"/>
        <w:rPr>
          <w:sz w:val="24"/>
        </w:rPr>
      </w:pPr>
    </w:p>
    <w:p w14:paraId="1F944792" w14:textId="77777777"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14:paraId="1F944793" w14:textId="77777777" w:rsidR="00040621" w:rsidRDefault="00040621">
      <w:pPr>
        <w:jc w:val="both"/>
        <w:rPr>
          <w:sz w:val="24"/>
        </w:rPr>
      </w:pPr>
    </w:p>
    <w:p w14:paraId="1F944794" w14:textId="77777777" w:rsidR="00040621" w:rsidRDefault="00040621" w:rsidP="004F1F1E">
      <w:pPr>
        <w:pStyle w:val="BodyText2"/>
        <w:spacing w:line="360" w:lineRule="auto"/>
        <w:ind w:firstLine="720"/>
      </w:pPr>
      <w:r>
        <w:t xml:space="preserve">Attached for filing with the Commission is an electronic copy of </w:t>
      </w:r>
      <w:r w:rsidR="00D23FE7" w:rsidRPr="009653A2">
        <w:rPr>
          <w:szCs w:val="24"/>
        </w:rPr>
        <w:t>Avista Corporation</w:t>
      </w:r>
      <w:r w:rsidR="00D23FE7">
        <w:rPr>
          <w:szCs w:val="24"/>
        </w:rPr>
        <w:t>’s</w:t>
      </w:r>
      <w:r w:rsidR="00D23FE7" w:rsidRPr="009653A2">
        <w:rPr>
          <w:szCs w:val="24"/>
        </w:rPr>
        <w:t xml:space="preserve"> dba Avista Utilities (“Avista</w:t>
      </w:r>
      <w:r w:rsidR="00BC490D">
        <w:rPr>
          <w:szCs w:val="24"/>
        </w:rPr>
        <w:t>”</w:t>
      </w:r>
      <w:r w:rsidR="00D23FE7" w:rsidRPr="009653A2">
        <w:rPr>
          <w:szCs w:val="24"/>
        </w:rPr>
        <w:t xml:space="preserve"> or </w:t>
      </w:r>
      <w:r w:rsidR="00BC490D">
        <w:rPr>
          <w:szCs w:val="24"/>
        </w:rPr>
        <w:t>“</w:t>
      </w:r>
      <w:r w:rsidR="00D23FE7" w:rsidRPr="009653A2">
        <w:rPr>
          <w:szCs w:val="24"/>
        </w:rPr>
        <w:t>the Company”)</w:t>
      </w:r>
      <w:r>
        <w:t xml:space="preserve"> </w:t>
      </w:r>
      <w:r w:rsidR="00EE6695">
        <w:t>filing</w:t>
      </w:r>
      <w:r w:rsidR="003A3A22">
        <w:t xml:space="preserve"> of its </w:t>
      </w:r>
      <w:r>
        <w:t xml:space="preserve">proposed revisions to the </w:t>
      </w:r>
      <w:r w:rsidR="007E00A2">
        <w:t>following tariff sheet</w:t>
      </w:r>
      <w:r w:rsidR="0061578F">
        <w:t>,</w:t>
      </w:r>
      <w:r w:rsidR="00E51832">
        <w:t xml:space="preserve"> </w:t>
      </w:r>
      <w:r w:rsidR="008F221D">
        <w:t>WN U-28</w:t>
      </w:r>
      <w:r>
        <w:t>:</w:t>
      </w:r>
    </w:p>
    <w:p w14:paraId="1F944795" w14:textId="77777777"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14:paraId="1F944796" w14:textId="77777777" w:rsidR="00063C7A" w:rsidRPr="00FF0EC6" w:rsidRDefault="00FE72AB" w:rsidP="00063C7A">
      <w:pPr>
        <w:tabs>
          <w:tab w:val="left" w:pos="4320"/>
        </w:tabs>
        <w:ind w:left="720"/>
        <w:rPr>
          <w:b/>
          <w:sz w:val="24"/>
        </w:rPr>
      </w:pPr>
      <w:r>
        <w:rPr>
          <w:b/>
          <w:sz w:val="24"/>
        </w:rPr>
        <w:t>Second</w:t>
      </w:r>
      <w:r w:rsidR="008F221D">
        <w:rPr>
          <w:b/>
          <w:sz w:val="24"/>
        </w:rPr>
        <w:t xml:space="preserve"> </w:t>
      </w:r>
      <w:r w:rsidR="00063C7A" w:rsidRPr="00FF0EC6">
        <w:rPr>
          <w:b/>
          <w:sz w:val="24"/>
        </w:rPr>
        <w:t>Revision Sheet 91</w:t>
      </w:r>
      <w:r>
        <w:rPr>
          <w:b/>
          <w:sz w:val="24"/>
        </w:rPr>
        <w:t>A</w:t>
      </w:r>
      <w:r w:rsidR="00063C7A" w:rsidRPr="00FF0EC6">
        <w:rPr>
          <w:b/>
          <w:sz w:val="24"/>
        </w:rPr>
        <w:tab/>
      </w:r>
      <w:r w:rsidR="00063C7A" w:rsidRPr="00FF0EC6">
        <w:rPr>
          <w:sz w:val="24"/>
        </w:rPr>
        <w:t>Canceling</w:t>
      </w:r>
      <w:r w:rsidR="00063C7A" w:rsidRPr="00FF0EC6">
        <w:rPr>
          <w:b/>
          <w:sz w:val="24"/>
        </w:rPr>
        <w:tab/>
      </w:r>
      <w:r>
        <w:rPr>
          <w:b/>
          <w:sz w:val="24"/>
        </w:rPr>
        <w:t>Sub. First</w:t>
      </w:r>
      <w:r w:rsidR="00063C7A" w:rsidRPr="00FF0EC6">
        <w:rPr>
          <w:b/>
          <w:sz w:val="24"/>
        </w:rPr>
        <w:t xml:space="preserve"> Revision Sheet 91</w:t>
      </w:r>
      <w:r w:rsidR="00063C7A" w:rsidRPr="00FF0EC6">
        <w:rPr>
          <w:b/>
          <w:sz w:val="24"/>
        </w:rPr>
        <w:tab/>
      </w:r>
      <w:r>
        <w:rPr>
          <w:b/>
          <w:sz w:val="24"/>
        </w:rPr>
        <w:t>A</w:t>
      </w:r>
    </w:p>
    <w:p w14:paraId="1F944797" w14:textId="77777777" w:rsidR="003A3A22" w:rsidRDefault="003A3A22" w:rsidP="002C67B6">
      <w:pPr>
        <w:jc w:val="both"/>
        <w:rPr>
          <w:sz w:val="24"/>
          <w:szCs w:val="24"/>
        </w:rPr>
      </w:pPr>
      <w:bookmarkStart w:id="1" w:name="OLE_LINK2"/>
      <w:bookmarkStart w:id="2" w:name="OLE_LINK3"/>
    </w:p>
    <w:p w14:paraId="1F944798" w14:textId="77777777" w:rsidR="000836F9" w:rsidRDefault="000836F9" w:rsidP="000836F9">
      <w:pPr>
        <w:pStyle w:val="Default"/>
      </w:pPr>
    </w:p>
    <w:p w14:paraId="1F944799" w14:textId="77777777" w:rsidR="000D5787" w:rsidRDefault="003201B2" w:rsidP="000D5787">
      <w:pPr>
        <w:pStyle w:val="BodyText2"/>
        <w:spacing w:line="360" w:lineRule="auto"/>
        <w:ind w:firstLine="720"/>
        <w:rPr>
          <w:szCs w:val="24"/>
        </w:rPr>
      </w:pPr>
      <w:r>
        <w:t xml:space="preserve"> T</w:t>
      </w:r>
      <w:r w:rsidR="000836F9">
        <w:t xml:space="preserve">he Commission </w:t>
      </w:r>
      <w:r w:rsidR="000836F9">
        <w:rPr>
          <w:sz w:val="25"/>
          <w:szCs w:val="25"/>
        </w:rPr>
        <w:t>amended, adopted, and repealed rules in WAC 480-109 relating to the Energy Independence Act in Docket UE-131723. The Commission filed its Adoption Order with the Code Reviser on March 12, 2015 with the rules becoming effective on March</w:t>
      </w:r>
      <w:r w:rsidR="00BC490D">
        <w:rPr>
          <w:sz w:val="25"/>
          <w:szCs w:val="25"/>
        </w:rPr>
        <w:t xml:space="preserve"> 31, 2015</w:t>
      </w:r>
      <w:r w:rsidR="000836F9">
        <w:rPr>
          <w:sz w:val="25"/>
          <w:szCs w:val="25"/>
        </w:rPr>
        <w:t xml:space="preserve">. Specifically related to this filing, </w:t>
      </w:r>
      <w:r w:rsidR="004D376E">
        <w:rPr>
          <w:szCs w:val="24"/>
        </w:rPr>
        <w:t>WAC 480-109-130</w:t>
      </w:r>
      <w:r w:rsidR="00F52D82" w:rsidRPr="00BF6B7E">
        <w:rPr>
          <w:szCs w:val="24"/>
        </w:rPr>
        <w:t xml:space="preserve"> </w:t>
      </w:r>
      <w:r w:rsidR="004D376E">
        <w:rPr>
          <w:szCs w:val="24"/>
        </w:rPr>
        <w:t xml:space="preserve">(1) </w:t>
      </w:r>
      <w:r w:rsidR="000836F9">
        <w:rPr>
          <w:szCs w:val="24"/>
        </w:rPr>
        <w:t>provides that “</w:t>
      </w:r>
      <w:r w:rsidR="004D376E">
        <w:rPr>
          <w:szCs w:val="24"/>
        </w:rPr>
        <w:t>Utilities must file with the Commission for recovery of all expected conservation cost changes and amortization of deferred balances no later than June 1</w:t>
      </w:r>
      <w:r w:rsidR="004D376E" w:rsidRPr="004D376E">
        <w:rPr>
          <w:szCs w:val="24"/>
          <w:vertAlign w:val="superscript"/>
        </w:rPr>
        <w:t>st</w:t>
      </w:r>
      <w:r w:rsidR="004D376E">
        <w:rPr>
          <w:szCs w:val="24"/>
        </w:rPr>
        <w:t xml:space="preserve"> of each year with a requested effective date at least sixty days after the filing.  </w:t>
      </w:r>
    </w:p>
    <w:p w14:paraId="1F94479A" w14:textId="77777777" w:rsidR="00BF6B7E" w:rsidRDefault="000D5787" w:rsidP="000D5787">
      <w:pPr>
        <w:pStyle w:val="BodyText2"/>
        <w:spacing w:line="360" w:lineRule="auto"/>
        <w:ind w:firstLine="720"/>
        <w:rPr>
          <w:szCs w:val="24"/>
        </w:rPr>
      </w:pPr>
      <w:r>
        <w:rPr>
          <w:szCs w:val="24"/>
        </w:rPr>
        <w:lastRenderedPageBreak/>
        <w:t>T</w:t>
      </w:r>
      <w:r w:rsidR="00BF6B7E" w:rsidRPr="00BF6B7E">
        <w:rPr>
          <w:szCs w:val="24"/>
        </w:rPr>
        <w:t>he Company’s tariff rider mechanism is designed to match future revenue with budgeted expenditures. To ensure appropriate recovery, the mechanism includes a true-up feature that reconciles the previous periods’ actual expenditures and collections.</w:t>
      </w:r>
    </w:p>
    <w:p w14:paraId="1F94479B" w14:textId="77777777" w:rsidR="00B14584" w:rsidRPr="00BF6B7E" w:rsidRDefault="007F176C" w:rsidP="00A840FB">
      <w:pPr>
        <w:pStyle w:val="BodyText2"/>
        <w:spacing w:line="360" w:lineRule="auto"/>
        <w:ind w:firstLine="720"/>
        <w:rPr>
          <w:szCs w:val="24"/>
        </w:rPr>
      </w:pPr>
      <w:r>
        <w:rPr>
          <w:szCs w:val="24"/>
        </w:rPr>
        <w:t xml:space="preserve">As of </w:t>
      </w:r>
      <w:r w:rsidR="00BB6262">
        <w:rPr>
          <w:szCs w:val="24"/>
        </w:rPr>
        <w:t>March</w:t>
      </w:r>
      <w:r w:rsidR="000B7F79">
        <w:rPr>
          <w:szCs w:val="24"/>
        </w:rPr>
        <w:t xml:space="preserve"> 30</w:t>
      </w:r>
      <w:r>
        <w:rPr>
          <w:szCs w:val="24"/>
        </w:rPr>
        <w:t xml:space="preserve">, </w:t>
      </w:r>
      <w:r w:rsidR="00C35B1B">
        <w:rPr>
          <w:szCs w:val="24"/>
        </w:rPr>
        <w:t>2016</w:t>
      </w:r>
      <w:r w:rsidR="00BF6B7E" w:rsidRPr="00BF6B7E">
        <w:rPr>
          <w:szCs w:val="24"/>
        </w:rPr>
        <w:t xml:space="preserve">, the Schedule 91 (electric) </w:t>
      </w:r>
      <w:r>
        <w:rPr>
          <w:szCs w:val="24"/>
        </w:rPr>
        <w:t>tariff rider balance was</w:t>
      </w:r>
      <w:r w:rsidR="00BF6B7E" w:rsidRPr="00BF6B7E">
        <w:rPr>
          <w:szCs w:val="24"/>
        </w:rPr>
        <w:t xml:space="preserve"> </w:t>
      </w:r>
      <w:r w:rsidR="00BB6262">
        <w:rPr>
          <w:szCs w:val="24"/>
        </w:rPr>
        <w:t>approximately</w:t>
      </w:r>
      <w:r w:rsidR="00BF6B7E" w:rsidRPr="00BF6B7E">
        <w:rPr>
          <w:szCs w:val="24"/>
        </w:rPr>
        <w:t xml:space="preserve"> $</w:t>
      </w:r>
      <w:r w:rsidR="00BB6262">
        <w:rPr>
          <w:szCs w:val="24"/>
        </w:rPr>
        <w:t>162</w:t>
      </w:r>
      <w:r w:rsidR="00C35B1B">
        <w:rPr>
          <w:szCs w:val="24"/>
        </w:rPr>
        <w:t>,000</w:t>
      </w:r>
      <w:r w:rsidR="008842EC">
        <w:rPr>
          <w:szCs w:val="24"/>
        </w:rPr>
        <w:t xml:space="preserve"> </w:t>
      </w:r>
      <w:r w:rsidR="00A058C4">
        <w:rPr>
          <w:szCs w:val="24"/>
        </w:rPr>
        <w:t>under</w:t>
      </w:r>
      <w:r w:rsidR="00C35B1B">
        <w:rPr>
          <w:szCs w:val="24"/>
        </w:rPr>
        <w:t>funded</w:t>
      </w:r>
      <w:r w:rsidR="00205A61">
        <w:rPr>
          <w:szCs w:val="24"/>
        </w:rPr>
        <w:t xml:space="preserve">.   </w:t>
      </w:r>
      <w:r w:rsidR="00C35B1B">
        <w:rPr>
          <w:szCs w:val="24"/>
        </w:rPr>
        <w:t>However, based upon current projects for revenue and expenditures the Company is forecasting that the tariff balance will grow to $</w:t>
      </w:r>
      <w:r w:rsidR="00D15DFC">
        <w:rPr>
          <w:szCs w:val="24"/>
        </w:rPr>
        <w:t>3.4</w:t>
      </w:r>
      <w:r w:rsidR="00C35B1B">
        <w:rPr>
          <w:szCs w:val="24"/>
        </w:rPr>
        <w:t xml:space="preserve"> Million</w:t>
      </w:r>
      <w:r w:rsidR="001262DF">
        <w:rPr>
          <w:szCs w:val="24"/>
        </w:rPr>
        <w:t xml:space="preserve"> by July 2017 at the current rates</w:t>
      </w:r>
      <w:r w:rsidR="00C35B1B">
        <w:rPr>
          <w:szCs w:val="24"/>
        </w:rPr>
        <w:t>.</w:t>
      </w:r>
      <w:r w:rsidR="006470FE">
        <w:rPr>
          <w:szCs w:val="24"/>
        </w:rPr>
        <w:t xml:space="preserve">  Therefore, the Company is proposing to </w:t>
      </w:r>
      <w:r w:rsidR="00C35B1B">
        <w:rPr>
          <w:szCs w:val="24"/>
        </w:rPr>
        <w:t xml:space="preserve">increase </w:t>
      </w:r>
      <w:r w:rsidR="006470FE">
        <w:rPr>
          <w:szCs w:val="24"/>
        </w:rPr>
        <w:t>rates collected in Schedule 91</w:t>
      </w:r>
      <w:r w:rsidR="00C35B1B">
        <w:rPr>
          <w:szCs w:val="24"/>
        </w:rPr>
        <w:t xml:space="preserve"> to bring the forecasted tariff balance </w:t>
      </w:r>
      <w:r w:rsidR="00127713">
        <w:rPr>
          <w:szCs w:val="24"/>
        </w:rPr>
        <w:t xml:space="preserve">close </w:t>
      </w:r>
      <w:r w:rsidR="00C35B1B">
        <w:rPr>
          <w:szCs w:val="24"/>
        </w:rPr>
        <w:t>to $0 by July 2017</w:t>
      </w:r>
      <w:r w:rsidR="006470FE">
        <w:rPr>
          <w:szCs w:val="24"/>
        </w:rPr>
        <w:t xml:space="preserve"> </w:t>
      </w:r>
      <w:r w:rsidR="00C35B1B">
        <w:rPr>
          <w:szCs w:val="24"/>
        </w:rPr>
        <w:t>which will provide an</w:t>
      </w:r>
      <w:r w:rsidR="006470FE">
        <w:rPr>
          <w:szCs w:val="24"/>
        </w:rPr>
        <w:t xml:space="preserve"> </w:t>
      </w:r>
      <w:r w:rsidR="008842EC">
        <w:rPr>
          <w:szCs w:val="24"/>
        </w:rPr>
        <w:t>appropriate</w:t>
      </w:r>
      <w:r w:rsidR="006470FE">
        <w:rPr>
          <w:szCs w:val="24"/>
        </w:rPr>
        <w:t xml:space="preserve"> level of funding for</w:t>
      </w:r>
      <w:r w:rsidR="00205A61">
        <w:rPr>
          <w:szCs w:val="24"/>
        </w:rPr>
        <w:t xml:space="preserve"> ong</w:t>
      </w:r>
      <w:r w:rsidR="00205A61" w:rsidRPr="00BF6B7E">
        <w:rPr>
          <w:szCs w:val="24"/>
        </w:rPr>
        <w:t xml:space="preserve">oing </w:t>
      </w:r>
      <w:r w:rsidR="00205A61">
        <w:rPr>
          <w:szCs w:val="24"/>
        </w:rPr>
        <w:t>DSM</w:t>
      </w:r>
      <w:r w:rsidR="00205A61" w:rsidRPr="00BF6B7E">
        <w:rPr>
          <w:szCs w:val="24"/>
        </w:rPr>
        <w:t xml:space="preserve"> operations.  </w:t>
      </w:r>
      <w:r w:rsidR="00BF6B7E" w:rsidRPr="00BF6B7E">
        <w:rPr>
          <w:szCs w:val="24"/>
        </w:rPr>
        <w:t xml:space="preserve">  </w:t>
      </w:r>
      <w:r w:rsidR="00110C55">
        <w:rPr>
          <w:szCs w:val="24"/>
        </w:rPr>
        <w:t xml:space="preserve">   </w:t>
      </w:r>
      <w:r w:rsidR="000B7F79">
        <w:rPr>
          <w:szCs w:val="24"/>
        </w:rPr>
        <w:t xml:space="preserve"> </w:t>
      </w:r>
      <w:r w:rsidR="00485113" w:rsidRPr="00BF6B7E">
        <w:rPr>
          <w:szCs w:val="24"/>
        </w:rPr>
        <w:t xml:space="preserve">  </w:t>
      </w:r>
      <w:bookmarkEnd w:id="1"/>
      <w:bookmarkEnd w:id="2"/>
    </w:p>
    <w:p w14:paraId="1F94479C" w14:textId="77777777" w:rsidR="002C67B6" w:rsidRPr="00DA1D28" w:rsidRDefault="00073F75" w:rsidP="00BF6B7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Schedule</w:t>
      </w:r>
      <w:r w:rsidR="002C67B6" w:rsidRPr="002C67B6">
        <w:rPr>
          <w:sz w:val="24"/>
          <w:szCs w:val="24"/>
        </w:rPr>
        <w:t xml:space="preserve"> </w:t>
      </w:r>
      <w:r w:rsidR="003709CC">
        <w:rPr>
          <w:sz w:val="24"/>
          <w:szCs w:val="24"/>
        </w:rPr>
        <w:t xml:space="preserve">91 </w:t>
      </w:r>
      <w:r w:rsidR="00DA1D28">
        <w:rPr>
          <w:sz w:val="24"/>
          <w:szCs w:val="24"/>
        </w:rPr>
        <w:t>fund</w:t>
      </w:r>
      <w:r>
        <w:rPr>
          <w:sz w:val="24"/>
          <w:szCs w:val="24"/>
        </w:rPr>
        <w:t>s</w:t>
      </w:r>
      <w:r w:rsidR="002C67B6" w:rsidRPr="002C67B6">
        <w:rPr>
          <w:sz w:val="24"/>
          <w:szCs w:val="24"/>
        </w:rPr>
        <w:t xml:space="preserve"> DSM programs described in </w:t>
      </w:r>
      <w:r w:rsidR="00BF6B7E">
        <w:rPr>
          <w:sz w:val="24"/>
          <w:szCs w:val="24"/>
        </w:rPr>
        <w:t xml:space="preserve">the Company’s </w:t>
      </w:r>
      <w:r w:rsidR="002C67B6" w:rsidRPr="002C67B6">
        <w:rPr>
          <w:sz w:val="24"/>
          <w:szCs w:val="24"/>
        </w:rPr>
        <w:t xml:space="preserve">Schedule </w:t>
      </w:r>
      <w:r w:rsidR="003709CC">
        <w:rPr>
          <w:sz w:val="24"/>
          <w:szCs w:val="24"/>
        </w:rPr>
        <w:t>90</w:t>
      </w:r>
      <w:r w:rsidR="002C67B6" w:rsidRPr="002C67B6">
        <w:rPr>
          <w:sz w:val="24"/>
          <w:szCs w:val="24"/>
        </w:rPr>
        <w:t xml:space="preserve">.  </w:t>
      </w:r>
      <w:r w:rsidR="00AE00CF" w:rsidRPr="002C67B6">
        <w:rPr>
          <w:sz w:val="24"/>
          <w:szCs w:val="24"/>
        </w:rPr>
        <w:t xml:space="preserve">All Schedule </w:t>
      </w:r>
      <w:r w:rsidR="00AE00CF">
        <w:rPr>
          <w:sz w:val="24"/>
          <w:szCs w:val="24"/>
        </w:rPr>
        <w:t xml:space="preserve">91 </w:t>
      </w:r>
      <w:r w:rsidR="00DA1D28">
        <w:rPr>
          <w:sz w:val="24"/>
          <w:szCs w:val="24"/>
        </w:rPr>
        <w:t>DSM revenue</w:t>
      </w:r>
      <w:r w:rsidR="00AE00CF" w:rsidRPr="002C67B6">
        <w:rPr>
          <w:sz w:val="24"/>
          <w:szCs w:val="24"/>
        </w:rPr>
        <w:t xml:space="preserve"> </w:t>
      </w:r>
      <w:r w:rsidR="00A90350">
        <w:rPr>
          <w:sz w:val="24"/>
          <w:szCs w:val="24"/>
        </w:rPr>
        <w:t>is applied only to</w:t>
      </w:r>
      <w:r w:rsidR="00AE00CF" w:rsidRPr="002C67B6">
        <w:rPr>
          <w:sz w:val="24"/>
          <w:szCs w:val="24"/>
        </w:rPr>
        <w:t xml:space="preserve"> </w:t>
      </w:r>
      <w:r w:rsidR="00A90350">
        <w:rPr>
          <w:sz w:val="24"/>
          <w:szCs w:val="24"/>
        </w:rPr>
        <w:t>the provision of</w:t>
      </w:r>
      <w:r w:rsidR="00AE00CF" w:rsidRPr="002C67B6">
        <w:rPr>
          <w:sz w:val="24"/>
          <w:szCs w:val="24"/>
        </w:rPr>
        <w:t xml:space="preserve"> </w:t>
      </w:r>
      <w:r w:rsidR="00AE00CF">
        <w:rPr>
          <w:sz w:val="24"/>
          <w:szCs w:val="24"/>
        </w:rPr>
        <w:t xml:space="preserve">electric </w:t>
      </w:r>
      <w:r w:rsidR="00AE00CF" w:rsidRPr="002C67B6">
        <w:rPr>
          <w:sz w:val="24"/>
          <w:szCs w:val="24"/>
        </w:rPr>
        <w:t xml:space="preserve">efficiency </w:t>
      </w:r>
      <w:r w:rsidR="00A90350">
        <w:rPr>
          <w:sz w:val="24"/>
          <w:szCs w:val="24"/>
        </w:rPr>
        <w:t>service</w:t>
      </w:r>
      <w:r w:rsidR="00AE00CF" w:rsidRPr="002C67B6">
        <w:rPr>
          <w:sz w:val="24"/>
          <w:szCs w:val="24"/>
        </w:rPr>
        <w:t xml:space="preserve"> </w:t>
      </w:r>
      <w:r w:rsidR="00DA1D28">
        <w:rPr>
          <w:sz w:val="24"/>
          <w:szCs w:val="24"/>
        </w:rPr>
        <w:t>including</w:t>
      </w:r>
      <w:r w:rsidR="00AE00CF">
        <w:rPr>
          <w:sz w:val="24"/>
          <w:szCs w:val="24"/>
        </w:rPr>
        <w:t xml:space="preserve"> </w:t>
      </w:r>
      <w:r w:rsidR="00DA1D28">
        <w:rPr>
          <w:sz w:val="24"/>
          <w:szCs w:val="24"/>
        </w:rPr>
        <w:t>programs</w:t>
      </w:r>
      <w:r w:rsidR="00AE00CF" w:rsidRPr="002C67B6">
        <w:rPr>
          <w:sz w:val="24"/>
          <w:szCs w:val="24"/>
        </w:rPr>
        <w:t xml:space="preserve"> off</w:t>
      </w:r>
      <w:r w:rsidR="00356DBD">
        <w:rPr>
          <w:sz w:val="24"/>
          <w:szCs w:val="24"/>
        </w:rPr>
        <w:t xml:space="preserve">ered by the Company directly, </w:t>
      </w:r>
      <w:r w:rsidR="00AE00CF" w:rsidRPr="002C67B6">
        <w:rPr>
          <w:sz w:val="24"/>
          <w:szCs w:val="24"/>
        </w:rPr>
        <w:t xml:space="preserve">through designated contractors, or as part of regional </w:t>
      </w:r>
      <w:r w:rsidR="00AE00CF">
        <w:rPr>
          <w:sz w:val="24"/>
          <w:szCs w:val="24"/>
        </w:rPr>
        <w:t xml:space="preserve">electric </w:t>
      </w:r>
      <w:r w:rsidR="00AE00CF" w:rsidRPr="002C67B6">
        <w:rPr>
          <w:sz w:val="24"/>
          <w:szCs w:val="24"/>
        </w:rPr>
        <w:t>programs</w:t>
      </w:r>
      <w:r w:rsidR="00DA1D28">
        <w:rPr>
          <w:sz w:val="24"/>
          <w:szCs w:val="24"/>
        </w:rPr>
        <w:t xml:space="preserve"> </w:t>
      </w:r>
      <w:r w:rsidR="00356DBD">
        <w:rPr>
          <w:sz w:val="24"/>
          <w:szCs w:val="24"/>
        </w:rPr>
        <w:t>as well as</w:t>
      </w:r>
      <w:r w:rsidR="00DA1D28">
        <w:rPr>
          <w:sz w:val="24"/>
          <w:szCs w:val="24"/>
        </w:rPr>
        <w:t xml:space="preserve"> evaluation, meas</w:t>
      </w:r>
      <w:r w:rsidR="00A90350">
        <w:rPr>
          <w:sz w:val="24"/>
          <w:szCs w:val="24"/>
        </w:rPr>
        <w:t>urement and verification (</w:t>
      </w:r>
      <w:r w:rsidR="006470FE">
        <w:rPr>
          <w:sz w:val="24"/>
          <w:szCs w:val="24"/>
        </w:rPr>
        <w:t>“</w:t>
      </w:r>
      <w:r w:rsidR="00A90350">
        <w:rPr>
          <w:sz w:val="24"/>
          <w:szCs w:val="24"/>
        </w:rPr>
        <w:t>EM&amp;V</w:t>
      </w:r>
      <w:r w:rsidR="006470FE">
        <w:rPr>
          <w:sz w:val="24"/>
          <w:szCs w:val="24"/>
        </w:rPr>
        <w:t>”</w:t>
      </w:r>
      <w:r w:rsidR="00A90350">
        <w:rPr>
          <w:sz w:val="24"/>
          <w:szCs w:val="24"/>
        </w:rPr>
        <w:t>)</w:t>
      </w:r>
      <w:r w:rsidR="00AE00CF" w:rsidRPr="002C67B6">
        <w:rPr>
          <w:sz w:val="24"/>
          <w:szCs w:val="24"/>
        </w:rPr>
        <w:t xml:space="preserve">. </w:t>
      </w:r>
      <w:r w:rsidR="002C67B6" w:rsidRPr="002C67B6">
        <w:rPr>
          <w:sz w:val="24"/>
          <w:szCs w:val="24"/>
        </w:rPr>
        <w:t>These programs include</w:t>
      </w:r>
      <w:r w:rsidR="007437E9">
        <w:rPr>
          <w:sz w:val="24"/>
          <w:szCs w:val="24"/>
        </w:rPr>
        <w:t xml:space="preserve"> but are not limited to </w:t>
      </w:r>
      <w:r w:rsidR="00DA1D28">
        <w:rPr>
          <w:sz w:val="24"/>
          <w:szCs w:val="24"/>
        </w:rPr>
        <w:t>the following</w:t>
      </w:r>
      <w:r w:rsidR="002C67B6" w:rsidRPr="002C67B6">
        <w:rPr>
          <w:sz w:val="24"/>
          <w:szCs w:val="24"/>
        </w:rPr>
        <w:t>:</w:t>
      </w:r>
    </w:p>
    <w:p w14:paraId="1F94479D" w14:textId="77777777" w:rsidR="002C67B6" w:rsidRPr="002C67B6" w:rsidRDefault="002C67B6" w:rsidP="002C67B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bCs/>
          <w:sz w:val="24"/>
          <w:szCs w:val="24"/>
        </w:rPr>
      </w:pPr>
      <w:r w:rsidRPr="002C67B6">
        <w:rPr>
          <w:bCs/>
          <w:sz w:val="24"/>
          <w:szCs w:val="24"/>
        </w:rPr>
        <w:t>Appliance</w:t>
      </w:r>
      <w:r w:rsidRPr="002C67B6">
        <w:rPr>
          <w:sz w:val="24"/>
          <w:szCs w:val="24"/>
        </w:rPr>
        <w:t xml:space="preserve"> </w:t>
      </w:r>
      <w:r w:rsidRPr="002C67B6">
        <w:rPr>
          <w:bCs/>
          <w:sz w:val="24"/>
          <w:szCs w:val="24"/>
        </w:rPr>
        <w:t>measures</w:t>
      </w:r>
    </w:p>
    <w:p w14:paraId="1F94479E" w14:textId="77777777" w:rsidR="002C67B6" w:rsidRPr="002C67B6" w:rsidRDefault="007437E9" w:rsidP="002C67B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autoSpaceDE w:val="0"/>
        <w:autoSpaceDN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Compressed air</w:t>
      </w:r>
      <w:r w:rsidR="002C67B6" w:rsidRPr="002C67B6">
        <w:rPr>
          <w:sz w:val="24"/>
          <w:szCs w:val="24"/>
        </w:rPr>
        <w:t xml:space="preserve"> </w:t>
      </w:r>
      <w:r w:rsidR="002C67B6" w:rsidRPr="002C67B6">
        <w:rPr>
          <w:bCs/>
          <w:sz w:val="24"/>
          <w:szCs w:val="24"/>
        </w:rPr>
        <w:t>measures</w:t>
      </w:r>
    </w:p>
    <w:p w14:paraId="1F94479F" w14:textId="77777777" w:rsidR="002C67B6" w:rsidRPr="002C67B6" w:rsidRDefault="007437E9" w:rsidP="002C67B6">
      <w:pPr>
        <w:numPr>
          <w:ilvl w:val="0"/>
          <w:numId w:val="4"/>
        </w:numPr>
        <w:rPr>
          <w:sz w:val="24"/>
          <w:szCs w:val="24"/>
        </w:rPr>
      </w:pPr>
      <w:r>
        <w:rPr>
          <w:bCs/>
          <w:sz w:val="24"/>
          <w:szCs w:val="24"/>
        </w:rPr>
        <w:t>HVAC</w:t>
      </w:r>
      <w:r w:rsidR="002C67B6" w:rsidRPr="002C67B6">
        <w:rPr>
          <w:bCs/>
          <w:sz w:val="24"/>
          <w:szCs w:val="24"/>
        </w:rPr>
        <w:t xml:space="preserve"> measures</w:t>
      </w:r>
      <w:r w:rsidR="002C67B6" w:rsidRPr="002C67B6">
        <w:rPr>
          <w:sz w:val="24"/>
          <w:szCs w:val="24"/>
        </w:rPr>
        <w:t xml:space="preserve"> </w:t>
      </w:r>
    </w:p>
    <w:p w14:paraId="1F9447A0" w14:textId="77777777" w:rsidR="002C67B6" w:rsidRPr="002C67B6" w:rsidRDefault="007437E9" w:rsidP="002C67B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Industrial</w:t>
      </w:r>
      <w:r w:rsidR="002C67B6" w:rsidRPr="002C67B6">
        <w:rPr>
          <w:sz w:val="24"/>
          <w:szCs w:val="24"/>
        </w:rPr>
        <w:t xml:space="preserve"> </w:t>
      </w:r>
      <w:r w:rsidR="002C67B6" w:rsidRPr="002C67B6">
        <w:rPr>
          <w:bCs/>
          <w:sz w:val="24"/>
          <w:szCs w:val="24"/>
        </w:rPr>
        <w:t>measures</w:t>
      </w:r>
      <w:r w:rsidR="002C67B6" w:rsidRPr="002C67B6">
        <w:rPr>
          <w:sz w:val="24"/>
          <w:szCs w:val="24"/>
        </w:rPr>
        <w:t xml:space="preserve"> </w:t>
      </w:r>
    </w:p>
    <w:p w14:paraId="1F9447A1" w14:textId="77777777" w:rsidR="002C67B6" w:rsidRPr="002C67B6" w:rsidRDefault="007437E9" w:rsidP="002C67B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Lighting</w:t>
      </w:r>
      <w:r w:rsidR="002C67B6" w:rsidRPr="002C67B6">
        <w:rPr>
          <w:bCs/>
          <w:sz w:val="24"/>
          <w:szCs w:val="24"/>
        </w:rPr>
        <w:t xml:space="preserve"> measures </w:t>
      </w:r>
    </w:p>
    <w:p w14:paraId="1F9447A2" w14:textId="77777777" w:rsidR="002C67B6" w:rsidRPr="002C67B6" w:rsidRDefault="002C67B6" w:rsidP="002C67B6">
      <w:pPr>
        <w:pStyle w:val="Items1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2C67B6">
        <w:rPr>
          <w:rFonts w:ascii="Times New Roman" w:hAnsi="Times New Roman" w:cs="Times New Roman"/>
          <w:bCs/>
        </w:rPr>
        <w:t>Maintenance</w:t>
      </w:r>
      <w:r w:rsidRPr="002C67B6">
        <w:rPr>
          <w:rFonts w:ascii="Times New Roman" w:hAnsi="Times New Roman" w:cs="Times New Roman"/>
        </w:rPr>
        <w:t xml:space="preserve"> </w:t>
      </w:r>
      <w:r w:rsidRPr="002C67B6">
        <w:rPr>
          <w:rFonts w:ascii="Times New Roman" w:hAnsi="Times New Roman" w:cs="Times New Roman"/>
          <w:bCs/>
        </w:rPr>
        <w:t>measures</w:t>
      </w:r>
      <w:r w:rsidRPr="002C67B6">
        <w:rPr>
          <w:rFonts w:ascii="Times New Roman" w:hAnsi="Times New Roman" w:cs="Times New Roman"/>
        </w:rPr>
        <w:t xml:space="preserve"> </w:t>
      </w:r>
    </w:p>
    <w:p w14:paraId="1F9447A3" w14:textId="77777777" w:rsidR="002C67B6" w:rsidRPr="00DA1D28" w:rsidRDefault="007437E9" w:rsidP="00DA1D2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Motors</w:t>
      </w:r>
      <w:r w:rsidR="002C67B6" w:rsidRPr="002C67B6">
        <w:rPr>
          <w:sz w:val="24"/>
          <w:szCs w:val="24"/>
        </w:rPr>
        <w:t xml:space="preserve"> </w:t>
      </w:r>
      <w:r w:rsidR="002C67B6" w:rsidRPr="002C67B6">
        <w:rPr>
          <w:bCs/>
          <w:sz w:val="24"/>
          <w:szCs w:val="24"/>
        </w:rPr>
        <w:t>measures</w:t>
      </w:r>
    </w:p>
    <w:p w14:paraId="1F9447A4" w14:textId="77777777" w:rsidR="002C67B6" w:rsidRPr="002C67B6" w:rsidRDefault="00982C4F" w:rsidP="002C67B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Northwest Energy Efficiency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  <w:szCs w:val="24"/>
            </w:rPr>
            <w:t>Alliance</w:t>
          </w:r>
        </w:smartTag>
      </w:smartTag>
      <w:r>
        <w:rPr>
          <w:bCs/>
          <w:sz w:val="24"/>
          <w:szCs w:val="24"/>
        </w:rPr>
        <w:t xml:space="preserve"> participation</w:t>
      </w:r>
      <w:r w:rsidR="002C67B6" w:rsidRPr="002C67B6">
        <w:rPr>
          <w:sz w:val="24"/>
          <w:szCs w:val="24"/>
        </w:rPr>
        <w:t xml:space="preserve"> </w:t>
      </w:r>
    </w:p>
    <w:p w14:paraId="1F9447A5" w14:textId="77777777" w:rsidR="002C67B6" w:rsidRPr="002C67B6" w:rsidRDefault="002C67B6" w:rsidP="002C67B6">
      <w:pPr>
        <w:numPr>
          <w:ilvl w:val="0"/>
          <w:numId w:val="4"/>
        </w:numPr>
        <w:jc w:val="both"/>
        <w:rPr>
          <w:sz w:val="24"/>
          <w:szCs w:val="24"/>
        </w:rPr>
      </w:pPr>
      <w:r w:rsidRPr="002C67B6">
        <w:rPr>
          <w:bCs/>
          <w:sz w:val="24"/>
          <w:szCs w:val="24"/>
        </w:rPr>
        <w:t>Shell measures</w:t>
      </w:r>
      <w:r w:rsidRPr="002C67B6">
        <w:rPr>
          <w:sz w:val="24"/>
          <w:szCs w:val="24"/>
        </w:rPr>
        <w:t xml:space="preserve"> </w:t>
      </w:r>
    </w:p>
    <w:p w14:paraId="1F9447A6" w14:textId="77777777" w:rsidR="002C67B6" w:rsidRPr="00212D64" w:rsidRDefault="002C67B6" w:rsidP="002C67B6">
      <w:pPr>
        <w:numPr>
          <w:ilvl w:val="0"/>
          <w:numId w:val="4"/>
        </w:num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2C67B6">
            <w:rPr>
              <w:bCs/>
              <w:sz w:val="24"/>
              <w:szCs w:val="24"/>
            </w:rPr>
            <w:t>Sustainable</w:t>
          </w:r>
        </w:smartTag>
        <w:r w:rsidRPr="002C67B6">
          <w:rPr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2C67B6">
            <w:rPr>
              <w:bCs/>
              <w:sz w:val="24"/>
              <w:szCs w:val="24"/>
            </w:rPr>
            <w:t>Building</w:t>
          </w:r>
        </w:smartTag>
      </w:smartTag>
      <w:r w:rsidRPr="002C67B6">
        <w:rPr>
          <w:sz w:val="24"/>
          <w:szCs w:val="24"/>
        </w:rPr>
        <w:t xml:space="preserve"> </w:t>
      </w:r>
      <w:r w:rsidRPr="002C67B6">
        <w:rPr>
          <w:bCs/>
          <w:sz w:val="24"/>
          <w:szCs w:val="24"/>
        </w:rPr>
        <w:t>measures</w:t>
      </w:r>
    </w:p>
    <w:p w14:paraId="1F9447A7" w14:textId="77777777" w:rsidR="00212D64" w:rsidRPr="002C67B6" w:rsidRDefault="00212D64" w:rsidP="002C67B6">
      <w:pPr>
        <w:numPr>
          <w:ilvl w:val="0"/>
          <w:numId w:val="4"/>
        </w:numPr>
        <w:rPr>
          <w:sz w:val="24"/>
          <w:szCs w:val="24"/>
        </w:rPr>
      </w:pPr>
      <w:r>
        <w:rPr>
          <w:bCs/>
          <w:sz w:val="24"/>
          <w:szCs w:val="24"/>
        </w:rPr>
        <w:t>Behavioral programs</w:t>
      </w:r>
    </w:p>
    <w:p w14:paraId="1F9447A8" w14:textId="77777777" w:rsidR="002C67B6" w:rsidRDefault="002C67B6" w:rsidP="002C67B6">
      <w:pPr>
        <w:ind w:firstLine="360"/>
        <w:rPr>
          <w:sz w:val="24"/>
          <w:szCs w:val="24"/>
        </w:rPr>
      </w:pPr>
    </w:p>
    <w:p w14:paraId="1F9447A9" w14:textId="77777777" w:rsidR="00F423F3" w:rsidRPr="00E25458" w:rsidRDefault="00F423F3" w:rsidP="00BF6B7E">
      <w:pPr>
        <w:suppressAutoHyphens/>
        <w:spacing w:line="360" w:lineRule="auto"/>
        <w:ind w:firstLine="720"/>
        <w:jc w:val="both"/>
        <w:outlineLvl w:val="0"/>
        <w:rPr>
          <w:sz w:val="24"/>
          <w:szCs w:val="24"/>
          <w:u w:val="single"/>
        </w:rPr>
      </w:pPr>
      <w:r w:rsidRPr="002E4C90">
        <w:rPr>
          <w:sz w:val="24"/>
          <w:szCs w:val="24"/>
        </w:rPr>
        <w:t xml:space="preserve">The Company’s programs are based on providing a financial incentive, or “rebate,” for cost-effective efficiency measures </w:t>
      </w:r>
      <w:r w:rsidR="00435BF4">
        <w:rPr>
          <w:sz w:val="24"/>
          <w:szCs w:val="24"/>
        </w:rPr>
        <w:t>with a simple pay</w:t>
      </w:r>
      <w:r w:rsidRPr="002E4C90">
        <w:rPr>
          <w:sz w:val="24"/>
          <w:szCs w:val="24"/>
        </w:rPr>
        <w:t xml:space="preserve">back </w:t>
      </w:r>
      <w:r w:rsidR="00523072">
        <w:rPr>
          <w:sz w:val="24"/>
          <w:szCs w:val="24"/>
        </w:rPr>
        <w:t>less than fifteen</w:t>
      </w:r>
      <w:r w:rsidR="00356DBD">
        <w:rPr>
          <w:sz w:val="24"/>
          <w:szCs w:val="24"/>
        </w:rPr>
        <w:t xml:space="preserve"> years</w:t>
      </w:r>
      <w:r w:rsidRPr="002E4C90">
        <w:rPr>
          <w:sz w:val="24"/>
          <w:szCs w:val="24"/>
        </w:rPr>
        <w:t xml:space="preserve">.  This includes </w:t>
      </w:r>
      <w:r w:rsidR="001618EE">
        <w:rPr>
          <w:sz w:val="24"/>
          <w:szCs w:val="24"/>
        </w:rPr>
        <w:t>approximately</w:t>
      </w:r>
      <w:r w:rsidRPr="002E4C90">
        <w:rPr>
          <w:sz w:val="24"/>
          <w:szCs w:val="24"/>
        </w:rPr>
        <w:t xml:space="preserve"> 300 measures that are packaged into</w:t>
      </w:r>
      <w:r w:rsidR="002F033B">
        <w:rPr>
          <w:sz w:val="24"/>
          <w:szCs w:val="24"/>
        </w:rPr>
        <w:t xml:space="preserve"> about </w:t>
      </w:r>
      <w:r w:rsidRPr="002E4C90">
        <w:rPr>
          <w:sz w:val="24"/>
          <w:szCs w:val="24"/>
        </w:rPr>
        <w:t xml:space="preserve">30 programs for customer convenience.  </w:t>
      </w:r>
    </w:p>
    <w:p w14:paraId="1F9447AA" w14:textId="77777777" w:rsidR="00F423F3" w:rsidRDefault="00F423F3" w:rsidP="00BF6B7E">
      <w:pPr>
        <w:pStyle w:val="BodyText2"/>
        <w:spacing w:line="360" w:lineRule="auto"/>
        <w:ind w:firstLine="720"/>
        <w:rPr>
          <w:szCs w:val="24"/>
        </w:rPr>
      </w:pPr>
      <w:r w:rsidRPr="002E4C90">
        <w:rPr>
          <w:szCs w:val="24"/>
        </w:rPr>
        <w:t xml:space="preserve">Avista has </w:t>
      </w:r>
      <w:r>
        <w:rPr>
          <w:szCs w:val="24"/>
        </w:rPr>
        <w:t>long encouraged</w:t>
      </w:r>
      <w:r w:rsidRPr="002E4C90">
        <w:rPr>
          <w:szCs w:val="24"/>
        </w:rPr>
        <w:t xml:space="preserve"> the direct-use of natural gas to its </w:t>
      </w:r>
      <w:r>
        <w:rPr>
          <w:szCs w:val="24"/>
        </w:rPr>
        <w:t xml:space="preserve">electric </w:t>
      </w:r>
      <w:r w:rsidR="00063617">
        <w:rPr>
          <w:szCs w:val="24"/>
        </w:rPr>
        <w:t>customers.  As an electric energy efficiency program, t</w:t>
      </w:r>
      <w:r w:rsidRPr="002E4C90">
        <w:rPr>
          <w:szCs w:val="24"/>
        </w:rPr>
        <w:t xml:space="preserve">he Company is continuing this effort with residential rebates for the conversion of electric to natural gas space and water heat loads as well as a broad program for any non-residential electric to natural gas conversions meeting specified criteria for relative British Thermal Unit (BTU) efficiency.  Avista’s residential programs include high efficiency equipment, </w:t>
      </w:r>
      <w:r w:rsidRPr="002E4C90">
        <w:rPr>
          <w:szCs w:val="24"/>
        </w:rPr>
        <w:lastRenderedPageBreak/>
        <w:t>electric to natural gas convers</w:t>
      </w:r>
      <w:r w:rsidR="005519C3">
        <w:rPr>
          <w:szCs w:val="24"/>
        </w:rPr>
        <w:t xml:space="preserve">ions, </w:t>
      </w:r>
      <w:r w:rsidRPr="002E4C90">
        <w:rPr>
          <w:szCs w:val="24"/>
        </w:rPr>
        <w:t xml:space="preserve">, weatherization, as well as providing educational assistance through various community events.    </w:t>
      </w:r>
    </w:p>
    <w:p w14:paraId="1F9447AB" w14:textId="77777777" w:rsidR="00A14BAA" w:rsidRDefault="00F423F3" w:rsidP="00BF6B7E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For non-residential customers, in addition to prescriptive </w:t>
      </w:r>
      <w:r w:rsidR="0073219B">
        <w:rPr>
          <w:sz w:val="24"/>
          <w:szCs w:val="24"/>
        </w:rPr>
        <w:t>(or “standard offer</w:t>
      </w:r>
      <w:r w:rsidR="005519C3">
        <w:rPr>
          <w:sz w:val="24"/>
          <w:szCs w:val="24"/>
        </w:rPr>
        <w:t>”) programs, Avista offers site-</w:t>
      </w:r>
      <w:r w:rsidR="0073219B">
        <w:rPr>
          <w:sz w:val="24"/>
          <w:szCs w:val="24"/>
        </w:rPr>
        <w:t>specific (or customized)</w:t>
      </w:r>
      <w:r w:rsidRPr="002E4C90">
        <w:rPr>
          <w:sz w:val="24"/>
          <w:szCs w:val="24"/>
        </w:rPr>
        <w:t xml:space="preserve"> </w:t>
      </w:r>
      <w:r w:rsidR="0073219B">
        <w:rPr>
          <w:sz w:val="24"/>
          <w:szCs w:val="24"/>
        </w:rPr>
        <w:t>services</w:t>
      </w:r>
      <w:r w:rsidR="005519C3">
        <w:rPr>
          <w:sz w:val="24"/>
          <w:szCs w:val="24"/>
        </w:rPr>
        <w:t>.   The site-</w:t>
      </w:r>
      <w:r w:rsidRPr="002E4C90">
        <w:rPr>
          <w:sz w:val="24"/>
          <w:szCs w:val="24"/>
        </w:rPr>
        <w:t xml:space="preserve">specific </w:t>
      </w:r>
      <w:r w:rsidR="0073219B">
        <w:rPr>
          <w:sz w:val="24"/>
          <w:szCs w:val="24"/>
        </w:rPr>
        <w:t>program</w:t>
      </w:r>
      <w:r w:rsidRPr="002E4C90">
        <w:rPr>
          <w:sz w:val="24"/>
          <w:szCs w:val="24"/>
        </w:rPr>
        <w:t xml:space="preserve"> provides incentives on any cost-effective commercial and industrial energy efficiency measure with a simple financial payback </w:t>
      </w:r>
      <w:r w:rsidR="00523072">
        <w:rPr>
          <w:sz w:val="24"/>
          <w:szCs w:val="24"/>
        </w:rPr>
        <w:t>less than fifteen</w:t>
      </w:r>
      <w:r w:rsidR="0073219B">
        <w:rPr>
          <w:sz w:val="24"/>
          <w:szCs w:val="24"/>
        </w:rPr>
        <w:t xml:space="preserve"> years</w:t>
      </w:r>
      <w:r w:rsidRPr="002E4C90">
        <w:rPr>
          <w:sz w:val="24"/>
          <w:szCs w:val="24"/>
        </w:rPr>
        <w:t>. This is implemented through site analyses, customized diagnoses, and incentives determined for savings generated specific to c</w:t>
      </w:r>
      <w:r w:rsidR="0073219B">
        <w:rPr>
          <w:sz w:val="24"/>
          <w:szCs w:val="24"/>
        </w:rPr>
        <w:t>ustomers’ premise or pr</w:t>
      </w:r>
      <w:r w:rsidR="005519C3">
        <w:rPr>
          <w:sz w:val="24"/>
          <w:szCs w:val="24"/>
        </w:rPr>
        <w:t>ocess.  In addition to the site-</w:t>
      </w:r>
      <w:r w:rsidR="0073219B">
        <w:rPr>
          <w:sz w:val="24"/>
          <w:szCs w:val="24"/>
        </w:rPr>
        <w:t>specific offering, c</w:t>
      </w:r>
      <w:r w:rsidRPr="002E4C90">
        <w:rPr>
          <w:sz w:val="24"/>
          <w:szCs w:val="24"/>
        </w:rPr>
        <w:t>ommercial and industrial programs available to Avista custom</w:t>
      </w:r>
      <w:r w:rsidR="00FB41D2">
        <w:rPr>
          <w:sz w:val="24"/>
          <w:szCs w:val="24"/>
        </w:rPr>
        <w:t xml:space="preserve">ers include </w:t>
      </w:r>
      <w:r w:rsidRPr="002E4C90">
        <w:rPr>
          <w:sz w:val="24"/>
          <w:szCs w:val="24"/>
        </w:rPr>
        <w:t>lighting and controls, commercial food servic</w:t>
      </w:r>
      <w:r w:rsidR="0005174E">
        <w:rPr>
          <w:sz w:val="24"/>
          <w:szCs w:val="24"/>
        </w:rPr>
        <w:t>e equipment</w:t>
      </w:r>
      <w:r w:rsidRPr="002E4C90">
        <w:rPr>
          <w:sz w:val="24"/>
          <w:szCs w:val="24"/>
        </w:rPr>
        <w:t>, premium efficiency motors, commercial</w:t>
      </w:r>
      <w:r w:rsidR="005519C3">
        <w:rPr>
          <w:sz w:val="24"/>
          <w:szCs w:val="24"/>
        </w:rPr>
        <w:t xml:space="preserve"> HVAC variable frequency drives,</w:t>
      </w:r>
      <w:r w:rsidRPr="002E4C90">
        <w:rPr>
          <w:sz w:val="24"/>
          <w:szCs w:val="24"/>
        </w:rPr>
        <w:t xml:space="preserve"> refrigerated warehouses, vending machine controllers, multifamily development</w:t>
      </w:r>
      <w:r w:rsidR="00523072">
        <w:rPr>
          <w:sz w:val="24"/>
          <w:szCs w:val="24"/>
        </w:rPr>
        <w:t xml:space="preserve"> and</w:t>
      </w:r>
      <w:r w:rsidRPr="002E4C90">
        <w:rPr>
          <w:sz w:val="24"/>
          <w:szCs w:val="24"/>
        </w:rPr>
        <w:t xml:space="preserve"> electric to natural gas water heater conversions.</w:t>
      </w:r>
      <w:r w:rsidR="00BB66AE">
        <w:rPr>
          <w:sz w:val="24"/>
          <w:szCs w:val="24"/>
        </w:rPr>
        <w:t xml:space="preserve"> </w:t>
      </w:r>
    </w:p>
    <w:p w14:paraId="1F9447AC" w14:textId="77777777" w:rsidR="00B07028" w:rsidRDefault="00B07028" w:rsidP="00BF6B7E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>In addition to Avista’s prescriptive and site-speci</w:t>
      </w:r>
      <w:r w:rsidR="00A03E67">
        <w:rPr>
          <w:sz w:val="24"/>
          <w:szCs w:val="24"/>
        </w:rPr>
        <w:t xml:space="preserve">fic programs, the Company </w:t>
      </w:r>
      <w:r w:rsidR="005C2F04">
        <w:rPr>
          <w:sz w:val="24"/>
          <w:szCs w:val="24"/>
        </w:rPr>
        <w:t>helps fund</w:t>
      </w:r>
      <w:r w:rsidR="00A03E67">
        <w:rPr>
          <w:sz w:val="24"/>
          <w:szCs w:val="24"/>
        </w:rPr>
        <w:t xml:space="preserve"> </w:t>
      </w:r>
      <w:r w:rsidRPr="002E4C90">
        <w:rPr>
          <w:sz w:val="24"/>
          <w:szCs w:val="24"/>
        </w:rPr>
        <w:t xml:space="preserve">the activities of the Northwest Energy Efficiency Alliance (NEEA).  NEEA focuses on using a regional approach to obtain electric efficiency through the transformation of markets for efficiency measures and services.  </w:t>
      </w:r>
      <w:r w:rsidR="00FA5C30">
        <w:rPr>
          <w:sz w:val="24"/>
          <w:szCs w:val="24"/>
        </w:rPr>
        <w:t xml:space="preserve">These programs bring resource acquisition opportunities to Avista that would otherwise be either unachievable or more costly in the absence of regional cooperation.  </w:t>
      </w:r>
      <w:r w:rsidR="001B0F41">
        <w:rPr>
          <w:sz w:val="24"/>
          <w:szCs w:val="24"/>
        </w:rPr>
        <w:t xml:space="preserve">During </w:t>
      </w:r>
      <w:r w:rsidR="00523072">
        <w:rPr>
          <w:sz w:val="24"/>
          <w:szCs w:val="24"/>
        </w:rPr>
        <w:t>2014</w:t>
      </w:r>
      <w:r w:rsidR="001B0F41">
        <w:rPr>
          <w:sz w:val="24"/>
          <w:szCs w:val="24"/>
        </w:rPr>
        <w:t>-201</w:t>
      </w:r>
      <w:r w:rsidR="00523072">
        <w:rPr>
          <w:sz w:val="24"/>
          <w:szCs w:val="24"/>
        </w:rPr>
        <w:t>5</w:t>
      </w:r>
      <w:r w:rsidRPr="002E4C90">
        <w:rPr>
          <w:sz w:val="24"/>
          <w:szCs w:val="24"/>
        </w:rPr>
        <w:t xml:space="preserve"> Avista received </w:t>
      </w:r>
      <w:r w:rsidR="001B0F41">
        <w:rPr>
          <w:sz w:val="24"/>
          <w:szCs w:val="24"/>
        </w:rPr>
        <w:t xml:space="preserve">over </w:t>
      </w:r>
      <w:r w:rsidR="00523072">
        <w:rPr>
          <w:sz w:val="24"/>
          <w:szCs w:val="24"/>
        </w:rPr>
        <w:t>30,400</w:t>
      </w:r>
      <w:r w:rsidR="001B0F41">
        <w:rPr>
          <w:sz w:val="24"/>
          <w:szCs w:val="24"/>
        </w:rPr>
        <w:t xml:space="preserve"> </w:t>
      </w:r>
      <w:r w:rsidRPr="002E4C90">
        <w:rPr>
          <w:sz w:val="24"/>
          <w:szCs w:val="24"/>
        </w:rPr>
        <w:t>MW</w:t>
      </w:r>
      <w:r w:rsidR="001B0F41">
        <w:rPr>
          <w:sz w:val="24"/>
          <w:szCs w:val="24"/>
        </w:rPr>
        <w:t>h</w:t>
      </w:r>
      <w:r w:rsidRPr="002E4C90">
        <w:rPr>
          <w:sz w:val="24"/>
          <w:szCs w:val="24"/>
        </w:rPr>
        <w:t xml:space="preserve"> of savings in its service territo</w:t>
      </w:r>
      <w:r w:rsidR="00590008">
        <w:rPr>
          <w:sz w:val="24"/>
          <w:szCs w:val="24"/>
        </w:rPr>
        <w:t xml:space="preserve">ry from NEEA programs.  </w:t>
      </w:r>
    </w:p>
    <w:p w14:paraId="1F9447AD" w14:textId="77777777" w:rsidR="00B07028" w:rsidRPr="002E4C90" w:rsidRDefault="00B07028" w:rsidP="00BF6B7E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The Company </w:t>
      </w:r>
      <w:r w:rsidR="00FE220A">
        <w:rPr>
          <w:sz w:val="24"/>
          <w:szCs w:val="24"/>
        </w:rPr>
        <w:t>provided</w:t>
      </w:r>
      <w:r w:rsidR="00435BF4">
        <w:rPr>
          <w:sz w:val="24"/>
          <w:szCs w:val="24"/>
        </w:rPr>
        <w:t xml:space="preserve"> </w:t>
      </w:r>
      <w:r w:rsidR="00B50F66">
        <w:rPr>
          <w:sz w:val="24"/>
          <w:szCs w:val="24"/>
        </w:rPr>
        <w:t xml:space="preserve">approximately </w:t>
      </w:r>
      <w:r w:rsidR="00435BF4" w:rsidRPr="007479E3">
        <w:rPr>
          <w:sz w:val="24"/>
          <w:szCs w:val="24"/>
        </w:rPr>
        <w:t>$</w:t>
      </w:r>
      <w:r w:rsidR="00BF6B7E">
        <w:rPr>
          <w:sz w:val="24"/>
          <w:szCs w:val="24"/>
        </w:rPr>
        <w:t>2</w:t>
      </w:r>
      <w:r w:rsidR="00435BF4">
        <w:rPr>
          <w:sz w:val="24"/>
          <w:szCs w:val="24"/>
        </w:rPr>
        <w:t xml:space="preserve"> million for</w:t>
      </w:r>
      <w:r w:rsidRPr="002E4C90">
        <w:rPr>
          <w:sz w:val="24"/>
          <w:szCs w:val="24"/>
        </w:rPr>
        <w:t xml:space="preserve"> l</w:t>
      </w:r>
      <w:r w:rsidR="007A3F9B">
        <w:rPr>
          <w:sz w:val="24"/>
          <w:szCs w:val="24"/>
        </w:rPr>
        <w:t xml:space="preserve">ow-income weatherization in </w:t>
      </w:r>
      <w:r w:rsidR="00523072">
        <w:rPr>
          <w:sz w:val="24"/>
          <w:szCs w:val="24"/>
        </w:rPr>
        <w:t>2015</w:t>
      </w:r>
      <w:r w:rsidR="00523072" w:rsidRPr="002E4C90">
        <w:rPr>
          <w:sz w:val="24"/>
          <w:szCs w:val="24"/>
        </w:rPr>
        <w:t xml:space="preserve"> </w:t>
      </w:r>
      <w:r w:rsidRPr="002E4C90">
        <w:rPr>
          <w:sz w:val="24"/>
          <w:szCs w:val="24"/>
        </w:rPr>
        <w:t xml:space="preserve">in </w:t>
      </w:r>
      <w:smartTag w:uri="urn:schemas-microsoft-com:office:smarttags" w:element="State">
        <w:r w:rsidRPr="002E4C90">
          <w:rPr>
            <w:sz w:val="24"/>
            <w:szCs w:val="24"/>
          </w:rPr>
          <w:t>Washington</w:t>
        </w:r>
      </w:smartTag>
      <w:r w:rsidRPr="002E4C90">
        <w:rPr>
          <w:sz w:val="24"/>
          <w:szCs w:val="24"/>
        </w:rPr>
        <w:t xml:space="preserve">.  This program is administered by the </w:t>
      </w:r>
      <w:r w:rsidR="00B50F66">
        <w:rPr>
          <w:sz w:val="24"/>
          <w:szCs w:val="24"/>
        </w:rPr>
        <w:t>six</w:t>
      </w:r>
      <w:r w:rsidRPr="002E4C90">
        <w:rPr>
          <w:sz w:val="24"/>
          <w:szCs w:val="24"/>
        </w:rPr>
        <w:t xml:space="preserve"> local community action agencies in our eastern </w:t>
      </w:r>
      <w:smartTag w:uri="urn:schemas-microsoft-com:office:smarttags" w:element="place">
        <w:smartTag w:uri="urn:schemas-microsoft-com:office:smarttags" w:element="State">
          <w:r w:rsidRPr="002E4C90">
            <w:rPr>
              <w:sz w:val="24"/>
              <w:szCs w:val="24"/>
            </w:rPr>
            <w:t>Washington</w:t>
          </w:r>
        </w:smartTag>
      </w:smartTag>
      <w:r w:rsidRPr="002E4C90">
        <w:rPr>
          <w:sz w:val="24"/>
          <w:szCs w:val="24"/>
        </w:rPr>
        <w:t xml:space="preserve"> service territory.</w:t>
      </w:r>
      <w:r>
        <w:rPr>
          <w:sz w:val="24"/>
          <w:szCs w:val="24"/>
        </w:rPr>
        <w:t xml:space="preserve"> </w:t>
      </w:r>
    </w:p>
    <w:p w14:paraId="1F9447AE" w14:textId="77777777" w:rsidR="0072508A" w:rsidRPr="00565FBA" w:rsidRDefault="00BF6B7E" w:rsidP="00565FBA">
      <w:pPr>
        <w:pStyle w:val="BodyText2"/>
        <w:spacing w:line="360" w:lineRule="auto"/>
        <w:ind w:firstLine="720"/>
      </w:pPr>
      <w:r>
        <w:t xml:space="preserve">In </w:t>
      </w:r>
      <w:r w:rsidR="00523072">
        <w:t>2015</w:t>
      </w:r>
      <w:r w:rsidR="0072508A">
        <w:t xml:space="preserve">, approximately </w:t>
      </w:r>
      <w:r w:rsidR="00240561">
        <w:t xml:space="preserve">23.3 </w:t>
      </w:r>
      <w:r w:rsidR="0072508A">
        <w:t xml:space="preserve">Full Time Equivalents (FTE) delivered energy efficiency programs and measures resulting </w:t>
      </w:r>
      <w:r w:rsidR="00B50F66">
        <w:t xml:space="preserve">in </w:t>
      </w:r>
      <w:r w:rsidR="00F623F2">
        <w:t xml:space="preserve">Washington </w:t>
      </w:r>
      <w:r w:rsidR="005519C3">
        <w:t xml:space="preserve">local </w:t>
      </w:r>
      <w:r w:rsidR="00B50F66">
        <w:t xml:space="preserve">electric savings of  </w:t>
      </w:r>
      <w:r w:rsidR="005040E7">
        <w:t>38,372</w:t>
      </w:r>
      <w:r w:rsidR="00B50F66">
        <w:t>M</w:t>
      </w:r>
      <w:r w:rsidR="0072508A">
        <w:t xml:space="preserve">Wh </w:t>
      </w:r>
      <w:r w:rsidR="0072508A" w:rsidRPr="001B0F41">
        <w:t>(</w:t>
      </w:r>
      <w:r w:rsidR="005040E7">
        <w:t>99</w:t>
      </w:r>
      <w:r w:rsidR="002F033B">
        <w:t>%</w:t>
      </w:r>
      <w:r w:rsidR="0072508A">
        <w:t xml:space="preserve"> the IRP goal).</w:t>
      </w:r>
      <w:r w:rsidR="002F033B">
        <w:t xml:space="preserve">  Net of fuel conversions, </w:t>
      </w:r>
      <w:r w:rsidR="00D22CB3">
        <w:t>33,400</w:t>
      </w:r>
      <w:r w:rsidR="002F033B">
        <w:t xml:space="preserve"> MWh has been acquired toward the Company’s Biennial Conservation Plan goal, or </w:t>
      </w:r>
      <w:r w:rsidR="00D22CB3">
        <w:t>49</w:t>
      </w:r>
      <w:r w:rsidR="002F033B" w:rsidRPr="001B0F41">
        <w:t>%</w:t>
      </w:r>
      <w:r w:rsidR="002F033B">
        <w:t xml:space="preserve"> of the two-year target.</w:t>
      </w:r>
      <w:r w:rsidR="0072508A">
        <w:t xml:space="preserve">  </w:t>
      </w:r>
      <w:r w:rsidR="002F033B">
        <w:t>For Washington,</w:t>
      </w:r>
      <w:r w:rsidR="0072508A">
        <w:t xml:space="preserve"> </w:t>
      </w:r>
      <w:r w:rsidR="00575936">
        <w:t>60</w:t>
      </w:r>
      <w:r w:rsidR="0072508A">
        <w:t>% of the energy efficiency budget</w:t>
      </w:r>
      <w:r w:rsidR="001B0F41">
        <w:t>, excluding NEEA,</w:t>
      </w:r>
      <w:r w:rsidR="0072508A">
        <w:t xml:space="preserve"> was provided to participating customers as rebates (residential) and financial incentives (commercial and industrial).  </w:t>
      </w:r>
      <w:r w:rsidR="0072508A" w:rsidRPr="00BA001D">
        <w:t xml:space="preserve">This does not include additional benefits such as </w:t>
      </w:r>
      <w:r w:rsidR="0072508A">
        <w:t xml:space="preserve">site audits and </w:t>
      </w:r>
      <w:r w:rsidR="0072508A" w:rsidRPr="00BA001D">
        <w:t>technical analyses provided to customers by the Company’s DSM engineering staff.</w:t>
      </w:r>
    </w:p>
    <w:p w14:paraId="1F9447AF" w14:textId="77777777" w:rsidR="00887D04" w:rsidRDefault="00887D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9447B0" w14:textId="77777777" w:rsidR="00343AFB" w:rsidRPr="00CE0F6F" w:rsidRDefault="0072508A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72508A">
        <w:rPr>
          <w:sz w:val="24"/>
          <w:szCs w:val="24"/>
        </w:rPr>
        <w:lastRenderedPageBreak/>
        <w:t>Several metrics are applied to determine the costs and benefits of these programs.</w:t>
      </w:r>
      <w:r>
        <w:rPr>
          <w:sz w:val="24"/>
          <w:szCs w:val="24"/>
        </w:rPr>
        <w:t xml:space="preserve"> </w:t>
      </w:r>
      <w:r w:rsidRPr="0072508A">
        <w:rPr>
          <w:sz w:val="24"/>
          <w:szCs w:val="24"/>
        </w:rPr>
        <w:t xml:space="preserve">The </w:t>
      </w:r>
      <w:r w:rsidR="00471A91">
        <w:rPr>
          <w:sz w:val="24"/>
          <w:szCs w:val="24"/>
        </w:rPr>
        <w:t xml:space="preserve">Company has calculated </w:t>
      </w:r>
      <w:r w:rsidRPr="0072508A">
        <w:rPr>
          <w:sz w:val="24"/>
          <w:szCs w:val="24"/>
        </w:rPr>
        <w:t xml:space="preserve"> the Total Resource Cost (TRC) test</w:t>
      </w:r>
      <w:r w:rsidR="00471A91">
        <w:rPr>
          <w:sz w:val="24"/>
          <w:szCs w:val="24"/>
        </w:rPr>
        <w:t xml:space="preserve"> and </w:t>
      </w:r>
      <w:r w:rsidRPr="0072508A">
        <w:rPr>
          <w:sz w:val="24"/>
          <w:szCs w:val="24"/>
        </w:rPr>
        <w:t xml:space="preserve">the </w:t>
      </w:r>
      <w:r w:rsidR="008842EC">
        <w:rPr>
          <w:sz w:val="24"/>
          <w:szCs w:val="24"/>
        </w:rPr>
        <w:t>Program Administrator Cost</w:t>
      </w:r>
      <w:r w:rsidR="007B5D91">
        <w:rPr>
          <w:sz w:val="24"/>
          <w:szCs w:val="24"/>
        </w:rPr>
        <w:t xml:space="preserve"> </w:t>
      </w:r>
      <w:r w:rsidR="00B50F66">
        <w:rPr>
          <w:sz w:val="24"/>
          <w:szCs w:val="24"/>
        </w:rPr>
        <w:t>(</w:t>
      </w:r>
      <w:r w:rsidR="008842EC">
        <w:rPr>
          <w:sz w:val="24"/>
          <w:szCs w:val="24"/>
        </w:rPr>
        <w:t>PAC</w:t>
      </w:r>
      <w:r w:rsidRPr="0072508A">
        <w:rPr>
          <w:sz w:val="24"/>
          <w:szCs w:val="24"/>
        </w:rPr>
        <w:t xml:space="preserve">) </w:t>
      </w:r>
      <w:r w:rsidR="00471A91">
        <w:rPr>
          <w:sz w:val="24"/>
          <w:szCs w:val="24"/>
        </w:rPr>
        <w:t xml:space="preserve">to provide insights into </w:t>
      </w:r>
      <w:r w:rsidRPr="0072508A">
        <w:rPr>
          <w:sz w:val="24"/>
          <w:szCs w:val="24"/>
        </w:rPr>
        <w:t>program efficacy.</w:t>
      </w:r>
      <w:r w:rsidRPr="00351550">
        <w:rPr>
          <w:rStyle w:val="FootnoteReference"/>
          <w:sz w:val="24"/>
          <w:szCs w:val="24"/>
        </w:rPr>
        <w:footnoteReference w:id="1"/>
      </w:r>
      <w:r w:rsidRPr="002E4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2508A">
        <w:rPr>
          <w:sz w:val="24"/>
          <w:szCs w:val="24"/>
        </w:rPr>
        <w:t xml:space="preserve">  Ratios over 1.0 illustrate that benefits exceed costs.  For </w:t>
      </w:r>
      <w:r w:rsidR="00575936" w:rsidRPr="0072508A">
        <w:rPr>
          <w:sz w:val="24"/>
          <w:szCs w:val="24"/>
        </w:rPr>
        <w:t>201</w:t>
      </w:r>
      <w:r w:rsidR="00575936">
        <w:rPr>
          <w:sz w:val="24"/>
          <w:szCs w:val="24"/>
        </w:rPr>
        <w:t>5</w:t>
      </w:r>
      <w:r w:rsidRPr="0072508A">
        <w:rPr>
          <w:sz w:val="24"/>
          <w:szCs w:val="24"/>
        </w:rPr>
        <w:t xml:space="preserve">, the Company’s DSM portfolios were cost-effective with TRC and PAC ratios of </w:t>
      </w:r>
      <w:r w:rsidR="00847903">
        <w:rPr>
          <w:sz w:val="24"/>
          <w:szCs w:val="24"/>
        </w:rPr>
        <w:t>1.</w:t>
      </w:r>
      <w:r w:rsidR="00575936">
        <w:rPr>
          <w:sz w:val="24"/>
          <w:szCs w:val="24"/>
        </w:rPr>
        <w:t>84</w:t>
      </w:r>
      <w:r w:rsidR="00575936" w:rsidRPr="0072508A">
        <w:rPr>
          <w:sz w:val="24"/>
          <w:szCs w:val="24"/>
        </w:rPr>
        <w:t xml:space="preserve"> </w:t>
      </w:r>
      <w:r w:rsidRPr="0072508A">
        <w:rPr>
          <w:sz w:val="24"/>
          <w:szCs w:val="24"/>
        </w:rPr>
        <w:t xml:space="preserve">and </w:t>
      </w:r>
      <w:r w:rsidR="001B0F41">
        <w:rPr>
          <w:sz w:val="24"/>
          <w:szCs w:val="24"/>
        </w:rPr>
        <w:t>3.</w:t>
      </w:r>
      <w:r w:rsidR="00575936">
        <w:rPr>
          <w:sz w:val="24"/>
          <w:szCs w:val="24"/>
        </w:rPr>
        <w:t>67</w:t>
      </w:r>
      <w:r w:rsidRPr="0072508A">
        <w:rPr>
          <w:sz w:val="24"/>
          <w:szCs w:val="24"/>
        </w:rPr>
        <w:t xml:space="preserve">, respectively, for </w:t>
      </w:r>
      <w:r w:rsidR="00FA5C30">
        <w:rPr>
          <w:sz w:val="24"/>
          <w:szCs w:val="24"/>
        </w:rPr>
        <w:t xml:space="preserve">the </w:t>
      </w:r>
      <w:r w:rsidRPr="0072508A">
        <w:rPr>
          <w:sz w:val="24"/>
          <w:szCs w:val="24"/>
        </w:rPr>
        <w:t xml:space="preserve"> electric portfolio</w:t>
      </w:r>
      <w:r w:rsidR="001618EE">
        <w:rPr>
          <w:sz w:val="24"/>
          <w:szCs w:val="24"/>
        </w:rPr>
        <w:t xml:space="preserve"> </w:t>
      </w:r>
      <w:r w:rsidRPr="0072508A">
        <w:rPr>
          <w:sz w:val="24"/>
          <w:szCs w:val="24"/>
        </w:rPr>
        <w:t xml:space="preserve">  </w:t>
      </w:r>
      <w:r w:rsidR="00343AFB" w:rsidRPr="00CE0F6F">
        <w:rPr>
          <w:sz w:val="24"/>
          <w:szCs w:val="24"/>
        </w:rPr>
        <w:t xml:space="preserve"> </w:t>
      </w:r>
    </w:p>
    <w:p w14:paraId="1F9447B1" w14:textId="77777777" w:rsidR="005A7A08" w:rsidRDefault="00A840FB" w:rsidP="00DA633A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conclusion, Avista </w:t>
      </w:r>
      <w:r>
        <w:rPr>
          <w:rStyle w:val="LineNumber"/>
        </w:rPr>
        <w:t xml:space="preserve">requests the Commission approve the proposed </w:t>
      </w:r>
      <w:r w:rsidR="00575936">
        <w:rPr>
          <w:rStyle w:val="LineNumber"/>
        </w:rPr>
        <w:t xml:space="preserve">increase </w:t>
      </w:r>
      <w:r>
        <w:rPr>
          <w:rStyle w:val="LineNumber"/>
        </w:rPr>
        <w:t>i</w:t>
      </w:r>
      <w:r w:rsidR="003C461A">
        <w:rPr>
          <w:rStyle w:val="LineNumber"/>
        </w:rPr>
        <w:t>n rates and charges in Schedule</w:t>
      </w:r>
      <w:r>
        <w:rPr>
          <w:rStyle w:val="LineNumber"/>
        </w:rPr>
        <w:t xml:space="preserve"> 91</w:t>
      </w:r>
      <w:r>
        <w:rPr>
          <w:sz w:val="24"/>
          <w:szCs w:val="24"/>
        </w:rPr>
        <w:t>. The estimated annual revenue change associated with this filing is approximately a</w:t>
      </w:r>
      <w:r w:rsidR="003C461A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0065A6">
        <w:rPr>
          <w:sz w:val="24"/>
          <w:szCs w:val="24"/>
        </w:rPr>
        <w:t xml:space="preserve">increase </w:t>
      </w:r>
      <w:r>
        <w:rPr>
          <w:sz w:val="24"/>
          <w:szCs w:val="24"/>
        </w:rPr>
        <w:t xml:space="preserve">of </w:t>
      </w:r>
      <w:r w:rsidRPr="00A840FB">
        <w:rPr>
          <w:sz w:val="24"/>
          <w:szCs w:val="24"/>
        </w:rPr>
        <w:t>$</w:t>
      </w:r>
      <w:r w:rsidR="003C461A">
        <w:rPr>
          <w:sz w:val="24"/>
          <w:szCs w:val="24"/>
        </w:rPr>
        <w:t>3.6</w:t>
      </w:r>
      <w:r w:rsidRPr="00A840FB">
        <w:rPr>
          <w:sz w:val="24"/>
          <w:szCs w:val="24"/>
        </w:rPr>
        <w:t xml:space="preserve"> million</w:t>
      </w:r>
      <w:r>
        <w:rPr>
          <w:sz w:val="24"/>
          <w:szCs w:val="24"/>
        </w:rPr>
        <w:t xml:space="preserve"> for electric Schedule 91, or a</w:t>
      </w:r>
      <w:r w:rsidR="000065A6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0065A6">
        <w:rPr>
          <w:sz w:val="24"/>
          <w:szCs w:val="24"/>
        </w:rPr>
        <w:t xml:space="preserve">increase </w:t>
      </w:r>
      <w:r>
        <w:rPr>
          <w:sz w:val="24"/>
          <w:szCs w:val="24"/>
        </w:rPr>
        <w:t xml:space="preserve">of </w:t>
      </w:r>
      <w:r w:rsidRPr="00A840FB">
        <w:rPr>
          <w:sz w:val="24"/>
          <w:szCs w:val="24"/>
        </w:rPr>
        <w:t>0</w:t>
      </w:r>
      <w:r>
        <w:rPr>
          <w:color w:val="1F497D"/>
          <w:sz w:val="24"/>
          <w:szCs w:val="24"/>
        </w:rPr>
        <w:t>.7</w:t>
      </w:r>
      <w:r>
        <w:rPr>
          <w:sz w:val="24"/>
          <w:szCs w:val="24"/>
        </w:rPr>
        <w:t>% in overall bi</w:t>
      </w:r>
      <w:r w:rsidR="003C461A">
        <w:rPr>
          <w:sz w:val="24"/>
          <w:szCs w:val="24"/>
        </w:rPr>
        <w:t>lled rates. The proposed rate in</w:t>
      </w:r>
      <w:r>
        <w:rPr>
          <w:sz w:val="24"/>
          <w:szCs w:val="24"/>
        </w:rPr>
        <w:t>crease will have an average monthly bill impact to residential electric customers using 9</w:t>
      </w:r>
      <w:r w:rsidR="003C461A">
        <w:rPr>
          <w:sz w:val="24"/>
          <w:szCs w:val="24"/>
        </w:rPr>
        <w:t>57</w:t>
      </w:r>
      <w:r>
        <w:rPr>
          <w:sz w:val="24"/>
          <w:szCs w:val="24"/>
        </w:rPr>
        <w:t xml:space="preserve"> kWh </w:t>
      </w:r>
      <w:r w:rsidRPr="00A840FB">
        <w:rPr>
          <w:sz w:val="24"/>
          <w:szCs w:val="24"/>
        </w:rPr>
        <w:t>of $0.</w:t>
      </w:r>
      <w:r w:rsidR="000065A6" w:rsidRPr="00A840FB">
        <w:rPr>
          <w:sz w:val="24"/>
          <w:szCs w:val="24"/>
        </w:rPr>
        <w:t>5</w:t>
      </w:r>
      <w:r w:rsidR="000065A6">
        <w:rPr>
          <w:sz w:val="24"/>
          <w:szCs w:val="24"/>
        </w:rPr>
        <w:t>9</w:t>
      </w:r>
      <w:r w:rsidR="000065A6" w:rsidRPr="00A840FB">
        <w:rPr>
          <w:sz w:val="24"/>
          <w:szCs w:val="24"/>
        </w:rPr>
        <w:t xml:space="preserve"> </w:t>
      </w:r>
      <w:r w:rsidR="000065A6">
        <w:rPr>
          <w:sz w:val="24"/>
          <w:szCs w:val="24"/>
        </w:rPr>
        <w:t>increase</w:t>
      </w:r>
      <w:r w:rsidRPr="00A840FB">
        <w:rPr>
          <w:sz w:val="24"/>
          <w:szCs w:val="24"/>
        </w:rPr>
        <w:t xml:space="preserve"> to their bill, or 0.7</w:t>
      </w:r>
      <w:r>
        <w:rPr>
          <w:sz w:val="24"/>
          <w:szCs w:val="24"/>
        </w:rPr>
        <w:t xml:space="preserve">%. </w:t>
      </w:r>
      <w:r w:rsidR="007A3F9B">
        <w:rPr>
          <w:sz w:val="24"/>
          <w:szCs w:val="24"/>
        </w:rPr>
        <w:t xml:space="preserve"> </w:t>
      </w:r>
    </w:p>
    <w:p w14:paraId="1F9447B2" w14:textId="77777777" w:rsidR="005A7A08" w:rsidRDefault="005A7A08" w:rsidP="005A7A08">
      <w:pPr>
        <w:pStyle w:val="BodyText2"/>
        <w:spacing w:line="360" w:lineRule="auto"/>
        <w:ind w:firstLine="720"/>
      </w:pPr>
      <w:r>
        <w:rPr>
          <w:szCs w:val="24"/>
        </w:rPr>
        <w:t xml:space="preserve">The Company reviewed and discussed </w:t>
      </w:r>
      <w:r w:rsidR="00944BE5">
        <w:rPr>
          <w:szCs w:val="24"/>
        </w:rPr>
        <w:t xml:space="preserve">the tariff rider balance </w:t>
      </w:r>
      <w:r>
        <w:rPr>
          <w:szCs w:val="24"/>
        </w:rPr>
        <w:t xml:space="preserve">with its Advisory Group during the 2016 Spring Advisory Group Meeting </w:t>
      </w:r>
      <w:r w:rsidR="003C461A">
        <w:rPr>
          <w:szCs w:val="24"/>
        </w:rPr>
        <w:t>held on April 28</w:t>
      </w:r>
      <w:r w:rsidR="003C461A" w:rsidRPr="003C461A">
        <w:rPr>
          <w:szCs w:val="24"/>
          <w:vertAlign w:val="superscript"/>
        </w:rPr>
        <w:t>th</w:t>
      </w:r>
      <w:r w:rsidR="003C461A">
        <w:rPr>
          <w:szCs w:val="24"/>
        </w:rPr>
        <w:t xml:space="preserve"> and 29</w:t>
      </w:r>
      <w:r w:rsidR="003C461A" w:rsidRPr="003C461A">
        <w:rPr>
          <w:szCs w:val="24"/>
          <w:vertAlign w:val="superscript"/>
        </w:rPr>
        <w:t>th</w:t>
      </w:r>
      <w:r w:rsidR="003C461A">
        <w:rPr>
          <w:szCs w:val="24"/>
        </w:rPr>
        <w:t xml:space="preserve"> </w:t>
      </w:r>
      <w:r>
        <w:rPr>
          <w:szCs w:val="24"/>
        </w:rPr>
        <w:t>2016.</w:t>
      </w:r>
    </w:p>
    <w:p w14:paraId="1F9447B3" w14:textId="77777777" w:rsidR="007C4DFB" w:rsidRDefault="00565FBA" w:rsidP="001F178D">
      <w:pPr>
        <w:suppressAutoHyphen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458" w:rsidRPr="00C87E5A">
        <w:rPr>
          <w:sz w:val="24"/>
          <w:szCs w:val="24"/>
        </w:rPr>
        <w:t xml:space="preserve">Pursuant to WAC 480-100-195(2), a “Notice of Tariff Change” will be posted </w:t>
      </w:r>
      <w:r>
        <w:rPr>
          <w:sz w:val="24"/>
          <w:szCs w:val="24"/>
        </w:rPr>
        <w:t xml:space="preserve">on the </w:t>
      </w:r>
      <w:r w:rsidR="00E25458" w:rsidRPr="00C87E5A">
        <w:rPr>
          <w:sz w:val="24"/>
          <w:szCs w:val="24"/>
        </w:rPr>
        <w:t>Company</w:t>
      </w:r>
      <w:r>
        <w:rPr>
          <w:sz w:val="24"/>
          <w:szCs w:val="24"/>
        </w:rPr>
        <w:t>’s</w:t>
      </w:r>
      <w:r w:rsidR="00E25458" w:rsidRPr="00C87E5A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E25458" w:rsidRPr="00C87E5A">
        <w:rPr>
          <w:sz w:val="24"/>
          <w:szCs w:val="24"/>
        </w:rPr>
        <w:t xml:space="preserve"> coincident with the date of this </w:t>
      </w:r>
      <w:r w:rsidR="00B50F66">
        <w:rPr>
          <w:sz w:val="24"/>
          <w:szCs w:val="24"/>
        </w:rPr>
        <w:t>filing</w:t>
      </w:r>
      <w:r w:rsidR="00FC621D">
        <w:rPr>
          <w:sz w:val="24"/>
          <w:szCs w:val="24"/>
        </w:rPr>
        <w:t>. A</w:t>
      </w:r>
      <w:r w:rsidR="00D54F74">
        <w:rPr>
          <w:sz w:val="24"/>
          <w:szCs w:val="24"/>
        </w:rPr>
        <w:t>ttached</w:t>
      </w:r>
      <w:r w:rsidR="007C4DFB">
        <w:rPr>
          <w:sz w:val="24"/>
          <w:szCs w:val="24"/>
        </w:rPr>
        <w:t xml:space="preserve"> </w:t>
      </w:r>
      <w:r w:rsidR="00742560">
        <w:rPr>
          <w:sz w:val="24"/>
          <w:szCs w:val="24"/>
        </w:rPr>
        <w:t xml:space="preserve">are the </w:t>
      </w:r>
      <w:r w:rsidR="007C4DFB">
        <w:rPr>
          <w:sz w:val="24"/>
          <w:szCs w:val="24"/>
        </w:rPr>
        <w:t xml:space="preserve"> </w:t>
      </w:r>
      <w:r w:rsidR="001F178D">
        <w:rPr>
          <w:sz w:val="24"/>
          <w:szCs w:val="24"/>
        </w:rPr>
        <w:t xml:space="preserve">Company’s </w:t>
      </w:r>
      <w:r w:rsidR="007C4DFB">
        <w:rPr>
          <w:sz w:val="24"/>
          <w:szCs w:val="24"/>
        </w:rPr>
        <w:t>workpaper</w:t>
      </w:r>
      <w:r w:rsidR="00B14584">
        <w:rPr>
          <w:sz w:val="24"/>
          <w:szCs w:val="24"/>
        </w:rPr>
        <w:t>s</w:t>
      </w:r>
      <w:r w:rsidR="00E25458" w:rsidRPr="00C87E5A">
        <w:rPr>
          <w:sz w:val="24"/>
          <w:szCs w:val="24"/>
        </w:rPr>
        <w:t xml:space="preserve"> supporting this filing.</w:t>
      </w:r>
      <w:r w:rsidR="00C87E5A" w:rsidRPr="00C87E5A">
        <w:rPr>
          <w:sz w:val="24"/>
          <w:szCs w:val="24"/>
        </w:rPr>
        <w:t xml:space="preserve">  </w:t>
      </w:r>
    </w:p>
    <w:p w14:paraId="1F9447B4" w14:textId="77777777"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any questions on this matter to </w:t>
      </w:r>
      <w:r w:rsidR="007A3F9B">
        <w:rPr>
          <w:sz w:val="24"/>
          <w:szCs w:val="24"/>
        </w:rPr>
        <w:t>Dan Johnson</w:t>
      </w:r>
      <w:r w:rsidR="00884A50">
        <w:rPr>
          <w:sz w:val="24"/>
          <w:szCs w:val="24"/>
        </w:rPr>
        <w:t xml:space="preserve">, </w:t>
      </w:r>
      <w:r w:rsidR="00565FBA">
        <w:rPr>
          <w:sz w:val="24"/>
          <w:szCs w:val="24"/>
        </w:rPr>
        <w:t>Director</w:t>
      </w:r>
      <w:r w:rsidR="00884A50">
        <w:rPr>
          <w:sz w:val="24"/>
          <w:szCs w:val="24"/>
        </w:rPr>
        <w:t xml:space="preserve">, </w:t>
      </w:r>
      <w:r w:rsidR="003846FB">
        <w:rPr>
          <w:sz w:val="24"/>
          <w:szCs w:val="24"/>
        </w:rPr>
        <w:t>Energy Efficiency</w:t>
      </w:r>
      <w:r w:rsidRPr="002E4C90">
        <w:rPr>
          <w:sz w:val="24"/>
          <w:szCs w:val="24"/>
        </w:rPr>
        <w:t xml:space="preserve"> at (509) 495-</w:t>
      </w:r>
      <w:r w:rsidR="007A3F9B">
        <w:rPr>
          <w:sz w:val="24"/>
          <w:szCs w:val="24"/>
        </w:rPr>
        <w:t>2807</w:t>
      </w:r>
      <w:r w:rsidR="0088729D">
        <w:rPr>
          <w:sz w:val="24"/>
          <w:szCs w:val="24"/>
        </w:rPr>
        <w:t xml:space="preserve">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14:paraId="1F9447B5" w14:textId="77777777" w:rsidR="00040621" w:rsidRPr="002E4C90" w:rsidRDefault="00040621" w:rsidP="00A03E67">
      <w:pPr>
        <w:spacing w:line="360" w:lineRule="auto"/>
        <w:jc w:val="both"/>
        <w:rPr>
          <w:sz w:val="24"/>
          <w:szCs w:val="24"/>
        </w:rPr>
      </w:pPr>
    </w:p>
    <w:p w14:paraId="1F9447B6" w14:textId="77777777"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14:paraId="1F9447B7" w14:textId="77777777" w:rsidR="00040621" w:rsidRPr="002E4C90" w:rsidRDefault="00040621">
      <w:pPr>
        <w:jc w:val="both"/>
        <w:rPr>
          <w:sz w:val="24"/>
          <w:szCs w:val="24"/>
        </w:rPr>
      </w:pPr>
    </w:p>
    <w:p w14:paraId="1F9447B8" w14:textId="77777777"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14:paraId="1F9447B9" w14:textId="77777777" w:rsidR="00040621" w:rsidRPr="002E4C90" w:rsidRDefault="00040621">
      <w:pPr>
        <w:jc w:val="both"/>
        <w:rPr>
          <w:sz w:val="24"/>
          <w:szCs w:val="24"/>
        </w:rPr>
      </w:pPr>
    </w:p>
    <w:p w14:paraId="1F9447BA" w14:textId="77777777"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14:paraId="1F9447BB" w14:textId="77777777" w:rsidR="00040621" w:rsidRPr="002E4C90" w:rsidRDefault="00310B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2C67B6"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14:paraId="1F9447BC" w14:textId="77777777"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14:paraId="1F9447BD" w14:textId="77777777" w:rsidR="0088729D" w:rsidRPr="00427F5F" w:rsidRDefault="0088729D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linda.gervais@avistacorp.com</w:t>
      </w:r>
    </w:p>
    <w:p w14:paraId="1F9447BE" w14:textId="77777777" w:rsidR="00040621" w:rsidRPr="00427F5F" w:rsidRDefault="00040621">
      <w:pPr>
        <w:jc w:val="both"/>
        <w:rPr>
          <w:sz w:val="24"/>
          <w:szCs w:val="24"/>
        </w:rPr>
      </w:pPr>
    </w:p>
    <w:p w14:paraId="1F9447BF" w14:textId="77777777"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14:paraId="1F9447C0" w14:textId="77777777" w:rsidR="00040621" w:rsidRDefault="00040621">
      <w:pPr>
        <w:jc w:val="both"/>
        <w:rPr>
          <w:sz w:val="24"/>
          <w:szCs w:val="24"/>
        </w:rPr>
      </w:pPr>
    </w:p>
    <w:p w14:paraId="1F9447C1" w14:textId="77777777" w:rsidR="00B232C8" w:rsidRDefault="00B232C8" w:rsidP="00B1458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cc: </w:t>
      </w:r>
      <w:r w:rsidR="00B14584">
        <w:rPr>
          <w:sz w:val="24"/>
          <w:szCs w:val="24"/>
        </w:rPr>
        <w:tab/>
      </w:r>
      <w:r w:rsidR="00FC23BC">
        <w:rPr>
          <w:sz w:val="24"/>
          <w:szCs w:val="24"/>
        </w:rPr>
        <w:t>Advisory Group</w:t>
      </w:r>
    </w:p>
    <w:p w14:paraId="1F9447C2" w14:textId="77777777" w:rsidR="00F31B46" w:rsidRPr="00DD4751" w:rsidRDefault="00B14584" w:rsidP="002331C4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9447C3" w14:textId="77777777" w:rsidR="00F31B46" w:rsidRDefault="00F31B46" w:rsidP="00F31B46">
      <w:pPr>
        <w:rPr>
          <w:sz w:val="24"/>
          <w:szCs w:val="24"/>
        </w:rPr>
      </w:pPr>
    </w:p>
    <w:sectPr w:rsidR="00F31B46" w:rsidSect="00BB23E3">
      <w:headerReference w:type="default" r:id="rId12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447C8" w14:textId="77777777" w:rsidR="00C76CFB" w:rsidRDefault="00C76CFB">
      <w:r>
        <w:separator/>
      </w:r>
    </w:p>
  </w:endnote>
  <w:endnote w:type="continuationSeparator" w:id="0">
    <w:p w14:paraId="1F9447C9" w14:textId="77777777" w:rsidR="00C76CFB" w:rsidRDefault="00C7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447C6" w14:textId="77777777" w:rsidR="00C76CFB" w:rsidRDefault="00C76CFB">
      <w:r>
        <w:separator/>
      </w:r>
    </w:p>
  </w:footnote>
  <w:footnote w:type="continuationSeparator" w:id="0">
    <w:p w14:paraId="1F9447C7" w14:textId="77777777" w:rsidR="00C76CFB" w:rsidRDefault="00C76CFB">
      <w:r>
        <w:continuationSeparator/>
      </w:r>
    </w:p>
  </w:footnote>
  <w:footnote w:id="1">
    <w:p w14:paraId="1F9447CE" w14:textId="77777777" w:rsidR="006470FE" w:rsidRPr="00585C1D" w:rsidRDefault="006470FE" w:rsidP="0072508A">
      <w:pPr>
        <w:autoSpaceDE w:val="0"/>
        <w:autoSpaceDN w:val="0"/>
        <w:adjustRightInd w:val="0"/>
        <w:jc w:val="both"/>
      </w:pPr>
      <w:r>
        <w:rPr>
          <w:rStyle w:val="FootnoteReference"/>
        </w:rPr>
        <w:footnoteRef/>
      </w:r>
      <w:r w:rsidR="009B04F7">
        <w:t xml:space="preserve"> The Total Resource Cost t</w:t>
      </w:r>
      <w:r w:rsidRPr="00585C1D">
        <w:t>est measures the net costs of a demand-side management program</w:t>
      </w:r>
      <w:r>
        <w:t xml:space="preserve"> </w:t>
      </w:r>
      <w:r w:rsidRPr="00585C1D">
        <w:t>as a resource option based on the total costs of the program, i</w:t>
      </w:r>
      <w:r>
        <w:t xml:space="preserve">ncluding both the participants' </w:t>
      </w:r>
      <w:r w:rsidRPr="00585C1D">
        <w:t xml:space="preserve">and the utility's costs. The Program Administrator Cost </w:t>
      </w:r>
      <w:r w:rsidR="009B04F7">
        <w:t>t</w:t>
      </w:r>
      <w:r w:rsidRPr="00585C1D">
        <w:t>est measures the net co</w:t>
      </w:r>
      <w:r>
        <w:t xml:space="preserve">sts of a demand-side management </w:t>
      </w:r>
      <w:r w:rsidRPr="00585C1D">
        <w:t>program as a resource option based on the costs incurr</w:t>
      </w:r>
      <w:r>
        <w:t xml:space="preserve">ed by the program administrator </w:t>
      </w:r>
      <w:r w:rsidRPr="00585C1D">
        <w:t>(including incentive costs) and excluding any net costs i</w:t>
      </w:r>
      <w:r>
        <w:t xml:space="preserve">ncurred by the participant. The </w:t>
      </w:r>
      <w:r w:rsidRPr="00585C1D">
        <w:t>benefits are similar to the TRC benefits. Costs are defined more narrowly.</w:t>
      </w:r>
    </w:p>
    <w:p w14:paraId="1F9447CF" w14:textId="77777777" w:rsidR="006470FE" w:rsidRPr="00585C1D" w:rsidRDefault="006470FE" w:rsidP="0072508A">
      <w:pPr>
        <w:autoSpaceDE w:val="0"/>
        <w:autoSpaceDN w:val="0"/>
        <w:adjustRightInd w:val="0"/>
      </w:pPr>
    </w:p>
    <w:p w14:paraId="1F9447D0" w14:textId="77777777" w:rsidR="006470FE" w:rsidRPr="00585C1D" w:rsidRDefault="006470FE" w:rsidP="0072508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47CA" w14:textId="77777777" w:rsidR="006470FE" w:rsidRDefault="006470FE">
    <w:pPr>
      <w:pStyle w:val="Header"/>
      <w:rPr>
        <w:sz w:val="24"/>
      </w:rPr>
    </w:pPr>
    <w:r>
      <w:rPr>
        <w:sz w:val="24"/>
      </w:rPr>
      <w:t>Schedule 91 Revisions</w:t>
    </w:r>
  </w:p>
  <w:p w14:paraId="1F9447CB" w14:textId="77777777" w:rsidR="006470FE" w:rsidRDefault="00E3421E">
    <w:pPr>
      <w:pStyle w:val="Header"/>
      <w:rPr>
        <w:sz w:val="24"/>
      </w:rPr>
    </w:pPr>
    <w:r>
      <w:rPr>
        <w:sz w:val="24"/>
      </w:rPr>
      <w:t>May 31, 2016</w:t>
    </w:r>
  </w:p>
  <w:p w14:paraId="1F9447CC" w14:textId="77777777" w:rsidR="006470FE" w:rsidRDefault="006470FE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B92B1D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B92B1D">
      <w:rPr>
        <w:rStyle w:val="PageNumber"/>
        <w:sz w:val="24"/>
      </w:rPr>
      <w:fldChar w:fldCharType="separate"/>
    </w:r>
    <w:r w:rsidR="000E3A24">
      <w:rPr>
        <w:rStyle w:val="PageNumber"/>
        <w:noProof/>
        <w:sz w:val="24"/>
      </w:rPr>
      <w:t>2</w:t>
    </w:r>
    <w:r w:rsidR="00B92B1D">
      <w:rPr>
        <w:rStyle w:val="PageNumber"/>
        <w:sz w:val="24"/>
      </w:rPr>
      <w:fldChar w:fldCharType="end"/>
    </w:r>
  </w:p>
  <w:p w14:paraId="1F9447CD" w14:textId="77777777" w:rsidR="006470FE" w:rsidRDefault="006470FE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EE"/>
    <w:rsid w:val="000065A6"/>
    <w:rsid w:val="0002071B"/>
    <w:rsid w:val="0003355A"/>
    <w:rsid w:val="000336DD"/>
    <w:rsid w:val="000401B8"/>
    <w:rsid w:val="00040621"/>
    <w:rsid w:val="0005174E"/>
    <w:rsid w:val="00052E25"/>
    <w:rsid w:val="00063617"/>
    <w:rsid w:val="00063C7A"/>
    <w:rsid w:val="00073F75"/>
    <w:rsid w:val="000836F9"/>
    <w:rsid w:val="000B7F79"/>
    <w:rsid w:val="000D0B83"/>
    <w:rsid w:val="000D5787"/>
    <w:rsid w:val="000D6898"/>
    <w:rsid w:val="000E3A24"/>
    <w:rsid w:val="000E3A67"/>
    <w:rsid w:val="000E5DE2"/>
    <w:rsid w:val="00110C55"/>
    <w:rsid w:val="0011729D"/>
    <w:rsid w:val="001241B9"/>
    <w:rsid w:val="001262DF"/>
    <w:rsid w:val="00127713"/>
    <w:rsid w:val="00134021"/>
    <w:rsid w:val="00134550"/>
    <w:rsid w:val="00142974"/>
    <w:rsid w:val="001618EE"/>
    <w:rsid w:val="00190B82"/>
    <w:rsid w:val="00196E09"/>
    <w:rsid w:val="001970F9"/>
    <w:rsid w:val="001975F3"/>
    <w:rsid w:val="001B0F41"/>
    <w:rsid w:val="001B4920"/>
    <w:rsid w:val="001C19BD"/>
    <w:rsid w:val="001C6991"/>
    <w:rsid w:val="001F178D"/>
    <w:rsid w:val="001F2CC9"/>
    <w:rsid w:val="00205A61"/>
    <w:rsid w:val="00212D64"/>
    <w:rsid w:val="00230EF0"/>
    <w:rsid w:val="002331C4"/>
    <w:rsid w:val="00236524"/>
    <w:rsid w:val="00240561"/>
    <w:rsid w:val="00243DB1"/>
    <w:rsid w:val="002862F8"/>
    <w:rsid w:val="002908DF"/>
    <w:rsid w:val="00295620"/>
    <w:rsid w:val="002B39ED"/>
    <w:rsid w:val="002B7DD0"/>
    <w:rsid w:val="002C67B6"/>
    <w:rsid w:val="002E141A"/>
    <w:rsid w:val="002E4C90"/>
    <w:rsid w:val="002F033B"/>
    <w:rsid w:val="00310B79"/>
    <w:rsid w:val="00316FDE"/>
    <w:rsid w:val="003201B2"/>
    <w:rsid w:val="00323DF0"/>
    <w:rsid w:val="00325FD5"/>
    <w:rsid w:val="00343AFB"/>
    <w:rsid w:val="003458F3"/>
    <w:rsid w:val="00346E10"/>
    <w:rsid w:val="003512CA"/>
    <w:rsid w:val="00351550"/>
    <w:rsid w:val="00356DBD"/>
    <w:rsid w:val="0036547E"/>
    <w:rsid w:val="003662AE"/>
    <w:rsid w:val="003709CC"/>
    <w:rsid w:val="00377742"/>
    <w:rsid w:val="00377FD1"/>
    <w:rsid w:val="003846FB"/>
    <w:rsid w:val="003902FF"/>
    <w:rsid w:val="00394EE6"/>
    <w:rsid w:val="003A3A22"/>
    <w:rsid w:val="003A42E1"/>
    <w:rsid w:val="003B0826"/>
    <w:rsid w:val="003B424A"/>
    <w:rsid w:val="003C2809"/>
    <w:rsid w:val="003C461A"/>
    <w:rsid w:val="003E58EA"/>
    <w:rsid w:val="003E5D5C"/>
    <w:rsid w:val="003F1C8C"/>
    <w:rsid w:val="003F22B9"/>
    <w:rsid w:val="003F44D5"/>
    <w:rsid w:val="00427F5F"/>
    <w:rsid w:val="00435BF4"/>
    <w:rsid w:val="00443E2E"/>
    <w:rsid w:val="00450756"/>
    <w:rsid w:val="00452092"/>
    <w:rsid w:val="004538E0"/>
    <w:rsid w:val="00471A91"/>
    <w:rsid w:val="00485113"/>
    <w:rsid w:val="00497379"/>
    <w:rsid w:val="004A0D38"/>
    <w:rsid w:val="004A2184"/>
    <w:rsid w:val="004A4359"/>
    <w:rsid w:val="004B014C"/>
    <w:rsid w:val="004B39F6"/>
    <w:rsid w:val="004B4CE7"/>
    <w:rsid w:val="004C3C45"/>
    <w:rsid w:val="004D376E"/>
    <w:rsid w:val="004D7755"/>
    <w:rsid w:val="004E5F73"/>
    <w:rsid w:val="004F058C"/>
    <w:rsid w:val="004F1F1E"/>
    <w:rsid w:val="005040E7"/>
    <w:rsid w:val="00505AF6"/>
    <w:rsid w:val="005123F8"/>
    <w:rsid w:val="00523072"/>
    <w:rsid w:val="005519C3"/>
    <w:rsid w:val="0056190B"/>
    <w:rsid w:val="0056501D"/>
    <w:rsid w:val="00565FBA"/>
    <w:rsid w:val="00571611"/>
    <w:rsid w:val="00575936"/>
    <w:rsid w:val="00584C9E"/>
    <w:rsid w:val="00590008"/>
    <w:rsid w:val="0059415F"/>
    <w:rsid w:val="005A2EF9"/>
    <w:rsid w:val="005A338C"/>
    <w:rsid w:val="005A47D6"/>
    <w:rsid w:val="005A7A08"/>
    <w:rsid w:val="005B086C"/>
    <w:rsid w:val="005C2F04"/>
    <w:rsid w:val="005C3A92"/>
    <w:rsid w:val="005D630F"/>
    <w:rsid w:val="005E12C6"/>
    <w:rsid w:val="005F206B"/>
    <w:rsid w:val="005F40FB"/>
    <w:rsid w:val="005F4179"/>
    <w:rsid w:val="005F754A"/>
    <w:rsid w:val="006100B1"/>
    <w:rsid w:val="0061578F"/>
    <w:rsid w:val="00622D0B"/>
    <w:rsid w:val="00634275"/>
    <w:rsid w:val="00641E37"/>
    <w:rsid w:val="006470FE"/>
    <w:rsid w:val="006529E4"/>
    <w:rsid w:val="00655B6B"/>
    <w:rsid w:val="00660C63"/>
    <w:rsid w:val="00666D7C"/>
    <w:rsid w:val="00672C44"/>
    <w:rsid w:val="00676FA4"/>
    <w:rsid w:val="006918B9"/>
    <w:rsid w:val="00697DC6"/>
    <w:rsid w:val="006B5C81"/>
    <w:rsid w:val="006D39A8"/>
    <w:rsid w:val="006E11A7"/>
    <w:rsid w:val="006F2A24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3F9B"/>
    <w:rsid w:val="007A6656"/>
    <w:rsid w:val="007B5571"/>
    <w:rsid w:val="007B5D91"/>
    <w:rsid w:val="007C4DFB"/>
    <w:rsid w:val="007E00A2"/>
    <w:rsid w:val="007F176C"/>
    <w:rsid w:val="00801F7D"/>
    <w:rsid w:val="00827194"/>
    <w:rsid w:val="0083065F"/>
    <w:rsid w:val="00847903"/>
    <w:rsid w:val="008614DF"/>
    <w:rsid w:val="008621D3"/>
    <w:rsid w:val="008842EC"/>
    <w:rsid w:val="00884A50"/>
    <w:rsid w:val="0088729D"/>
    <w:rsid w:val="00887D04"/>
    <w:rsid w:val="0089647E"/>
    <w:rsid w:val="008A3326"/>
    <w:rsid w:val="008C1672"/>
    <w:rsid w:val="008D7D48"/>
    <w:rsid w:val="008E0338"/>
    <w:rsid w:val="008E336C"/>
    <w:rsid w:val="008F221D"/>
    <w:rsid w:val="00907955"/>
    <w:rsid w:val="00920E8A"/>
    <w:rsid w:val="0092371B"/>
    <w:rsid w:val="00930807"/>
    <w:rsid w:val="00931669"/>
    <w:rsid w:val="00936303"/>
    <w:rsid w:val="00944BE5"/>
    <w:rsid w:val="00946679"/>
    <w:rsid w:val="00982C4F"/>
    <w:rsid w:val="00994CAA"/>
    <w:rsid w:val="00996800"/>
    <w:rsid w:val="009B04F7"/>
    <w:rsid w:val="009C1D50"/>
    <w:rsid w:val="009C4B4F"/>
    <w:rsid w:val="009D79A8"/>
    <w:rsid w:val="009E0305"/>
    <w:rsid w:val="009E5B7D"/>
    <w:rsid w:val="009F3585"/>
    <w:rsid w:val="00A010CF"/>
    <w:rsid w:val="00A03E67"/>
    <w:rsid w:val="00A058C4"/>
    <w:rsid w:val="00A11561"/>
    <w:rsid w:val="00A14BAA"/>
    <w:rsid w:val="00A252DB"/>
    <w:rsid w:val="00A42EC5"/>
    <w:rsid w:val="00A4498A"/>
    <w:rsid w:val="00A46111"/>
    <w:rsid w:val="00A47591"/>
    <w:rsid w:val="00A62952"/>
    <w:rsid w:val="00A77B12"/>
    <w:rsid w:val="00A8189A"/>
    <w:rsid w:val="00A840FB"/>
    <w:rsid w:val="00A85BF3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1D"/>
    <w:rsid w:val="00B92B26"/>
    <w:rsid w:val="00BA5429"/>
    <w:rsid w:val="00BB23E3"/>
    <w:rsid w:val="00BB5649"/>
    <w:rsid w:val="00BB6262"/>
    <w:rsid w:val="00BB66AE"/>
    <w:rsid w:val="00BC490D"/>
    <w:rsid w:val="00BD0AD0"/>
    <w:rsid w:val="00BD64FB"/>
    <w:rsid w:val="00BE65D5"/>
    <w:rsid w:val="00BF090D"/>
    <w:rsid w:val="00BF1BC5"/>
    <w:rsid w:val="00BF1E48"/>
    <w:rsid w:val="00BF6B7E"/>
    <w:rsid w:val="00C0555C"/>
    <w:rsid w:val="00C129F8"/>
    <w:rsid w:val="00C2174A"/>
    <w:rsid w:val="00C2456C"/>
    <w:rsid w:val="00C34953"/>
    <w:rsid w:val="00C35B1B"/>
    <w:rsid w:val="00C41B9A"/>
    <w:rsid w:val="00C436D9"/>
    <w:rsid w:val="00C76CFB"/>
    <w:rsid w:val="00C83322"/>
    <w:rsid w:val="00C87E5A"/>
    <w:rsid w:val="00C96877"/>
    <w:rsid w:val="00CA0D34"/>
    <w:rsid w:val="00CB374C"/>
    <w:rsid w:val="00CC0249"/>
    <w:rsid w:val="00CC1BAA"/>
    <w:rsid w:val="00CD346B"/>
    <w:rsid w:val="00CD60DE"/>
    <w:rsid w:val="00CD78C3"/>
    <w:rsid w:val="00CE0039"/>
    <w:rsid w:val="00CF657D"/>
    <w:rsid w:val="00D01DA5"/>
    <w:rsid w:val="00D04A56"/>
    <w:rsid w:val="00D15DFC"/>
    <w:rsid w:val="00D22CB3"/>
    <w:rsid w:val="00D23FE7"/>
    <w:rsid w:val="00D2493D"/>
    <w:rsid w:val="00D26572"/>
    <w:rsid w:val="00D37B30"/>
    <w:rsid w:val="00D44DF6"/>
    <w:rsid w:val="00D50B07"/>
    <w:rsid w:val="00D54F74"/>
    <w:rsid w:val="00D558EE"/>
    <w:rsid w:val="00D55F36"/>
    <w:rsid w:val="00D72C3C"/>
    <w:rsid w:val="00DA1D28"/>
    <w:rsid w:val="00DA633A"/>
    <w:rsid w:val="00DA6481"/>
    <w:rsid w:val="00DC380B"/>
    <w:rsid w:val="00DD4751"/>
    <w:rsid w:val="00DE0C75"/>
    <w:rsid w:val="00DE4DE1"/>
    <w:rsid w:val="00DE77A0"/>
    <w:rsid w:val="00DF7E76"/>
    <w:rsid w:val="00E04D16"/>
    <w:rsid w:val="00E06BAC"/>
    <w:rsid w:val="00E1037B"/>
    <w:rsid w:val="00E17377"/>
    <w:rsid w:val="00E25458"/>
    <w:rsid w:val="00E31C7B"/>
    <w:rsid w:val="00E3421E"/>
    <w:rsid w:val="00E40917"/>
    <w:rsid w:val="00E51832"/>
    <w:rsid w:val="00E65250"/>
    <w:rsid w:val="00E67087"/>
    <w:rsid w:val="00E745FD"/>
    <w:rsid w:val="00E811F1"/>
    <w:rsid w:val="00E97DC2"/>
    <w:rsid w:val="00EB5DE7"/>
    <w:rsid w:val="00EE08D9"/>
    <w:rsid w:val="00EE3F03"/>
    <w:rsid w:val="00EE6695"/>
    <w:rsid w:val="00F31B46"/>
    <w:rsid w:val="00F33CF2"/>
    <w:rsid w:val="00F33E5E"/>
    <w:rsid w:val="00F40A80"/>
    <w:rsid w:val="00F423F3"/>
    <w:rsid w:val="00F43FC2"/>
    <w:rsid w:val="00F46E04"/>
    <w:rsid w:val="00F52D82"/>
    <w:rsid w:val="00F53CDD"/>
    <w:rsid w:val="00F604AF"/>
    <w:rsid w:val="00F623F2"/>
    <w:rsid w:val="00F66FE5"/>
    <w:rsid w:val="00F67B3A"/>
    <w:rsid w:val="00F743D8"/>
    <w:rsid w:val="00F830C7"/>
    <w:rsid w:val="00F91CD4"/>
    <w:rsid w:val="00FA3020"/>
    <w:rsid w:val="00FA5C30"/>
    <w:rsid w:val="00FB41D2"/>
    <w:rsid w:val="00FB73F1"/>
    <w:rsid w:val="00FC23BC"/>
    <w:rsid w:val="00FC4767"/>
    <w:rsid w:val="00FC621D"/>
    <w:rsid w:val="00FD6FD4"/>
    <w:rsid w:val="00FD7B2A"/>
    <w:rsid w:val="00FE220A"/>
    <w:rsid w:val="00FE393C"/>
    <w:rsid w:val="00FE72AB"/>
    <w:rsid w:val="00FF0471"/>
    <w:rsid w:val="00FF0EC6"/>
    <w:rsid w:val="00FF39B8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944776"/>
  <w15:docId w15:val="{D4200260-A6E5-40C4-9847-59172C32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uiPriority w:val="99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paragraph" w:customStyle="1" w:styleId="Default">
    <w:name w:val="Default"/>
    <w:rsid w:val="000836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E3F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2016-05-31T07:00:00+00:00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24064CBB4F854C9007640C9E5CF205" ma:contentTypeVersion="104" ma:contentTypeDescription="" ma:contentTypeScope="" ma:versionID="87b65f293b82a9e3cc4494fd8dfa03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5D966-39FD-4064-A04C-6947FC8C389F}"/>
</file>

<file path=customXml/itemProps2.xml><?xml version="1.0" encoding="utf-8"?>
<ds:datastoreItem xmlns:ds="http://schemas.openxmlformats.org/officeDocument/2006/customXml" ds:itemID="{E7A063AE-4330-4C61-BECE-E73DF8C6EF1B}"/>
</file>

<file path=customXml/itemProps3.xml><?xml version="1.0" encoding="utf-8"?>
<ds:datastoreItem xmlns:ds="http://schemas.openxmlformats.org/officeDocument/2006/customXml" ds:itemID="{C6372929-B2EC-464E-B860-481D2C2D5F84}"/>
</file>

<file path=customXml/itemProps4.xml><?xml version="1.0" encoding="utf-8"?>
<ds:datastoreItem xmlns:ds="http://schemas.openxmlformats.org/officeDocument/2006/customXml" ds:itemID="{24580662-384F-4E2F-8DEC-25C94BA28983}"/>
</file>

<file path=customXml/itemProps5.xml><?xml version="1.0" encoding="utf-8"?>
<ds:datastoreItem xmlns:ds="http://schemas.openxmlformats.org/officeDocument/2006/customXml" ds:itemID="{B1BE875E-D5EB-4568-A4F6-DB96AE98B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Rollman, Courtney (UTC)</cp:lastModifiedBy>
  <cp:revision>2</cp:revision>
  <cp:lastPrinted>2016-05-31T22:06:00Z</cp:lastPrinted>
  <dcterms:created xsi:type="dcterms:W3CDTF">2016-05-31T23:02:00Z</dcterms:created>
  <dcterms:modified xsi:type="dcterms:W3CDTF">2016-05-31T23:02:00Z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0x0101006E56B4D1795A2E4DB2F0B01679ED314A007424064CBB4F854C9007640C9E5CF205</vt:lpwstr>
  </property>
  <property fmtid="{D5CDD505-2E9C-101B-9397-08002B2CF9AE}" pid="3" name="_docset_NoMedatataSyncRequired">
    <vt:lpwstr>False</vt:lpwstr>
  </property>
</Properties>
</file>