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6"/>
        <w:gridCol w:w="5807"/>
      </w:tblGrid>
      <w:tr w:rsidR="00A62F15" w:rsidTr="00A62F15">
        <w:trPr>
          <w:cantSplit/>
          <w:trHeight w:hRule="exact" w:val="1982"/>
          <w:jc w:val="center"/>
        </w:trPr>
        <w:tc>
          <w:tcPr>
            <w:tcW w:w="5256" w:type="dxa"/>
          </w:tcPr>
          <w:p w:rsidR="00A62F15" w:rsidRDefault="0066264D" w:rsidP="00A62F15">
            <w:pPr>
              <w:pStyle w:val="Head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drawing>
                <wp:anchor distT="0" distB="274320" distL="114300" distR="114300" simplePos="0" relativeHeight="251663360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142875</wp:posOffset>
                  </wp:positionV>
                  <wp:extent cx="2679700" cy="933450"/>
                  <wp:effectExtent l="19050" t="0" r="6350" b="0"/>
                  <wp:wrapTopAndBottom/>
                  <wp:docPr id="5" name="Picture 5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2F15" w:rsidRDefault="00A62F15" w:rsidP="00A62F15">
            <w:pPr>
              <w:pStyle w:val="Header"/>
              <w:rPr>
                <w:sz w:val="32"/>
              </w:rPr>
            </w:pPr>
          </w:p>
        </w:tc>
        <w:tc>
          <w:tcPr>
            <w:tcW w:w="5807" w:type="dxa"/>
          </w:tcPr>
          <w:p w:rsidR="00A62F15" w:rsidRDefault="00A62F15" w:rsidP="00A62F15">
            <w:pPr>
              <w:pStyle w:val="Header"/>
              <w:tabs>
                <w:tab w:val="clear" w:pos="4320"/>
              </w:tabs>
              <w:spacing w:line="6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spacing w:line="120" w:lineRule="exact"/>
              <w:jc w:val="center"/>
              <w:rPr>
                <w:rFonts w:ascii="Century Gothic" w:hAnsi="Century Gothic"/>
                <w:position w:val="-96"/>
                <w:sz w:val="12"/>
              </w:rPr>
            </w:pP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position w:val="-96"/>
                <w:sz w:val="12"/>
              </w:rPr>
              <w:t>8113 W. GRANDRIDGE BLVD.,  KENNEWICK, WASHINGTON  99336-7166</w:t>
            </w:r>
            <w:r>
              <w:rPr>
                <w:rFonts w:ascii="Century Gothic" w:hAnsi="Century Gothic"/>
                <w:position w:val="-80"/>
                <w:sz w:val="12"/>
              </w:rPr>
              <w:br/>
            </w:r>
            <w:r>
              <w:rPr>
                <w:rFonts w:ascii="Century Gothic" w:hAnsi="Century Gothic"/>
                <w:sz w:val="12"/>
              </w:rPr>
              <w:t>TELEPHONE 509-734-4500  FACSIMILE  509-737-7166</w:t>
            </w:r>
          </w:p>
          <w:p w:rsidR="00A62F15" w:rsidRDefault="00A62F15" w:rsidP="00A62F15">
            <w:pPr>
              <w:pStyle w:val="Header"/>
              <w:tabs>
                <w:tab w:val="clear" w:pos="4320"/>
              </w:tabs>
              <w:ind w:right="806"/>
              <w:jc w:val="center"/>
              <w:rPr>
                <w:rFonts w:ascii="Century Gothic" w:hAnsi="Century Gothic"/>
                <w:position w:val="-80"/>
                <w:sz w:val="12"/>
              </w:rPr>
            </w:pPr>
            <w:r>
              <w:rPr>
                <w:rFonts w:ascii="Century Gothic" w:hAnsi="Century Gothic"/>
                <w:sz w:val="12"/>
              </w:rPr>
              <w:t>www.cngc.com</w:t>
            </w:r>
          </w:p>
        </w:tc>
      </w:tr>
    </w:tbl>
    <w:p w:rsidR="00A62F15" w:rsidRDefault="00A62F15">
      <w:pPr>
        <w:jc w:val="both"/>
        <w:rPr>
          <w:sz w:val="24"/>
        </w:rPr>
      </w:pPr>
    </w:p>
    <w:p w:rsidR="00A62F15" w:rsidRDefault="00A62F15">
      <w:pPr>
        <w:jc w:val="both"/>
        <w:rPr>
          <w:sz w:val="24"/>
        </w:rPr>
      </w:pPr>
    </w:p>
    <w:p w:rsidR="00261259" w:rsidRPr="00E84D16" w:rsidRDefault="00F94F4F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May 10, 2016</w:t>
      </w:r>
    </w:p>
    <w:p w:rsidR="0028555B" w:rsidRPr="00E84D16" w:rsidRDefault="0028555B">
      <w:pPr>
        <w:jc w:val="both"/>
        <w:rPr>
          <w:sz w:val="22"/>
          <w:szCs w:val="22"/>
        </w:rPr>
      </w:pPr>
    </w:p>
    <w:p w:rsidR="0028555B" w:rsidRPr="00E84D16" w:rsidRDefault="0028555B">
      <w:pPr>
        <w:jc w:val="both"/>
        <w:rPr>
          <w:sz w:val="22"/>
          <w:szCs w:val="22"/>
        </w:rPr>
      </w:pPr>
    </w:p>
    <w:p w:rsidR="0016389C" w:rsidRPr="00E84D16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2"/>
          <w:szCs w:val="22"/>
        </w:rPr>
      </w:pPr>
      <w:r w:rsidRPr="00E84D16">
        <w:rPr>
          <w:spacing w:val="-2"/>
          <w:sz w:val="22"/>
          <w:szCs w:val="22"/>
        </w:rPr>
        <w:t>Mr. Steven V. King</w:t>
      </w:r>
    </w:p>
    <w:p w:rsidR="0016389C" w:rsidRPr="00E84D16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2"/>
          <w:szCs w:val="22"/>
        </w:rPr>
      </w:pPr>
      <w:r w:rsidRPr="00E84D16">
        <w:rPr>
          <w:spacing w:val="-2"/>
          <w:sz w:val="22"/>
          <w:szCs w:val="22"/>
        </w:rPr>
        <w:t>Executive Director and Secretary</w:t>
      </w:r>
    </w:p>
    <w:p w:rsidR="0016389C" w:rsidRPr="00E84D16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2"/>
          <w:szCs w:val="22"/>
        </w:rPr>
      </w:pPr>
      <w:r w:rsidRPr="00E84D16">
        <w:rPr>
          <w:spacing w:val="-2"/>
          <w:sz w:val="22"/>
          <w:szCs w:val="22"/>
        </w:rPr>
        <w:t>Washington Utilities &amp; Transportation Commission</w:t>
      </w:r>
    </w:p>
    <w:p w:rsidR="0016389C" w:rsidRPr="00E84D16" w:rsidRDefault="00045D7F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2"/>
          <w:szCs w:val="22"/>
        </w:rPr>
      </w:pPr>
      <w:r w:rsidRPr="00E84D16">
        <w:rPr>
          <w:spacing w:val="-2"/>
          <w:sz w:val="22"/>
          <w:szCs w:val="22"/>
        </w:rPr>
        <w:t>1300 S. Evergreen Park Drive SW</w:t>
      </w:r>
    </w:p>
    <w:p w:rsidR="0016389C" w:rsidRPr="00E84D16" w:rsidRDefault="0016389C" w:rsidP="0016389C">
      <w:pPr>
        <w:tabs>
          <w:tab w:val="left" w:pos="954"/>
          <w:tab w:val="left" w:pos="5083"/>
        </w:tabs>
        <w:suppressAutoHyphens/>
        <w:jc w:val="both"/>
        <w:rPr>
          <w:spacing w:val="-2"/>
          <w:sz w:val="22"/>
          <w:szCs w:val="22"/>
        </w:rPr>
      </w:pPr>
      <w:r w:rsidRPr="00E84D16">
        <w:rPr>
          <w:spacing w:val="-2"/>
          <w:sz w:val="22"/>
          <w:szCs w:val="22"/>
        </w:rPr>
        <w:t>Olympia, WA</w:t>
      </w:r>
      <w:r w:rsidR="00045D7F" w:rsidRPr="00E84D16">
        <w:rPr>
          <w:spacing w:val="-2"/>
          <w:sz w:val="22"/>
          <w:szCs w:val="22"/>
        </w:rPr>
        <w:t xml:space="preserve">  98504-9022</w:t>
      </w:r>
    </w:p>
    <w:p w:rsidR="0028555B" w:rsidRPr="00E84D16" w:rsidRDefault="0028555B">
      <w:pPr>
        <w:jc w:val="both"/>
        <w:rPr>
          <w:sz w:val="22"/>
          <w:szCs w:val="22"/>
        </w:rPr>
      </w:pPr>
    </w:p>
    <w:p w:rsidR="0028555B" w:rsidRPr="00E84D16" w:rsidRDefault="00F94F4F">
      <w:pPr>
        <w:jc w:val="both"/>
        <w:rPr>
          <w:b/>
          <w:sz w:val="22"/>
          <w:szCs w:val="22"/>
        </w:rPr>
      </w:pPr>
      <w:r w:rsidRPr="00E84D16">
        <w:rPr>
          <w:b/>
          <w:sz w:val="22"/>
          <w:szCs w:val="22"/>
        </w:rPr>
        <w:t>RE: Advice No. CNG/W1</w:t>
      </w:r>
      <w:r w:rsidR="00B10BC6">
        <w:rPr>
          <w:b/>
          <w:sz w:val="22"/>
          <w:szCs w:val="22"/>
        </w:rPr>
        <w:t>6</w:t>
      </w:r>
      <w:bookmarkStart w:id="0" w:name="_GoBack"/>
      <w:bookmarkEnd w:id="0"/>
      <w:r w:rsidRPr="00E84D16">
        <w:rPr>
          <w:b/>
          <w:sz w:val="22"/>
          <w:szCs w:val="22"/>
        </w:rPr>
        <w:t>-05-</w:t>
      </w:r>
      <w:r w:rsidR="00E84D16" w:rsidRPr="00E84D16">
        <w:rPr>
          <w:b/>
          <w:sz w:val="22"/>
          <w:szCs w:val="22"/>
        </w:rPr>
        <w:t>01</w:t>
      </w:r>
    </w:p>
    <w:p w:rsidR="009D6147" w:rsidRPr="00E84D16" w:rsidRDefault="009D6147">
      <w:pPr>
        <w:jc w:val="both"/>
        <w:rPr>
          <w:sz w:val="22"/>
          <w:szCs w:val="22"/>
        </w:rPr>
      </w:pPr>
    </w:p>
    <w:p w:rsidR="0028555B" w:rsidRPr="00E84D16" w:rsidRDefault="0028555B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 xml:space="preserve">Dear Mr. </w:t>
      </w:r>
      <w:r w:rsidR="0016389C" w:rsidRPr="00E84D16">
        <w:rPr>
          <w:sz w:val="22"/>
          <w:szCs w:val="22"/>
        </w:rPr>
        <w:t>King</w:t>
      </w:r>
      <w:r w:rsidRPr="00E84D16">
        <w:rPr>
          <w:sz w:val="22"/>
          <w:szCs w:val="22"/>
        </w:rPr>
        <w:t>:</w:t>
      </w:r>
    </w:p>
    <w:p w:rsidR="0028555B" w:rsidRPr="00E84D16" w:rsidRDefault="0028555B">
      <w:pPr>
        <w:jc w:val="both"/>
        <w:rPr>
          <w:sz w:val="22"/>
          <w:szCs w:val="22"/>
        </w:rPr>
      </w:pPr>
    </w:p>
    <w:p w:rsidR="007F6097" w:rsidRPr="00E84D16" w:rsidRDefault="009D6147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 xml:space="preserve">Enclosed, </w:t>
      </w:r>
      <w:r w:rsidR="0028555B" w:rsidRPr="00E84D16">
        <w:rPr>
          <w:sz w:val="22"/>
          <w:szCs w:val="22"/>
        </w:rPr>
        <w:t xml:space="preserve">Cascade Natural Gas Corporation </w:t>
      </w:r>
      <w:r w:rsidR="00F94F4F" w:rsidRPr="00E84D16">
        <w:rPr>
          <w:sz w:val="22"/>
          <w:szCs w:val="22"/>
        </w:rPr>
        <w:t>herewith submits for filing the following revised tariff sheet to its WN U-3 Tariff.  The revised tariff sheet contains a</w:t>
      </w:r>
      <w:r w:rsidR="00A563A8">
        <w:rPr>
          <w:sz w:val="22"/>
          <w:szCs w:val="22"/>
        </w:rPr>
        <w:t>n</w:t>
      </w:r>
      <w:r w:rsidR="00F94F4F" w:rsidRPr="00E84D16">
        <w:rPr>
          <w:sz w:val="22"/>
          <w:szCs w:val="22"/>
        </w:rPr>
        <w:t xml:space="preserve"> effective date of July 1, 2016.</w:t>
      </w:r>
    </w:p>
    <w:p w:rsidR="00F94F4F" w:rsidRPr="00E84D16" w:rsidRDefault="00F94F4F">
      <w:pPr>
        <w:jc w:val="both"/>
        <w:rPr>
          <w:sz w:val="22"/>
          <w:szCs w:val="22"/>
        </w:rPr>
      </w:pPr>
    </w:p>
    <w:p w:rsidR="00F94F4F" w:rsidRPr="00E84D16" w:rsidRDefault="00F94F4F">
      <w:pPr>
        <w:jc w:val="both"/>
        <w:rPr>
          <w:b/>
          <w:sz w:val="22"/>
          <w:szCs w:val="22"/>
        </w:rPr>
      </w:pPr>
      <w:r w:rsidRPr="00E84D16">
        <w:rPr>
          <w:b/>
          <w:sz w:val="22"/>
          <w:szCs w:val="22"/>
        </w:rPr>
        <w:t>Fifty-Second Rev. Sheet No. 500-A canceling Fifty-First Rev. Sheet No. 500-A</w:t>
      </w:r>
    </w:p>
    <w:p w:rsidR="00F94F4F" w:rsidRPr="00E84D16" w:rsidRDefault="00F94F4F">
      <w:pPr>
        <w:jc w:val="both"/>
        <w:rPr>
          <w:b/>
          <w:sz w:val="22"/>
          <w:szCs w:val="22"/>
        </w:rPr>
      </w:pPr>
    </w:p>
    <w:p w:rsidR="00F94F4F" w:rsidRPr="00E84D16" w:rsidRDefault="00F94F4F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The tariff sheet provides for the following change:</w:t>
      </w:r>
    </w:p>
    <w:p w:rsidR="00F94F4F" w:rsidRPr="00E84D16" w:rsidRDefault="00F94F4F">
      <w:pPr>
        <w:jc w:val="both"/>
        <w:rPr>
          <w:sz w:val="22"/>
          <w:szCs w:val="22"/>
        </w:rPr>
      </w:pPr>
    </w:p>
    <w:p w:rsidR="00F94F4F" w:rsidRPr="00E84D16" w:rsidRDefault="00F94F4F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On April 25</w:t>
      </w:r>
      <w:r w:rsidRPr="00E84D16">
        <w:rPr>
          <w:sz w:val="22"/>
          <w:szCs w:val="22"/>
          <w:vertAlign w:val="superscript"/>
        </w:rPr>
        <w:t>th</w:t>
      </w:r>
      <w:r w:rsidRPr="00E84D16">
        <w:rPr>
          <w:sz w:val="22"/>
          <w:szCs w:val="22"/>
        </w:rPr>
        <w:t>, 2016, the City Council of the City of Sumas passed Ordinance No. 1682.  Effective July 1</w:t>
      </w:r>
      <w:r w:rsidRPr="00E84D16">
        <w:rPr>
          <w:sz w:val="22"/>
          <w:szCs w:val="22"/>
          <w:vertAlign w:val="superscript"/>
        </w:rPr>
        <w:t>st</w:t>
      </w:r>
      <w:r w:rsidRPr="00E84D16">
        <w:rPr>
          <w:sz w:val="22"/>
          <w:szCs w:val="22"/>
        </w:rPr>
        <w:t xml:space="preserve">, 2016, this ordinance allows the City of Sumas to begin collecting a Utility Tax </w:t>
      </w:r>
      <w:r w:rsidR="00145AB2" w:rsidRPr="00E84D16">
        <w:rPr>
          <w:sz w:val="22"/>
          <w:szCs w:val="22"/>
        </w:rPr>
        <w:t>in the amount of one percent (1%) of the value of the article used</w:t>
      </w:r>
      <w:r w:rsidR="00192CFD" w:rsidRPr="00E84D16">
        <w:rPr>
          <w:sz w:val="22"/>
          <w:szCs w:val="22"/>
        </w:rPr>
        <w:t xml:space="preserve"> (purchases of brokered natural gas)</w:t>
      </w:r>
      <w:r w:rsidR="00145AB2" w:rsidRPr="00E84D16">
        <w:rPr>
          <w:sz w:val="22"/>
          <w:szCs w:val="22"/>
        </w:rPr>
        <w:t>.  The amount of tax paid for the article used at a single use site by a single user shall be limited to five hundred dollars ($500.00) per month.</w:t>
      </w:r>
    </w:p>
    <w:p w:rsidR="00145AB2" w:rsidRPr="00E84D16" w:rsidRDefault="00145AB2">
      <w:pPr>
        <w:jc w:val="both"/>
        <w:rPr>
          <w:sz w:val="22"/>
          <w:szCs w:val="22"/>
        </w:rPr>
      </w:pPr>
    </w:p>
    <w:p w:rsidR="00145AB2" w:rsidRPr="00E84D16" w:rsidRDefault="00145AB2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 xml:space="preserve">In accordance with WAC 480-90-198, the Company declares that notice to customers will be made in accordance with WAC 480-90-195.  Cascade will issue bill inserts to all customers impacted by the tariff change following final disposition of this filing.  A copy of the draft post-approval notification has been included with this filing.  The proposed change will affect all customers residing within the city limits of Sumas.  Cascade estimates that approximately </w:t>
      </w:r>
      <w:r w:rsidR="00E84D16" w:rsidRPr="00E84D16">
        <w:rPr>
          <w:sz w:val="22"/>
          <w:szCs w:val="22"/>
        </w:rPr>
        <w:t>38</w:t>
      </w:r>
      <w:r w:rsidR="00AD225C">
        <w:rPr>
          <w:sz w:val="22"/>
          <w:szCs w:val="22"/>
        </w:rPr>
        <w:t>6</w:t>
      </w:r>
      <w:r w:rsidRPr="00E84D16">
        <w:rPr>
          <w:sz w:val="22"/>
          <w:szCs w:val="22"/>
        </w:rPr>
        <w:t xml:space="preserve"> residential, </w:t>
      </w:r>
      <w:r w:rsidR="00E84D16" w:rsidRPr="00E84D16">
        <w:rPr>
          <w:sz w:val="22"/>
          <w:szCs w:val="22"/>
        </w:rPr>
        <w:t>65</w:t>
      </w:r>
      <w:r w:rsidRPr="00E84D16">
        <w:rPr>
          <w:sz w:val="22"/>
          <w:szCs w:val="22"/>
        </w:rPr>
        <w:t xml:space="preserve"> commercial, and </w:t>
      </w:r>
      <w:r w:rsidR="00E84D16" w:rsidRPr="00E84D16">
        <w:rPr>
          <w:sz w:val="22"/>
          <w:szCs w:val="22"/>
        </w:rPr>
        <w:t>4</w:t>
      </w:r>
      <w:r w:rsidRPr="00E84D16">
        <w:rPr>
          <w:sz w:val="22"/>
          <w:szCs w:val="22"/>
        </w:rPr>
        <w:t xml:space="preserve"> industrial customers will be impacted by this change.  </w:t>
      </w:r>
    </w:p>
    <w:p w:rsidR="00145AB2" w:rsidRPr="00E84D16" w:rsidRDefault="00145AB2">
      <w:pPr>
        <w:jc w:val="both"/>
        <w:rPr>
          <w:sz w:val="22"/>
          <w:szCs w:val="22"/>
        </w:rPr>
      </w:pPr>
    </w:p>
    <w:p w:rsidR="00261259" w:rsidRPr="00E84D16" w:rsidRDefault="000024A7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Any questions regarding this filing may be directed to me at (509) 734-4593.</w:t>
      </w:r>
    </w:p>
    <w:p w:rsidR="000024A7" w:rsidRPr="00E84D16" w:rsidRDefault="000024A7">
      <w:pPr>
        <w:jc w:val="both"/>
        <w:rPr>
          <w:sz w:val="22"/>
          <w:szCs w:val="22"/>
        </w:rPr>
      </w:pPr>
    </w:p>
    <w:p w:rsidR="000024A7" w:rsidRPr="00E84D16" w:rsidRDefault="000024A7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Sincerely,</w:t>
      </w:r>
    </w:p>
    <w:p w:rsidR="000024A7" w:rsidRPr="00E84D16" w:rsidRDefault="000024A7">
      <w:pPr>
        <w:jc w:val="both"/>
        <w:rPr>
          <w:sz w:val="22"/>
          <w:szCs w:val="22"/>
        </w:rPr>
      </w:pPr>
    </w:p>
    <w:p w:rsidR="000024A7" w:rsidRPr="00E84D16" w:rsidRDefault="000024A7">
      <w:pPr>
        <w:jc w:val="both"/>
        <w:rPr>
          <w:sz w:val="22"/>
          <w:szCs w:val="22"/>
        </w:rPr>
      </w:pPr>
    </w:p>
    <w:p w:rsidR="000024A7" w:rsidRPr="00E84D16" w:rsidRDefault="000024A7">
      <w:pPr>
        <w:jc w:val="both"/>
        <w:rPr>
          <w:sz w:val="22"/>
          <w:szCs w:val="22"/>
        </w:rPr>
      </w:pPr>
    </w:p>
    <w:p w:rsidR="000024A7" w:rsidRPr="00E84D16" w:rsidRDefault="000024A7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Michael Parvinen</w:t>
      </w:r>
    </w:p>
    <w:p w:rsidR="000024A7" w:rsidRPr="00E84D16" w:rsidRDefault="000024A7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Director, Regulatory Affairs</w:t>
      </w:r>
    </w:p>
    <w:p w:rsidR="000024A7" w:rsidRPr="00E84D16" w:rsidRDefault="000024A7">
      <w:pPr>
        <w:jc w:val="both"/>
        <w:rPr>
          <w:sz w:val="22"/>
          <w:szCs w:val="22"/>
        </w:rPr>
      </w:pPr>
      <w:r w:rsidRPr="00E84D16">
        <w:rPr>
          <w:sz w:val="22"/>
          <w:szCs w:val="22"/>
        </w:rPr>
        <w:t>Attachment</w:t>
      </w:r>
    </w:p>
    <w:p w:rsidR="00FB4661" w:rsidRDefault="00E84D16">
      <w:pPr>
        <w:jc w:val="both"/>
        <w:rPr>
          <w:sz w:val="24"/>
        </w:rPr>
      </w:pPr>
      <w:r w:rsidRPr="00E84D16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996477A" wp14:editId="75410090">
            <wp:simplePos x="0" y="0"/>
            <wp:positionH relativeFrom="column">
              <wp:posOffset>1743075</wp:posOffset>
            </wp:positionH>
            <wp:positionV relativeFrom="paragraph">
              <wp:posOffset>393700</wp:posOffset>
            </wp:positionV>
            <wp:extent cx="2441575" cy="243840"/>
            <wp:effectExtent l="0" t="0" r="0" b="3810"/>
            <wp:wrapNone/>
            <wp:docPr id="2" name="Picture 4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4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64D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9094470</wp:posOffset>
            </wp:positionV>
            <wp:extent cx="2441575" cy="243840"/>
            <wp:effectExtent l="0" t="0" r="0" b="0"/>
            <wp:wrapNone/>
            <wp:docPr id="1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4661" w:rsidSect="00E84D16">
      <w:pgSz w:w="12240" w:h="15840" w:code="1"/>
      <w:pgMar w:top="1152" w:right="1296" w:bottom="1152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CA" w:rsidRDefault="00CD76CA" w:rsidP="00261259">
      <w:r>
        <w:separator/>
      </w:r>
    </w:p>
  </w:endnote>
  <w:endnote w:type="continuationSeparator" w:id="0">
    <w:p w:rsidR="00CD76CA" w:rsidRDefault="00CD76CA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CA" w:rsidRDefault="00CD76CA" w:rsidP="00261259">
      <w:r>
        <w:separator/>
      </w:r>
    </w:p>
  </w:footnote>
  <w:footnote w:type="continuationSeparator" w:id="0">
    <w:p w:rsidR="00CD76CA" w:rsidRDefault="00CD76CA" w:rsidP="0026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9"/>
    <w:rsid w:val="000024A7"/>
    <w:rsid w:val="00045D7F"/>
    <w:rsid w:val="000B0B3E"/>
    <w:rsid w:val="000E148C"/>
    <w:rsid w:val="00145AB2"/>
    <w:rsid w:val="0016389C"/>
    <w:rsid w:val="00192CFD"/>
    <w:rsid w:val="001B1812"/>
    <w:rsid w:val="00261259"/>
    <w:rsid w:val="0028555B"/>
    <w:rsid w:val="0037590A"/>
    <w:rsid w:val="00503979"/>
    <w:rsid w:val="00615487"/>
    <w:rsid w:val="0066264D"/>
    <w:rsid w:val="007003A7"/>
    <w:rsid w:val="00704721"/>
    <w:rsid w:val="00757F0D"/>
    <w:rsid w:val="007F6097"/>
    <w:rsid w:val="008005C7"/>
    <w:rsid w:val="00870D1B"/>
    <w:rsid w:val="00885B96"/>
    <w:rsid w:val="008C04A9"/>
    <w:rsid w:val="009B325B"/>
    <w:rsid w:val="009C7260"/>
    <w:rsid w:val="009D6147"/>
    <w:rsid w:val="00A01F69"/>
    <w:rsid w:val="00A563A8"/>
    <w:rsid w:val="00A62F15"/>
    <w:rsid w:val="00AA393B"/>
    <w:rsid w:val="00AD225C"/>
    <w:rsid w:val="00B10BC6"/>
    <w:rsid w:val="00B14046"/>
    <w:rsid w:val="00B15BF6"/>
    <w:rsid w:val="00BD72BC"/>
    <w:rsid w:val="00C13239"/>
    <w:rsid w:val="00CC1100"/>
    <w:rsid w:val="00CD76CA"/>
    <w:rsid w:val="00D037A6"/>
    <w:rsid w:val="00DA2E50"/>
    <w:rsid w:val="00E41D2E"/>
    <w:rsid w:val="00E84D16"/>
    <w:rsid w:val="00F94F4F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B0BA29889F544DB1B18AEF9938E0A8" ma:contentTypeVersion="104" ma:contentTypeDescription="" ma:contentTypeScope="" ma:versionID="ad8959e3bde13d504ab4a16aaae84b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2016-05-10T07:00:00+00:00</OpenedDate>
    <Date1 xmlns="dc463f71-b30c-4ab2-9473-d307f9d35888">2016-05-10T07:00:00+00:00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33B900-1C9F-4D03-A833-71C7F6D7A0E4}"/>
</file>

<file path=customXml/itemProps2.xml><?xml version="1.0" encoding="utf-8"?>
<ds:datastoreItem xmlns:ds="http://schemas.openxmlformats.org/officeDocument/2006/customXml" ds:itemID="{B63DF10F-4537-4BCB-AA60-B529475078F4}"/>
</file>

<file path=customXml/itemProps3.xml><?xml version="1.0" encoding="utf-8"?>
<ds:datastoreItem xmlns:ds="http://schemas.openxmlformats.org/officeDocument/2006/customXml" ds:itemID="{56C66FC5-5FA3-4E27-BBE2-903644C6232D}"/>
</file>

<file path=customXml/itemProps4.xml><?xml version="1.0" encoding="utf-8"?>
<ds:datastoreItem xmlns:ds="http://schemas.openxmlformats.org/officeDocument/2006/customXml" ds:itemID="{CAB3C066-1618-42FF-9CD9-C2D1DDC9F9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1824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Cascade Natural Gas</cp:lastModifiedBy>
  <cp:revision>4</cp:revision>
  <cp:lastPrinted>2016-05-03T21:26:00Z</cp:lastPrinted>
  <dcterms:created xsi:type="dcterms:W3CDTF">2016-05-03T21:27:00Z</dcterms:created>
  <dcterms:modified xsi:type="dcterms:W3CDTF">2016-05-10T20:18:00Z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0x0101006E56B4D1795A2E4DB2F0B01679ED314A0078B0BA29889F544DB1B18AEF9938E0A8</vt:lpwstr>
  </property>
  <property fmtid="{D5CDD505-2E9C-101B-9397-08002B2CF9AE}" pid="3" name="_docset_NoMedatataSyncRequired">
    <vt:lpwstr>False</vt:lpwstr>
  </property>
</Properties>
</file>