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AC Checker LLC</w:t>
        <w:cr/>
        <w:t>d/b/a VIP Arrivals</w:t>
      </w:r>
    </w:p>
    <w:p>
      <w:r>
        <w:t>1101 3rd Street NE</w:t>
        <w:cr/>
        <w:t>East Wenatchee, WA 98802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CH067115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160300</w:t>
      </w:r>
      <w:r w:rsidR="00C30993">
        <w:tab/>
      </w:r>
      <w:r>
        <w:t>April 14,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EDD26DCE7A6349AA338D9BCFC25185" ma:contentTypeVersion="104" ma:contentTypeDescription="" ma:contentTypeScope="" ma:versionID="828485c866d7f4f0e22abf216ff86a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2016-03-14T07:00:00+00:00</OpenedDate>
    <Date1 xmlns="dc463f71-b30c-4ab2-9473-d307f9d35888">2016-04-15T07:00:00+00:00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AC Checker LLC</CaseCompanyNames>
    <DocketNumber xmlns="dc463f71-b30c-4ab2-9473-d307f9d35888">160300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BAEC-4513-4092-B2D9-3AE486A7517E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D83E51C0-AD47-44D1-B543-DBD07EAF8088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0x0101006E56B4D1795A2E4DB2F0B01679ED314A00F9EDD26DCE7A6349AA338D9BCFC25185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