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June 14, 2016</w:t>
      </w:r>
    </w:p>
    <w:p w14:paraId="1B98EE73" w14:textId="77777777" w:rsidR="00072E1B" w:rsidRDefault="00072E1B" w:rsidP="00DF0FAA"/>
    <w:p w14:paraId="4486F870" w14:textId="77777777" w:rsidR="00200259" w:rsidRDefault="00200259" w:rsidP="00DF0FAA"/>
    <w:p>
      <w:r>
        <w:rPr>
          <w:rFonts w:eastAsiaTheme="minorHAnsi"/>
          <w:color w:val="000000"/>
        </w:rPr>
        <w:t>Willows Lodge Associates, L.L.C.</w:t>
      </w:r>
    </w:p>
    <w:p>
      <w:r>
        <w:rPr>
          <w:rFonts w:eastAsiaTheme="minorHAnsi"/>
          <w:color w:val="000000"/>
        </w:rPr>
        <w:t>14580 NE 145th Street</w:t>
        <w:cr/>
        <w:t>Woodinville, WA 98072</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160230</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CH067205</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Willows Lodge Associates,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February 22, 2016</w:t>
      </w:r>
      <w:r w:rsidR="0074221B">
        <w:t xml:space="preserve">, </w:t>
      </w:r>
      <w:r>
        <w:t>Willows Lodge Associates, L.L.C.</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lastRenderedPageBreak/>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CH067205</w:t>
      </w:r>
      <w:r w:rsidR="0074221B">
        <w:t xml:space="preserve"> </w:t>
      </w:r>
      <w:r w:rsidR="009A24DC">
        <w:t xml:space="preserve">authorizing </w:t>
      </w:r>
      <w:r>
        <w:t>Willows Lodge Associates, L.L.C.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bookmarkStart w:id="0" w:name="_GoBack"/>
      <w:bookmarkEnd w:id="0"/>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000000"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45E88F0D44954792939AC9EF461A82" ma:contentTypeVersion="104" ma:contentTypeDescription="" ma:contentTypeScope="" ma:versionID="b4495dd3abd924066f08c13fdc67e8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2016-02-22T08:00:00+00:00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Willows Lodge Associates, L.L.C.</CaseCompanyNames>
    <DocketNumber xmlns="dc463f71-b30c-4ab2-9473-d307f9d35888">160230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0670CF-F563-4921-8D23-79B2F6DEED52}"/>
</file>

<file path=customXml/itemProps2.xml><?xml version="1.0" encoding="utf-8"?>
<ds:datastoreItem xmlns:ds="http://schemas.openxmlformats.org/officeDocument/2006/customXml" ds:itemID="{7F6A8AB1-289A-406B-9F12-2D92533721BB}"/>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5F6BF942-C166-4351-818C-DC59A00185D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2016-02-23T16:51:00Z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0x0101006E56B4D1795A2E4DB2F0B01679ED314A002945E88F0D44954792939AC9EF461A82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