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WithEffects.xml" ContentType="application/vnd.ms-word.stylesWithEffect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9F1" w:rsidRDefault="006B69F1">
      <w:pPr>
        <w:tabs>
          <w:tab w:val="center" w:pos="4680"/>
        </w:tabs>
        <w:jc w:val="center"/>
        <w:rPr>
          <w:b/>
          <w:bCs/>
        </w:rPr>
      </w:pPr>
    </w:p>
    <w:p w:rsidR="003D2170" w:rsidRDefault="003D2170">
      <w:pPr>
        <w:tabs>
          <w:tab w:val="center" w:pos="4680"/>
        </w:tabs>
        <w:jc w:val="center"/>
        <w:rPr>
          <w:b/>
          <w:bCs/>
        </w:rPr>
      </w:pPr>
      <w:r>
        <w:rPr>
          <w:b/>
          <w:bCs/>
        </w:rPr>
        <w:t>BEFORE THE</w:t>
      </w:r>
    </w:p>
    <w:p w:rsidR="003D2170" w:rsidRDefault="003D2170">
      <w:pPr>
        <w:tabs>
          <w:tab w:val="center" w:pos="4680"/>
        </w:tabs>
        <w:jc w:val="center"/>
        <w:rPr>
          <w:b/>
          <w:bCs/>
        </w:rPr>
      </w:pPr>
      <w:r>
        <w:rPr>
          <w:b/>
          <w:bCs/>
        </w:rPr>
        <w:t>WASHINGTON UTILITIES AND TRANSPORTATION COMMISSION</w:t>
      </w:r>
    </w:p>
    <w:p w:rsidR="003D2170" w:rsidRDefault="003D2170">
      <w:pPr>
        <w:jc w:val="both"/>
      </w:pPr>
    </w:p>
    <w:p w:rsidR="00FA2F78" w:rsidRDefault="00FA2F78">
      <w:pPr>
        <w:jc w:val="both"/>
      </w:pPr>
    </w:p>
    <w:tbl>
      <w:tblPr>
        <w:tblW w:w="9918" w:type="dxa"/>
        <w:tblLook w:val="04A0"/>
      </w:tblPr>
      <w:tblGrid>
        <w:gridCol w:w="5148"/>
        <w:gridCol w:w="450"/>
        <w:gridCol w:w="4320"/>
      </w:tblGrid>
      <w:tr w:rsidR="003D2170" w:rsidRPr="00F5458D" w:rsidTr="003D2170">
        <w:tc>
          <w:tcPr>
            <w:tcW w:w="5148" w:type="dxa"/>
            <w:tcBorders>
              <w:bottom w:val="single" w:sz="4" w:space="0" w:color="auto"/>
            </w:tcBorders>
          </w:tcPr>
          <w:p w:rsidR="003D2170" w:rsidRDefault="003D2170" w:rsidP="003D2170">
            <w:pPr>
              <w:ind w:right="-270"/>
              <w:rPr>
                <w:sz w:val="23"/>
                <w:szCs w:val="23"/>
              </w:rPr>
            </w:pPr>
          </w:p>
          <w:p w:rsidR="00FA2F78" w:rsidRDefault="00FA2F78" w:rsidP="003D2170">
            <w:pPr>
              <w:ind w:right="-270"/>
              <w:rPr>
                <w:sz w:val="23"/>
                <w:szCs w:val="23"/>
              </w:rPr>
            </w:pPr>
          </w:p>
          <w:p w:rsidR="003D2170" w:rsidRDefault="003D2170" w:rsidP="003D2170">
            <w:pPr>
              <w:ind w:right="-270"/>
              <w:rPr>
                <w:sz w:val="23"/>
                <w:szCs w:val="23"/>
              </w:rPr>
            </w:pPr>
            <w:r>
              <w:rPr>
                <w:sz w:val="23"/>
                <w:szCs w:val="23"/>
              </w:rPr>
              <w:t xml:space="preserve">In </w:t>
            </w:r>
            <w:r w:rsidR="00D31533">
              <w:rPr>
                <w:sz w:val="23"/>
                <w:szCs w:val="23"/>
              </w:rPr>
              <w:t>t</w:t>
            </w:r>
            <w:r>
              <w:rPr>
                <w:sz w:val="23"/>
                <w:szCs w:val="23"/>
              </w:rPr>
              <w:t xml:space="preserve">he Matter </w:t>
            </w:r>
            <w:r w:rsidR="00D31533">
              <w:rPr>
                <w:sz w:val="23"/>
                <w:szCs w:val="23"/>
              </w:rPr>
              <w:t>of the Petition o</w:t>
            </w:r>
            <w:r>
              <w:rPr>
                <w:sz w:val="23"/>
                <w:szCs w:val="23"/>
              </w:rPr>
              <w:t>f</w:t>
            </w:r>
          </w:p>
          <w:p w:rsidR="003D2170" w:rsidRDefault="003D2170" w:rsidP="003D2170">
            <w:pPr>
              <w:ind w:right="-270"/>
              <w:rPr>
                <w:sz w:val="23"/>
                <w:szCs w:val="23"/>
              </w:rPr>
            </w:pPr>
          </w:p>
          <w:p w:rsidR="003D2170" w:rsidRDefault="00DF74F5" w:rsidP="003D2170">
            <w:pPr>
              <w:ind w:right="-270"/>
              <w:rPr>
                <w:sz w:val="23"/>
                <w:szCs w:val="23"/>
              </w:rPr>
            </w:pPr>
            <w:r>
              <w:rPr>
                <w:sz w:val="23"/>
                <w:szCs w:val="23"/>
              </w:rPr>
              <w:t>Avista Corporation, d/b/a</w:t>
            </w:r>
            <w:r w:rsidR="003D2170" w:rsidRPr="00F5458D">
              <w:rPr>
                <w:sz w:val="23"/>
                <w:szCs w:val="23"/>
              </w:rPr>
              <w:t xml:space="preserve"> Avista Utilities</w:t>
            </w:r>
            <w:r w:rsidR="003D2170">
              <w:rPr>
                <w:sz w:val="23"/>
                <w:szCs w:val="23"/>
              </w:rPr>
              <w:t xml:space="preserve"> </w:t>
            </w:r>
          </w:p>
          <w:p w:rsidR="003D2170" w:rsidRDefault="003D2170" w:rsidP="003D2170">
            <w:pPr>
              <w:ind w:right="-270"/>
              <w:rPr>
                <w:sz w:val="23"/>
                <w:szCs w:val="23"/>
              </w:rPr>
            </w:pPr>
          </w:p>
          <w:p w:rsidR="004850A5" w:rsidRPr="00FE2D3F" w:rsidRDefault="003D2170" w:rsidP="00AF54FF">
            <w:pPr>
              <w:ind w:right="-270"/>
              <w:rPr>
                <w:sz w:val="23"/>
                <w:szCs w:val="23"/>
              </w:rPr>
            </w:pPr>
            <w:r>
              <w:rPr>
                <w:sz w:val="23"/>
                <w:szCs w:val="23"/>
              </w:rPr>
              <w:t xml:space="preserve">For an Order </w:t>
            </w:r>
            <w:r w:rsidR="00CA6EEE">
              <w:rPr>
                <w:sz w:val="23"/>
                <w:szCs w:val="23"/>
              </w:rPr>
              <w:t>A</w:t>
            </w:r>
            <w:r w:rsidR="00D31533">
              <w:rPr>
                <w:sz w:val="23"/>
                <w:szCs w:val="23"/>
              </w:rPr>
              <w:t>uthorizing</w:t>
            </w:r>
            <w:r w:rsidR="003F79B6">
              <w:rPr>
                <w:sz w:val="23"/>
                <w:szCs w:val="23"/>
              </w:rPr>
              <w:t xml:space="preserve"> </w:t>
            </w:r>
            <w:r w:rsidR="00D31533">
              <w:rPr>
                <w:sz w:val="23"/>
                <w:szCs w:val="23"/>
              </w:rPr>
              <w:t xml:space="preserve">Accounting </w:t>
            </w:r>
            <w:r w:rsidR="00F35FBA">
              <w:rPr>
                <w:sz w:val="23"/>
                <w:szCs w:val="23"/>
              </w:rPr>
              <w:t>and Ratemaking Treatment of</w:t>
            </w:r>
            <w:r w:rsidR="00546DC5">
              <w:rPr>
                <w:sz w:val="23"/>
                <w:szCs w:val="23"/>
              </w:rPr>
              <w:t xml:space="preserve"> Fees</w:t>
            </w:r>
            <w:r w:rsidR="00AF54FF">
              <w:rPr>
                <w:sz w:val="23"/>
                <w:szCs w:val="23"/>
              </w:rPr>
              <w:t xml:space="preserve"> </w:t>
            </w:r>
            <w:r w:rsidR="004850A5">
              <w:rPr>
                <w:sz w:val="23"/>
                <w:szCs w:val="23"/>
              </w:rPr>
              <w:t>for Payments Made by Residential Customers</w:t>
            </w:r>
          </w:p>
        </w:tc>
        <w:tc>
          <w:tcPr>
            <w:tcW w:w="450" w:type="dxa"/>
          </w:tcPr>
          <w:p w:rsidR="003D2170" w:rsidRPr="00F5458D" w:rsidRDefault="003D2170" w:rsidP="003D2170">
            <w:pPr>
              <w:ind w:right="-270"/>
            </w:pPr>
          </w:p>
          <w:p w:rsidR="003D2170" w:rsidRPr="00F5458D" w:rsidRDefault="003D2170" w:rsidP="003D2170">
            <w:pPr>
              <w:ind w:right="-270"/>
            </w:pPr>
          </w:p>
          <w:p w:rsidR="003D2170" w:rsidRPr="00F5458D" w:rsidRDefault="003D2170" w:rsidP="003D2170">
            <w:pPr>
              <w:ind w:right="-270"/>
            </w:pPr>
            <w:r w:rsidRPr="00F5458D">
              <w:t>)</w:t>
            </w:r>
          </w:p>
          <w:p w:rsidR="009C1B5C" w:rsidRPr="00F5458D" w:rsidRDefault="003D2170" w:rsidP="00C85D02">
            <w:pPr>
              <w:ind w:right="-270"/>
            </w:pPr>
            <w:r w:rsidRPr="00F5458D">
              <w:t>)</w:t>
            </w:r>
            <w:r w:rsidRPr="00F5458D">
              <w:br/>
              <w:t>)</w:t>
            </w:r>
            <w:r w:rsidRPr="00F5458D">
              <w:br/>
              <w:t>)</w:t>
            </w:r>
            <w:r w:rsidRPr="00F5458D">
              <w:br/>
              <w:t>)</w:t>
            </w:r>
            <w:r w:rsidRPr="00F5458D">
              <w:br/>
              <w:t>)</w:t>
            </w:r>
            <w:r w:rsidRPr="00F5458D">
              <w:br/>
              <w:t>)</w:t>
            </w:r>
          </w:p>
        </w:tc>
        <w:tc>
          <w:tcPr>
            <w:tcW w:w="4320" w:type="dxa"/>
          </w:tcPr>
          <w:p w:rsidR="003D2170" w:rsidRPr="00F5458D" w:rsidRDefault="003D2170" w:rsidP="003D2170">
            <w:pPr>
              <w:ind w:right="-270"/>
            </w:pPr>
          </w:p>
          <w:p w:rsidR="003D2170" w:rsidRPr="00F5458D" w:rsidRDefault="003D2170" w:rsidP="003D2170">
            <w:pPr>
              <w:ind w:right="-270"/>
            </w:pPr>
          </w:p>
          <w:p w:rsidR="003D2170" w:rsidRPr="00F5458D" w:rsidRDefault="003D2170" w:rsidP="003D2170">
            <w:pPr>
              <w:ind w:right="-270"/>
            </w:pPr>
          </w:p>
          <w:p w:rsidR="003D2170" w:rsidRPr="00F5458D" w:rsidRDefault="003D2170" w:rsidP="003D2170">
            <w:pPr>
              <w:ind w:right="-270"/>
            </w:pPr>
            <w:r>
              <w:t>D</w:t>
            </w:r>
            <w:r w:rsidR="00D31533">
              <w:t>ocket No</w:t>
            </w:r>
            <w:r>
              <w:t>. U</w:t>
            </w:r>
            <w:r w:rsidR="003D003E">
              <w:t>E</w:t>
            </w:r>
            <w:r>
              <w:t>-1</w:t>
            </w:r>
            <w:r w:rsidR="00D64EA0">
              <w:t>5</w:t>
            </w:r>
            <w:r>
              <w:t>______</w:t>
            </w:r>
          </w:p>
          <w:p w:rsidR="003D2170" w:rsidRDefault="003E09B6" w:rsidP="003D2170">
            <w:pPr>
              <w:ind w:right="-270"/>
            </w:pPr>
            <w:r>
              <w:t>Docket No. UG-15-_____</w:t>
            </w:r>
          </w:p>
          <w:p w:rsidR="003E09B6" w:rsidRDefault="003E09B6" w:rsidP="003D2170">
            <w:pPr>
              <w:ind w:right="-270"/>
            </w:pPr>
          </w:p>
          <w:p w:rsidR="00C461E0" w:rsidRDefault="003D2170" w:rsidP="003D2170">
            <w:pPr>
              <w:ind w:right="-270"/>
            </w:pPr>
            <w:r>
              <w:t xml:space="preserve">PETITION OF AVISTA </w:t>
            </w:r>
          </w:p>
          <w:p w:rsidR="003D2170" w:rsidRDefault="003D2170" w:rsidP="003D2170">
            <w:pPr>
              <w:ind w:right="-270"/>
            </w:pPr>
            <w:r>
              <w:t>CORPORATION</w:t>
            </w:r>
          </w:p>
          <w:p w:rsidR="00C461E0" w:rsidRPr="00F5458D" w:rsidRDefault="00C461E0" w:rsidP="003D2170">
            <w:pPr>
              <w:ind w:right="-270"/>
            </w:pPr>
          </w:p>
        </w:tc>
      </w:tr>
    </w:tbl>
    <w:p w:rsidR="003D2170" w:rsidRDefault="003D21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31533" w:rsidRDefault="00D31533">
      <w:pPr>
        <w:pStyle w:val="Heading1"/>
        <w:spacing w:line="360" w:lineRule="auto"/>
        <w:jc w:val="center"/>
      </w:pPr>
    </w:p>
    <w:p w:rsidR="00FA2F78" w:rsidRPr="00FA2F78" w:rsidRDefault="00FA2F78" w:rsidP="00FA2F78"/>
    <w:p w:rsidR="003D2170" w:rsidRPr="000204B9" w:rsidRDefault="003D2170" w:rsidP="00FF7C4F">
      <w:pPr>
        <w:pStyle w:val="Heading1"/>
        <w:spacing w:line="480" w:lineRule="auto"/>
        <w:jc w:val="center"/>
        <w:rPr>
          <w:u w:val="none"/>
        </w:rPr>
      </w:pPr>
      <w:r w:rsidRPr="000204B9">
        <w:rPr>
          <w:u w:val="none"/>
        </w:rPr>
        <w:t xml:space="preserve">I.  </w:t>
      </w:r>
      <w:r w:rsidR="00D31533" w:rsidRPr="000204B9">
        <w:rPr>
          <w:u w:val="none"/>
        </w:rPr>
        <w:t>INTRODUCTION</w:t>
      </w:r>
    </w:p>
    <w:p w:rsidR="000204B9" w:rsidRPr="00D64EA0" w:rsidRDefault="005A3125" w:rsidP="003C17C1">
      <w:pPr>
        <w:pStyle w:val="Header"/>
        <w:numPr>
          <w:ilvl w:val="0"/>
          <w:numId w:val="13"/>
        </w:numPr>
        <w:tabs>
          <w:tab w:val="clear" w:pos="240"/>
          <w:tab w:val="left" w:pos="720"/>
        </w:tabs>
        <w:autoSpaceDE w:val="0"/>
        <w:autoSpaceDN w:val="0"/>
        <w:adjustRightInd w:val="0"/>
        <w:spacing w:line="480" w:lineRule="auto"/>
        <w:jc w:val="both"/>
        <w:rPr>
          <w:bCs/>
        </w:rPr>
      </w:pPr>
      <w:r>
        <w:t xml:space="preserve">    </w:t>
      </w:r>
      <w:r w:rsidR="006B69F1">
        <w:t xml:space="preserve"> </w:t>
      </w:r>
      <w:r w:rsidR="00FF7C4F">
        <w:t xml:space="preserve">  </w:t>
      </w:r>
      <w:r w:rsidR="00D31533">
        <w:t>In accordance with WAC 480-</w:t>
      </w:r>
      <w:r w:rsidR="009D4E33">
        <w:t>100</w:t>
      </w:r>
      <w:r w:rsidR="00D31533">
        <w:t>-</w:t>
      </w:r>
      <w:r w:rsidR="009D4E33">
        <w:t>20</w:t>
      </w:r>
      <w:r w:rsidR="00D31533">
        <w:t>3(</w:t>
      </w:r>
      <w:r w:rsidR="009D4E33">
        <w:t>3</w:t>
      </w:r>
      <w:r w:rsidR="00D31533">
        <w:t xml:space="preserve">), </w:t>
      </w:r>
      <w:r w:rsidR="00D31533" w:rsidRPr="00D64EA0">
        <w:rPr>
          <w:bCs/>
        </w:rPr>
        <w:t>Avista Corporation, doing business as Avista Utilities (</w:t>
      </w:r>
      <w:r w:rsidR="00C461E0" w:rsidRPr="00D64EA0">
        <w:rPr>
          <w:bCs/>
        </w:rPr>
        <w:t>"</w:t>
      </w:r>
      <w:r w:rsidR="00D31533" w:rsidRPr="00D64EA0">
        <w:rPr>
          <w:bCs/>
        </w:rPr>
        <w:t>Avista</w:t>
      </w:r>
      <w:r w:rsidR="00C461E0" w:rsidRPr="00D64EA0">
        <w:rPr>
          <w:bCs/>
        </w:rPr>
        <w:t>"</w:t>
      </w:r>
      <w:r w:rsidR="00D31533" w:rsidRPr="00D64EA0">
        <w:rPr>
          <w:bCs/>
        </w:rPr>
        <w:t xml:space="preserve"> or </w:t>
      </w:r>
      <w:r w:rsidR="00C461E0" w:rsidRPr="00D64EA0">
        <w:rPr>
          <w:bCs/>
        </w:rPr>
        <w:t>"</w:t>
      </w:r>
      <w:r w:rsidR="00D31533" w:rsidRPr="00D64EA0">
        <w:rPr>
          <w:bCs/>
        </w:rPr>
        <w:t>Company</w:t>
      </w:r>
      <w:r w:rsidR="00C461E0" w:rsidRPr="00D64EA0">
        <w:rPr>
          <w:bCs/>
        </w:rPr>
        <w:t>"</w:t>
      </w:r>
      <w:r w:rsidR="00D31533" w:rsidRPr="00D64EA0">
        <w:rPr>
          <w:bCs/>
        </w:rPr>
        <w:t xml:space="preserve">), at 1411 East Mission Avenue, Spokane, Washington, hereby petitions the Commission for an </w:t>
      </w:r>
      <w:r w:rsidR="00455552">
        <w:rPr>
          <w:bCs/>
        </w:rPr>
        <w:t>O</w:t>
      </w:r>
      <w:r w:rsidR="00D31533" w:rsidRPr="00D64EA0">
        <w:rPr>
          <w:bCs/>
        </w:rPr>
        <w:t>rder authoriz</w:t>
      </w:r>
      <w:r w:rsidR="00374836" w:rsidRPr="00D64EA0">
        <w:rPr>
          <w:bCs/>
        </w:rPr>
        <w:t>ing</w:t>
      </w:r>
      <w:r w:rsidR="00D31533" w:rsidRPr="00D64EA0">
        <w:rPr>
          <w:bCs/>
        </w:rPr>
        <w:t xml:space="preserve"> the accounting</w:t>
      </w:r>
      <w:r w:rsidR="007317EA">
        <w:rPr>
          <w:bCs/>
        </w:rPr>
        <w:t xml:space="preserve"> and ratemaking</w:t>
      </w:r>
      <w:r w:rsidR="000204B9" w:rsidRPr="00D64EA0">
        <w:rPr>
          <w:bCs/>
        </w:rPr>
        <w:t xml:space="preserve"> </w:t>
      </w:r>
      <w:r w:rsidR="00D31533" w:rsidRPr="00D64EA0">
        <w:rPr>
          <w:bCs/>
        </w:rPr>
        <w:t>treatment</w:t>
      </w:r>
      <w:r w:rsidR="000204B9">
        <w:t xml:space="preserve"> </w:t>
      </w:r>
      <w:r w:rsidR="000204B9" w:rsidRPr="00D64EA0">
        <w:rPr>
          <w:bCs/>
        </w:rPr>
        <w:t xml:space="preserve">detailed in this Petition related </w:t>
      </w:r>
      <w:r w:rsidR="00FB72FF">
        <w:t xml:space="preserve">to costs the Company </w:t>
      </w:r>
      <w:r w:rsidR="00D64EA0">
        <w:t>will incur</w:t>
      </w:r>
      <w:r w:rsidR="00FB72FF">
        <w:t xml:space="preserve"> </w:t>
      </w:r>
      <w:r w:rsidR="00821551">
        <w:t xml:space="preserve">by </w:t>
      </w:r>
      <w:r w:rsidR="00D64EA0">
        <w:t>offer</w:t>
      </w:r>
      <w:r w:rsidR="00821551">
        <w:t>ing</w:t>
      </w:r>
      <w:r w:rsidR="00D64EA0">
        <w:t xml:space="preserve"> a fee</w:t>
      </w:r>
      <w:r w:rsidR="005B2E00">
        <w:t>-</w:t>
      </w:r>
      <w:r w:rsidR="00D64EA0">
        <w:t>free payment program for its residential customers</w:t>
      </w:r>
      <w:r w:rsidR="007317EA">
        <w:t xml:space="preserve"> to pay by any method</w:t>
      </w:r>
      <w:r w:rsidR="00E151B1">
        <w:t>,</w:t>
      </w:r>
      <w:r w:rsidR="007317EA">
        <w:t xml:space="preserve"> including credit and debit cards</w:t>
      </w:r>
      <w:r w:rsidR="00D64EA0">
        <w:t>.</w:t>
      </w:r>
    </w:p>
    <w:p w:rsidR="006B69F1" w:rsidRDefault="006B69F1" w:rsidP="003C17C1">
      <w:pPr>
        <w:pStyle w:val="Header"/>
        <w:numPr>
          <w:ilvl w:val="0"/>
          <w:numId w:val="13"/>
        </w:numPr>
        <w:tabs>
          <w:tab w:val="clear" w:pos="240"/>
          <w:tab w:val="left" w:pos="720"/>
        </w:tabs>
        <w:autoSpaceDE w:val="0"/>
        <w:autoSpaceDN w:val="0"/>
        <w:adjustRightInd w:val="0"/>
        <w:spacing w:line="480" w:lineRule="auto"/>
        <w:jc w:val="both"/>
      </w:pPr>
      <w:r w:rsidRPr="00D64EA0">
        <w:rPr>
          <w:bCs/>
        </w:rPr>
        <w:t xml:space="preserve">     </w:t>
      </w:r>
      <w:r w:rsidR="00FF7C4F" w:rsidRPr="00D64EA0">
        <w:rPr>
          <w:bCs/>
        </w:rPr>
        <w:t xml:space="preserve">  </w:t>
      </w:r>
      <w:r w:rsidR="000204B9" w:rsidRPr="00D64EA0">
        <w:rPr>
          <w:bCs/>
        </w:rPr>
        <w:t>Avista is a utility that provides service to approximately 3</w:t>
      </w:r>
      <w:r w:rsidR="001F5646">
        <w:rPr>
          <w:bCs/>
        </w:rPr>
        <w:t>70</w:t>
      </w:r>
      <w:r w:rsidR="000204B9" w:rsidRPr="00D64EA0">
        <w:rPr>
          <w:bCs/>
        </w:rPr>
        <w:t>,000 electric</w:t>
      </w:r>
      <w:r w:rsidRPr="00D64EA0">
        <w:rPr>
          <w:bCs/>
        </w:rPr>
        <w:t xml:space="preserve"> </w:t>
      </w:r>
      <w:r w:rsidR="000204B9" w:rsidRPr="00D64EA0">
        <w:rPr>
          <w:bCs/>
        </w:rPr>
        <w:t xml:space="preserve">customers and </w:t>
      </w:r>
      <w:r w:rsidR="003E09B6">
        <w:rPr>
          <w:bCs/>
        </w:rPr>
        <w:t>232</w:t>
      </w:r>
      <w:r w:rsidR="000204B9" w:rsidRPr="00D64EA0">
        <w:rPr>
          <w:bCs/>
        </w:rPr>
        <w:t>,000 natural gas customers in a 26,000</w:t>
      </w:r>
      <w:r w:rsidR="00ED7340" w:rsidRPr="00D64EA0">
        <w:rPr>
          <w:bCs/>
        </w:rPr>
        <w:t xml:space="preserve"> </w:t>
      </w:r>
      <w:r w:rsidR="000204B9" w:rsidRPr="00D64EA0">
        <w:rPr>
          <w:bCs/>
        </w:rPr>
        <w:t>square-mile area in eastern</w:t>
      </w:r>
      <w:r w:rsidRPr="00D64EA0">
        <w:rPr>
          <w:bCs/>
        </w:rPr>
        <w:t xml:space="preserve"> </w:t>
      </w:r>
      <w:r w:rsidR="000204B9" w:rsidRPr="00D64EA0">
        <w:rPr>
          <w:bCs/>
        </w:rPr>
        <w:t xml:space="preserve">Washington and northern Idaho. </w:t>
      </w:r>
      <w:r w:rsidRPr="00D64EA0">
        <w:rPr>
          <w:bCs/>
        </w:rPr>
        <w:t xml:space="preserve"> </w:t>
      </w:r>
      <w:r w:rsidR="000204B9" w:rsidRPr="00D64EA0">
        <w:rPr>
          <w:bCs/>
        </w:rPr>
        <w:t xml:space="preserve">Avista Utilities also serves approximately </w:t>
      </w:r>
      <w:r w:rsidR="003E09B6" w:rsidRPr="00D64EA0">
        <w:rPr>
          <w:bCs/>
        </w:rPr>
        <w:t>9</w:t>
      </w:r>
      <w:r w:rsidR="003E09B6">
        <w:rPr>
          <w:bCs/>
        </w:rPr>
        <w:t>8</w:t>
      </w:r>
      <w:r w:rsidR="000204B9" w:rsidRPr="00D64EA0">
        <w:rPr>
          <w:bCs/>
        </w:rPr>
        <w:t>,000</w:t>
      </w:r>
      <w:r w:rsidRPr="00D64EA0">
        <w:rPr>
          <w:bCs/>
        </w:rPr>
        <w:t xml:space="preserve"> </w:t>
      </w:r>
      <w:r w:rsidR="000204B9" w:rsidRPr="00D64EA0">
        <w:rPr>
          <w:bCs/>
        </w:rPr>
        <w:t xml:space="preserve">natural gas customers in Oregon. </w:t>
      </w:r>
      <w:r w:rsidR="000E33A5" w:rsidRPr="00D64EA0">
        <w:rPr>
          <w:bCs/>
        </w:rPr>
        <w:t xml:space="preserve"> </w:t>
      </w:r>
      <w:r w:rsidR="000204B9" w:rsidRPr="00D64EA0">
        <w:rPr>
          <w:bCs/>
        </w:rPr>
        <w:t>The largest communit</w:t>
      </w:r>
      <w:r w:rsidRPr="00D64EA0">
        <w:rPr>
          <w:bCs/>
        </w:rPr>
        <w:t xml:space="preserve">y served </w:t>
      </w:r>
      <w:r w:rsidR="00C461E0" w:rsidRPr="00D64EA0">
        <w:rPr>
          <w:bCs/>
        </w:rPr>
        <w:t>by Avista</w:t>
      </w:r>
      <w:r w:rsidRPr="00D64EA0">
        <w:rPr>
          <w:bCs/>
        </w:rPr>
        <w:t xml:space="preserve"> is Spokane, Washington, which is the location of its </w:t>
      </w:r>
      <w:r w:rsidR="007317EA">
        <w:rPr>
          <w:bCs/>
        </w:rPr>
        <w:t>main office</w:t>
      </w:r>
      <w:r>
        <w:rPr>
          <w:bCs/>
        </w:rPr>
        <w:t>.</w:t>
      </w:r>
      <w:r w:rsidR="000204B9">
        <w:t xml:space="preserve">  </w:t>
      </w:r>
    </w:p>
    <w:p w:rsidR="00FA2F78" w:rsidRDefault="005057FB" w:rsidP="003D622B">
      <w:pPr>
        <w:spacing w:after="200" w:line="276" w:lineRule="auto"/>
      </w:pPr>
      <w:r>
        <w:tab/>
      </w:r>
    </w:p>
    <w:p w:rsidR="00077C34" w:rsidRDefault="00077C34" w:rsidP="003D622B">
      <w:pPr>
        <w:spacing w:after="200" w:line="276" w:lineRule="auto"/>
      </w:pPr>
    </w:p>
    <w:p w:rsidR="00077C34" w:rsidRDefault="00077C34" w:rsidP="003D622B">
      <w:pPr>
        <w:spacing w:after="200" w:line="276" w:lineRule="auto"/>
      </w:pPr>
    </w:p>
    <w:p w:rsidR="00077C34" w:rsidRDefault="00077C34" w:rsidP="003D622B">
      <w:pPr>
        <w:spacing w:after="200" w:line="276" w:lineRule="auto"/>
      </w:pPr>
    </w:p>
    <w:p w:rsidR="006B69F1" w:rsidRDefault="003D2170" w:rsidP="003D622B">
      <w:pPr>
        <w:spacing w:after="200" w:line="276" w:lineRule="auto"/>
      </w:pPr>
      <w:r>
        <w:t>Please direct all correspondence related to this Petition as follows:</w:t>
      </w:r>
    </w:p>
    <w:p w:rsidR="003D2170" w:rsidRDefault="0008287F">
      <w:pPr>
        <w:tabs>
          <w:tab w:val="left" w:pos="5400"/>
        </w:tabs>
        <w:ind w:left="720" w:hanging="720"/>
        <w:jc w:val="both"/>
      </w:pPr>
      <w:r>
        <w:tab/>
        <w:t>David J. Meyer, Esq.</w:t>
      </w:r>
      <w:r>
        <w:tab/>
        <w:t>Shawn Bonfield</w:t>
      </w:r>
    </w:p>
    <w:p w:rsidR="003D2170" w:rsidRDefault="003D2170">
      <w:pPr>
        <w:tabs>
          <w:tab w:val="left" w:pos="720"/>
          <w:tab w:val="left" w:pos="5400"/>
        </w:tabs>
        <w:ind w:left="720" w:hanging="720"/>
        <w:jc w:val="both"/>
      </w:pPr>
      <w:r>
        <w:tab/>
        <w:t>Vice President and Chief Counsel</w:t>
      </w:r>
      <w:r w:rsidR="009E1C05">
        <w:t xml:space="preserve"> for</w:t>
      </w:r>
      <w:r>
        <w:tab/>
      </w:r>
      <w:r w:rsidR="0008287F">
        <w:t>Sr. Regulatory Policy Analyst</w:t>
      </w:r>
    </w:p>
    <w:p w:rsidR="003D2170" w:rsidRDefault="003D2170">
      <w:pPr>
        <w:tabs>
          <w:tab w:val="left" w:pos="720"/>
          <w:tab w:val="left" w:pos="5400"/>
        </w:tabs>
        <w:ind w:left="720" w:hanging="720"/>
        <w:jc w:val="both"/>
      </w:pPr>
      <w:r>
        <w:tab/>
        <w:t>Regulatory &amp; Governmental Affairs</w:t>
      </w:r>
      <w:r>
        <w:tab/>
        <w:t>State and Federal Regulation</w:t>
      </w:r>
    </w:p>
    <w:p w:rsidR="003D2170" w:rsidRPr="00821551" w:rsidRDefault="003D2170">
      <w:pPr>
        <w:tabs>
          <w:tab w:val="left" w:pos="720"/>
          <w:tab w:val="left" w:pos="5400"/>
        </w:tabs>
        <w:ind w:left="720" w:hanging="720"/>
        <w:jc w:val="both"/>
        <w:rPr>
          <w:lang w:val="fr-FR"/>
        </w:rPr>
      </w:pPr>
      <w:r>
        <w:tab/>
      </w:r>
      <w:r w:rsidR="00051163" w:rsidRPr="00051163">
        <w:rPr>
          <w:lang w:val="fr-FR"/>
        </w:rPr>
        <w:t>Avista Corp.</w:t>
      </w:r>
      <w:r w:rsidR="00051163" w:rsidRPr="00051163">
        <w:rPr>
          <w:lang w:val="fr-FR"/>
        </w:rPr>
        <w:tab/>
        <w:t>Avista Corp.</w:t>
      </w:r>
    </w:p>
    <w:p w:rsidR="003D2170" w:rsidRPr="00821551" w:rsidRDefault="00051163">
      <w:pPr>
        <w:tabs>
          <w:tab w:val="left" w:pos="720"/>
          <w:tab w:val="left" w:pos="5400"/>
        </w:tabs>
        <w:ind w:left="720" w:hanging="720"/>
        <w:jc w:val="both"/>
        <w:rPr>
          <w:lang w:val="fr-FR"/>
        </w:rPr>
      </w:pPr>
      <w:r w:rsidRPr="00051163">
        <w:rPr>
          <w:lang w:val="fr-FR"/>
        </w:rPr>
        <w:tab/>
        <w:t>P. O. Box 3727</w:t>
      </w:r>
      <w:r w:rsidRPr="00051163">
        <w:rPr>
          <w:lang w:val="fr-FR"/>
        </w:rPr>
        <w:tab/>
        <w:t>P. O. Box 3727</w:t>
      </w:r>
    </w:p>
    <w:p w:rsidR="003D2170" w:rsidRPr="00821551" w:rsidRDefault="00051163">
      <w:pPr>
        <w:tabs>
          <w:tab w:val="left" w:pos="720"/>
          <w:tab w:val="left" w:pos="5400"/>
        </w:tabs>
        <w:ind w:left="720" w:hanging="720"/>
        <w:jc w:val="both"/>
        <w:rPr>
          <w:lang w:val="fr-FR"/>
        </w:rPr>
      </w:pPr>
      <w:r w:rsidRPr="00051163">
        <w:rPr>
          <w:lang w:val="fr-FR"/>
        </w:rPr>
        <w:tab/>
        <w:t>1411 E. Mission Avenue, MSC 13</w:t>
      </w:r>
      <w:r w:rsidRPr="00051163">
        <w:rPr>
          <w:lang w:val="fr-FR"/>
        </w:rPr>
        <w:tab/>
        <w:t xml:space="preserve">1411 E. Mission Avenue, MSC </w:t>
      </w:r>
      <w:r w:rsidR="0008287F">
        <w:rPr>
          <w:lang w:val="fr-FR"/>
        </w:rPr>
        <w:t>27</w:t>
      </w:r>
    </w:p>
    <w:p w:rsidR="003D2170" w:rsidRDefault="00051163">
      <w:pPr>
        <w:tabs>
          <w:tab w:val="left" w:pos="720"/>
          <w:tab w:val="left" w:pos="5400"/>
        </w:tabs>
        <w:ind w:left="720" w:hanging="720"/>
        <w:jc w:val="both"/>
      </w:pPr>
      <w:r w:rsidRPr="00051163">
        <w:rPr>
          <w:lang w:val="fr-FR"/>
        </w:rPr>
        <w:tab/>
      </w:r>
      <w:r w:rsidR="003D2170">
        <w:t>Spokane, Washington 99220-3727</w:t>
      </w:r>
      <w:r w:rsidR="003D2170">
        <w:tab/>
        <w:t>Spokane, Washington 99220-3727</w:t>
      </w:r>
    </w:p>
    <w:p w:rsidR="003D2170" w:rsidRDefault="003D2170">
      <w:pPr>
        <w:tabs>
          <w:tab w:val="left" w:pos="-1440"/>
          <w:tab w:val="left" w:pos="720"/>
          <w:tab w:val="left" w:pos="5400"/>
        </w:tabs>
        <w:ind w:left="720" w:hanging="720"/>
      </w:pPr>
      <w:r>
        <w:tab/>
        <w:t>Telephone:  (509) 495</w:t>
      </w:r>
      <w:r w:rsidR="0008287F">
        <w:t>-4316</w:t>
      </w:r>
      <w:r w:rsidR="0008287F">
        <w:tab/>
        <w:t>Telephone:  (509) 495-2782</w:t>
      </w:r>
    </w:p>
    <w:p w:rsidR="003D2170" w:rsidRDefault="003D2170">
      <w:pPr>
        <w:tabs>
          <w:tab w:val="left" w:pos="720"/>
          <w:tab w:val="left" w:pos="5400"/>
        </w:tabs>
        <w:ind w:left="720" w:hanging="720"/>
      </w:pPr>
      <w:r>
        <w:tab/>
        <w:t>Facsimile:    (509) 495-8851</w:t>
      </w:r>
      <w:r>
        <w:tab/>
        <w:t>Facsimile:    (509) 495-8851</w:t>
      </w:r>
    </w:p>
    <w:p w:rsidR="003D2170" w:rsidRDefault="003D2170">
      <w:pPr>
        <w:tabs>
          <w:tab w:val="left" w:pos="720"/>
          <w:tab w:val="left" w:pos="5400"/>
        </w:tabs>
        <w:ind w:left="720" w:hanging="720"/>
      </w:pPr>
      <w:r>
        <w:tab/>
        <w:t xml:space="preserve">E-mail: </w:t>
      </w:r>
      <w:hyperlink r:id="rId10" w:history="1">
        <w:r w:rsidRPr="00F129D6">
          <w:rPr>
            <w:rStyle w:val="Hyperlink"/>
            <w:color w:val="auto"/>
          </w:rPr>
          <w:t>david.meyer@avistacorp.com</w:t>
        </w:r>
      </w:hyperlink>
      <w:r w:rsidRPr="00F129D6">
        <w:tab/>
        <w:t xml:space="preserve">E-mail: </w:t>
      </w:r>
      <w:hyperlink r:id="rId11" w:history="1">
        <w:r w:rsidR="005B280B" w:rsidRPr="00897AA3">
          <w:rPr>
            <w:rStyle w:val="Hyperlink"/>
          </w:rPr>
          <w:t>shawn.bonfield@avistacorp.com</w:t>
        </w:r>
      </w:hyperlink>
      <w:r>
        <w:t xml:space="preserve"> </w:t>
      </w:r>
    </w:p>
    <w:p w:rsidR="003D2170" w:rsidRDefault="003D2170">
      <w:pPr>
        <w:pStyle w:val="Header"/>
        <w:tabs>
          <w:tab w:val="clear" w:pos="4320"/>
          <w:tab w:val="clear" w:pos="8640"/>
        </w:tabs>
      </w:pPr>
    </w:p>
    <w:p w:rsidR="00FF7C4F" w:rsidRDefault="006B69F1" w:rsidP="00FF7C4F">
      <w:pPr>
        <w:pStyle w:val="Header"/>
        <w:numPr>
          <w:ilvl w:val="0"/>
          <w:numId w:val="13"/>
        </w:numPr>
        <w:tabs>
          <w:tab w:val="clear" w:pos="240"/>
          <w:tab w:val="left" w:pos="720"/>
        </w:tabs>
        <w:spacing w:line="480" w:lineRule="auto"/>
        <w:jc w:val="both"/>
      </w:pPr>
      <w:r>
        <w:t xml:space="preserve">   </w:t>
      </w:r>
      <w:r w:rsidR="00FF7C4F">
        <w:t xml:space="preserve">  </w:t>
      </w:r>
      <w:r>
        <w:t xml:space="preserve">  Rules and statutes that may be brought at issue in this Petition include RCW 80.01.040, RCW 80.28.020, and WAC 480-07-370(1</w:t>
      </w:r>
      <w:proofErr w:type="gramStart"/>
      <w:r>
        <w:t>)(</w:t>
      </w:r>
      <w:proofErr w:type="gramEnd"/>
      <w:r>
        <w:t>b).</w:t>
      </w:r>
    </w:p>
    <w:p w:rsidR="000F7A62" w:rsidRDefault="000F7A62" w:rsidP="00FF7C4F">
      <w:pPr>
        <w:pStyle w:val="Heading1"/>
        <w:spacing w:line="480" w:lineRule="auto"/>
        <w:jc w:val="center"/>
        <w:rPr>
          <w:u w:val="none"/>
        </w:rPr>
      </w:pPr>
    </w:p>
    <w:p w:rsidR="00FF7C4F" w:rsidRPr="00FB72FF" w:rsidRDefault="00FF7C4F" w:rsidP="00FF7C4F">
      <w:pPr>
        <w:pStyle w:val="Heading1"/>
        <w:spacing w:line="480" w:lineRule="auto"/>
        <w:jc w:val="center"/>
        <w:rPr>
          <w:u w:val="none"/>
        </w:rPr>
      </w:pPr>
      <w:r w:rsidRPr="00FB72FF">
        <w:rPr>
          <w:u w:val="none"/>
        </w:rPr>
        <w:t>I</w:t>
      </w:r>
      <w:r w:rsidR="00574CBC">
        <w:rPr>
          <w:u w:val="none"/>
        </w:rPr>
        <w:t>I</w:t>
      </w:r>
      <w:proofErr w:type="gramStart"/>
      <w:r w:rsidRPr="00FB72FF">
        <w:rPr>
          <w:u w:val="none"/>
        </w:rPr>
        <w:t xml:space="preserve">.  </w:t>
      </w:r>
      <w:r w:rsidR="000F7A62">
        <w:rPr>
          <w:u w:val="none"/>
        </w:rPr>
        <w:t>SUMMARY</w:t>
      </w:r>
      <w:proofErr w:type="gramEnd"/>
      <w:r w:rsidR="000F7A62">
        <w:rPr>
          <w:u w:val="none"/>
        </w:rPr>
        <w:t xml:space="preserve"> OF PETITION</w:t>
      </w:r>
    </w:p>
    <w:p w:rsidR="00146BE0" w:rsidRDefault="00FF7C4F" w:rsidP="000F7A62">
      <w:pPr>
        <w:pStyle w:val="Header"/>
        <w:numPr>
          <w:ilvl w:val="0"/>
          <w:numId w:val="13"/>
        </w:numPr>
        <w:tabs>
          <w:tab w:val="clear" w:pos="240"/>
          <w:tab w:val="left" w:pos="720"/>
        </w:tabs>
        <w:spacing w:line="480" w:lineRule="auto"/>
        <w:ind w:left="245" w:hanging="821"/>
        <w:jc w:val="both"/>
      </w:pPr>
      <w:r>
        <w:t xml:space="preserve">       </w:t>
      </w:r>
      <w:r w:rsidR="000F7A62" w:rsidRPr="007D0AC7">
        <w:t xml:space="preserve">Avista </w:t>
      </w:r>
      <w:r w:rsidR="000F7A62">
        <w:t>requests Commission approval</w:t>
      </w:r>
      <w:r w:rsidR="000F7A62" w:rsidRPr="007D0AC7">
        <w:t xml:space="preserve"> to defer</w:t>
      </w:r>
      <w:r w:rsidR="00E151B1">
        <w:t>,</w:t>
      </w:r>
      <w:r w:rsidR="000F7A62">
        <w:t xml:space="preserve"> for later recovery in rates</w:t>
      </w:r>
      <w:r w:rsidR="00E151B1">
        <w:t>,</w:t>
      </w:r>
      <w:r w:rsidR="000F7A62" w:rsidRPr="007D0AC7">
        <w:t xml:space="preserve"> </w:t>
      </w:r>
      <w:r w:rsidR="00CE1CE2">
        <w:t xml:space="preserve">the </w:t>
      </w:r>
      <w:r w:rsidR="000F7A62" w:rsidRPr="007D0AC7">
        <w:t xml:space="preserve">costs incurred </w:t>
      </w:r>
      <w:r w:rsidR="00CE1CE2">
        <w:t>to offer a fee</w:t>
      </w:r>
      <w:r w:rsidR="005B2E00">
        <w:t>-</w:t>
      </w:r>
      <w:r w:rsidR="00CE1CE2">
        <w:t>free payment program for its residential customers</w:t>
      </w:r>
      <w:r w:rsidR="00BF0A30">
        <w:t>.</w:t>
      </w:r>
      <w:r w:rsidR="00DD5757">
        <w:t xml:space="preserve"> </w:t>
      </w:r>
      <w:r w:rsidR="00BF0A30">
        <w:t xml:space="preserve"> The Company proposes to recover the costs associated with this program from all customers</w:t>
      </w:r>
      <w:r w:rsidR="000F7A62" w:rsidRPr="007D0AC7">
        <w:t>.</w:t>
      </w:r>
      <w:r w:rsidR="00C85AFA">
        <w:t xml:space="preserve">  Currently</w:t>
      </w:r>
      <w:r w:rsidR="003E1FBA">
        <w:t>,</w:t>
      </w:r>
      <w:r w:rsidR="00C85AFA">
        <w:t xml:space="preserve"> Avista customers are </w:t>
      </w:r>
      <w:r w:rsidR="00146BE0">
        <w:t>subject to a $3.50 convenience fee</w:t>
      </w:r>
      <w:r w:rsidR="00C85AFA">
        <w:t xml:space="preserve"> when making a credit or debit card payment</w:t>
      </w:r>
      <w:r w:rsidR="00207E31">
        <w:t xml:space="preserve"> through any payment channel or </w:t>
      </w:r>
      <w:r w:rsidR="002B1B97">
        <w:t xml:space="preserve">a one-time </w:t>
      </w:r>
      <w:r w:rsidR="00981388">
        <w:t>A</w:t>
      </w:r>
      <w:r w:rsidR="003E1FBA">
        <w:t xml:space="preserve">utomated </w:t>
      </w:r>
      <w:r w:rsidR="00981388">
        <w:t>C</w:t>
      </w:r>
      <w:r w:rsidR="003E1FBA">
        <w:t xml:space="preserve">learing </w:t>
      </w:r>
      <w:r w:rsidR="00981388">
        <w:t>H</w:t>
      </w:r>
      <w:r w:rsidR="003E1FBA">
        <w:t>ouse (</w:t>
      </w:r>
      <w:r w:rsidR="002B1B97">
        <w:t>ACH</w:t>
      </w:r>
      <w:r w:rsidR="003E1FBA">
        <w:t>)</w:t>
      </w:r>
      <w:r w:rsidR="002B1B97">
        <w:t xml:space="preserve"> payment </w:t>
      </w:r>
      <w:r w:rsidR="00207E31">
        <w:t xml:space="preserve">via phone (both through the Company’s IVR system or with a Customer Service Representative) and on the Company’s website without </w:t>
      </w:r>
      <w:r w:rsidR="002B1B97">
        <w:t>an “Avista My Account</w:t>
      </w:r>
      <w:r w:rsidR="00207E31">
        <w:t>.</w:t>
      </w:r>
      <w:r w:rsidR="00C83225">
        <w:t>”</w:t>
      </w:r>
      <w:r w:rsidR="00207E31">
        <w:t xml:space="preserve">  </w:t>
      </w:r>
      <w:r w:rsidR="00146BE0" w:rsidRPr="001D6056">
        <w:t>The $3.50 convenience</w:t>
      </w:r>
      <w:r w:rsidR="00146BE0">
        <w:t xml:space="preserve"> fee</w:t>
      </w:r>
      <w:r w:rsidR="00146BE0" w:rsidRPr="001D6056">
        <w:t xml:space="preserve"> is collected by a third-party vendor.  Avista receives no portion of this fee.  The transaction limit for credit/debit card payments (including convenience charges) is $3,000 per 26-day period</w:t>
      </w:r>
      <w:r w:rsidR="00146BE0">
        <w:t xml:space="preserve"> per customer</w:t>
      </w:r>
      <w:r w:rsidR="00146BE0" w:rsidRPr="001D6056">
        <w:t>.</w:t>
      </w:r>
    </w:p>
    <w:p w:rsidR="004A1C3A" w:rsidRDefault="00146BE0" w:rsidP="000F7A62">
      <w:pPr>
        <w:pStyle w:val="Header"/>
        <w:numPr>
          <w:ilvl w:val="0"/>
          <w:numId w:val="13"/>
        </w:numPr>
        <w:tabs>
          <w:tab w:val="clear" w:pos="240"/>
          <w:tab w:val="left" w:pos="720"/>
        </w:tabs>
        <w:spacing w:line="480" w:lineRule="auto"/>
        <w:ind w:left="245" w:hanging="821"/>
        <w:jc w:val="both"/>
      </w:pPr>
      <w:r>
        <w:t xml:space="preserve">       </w:t>
      </w:r>
      <w:r w:rsidR="00C83225">
        <w:t xml:space="preserve">Payments made by check, cash, pay station, and ACH </w:t>
      </w:r>
      <w:r w:rsidR="00480006">
        <w:t>on</w:t>
      </w:r>
      <w:r w:rsidR="00C83225">
        <w:t xml:space="preserve"> the Company’s website through an “Avista My Account” are free of charge.</w:t>
      </w:r>
      <w:r w:rsidR="00771DFD">
        <w:t xml:space="preserve">  The costs associated for the Company to offer </w:t>
      </w:r>
      <w:r w:rsidR="00771DFD">
        <w:lastRenderedPageBreak/>
        <w:t>these methods are paid for by all customers and not recovered exclusively by those specific customers that use that method of payment.</w:t>
      </w:r>
      <w:r w:rsidR="00C85AFA">
        <w:t xml:space="preserve">  As customer expectations change and more payments are done electronically, utility companies are beginning to offer fee</w:t>
      </w:r>
      <w:r w:rsidR="005B2E00">
        <w:t>-</w:t>
      </w:r>
      <w:r w:rsidR="00C85AFA">
        <w:t>free payment programs for their residential customers</w:t>
      </w:r>
      <w:r w:rsidR="00AB0554">
        <w:t xml:space="preserve"> for all methods of payment</w:t>
      </w:r>
      <w:r w:rsidR="00C85AFA">
        <w:t xml:space="preserve">.  </w:t>
      </w:r>
      <w:r w:rsidR="001D6056">
        <w:t>As supported by the National Association of State Utility Consumer Advocates (NASUCA) in Resolution 2012-07, “</w:t>
      </w:r>
      <w:r w:rsidR="001D6056">
        <w:rPr>
          <w:rFonts w:eastAsia="Calibri"/>
        </w:rPr>
        <w:t>Urging Utilitie</w:t>
      </w:r>
      <w:r w:rsidR="00E151B1">
        <w:rPr>
          <w:rFonts w:eastAsia="Calibri"/>
        </w:rPr>
        <w:t xml:space="preserve">s to Eliminate </w:t>
      </w:r>
      <w:r w:rsidR="005B2E00">
        <w:rPr>
          <w:rFonts w:eastAsia="Calibri"/>
        </w:rPr>
        <w:t>‘</w:t>
      </w:r>
      <w:r w:rsidR="001D6056">
        <w:rPr>
          <w:rFonts w:eastAsia="Calibri"/>
        </w:rPr>
        <w:t>Convenience Fees</w:t>
      </w:r>
      <w:r w:rsidR="005B2E00">
        <w:rPr>
          <w:rFonts w:eastAsia="Calibri"/>
        </w:rPr>
        <w:t>’</w:t>
      </w:r>
      <w:r w:rsidR="001D6056">
        <w:rPr>
          <w:rFonts w:eastAsia="Calibri"/>
        </w:rPr>
        <w:t xml:space="preserve"> for Paying Utility Bills with Debit and Credit Cards and Urging Appropriate State Regulatory Oversight”</w:t>
      </w:r>
      <w:r w:rsidR="00363784" w:rsidRPr="00363784">
        <w:rPr>
          <w:rStyle w:val="FootnoteReference"/>
          <w:rFonts w:eastAsia="Calibri"/>
        </w:rPr>
        <w:t xml:space="preserve"> </w:t>
      </w:r>
      <w:r w:rsidR="00363784">
        <w:rPr>
          <w:rStyle w:val="FootnoteReference"/>
          <w:rFonts w:eastAsia="Calibri"/>
        </w:rPr>
        <w:footnoteReference w:id="2"/>
      </w:r>
      <w:r w:rsidR="001D6056">
        <w:rPr>
          <w:rFonts w:eastAsia="Calibri"/>
        </w:rPr>
        <w:t xml:space="preserve">, </w:t>
      </w:r>
      <w:r w:rsidR="00A64731">
        <w:rPr>
          <w:rFonts w:eastAsia="Calibri"/>
        </w:rPr>
        <w:t xml:space="preserve">and as further explained </w:t>
      </w:r>
      <w:r w:rsidR="00431A26">
        <w:rPr>
          <w:rFonts w:eastAsia="Calibri"/>
        </w:rPr>
        <w:t>in</w:t>
      </w:r>
      <w:r w:rsidR="00A64731">
        <w:rPr>
          <w:rFonts w:eastAsia="Calibri"/>
        </w:rPr>
        <w:t xml:space="preserve"> this Petition, </w:t>
      </w:r>
      <w:r w:rsidR="001D6056">
        <w:rPr>
          <w:rFonts w:eastAsia="Calibri"/>
        </w:rPr>
        <w:t>Avista believes it is reasonable to offer a fee</w:t>
      </w:r>
      <w:r w:rsidR="005B2E00">
        <w:rPr>
          <w:rFonts w:eastAsia="Calibri"/>
        </w:rPr>
        <w:t>-</w:t>
      </w:r>
      <w:r w:rsidR="001D6056">
        <w:rPr>
          <w:rFonts w:eastAsia="Calibri"/>
        </w:rPr>
        <w:t xml:space="preserve">free payment program </w:t>
      </w:r>
      <w:r w:rsidR="00DF74C1">
        <w:rPr>
          <w:rFonts w:eastAsia="Calibri"/>
        </w:rPr>
        <w:t xml:space="preserve">for all payment methods </w:t>
      </w:r>
      <w:r w:rsidR="001D6056">
        <w:rPr>
          <w:rFonts w:eastAsia="Calibri"/>
        </w:rPr>
        <w:t>to its residential customers</w:t>
      </w:r>
      <w:r w:rsidR="003823C2">
        <w:rPr>
          <w:rFonts w:eastAsia="Calibri"/>
        </w:rPr>
        <w:t>,</w:t>
      </w:r>
      <w:r w:rsidR="007F0605">
        <w:rPr>
          <w:rFonts w:eastAsia="Calibri"/>
        </w:rPr>
        <w:t xml:space="preserve"> and recover the costs associated with such a program from all customers through rates</w:t>
      </w:r>
      <w:r w:rsidR="001D6056">
        <w:rPr>
          <w:rFonts w:eastAsia="Calibri"/>
        </w:rPr>
        <w:t xml:space="preserve">. </w:t>
      </w:r>
      <w:r w:rsidR="00C85AFA">
        <w:t xml:space="preserve"> </w:t>
      </w:r>
      <w:r w:rsidR="000F7A62" w:rsidRPr="007D0AC7">
        <w:t xml:space="preserve">  </w:t>
      </w:r>
    </w:p>
    <w:p w:rsidR="00DF74C1" w:rsidRDefault="003F579E" w:rsidP="0042479C">
      <w:pPr>
        <w:pStyle w:val="Header"/>
        <w:numPr>
          <w:ilvl w:val="0"/>
          <w:numId w:val="13"/>
        </w:numPr>
        <w:tabs>
          <w:tab w:val="clear" w:pos="240"/>
          <w:tab w:val="num" w:pos="720"/>
        </w:tabs>
        <w:spacing w:line="480" w:lineRule="auto"/>
        <w:jc w:val="both"/>
      </w:pPr>
      <w:r>
        <w:t xml:space="preserve">       In 2014</w:t>
      </w:r>
      <w:r w:rsidR="003E1FBA">
        <w:t>,</w:t>
      </w:r>
      <w:r>
        <w:t xml:space="preserve"> Avista </w:t>
      </w:r>
      <w:r w:rsidR="00366A71">
        <w:t xml:space="preserve">residential </w:t>
      </w:r>
      <w:r>
        <w:t>customers made a total of 249,</w:t>
      </w:r>
      <w:r w:rsidR="004558AA">
        <w:t>852</w:t>
      </w:r>
      <w:r>
        <w:t xml:space="preserve"> payments by credit or debit card</w:t>
      </w:r>
      <w:r w:rsidR="004511D2">
        <w:t xml:space="preserve"> and 21,</w:t>
      </w:r>
      <w:r w:rsidR="004558AA">
        <w:t>335</w:t>
      </w:r>
      <w:r w:rsidR="004511D2">
        <w:t xml:space="preserve"> one-time payments without a “My Avista Account”</w:t>
      </w:r>
      <w:r w:rsidR="00783AC0">
        <w:t xml:space="preserve"> (also known as unauthenticated payments)</w:t>
      </w:r>
      <w:r w:rsidR="004511D2">
        <w:t xml:space="preserve"> that were subject to a convenience </w:t>
      </w:r>
      <w:r w:rsidR="003E09B6">
        <w:t>fee</w:t>
      </w:r>
      <w:r>
        <w:t xml:space="preserve">.  For illustrative purposes, if all of these payments were below the $3,000 cap and subject to the $3.50 convenience </w:t>
      </w:r>
      <w:r w:rsidR="003E09B6">
        <w:t>fee</w:t>
      </w:r>
      <w:r>
        <w:t>, customers would have paid a total $</w:t>
      </w:r>
      <w:r w:rsidR="004511D2">
        <w:t>9</w:t>
      </w:r>
      <w:r w:rsidR="00366A71">
        <w:t>49,154</w:t>
      </w:r>
      <w:r>
        <w:t xml:space="preserve"> in convenience</w:t>
      </w:r>
      <w:r w:rsidR="00480006">
        <w:t xml:space="preserve"> </w:t>
      </w:r>
      <w:r w:rsidR="007E7FA9">
        <w:t>fees</w:t>
      </w:r>
      <w:r w:rsidR="00480006">
        <w:t xml:space="preserve"> </w:t>
      </w:r>
      <w:r w:rsidR="00FF1AF4">
        <w:t>to Avista’s third-party payment processing vendor</w:t>
      </w:r>
      <w:r>
        <w:t xml:space="preserve">.  If Avista were </w:t>
      </w:r>
      <w:r w:rsidR="00456484">
        <w:t xml:space="preserve">to </w:t>
      </w:r>
      <w:r w:rsidR="00A64731">
        <w:t>pay</w:t>
      </w:r>
      <w:r>
        <w:t xml:space="preserve"> the costs of card</w:t>
      </w:r>
      <w:r w:rsidR="00783AC0">
        <w:t xml:space="preserve"> and unauthenticated</w:t>
      </w:r>
      <w:r>
        <w:t xml:space="preserve"> payments on behalf of its residential customers, the cost per transaction would be at a much lower rate as the major card networks (i.e., Visa and MasterCard) offer a Utility </w:t>
      </w:r>
      <w:r w:rsidR="000B53B7">
        <w:t>Pay</w:t>
      </w:r>
      <w:r>
        <w:t xml:space="preserve"> Program where processing costs are much lower.  With this model</w:t>
      </w:r>
      <w:r w:rsidR="000149D1">
        <w:t>,</w:t>
      </w:r>
      <w:r>
        <w:t xml:space="preserve"> Avista anticipates the cost to be approximately $1.50</w:t>
      </w:r>
      <w:r w:rsidR="003E09B6">
        <w:t xml:space="preserve"> per transaction</w:t>
      </w:r>
      <w:r>
        <w:t xml:space="preserve">.  </w:t>
      </w:r>
      <w:r w:rsidR="00DF74C1">
        <w:t xml:space="preserve">From discussions with </w:t>
      </w:r>
      <w:r w:rsidR="00574569">
        <w:t>other utilities</w:t>
      </w:r>
      <w:r w:rsidR="00DF74C1">
        <w:t xml:space="preserve"> and payment processing vendors</w:t>
      </w:r>
      <w:r w:rsidR="000348E2">
        <w:t>,</w:t>
      </w:r>
      <w:r w:rsidR="00480006">
        <w:t xml:space="preserve"> Avista has learned that </w:t>
      </w:r>
      <w:r w:rsidR="00DF74C1">
        <w:t>it is typical for a company that offers a fee</w:t>
      </w:r>
      <w:r w:rsidR="005B2E00">
        <w:t>-</w:t>
      </w:r>
      <w:r w:rsidR="00DF74C1">
        <w:t>free</w:t>
      </w:r>
      <w:r w:rsidR="00A108D9">
        <w:t xml:space="preserve"> payment program, </w:t>
      </w:r>
      <w:r w:rsidR="0006676D">
        <w:t>which</w:t>
      </w:r>
      <w:r w:rsidR="00DF74C1">
        <w:t xml:space="preserve"> </w:t>
      </w:r>
      <w:r w:rsidR="00A50FE7">
        <w:t xml:space="preserve">includes </w:t>
      </w:r>
      <w:r w:rsidR="000B53B7">
        <w:t xml:space="preserve">debit and credit card </w:t>
      </w:r>
      <w:r w:rsidR="00DF74C1">
        <w:t>paymen</w:t>
      </w:r>
      <w:r w:rsidR="00574569">
        <w:t>ts</w:t>
      </w:r>
      <w:r w:rsidR="00A108D9">
        <w:t>,</w:t>
      </w:r>
      <w:r w:rsidR="00DF74C1">
        <w:t xml:space="preserve"> to see </w:t>
      </w:r>
      <w:r w:rsidR="0006676D">
        <w:t xml:space="preserve">a range of adoptions </w:t>
      </w:r>
      <w:r w:rsidR="0006676D">
        <w:lastRenderedPageBreak/>
        <w:t>levels for</w:t>
      </w:r>
      <w:r w:rsidR="00DF74C1">
        <w:t xml:space="preserve"> payments </w:t>
      </w:r>
      <w:r w:rsidR="005B2E00">
        <w:t>through the program</w:t>
      </w:r>
      <w:r w:rsidR="00DF74C1">
        <w:t>.  Based on this information</w:t>
      </w:r>
      <w:r w:rsidR="000348E2">
        <w:t>,</w:t>
      </w:r>
      <w:r w:rsidR="00DF74C1">
        <w:t xml:space="preserve"> the following </w:t>
      </w:r>
      <w:r w:rsidR="000348E2">
        <w:t xml:space="preserve">table illustrates the </w:t>
      </w:r>
      <w:r w:rsidR="00DF74C1">
        <w:t>ranges of costs Avista would expect to incur on an annual basis for the program.</w:t>
      </w:r>
    </w:p>
    <w:p w:rsidR="000348E2" w:rsidRDefault="000348E2" w:rsidP="0042479C">
      <w:pPr>
        <w:pStyle w:val="Header"/>
        <w:numPr>
          <w:ilvl w:val="0"/>
          <w:numId w:val="13"/>
        </w:numPr>
        <w:tabs>
          <w:tab w:val="clear" w:pos="240"/>
          <w:tab w:val="num" w:pos="720"/>
        </w:tabs>
        <w:spacing w:line="480" w:lineRule="auto"/>
        <w:jc w:val="both"/>
      </w:pPr>
      <w:r>
        <w:t>Table No. 1</w:t>
      </w:r>
    </w:p>
    <w:tbl>
      <w:tblPr>
        <w:tblW w:w="9645" w:type="dxa"/>
        <w:tblInd w:w="93" w:type="dxa"/>
        <w:tblLook w:val="04A0"/>
      </w:tblPr>
      <w:tblGrid>
        <w:gridCol w:w="4515"/>
        <w:gridCol w:w="1784"/>
        <w:gridCol w:w="1984"/>
        <w:gridCol w:w="1362"/>
      </w:tblGrid>
      <w:tr w:rsidR="00B857FE" w:rsidRPr="00B857FE" w:rsidTr="0005157E">
        <w:trPr>
          <w:trHeight w:val="300"/>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57FE" w:rsidRPr="00B857FE" w:rsidRDefault="003F579E" w:rsidP="00B857FE">
            <w:pPr>
              <w:rPr>
                <w:rFonts w:ascii="Calibri" w:eastAsia="Times New Roman" w:hAnsi="Calibri"/>
                <w:b/>
                <w:bCs/>
                <w:color w:val="000000"/>
                <w:sz w:val="20"/>
              </w:rPr>
            </w:pPr>
            <w:r>
              <w:t xml:space="preserve">  </w:t>
            </w:r>
            <w:r w:rsidR="0042479C">
              <w:t xml:space="preserve">       </w:t>
            </w:r>
            <w:r w:rsidR="00B857FE" w:rsidRPr="00B857FE">
              <w:rPr>
                <w:rFonts w:ascii="Calibri" w:eastAsia="Times New Roman" w:hAnsi="Calibri"/>
                <w:b/>
                <w:bCs/>
                <w:color w:val="000000"/>
                <w:sz w:val="20"/>
                <w:szCs w:val="22"/>
              </w:rPr>
              <w:t>Payment Scenarios for Fee Free Program</w:t>
            </w:r>
          </w:p>
        </w:tc>
        <w:tc>
          <w:tcPr>
            <w:tcW w:w="1784" w:type="dxa"/>
            <w:tcBorders>
              <w:top w:val="single" w:sz="4" w:space="0" w:color="auto"/>
              <w:left w:val="nil"/>
              <w:bottom w:val="single" w:sz="4" w:space="0" w:color="auto"/>
              <w:right w:val="single" w:sz="4" w:space="0" w:color="auto"/>
            </w:tcBorders>
            <w:shd w:val="clear" w:color="auto" w:fill="auto"/>
            <w:noWrap/>
            <w:vAlign w:val="bottom"/>
            <w:hideMark/>
          </w:tcPr>
          <w:p w:rsidR="00B857FE" w:rsidRPr="00B857FE" w:rsidRDefault="00B857FE" w:rsidP="00B857FE">
            <w:pPr>
              <w:jc w:val="center"/>
              <w:rPr>
                <w:rFonts w:ascii="Calibri" w:eastAsia="Times New Roman" w:hAnsi="Calibri"/>
                <w:b/>
                <w:bCs/>
                <w:color w:val="000000"/>
                <w:sz w:val="20"/>
              </w:rPr>
            </w:pPr>
            <w:r w:rsidRPr="00B857FE">
              <w:rPr>
                <w:rFonts w:ascii="Calibri" w:eastAsia="Times New Roman" w:hAnsi="Calibri"/>
                <w:b/>
                <w:bCs/>
                <w:color w:val="000000"/>
                <w:sz w:val="20"/>
                <w:szCs w:val="22"/>
              </w:rPr>
              <w:t>Transaction Count</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857FE" w:rsidRPr="00B857FE" w:rsidRDefault="00B857FE" w:rsidP="00B857FE">
            <w:pPr>
              <w:jc w:val="center"/>
              <w:rPr>
                <w:rFonts w:ascii="Calibri" w:eastAsia="Times New Roman" w:hAnsi="Calibri"/>
                <w:b/>
                <w:bCs/>
                <w:color w:val="000000"/>
                <w:sz w:val="20"/>
              </w:rPr>
            </w:pPr>
            <w:r w:rsidRPr="00B857FE">
              <w:rPr>
                <w:rFonts w:ascii="Calibri" w:eastAsia="Times New Roman" w:hAnsi="Calibri"/>
                <w:b/>
                <w:bCs/>
                <w:color w:val="000000"/>
                <w:sz w:val="20"/>
                <w:szCs w:val="22"/>
              </w:rPr>
              <w:t>Charge/Transaction</w:t>
            </w:r>
          </w:p>
        </w:tc>
        <w:tc>
          <w:tcPr>
            <w:tcW w:w="1362" w:type="dxa"/>
            <w:tcBorders>
              <w:top w:val="single" w:sz="4" w:space="0" w:color="auto"/>
              <w:left w:val="nil"/>
              <w:bottom w:val="single" w:sz="4" w:space="0" w:color="auto"/>
              <w:right w:val="single" w:sz="4" w:space="0" w:color="auto"/>
            </w:tcBorders>
            <w:shd w:val="clear" w:color="auto" w:fill="auto"/>
            <w:noWrap/>
            <w:vAlign w:val="bottom"/>
            <w:hideMark/>
          </w:tcPr>
          <w:p w:rsidR="00B857FE" w:rsidRPr="00B857FE" w:rsidRDefault="00B857FE" w:rsidP="00B857FE">
            <w:pPr>
              <w:jc w:val="center"/>
              <w:rPr>
                <w:rFonts w:ascii="Calibri" w:eastAsia="Times New Roman" w:hAnsi="Calibri"/>
                <w:b/>
                <w:bCs/>
                <w:color w:val="000000"/>
                <w:sz w:val="20"/>
              </w:rPr>
            </w:pPr>
            <w:r w:rsidRPr="00B857FE">
              <w:rPr>
                <w:rFonts w:ascii="Calibri" w:eastAsia="Times New Roman" w:hAnsi="Calibri"/>
                <w:b/>
                <w:bCs/>
                <w:color w:val="000000"/>
                <w:sz w:val="20"/>
                <w:szCs w:val="22"/>
              </w:rPr>
              <w:t>Total Cost</w:t>
            </w:r>
          </w:p>
        </w:tc>
      </w:tr>
      <w:tr w:rsidR="00B857FE" w:rsidRPr="00B857FE" w:rsidTr="0005157E">
        <w:trPr>
          <w:trHeight w:val="300"/>
        </w:trPr>
        <w:tc>
          <w:tcPr>
            <w:tcW w:w="4515" w:type="dxa"/>
            <w:tcBorders>
              <w:top w:val="nil"/>
              <w:left w:val="single" w:sz="4" w:space="0" w:color="auto"/>
              <w:bottom w:val="single" w:sz="4" w:space="0" w:color="auto"/>
              <w:right w:val="single" w:sz="4" w:space="0" w:color="auto"/>
            </w:tcBorders>
            <w:shd w:val="clear" w:color="auto" w:fill="auto"/>
            <w:noWrap/>
            <w:vAlign w:val="bottom"/>
            <w:hideMark/>
          </w:tcPr>
          <w:p w:rsidR="00B857FE" w:rsidRPr="00B857FE" w:rsidRDefault="00B857FE" w:rsidP="00B857FE">
            <w:pPr>
              <w:rPr>
                <w:rFonts w:ascii="Calibri" w:eastAsia="Times New Roman" w:hAnsi="Calibri"/>
                <w:color w:val="000000"/>
                <w:sz w:val="20"/>
              </w:rPr>
            </w:pPr>
            <w:r w:rsidRPr="00B857FE">
              <w:rPr>
                <w:rFonts w:ascii="Calibri" w:eastAsia="Times New Roman" w:hAnsi="Calibri"/>
                <w:color w:val="000000"/>
                <w:sz w:val="20"/>
                <w:szCs w:val="22"/>
              </w:rPr>
              <w:t>2014 Payments Subject to Convenience Charge</w:t>
            </w:r>
          </w:p>
        </w:tc>
        <w:tc>
          <w:tcPr>
            <w:tcW w:w="1784" w:type="dxa"/>
            <w:tcBorders>
              <w:top w:val="nil"/>
              <w:left w:val="nil"/>
              <w:bottom w:val="single" w:sz="4" w:space="0" w:color="auto"/>
              <w:right w:val="single" w:sz="4" w:space="0" w:color="auto"/>
            </w:tcBorders>
            <w:shd w:val="clear" w:color="auto" w:fill="auto"/>
            <w:noWrap/>
            <w:vAlign w:val="bottom"/>
            <w:hideMark/>
          </w:tcPr>
          <w:p w:rsidR="00B857FE" w:rsidRPr="00B857FE" w:rsidRDefault="00B857FE" w:rsidP="00943F15">
            <w:pPr>
              <w:jc w:val="center"/>
              <w:rPr>
                <w:rFonts w:ascii="Calibri" w:eastAsia="Times New Roman" w:hAnsi="Calibri"/>
                <w:color w:val="000000"/>
                <w:sz w:val="20"/>
              </w:rPr>
            </w:pPr>
            <w:r w:rsidRPr="00B857FE">
              <w:rPr>
                <w:rFonts w:ascii="Calibri" w:eastAsia="Times New Roman" w:hAnsi="Calibri"/>
                <w:color w:val="000000"/>
                <w:sz w:val="20"/>
                <w:szCs w:val="22"/>
              </w:rPr>
              <w:t>271,</w:t>
            </w:r>
            <w:r w:rsidR="00943F15">
              <w:rPr>
                <w:rFonts w:ascii="Calibri" w:eastAsia="Times New Roman" w:hAnsi="Calibri"/>
                <w:color w:val="000000"/>
                <w:sz w:val="20"/>
                <w:szCs w:val="22"/>
              </w:rPr>
              <w:t>187</w:t>
            </w:r>
          </w:p>
        </w:tc>
        <w:tc>
          <w:tcPr>
            <w:tcW w:w="1984" w:type="dxa"/>
            <w:tcBorders>
              <w:top w:val="nil"/>
              <w:left w:val="nil"/>
              <w:bottom w:val="single" w:sz="4" w:space="0" w:color="auto"/>
              <w:right w:val="single" w:sz="4" w:space="0" w:color="auto"/>
            </w:tcBorders>
            <w:shd w:val="clear" w:color="auto" w:fill="auto"/>
            <w:noWrap/>
            <w:vAlign w:val="bottom"/>
            <w:hideMark/>
          </w:tcPr>
          <w:p w:rsidR="00B857FE" w:rsidRPr="00B857FE" w:rsidRDefault="00B857FE" w:rsidP="00B857FE">
            <w:pPr>
              <w:jc w:val="center"/>
              <w:rPr>
                <w:rFonts w:ascii="Calibri" w:eastAsia="Times New Roman" w:hAnsi="Calibri"/>
                <w:color w:val="000000"/>
                <w:sz w:val="20"/>
              </w:rPr>
            </w:pPr>
            <w:r w:rsidRPr="00B857FE">
              <w:rPr>
                <w:rFonts w:ascii="Calibri" w:eastAsia="Times New Roman" w:hAnsi="Calibri"/>
                <w:color w:val="000000"/>
                <w:sz w:val="20"/>
                <w:szCs w:val="22"/>
              </w:rPr>
              <w:t>$1.50</w:t>
            </w:r>
          </w:p>
        </w:tc>
        <w:tc>
          <w:tcPr>
            <w:tcW w:w="1362" w:type="dxa"/>
            <w:tcBorders>
              <w:top w:val="nil"/>
              <w:left w:val="nil"/>
              <w:bottom w:val="single" w:sz="4" w:space="0" w:color="auto"/>
              <w:right w:val="single" w:sz="4" w:space="0" w:color="auto"/>
            </w:tcBorders>
            <w:shd w:val="clear" w:color="auto" w:fill="auto"/>
            <w:noWrap/>
            <w:vAlign w:val="bottom"/>
            <w:hideMark/>
          </w:tcPr>
          <w:p w:rsidR="00B857FE" w:rsidRPr="00B857FE" w:rsidRDefault="00B857FE" w:rsidP="004558AA">
            <w:pPr>
              <w:jc w:val="center"/>
              <w:rPr>
                <w:rFonts w:ascii="Calibri" w:eastAsia="Times New Roman" w:hAnsi="Calibri"/>
                <w:color w:val="000000"/>
                <w:sz w:val="20"/>
              </w:rPr>
            </w:pPr>
            <w:r w:rsidRPr="00B857FE">
              <w:rPr>
                <w:rFonts w:ascii="Calibri" w:eastAsia="Times New Roman" w:hAnsi="Calibri"/>
                <w:color w:val="000000"/>
                <w:sz w:val="20"/>
                <w:szCs w:val="22"/>
              </w:rPr>
              <w:t>$40</w:t>
            </w:r>
            <w:r w:rsidR="004558AA">
              <w:rPr>
                <w:rFonts w:ascii="Calibri" w:eastAsia="Times New Roman" w:hAnsi="Calibri"/>
                <w:color w:val="000000"/>
                <w:sz w:val="20"/>
                <w:szCs w:val="22"/>
              </w:rPr>
              <w:t>6,780</w:t>
            </w:r>
          </w:p>
        </w:tc>
      </w:tr>
      <w:tr w:rsidR="00B857FE" w:rsidRPr="00B857FE" w:rsidTr="0005157E">
        <w:trPr>
          <w:trHeight w:val="300"/>
        </w:trPr>
        <w:tc>
          <w:tcPr>
            <w:tcW w:w="4515" w:type="dxa"/>
            <w:tcBorders>
              <w:top w:val="nil"/>
              <w:left w:val="single" w:sz="4" w:space="0" w:color="auto"/>
              <w:bottom w:val="single" w:sz="4" w:space="0" w:color="auto"/>
              <w:right w:val="single" w:sz="4" w:space="0" w:color="auto"/>
            </w:tcBorders>
            <w:shd w:val="clear" w:color="auto" w:fill="auto"/>
            <w:noWrap/>
            <w:vAlign w:val="bottom"/>
            <w:hideMark/>
          </w:tcPr>
          <w:p w:rsidR="00B857FE" w:rsidRPr="00B857FE" w:rsidRDefault="00B857FE" w:rsidP="004A4C6B">
            <w:pPr>
              <w:rPr>
                <w:rFonts w:ascii="Calibri" w:eastAsia="Times New Roman" w:hAnsi="Calibri"/>
                <w:color w:val="000000"/>
                <w:sz w:val="20"/>
              </w:rPr>
            </w:pPr>
            <w:r w:rsidRPr="00B857FE">
              <w:rPr>
                <w:rFonts w:ascii="Calibri" w:eastAsia="Times New Roman" w:hAnsi="Calibri"/>
                <w:color w:val="000000"/>
                <w:sz w:val="20"/>
                <w:szCs w:val="22"/>
              </w:rPr>
              <w:t xml:space="preserve">10% of </w:t>
            </w:r>
            <w:r w:rsidR="004A4C6B">
              <w:rPr>
                <w:rFonts w:ascii="Calibri" w:eastAsia="Times New Roman" w:hAnsi="Calibri"/>
                <w:color w:val="000000"/>
                <w:sz w:val="20"/>
                <w:szCs w:val="22"/>
              </w:rPr>
              <w:t>residential</w:t>
            </w:r>
            <w:r w:rsidRPr="00B857FE">
              <w:rPr>
                <w:rFonts w:ascii="Calibri" w:eastAsia="Times New Roman" w:hAnsi="Calibri"/>
                <w:color w:val="000000"/>
                <w:sz w:val="20"/>
                <w:szCs w:val="22"/>
              </w:rPr>
              <w:t xml:space="preserve"> payments made in 2014*</w:t>
            </w:r>
          </w:p>
        </w:tc>
        <w:tc>
          <w:tcPr>
            <w:tcW w:w="1784" w:type="dxa"/>
            <w:tcBorders>
              <w:top w:val="nil"/>
              <w:left w:val="nil"/>
              <w:bottom w:val="single" w:sz="4" w:space="0" w:color="auto"/>
              <w:right w:val="single" w:sz="4" w:space="0" w:color="auto"/>
            </w:tcBorders>
            <w:shd w:val="clear" w:color="auto" w:fill="auto"/>
            <w:noWrap/>
            <w:vAlign w:val="bottom"/>
            <w:hideMark/>
          </w:tcPr>
          <w:p w:rsidR="00B857FE" w:rsidRPr="00B857FE" w:rsidRDefault="00E92270" w:rsidP="00B857FE">
            <w:pPr>
              <w:jc w:val="center"/>
              <w:rPr>
                <w:rFonts w:ascii="Calibri" w:eastAsia="Times New Roman" w:hAnsi="Calibri"/>
                <w:color w:val="000000"/>
                <w:sz w:val="20"/>
              </w:rPr>
            </w:pPr>
            <w:r>
              <w:rPr>
                <w:rFonts w:ascii="Calibri" w:eastAsia="Times New Roman" w:hAnsi="Calibri"/>
                <w:color w:val="000000"/>
                <w:sz w:val="20"/>
                <w:szCs w:val="22"/>
              </w:rPr>
              <w:t>475,984</w:t>
            </w:r>
          </w:p>
        </w:tc>
        <w:tc>
          <w:tcPr>
            <w:tcW w:w="1984" w:type="dxa"/>
            <w:tcBorders>
              <w:top w:val="nil"/>
              <w:left w:val="nil"/>
              <w:bottom w:val="single" w:sz="4" w:space="0" w:color="auto"/>
              <w:right w:val="single" w:sz="4" w:space="0" w:color="auto"/>
            </w:tcBorders>
            <w:shd w:val="clear" w:color="auto" w:fill="auto"/>
            <w:noWrap/>
            <w:vAlign w:val="bottom"/>
            <w:hideMark/>
          </w:tcPr>
          <w:p w:rsidR="00B857FE" w:rsidRPr="00B857FE" w:rsidRDefault="00B857FE" w:rsidP="00B857FE">
            <w:pPr>
              <w:jc w:val="center"/>
              <w:rPr>
                <w:rFonts w:ascii="Calibri" w:eastAsia="Times New Roman" w:hAnsi="Calibri"/>
                <w:color w:val="000000"/>
                <w:sz w:val="20"/>
              </w:rPr>
            </w:pPr>
            <w:r w:rsidRPr="00B857FE">
              <w:rPr>
                <w:rFonts w:ascii="Calibri" w:eastAsia="Times New Roman" w:hAnsi="Calibri"/>
                <w:color w:val="000000"/>
                <w:sz w:val="20"/>
                <w:szCs w:val="22"/>
              </w:rPr>
              <w:t>$1.50</w:t>
            </w:r>
          </w:p>
        </w:tc>
        <w:tc>
          <w:tcPr>
            <w:tcW w:w="1362" w:type="dxa"/>
            <w:tcBorders>
              <w:top w:val="nil"/>
              <w:left w:val="nil"/>
              <w:bottom w:val="single" w:sz="4" w:space="0" w:color="auto"/>
              <w:right w:val="single" w:sz="4" w:space="0" w:color="auto"/>
            </w:tcBorders>
            <w:shd w:val="clear" w:color="auto" w:fill="auto"/>
            <w:noWrap/>
            <w:vAlign w:val="bottom"/>
            <w:hideMark/>
          </w:tcPr>
          <w:p w:rsidR="00B857FE" w:rsidRPr="00B857FE" w:rsidRDefault="00B857FE" w:rsidP="00B857FE">
            <w:pPr>
              <w:jc w:val="center"/>
              <w:rPr>
                <w:rFonts w:ascii="Calibri" w:eastAsia="Times New Roman" w:hAnsi="Calibri"/>
                <w:color w:val="000000"/>
                <w:sz w:val="20"/>
              </w:rPr>
            </w:pPr>
            <w:r w:rsidRPr="00B857FE">
              <w:rPr>
                <w:rFonts w:ascii="Calibri" w:eastAsia="Times New Roman" w:hAnsi="Calibri"/>
                <w:color w:val="000000"/>
                <w:sz w:val="20"/>
                <w:szCs w:val="22"/>
              </w:rPr>
              <w:t>$7</w:t>
            </w:r>
            <w:r w:rsidR="00E92270">
              <w:rPr>
                <w:rFonts w:ascii="Calibri" w:eastAsia="Times New Roman" w:hAnsi="Calibri"/>
                <w:color w:val="000000"/>
                <w:sz w:val="20"/>
                <w:szCs w:val="22"/>
              </w:rPr>
              <w:t>13,976</w:t>
            </w:r>
          </w:p>
        </w:tc>
      </w:tr>
      <w:tr w:rsidR="00B857FE" w:rsidRPr="00B857FE" w:rsidTr="0005157E">
        <w:trPr>
          <w:trHeight w:val="300"/>
        </w:trPr>
        <w:tc>
          <w:tcPr>
            <w:tcW w:w="4515" w:type="dxa"/>
            <w:tcBorders>
              <w:top w:val="nil"/>
              <w:left w:val="single" w:sz="4" w:space="0" w:color="auto"/>
              <w:bottom w:val="single" w:sz="4" w:space="0" w:color="auto"/>
              <w:right w:val="single" w:sz="4" w:space="0" w:color="auto"/>
            </w:tcBorders>
            <w:shd w:val="clear" w:color="auto" w:fill="auto"/>
            <w:noWrap/>
            <w:vAlign w:val="bottom"/>
            <w:hideMark/>
          </w:tcPr>
          <w:p w:rsidR="00B857FE" w:rsidRPr="0006676D" w:rsidRDefault="00B857FE" w:rsidP="004A4C6B">
            <w:pPr>
              <w:rPr>
                <w:rFonts w:ascii="Calibri" w:eastAsia="Times New Roman" w:hAnsi="Calibri"/>
                <w:color w:val="000000"/>
                <w:sz w:val="20"/>
              </w:rPr>
            </w:pPr>
            <w:r w:rsidRPr="0006676D">
              <w:rPr>
                <w:rFonts w:ascii="Calibri" w:eastAsia="Times New Roman" w:hAnsi="Calibri"/>
                <w:color w:val="000000"/>
                <w:sz w:val="20"/>
                <w:szCs w:val="22"/>
              </w:rPr>
              <w:t xml:space="preserve">15% of </w:t>
            </w:r>
            <w:r w:rsidR="004A4C6B" w:rsidRPr="0006676D">
              <w:rPr>
                <w:rFonts w:ascii="Calibri" w:eastAsia="Times New Roman" w:hAnsi="Calibri"/>
                <w:color w:val="000000"/>
                <w:sz w:val="20"/>
                <w:szCs w:val="22"/>
              </w:rPr>
              <w:t>residential</w:t>
            </w:r>
            <w:r w:rsidRPr="0006676D">
              <w:rPr>
                <w:rFonts w:ascii="Calibri" w:eastAsia="Times New Roman" w:hAnsi="Calibri"/>
                <w:color w:val="000000"/>
                <w:sz w:val="20"/>
                <w:szCs w:val="22"/>
              </w:rPr>
              <w:t xml:space="preserve"> payments made in 2014*</w:t>
            </w:r>
          </w:p>
        </w:tc>
        <w:tc>
          <w:tcPr>
            <w:tcW w:w="1784" w:type="dxa"/>
            <w:tcBorders>
              <w:top w:val="nil"/>
              <w:left w:val="nil"/>
              <w:bottom w:val="single" w:sz="4" w:space="0" w:color="auto"/>
              <w:right w:val="single" w:sz="4" w:space="0" w:color="auto"/>
            </w:tcBorders>
            <w:shd w:val="clear" w:color="auto" w:fill="auto"/>
            <w:noWrap/>
            <w:vAlign w:val="bottom"/>
            <w:hideMark/>
          </w:tcPr>
          <w:p w:rsidR="00B857FE" w:rsidRPr="0006676D" w:rsidRDefault="00B857FE" w:rsidP="00B857FE">
            <w:pPr>
              <w:jc w:val="center"/>
              <w:rPr>
                <w:rFonts w:ascii="Calibri" w:eastAsia="Times New Roman" w:hAnsi="Calibri"/>
                <w:color w:val="000000"/>
                <w:sz w:val="20"/>
              </w:rPr>
            </w:pPr>
            <w:r w:rsidRPr="0006676D">
              <w:rPr>
                <w:rFonts w:ascii="Calibri" w:eastAsia="Times New Roman" w:hAnsi="Calibri"/>
                <w:color w:val="000000"/>
                <w:sz w:val="20"/>
                <w:szCs w:val="22"/>
              </w:rPr>
              <w:t>7</w:t>
            </w:r>
            <w:r w:rsidR="00E92270" w:rsidRPr="0006676D">
              <w:rPr>
                <w:rFonts w:ascii="Calibri" w:eastAsia="Times New Roman" w:hAnsi="Calibri"/>
                <w:color w:val="000000"/>
                <w:sz w:val="20"/>
                <w:szCs w:val="22"/>
              </w:rPr>
              <w:t>13,976</w:t>
            </w:r>
          </w:p>
        </w:tc>
        <w:tc>
          <w:tcPr>
            <w:tcW w:w="1984" w:type="dxa"/>
            <w:tcBorders>
              <w:top w:val="nil"/>
              <w:left w:val="nil"/>
              <w:bottom w:val="single" w:sz="4" w:space="0" w:color="auto"/>
              <w:right w:val="single" w:sz="4" w:space="0" w:color="auto"/>
            </w:tcBorders>
            <w:shd w:val="clear" w:color="auto" w:fill="auto"/>
            <w:noWrap/>
            <w:vAlign w:val="bottom"/>
            <w:hideMark/>
          </w:tcPr>
          <w:p w:rsidR="00B857FE" w:rsidRPr="0006676D" w:rsidRDefault="00B857FE" w:rsidP="00B857FE">
            <w:pPr>
              <w:jc w:val="center"/>
              <w:rPr>
                <w:rFonts w:ascii="Calibri" w:eastAsia="Times New Roman" w:hAnsi="Calibri"/>
                <w:color w:val="000000"/>
                <w:sz w:val="20"/>
              </w:rPr>
            </w:pPr>
            <w:r w:rsidRPr="0006676D">
              <w:rPr>
                <w:rFonts w:ascii="Calibri" w:eastAsia="Times New Roman" w:hAnsi="Calibri"/>
                <w:color w:val="000000"/>
                <w:sz w:val="20"/>
                <w:szCs w:val="22"/>
              </w:rPr>
              <w:t>$1.50</w:t>
            </w:r>
          </w:p>
        </w:tc>
        <w:tc>
          <w:tcPr>
            <w:tcW w:w="1362" w:type="dxa"/>
            <w:tcBorders>
              <w:top w:val="nil"/>
              <w:left w:val="nil"/>
              <w:bottom w:val="single" w:sz="4" w:space="0" w:color="auto"/>
              <w:right w:val="single" w:sz="4" w:space="0" w:color="auto"/>
            </w:tcBorders>
            <w:shd w:val="clear" w:color="auto" w:fill="auto"/>
            <w:noWrap/>
            <w:vAlign w:val="bottom"/>
            <w:hideMark/>
          </w:tcPr>
          <w:p w:rsidR="00B857FE" w:rsidRPr="0006676D" w:rsidRDefault="00B857FE" w:rsidP="00B857FE">
            <w:pPr>
              <w:jc w:val="center"/>
              <w:rPr>
                <w:rFonts w:ascii="Calibri" w:eastAsia="Times New Roman" w:hAnsi="Calibri"/>
                <w:color w:val="000000"/>
                <w:sz w:val="20"/>
              </w:rPr>
            </w:pPr>
            <w:r w:rsidRPr="0006676D">
              <w:rPr>
                <w:rFonts w:ascii="Calibri" w:eastAsia="Times New Roman" w:hAnsi="Calibri"/>
                <w:color w:val="000000"/>
                <w:sz w:val="20"/>
                <w:szCs w:val="22"/>
              </w:rPr>
              <w:t>$1,</w:t>
            </w:r>
            <w:r w:rsidR="00E92270" w:rsidRPr="0006676D">
              <w:rPr>
                <w:rFonts w:ascii="Calibri" w:eastAsia="Times New Roman" w:hAnsi="Calibri"/>
                <w:color w:val="000000"/>
                <w:sz w:val="20"/>
                <w:szCs w:val="22"/>
              </w:rPr>
              <w:t>070,964</w:t>
            </w:r>
          </w:p>
        </w:tc>
      </w:tr>
      <w:tr w:rsidR="00B857FE" w:rsidRPr="00B857FE" w:rsidTr="0005157E">
        <w:trPr>
          <w:trHeight w:val="300"/>
        </w:trPr>
        <w:tc>
          <w:tcPr>
            <w:tcW w:w="4515" w:type="dxa"/>
            <w:tcBorders>
              <w:top w:val="nil"/>
              <w:left w:val="single" w:sz="4" w:space="0" w:color="auto"/>
              <w:bottom w:val="single" w:sz="4" w:space="0" w:color="auto"/>
              <w:right w:val="single" w:sz="4" w:space="0" w:color="auto"/>
            </w:tcBorders>
            <w:shd w:val="clear" w:color="auto" w:fill="auto"/>
            <w:noWrap/>
            <w:vAlign w:val="bottom"/>
            <w:hideMark/>
          </w:tcPr>
          <w:p w:rsidR="00B857FE" w:rsidRPr="00B857FE" w:rsidRDefault="00B857FE" w:rsidP="004A4C6B">
            <w:pPr>
              <w:rPr>
                <w:rFonts w:ascii="Calibri" w:eastAsia="Times New Roman" w:hAnsi="Calibri"/>
                <w:color w:val="000000"/>
                <w:sz w:val="20"/>
              </w:rPr>
            </w:pPr>
            <w:r w:rsidRPr="00B857FE">
              <w:rPr>
                <w:rFonts w:ascii="Calibri" w:eastAsia="Times New Roman" w:hAnsi="Calibri"/>
                <w:color w:val="000000"/>
                <w:sz w:val="20"/>
                <w:szCs w:val="22"/>
              </w:rPr>
              <w:t xml:space="preserve">20% of </w:t>
            </w:r>
            <w:r w:rsidR="004A4C6B">
              <w:rPr>
                <w:rFonts w:ascii="Calibri" w:eastAsia="Times New Roman" w:hAnsi="Calibri"/>
                <w:color w:val="000000"/>
                <w:sz w:val="20"/>
                <w:szCs w:val="22"/>
              </w:rPr>
              <w:t>residential</w:t>
            </w:r>
            <w:r w:rsidRPr="00B857FE">
              <w:rPr>
                <w:rFonts w:ascii="Calibri" w:eastAsia="Times New Roman" w:hAnsi="Calibri"/>
                <w:color w:val="000000"/>
                <w:sz w:val="20"/>
                <w:szCs w:val="22"/>
              </w:rPr>
              <w:t xml:space="preserve"> payments made in 2014*</w:t>
            </w:r>
          </w:p>
        </w:tc>
        <w:tc>
          <w:tcPr>
            <w:tcW w:w="1784" w:type="dxa"/>
            <w:tcBorders>
              <w:top w:val="nil"/>
              <w:left w:val="nil"/>
              <w:bottom w:val="single" w:sz="4" w:space="0" w:color="auto"/>
              <w:right w:val="single" w:sz="4" w:space="0" w:color="auto"/>
            </w:tcBorders>
            <w:shd w:val="clear" w:color="auto" w:fill="auto"/>
            <w:noWrap/>
            <w:vAlign w:val="bottom"/>
            <w:hideMark/>
          </w:tcPr>
          <w:p w:rsidR="00B857FE" w:rsidRPr="00B857FE" w:rsidRDefault="00E92270" w:rsidP="00B857FE">
            <w:pPr>
              <w:jc w:val="center"/>
              <w:rPr>
                <w:rFonts w:ascii="Calibri" w:eastAsia="Times New Roman" w:hAnsi="Calibri"/>
                <w:color w:val="000000"/>
                <w:sz w:val="20"/>
              </w:rPr>
            </w:pPr>
            <w:r>
              <w:rPr>
                <w:rFonts w:ascii="Calibri" w:eastAsia="Times New Roman" w:hAnsi="Calibri"/>
                <w:color w:val="000000"/>
                <w:sz w:val="20"/>
                <w:szCs w:val="22"/>
              </w:rPr>
              <w:t>951,968</w:t>
            </w:r>
          </w:p>
        </w:tc>
        <w:tc>
          <w:tcPr>
            <w:tcW w:w="1984" w:type="dxa"/>
            <w:tcBorders>
              <w:top w:val="nil"/>
              <w:left w:val="nil"/>
              <w:bottom w:val="single" w:sz="4" w:space="0" w:color="auto"/>
              <w:right w:val="single" w:sz="4" w:space="0" w:color="auto"/>
            </w:tcBorders>
            <w:shd w:val="clear" w:color="auto" w:fill="auto"/>
            <w:noWrap/>
            <w:vAlign w:val="bottom"/>
            <w:hideMark/>
          </w:tcPr>
          <w:p w:rsidR="00B857FE" w:rsidRPr="00B857FE" w:rsidRDefault="00B857FE" w:rsidP="00B857FE">
            <w:pPr>
              <w:jc w:val="center"/>
              <w:rPr>
                <w:rFonts w:ascii="Calibri" w:eastAsia="Times New Roman" w:hAnsi="Calibri"/>
                <w:color w:val="000000"/>
                <w:sz w:val="20"/>
              </w:rPr>
            </w:pPr>
            <w:r w:rsidRPr="00B857FE">
              <w:rPr>
                <w:rFonts w:ascii="Calibri" w:eastAsia="Times New Roman" w:hAnsi="Calibri"/>
                <w:color w:val="000000"/>
                <w:sz w:val="20"/>
                <w:szCs w:val="22"/>
              </w:rPr>
              <w:t>$1.50</w:t>
            </w:r>
          </w:p>
        </w:tc>
        <w:tc>
          <w:tcPr>
            <w:tcW w:w="1362" w:type="dxa"/>
            <w:tcBorders>
              <w:top w:val="nil"/>
              <w:left w:val="nil"/>
              <w:bottom w:val="single" w:sz="4" w:space="0" w:color="auto"/>
              <w:right w:val="single" w:sz="4" w:space="0" w:color="auto"/>
            </w:tcBorders>
            <w:shd w:val="clear" w:color="auto" w:fill="auto"/>
            <w:noWrap/>
            <w:vAlign w:val="bottom"/>
            <w:hideMark/>
          </w:tcPr>
          <w:p w:rsidR="00B857FE" w:rsidRPr="00B857FE" w:rsidRDefault="00B857FE" w:rsidP="00B857FE">
            <w:pPr>
              <w:jc w:val="center"/>
              <w:rPr>
                <w:rFonts w:ascii="Calibri" w:eastAsia="Times New Roman" w:hAnsi="Calibri"/>
                <w:color w:val="000000"/>
                <w:sz w:val="20"/>
              </w:rPr>
            </w:pPr>
            <w:r w:rsidRPr="00B857FE">
              <w:rPr>
                <w:rFonts w:ascii="Calibri" w:eastAsia="Times New Roman" w:hAnsi="Calibri"/>
                <w:color w:val="000000"/>
                <w:sz w:val="20"/>
                <w:szCs w:val="22"/>
              </w:rPr>
              <w:t>$1,</w:t>
            </w:r>
            <w:r w:rsidR="00E92270">
              <w:rPr>
                <w:rFonts w:ascii="Calibri" w:eastAsia="Times New Roman" w:hAnsi="Calibri"/>
                <w:color w:val="000000"/>
                <w:sz w:val="20"/>
                <w:szCs w:val="22"/>
              </w:rPr>
              <w:t>427,952</w:t>
            </w:r>
          </w:p>
        </w:tc>
      </w:tr>
      <w:tr w:rsidR="00B857FE" w:rsidRPr="00B857FE" w:rsidTr="0005157E">
        <w:trPr>
          <w:trHeight w:val="300"/>
        </w:trPr>
        <w:tc>
          <w:tcPr>
            <w:tcW w:w="4515" w:type="dxa"/>
            <w:tcBorders>
              <w:top w:val="nil"/>
              <w:left w:val="single" w:sz="4" w:space="0" w:color="auto"/>
              <w:bottom w:val="single" w:sz="4" w:space="0" w:color="auto"/>
              <w:right w:val="single" w:sz="4" w:space="0" w:color="auto"/>
            </w:tcBorders>
            <w:shd w:val="clear" w:color="auto" w:fill="auto"/>
            <w:noWrap/>
            <w:vAlign w:val="bottom"/>
            <w:hideMark/>
          </w:tcPr>
          <w:p w:rsidR="00B857FE" w:rsidRPr="00B857FE" w:rsidRDefault="00B857FE" w:rsidP="004A4C6B">
            <w:pPr>
              <w:rPr>
                <w:rFonts w:ascii="Calibri" w:eastAsia="Times New Roman" w:hAnsi="Calibri"/>
                <w:color w:val="000000"/>
                <w:sz w:val="20"/>
              </w:rPr>
            </w:pPr>
            <w:r w:rsidRPr="00B857FE">
              <w:rPr>
                <w:rFonts w:ascii="Calibri" w:eastAsia="Times New Roman" w:hAnsi="Calibri"/>
                <w:color w:val="000000"/>
                <w:sz w:val="20"/>
                <w:szCs w:val="22"/>
              </w:rPr>
              <w:t xml:space="preserve">25% of </w:t>
            </w:r>
            <w:r w:rsidR="004A4C6B">
              <w:rPr>
                <w:rFonts w:ascii="Calibri" w:eastAsia="Times New Roman" w:hAnsi="Calibri"/>
                <w:color w:val="000000"/>
                <w:sz w:val="20"/>
                <w:szCs w:val="22"/>
              </w:rPr>
              <w:t>residential</w:t>
            </w:r>
            <w:r w:rsidRPr="00B857FE">
              <w:rPr>
                <w:rFonts w:ascii="Calibri" w:eastAsia="Times New Roman" w:hAnsi="Calibri"/>
                <w:color w:val="000000"/>
                <w:sz w:val="20"/>
                <w:szCs w:val="22"/>
              </w:rPr>
              <w:t xml:space="preserve"> payments made in 2014*</w:t>
            </w:r>
          </w:p>
        </w:tc>
        <w:tc>
          <w:tcPr>
            <w:tcW w:w="1784" w:type="dxa"/>
            <w:tcBorders>
              <w:top w:val="nil"/>
              <w:left w:val="nil"/>
              <w:bottom w:val="single" w:sz="4" w:space="0" w:color="auto"/>
              <w:right w:val="single" w:sz="4" w:space="0" w:color="auto"/>
            </w:tcBorders>
            <w:shd w:val="clear" w:color="auto" w:fill="auto"/>
            <w:noWrap/>
            <w:vAlign w:val="bottom"/>
            <w:hideMark/>
          </w:tcPr>
          <w:p w:rsidR="00B857FE" w:rsidRPr="00B857FE" w:rsidRDefault="00E92270" w:rsidP="00B857FE">
            <w:pPr>
              <w:jc w:val="center"/>
              <w:rPr>
                <w:rFonts w:ascii="Calibri" w:eastAsia="Times New Roman" w:hAnsi="Calibri"/>
                <w:color w:val="000000"/>
                <w:sz w:val="20"/>
              </w:rPr>
            </w:pPr>
            <w:r>
              <w:rPr>
                <w:rFonts w:ascii="Calibri" w:eastAsia="Times New Roman" w:hAnsi="Calibri"/>
                <w:color w:val="000000"/>
                <w:sz w:val="20"/>
                <w:szCs w:val="22"/>
              </w:rPr>
              <w:t>1,189,960</w:t>
            </w:r>
          </w:p>
        </w:tc>
        <w:tc>
          <w:tcPr>
            <w:tcW w:w="1984" w:type="dxa"/>
            <w:tcBorders>
              <w:top w:val="nil"/>
              <w:left w:val="nil"/>
              <w:bottom w:val="single" w:sz="4" w:space="0" w:color="auto"/>
              <w:right w:val="single" w:sz="4" w:space="0" w:color="auto"/>
            </w:tcBorders>
            <w:shd w:val="clear" w:color="auto" w:fill="auto"/>
            <w:noWrap/>
            <w:vAlign w:val="bottom"/>
            <w:hideMark/>
          </w:tcPr>
          <w:p w:rsidR="00B857FE" w:rsidRPr="00B857FE" w:rsidRDefault="00B857FE" w:rsidP="00B857FE">
            <w:pPr>
              <w:jc w:val="center"/>
              <w:rPr>
                <w:rFonts w:ascii="Calibri" w:eastAsia="Times New Roman" w:hAnsi="Calibri"/>
                <w:color w:val="000000"/>
                <w:sz w:val="20"/>
              </w:rPr>
            </w:pPr>
            <w:r w:rsidRPr="00B857FE">
              <w:rPr>
                <w:rFonts w:ascii="Calibri" w:eastAsia="Times New Roman" w:hAnsi="Calibri"/>
                <w:color w:val="000000"/>
                <w:sz w:val="20"/>
                <w:szCs w:val="22"/>
              </w:rPr>
              <w:t>$1.50</w:t>
            </w:r>
          </w:p>
        </w:tc>
        <w:tc>
          <w:tcPr>
            <w:tcW w:w="1362" w:type="dxa"/>
            <w:tcBorders>
              <w:top w:val="nil"/>
              <w:left w:val="nil"/>
              <w:bottom w:val="single" w:sz="4" w:space="0" w:color="auto"/>
              <w:right w:val="single" w:sz="4" w:space="0" w:color="auto"/>
            </w:tcBorders>
            <w:shd w:val="clear" w:color="auto" w:fill="auto"/>
            <w:noWrap/>
            <w:vAlign w:val="bottom"/>
            <w:hideMark/>
          </w:tcPr>
          <w:p w:rsidR="00B857FE" w:rsidRPr="00B857FE" w:rsidRDefault="00B857FE" w:rsidP="00B857FE">
            <w:pPr>
              <w:jc w:val="center"/>
              <w:rPr>
                <w:rFonts w:ascii="Calibri" w:eastAsia="Times New Roman" w:hAnsi="Calibri"/>
                <w:color w:val="000000"/>
                <w:sz w:val="20"/>
              </w:rPr>
            </w:pPr>
            <w:r w:rsidRPr="00B857FE">
              <w:rPr>
                <w:rFonts w:ascii="Calibri" w:eastAsia="Times New Roman" w:hAnsi="Calibri"/>
                <w:color w:val="000000"/>
                <w:sz w:val="20"/>
                <w:szCs w:val="22"/>
              </w:rPr>
              <w:t>$1,</w:t>
            </w:r>
            <w:r w:rsidR="00E92270">
              <w:rPr>
                <w:rFonts w:ascii="Calibri" w:eastAsia="Times New Roman" w:hAnsi="Calibri"/>
                <w:color w:val="000000"/>
                <w:sz w:val="20"/>
                <w:szCs w:val="22"/>
              </w:rPr>
              <w:t>784,940</w:t>
            </w:r>
          </w:p>
        </w:tc>
      </w:tr>
      <w:tr w:rsidR="004A4C6B" w:rsidRPr="00B857FE" w:rsidTr="00E14C66">
        <w:trPr>
          <w:trHeight w:val="300"/>
        </w:trPr>
        <w:tc>
          <w:tcPr>
            <w:tcW w:w="6299" w:type="dxa"/>
            <w:gridSpan w:val="2"/>
            <w:tcBorders>
              <w:top w:val="single" w:sz="4" w:space="0" w:color="auto"/>
              <w:bottom w:val="nil"/>
            </w:tcBorders>
            <w:shd w:val="clear" w:color="auto" w:fill="auto"/>
            <w:noWrap/>
            <w:vAlign w:val="bottom"/>
            <w:hideMark/>
          </w:tcPr>
          <w:p w:rsidR="004A4C6B" w:rsidRPr="00B857FE" w:rsidRDefault="004A4C6B" w:rsidP="00E92270">
            <w:pPr>
              <w:rPr>
                <w:rFonts w:ascii="Calibri" w:eastAsia="Times New Roman" w:hAnsi="Calibri"/>
                <w:color w:val="000000"/>
                <w:sz w:val="20"/>
              </w:rPr>
            </w:pPr>
            <w:r w:rsidRPr="00B857FE">
              <w:rPr>
                <w:rFonts w:ascii="Calibri" w:eastAsia="Times New Roman" w:hAnsi="Calibri"/>
                <w:color w:val="000000"/>
                <w:sz w:val="20"/>
                <w:szCs w:val="22"/>
              </w:rPr>
              <w:t xml:space="preserve">*Avista received </w:t>
            </w:r>
            <w:r w:rsidR="00E92270">
              <w:rPr>
                <w:rFonts w:ascii="Calibri" w:eastAsia="Times New Roman" w:hAnsi="Calibri"/>
                <w:color w:val="000000"/>
                <w:sz w:val="20"/>
                <w:szCs w:val="22"/>
              </w:rPr>
              <w:t>4,759,839</w:t>
            </w:r>
            <w:r w:rsidRPr="00B857FE">
              <w:rPr>
                <w:rFonts w:ascii="Calibri" w:eastAsia="Times New Roman" w:hAnsi="Calibri"/>
                <w:color w:val="000000"/>
                <w:sz w:val="20"/>
                <w:szCs w:val="22"/>
              </w:rPr>
              <w:t xml:space="preserve"> </w:t>
            </w:r>
            <w:r>
              <w:rPr>
                <w:rFonts w:ascii="Calibri" w:eastAsia="Times New Roman" w:hAnsi="Calibri"/>
                <w:color w:val="000000"/>
                <w:sz w:val="20"/>
                <w:szCs w:val="22"/>
              </w:rPr>
              <w:t xml:space="preserve">residential </w:t>
            </w:r>
            <w:r w:rsidRPr="00B857FE">
              <w:rPr>
                <w:rFonts w:ascii="Calibri" w:eastAsia="Times New Roman" w:hAnsi="Calibri"/>
                <w:color w:val="000000"/>
                <w:sz w:val="20"/>
                <w:szCs w:val="22"/>
              </w:rPr>
              <w:t>payments in 2014</w:t>
            </w:r>
          </w:p>
        </w:tc>
        <w:tc>
          <w:tcPr>
            <w:tcW w:w="1984" w:type="dxa"/>
            <w:tcBorders>
              <w:top w:val="nil"/>
              <w:left w:val="nil"/>
              <w:bottom w:val="nil"/>
              <w:right w:val="nil"/>
            </w:tcBorders>
            <w:shd w:val="clear" w:color="auto" w:fill="auto"/>
            <w:noWrap/>
            <w:vAlign w:val="bottom"/>
            <w:hideMark/>
          </w:tcPr>
          <w:p w:rsidR="004A4C6B" w:rsidRPr="00B857FE" w:rsidRDefault="004A4C6B" w:rsidP="00B857FE">
            <w:pPr>
              <w:rPr>
                <w:rFonts w:ascii="Calibri" w:eastAsia="Times New Roman" w:hAnsi="Calibri"/>
                <w:color w:val="000000"/>
                <w:sz w:val="20"/>
              </w:rPr>
            </w:pPr>
          </w:p>
        </w:tc>
        <w:tc>
          <w:tcPr>
            <w:tcW w:w="1362" w:type="dxa"/>
            <w:tcBorders>
              <w:top w:val="nil"/>
              <w:left w:val="nil"/>
              <w:bottom w:val="nil"/>
              <w:right w:val="nil"/>
            </w:tcBorders>
            <w:shd w:val="clear" w:color="auto" w:fill="auto"/>
            <w:noWrap/>
            <w:vAlign w:val="bottom"/>
            <w:hideMark/>
          </w:tcPr>
          <w:p w:rsidR="004A4C6B" w:rsidRPr="00B857FE" w:rsidRDefault="004A4C6B" w:rsidP="00B857FE">
            <w:pPr>
              <w:rPr>
                <w:rFonts w:ascii="Calibri" w:eastAsia="Times New Roman" w:hAnsi="Calibri"/>
                <w:color w:val="000000"/>
                <w:sz w:val="20"/>
              </w:rPr>
            </w:pPr>
          </w:p>
        </w:tc>
      </w:tr>
    </w:tbl>
    <w:p w:rsidR="0042479C" w:rsidRDefault="0042479C" w:rsidP="00DF74C1">
      <w:pPr>
        <w:pStyle w:val="Header"/>
        <w:spacing w:line="480" w:lineRule="auto"/>
        <w:ind w:left="600"/>
        <w:jc w:val="both"/>
      </w:pPr>
    </w:p>
    <w:p w:rsidR="00A4511A" w:rsidRDefault="0042479C" w:rsidP="000F7A62">
      <w:pPr>
        <w:pStyle w:val="Header"/>
        <w:numPr>
          <w:ilvl w:val="0"/>
          <w:numId w:val="13"/>
        </w:numPr>
        <w:tabs>
          <w:tab w:val="clear" w:pos="240"/>
          <w:tab w:val="left" w:pos="720"/>
        </w:tabs>
        <w:spacing w:line="480" w:lineRule="auto"/>
        <w:ind w:left="245" w:hanging="821"/>
        <w:jc w:val="both"/>
      </w:pPr>
      <w:r>
        <w:t xml:space="preserve">       </w:t>
      </w:r>
      <w:r w:rsidR="00A4511A">
        <w:t>Avista anticipates that it will have approximately 15% of residential payments come through the fee</w:t>
      </w:r>
      <w:r w:rsidR="005B2E00">
        <w:t>-</w:t>
      </w:r>
      <w:r w:rsidR="00A4511A">
        <w:t>free payment program, however, the Company will not know the actual adoption rates until the program is implemented and in place for a minimum of 12-18 months.</w:t>
      </w:r>
      <w:r w:rsidR="00232D89">
        <w:t xml:space="preserve">  The Company’s expectation is that the adoption rates will gradually increase to 15% over a two year period with the adoption rates doubling during the first year.  This expectation is aligned with what vendors have experienced with other utilities that make the switch from a convenience fee model to a fee</w:t>
      </w:r>
      <w:r w:rsidR="005B2E00">
        <w:t>-</w:t>
      </w:r>
      <w:r w:rsidR="00232D89">
        <w:t>free payment model.</w:t>
      </w:r>
    </w:p>
    <w:p w:rsidR="000F7A62" w:rsidRPr="00546394" w:rsidRDefault="00A4511A" w:rsidP="000F7A62">
      <w:pPr>
        <w:pStyle w:val="Header"/>
        <w:numPr>
          <w:ilvl w:val="0"/>
          <w:numId w:val="13"/>
        </w:numPr>
        <w:tabs>
          <w:tab w:val="clear" w:pos="240"/>
          <w:tab w:val="left" w:pos="720"/>
        </w:tabs>
        <w:spacing w:line="480" w:lineRule="auto"/>
        <w:ind w:left="245" w:hanging="821"/>
        <w:jc w:val="both"/>
      </w:pPr>
      <w:r>
        <w:t xml:space="preserve">       </w:t>
      </w:r>
      <w:r w:rsidR="000F7A62">
        <w:t xml:space="preserve">Absent a Commission order allowing for the deferral </w:t>
      </w:r>
      <w:r w:rsidR="003566E8">
        <w:t xml:space="preserve">and recovery </w:t>
      </w:r>
      <w:r w:rsidR="000F7A62">
        <w:t xml:space="preserve">of these costs, the Company </w:t>
      </w:r>
      <w:r w:rsidR="00AC6977">
        <w:t>would</w:t>
      </w:r>
      <w:r w:rsidR="00CE1CE2">
        <w:t xml:space="preserve"> not otherwise offer a fee</w:t>
      </w:r>
      <w:r w:rsidR="005B2E00">
        <w:t>-</w:t>
      </w:r>
      <w:r w:rsidR="00CE1CE2">
        <w:t>free payment program to its residential customers as it would result</w:t>
      </w:r>
      <w:r w:rsidR="000F7A62">
        <w:t xml:space="preserve"> in a loss to the Company and its shareholders.  </w:t>
      </w:r>
    </w:p>
    <w:p w:rsidR="000F7A62" w:rsidRPr="000F7A62" w:rsidRDefault="000F7A62" w:rsidP="000F7A62">
      <w:pPr>
        <w:pStyle w:val="Header"/>
        <w:tabs>
          <w:tab w:val="left" w:pos="720"/>
        </w:tabs>
        <w:spacing w:line="480" w:lineRule="auto"/>
        <w:ind w:left="240"/>
        <w:jc w:val="both"/>
      </w:pPr>
    </w:p>
    <w:p w:rsidR="000F7A62" w:rsidRPr="00FB72FF" w:rsidRDefault="000F7A62" w:rsidP="000F7A62">
      <w:pPr>
        <w:pStyle w:val="Heading1"/>
        <w:spacing w:line="480" w:lineRule="auto"/>
        <w:jc w:val="center"/>
        <w:rPr>
          <w:u w:val="none"/>
        </w:rPr>
      </w:pPr>
      <w:r w:rsidRPr="00FB72FF">
        <w:rPr>
          <w:u w:val="none"/>
        </w:rPr>
        <w:t>I</w:t>
      </w:r>
      <w:r>
        <w:rPr>
          <w:u w:val="none"/>
        </w:rPr>
        <w:t>II</w:t>
      </w:r>
      <w:proofErr w:type="gramStart"/>
      <w:r w:rsidRPr="00FB72FF">
        <w:rPr>
          <w:u w:val="none"/>
        </w:rPr>
        <w:t xml:space="preserve">.  </w:t>
      </w:r>
      <w:r>
        <w:rPr>
          <w:u w:val="none"/>
        </w:rPr>
        <w:t>BACKGROUND</w:t>
      </w:r>
      <w:proofErr w:type="gramEnd"/>
    </w:p>
    <w:p w:rsidR="00D93266" w:rsidRDefault="000F7A62" w:rsidP="00D93266">
      <w:pPr>
        <w:pStyle w:val="Header"/>
        <w:numPr>
          <w:ilvl w:val="0"/>
          <w:numId w:val="13"/>
        </w:numPr>
        <w:tabs>
          <w:tab w:val="clear" w:pos="240"/>
          <w:tab w:val="left" w:pos="720"/>
        </w:tabs>
        <w:spacing w:line="480" w:lineRule="auto"/>
        <w:jc w:val="both"/>
      </w:pPr>
      <w:r>
        <w:t xml:space="preserve">       </w:t>
      </w:r>
      <w:r w:rsidR="00D93266" w:rsidRPr="00D93266">
        <w:t xml:space="preserve">Avista uses a third-party payment processor to </w:t>
      </w:r>
      <w:r w:rsidR="00D93266">
        <w:t xml:space="preserve">process </w:t>
      </w:r>
      <w:r w:rsidR="00D93266" w:rsidRPr="00D93266">
        <w:t xml:space="preserve">payments on its website, through its </w:t>
      </w:r>
      <w:r w:rsidR="00D93266">
        <w:t>IVR</w:t>
      </w:r>
      <w:r w:rsidR="00D93266" w:rsidRPr="00D93266">
        <w:t xml:space="preserve"> system, </w:t>
      </w:r>
      <w:r w:rsidR="000348E2">
        <w:t>as well as</w:t>
      </w:r>
      <w:r w:rsidR="000348E2" w:rsidRPr="00D93266">
        <w:t xml:space="preserve"> </w:t>
      </w:r>
      <w:r w:rsidR="00D93266" w:rsidRPr="00D93266">
        <w:t xml:space="preserve">through </w:t>
      </w:r>
      <w:r w:rsidR="000348E2">
        <w:t xml:space="preserve">the Company’s </w:t>
      </w:r>
      <w:r w:rsidR="00D93266" w:rsidRPr="00D93266">
        <w:t xml:space="preserve">Customer Service Representatives </w:t>
      </w:r>
      <w:r w:rsidR="000348E2">
        <w:t xml:space="preserve">(CSRs) </w:t>
      </w:r>
      <w:r w:rsidR="00D93266" w:rsidRPr="00D93266">
        <w:t xml:space="preserve">over the phone.  When customers make a payment with a credit or debit card </w:t>
      </w:r>
      <w:r w:rsidR="00D93266">
        <w:t>through these channels</w:t>
      </w:r>
      <w:r w:rsidR="006647AC">
        <w:t>,</w:t>
      </w:r>
      <w:r w:rsidR="00D93266">
        <w:t xml:space="preserve"> or on the Company’s website without an “Avista My Account”</w:t>
      </w:r>
      <w:r w:rsidR="006647AC">
        <w:t>,</w:t>
      </w:r>
      <w:r w:rsidR="00D93266">
        <w:t xml:space="preserve"> they are subject to a </w:t>
      </w:r>
      <w:r w:rsidR="00D93266">
        <w:lastRenderedPageBreak/>
        <w:t xml:space="preserve">convenience </w:t>
      </w:r>
      <w:r w:rsidR="006647AC">
        <w:t>charge</w:t>
      </w:r>
      <w:r w:rsidR="00D93266">
        <w:t>.</w:t>
      </w:r>
      <w:r w:rsidR="00D93266" w:rsidRPr="00D93266">
        <w:t xml:space="preserve">   More detail about Avista’s payment options are included in the following </w:t>
      </w:r>
      <w:r w:rsidR="006C0688">
        <w:t>table</w:t>
      </w:r>
      <w:r w:rsidR="00D93266">
        <w:rPr>
          <w:rStyle w:val="FootnoteReference"/>
        </w:rPr>
        <w:footnoteReference w:id="3"/>
      </w:r>
      <w:r w:rsidR="00D93266" w:rsidRPr="00D93266">
        <w:t>:</w:t>
      </w:r>
    </w:p>
    <w:p w:rsidR="000348E2" w:rsidRDefault="000348E2" w:rsidP="00D93266">
      <w:pPr>
        <w:pStyle w:val="Header"/>
        <w:numPr>
          <w:ilvl w:val="0"/>
          <w:numId w:val="13"/>
        </w:numPr>
        <w:tabs>
          <w:tab w:val="clear" w:pos="240"/>
          <w:tab w:val="left" w:pos="720"/>
        </w:tabs>
        <w:spacing w:line="480" w:lineRule="auto"/>
        <w:jc w:val="both"/>
      </w:pPr>
      <w:r>
        <w:t>Table No. 2</w:t>
      </w:r>
    </w:p>
    <w:p w:rsidR="00D93266" w:rsidRDefault="00D93266" w:rsidP="00D93266">
      <w:pPr>
        <w:pStyle w:val="Header"/>
        <w:tabs>
          <w:tab w:val="left" w:pos="720"/>
        </w:tabs>
        <w:spacing w:line="480" w:lineRule="auto"/>
        <w:ind w:left="240"/>
        <w:jc w:val="both"/>
      </w:pPr>
      <w:r w:rsidRPr="00D93266">
        <w:rPr>
          <w:noProof/>
        </w:rPr>
        <w:drawing>
          <wp:inline distT="0" distB="0" distL="0" distR="0">
            <wp:extent cx="5793353" cy="412479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813237" cy="4138953"/>
                    </a:xfrm>
                    <a:prstGeom prst="rect">
                      <a:avLst/>
                    </a:prstGeom>
                    <a:noFill/>
                    <a:ln w="9525">
                      <a:noFill/>
                      <a:miter lim="800000"/>
                      <a:headEnd/>
                      <a:tailEnd/>
                    </a:ln>
                  </pic:spPr>
                </pic:pic>
              </a:graphicData>
            </a:graphic>
          </wp:inline>
        </w:drawing>
      </w:r>
    </w:p>
    <w:p w:rsidR="00A34C91" w:rsidRDefault="0008544C" w:rsidP="00A34C91">
      <w:pPr>
        <w:pStyle w:val="Header"/>
        <w:numPr>
          <w:ilvl w:val="0"/>
          <w:numId w:val="13"/>
        </w:numPr>
        <w:tabs>
          <w:tab w:val="clear" w:pos="240"/>
          <w:tab w:val="left" w:pos="720"/>
        </w:tabs>
        <w:spacing w:line="480" w:lineRule="auto"/>
        <w:jc w:val="both"/>
      </w:pPr>
      <w:r>
        <w:t xml:space="preserve">       </w:t>
      </w:r>
      <w:r w:rsidR="00D93266" w:rsidRPr="00D93266">
        <w:t xml:space="preserve">As shown in </w:t>
      </w:r>
      <w:r w:rsidR="00CD0A48">
        <w:t>T</w:t>
      </w:r>
      <w:r w:rsidR="00D93266" w:rsidRPr="00D93266">
        <w:t xml:space="preserve">able </w:t>
      </w:r>
      <w:r w:rsidR="00CD0A48">
        <w:t xml:space="preserve">No. 2 </w:t>
      </w:r>
      <w:r w:rsidR="00D93266" w:rsidRPr="00D93266">
        <w:t>above</w:t>
      </w:r>
      <w:r w:rsidR="00832E0D">
        <w:t>,</w:t>
      </w:r>
      <w:r w:rsidR="00D93266" w:rsidRPr="00D93266">
        <w:t xml:space="preserve"> and the footnote of the table, customers paying by credit or debit card are required to pay a $3.50 </w:t>
      </w:r>
      <w:r w:rsidR="00DC05D2">
        <w:t>convenience charge</w:t>
      </w:r>
      <w:r w:rsidR="009811EB">
        <w:t xml:space="preserve"> </w:t>
      </w:r>
      <w:r w:rsidR="00D93266" w:rsidRPr="00D93266">
        <w:t xml:space="preserve">for payments totaling up to $3,000 within a 26 day period.  Payments over $3,000 by credit or debit card </w:t>
      </w:r>
      <w:r w:rsidR="00DC05D2">
        <w:t xml:space="preserve">are subject to a </w:t>
      </w:r>
      <w:r w:rsidR="00D93266" w:rsidRPr="00D93266">
        <w:t>3% transaction fee</w:t>
      </w:r>
      <w:r w:rsidR="006647AC">
        <w:t xml:space="preserve"> in lieu of the $3.50 convenience charge</w:t>
      </w:r>
      <w:r w:rsidR="00D93266" w:rsidRPr="00D93266">
        <w:t xml:space="preserve">.  Customers paying </w:t>
      </w:r>
      <w:r w:rsidR="00832E0D">
        <w:t xml:space="preserve">electronically </w:t>
      </w:r>
      <w:r w:rsidR="00D93266" w:rsidRPr="00D93266">
        <w:t xml:space="preserve">by checking or savings accounts through the IVR or a Customer Service Representative are also charged a $3.50 </w:t>
      </w:r>
      <w:r w:rsidR="006C0688">
        <w:t>convenience charge</w:t>
      </w:r>
      <w:r w:rsidR="00D93266" w:rsidRPr="00D93266">
        <w:t xml:space="preserve">.  Avista receives no portion of the $3.50 </w:t>
      </w:r>
      <w:r w:rsidR="006C0688">
        <w:t xml:space="preserve">convenience </w:t>
      </w:r>
      <w:r w:rsidR="006C0688">
        <w:lastRenderedPageBreak/>
        <w:t>charge</w:t>
      </w:r>
      <w:r w:rsidR="00D93266" w:rsidRPr="00D93266">
        <w:t>.  The amount of the charge is determined by the historical average payment amount</w:t>
      </w:r>
      <w:r w:rsidR="00AD4491">
        <w:t xml:space="preserve"> and payment cap </w:t>
      </w:r>
      <w:r w:rsidR="00D93266" w:rsidRPr="00D93266">
        <w:t xml:space="preserve">and </w:t>
      </w:r>
      <w:r w:rsidR="00AD4491">
        <w:t xml:space="preserve">is </w:t>
      </w:r>
      <w:r w:rsidR="00D93266" w:rsidRPr="00D93266">
        <w:t xml:space="preserve">set by the payment processor. </w:t>
      </w:r>
      <w:r>
        <w:t xml:space="preserve">       </w:t>
      </w:r>
    </w:p>
    <w:p w:rsidR="00A34C91" w:rsidRDefault="00B221EF" w:rsidP="00A34C91">
      <w:pPr>
        <w:pStyle w:val="Header"/>
        <w:numPr>
          <w:ilvl w:val="0"/>
          <w:numId w:val="13"/>
        </w:numPr>
        <w:tabs>
          <w:tab w:val="clear" w:pos="240"/>
          <w:tab w:val="left" w:pos="720"/>
        </w:tabs>
        <w:spacing w:line="480" w:lineRule="auto"/>
        <w:jc w:val="both"/>
      </w:pPr>
      <w:r>
        <w:t xml:space="preserve">       </w:t>
      </w:r>
      <w:r w:rsidR="009811EB">
        <w:t>T</w:t>
      </w:r>
      <w:r w:rsidR="00A34C91">
        <w:t xml:space="preserve">he following table provides a summary of payments received by Avista </w:t>
      </w:r>
      <w:r w:rsidR="00AF3C91">
        <w:t>from December 2014 through November 2015</w:t>
      </w:r>
      <w:r w:rsidR="00A34C91">
        <w:t xml:space="preserve"> across all customers classes:</w:t>
      </w:r>
    </w:p>
    <w:tbl>
      <w:tblPr>
        <w:tblpPr w:leftFromText="180" w:rightFromText="180" w:vertAnchor="text" w:horzAnchor="margin" w:tblpXSpec="center" w:tblpY="302"/>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5"/>
        <w:gridCol w:w="1353"/>
        <w:gridCol w:w="1316"/>
        <w:gridCol w:w="1533"/>
        <w:gridCol w:w="1353"/>
        <w:gridCol w:w="1866"/>
      </w:tblGrid>
      <w:tr w:rsidR="00D55A78" w:rsidRPr="00D42609" w:rsidTr="00C67B14">
        <w:trPr>
          <w:trHeight w:val="600"/>
        </w:trPr>
        <w:tc>
          <w:tcPr>
            <w:tcW w:w="2895" w:type="dxa"/>
            <w:shd w:val="clear" w:color="auto" w:fill="auto"/>
            <w:noWrap/>
            <w:vAlign w:val="bottom"/>
            <w:hideMark/>
          </w:tcPr>
          <w:p w:rsidR="00D55A78" w:rsidRPr="00D55A78" w:rsidRDefault="00D55A78" w:rsidP="00F36AB1">
            <w:pPr>
              <w:rPr>
                <w:rFonts w:eastAsia="Calibri"/>
                <w:b/>
              </w:rPr>
            </w:pPr>
            <w:r w:rsidRPr="00D55A78">
              <w:rPr>
                <w:rFonts w:eastAsia="Calibri"/>
                <w:b/>
                <w:sz w:val="22"/>
              </w:rPr>
              <w:t xml:space="preserve">Payment Summary </w:t>
            </w:r>
            <w:r w:rsidR="00F36AB1">
              <w:rPr>
                <w:rFonts w:eastAsia="Calibri"/>
                <w:b/>
                <w:sz w:val="22"/>
              </w:rPr>
              <w:t>–</w:t>
            </w:r>
            <w:r w:rsidRPr="00D55A78">
              <w:rPr>
                <w:rFonts w:eastAsia="Calibri"/>
                <w:b/>
                <w:sz w:val="22"/>
              </w:rPr>
              <w:t xml:space="preserve"> </w:t>
            </w:r>
            <w:r w:rsidR="00F36AB1">
              <w:rPr>
                <w:rFonts w:eastAsia="Calibri"/>
                <w:b/>
                <w:sz w:val="22"/>
              </w:rPr>
              <w:t>Dec 14 – Nov 15</w:t>
            </w:r>
          </w:p>
        </w:tc>
        <w:tc>
          <w:tcPr>
            <w:tcW w:w="1353" w:type="dxa"/>
            <w:shd w:val="clear" w:color="auto" w:fill="auto"/>
            <w:vAlign w:val="bottom"/>
            <w:hideMark/>
          </w:tcPr>
          <w:p w:rsidR="00D55A78" w:rsidRPr="00D55A78" w:rsidRDefault="00D55A78" w:rsidP="00BC31BD">
            <w:pPr>
              <w:jc w:val="center"/>
              <w:rPr>
                <w:rFonts w:eastAsia="Calibri"/>
                <w:b/>
              </w:rPr>
            </w:pPr>
            <w:r w:rsidRPr="00D55A78">
              <w:rPr>
                <w:rFonts w:eastAsia="Calibri"/>
                <w:b/>
                <w:sz w:val="22"/>
              </w:rPr>
              <w:t>Transaction Count</w:t>
            </w:r>
          </w:p>
        </w:tc>
        <w:tc>
          <w:tcPr>
            <w:tcW w:w="1316" w:type="dxa"/>
            <w:shd w:val="clear" w:color="auto" w:fill="auto"/>
            <w:vAlign w:val="bottom"/>
            <w:hideMark/>
          </w:tcPr>
          <w:p w:rsidR="00D55A78" w:rsidRPr="00D55A78" w:rsidRDefault="00D55A78" w:rsidP="00BC31BD">
            <w:pPr>
              <w:jc w:val="center"/>
              <w:rPr>
                <w:rFonts w:eastAsia="Calibri"/>
                <w:b/>
              </w:rPr>
            </w:pPr>
            <w:r w:rsidRPr="00D55A78">
              <w:rPr>
                <w:rFonts w:eastAsia="Calibri"/>
                <w:b/>
                <w:sz w:val="22"/>
              </w:rPr>
              <w:t>Fees Paid by Avista</w:t>
            </w:r>
          </w:p>
        </w:tc>
        <w:tc>
          <w:tcPr>
            <w:tcW w:w="1533" w:type="dxa"/>
            <w:shd w:val="clear" w:color="auto" w:fill="auto"/>
            <w:vAlign w:val="bottom"/>
            <w:hideMark/>
          </w:tcPr>
          <w:p w:rsidR="00D55A78" w:rsidRPr="00355C39" w:rsidRDefault="00D55A78" w:rsidP="00BC31BD">
            <w:pPr>
              <w:jc w:val="center"/>
              <w:rPr>
                <w:rFonts w:eastAsia="Calibri"/>
                <w:b/>
                <w:vertAlign w:val="superscript"/>
              </w:rPr>
            </w:pPr>
            <w:r w:rsidRPr="00D55A78">
              <w:rPr>
                <w:rFonts w:eastAsia="Calibri"/>
                <w:b/>
                <w:sz w:val="22"/>
              </w:rPr>
              <w:t>Avista Cost per Transaction</w:t>
            </w:r>
            <w:r w:rsidR="00355C39">
              <w:rPr>
                <w:rFonts w:eastAsia="Calibri"/>
                <w:b/>
                <w:sz w:val="22"/>
                <w:vertAlign w:val="superscript"/>
              </w:rPr>
              <w:t>(3)</w:t>
            </w:r>
          </w:p>
        </w:tc>
        <w:tc>
          <w:tcPr>
            <w:tcW w:w="1353" w:type="dxa"/>
          </w:tcPr>
          <w:p w:rsidR="00D55A78" w:rsidRPr="00D55A78" w:rsidRDefault="00D55A78" w:rsidP="00BC31BD">
            <w:pPr>
              <w:jc w:val="center"/>
              <w:rPr>
                <w:rFonts w:eastAsia="Calibri"/>
                <w:b/>
              </w:rPr>
            </w:pPr>
            <w:r>
              <w:rPr>
                <w:rFonts w:eastAsia="Calibri"/>
                <w:b/>
                <w:sz w:val="22"/>
              </w:rPr>
              <w:t>Customer Cost per Transaction</w:t>
            </w:r>
          </w:p>
        </w:tc>
        <w:tc>
          <w:tcPr>
            <w:tcW w:w="1866" w:type="dxa"/>
            <w:shd w:val="clear" w:color="auto" w:fill="auto"/>
            <w:vAlign w:val="bottom"/>
            <w:hideMark/>
          </w:tcPr>
          <w:p w:rsidR="00D55A78" w:rsidRPr="00D55A78" w:rsidRDefault="00D55A78" w:rsidP="00BC31BD">
            <w:pPr>
              <w:jc w:val="center"/>
              <w:rPr>
                <w:rFonts w:eastAsia="Calibri"/>
                <w:b/>
              </w:rPr>
            </w:pPr>
            <w:r w:rsidRPr="00D55A78">
              <w:rPr>
                <w:rFonts w:eastAsia="Calibri"/>
                <w:b/>
                <w:sz w:val="22"/>
              </w:rPr>
              <w:t>Payments Received from Customers</w:t>
            </w:r>
          </w:p>
        </w:tc>
      </w:tr>
      <w:tr w:rsidR="00C67B14" w:rsidRPr="00D42609" w:rsidTr="00C67B14">
        <w:trPr>
          <w:trHeight w:val="300"/>
        </w:trPr>
        <w:tc>
          <w:tcPr>
            <w:tcW w:w="2895" w:type="dxa"/>
            <w:shd w:val="clear" w:color="auto" w:fill="auto"/>
            <w:noWrap/>
            <w:vAlign w:val="bottom"/>
            <w:hideMark/>
          </w:tcPr>
          <w:p w:rsidR="00C67B14" w:rsidRPr="00D55A78" w:rsidRDefault="00C67B14" w:rsidP="00BC31BD">
            <w:pPr>
              <w:rPr>
                <w:rFonts w:eastAsia="Calibri"/>
              </w:rPr>
            </w:pPr>
            <w:r w:rsidRPr="00D55A78">
              <w:rPr>
                <w:rFonts w:eastAsia="Calibri"/>
                <w:sz w:val="22"/>
              </w:rPr>
              <w:t xml:space="preserve">Mailed </w:t>
            </w:r>
            <w:r w:rsidRPr="00D55A78">
              <w:rPr>
                <w:rFonts w:eastAsia="Calibri"/>
                <w:sz w:val="22"/>
                <w:vertAlign w:val="superscript"/>
              </w:rPr>
              <w:t>(1)</w:t>
            </w:r>
          </w:p>
        </w:tc>
        <w:tc>
          <w:tcPr>
            <w:tcW w:w="1353" w:type="dxa"/>
            <w:shd w:val="clear" w:color="auto" w:fill="auto"/>
            <w:noWrap/>
            <w:vAlign w:val="bottom"/>
            <w:hideMark/>
          </w:tcPr>
          <w:p w:rsidR="00C67B14" w:rsidRPr="00C67B14" w:rsidRDefault="00C67B14">
            <w:pPr>
              <w:jc w:val="right"/>
              <w:rPr>
                <w:color w:val="000000"/>
                <w:sz w:val="22"/>
                <w:szCs w:val="22"/>
              </w:rPr>
            </w:pPr>
            <w:r w:rsidRPr="00C67B14">
              <w:rPr>
                <w:color w:val="000000"/>
                <w:sz w:val="22"/>
                <w:szCs w:val="22"/>
              </w:rPr>
              <w:t>1,860,702</w:t>
            </w:r>
          </w:p>
        </w:tc>
        <w:tc>
          <w:tcPr>
            <w:tcW w:w="1316" w:type="dxa"/>
            <w:shd w:val="clear" w:color="auto" w:fill="auto"/>
            <w:noWrap/>
            <w:vAlign w:val="bottom"/>
            <w:hideMark/>
          </w:tcPr>
          <w:p w:rsidR="00C67B14" w:rsidRPr="00C67B14" w:rsidRDefault="00C67B14">
            <w:pPr>
              <w:jc w:val="right"/>
              <w:rPr>
                <w:color w:val="000000"/>
                <w:sz w:val="22"/>
                <w:szCs w:val="22"/>
              </w:rPr>
            </w:pPr>
            <w:r w:rsidRPr="00C67B14">
              <w:rPr>
                <w:color w:val="000000"/>
                <w:sz w:val="22"/>
                <w:szCs w:val="22"/>
              </w:rPr>
              <w:t>$523,346</w:t>
            </w:r>
          </w:p>
        </w:tc>
        <w:tc>
          <w:tcPr>
            <w:tcW w:w="1533" w:type="dxa"/>
            <w:shd w:val="clear" w:color="auto" w:fill="auto"/>
            <w:noWrap/>
            <w:vAlign w:val="bottom"/>
            <w:hideMark/>
          </w:tcPr>
          <w:p w:rsidR="00C67B14" w:rsidRPr="00C67B14" w:rsidRDefault="00C67B14">
            <w:pPr>
              <w:jc w:val="center"/>
              <w:rPr>
                <w:color w:val="000000"/>
                <w:sz w:val="22"/>
                <w:szCs w:val="22"/>
              </w:rPr>
            </w:pPr>
            <w:r w:rsidRPr="00C67B14">
              <w:rPr>
                <w:color w:val="000000"/>
                <w:sz w:val="22"/>
                <w:szCs w:val="22"/>
              </w:rPr>
              <w:t>$0.28</w:t>
            </w:r>
          </w:p>
        </w:tc>
        <w:tc>
          <w:tcPr>
            <w:tcW w:w="1353" w:type="dxa"/>
            <w:vAlign w:val="bottom"/>
          </w:tcPr>
          <w:p w:rsidR="00C67B14" w:rsidRPr="00C67B14" w:rsidRDefault="00C67B14">
            <w:pPr>
              <w:jc w:val="center"/>
              <w:rPr>
                <w:color w:val="000000"/>
                <w:sz w:val="22"/>
                <w:szCs w:val="22"/>
              </w:rPr>
            </w:pPr>
            <w:r w:rsidRPr="00C67B14">
              <w:rPr>
                <w:color w:val="000000"/>
                <w:sz w:val="22"/>
                <w:szCs w:val="22"/>
              </w:rPr>
              <w:t>$0.00</w:t>
            </w:r>
          </w:p>
        </w:tc>
        <w:tc>
          <w:tcPr>
            <w:tcW w:w="1866" w:type="dxa"/>
            <w:shd w:val="clear" w:color="auto" w:fill="auto"/>
            <w:noWrap/>
            <w:vAlign w:val="bottom"/>
            <w:hideMark/>
          </w:tcPr>
          <w:p w:rsidR="00C67B14" w:rsidRPr="00C67B14" w:rsidRDefault="00C67B14" w:rsidP="00C67B14">
            <w:pPr>
              <w:jc w:val="right"/>
              <w:rPr>
                <w:color w:val="000000"/>
                <w:sz w:val="22"/>
                <w:szCs w:val="22"/>
              </w:rPr>
            </w:pPr>
            <w:r w:rsidRPr="00C67B14">
              <w:rPr>
                <w:color w:val="000000"/>
                <w:sz w:val="22"/>
                <w:szCs w:val="22"/>
              </w:rPr>
              <w:t>$619,241,436</w:t>
            </w:r>
          </w:p>
        </w:tc>
      </w:tr>
      <w:tr w:rsidR="00C67B14" w:rsidRPr="00D42609" w:rsidTr="00C67B14">
        <w:trPr>
          <w:trHeight w:val="300"/>
        </w:trPr>
        <w:tc>
          <w:tcPr>
            <w:tcW w:w="2895" w:type="dxa"/>
            <w:shd w:val="clear" w:color="auto" w:fill="auto"/>
            <w:noWrap/>
            <w:vAlign w:val="bottom"/>
            <w:hideMark/>
          </w:tcPr>
          <w:p w:rsidR="00C67B14" w:rsidRPr="00D55A78" w:rsidRDefault="00C67B14" w:rsidP="00BC31BD">
            <w:pPr>
              <w:rPr>
                <w:rFonts w:eastAsia="Calibri"/>
              </w:rPr>
            </w:pPr>
            <w:proofErr w:type="spellStart"/>
            <w:r w:rsidRPr="00D55A78">
              <w:rPr>
                <w:rFonts w:eastAsia="Calibri"/>
                <w:sz w:val="22"/>
              </w:rPr>
              <w:t>Paystation</w:t>
            </w:r>
            <w:proofErr w:type="spellEnd"/>
          </w:p>
        </w:tc>
        <w:tc>
          <w:tcPr>
            <w:tcW w:w="1353" w:type="dxa"/>
            <w:shd w:val="clear" w:color="auto" w:fill="auto"/>
            <w:noWrap/>
            <w:vAlign w:val="bottom"/>
            <w:hideMark/>
          </w:tcPr>
          <w:p w:rsidR="00C67B14" w:rsidRPr="00C67B14" w:rsidRDefault="00C67B14">
            <w:pPr>
              <w:jc w:val="right"/>
              <w:rPr>
                <w:color w:val="000000"/>
                <w:sz w:val="22"/>
                <w:szCs w:val="22"/>
              </w:rPr>
            </w:pPr>
            <w:r w:rsidRPr="00C67B14">
              <w:rPr>
                <w:color w:val="000000"/>
                <w:sz w:val="22"/>
                <w:szCs w:val="22"/>
              </w:rPr>
              <w:t>220,075</w:t>
            </w:r>
          </w:p>
        </w:tc>
        <w:tc>
          <w:tcPr>
            <w:tcW w:w="1316" w:type="dxa"/>
            <w:shd w:val="clear" w:color="auto" w:fill="auto"/>
            <w:noWrap/>
            <w:vAlign w:val="bottom"/>
            <w:hideMark/>
          </w:tcPr>
          <w:p w:rsidR="00C67B14" w:rsidRPr="00C67B14" w:rsidRDefault="00C67B14">
            <w:pPr>
              <w:jc w:val="right"/>
              <w:rPr>
                <w:color w:val="000000"/>
                <w:sz w:val="22"/>
                <w:szCs w:val="22"/>
              </w:rPr>
            </w:pPr>
            <w:r w:rsidRPr="00C67B14">
              <w:rPr>
                <w:color w:val="000000"/>
                <w:sz w:val="22"/>
                <w:szCs w:val="22"/>
              </w:rPr>
              <w:t>$167,320</w:t>
            </w:r>
          </w:p>
        </w:tc>
        <w:tc>
          <w:tcPr>
            <w:tcW w:w="1533" w:type="dxa"/>
            <w:shd w:val="clear" w:color="auto" w:fill="auto"/>
            <w:noWrap/>
            <w:vAlign w:val="bottom"/>
            <w:hideMark/>
          </w:tcPr>
          <w:p w:rsidR="00C67B14" w:rsidRPr="00C67B14" w:rsidRDefault="00C67B14">
            <w:pPr>
              <w:jc w:val="center"/>
              <w:rPr>
                <w:color w:val="000000"/>
                <w:sz w:val="22"/>
                <w:szCs w:val="22"/>
              </w:rPr>
            </w:pPr>
            <w:r w:rsidRPr="00C67B14">
              <w:rPr>
                <w:color w:val="000000"/>
                <w:sz w:val="22"/>
                <w:szCs w:val="22"/>
              </w:rPr>
              <w:t>$0.76</w:t>
            </w:r>
          </w:p>
        </w:tc>
        <w:tc>
          <w:tcPr>
            <w:tcW w:w="1353" w:type="dxa"/>
            <w:vAlign w:val="bottom"/>
          </w:tcPr>
          <w:p w:rsidR="00C67B14" w:rsidRPr="00C67B14" w:rsidRDefault="00C67B14">
            <w:pPr>
              <w:jc w:val="center"/>
              <w:rPr>
                <w:color w:val="000000"/>
                <w:sz w:val="22"/>
                <w:szCs w:val="22"/>
              </w:rPr>
            </w:pPr>
            <w:r w:rsidRPr="00C67B14">
              <w:rPr>
                <w:color w:val="000000"/>
                <w:sz w:val="22"/>
                <w:szCs w:val="22"/>
              </w:rPr>
              <w:t>$0.00</w:t>
            </w:r>
          </w:p>
        </w:tc>
        <w:tc>
          <w:tcPr>
            <w:tcW w:w="1866" w:type="dxa"/>
            <w:shd w:val="clear" w:color="auto" w:fill="auto"/>
            <w:noWrap/>
            <w:vAlign w:val="bottom"/>
            <w:hideMark/>
          </w:tcPr>
          <w:p w:rsidR="00C67B14" w:rsidRPr="00C67B14" w:rsidRDefault="00C67B14" w:rsidP="00C67B14">
            <w:pPr>
              <w:jc w:val="right"/>
              <w:rPr>
                <w:color w:val="000000"/>
                <w:sz w:val="22"/>
                <w:szCs w:val="22"/>
              </w:rPr>
            </w:pPr>
            <w:r w:rsidRPr="00C67B14">
              <w:rPr>
                <w:color w:val="000000"/>
                <w:sz w:val="22"/>
                <w:szCs w:val="22"/>
              </w:rPr>
              <w:t>$32,952,033</w:t>
            </w:r>
          </w:p>
        </w:tc>
      </w:tr>
      <w:tr w:rsidR="00C67B14" w:rsidRPr="00D42609" w:rsidTr="00C67B14">
        <w:trPr>
          <w:trHeight w:val="300"/>
        </w:trPr>
        <w:tc>
          <w:tcPr>
            <w:tcW w:w="2895" w:type="dxa"/>
            <w:shd w:val="clear" w:color="auto" w:fill="auto"/>
            <w:noWrap/>
            <w:vAlign w:val="bottom"/>
            <w:hideMark/>
          </w:tcPr>
          <w:p w:rsidR="00C67B14" w:rsidRPr="00D55A78" w:rsidRDefault="00C67B14" w:rsidP="00BC31BD">
            <w:pPr>
              <w:rPr>
                <w:rFonts w:eastAsia="Calibri"/>
              </w:rPr>
            </w:pPr>
            <w:r w:rsidRPr="00D55A78">
              <w:rPr>
                <w:rFonts w:eastAsia="Calibri"/>
                <w:sz w:val="22"/>
              </w:rPr>
              <w:t>Online Payments (Bank bill pay, APS, etc…)</w:t>
            </w:r>
          </w:p>
        </w:tc>
        <w:tc>
          <w:tcPr>
            <w:tcW w:w="1353" w:type="dxa"/>
            <w:shd w:val="clear" w:color="auto" w:fill="auto"/>
            <w:noWrap/>
            <w:vAlign w:val="bottom"/>
            <w:hideMark/>
          </w:tcPr>
          <w:p w:rsidR="00C67B14" w:rsidRPr="00C67B14" w:rsidRDefault="00C67B14">
            <w:pPr>
              <w:jc w:val="right"/>
              <w:rPr>
                <w:color w:val="000000"/>
                <w:sz w:val="22"/>
                <w:szCs w:val="22"/>
              </w:rPr>
            </w:pPr>
            <w:r w:rsidRPr="00C67B14">
              <w:rPr>
                <w:color w:val="000000"/>
                <w:sz w:val="22"/>
                <w:szCs w:val="22"/>
              </w:rPr>
              <w:t>1,695,148</w:t>
            </w:r>
          </w:p>
        </w:tc>
        <w:tc>
          <w:tcPr>
            <w:tcW w:w="1316" w:type="dxa"/>
            <w:shd w:val="clear" w:color="auto" w:fill="auto"/>
            <w:noWrap/>
            <w:vAlign w:val="bottom"/>
            <w:hideMark/>
          </w:tcPr>
          <w:p w:rsidR="00C67B14" w:rsidRPr="00C67B14" w:rsidRDefault="00C67B14">
            <w:pPr>
              <w:jc w:val="right"/>
              <w:rPr>
                <w:color w:val="000000"/>
                <w:sz w:val="22"/>
                <w:szCs w:val="22"/>
              </w:rPr>
            </w:pPr>
            <w:r w:rsidRPr="00C67B14">
              <w:rPr>
                <w:color w:val="000000"/>
                <w:sz w:val="22"/>
                <w:szCs w:val="22"/>
              </w:rPr>
              <w:t>$107,282</w:t>
            </w:r>
          </w:p>
        </w:tc>
        <w:tc>
          <w:tcPr>
            <w:tcW w:w="1533" w:type="dxa"/>
            <w:shd w:val="clear" w:color="auto" w:fill="auto"/>
            <w:noWrap/>
            <w:vAlign w:val="bottom"/>
            <w:hideMark/>
          </w:tcPr>
          <w:p w:rsidR="00C67B14" w:rsidRPr="00C67B14" w:rsidRDefault="00C67B14">
            <w:pPr>
              <w:jc w:val="center"/>
              <w:rPr>
                <w:color w:val="000000"/>
                <w:sz w:val="22"/>
                <w:szCs w:val="22"/>
              </w:rPr>
            </w:pPr>
            <w:r w:rsidRPr="00C67B14">
              <w:rPr>
                <w:color w:val="000000"/>
                <w:sz w:val="22"/>
                <w:szCs w:val="22"/>
              </w:rPr>
              <w:t>$0.06</w:t>
            </w:r>
          </w:p>
        </w:tc>
        <w:tc>
          <w:tcPr>
            <w:tcW w:w="1353" w:type="dxa"/>
            <w:vAlign w:val="bottom"/>
          </w:tcPr>
          <w:p w:rsidR="00C67B14" w:rsidRPr="00C67B14" w:rsidRDefault="00C67B14">
            <w:pPr>
              <w:jc w:val="center"/>
              <w:rPr>
                <w:color w:val="000000"/>
                <w:sz w:val="22"/>
                <w:szCs w:val="22"/>
              </w:rPr>
            </w:pPr>
            <w:r w:rsidRPr="00C67B14">
              <w:rPr>
                <w:color w:val="000000"/>
                <w:sz w:val="22"/>
                <w:szCs w:val="22"/>
              </w:rPr>
              <w:t>$0.00</w:t>
            </w:r>
          </w:p>
        </w:tc>
        <w:tc>
          <w:tcPr>
            <w:tcW w:w="1866" w:type="dxa"/>
            <w:shd w:val="clear" w:color="auto" w:fill="auto"/>
            <w:noWrap/>
            <w:vAlign w:val="bottom"/>
            <w:hideMark/>
          </w:tcPr>
          <w:p w:rsidR="00C67B14" w:rsidRPr="00C67B14" w:rsidRDefault="00C67B14" w:rsidP="00C67B14">
            <w:pPr>
              <w:jc w:val="right"/>
              <w:rPr>
                <w:color w:val="000000"/>
                <w:sz w:val="22"/>
                <w:szCs w:val="22"/>
              </w:rPr>
            </w:pPr>
            <w:r w:rsidRPr="00C67B14">
              <w:rPr>
                <w:color w:val="000000"/>
                <w:sz w:val="22"/>
                <w:szCs w:val="22"/>
              </w:rPr>
              <w:t>$323,320,660</w:t>
            </w:r>
          </w:p>
        </w:tc>
      </w:tr>
      <w:tr w:rsidR="00C67B14" w:rsidRPr="00D42609" w:rsidTr="00C67B14">
        <w:trPr>
          <w:trHeight w:val="300"/>
        </w:trPr>
        <w:tc>
          <w:tcPr>
            <w:tcW w:w="2895" w:type="dxa"/>
            <w:shd w:val="clear" w:color="auto" w:fill="auto"/>
            <w:noWrap/>
            <w:vAlign w:val="bottom"/>
            <w:hideMark/>
          </w:tcPr>
          <w:p w:rsidR="00C67B14" w:rsidRPr="00D55A78" w:rsidRDefault="00C67B14" w:rsidP="00BC31BD">
            <w:pPr>
              <w:rPr>
                <w:rFonts w:eastAsia="Calibri"/>
              </w:rPr>
            </w:pPr>
            <w:r w:rsidRPr="00D55A78">
              <w:rPr>
                <w:rFonts w:eastAsia="Calibri"/>
                <w:sz w:val="22"/>
              </w:rPr>
              <w:t xml:space="preserve">ACH - paid with a "My Avista Account"  </w:t>
            </w:r>
          </w:p>
        </w:tc>
        <w:tc>
          <w:tcPr>
            <w:tcW w:w="1353" w:type="dxa"/>
            <w:shd w:val="clear" w:color="auto" w:fill="auto"/>
            <w:noWrap/>
            <w:vAlign w:val="bottom"/>
            <w:hideMark/>
          </w:tcPr>
          <w:p w:rsidR="00C67B14" w:rsidRPr="00C67B14" w:rsidRDefault="00C67B14">
            <w:pPr>
              <w:jc w:val="right"/>
              <w:rPr>
                <w:color w:val="000000"/>
                <w:sz w:val="22"/>
                <w:szCs w:val="22"/>
              </w:rPr>
            </w:pPr>
            <w:r w:rsidRPr="00C67B14">
              <w:rPr>
                <w:color w:val="000000"/>
                <w:sz w:val="22"/>
                <w:szCs w:val="22"/>
              </w:rPr>
              <w:t>809,704</w:t>
            </w:r>
          </w:p>
        </w:tc>
        <w:tc>
          <w:tcPr>
            <w:tcW w:w="1316" w:type="dxa"/>
            <w:shd w:val="clear" w:color="auto" w:fill="auto"/>
            <w:noWrap/>
            <w:vAlign w:val="bottom"/>
            <w:hideMark/>
          </w:tcPr>
          <w:p w:rsidR="00C67B14" w:rsidRPr="00C67B14" w:rsidRDefault="00C67B14">
            <w:pPr>
              <w:jc w:val="right"/>
              <w:rPr>
                <w:color w:val="000000"/>
                <w:sz w:val="22"/>
                <w:szCs w:val="22"/>
              </w:rPr>
            </w:pPr>
            <w:r w:rsidRPr="00C67B14">
              <w:rPr>
                <w:color w:val="000000"/>
                <w:sz w:val="22"/>
                <w:szCs w:val="22"/>
              </w:rPr>
              <w:t>$140,170</w:t>
            </w:r>
          </w:p>
        </w:tc>
        <w:tc>
          <w:tcPr>
            <w:tcW w:w="1533" w:type="dxa"/>
            <w:shd w:val="clear" w:color="auto" w:fill="auto"/>
            <w:noWrap/>
            <w:vAlign w:val="bottom"/>
            <w:hideMark/>
          </w:tcPr>
          <w:p w:rsidR="00C67B14" w:rsidRPr="00C67B14" w:rsidRDefault="00C67B14">
            <w:pPr>
              <w:jc w:val="center"/>
              <w:rPr>
                <w:color w:val="000000"/>
                <w:sz w:val="22"/>
                <w:szCs w:val="22"/>
              </w:rPr>
            </w:pPr>
            <w:r w:rsidRPr="00C67B14">
              <w:rPr>
                <w:color w:val="000000"/>
                <w:sz w:val="22"/>
                <w:szCs w:val="22"/>
              </w:rPr>
              <w:t>$0.17</w:t>
            </w:r>
          </w:p>
        </w:tc>
        <w:tc>
          <w:tcPr>
            <w:tcW w:w="1353" w:type="dxa"/>
            <w:vAlign w:val="bottom"/>
          </w:tcPr>
          <w:p w:rsidR="00C67B14" w:rsidRPr="00C67B14" w:rsidRDefault="00C67B14">
            <w:pPr>
              <w:jc w:val="center"/>
              <w:rPr>
                <w:color w:val="000000"/>
                <w:sz w:val="22"/>
                <w:szCs w:val="22"/>
              </w:rPr>
            </w:pPr>
            <w:r w:rsidRPr="00C67B14">
              <w:rPr>
                <w:color w:val="000000"/>
                <w:sz w:val="22"/>
                <w:szCs w:val="22"/>
              </w:rPr>
              <w:t>$0.00</w:t>
            </w:r>
          </w:p>
        </w:tc>
        <w:tc>
          <w:tcPr>
            <w:tcW w:w="1866" w:type="dxa"/>
            <w:shd w:val="clear" w:color="auto" w:fill="auto"/>
            <w:noWrap/>
            <w:vAlign w:val="bottom"/>
            <w:hideMark/>
          </w:tcPr>
          <w:p w:rsidR="00C67B14" w:rsidRPr="00C67B14" w:rsidRDefault="00C67B14" w:rsidP="00C67B14">
            <w:pPr>
              <w:jc w:val="right"/>
              <w:rPr>
                <w:color w:val="000000"/>
                <w:sz w:val="22"/>
                <w:szCs w:val="22"/>
              </w:rPr>
            </w:pPr>
            <w:r w:rsidRPr="00C67B14">
              <w:rPr>
                <w:color w:val="000000"/>
                <w:sz w:val="22"/>
                <w:szCs w:val="22"/>
              </w:rPr>
              <w:t>$113,505,583</w:t>
            </w:r>
          </w:p>
        </w:tc>
      </w:tr>
      <w:tr w:rsidR="00C67B14" w:rsidRPr="00D42609" w:rsidTr="00C67B14">
        <w:trPr>
          <w:trHeight w:val="345"/>
        </w:trPr>
        <w:tc>
          <w:tcPr>
            <w:tcW w:w="2895" w:type="dxa"/>
            <w:shd w:val="clear" w:color="auto" w:fill="auto"/>
            <w:noWrap/>
            <w:vAlign w:val="bottom"/>
            <w:hideMark/>
          </w:tcPr>
          <w:p w:rsidR="00C67B14" w:rsidRPr="00D55A78" w:rsidRDefault="00C67B14" w:rsidP="00BC31BD">
            <w:pPr>
              <w:rPr>
                <w:rFonts w:eastAsia="Calibri"/>
              </w:rPr>
            </w:pPr>
            <w:r w:rsidRPr="00D55A78">
              <w:rPr>
                <w:rFonts w:eastAsia="Calibri"/>
                <w:sz w:val="22"/>
              </w:rPr>
              <w:t>One-Time Ach - paid without a "My Avista Account"</w:t>
            </w:r>
            <w:r w:rsidRPr="00D55A78">
              <w:rPr>
                <w:rFonts w:eastAsia="Calibri"/>
                <w:sz w:val="22"/>
                <w:vertAlign w:val="superscript"/>
              </w:rPr>
              <w:t xml:space="preserve">(2) </w:t>
            </w:r>
          </w:p>
        </w:tc>
        <w:tc>
          <w:tcPr>
            <w:tcW w:w="1353" w:type="dxa"/>
            <w:shd w:val="clear" w:color="auto" w:fill="auto"/>
            <w:noWrap/>
            <w:vAlign w:val="bottom"/>
            <w:hideMark/>
          </w:tcPr>
          <w:p w:rsidR="00C67B14" w:rsidRPr="00C67B14" w:rsidRDefault="00C67B14">
            <w:pPr>
              <w:jc w:val="right"/>
              <w:rPr>
                <w:color w:val="000000"/>
                <w:sz w:val="22"/>
                <w:szCs w:val="22"/>
              </w:rPr>
            </w:pPr>
            <w:r w:rsidRPr="00C67B14">
              <w:rPr>
                <w:color w:val="000000"/>
                <w:sz w:val="22"/>
                <w:szCs w:val="22"/>
              </w:rPr>
              <w:t>18,999</w:t>
            </w:r>
          </w:p>
        </w:tc>
        <w:tc>
          <w:tcPr>
            <w:tcW w:w="1316" w:type="dxa"/>
            <w:shd w:val="clear" w:color="auto" w:fill="auto"/>
            <w:noWrap/>
            <w:vAlign w:val="bottom"/>
            <w:hideMark/>
          </w:tcPr>
          <w:p w:rsidR="00C67B14" w:rsidRPr="00C67B14" w:rsidRDefault="00C67B14">
            <w:pPr>
              <w:jc w:val="right"/>
              <w:rPr>
                <w:color w:val="000000"/>
                <w:sz w:val="22"/>
                <w:szCs w:val="22"/>
              </w:rPr>
            </w:pPr>
            <w:r w:rsidRPr="00C67B14">
              <w:rPr>
                <w:color w:val="000000"/>
                <w:sz w:val="22"/>
                <w:szCs w:val="22"/>
              </w:rPr>
              <w:t>$635</w:t>
            </w:r>
          </w:p>
        </w:tc>
        <w:tc>
          <w:tcPr>
            <w:tcW w:w="1533" w:type="dxa"/>
            <w:shd w:val="clear" w:color="auto" w:fill="auto"/>
            <w:noWrap/>
            <w:vAlign w:val="bottom"/>
            <w:hideMark/>
          </w:tcPr>
          <w:p w:rsidR="00C67B14" w:rsidRPr="00C67B14" w:rsidRDefault="00C67B14">
            <w:pPr>
              <w:jc w:val="center"/>
              <w:rPr>
                <w:color w:val="000000"/>
                <w:sz w:val="22"/>
                <w:szCs w:val="22"/>
              </w:rPr>
            </w:pPr>
            <w:r w:rsidRPr="00C67B14">
              <w:rPr>
                <w:color w:val="000000"/>
                <w:sz w:val="22"/>
                <w:szCs w:val="22"/>
              </w:rPr>
              <w:t>$0.03</w:t>
            </w:r>
          </w:p>
        </w:tc>
        <w:tc>
          <w:tcPr>
            <w:tcW w:w="1353" w:type="dxa"/>
            <w:vAlign w:val="bottom"/>
          </w:tcPr>
          <w:p w:rsidR="00C67B14" w:rsidRPr="00C67B14" w:rsidRDefault="00C67B14">
            <w:pPr>
              <w:jc w:val="center"/>
              <w:rPr>
                <w:color w:val="000000"/>
                <w:sz w:val="22"/>
                <w:szCs w:val="22"/>
              </w:rPr>
            </w:pPr>
            <w:r w:rsidRPr="00C67B14">
              <w:rPr>
                <w:color w:val="000000"/>
                <w:sz w:val="22"/>
                <w:szCs w:val="22"/>
              </w:rPr>
              <w:t>$3.50</w:t>
            </w:r>
          </w:p>
        </w:tc>
        <w:tc>
          <w:tcPr>
            <w:tcW w:w="1866" w:type="dxa"/>
            <w:shd w:val="clear" w:color="auto" w:fill="auto"/>
            <w:noWrap/>
            <w:vAlign w:val="bottom"/>
            <w:hideMark/>
          </w:tcPr>
          <w:p w:rsidR="00C67B14" w:rsidRPr="00C67B14" w:rsidRDefault="00C67B14" w:rsidP="00C67B14">
            <w:pPr>
              <w:jc w:val="right"/>
              <w:rPr>
                <w:color w:val="000000"/>
                <w:sz w:val="22"/>
                <w:szCs w:val="22"/>
              </w:rPr>
            </w:pPr>
            <w:r w:rsidRPr="00C67B14">
              <w:rPr>
                <w:color w:val="000000"/>
                <w:sz w:val="22"/>
                <w:szCs w:val="22"/>
              </w:rPr>
              <w:t>$5,046,334</w:t>
            </w:r>
          </w:p>
        </w:tc>
      </w:tr>
      <w:tr w:rsidR="00C67B14" w:rsidRPr="00D42609" w:rsidTr="00C67B14">
        <w:trPr>
          <w:trHeight w:val="345"/>
        </w:trPr>
        <w:tc>
          <w:tcPr>
            <w:tcW w:w="2895" w:type="dxa"/>
            <w:shd w:val="clear" w:color="auto" w:fill="auto"/>
            <w:noWrap/>
            <w:vAlign w:val="bottom"/>
            <w:hideMark/>
          </w:tcPr>
          <w:p w:rsidR="00C67B14" w:rsidRPr="00D55A78" w:rsidRDefault="00C67B14" w:rsidP="00BC31BD">
            <w:pPr>
              <w:rPr>
                <w:rFonts w:eastAsia="Calibri"/>
              </w:rPr>
            </w:pPr>
            <w:r w:rsidRPr="00D55A78">
              <w:rPr>
                <w:rFonts w:eastAsia="Calibri"/>
                <w:sz w:val="22"/>
              </w:rPr>
              <w:t>Credit Card</w:t>
            </w:r>
            <w:r w:rsidRPr="00D55A78">
              <w:rPr>
                <w:rFonts w:eastAsia="Calibri"/>
                <w:sz w:val="22"/>
                <w:vertAlign w:val="superscript"/>
              </w:rPr>
              <w:t>(2)</w:t>
            </w:r>
          </w:p>
        </w:tc>
        <w:tc>
          <w:tcPr>
            <w:tcW w:w="1353" w:type="dxa"/>
            <w:shd w:val="clear" w:color="auto" w:fill="auto"/>
            <w:noWrap/>
            <w:vAlign w:val="bottom"/>
            <w:hideMark/>
          </w:tcPr>
          <w:p w:rsidR="00C67B14" w:rsidRPr="00C67B14" w:rsidRDefault="00C67B14">
            <w:pPr>
              <w:jc w:val="right"/>
              <w:rPr>
                <w:color w:val="000000"/>
                <w:sz w:val="22"/>
                <w:szCs w:val="22"/>
              </w:rPr>
            </w:pPr>
            <w:r w:rsidRPr="00C67B14">
              <w:rPr>
                <w:color w:val="000000"/>
                <w:sz w:val="22"/>
                <w:szCs w:val="22"/>
              </w:rPr>
              <w:t>154,179</w:t>
            </w:r>
          </w:p>
        </w:tc>
        <w:tc>
          <w:tcPr>
            <w:tcW w:w="1316" w:type="dxa"/>
            <w:shd w:val="clear" w:color="auto" w:fill="auto"/>
            <w:noWrap/>
            <w:vAlign w:val="bottom"/>
            <w:hideMark/>
          </w:tcPr>
          <w:p w:rsidR="00C67B14" w:rsidRPr="00C67B14" w:rsidRDefault="00C67B14">
            <w:pPr>
              <w:jc w:val="right"/>
              <w:rPr>
                <w:color w:val="000000"/>
                <w:sz w:val="22"/>
                <w:szCs w:val="22"/>
              </w:rPr>
            </w:pPr>
            <w:r w:rsidRPr="00C67B14">
              <w:rPr>
                <w:color w:val="000000"/>
                <w:sz w:val="22"/>
                <w:szCs w:val="22"/>
              </w:rPr>
              <w:t>$5,140</w:t>
            </w:r>
          </w:p>
        </w:tc>
        <w:tc>
          <w:tcPr>
            <w:tcW w:w="1533" w:type="dxa"/>
            <w:shd w:val="clear" w:color="auto" w:fill="auto"/>
            <w:noWrap/>
            <w:vAlign w:val="bottom"/>
            <w:hideMark/>
          </w:tcPr>
          <w:p w:rsidR="00C67B14" w:rsidRPr="00C67B14" w:rsidRDefault="00C67B14">
            <w:pPr>
              <w:jc w:val="center"/>
              <w:rPr>
                <w:color w:val="000000"/>
                <w:sz w:val="22"/>
                <w:szCs w:val="22"/>
              </w:rPr>
            </w:pPr>
            <w:r w:rsidRPr="00C67B14">
              <w:rPr>
                <w:color w:val="000000"/>
                <w:sz w:val="22"/>
                <w:szCs w:val="22"/>
              </w:rPr>
              <w:t>$0.03</w:t>
            </w:r>
          </w:p>
        </w:tc>
        <w:tc>
          <w:tcPr>
            <w:tcW w:w="1353" w:type="dxa"/>
            <w:vAlign w:val="bottom"/>
          </w:tcPr>
          <w:p w:rsidR="00C67B14" w:rsidRPr="00C67B14" w:rsidRDefault="00C67B14">
            <w:pPr>
              <w:jc w:val="center"/>
              <w:rPr>
                <w:color w:val="000000"/>
                <w:sz w:val="22"/>
                <w:szCs w:val="22"/>
              </w:rPr>
            </w:pPr>
            <w:r w:rsidRPr="00C67B14">
              <w:rPr>
                <w:color w:val="000000"/>
                <w:sz w:val="22"/>
                <w:szCs w:val="22"/>
              </w:rPr>
              <w:t>$3.50</w:t>
            </w:r>
          </w:p>
        </w:tc>
        <w:tc>
          <w:tcPr>
            <w:tcW w:w="1866" w:type="dxa"/>
            <w:shd w:val="clear" w:color="auto" w:fill="auto"/>
            <w:noWrap/>
            <w:vAlign w:val="bottom"/>
            <w:hideMark/>
          </w:tcPr>
          <w:p w:rsidR="00C67B14" w:rsidRPr="00C67B14" w:rsidRDefault="00C67B14" w:rsidP="00C67B14">
            <w:pPr>
              <w:jc w:val="right"/>
              <w:rPr>
                <w:color w:val="000000"/>
                <w:sz w:val="22"/>
                <w:szCs w:val="22"/>
              </w:rPr>
            </w:pPr>
            <w:r w:rsidRPr="00C67B14">
              <w:rPr>
                <w:color w:val="000000"/>
                <w:sz w:val="22"/>
                <w:szCs w:val="22"/>
              </w:rPr>
              <w:t>$28,059,241</w:t>
            </w:r>
          </w:p>
        </w:tc>
      </w:tr>
      <w:tr w:rsidR="00C67B14" w:rsidRPr="00D42609" w:rsidTr="00C67B14">
        <w:trPr>
          <w:trHeight w:val="345"/>
        </w:trPr>
        <w:tc>
          <w:tcPr>
            <w:tcW w:w="2895" w:type="dxa"/>
            <w:shd w:val="clear" w:color="auto" w:fill="auto"/>
            <w:noWrap/>
            <w:vAlign w:val="bottom"/>
            <w:hideMark/>
          </w:tcPr>
          <w:p w:rsidR="00C67B14" w:rsidRPr="00D55A78" w:rsidRDefault="00C67B14" w:rsidP="00BC31BD">
            <w:pPr>
              <w:rPr>
                <w:rFonts w:eastAsia="Calibri"/>
              </w:rPr>
            </w:pPr>
            <w:r w:rsidRPr="00D55A78">
              <w:rPr>
                <w:rFonts w:eastAsia="Calibri"/>
                <w:sz w:val="22"/>
              </w:rPr>
              <w:t>Pinless Debit</w:t>
            </w:r>
            <w:r w:rsidRPr="00D55A78">
              <w:rPr>
                <w:rFonts w:eastAsia="Calibri"/>
                <w:sz w:val="22"/>
                <w:vertAlign w:val="superscript"/>
              </w:rPr>
              <w:t>(2)</w:t>
            </w:r>
          </w:p>
        </w:tc>
        <w:tc>
          <w:tcPr>
            <w:tcW w:w="1353" w:type="dxa"/>
            <w:shd w:val="clear" w:color="auto" w:fill="auto"/>
            <w:noWrap/>
            <w:vAlign w:val="bottom"/>
            <w:hideMark/>
          </w:tcPr>
          <w:p w:rsidR="00C67B14" w:rsidRPr="00C67B14" w:rsidRDefault="00C67B14">
            <w:pPr>
              <w:jc w:val="right"/>
              <w:rPr>
                <w:color w:val="000000"/>
                <w:sz w:val="22"/>
                <w:szCs w:val="22"/>
              </w:rPr>
            </w:pPr>
            <w:r w:rsidRPr="00C67B14">
              <w:rPr>
                <w:color w:val="000000"/>
                <w:sz w:val="22"/>
                <w:szCs w:val="22"/>
              </w:rPr>
              <w:t>99,636</w:t>
            </w:r>
          </w:p>
        </w:tc>
        <w:tc>
          <w:tcPr>
            <w:tcW w:w="1316" w:type="dxa"/>
            <w:shd w:val="clear" w:color="auto" w:fill="auto"/>
            <w:noWrap/>
            <w:vAlign w:val="bottom"/>
            <w:hideMark/>
          </w:tcPr>
          <w:p w:rsidR="00C67B14" w:rsidRPr="00C67B14" w:rsidRDefault="00C67B14">
            <w:pPr>
              <w:jc w:val="right"/>
              <w:rPr>
                <w:color w:val="000000"/>
                <w:sz w:val="22"/>
                <w:szCs w:val="22"/>
              </w:rPr>
            </w:pPr>
            <w:r w:rsidRPr="00C67B14">
              <w:rPr>
                <w:color w:val="000000"/>
                <w:sz w:val="22"/>
                <w:szCs w:val="22"/>
              </w:rPr>
              <w:t>$3,405</w:t>
            </w:r>
          </w:p>
        </w:tc>
        <w:tc>
          <w:tcPr>
            <w:tcW w:w="1533" w:type="dxa"/>
            <w:shd w:val="clear" w:color="auto" w:fill="auto"/>
            <w:noWrap/>
            <w:vAlign w:val="bottom"/>
            <w:hideMark/>
          </w:tcPr>
          <w:p w:rsidR="00C67B14" w:rsidRPr="00C67B14" w:rsidRDefault="00C67B14">
            <w:pPr>
              <w:jc w:val="center"/>
              <w:rPr>
                <w:color w:val="000000"/>
                <w:sz w:val="22"/>
                <w:szCs w:val="22"/>
              </w:rPr>
            </w:pPr>
            <w:r w:rsidRPr="00C67B14">
              <w:rPr>
                <w:color w:val="000000"/>
                <w:sz w:val="22"/>
                <w:szCs w:val="22"/>
              </w:rPr>
              <w:t>$0.03</w:t>
            </w:r>
          </w:p>
        </w:tc>
        <w:tc>
          <w:tcPr>
            <w:tcW w:w="1353" w:type="dxa"/>
            <w:vAlign w:val="bottom"/>
          </w:tcPr>
          <w:p w:rsidR="00C67B14" w:rsidRPr="00C67B14" w:rsidRDefault="00C67B14">
            <w:pPr>
              <w:jc w:val="center"/>
              <w:rPr>
                <w:color w:val="000000"/>
                <w:sz w:val="22"/>
                <w:szCs w:val="22"/>
              </w:rPr>
            </w:pPr>
            <w:r w:rsidRPr="00C67B14">
              <w:rPr>
                <w:color w:val="000000"/>
                <w:sz w:val="22"/>
                <w:szCs w:val="22"/>
              </w:rPr>
              <w:t>$3.50</w:t>
            </w:r>
          </w:p>
        </w:tc>
        <w:tc>
          <w:tcPr>
            <w:tcW w:w="1866" w:type="dxa"/>
            <w:shd w:val="clear" w:color="auto" w:fill="auto"/>
            <w:noWrap/>
            <w:vAlign w:val="bottom"/>
            <w:hideMark/>
          </w:tcPr>
          <w:p w:rsidR="00C67B14" w:rsidRPr="00C67B14" w:rsidRDefault="00C67B14" w:rsidP="00C67B14">
            <w:pPr>
              <w:jc w:val="right"/>
              <w:rPr>
                <w:color w:val="000000"/>
                <w:sz w:val="22"/>
                <w:szCs w:val="22"/>
              </w:rPr>
            </w:pPr>
            <w:r w:rsidRPr="00C67B14">
              <w:rPr>
                <w:color w:val="000000"/>
                <w:sz w:val="22"/>
                <w:szCs w:val="22"/>
              </w:rPr>
              <w:t>$16,207,333</w:t>
            </w:r>
          </w:p>
        </w:tc>
      </w:tr>
      <w:tr w:rsidR="00C67B14" w:rsidRPr="00D42609" w:rsidTr="00C67B14">
        <w:trPr>
          <w:trHeight w:val="300"/>
        </w:trPr>
        <w:tc>
          <w:tcPr>
            <w:tcW w:w="2895" w:type="dxa"/>
            <w:shd w:val="clear" w:color="auto" w:fill="auto"/>
            <w:noWrap/>
            <w:vAlign w:val="bottom"/>
            <w:hideMark/>
          </w:tcPr>
          <w:p w:rsidR="00C67B14" w:rsidRPr="00D55A78" w:rsidRDefault="00C67B14" w:rsidP="00BC31BD">
            <w:pPr>
              <w:rPr>
                <w:rFonts w:eastAsia="Calibri"/>
              </w:rPr>
            </w:pPr>
            <w:r w:rsidRPr="00D55A78">
              <w:rPr>
                <w:rFonts w:eastAsia="Calibri"/>
                <w:sz w:val="22"/>
              </w:rPr>
              <w:t>Total Payments</w:t>
            </w:r>
          </w:p>
        </w:tc>
        <w:tc>
          <w:tcPr>
            <w:tcW w:w="1353" w:type="dxa"/>
            <w:shd w:val="clear" w:color="auto" w:fill="auto"/>
            <w:noWrap/>
            <w:vAlign w:val="bottom"/>
            <w:hideMark/>
          </w:tcPr>
          <w:p w:rsidR="00C67B14" w:rsidRPr="00C67B14" w:rsidRDefault="00C67B14">
            <w:pPr>
              <w:jc w:val="right"/>
              <w:rPr>
                <w:color w:val="000000"/>
                <w:sz w:val="22"/>
                <w:szCs w:val="22"/>
              </w:rPr>
            </w:pPr>
            <w:r w:rsidRPr="00C67B14">
              <w:rPr>
                <w:color w:val="000000"/>
                <w:sz w:val="22"/>
                <w:szCs w:val="22"/>
              </w:rPr>
              <w:t>4,858,443</w:t>
            </w:r>
          </w:p>
        </w:tc>
        <w:tc>
          <w:tcPr>
            <w:tcW w:w="1316" w:type="dxa"/>
            <w:shd w:val="clear" w:color="auto" w:fill="auto"/>
            <w:noWrap/>
            <w:vAlign w:val="bottom"/>
            <w:hideMark/>
          </w:tcPr>
          <w:p w:rsidR="00C67B14" w:rsidRPr="00C67B14" w:rsidRDefault="00C67B14">
            <w:pPr>
              <w:jc w:val="right"/>
              <w:rPr>
                <w:color w:val="000000"/>
                <w:sz w:val="22"/>
                <w:szCs w:val="22"/>
              </w:rPr>
            </w:pPr>
            <w:r w:rsidRPr="00C67B14">
              <w:rPr>
                <w:color w:val="000000"/>
                <w:sz w:val="22"/>
                <w:szCs w:val="22"/>
              </w:rPr>
              <w:t>$947,299</w:t>
            </w:r>
          </w:p>
        </w:tc>
        <w:tc>
          <w:tcPr>
            <w:tcW w:w="1533" w:type="dxa"/>
            <w:shd w:val="clear" w:color="auto" w:fill="auto"/>
            <w:noWrap/>
            <w:vAlign w:val="bottom"/>
            <w:hideMark/>
          </w:tcPr>
          <w:p w:rsidR="00C67B14" w:rsidRPr="00C67B14" w:rsidRDefault="00C67B14">
            <w:pPr>
              <w:jc w:val="center"/>
              <w:rPr>
                <w:color w:val="000000"/>
                <w:sz w:val="22"/>
                <w:szCs w:val="22"/>
              </w:rPr>
            </w:pPr>
            <w:r w:rsidRPr="00C67B14">
              <w:rPr>
                <w:color w:val="000000"/>
                <w:sz w:val="22"/>
                <w:szCs w:val="22"/>
              </w:rPr>
              <w:t> </w:t>
            </w:r>
          </w:p>
        </w:tc>
        <w:tc>
          <w:tcPr>
            <w:tcW w:w="1353" w:type="dxa"/>
            <w:vAlign w:val="bottom"/>
          </w:tcPr>
          <w:p w:rsidR="00C67B14" w:rsidRPr="00C67B14" w:rsidRDefault="00C67B14">
            <w:pPr>
              <w:jc w:val="center"/>
              <w:rPr>
                <w:color w:val="000000"/>
                <w:sz w:val="22"/>
                <w:szCs w:val="22"/>
              </w:rPr>
            </w:pPr>
            <w:r w:rsidRPr="00C67B14">
              <w:rPr>
                <w:color w:val="000000"/>
                <w:sz w:val="22"/>
                <w:szCs w:val="22"/>
              </w:rPr>
              <w:t> </w:t>
            </w:r>
          </w:p>
        </w:tc>
        <w:tc>
          <w:tcPr>
            <w:tcW w:w="1866" w:type="dxa"/>
            <w:shd w:val="clear" w:color="auto" w:fill="auto"/>
            <w:noWrap/>
            <w:vAlign w:val="bottom"/>
            <w:hideMark/>
          </w:tcPr>
          <w:p w:rsidR="00C67B14" w:rsidRPr="00C67B14" w:rsidRDefault="00C67B14" w:rsidP="00C67B14">
            <w:pPr>
              <w:jc w:val="right"/>
              <w:rPr>
                <w:color w:val="000000"/>
                <w:sz w:val="22"/>
                <w:szCs w:val="22"/>
              </w:rPr>
            </w:pPr>
            <w:r w:rsidRPr="00C67B14">
              <w:rPr>
                <w:color w:val="000000"/>
                <w:sz w:val="22"/>
                <w:szCs w:val="22"/>
              </w:rPr>
              <w:t>$1,138,332,620</w:t>
            </w:r>
          </w:p>
        </w:tc>
      </w:tr>
    </w:tbl>
    <w:p w:rsidR="00A34C91" w:rsidRDefault="00A34C91" w:rsidP="00A34C91">
      <w:pPr>
        <w:pStyle w:val="Header"/>
        <w:tabs>
          <w:tab w:val="left" w:pos="720"/>
        </w:tabs>
        <w:ind w:left="245"/>
        <w:contextualSpacing/>
        <w:jc w:val="both"/>
      </w:pPr>
    </w:p>
    <w:p w:rsidR="00A34C91" w:rsidRPr="00C150E6" w:rsidRDefault="00A34C91" w:rsidP="00A34C91">
      <w:pPr>
        <w:jc w:val="both"/>
        <w:rPr>
          <w:rFonts w:eastAsia="Calibri"/>
          <w:sz w:val="20"/>
          <w:szCs w:val="20"/>
        </w:rPr>
      </w:pPr>
      <w:r w:rsidRPr="00C150E6">
        <w:rPr>
          <w:rFonts w:eastAsia="Calibri"/>
          <w:sz w:val="20"/>
          <w:szCs w:val="20"/>
        </w:rPr>
        <w:t>(1)Mailed payments include all forms of payments received by mail, through drop boxes, and cash or check payments made in person at Avista’s locations where the Company accepts payments.  All of these payments are processed by the Company’s remittance department.  Costs for processing these payments cannot be separated as they are processed together within the same department.</w:t>
      </w:r>
    </w:p>
    <w:p w:rsidR="00A34C91" w:rsidRDefault="00A34C91" w:rsidP="00A34C91">
      <w:pPr>
        <w:jc w:val="both"/>
        <w:rPr>
          <w:rFonts w:eastAsia="Calibri"/>
          <w:sz w:val="20"/>
        </w:rPr>
      </w:pPr>
      <w:r>
        <w:rPr>
          <w:rFonts w:eastAsia="Calibri"/>
          <w:sz w:val="20"/>
        </w:rPr>
        <w:t>(2</w:t>
      </w:r>
      <w:r w:rsidRPr="00E55815">
        <w:rPr>
          <w:rFonts w:eastAsia="Calibri"/>
          <w:sz w:val="20"/>
        </w:rPr>
        <w:t>) This represents the cost for receiving the funds into our bank and any return fees associated with the payments (Customer pays $3.50 for these transactions)</w:t>
      </w:r>
    </w:p>
    <w:p w:rsidR="00355C39" w:rsidRPr="00E55815" w:rsidRDefault="00355C39" w:rsidP="00A34C91">
      <w:pPr>
        <w:jc w:val="both"/>
        <w:rPr>
          <w:rFonts w:eastAsia="Calibri"/>
          <w:sz w:val="20"/>
        </w:rPr>
      </w:pPr>
      <w:r>
        <w:rPr>
          <w:rFonts w:eastAsia="Calibri"/>
          <w:sz w:val="20"/>
        </w:rPr>
        <w:t>(3) Avista’s</w:t>
      </w:r>
      <w:r w:rsidR="003453C3">
        <w:rPr>
          <w:rFonts w:eastAsia="Calibri"/>
          <w:sz w:val="20"/>
        </w:rPr>
        <w:t xml:space="preserve"> cost</w:t>
      </w:r>
      <w:r>
        <w:rPr>
          <w:rFonts w:eastAsia="Calibri"/>
          <w:sz w:val="20"/>
        </w:rPr>
        <w:t xml:space="preserve"> per transaction includes various components for each method of payment.  The following is included for each payment method: (1) Mailed - labor, supplies, equipment and bank fees, (2) </w:t>
      </w:r>
      <w:proofErr w:type="spellStart"/>
      <w:r>
        <w:rPr>
          <w:rFonts w:eastAsia="Calibri"/>
          <w:sz w:val="20"/>
        </w:rPr>
        <w:t>Paystation</w:t>
      </w:r>
      <w:proofErr w:type="spellEnd"/>
      <w:r>
        <w:rPr>
          <w:rFonts w:eastAsia="Calibri"/>
          <w:sz w:val="20"/>
        </w:rPr>
        <w:t xml:space="preserve"> – monthly fees to pay station vendor and bank fees, (3) Online Payments – bank fees, (4) ACH with “My Avista Account” – vendor fees for processing and wire costs for settlement, and (4) One-Time Ach/Credit Card/Pinless Debit – wire costs for settlement.</w:t>
      </w:r>
      <w:r w:rsidR="009F3E76">
        <w:rPr>
          <w:rFonts w:eastAsia="Calibri"/>
          <w:sz w:val="20"/>
        </w:rPr>
        <w:t xml:space="preserve">  The cost per transaction for any method does not include technology or Call Center costs for payments made to a Call Center agent.</w:t>
      </w:r>
    </w:p>
    <w:p w:rsidR="00A34C91" w:rsidRPr="00890F05" w:rsidRDefault="00A34C91" w:rsidP="00A34C91">
      <w:pPr>
        <w:pStyle w:val="Header"/>
        <w:tabs>
          <w:tab w:val="left" w:pos="720"/>
        </w:tabs>
        <w:spacing w:line="480" w:lineRule="auto"/>
        <w:ind w:left="240"/>
        <w:jc w:val="both"/>
        <w:rPr>
          <w:b/>
        </w:rPr>
      </w:pPr>
    </w:p>
    <w:p w:rsidR="00890F05" w:rsidRPr="00890F05" w:rsidRDefault="00B221EF" w:rsidP="00BC31BD">
      <w:pPr>
        <w:pStyle w:val="Header"/>
        <w:numPr>
          <w:ilvl w:val="0"/>
          <w:numId w:val="13"/>
        </w:numPr>
        <w:tabs>
          <w:tab w:val="left" w:pos="720"/>
        </w:tabs>
        <w:spacing w:line="480" w:lineRule="auto"/>
        <w:ind w:left="245" w:hanging="821"/>
        <w:jc w:val="both"/>
        <w:rPr>
          <w:rFonts w:eastAsia="Calibri"/>
        </w:rPr>
      </w:pPr>
      <w:r>
        <w:t xml:space="preserve">       </w:t>
      </w:r>
      <w:r w:rsidR="009811EB">
        <w:t xml:space="preserve">The </w:t>
      </w:r>
      <w:r w:rsidR="00890F05">
        <w:t xml:space="preserve">transaction costs incurred by the Company for all payment methods are included in general administrative expense and </w:t>
      </w:r>
      <w:r w:rsidR="00FB664B">
        <w:t>the</w:t>
      </w:r>
      <w:r w:rsidR="00890F05">
        <w:t xml:space="preserve"> costs for a particular method of payment are not borne exclusively by those specific customers that use that method of payment.</w:t>
      </w:r>
    </w:p>
    <w:p w:rsidR="00BC31BD" w:rsidRPr="00371B3D" w:rsidRDefault="00890F05" w:rsidP="00BC31BD">
      <w:pPr>
        <w:pStyle w:val="Header"/>
        <w:numPr>
          <w:ilvl w:val="0"/>
          <w:numId w:val="13"/>
        </w:numPr>
        <w:tabs>
          <w:tab w:val="left" w:pos="720"/>
        </w:tabs>
        <w:spacing w:line="480" w:lineRule="auto"/>
        <w:ind w:left="245" w:hanging="821"/>
        <w:jc w:val="both"/>
        <w:rPr>
          <w:rFonts w:eastAsia="Calibri"/>
        </w:rPr>
      </w:pPr>
      <w:r>
        <w:rPr>
          <w:rFonts w:eastAsia="Calibri"/>
        </w:rPr>
        <w:lastRenderedPageBreak/>
        <w:t xml:space="preserve">       </w:t>
      </w:r>
      <w:r w:rsidR="00BC31BD" w:rsidRPr="00371B3D">
        <w:rPr>
          <w:rFonts w:eastAsia="Calibri"/>
        </w:rPr>
        <w:t xml:space="preserve">Avista believes residential customers should not be charged a convenience </w:t>
      </w:r>
      <w:r w:rsidR="00371B3D" w:rsidRPr="00371B3D">
        <w:rPr>
          <w:rFonts w:eastAsia="Calibri"/>
        </w:rPr>
        <w:t>fee</w:t>
      </w:r>
      <w:r w:rsidR="00BC31BD" w:rsidRPr="00371B3D">
        <w:rPr>
          <w:rFonts w:eastAsia="Calibri"/>
        </w:rPr>
        <w:t xml:space="preserve"> for payments made </w:t>
      </w:r>
      <w:r w:rsidR="00E112B5" w:rsidRPr="00371B3D">
        <w:rPr>
          <w:rFonts w:eastAsia="Calibri"/>
        </w:rPr>
        <w:t>through</w:t>
      </w:r>
      <w:r w:rsidR="00BC31BD" w:rsidRPr="00371B3D">
        <w:rPr>
          <w:rFonts w:eastAsia="Calibri"/>
        </w:rPr>
        <w:t xml:space="preserve"> any </w:t>
      </w:r>
      <w:r w:rsidR="00E112B5" w:rsidRPr="00371B3D">
        <w:rPr>
          <w:rFonts w:eastAsia="Calibri"/>
        </w:rPr>
        <w:t xml:space="preserve">of its payment </w:t>
      </w:r>
      <w:r w:rsidR="00BC31BD" w:rsidRPr="00371B3D">
        <w:rPr>
          <w:rFonts w:eastAsia="Calibri"/>
        </w:rPr>
        <w:t>channel</w:t>
      </w:r>
      <w:r w:rsidR="00265F27" w:rsidRPr="00371B3D">
        <w:rPr>
          <w:rFonts w:eastAsia="Calibri"/>
        </w:rPr>
        <w:t>s</w:t>
      </w:r>
      <w:r w:rsidR="000F3B62">
        <w:rPr>
          <w:rStyle w:val="FootnoteReference"/>
          <w:rFonts w:eastAsia="Calibri"/>
        </w:rPr>
        <w:footnoteReference w:id="4"/>
      </w:r>
      <w:r w:rsidR="00BC31BD" w:rsidRPr="00371B3D">
        <w:rPr>
          <w:rFonts w:eastAsia="Calibri"/>
        </w:rPr>
        <w:t>.</w:t>
      </w:r>
      <w:r w:rsidR="00E112B5" w:rsidRPr="00371B3D">
        <w:rPr>
          <w:rFonts w:eastAsia="Calibri"/>
        </w:rPr>
        <w:t xml:space="preserve"> </w:t>
      </w:r>
      <w:r w:rsidR="00BC31BD" w:rsidRPr="00371B3D">
        <w:rPr>
          <w:rFonts w:eastAsia="Calibri"/>
        </w:rPr>
        <w:t xml:space="preserve">The requirement to pay a convenience </w:t>
      </w:r>
      <w:r w:rsidR="0049735F">
        <w:rPr>
          <w:rFonts w:eastAsia="Calibri"/>
        </w:rPr>
        <w:t>fee</w:t>
      </w:r>
      <w:r w:rsidR="00BC31BD" w:rsidRPr="00371B3D">
        <w:rPr>
          <w:rFonts w:eastAsia="Calibri"/>
        </w:rPr>
        <w:t xml:space="preserve"> when making a payment is one of the largest frustrations customers </w:t>
      </w:r>
      <w:r w:rsidR="00505BF1">
        <w:rPr>
          <w:rFonts w:eastAsia="Calibri"/>
        </w:rPr>
        <w:t>express</w:t>
      </w:r>
      <w:r w:rsidR="005B2E00">
        <w:rPr>
          <w:rFonts w:eastAsia="Calibri"/>
        </w:rPr>
        <w:t>.</w:t>
      </w:r>
      <w:r w:rsidR="00BC31BD" w:rsidRPr="00371B3D">
        <w:rPr>
          <w:rFonts w:eastAsia="Calibri"/>
        </w:rPr>
        <w:t xml:space="preserve">  Customers have grown accustomed to paying for other products and services with a credit card or debit card without a separate, additional </w:t>
      </w:r>
      <w:r w:rsidR="00371B3D" w:rsidRPr="00371B3D">
        <w:rPr>
          <w:rFonts w:eastAsia="Calibri"/>
        </w:rPr>
        <w:t>fee</w:t>
      </w:r>
      <w:r w:rsidR="00BC31BD" w:rsidRPr="00371B3D">
        <w:rPr>
          <w:rFonts w:eastAsia="Calibri"/>
        </w:rPr>
        <w:t>.  In addition, many local utilities or service providers do not charge a convenience fee, which also leads to customers’ dissatisfaction or frustration for paying a convenience fee when paying their Avista bill.</w:t>
      </w:r>
      <w:r w:rsidR="009811EB">
        <w:rPr>
          <w:rFonts w:eastAsia="Calibri"/>
        </w:rPr>
        <w:t xml:space="preserve"> </w:t>
      </w:r>
      <w:r w:rsidR="009811EB">
        <w:t xml:space="preserve">NW Natural Gas and Portland General Electric </w:t>
      </w:r>
      <w:proofErr w:type="gramStart"/>
      <w:r w:rsidR="009811EB">
        <w:t>are</w:t>
      </w:r>
      <w:proofErr w:type="gramEnd"/>
      <w:r w:rsidR="009811EB">
        <w:t xml:space="preserve"> two investor owned utilities that offer a fee</w:t>
      </w:r>
      <w:r w:rsidR="005B2E00">
        <w:t>-</w:t>
      </w:r>
      <w:r w:rsidR="009811EB">
        <w:t xml:space="preserve">free payment program to residential customers.  In Avista’s Spokane service territory, customers of Vera Water &amp; Power, Inland Power &amp; Light, Modern Electric, and the City of Spokane do not pay a fee </w:t>
      </w:r>
      <w:r w:rsidR="001F5D1C">
        <w:t>for making a payment</w:t>
      </w:r>
      <w:r w:rsidR="009811EB">
        <w:t xml:space="preserve">.  Also, customers of service providers for garbage (i.e., Waste Management), cable (i.e., Comcast), phone (i.e., </w:t>
      </w:r>
      <w:proofErr w:type="spellStart"/>
      <w:r w:rsidR="009811EB">
        <w:t>CenturyLink</w:t>
      </w:r>
      <w:proofErr w:type="spellEnd"/>
      <w:r w:rsidR="009811EB">
        <w:t xml:space="preserve">), and cellular phones (i.e., AT&amp;T or Verizon) do not pay a fee </w:t>
      </w:r>
      <w:r w:rsidR="001F5D1C">
        <w:t>for making a payment</w:t>
      </w:r>
      <w:r w:rsidR="009811EB">
        <w:t>.</w:t>
      </w:r>
    </w:p>
    <w:p w:rsidR="00BC31BD" w:rsidRPr="00BC31BD" w:rsidRDefault="00E112B5" w:rsidP="00BC31BD">
      <w:pPr>
        <w:pStyle w:val="ListParagraph"/>
        <w:numPr>
          <w:ilvl w:val="0"/>
          <w:numId w:val="13"/>
        </w:numPr>
        <w:spacing w:line="480" w:lineRule="auto"/>
        <w:ind w:left="245" w:hanging="821"/>
        <w:contextualSpacing w:val="0"/>
        <w:jc w:val="both"/>
        <w:rPr>
          <w:rFonts w:eastAsia="Calibri"/>
        </w:rPr>
      </w:pPr>
      <w:r w:rsidRPr="00371B3D">
        <w:rPr>
          <w:rFonts w:eastAsia="Calibri"/>
        </w:rPr>
        <w:t xml:space="preserve">       </w:t>
      </w:r>
      <w:r w:rsidR="00BC31BD" w:rsidRPr="00371B3D">
        <w:rPr>
          <w:rFonts w:eastAsia="Calibri"/>
        </w:rPr>
        <w:t xml:space="preserve">Eliminating these fees would provide additional options for </w:t>
      </w:r>
      <w:r w:rsidR="00B53DC7">
        <w:rPr>
          <w:rFonts w:eastAsia="Calibri"/>
        </w:rPr>
        <w:t xml:space="preserve">residential </w:t>
      </w:r>
      <w:r w:rsidR="00BC31BD" w:rsidRPr="00371B3D">
        <w:rPr>
          <w:rFonts w:eastAsia="Calibri"/>
        </w:rPr>
        <w:t>customers to pay their bills.  As discussed in the National Association of State Utility Consumer Advocates (NASUCA</w:t>
      </w:r>
      <w:r w:rsidR="00BC31BD" w:rsidRPr="00BC31BD">
        <w:rPr>
          <w:rFonts w:eastAsia="Calibri"/>
        </w:rPr>
        <w:t>)</w:t>
      </w:r>
      <w:r w:rsidR="00BC31BD" w:rsidRPr="001234F8">
        <w:rPr>
          <w:rFonts w:eastAsia="Calibri"/>
          <w:vertAlign w:val="superscript"/>
        </w:rPr>
        <w:footnoteReference w:id="5"/>
      </w:r>
      <w:r w:rsidR="00BC31BD" w:rsidRPr="001234F8">
        <w:rPr>
          <w:rFonts w:eastAsia="Calibri"/>
          <w:vertAlign w:val="superscript"/>
        </w:rPr>
        <w:t xml:space="preserve"> </w:t>
      </w:r>
      <w:r w:rsidR="00BC31BD" w:rsidRPr="00371B3D">
        <w:rPr>
          <w:rFonts w:eastAsia="Calibri"/>
        </w:rPr>
        <w:t xml:space="preserve">Resolution 2012-07, “Urging Utilities to Eliminate </w:t>
      </w:r>
      <w:r w:rsidR="005B2E00">
        <w:rPr>
          <w:rFonts w:eastAsia="Calibri"/>
        </w:rPr>
        <w:t>‘</w:t>
      </w:r>
      <w:r w:rsidR="00BC31BD" w:rsidRPr="00371B3D">
        <w:rPr>
          <w:rFonts w:eastAsia="Calibri"/>
        </w:rPr>
        <w:t>Convenience</w:t>
      </w:r>
      <w:r w:rsidR="005B2E00">
        <w:rPr>
          <w:rFonts w:eastAsia="Calibri"/>
        </w:rPr>
        <w:t>’</w:t>
      </w:r>
      <w:r w:rsidR="00BC31BD" w:rsidRPr="00371B3D">
        <w:rPr>
          <w:rFonts w:eastAsia="Calibri"/>
        </w:rPr>
        <w:t xml:space="preserve"> Fees for Paying Utility Bills with Debit and Credit Cards and Urging Appropriate State Regulatory Oversight”, additional fees for paying utility bills can be burdensome.  The following are excerpts taken from the Resolution:</w:t>
      </w:r>
    </w:p>
    <w:p w:rsidR="00BC31BD" w:rsidRPr="00BC31BD" w:rsidRDefault="00BC31BD" w:rsidP="00BC31BD">
      <w:pPr>
        <w:spacing w:before="100" w:beforeAutospacing="1" w:after="100" w:afterAutospacing="1"/>
        <w:ind w:left="600"/>
        <w:jc w:val="both"/>
        <w:rPr>
          <w:rFonts w:eastAsia="Times New Roman"/>
          <w:b/>
          <w:bCs/>
          <w:i/>
          <w:sz w:val="22"/>
        </w:rPr>
      </w:pPr>
      <w:r w:rsidRPr="00BC31BD">
        <w:rPr>
          <w:rFonts w:eastAsia="Times New Roman"/>
          <w:b/>
          <w:bCs/>
          <w:i/>
          <w:sz w:val="22"/>
        </w:rPr>
        <w:lastRenderedPageBreak/>
        <w:t>URGING UTILITIES TO ELIMINATE “CONVENIENCE” FEES FOR PAYING UTILITY BILLS WITH DEBIT AND CREDIT CARDS AND URGING APPROPRIATE STATE REGULATORY OVERSIGHT</w:t>
      </w:r>
    </w:p>
    <w:p w:rsidR="00BC31BD" w:rsidRPr="00BC31BD" w:rsidRDefault="00BC31BD" w:rsidP="00BC31BD">
      <w:pPr>
        <w:spacing w:before="100" w:beforeAutospacing="1" w:after="100" w:afterAutospacing="1"/>
        <w:ind w:left="600"/>
        <w:jc w:val="both"/>
        <w:rPr>
          <w:rFonts w:eastAsia="Times New Roman"/>
          <w:i/>
          <w:sz w:val="22"/>
        </w:rPr>
      </w:pPr>
      <w:r w:rsidRPr="00BC31BD">
        <w:rPr>
          <w:rFonts w:eastAsia="Times New Roman"/>
          <w:b/>
          <w:bCs/>
          <w:i/>
          <w:iCs/>
          <w:sz w:val="22"/>
        </w:rPr>
        <w:t>Whereas</w:t>
      </w:r>
      <w:r w:rsidRPr="00BC31BD">
        <w:rPr>
          <w:rFonts w:eastAsia="Times New Roman"/>
          <w:i/>
          <w:sz w:val="22"/>
        </w:rPr>
        <w:t>, some individuals, particularly those who lack access to bank accounts and to credit, by one estimate numbering roughly 50 to 70 million,</w:t>
      </w:r>
      <w:hyperlink r:id="rId13" w:anchor="_edn4" w:history="1">
        <w:r w:rsidRPr="00BC31BD">
          <w:rPr>
            <w:rFonts w:eastAsia="Times New Roman"/>
            <w:i/>
            <w:color w:val="0000FF"/>
            <w:sz w:val="22"/>
            <w:u w:val="single"/>
          </w:rPr>
          <w:t>[iv]</w:t>
        </w:r>
      </w:hyperlink>
      <w:r w:rsidRPr="00BC31BD">
        <w:rPr>
          <w:rFonts w:eastAsia="Times New Roman"/>
          <w:i/>
          <w:sz w:val="22"/>
        </w:rPr>
        <w:t xml:space="preserve"> are unable to write traditional checks or to direct electronic transfers and are therefore finding it difficult to pay utility bills without incurring additional charges; and</w:t>
      </w:r>
    </w:p>
    <w:p w:rsidR="00BC31BD" w:rsidRPr="00BC31BD" w:rsidRDefault="00BC31BD" w:rsidP="00BC31BD">
      <w:pPr>
        <w:spacing w:before="100" w:beforeAutospacing="1" w:after="100" w:afterAutospacing="1"/>
        <w:ind w:left="600"/>
        <w:jc w:val="both"/>
        <w:rPr>
          <w:rFonts w:eastAsia="Times New Roman"/>
          <w:i/>
          <w:sz w:val="22"/>
        </w:rPr>
      </w:pPr>
      <w:r w:rsidRPr="00BC31BD">
        <w:rPr>
          <w:rFonts w:eastAsia="Times New Roman"/>
          <w:b/>
          <w:bCs/>
          <w:i/>
          <w:iCs/>
          <w:sz w:val="22"/>
        </w:rPr>
        <w:t>Whereas</w:t>
      </w:r>
      <w:r w:rsidRPr="00BC31BD">
        <w:rPr>
          <w:rFonts w:eastAsia="Times New Roman"/>
          <w:i/>
          <w:sz w:val="22"/>
        </w:rPr>
        <w:t>, the convenience fees are making it unnecessarily costly for utility customers, especially low income customers and customers struggling financially due to illness, layoffs or other reasons, to meet their payment obligations and hence to maintain essential utility services; and</w:t>
      </w:r>
    </w:p>
    <w:p w:rsidR="00BC31BD" w:rsidRPr="00BC31BD" w:rsidRDefault="00BC31BD" w:rsidP="00BC31BD">
      <w:pPr>
        <w:spacing w:before="100" w:beforeAutospacing="1" w:after="100" w:afterAutospacing="1"/>
        <w:ind w:left="600"/>
        <w:jc w:val="both"/>
        <w:rPr>
          <w:rFonts w:eastAsia="Times New Roman"/>
          <w:i/>
          <w:sz w:val="22"/>
        </w:rPr>
      </w:pPr>
      <w:r w:rsidRPr="00BC31BD">
        <w:rPr>
          <w:rFonts w:eastAsia="Times New Roman"/>
          <w:b/>
          <w:bCs/>
          <w:i/>
          <w:iCs/>
          <w:sz w:val="22"/>
        </w:rPr>
        <w:t>Whereas</w:t>
      </w:r>
      <w:r w:rsidRPr="00BC31BD">
        <w:rPr>
          <w:rFonts w:eastAsia="Times New Roman"/>
          <w:i/>
          <w:sz w:val="22"/>
        </w:rPr>
        <w:t>, the conveniences fees make it hard for low income customers, when paying utility bills, to use the payment method that is often most available to them, namely, prepaid debit cards;</w:t>
      </w:r>
      <w:hyperlink r:id="rId14" w:anchor="_edn8" w:history="1">
        <w:r w:rsidRPr="00BC31BD">
          <w:rPr>
            <w:rFonts w:eastAsia="Times New Roman"/>
            <w:i/>
            <w:color w:val="0000FF"/>
            <w:sz w:val="22"/>
            <w:u w:val="single"/>
          </w:rPr>
          <w:t>[viii]</w:t>
        </w:r>
      </w:hyperlink>
      <w:r w:rsidRPr="00BC31BD">
        <w:rPr>
          <w:rFonts w:eastAsia="Times New Roman"/>
          <w:i/>
          <w:sz w:val="22"/>
        </w:rPr>
        <w:t xml:space="preserve"> and</w:t>
      </w:r>
    </w:p>
    <w:p w:rsidR="00BC31BD" w:rsidRPr="00BC31BD" w:rsidRDefault="00BC31BD" w:rsidP="00BC31BD">
      <w:pPr>
        <w:spacing w:before="100" w:beforeAutospacing="1" w:after="100" w:afterAutospacing="1"/>
        <w:ind w:left="600"/>
        <w:jc w:val="both"/>
        <w:rPr>
          <w:rFonts w:eastAsia="Times New Roman"/>
          <w:i/>
          <w:sz w:val="22"/>
        </w:rPr>
      </w:pPr>
      <w:r w:rsidRPr="00BC31BD">
        <w:rPr>
          <w:rFonts w:eastAsia="Times New Roman"/>
          <w:b/>
          <w:bCs/>
          <w:i/>
          <w:iCs/>
          <w:sz w:val="22"/>
        </w:rPr>
        <w:t>Whereas</w:t>
      </w:r>
      <w:r w:rsidRPr="00BC31BD">
        <w:rPr>
          <w:rFonts w:eastAsia="Times New Roman"/>
          <w:i/>
          <w:sz w:val="22"/>
        </w:rPr>
        <w:t>, convenience fees imposed on debit card use undercut the policy objectives of federal programs (for example, social security) and state programs (for example, child support and unemployment compensation) that issue prepaid debit cards to beneficiaries as an effective and cost-efficient way to manage operational expenses,</w:t>
      </w:r>
      <w:hyperlink r:id="rId15" w:anchor="_edn9" w:history="1">
        <w:r w:rsidRPr="00BC31BD">
          <w:rPr>
            <w:rFonts w:eastAsia="Times New Roman"/>
            <w:i/>
            <w:color w:val="0000FF"/>
            <w:sz w:val="22"/>
            <w:u w:val="single"/>
          </w:rPr>
          <w:t>[ix]</w:t>
        </w:r>
      </w:hyperlink>
      <w:r w:rsidRPr="00BC31BD">
        <w:rPr>
          <w:rFonts w:eastAsia="Times New Roman"/>
          <w:i/>
          <w:sz w:val="22"/>
        </w:rPr>
        <w:t xml:space="preserve"> by eroding the purchasing power of such cards; and</w:t>
      </w:r>
    </w:p>
    <w:p w:rsidR="00BC31BD" w:rsidRPr="00BC31BD" w:rsidRDefault="00BC31BD" w:rsidP="00BC31BD">
      <w:pPr>
        <w:spacing w:before="100" w:beforeAutospacing="1" w:after="100" w:afterAutospacing="1"/>
        <w:ind w:left="600"/>
        <w:jc w:val="both"/>
        <w:rPr>
          <w:rFonts w:eastAsia="Times New Roman"/>
        </w:rPr>
      </w:pPr>
      <w:r w:rsidRPr="00BC31BD">
        <w:rPr>
          <w:rFonts w:eastAsia="Times New Roman"/>
          <w:b/>
          <w:bCs/>
          <w:i/>
          <w:iCs/>
          <w:sz w:val="22"/>
        </w:rPr>
        <w:t>Whereas</w:t>
      </w:r>
      <w:r w:rsidRPr="00BC31BD">
        <w:rPr>
          <w:rFonts w:eastAsia="Times New Roman"/>
          <w:i/>
          <w:sz w:val="22"/>
        </w:rPr>
        <w:t>, convenience fees repeatedly assessed against utility customers who make multiple payments  during the course of a month undercut these customers’ ability to apply scarce available funds to payment of actual utility services; and</w:t>
      </w:r>
    </w:p>
    <w:p w:rsidR="00F346B2" w:rsidRPr="00F346B2" w:rsidRDefault="00CC0DB0" w:rsidP="00F346B2">
      <w:pPr>
        <w:pStyle w:val="Header"/>
        <w:numPr>
          <w:ilvl w:val="0"/>
          <w:numId w:val="13"/>
        </w:numPr>
        <w:tabs>
          <w:tab w:val="left" w:pos="720"/>
        </w:tabs>
        <w:spacing w:line="480" w:lineRule="auto"/>
        <w:ind w:left="245" w:hanging="821"/>
        <w:jc w:val="both"/>
      </w:pPr>
      <w:r>
        <w:t xml:space="preserve">       </w:t>
      </w:r>
      <w:r w:rsidR="00856AD8">
        <w:t>C</w:t>
      </w:r>
      <w:r w:rsidR="00BC31BD" w:rsidRPr="00F346B2">
        <w:t xml:space="preserve">onvenience fees can be burdensome for customers that have limited options for making payments.  </w:t>
      </w:r>
      <w:r w:rsidR="00371B3D" w:rsidRPr="00F346B2">
        <w:t>T</w:t>
      </w:r>
      <w:r w:rsidR="00BC31BD" w:rsidRPr="00F346B2">
        <w:t>he trend in payments is moving towards debit, credit, and prepaid</w:t>
      </w:r>
      <w:r w:rsidR="00BC31BD" w:rsidRPr="00BC31BD">
        <w:t xml:space="preserve"> cards through electronic channels.  </w:t>
      </w:r>
      <w:r w:rsidR="00F346B2" w:rsidRPr="00F346B2">
        <w:t>This is evident in the following illustration, provided by the Federal Reserve in their 2013 Federal Reserve Payment Study</w:t>
      </w:r>
      <w:r w:rsidR="00F346B2" w:rsidRPr="00F346B2">
        <w:rPr>
          <w:vertAlign w:val="superscript"/>
        </w:rPr>
        <w:footnoteReference w:id="6"/>
      </w:r>
      <w:r w:rsidR="00F346B2" w:rsidRPr="00F346B2">
        <w:t xml:space="preserve">.   </w:t>
      </w:r>
    </w:p>
    <w:p w:rsidR="00F346B2" w:rsidRPr="00D42609" w:rsidRDefault="00F346B2" w:rsidP="00F346B2">
      <w:pPr>
        <w:spacing w:line="360" w:lineRule="auto"/>
        <w:jc w:val="center"/>
        <w:rPr>
          <w:rFonts w:eastAsia="Calibri"/>
        </w:rPr>
      </w:pPr>
      <w:r>
        <w:rPr>
          <w:rFonts w:eastAsia="Calibri"/>
          <w:noProof/>
        </w:rPr>
        <w:lastRenderedPageBreak/>
        <w:drawing>
          <wp:inline distT="0" distB="0" distL="0" distR="0">
            <wp:extent cx="5066831" cy="3048000"/>
            <wp:effectExtent l="19050" t="0" r="469"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078075" cy="3054764"/>
                    </a:xfrm>
                    <a:prstGeom prst="rect">
                      <a:avLst/>
                    </a:prstGeom>
                    <a:noFill/>
                    <a:ln w="9525">
                      <a:noFill/>
                      <a:miter lim="800000"/>
                      <a:headEnd/>
                      <a:tailEnd/>
                    </a:ln>
                  </pic:spPr>
                </pic:pic>
              </a:graphicData>
            </a:graphic>
          </wp:inline>
        </w:drawing>
      </w:r>
    </w:p>
    <w:p w:rsidR="00F346B2" w:rsidRPr="00264407" w:rsidRDefault="00AB7748" w:rsidP="00264407">
      <w:pPr>
        <w:pStyle w:val="Header"/>
        <w:numPr>
          <w:ilvl w:val="0"/>
          <w:numId w:val="13"/>
        </w:numPr>
        <w:tabs>
          <w:tab w:val="left" w:pos="720"/>
        </w:tabs>
        <w:spacing w:line="480" w:lineRule="auto"/>
        <w:ind w:left="245" w:hanging="821"/>
        <w:jc w:val="both"/>
      </w:pPr>
      <w:r>
        <w:t xml:space="preserve">       </w:t>
      </w:r>
      <w:r w:rsidR="00F346B2" w:rsidRPr="00264407">
        <w:t>With the growing trend in debit, credit, and prepaid card payments it places even more emphasis on the discussion related to these channels and how the costs should be covered.  For Avista, the primary source of payments has remained mailed payments.  However, the trend for these types of payments is on the decline as customers turn more to electr</w:t>
      </w:r>
      <w:r w:rsidR="0051737E">
        <w:t>onic channels.  From 2012 – 2015</w:t>
      </w:r>
      <w:r w:rsidR="00F346B2" w:rsidRPr="00264407">
        <w:t xml:space="preserve">, Avista saw the number of mailed payments decrease </w:t>
      </w:r>
      <w:r w:rsidR="0051737E">
        <w:t>from 46% of overall payments to 38% of overall payments.</w:t>
      </w:r>
      <w:r w:rsidR="00F346B2" w:rsidRPr="00264407">
        <w:t xml:space="preserve">  The following chart provides a breakdown of payments by method for Avista from 2012 – 201</w:t>
      </w:r>
      <w:r w:rsidR="0051737E">
        <w:t>5</w:t>
      </w:r>
      <w:r w:rsidR="00F346B2" w:rsidRPr="00264407">
        <w:t xml:space="preserve">:  </w:t>
      </w:r>
    </w:p>
    <w:p w:rsidR="00F346B2" w:rsidRDefault="005D6E09" w:rsidP="00F346B2">
      <w:pPr>
        <w:spacing w:line="360" w:lineRule="auto"/>
        <w:jc w:val="center"/>
        <w:rPr>
          <w:rFonts w:eastAsia="Calibri"/>
        </w:rPr>
      </w:pPr>
      <w:r w:rsidRPr="005D6E09">
        <w:rPr>
          <w:noProof/>
        </w:rPr>
        <w:lastRenderedPageBreak/>
        <w:drawing>
          <wp:inline distT="0" distB="0" distL="0" distR="0">
            <wp:extent cx="5372100" cy="3996989"/>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5372100" cy="3996989"/>
                    </a:xfrm>
                    <a:prstGeom prst="rect">
                      <a:avLst/>
                    </a:prstGeom>
                    <a:noFill/>
                    <a:ln w="9525">
                      <a:noFill/>
                      <a:miter lim="800000"/>
                      <a:headEnd/>
                      <a:tailEnd/>
                    </a:ln>
                  </pic:spPr>
                </pic:pic>
              </a:graphicData>
            </a:graphic>
          </wp:inline>
        </w:drawing>
      </w:r>
    </w:p>
    <w:p w:rsidR="00F346B2" w:rsidRDefault="00822CC7" w:rsidP="00F346B2">
      <w:pPr>
        <w:spacing w:line="360" w:lineRule="auto"/>
        <w:jc w:val="center"/>
        <w:rPr>
          <w:rFonts w:eastAsia="Calibri"/>
        </w:rPr>
      </w:pPr>
      <w:r>
        <w:rPr>
          <w:rFonts w:eastAsia="Calibri"/>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28.3pt;margin-top:298.65pt;width:254.45pt;height:18.7pt;z-index:251661312;mso-height-percent:200;mso-height-percent:200;mso-width-relative:margin;mso-height-relative:margin" stroked="f">
            <v:textbox style="mso-fit-shape-to-text:t">
              <w:txbxContent>
                <w:p w:rsidR="0050020C" w:rsidRPr="0050020C" w:rsidRDefault="0050020C">
                  <w:pPr>
                    <w:rPr>
                      <w:sz w:val="20"/>
                    </w:rPr>
                  </w:pPr>
                  <w:r>
                    <w:rPr>
                      <w:sz w:val="20"/>
                    </w:rPr>
                    <w:t>Data is based on December 2014 – November 2015</w:t>
                  </w:r>
                </w:p>
              </w:txbxContent>
            </v:textbox>
          </v:shape>
        </w:pict>
      </w:r>
      <w:r w:rsidRPr="00822CC7">
        <w:drawing>
          <wp:inline distT="0" distB="0" distL="0" distR="0">
            <wp:extent cx="5334000" cy="414337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5334000" cy="4143375"/>
                    </a:xfrm>
                    <a:prstGeom prst="rect">
                      <a:avLst/>
                    </a:prstGeom>
                    <a:noFill/>
                    <a:ln w="9525">
                      <a:noFill/>
                      <a:miter lim="800000"/>
                      <a:headEnd/>
                      <a:tailEnd/>
                    </a:ln>
                  </pic:spPr>
                </pic:pic>
              </a:graphicData>
            </a:graphic>
          </wp:inline>
        </w:drawing>
      </w:r>
    </w:p>
    <w:p w:rsidR="00AB7748" w:rsidRDefault="0041462B" w:rsidP="0041462B">
      <w:pPr>
        <w:pStyle w:val="Header"/>
        <w:numPr>
          <w:ilvl w:val="0"/>
          <w:numId w:val="13"/>
        </w:numPr>
        <w:tabs>
          <w:tab w:val="clear" w:pos="240"/>
          <w:tab w:val="left" w:pos="720"/>
        </w:tabs>
        <w:spacing w:line="480" w:lineRule="auto"/>
        <w:jc w:val="both"/>
      </w:pPr>
      <w:r>
        <w:lastRenderedPageBreak/>
        <w:t xml:space="preserve">       </w:t>
      </w:r>
      <w:r w:rsidR="00AB7748">
        <w:t>With the growth in these payment methods, customers will continue to pay more in convenience fees unless there are changes made in how regulated utilities are able to recover these convenience fees.</w:t>
      </w:r>
    </w:p>
    <w:p w:rsidR="0041462B" w:rsidRPr="0041462B" w:rsidRDefault="00AB7748" w:rsidP="0041462B">
      <w:pPr>
        <w:pStyle w:val="Header"/>
        <w:numPr>
          <w:ilvl w:val="0"/>
          <w:numId w:val="13"/>
        </w:numPr>
        <w:tabs>
          <w:tab w:val="clear" w:pos="240"/>
          <w:tab w:val="left" w:pos="720"/>
        </w:tabs>
        <w:spacing w:line="480" w:lineRule="auto"/>
        <w:jc w:val="both"/>
      </w:pPr>
      <w:r>
        <w:t xml:space="preserve">  </w:t>
      </w:r>
      <w:r w:rsidR="00FB664B">
        <w:t xml:space="preserve">  </w:t>
      </w:r>
      <w:r w:rsidR="0041462B" w:rsidRPr="0041462B">
        <w:t xml:space="preserve"> </w:t>
      </w:r>
      <w:r w:rsidR="00FB664B">
        <w:t xml:space="preserve">  T</w:t>
      </w:r>
      <w:r w:rsidR="0041462B" w:rsidRPr="0041462B">
        <w:t xml:space="preserve">he option of a </w:t>
      </w:r>
      <w:r w:rsidR="00865BB1">
        <w:t>fee</w:t>
      </w:r>
      <w:r w:rsidR="005B2E00">
        <w:t>-</w:t>
      </w:r>
      <w:r w:rsidR="00865BB1">
        <w:t>free</w:t>
      </w:r>
      <w:r w:rsidR="0041462B" w:rsidRPr="0041462B">
        <w:t xml:space="preserve"> payment when using a credit or debit card would lead to greater satisfaction for all customers that primarily pay for goods and services </w:t>
      </w:r>
      <w:r w:rsidR="00D076B4">
        <w:t>with these payment methods</w:t>
      </w:r>
      <w:r w:rsidR="0041462B" w:rsidRPr="0041462B">
        <w:t xml:space="preserve">.  </w:t>
      </w:r>
      <w:r w:rsidR="007E620F">
        <w:t>There are many reasons why customers would prefer to use their credit or debit card, which may include: (1) receiving</w:t>
      </w:r>
      <w:r w:rsidR="0041462B" w:rsidRPr="0041462B">
        <w:t xml:space="preserve"> loyalty rewards,</w:t>
      </w:r>
      <w:r w:rsidR="007E620F">
        <w:t xml:space="preserve"> (2)</w:t>
      </w:r>
      <w:r w:rsidR="0041462B" w:rsidRPr="0041462B">
        <w:t xml:space="preserve"> younger generations that are most likely to pay digitally</w:t>
      </w:r>
      <w:r w:rsidR="00CA3349">
        <w:t xml:space="preserve"> because they do not use paper checks</w:t>
      </w:r>
      <w:r w:rsidR="0041462B" w:rsidRPr="0041462B">
        <w:t>,</w:t>
      </w:r>
      <w:r w:rsidR="00DC620F">
        <w:t xml:space="preserve"> </w:t>
      </w:r>
      <w:r w:rsidR="007E620F">
        <w:t xml:space="preserve">(3) </w:t>
      </w:r>
      <w:r w:rsidR="00DC620F">
        <w:t>us</w:t>
      </w:r>
      <w:r w:rsidR="007E620F">
        <w:t>ing</w:t>
      </w:r>
      <w:r w:rsidR="00DC620F">
        <w:t xml:space="preserve"> a prepaid card,</w:t>
      </w:r>
      <w:r w:rsidR="0041462B" w:rsidRPr="0041462B">
        <w:t xml:space="preserve"> or </w:t>
      </w:r>
      <w:r w:rsidR="007E620F">
        <w:t xml:space="preserve">(4) </w:t>
      </w:r>
      <w:r w:rsidR="0041462B" w:rsidRPr="0041462B">
        <w:t>customers feel safer using a debit card that includes security protections from their bank</w:t>
      </w:r>
      <w:r w:rsidR="007E620F">
        <w:t xml:space="preserve">.  Regardless of the reason a customer may have, they </w:t>
      </w:r>
      <w:r w:rsidR="0041462B" w:rsidRPr="0041462B">
        <w:t xml:space="preserve">would be more satisfied with the ability to pay by the method of their choice without incurring additional fees.          </w:t>
      </w:r>
    </w:p>
    <w:p w:rsidR="0041462B" w:rsidRPr="0041462B" w:rsidRDefault="0041462B" w:rsidP="0041462B">
      <w:pPr>
        <w:pStyle w:val="Header"/>
        <w:numPr>
          <w:ilvl w:val="0"/>
          <w:numId w:val="13"/>
        </w:numPr>
        <w:tabs>
          <w:tab w:val="clear" w:pos="240"/>
          <w:tab w:val="left" w:pos="720"/>
        </w:tabs>
        <w:spacing w:line="480" w:lineRule="auto"/>
        <w:jc w:val="both"/>
      </w:pPr>
      <w:r>
        <w:t xml:space="preserve">       </w:t>
      </w:r>
      <w:r w:rsidRPr="0041462B">
        <w:t xml:space="preserve">As it exists today, all customers pay for the payment transaction costs incurred by the Company.  The highest transaction cost Avista </w:t>
      </w:r>
      <w:r w:rsidR="00DB415A">
        <w:t xml:space="preserve">currently </w:t>
      </w:r>
      <w:r w:rsidRPr="0041462B">
        <w:t xml:space="preserve">pays is for </w:t>
      </w:r>
      <w:r w:rsidR="00DB415A">
        <w:t xml:space="preserve">its </w:t>
      </w:r>
      <w:r w:rsidRPr="0041462B">
        <w:t xml:space="preserve">pay stations, which are used for roughly 5% of payments.  Another example where costs are shared amongst all rate payers is the costs to print and mail bills.  Approximately 105,000 Avista customers are signed up to receive paperless bills.  </w:t>
      </w:r>
      <w:r w:rsidR="00197C74">
        <w:t xml:space="preserve">Customers that receive their bill electronically are paying a share of the costs to print and mail bills to other customers.  </w:t>
      </w:r>
      <w:r w:rsidRPr="0041462B">
        <w:t xml:space="preserve">For every bill that is sent electronically, its saves the Company $0.58 or $6.96 per account per year.  The customers that sign up for paperless billing do not </w:t>
      </w:r>
      <w:r w:rsidR="00197C74">
        <w:t>receive</w:t>
      </w:r>
      <w:r w:rsidRPr="0041462B">
        <w:t xml:space="preserve"> a discount.    </w:t>
      </w:r>
    </w:p>
    <w:p w:rsidR="0041462B" w:rsidRPr="0041462B" w:rsidRDefault="0041462B" w:rsidP="0041462B">
      <w:pPr>
        <w:pStyle w:val="Header"/>
        <w:numPr>
          <w:ilvl w:val="0"/>
          <w:numId w:val="13"/>
        </w:numPr>
        <w:tabs>
          <w:tab w:val="clear" w:pos="240"/>
          <w:tab w:val="left" w:pos="720"/>
        </w:tabs>
        <w:spacing w:line="480" w:lineRule="auto"/>
        <w:jc w:val="both"/>
      </w:pPr>
      <w:r>
        <w:t xml:space="preserve">       </w:t>
      </w:r>
      <w:r w:rsidRPr="0041462B">
        <w:t xml:space="preserve">The more convenient the Company can make it for customers to pay bills, the more it can benefit all customers.  Customers that self-serve, pay on time, and are satisfied with the options they have are the least expensive to serve, which is a benefit to all customers.  Customers that do not pay on time </w:t>
      </w:r>
      <w:r w:rsidR="00940A43">
        <w:t xml:space="preserve">and </w:t>
      </w:r>
      <w:r w:rsidRPr="0041462B">
        <w:t xml:space="preserve">end up in the credit collections cycle </w:t>
      </w:r>
      <w:r w:rsidR="00940A43">
        <w:t xml:space="preserve">drive increased </w:t>
      </w:r>
      <w:r w:rsidR="00940A43">
        <w:lastRenderedPageBreak/>
        <w:t>costs, which are</w:t>
      </w:r>
      <w:r w:rsidRPr="0041462B">
        <w:t xml:space="preserve"> paid for by all </w:t>
      </w:r>
      <w:r w:rsidR="001E44A5">
        <w:t>customers</w:t>
      </w:r>
      <w:r w:rsidRPr="0041462B">
        <w:t>.  Lastly, customers that are not satisfied tend to call Customer Service more frequently.  Every call that comes into the Call Center costs approximately $6</w:t>
      </w:r>
      <w:r w:rsidR="00FA22E2">
        <w:t xml:space="preserve"> in labor costs alone</w:t>
      </w:r>
      <w:r w:rsidRPr="0041462B">
        <w:t xml:space="preserve">.  This means that every call that can be avoided leads to savings for all customers.  Giving customers options to pay by the method of their choice without incurring additional fees will lead to more satisfied customers and ultimately savings for all customers.  </w:t>
      </w:r>
    </w:p>
    <w:p w:rsidR="0064433F" w:rsidRDefault="0064433F" w:rsidP="003008D3">
      <w:pPr>
        <w:pStyle w:val="Heading1"/>
        <w:spacing w:line="480" w:lineRule="auto"/>
        <w:jc w:val="center"/>
        <w:rPr>
          <w:u w:val="none"/>
        </w:rPr>
      </w:pPr>
    </w:p>
    <w:p w:rsidR="003008D3" w:rsidRPr="00FB72FF" w:rsidRDefault="003008D3" w:rsidP="003008D3">
      <w:pPr>
        <w:pStyle w:val="Heading1"/>
        <w:spacing w:line="480" w:lineRule="auto"/>
        <w:jc w:val="center"/>
        <w:rPr>
          <w:u w:val="none"/>
        </w:rPr>
      </w:pPr>
      <w:r w:rsidRPr="00FB72FF">
        <w:rPr>
          <w:u w:val="none"/>
        </w:rPr>
        <w:t>I</w:t>
      </w:r>
      <w:r w:rsidR="000F7A62">
        <w:rPr>
          <w:u w:val="none"/>
        </w:rPr>
        <w:t>V</w:t>
      </w:r>
      <w:r w:rsidRPr="00FB72FF">
        <w:rPr>
          <w:u w:val="none"/>
        </w:rPr>
        <w:t xml:space="preserve">. </w:t>
      </w:r>
      <w:r>
        <w:rPr>
          <w:u w:val="none"/>
        </w:rPr>
        <w:t>PROPOSED ACCOUNTING TREATMENT</w:t>
      </w:r>
    </w:p>
    <w:p w:rsidR="000F7A62" w:rsidRDefault="009D359B" w:rsidP="009D359B">
      <w:pPr>
        <w:pStyle w:val="ListParagraph"/>
        <w:numPr>
          <w:ilvl w:val="0"/>
          <w:numId w:val="13"/>
        </w:numPr>
        <w:spacing w:line="480" w:lineRule="auto"/>
        <w:jc w:val="both"/>
      </w:pPr>
      <w:r>
        <w:tab/>
      </w:r>
      <w:r w:rsidR="000F7A62">
        <w:t xml:space="preserve">In this filing, the Company is requesting an order allowing the </w:t>
      </w:r>
      <w:r w:rsidR="000F7A62" w:rsidRPr="003016BB">
        <w:t xml:space="preserve">deferral of </w:t>
      </w:r>
      <w:r w:rsidR="00FE7176" w:rsidRPr="003016BB">
        <w:t xml:space="preserve">all fees paid by Avista </w:t>
      </w:r>
      <w:r w:rsidR="000F7A62">
        <w:t xml:space="preserve">related to </w:t>
      </w:r>
      <w:r w:rsidR="00FD486C">
        <w:t>offering a fee</w:t>
      </w:r>
      <w:r w:rsidR="008C3218">
        <w:t>-</w:t>
      </w:r>
      <w:r w:rsidR="00FD486C">
        <w:t>free program</w:t>
      </w:r>
      <w:r w:rsidR="00FE7176">
        <w:t xml:space="preserve"> for payment</w:t>
      </w:r>
      <w:r w:rsidR="00AC38D8">
        <w:t xml:space="preserve"> of bills by</w:t>
      </w:r>
      <w:r w:rsidR="00FD486C">
        <w:t xml:space="preserve"> </w:t>
      </w:r>
      <w:r w:rsidR="00FE7176">
        <w:t xml:space="preserve">Washington </w:t>
      </w:r>
      <w:r w:rsidR="00FD486C">
        <w:t>residential customers</w:t>
      </w:r>
      <w:r w:rsidR="000F7A62">
        <w:t xml:space="preserve">.  Absent a Commission order allowing for the deferral </w:t>
      </w:r>
      <w:r w:rsidR="00AC38D8">
        <w:t xml:space="preserve">and recovery </w:t>
      </w:r>
      <w:r w:rsidR="000F7A62">
        <w:t xml:space="preserve">of these costs, </w:t>
      </w:r>
      <w:r w:rsidR="00FD486C">
        <w:t>the Company will not otherwise offer a fee</w:t>
      </w:r>
      <w:r w:rsidR="008C3218">
        <w:t>-</w:t>
      </w:r>
      <w:r w:rsidR="00FD486C">
        <w:t>free payment program to its residential customers as it would result in a loss to the Company and its shareholders</w:t>
      </w:r>
      <w:r w:rsidR="00FE7176">
        <w:t>.</w:t>
      </w:r>
    </w:p>
    <w:p w:rsidR="0057264C" w:rsidRDefault="006D7B63" w:rsidP="009D359B">
      <w:pPr>
        <w:pStyle w:val="ListParagraph"/>
        <w:numPr>
          <w:ilvl w:val="0"/>
          <w:numId w:val="13"/>
        </w:numPr>
        <w:spacing w:line="480" w:lineRule="auto"/>
        <w:jc w:val="both"/>
      </w:pPr>
      <w:r>
        <w:t xml:space="preserve">       The Company </w:t>
      </w:r>
      <w:r w:rsidR="0057264C">
        <w:t>plans to</w:t>
      </w:r>
      <w:r>
        <w:t xml:space="preserve"> request authority in Idaho and Oregon </w:t>
      </w:r>
      <w:r w:rsidR="00E36590">
        <w:t xml:space="preserve">to implement the same accounting treatment for </w:t>
      </w:r>
      <w:r w:rsidR="003016BB">
        <w:t xml:space="preserve">residential </w:t>
      </w:r>
      <w:r w:rsidR="00E36590">
        <w:t xml:space="preserve">customers payments received in those states.  </w:t>
      </w:r>
      <w:r w:rsidR="006062B5">
        <w:t>T</w:t>
      </w:r>
      <w:r w:rsidR="00E36590">
        <w:t xml:space="preserve">he Company is </w:t>
      </w:r>
      <w:r w:rsidR="00C322A9">
        <w:t xml:space="preserve">in the process of selecting a digital payment processing partner for processing payments, with an anticipated Go Live date </w:t>
      </w:r>
      <w:r w:rsidR="0057264C">
        <w:t>in the first half of</w:t>
      </w:r>
      <w:r w:rsidR="00E36590">
        <w:t xml:space="preserve"> 2016.  After </w:t>
      </w:r>
      <w:r w:rsidR="006062B5">
        <w:t xml:space="preserve">approval from all three states and </w:t>
      </w:r>
      <w:r w:rsidR="00E36590">
        <w:t xml:space="preserve">the </w:t>
      </w:r>
      <w:r w:rsidR="00C322A9">
        <w:t>implementation with the payment processing partner</w:t>
      </w:r>
      <w:r w:rsidR="006062B5">
        <w:t xml:space="preserve"> is complete</w:t>
      </w:r>
      <w:r w:rsidR="00E36590">
        <w:t xml:space="preserve">, Avista </w:t>
      </w:r>
      <w:r w:rsidR="0057264C">
        <w:t>would</w:t>
      </w:r>
      <w:r w:rsidR="00E36590">
        <w:t xml:space="preserve"> begin the fee</w:t>
      </w:r>
      <w:r w:rsidR="008C3218">
        <w:t>-</w:t>
      </w:r>
      <w:r w:rsidR="00E36590">
        <w:t xml:space="preserve">free </w:t>
      </w:r>
      <w:r w:rsidR="00C322A9">
        <w:t xml:space="preserve">payment </w:t>
      </w:r>
      <w:r w:rsidR="00E36590">
        <w:t>program</w:t>
      </w:r>
      <w:r w:rsidR="0057264C">
        <w:t xml:space="preserve">. </w:t>
      </w:r>
      <w:r w:rsidR="00E36590">
        <w:t xml:space="preserve">The deferral of fees paid by Avista </w:t>
      </w:r>
      <w:r w:rsidR="0057264C">
        <w:t>would</w:t>
      </w:r>
      <w:r w:rsidR="00E36590">
        <w:t xml:space="preserve"> begin </w:t>
      </w:r>
      <w:r w:rsidR="0057264C">
        <w:t>in the same month in which the program begins</w:t>
      </w:r>
      <w:r w:rsidR="00E36590">
        <w:t xml:space="preserve">.  </w:t>
      </w:r>
    </w:p>
    <w:p w:rsidR="00385C54" w:rsidRDefault="0057264C" w:rsidP="009D359B">
      <w:pPr>
        <w:pStyle w:val="ListParagraph"/>
        <w:numPr>
          <w:ilvl w:val="0"/>
          <w:numId w:val="13"/>
        </w:numPr>
        <w:spacing w:line="480" w:lineRule="auto"/>
        <w:jc w:val="both"/>
      </w:pPr>
      <w:r>
        <w:t xml:space="preserve">       After the Company ha</w:t>
      </w:r>
      <w:r w:rsidR="008B5562">
        <w:t xml:space="preserve">s 12 to </w:t>
      </w:r>
      <w:r>
        <w:t>18 months of history with the program, the cost of the program woul</w:t>
      </w:r>
      <w:r w:rsidR="006062B5">
        <w:t>d then be rolled into a future g</w:t>
      </w:r>
      <w:r>
        <w:t xml:space="preserve">eneral </w:t>
      </w:r>
      <w:r w:rsidR="006062B5">
        <w:t>r</w:t>
      </w:r>
      <w:r>
        <w:t xml:space="preserve">ate </w:t>
      </w:r>
      <w:r w:rsidR="006062B5">
        <w:t>c</w:t>
      </w:r>
      <w:r>
        <w:t xml:space="preserve">ase filing.  </w:t>
      </w:r>
      <w:r w:rsidR="008B5562">
        <w:t>T</w:t>
      </w:r>
      <w:r>
        <w:t>he Company is requesting approval of a deferral up to 3</w:t>
      </w:r>
      <w:r w:rsidR="003A2BE1">
        <w:t>6</w:t>
      </w:r>
      <w:r>
        <w:t xml:space="preserve"> months</w:t>
      </w:r>
      <w:r w:rsidR="008B5562">
        <w:t xml:space="preserve"> to accommodate a general rate case filing </w:t>
      </w:r>
      <w:r w:rsidR="008B5562">
        <w:lastRenderedPageBreak/>
        <w:t>following 12 to 18 months of actual expenses.</w:t>
      </w:r>
      <w:r w:rsidR="00011864">
        <w:t xml:space="preserve"> The Company will provide updates to the Commission every </w:t>
      </w:r>
      <w:r w:rsidR="005608DD">
        <w:t>three</w:t>
      </w:r>
      <w:r w:rsidR="00011864">
        <w:t xml:space="preserve"> months after the program is implemented, which will include participation rates and fees incurred</w:t>
      </w:r>
      <w:r w:rsidR="005608DD">
        <w:t xml:space="preserve"> by month</w:t>
      </w:r>
      <w:r w:rsidR="00011864">
        <w:t>.</w:t>
      </w:r>
      <w:r>
        <w:t xml:space="preserve">  </w:t>
      </w:r>
    </w:p>
    <w:p w:rsidR="000451B3" w:rsidRDefault="00385C54" w:rsidP="009D359B">
      <w:pPr>
        <w:pStyle w:val="ListParagraph"/>
        <w:numPr>
          <w:ilvl w:val="0"/>
          <w:numId w:val="13"/>
        </w:numPr>
        <w:spacing w:line="480" w:lineRule="auto"/>
        <w:jc w:val="both"/>
      </w:pPr>
      <w:r>
        <w:t xml:space="preserve">       </w:t>
      </w:r>
      <w:r w:rsidR="00E46FAD">
        <w:t xml:space="preserve">In </w:t>
      </w:r>
      <w:r w:rsidR="00FB664B">
        <w:t>the</w:t>
      </w:r>
      <w:r w:rsidR="00E46FAD">
        <w:t xml:space="preserve"> rate case filing</w:t>
      </w:r>
      <w:r w:rsidR="00FB664B">
        <w:t xml:space="preserve"> following 12 to 18 months of experience</w:t>
      </w:r>
      <w:r w:rsidR="00E46FAD">
        <w:t>, t</w:t>
      </w:r>
      <w:r w:rsidR="003A2BE1">
        <w:t xml:space="preserve">he Company </w:t>
      </w:r>
      <w:r w:rsidR="00E46FAD">
        <w:t>would propose</w:t>
      </w:r>
      <w:r w:rsidR="003A2BE1">
        <w:t xml:space="preserve"> to amortize and recover the costs </w:t>
      </w:r>
      <w:r>
        <w:t xml:space="preserve">from all customers </w:t>
      </w:r>
      <w:r w:rsidR="003A2BE1">
        <w:t>over a two-year period with no return on the unamortized balance.</w:t>
      </w:r>
      <w:r>
        <w:t xml:space="preserve">  </w:t>
      </w:r>
      <w:r w:rsidR="004300B2">
        <w:t>Although the fee</w:t>
      </w:r>
      <w:r w:rsidR="008C3218">
        <w:t>-</w:t>
      </w:r>
      <w:r w:rsidR="004300B2">
        <w:t>free program will be available to residential customers only</w:t>
      </w:r>
      <w:r w:rsidR="007A5001">
        <w:t>,</w:t>
      </w:r>
      <w:r w:rsidR="004300B2">
        <w:t xml:space="preserve"> the Company believes the program will benefit all customers</w:t>
      </w:r>
      <w:r w:rsidR="000451B3">
        <w:t xml:space="preserve"> and is similar to other programs offered to </w:t>
      </w:r>
      <w:r w:rsidR="00355B46">
        <w:t xml:space="preserve">residential </w:t>
      </w:r>
      <w:r w:rsidR="000451B3">
        <w:t xml:space="preserve">customers, but paid for by all customers.  Some of these benefits and other </w:t>
      </w:r>
      <w:r w:rsidR="0010697C">
        <w:t xml:space="preserve">examples of </w:t>
      </w:r>
      <w:r w:rsidR="000451B3">
        <w:t>programs are as follows:</w:t>
      </w:r>
    </w:p>
    <w:p w:rsidR="003A2BE1" w:rsidRDefault="000451B3" w:rsidP="000451B3">
      <w:pPr>
        <w:pStyle w:val="ListParagraph"/>
        <w:numPr>
          <w:ilvl w:val="1"/>
          <w:numId w:val="13"/>
        </w:numPr>
        <w:spacing w:line="480" w:lineRule="auto"/>
        <w:jc w:val="both"/>
      </w:pPr>
      <w:r>
        <w:t xml:space="preserve">Low Income Rate Assistance Program (LIRAP) – LIRAP provides energy assistance to low income and senior residential customers </w:t>
      </w:r>
      <w:r w:rsidR="00FB664B">
        <w:t>and</w:t>
      </w:r>
      <w:r>
        <w:t xml:space="preserve"> is paid for by all customers.</w:t>
      </w:r>
    </w:p>
    <w:p w:rsidR="000451B3" w:rsidRDefault="000451B3" w:rsidP="000451B3">
      <w:pPr>
        <w:pStyle w:val="ListParagraph"/>
        <w:numPr>
          <w:ilvl w:val="1"/>
          <w:numId w:val="13"/>
        </w:numPr>
        <w:spacing w:line="480" w:lineRule="auto"/>
        <w:jc w:val="both"/>
      </w:pPr>
      <w:r>
        <w:t xml:space="preserve">Payment channels – as noted above, costs incurred to provide payment channels such as </w:t>
      </w:r>
      <w:r w:rsidR="001554AC">
        <w:t xml:space="preserve">by </w:t>
      </w:r>
      <w:r>
        <w:t xml:space="preserve">mail, pay station, over the phone with a Customer Service Representative, or online through </w:t>
      </w:r>
      <w:proofErr w:type="gramStart"/>
      <w:r>
        <w:t>a</w:t>
      </w:r>
      <w:proofErr w:type="gramEnd"/>
      <w:r>
        <w:t xml:space="preserve"> “Avista My Account” are included in general administrative expense and not borne exclusively by those specific customers that use each payment channel.</w:t>
      </w:r>
    </w:p>
    <w:p w:rsidR="000451B3" w:rsidRDefault="00146685" w:rsidP="000451B3">
      <w:pPr>
        <w:pStyle w:val="ListParagraph"/>
        <w:numPr>
          <w:ilvl w:val="1"/>
          <w:numId w:val="13"/>
        </w:numPr>
        <w:spacing w:line="480" w:lineRule="auto"/>
        <w:jc w:val="both"/>
      </w:pPr>
      <w:r>
        <w:t xml:space="preserve">Electronic billing – individual customers do </w:t>
      </w:r>
      <w:r w:rsidR="00612BED">
        <w:t xml:space="preserve">not </w:t>
      </w:r>
      <w:r>
        <w:t xml:space="preserve">receive a </w:t>
      </w:r>
      <w:r w:rsidR="000267D0">
        <w:t xml:space="preserve">discount </w:t>
      </w:r>
      <w:r>
        <w:t xml:space="preserve">for signing up for electronic billing; rather </w:t>
      </w:r>
      <w:r w:rsidR="0010697C">
        <w:t>reduction in costs to print and mail physical bills is a</w:t>
      </w:r>
      <w:r>
        <w:t xml:space="preserve"> benefit received by all customers.</w:t>
      </w:r>
    </w:p>
    <w:p w:rsidR="00146685" w:rsidRDefault="001550DE" w:rsidP="000451B3">
      <w:pPr>
        <w:pStyle w:val="ListParagraph"/>
        <w:numPr>
          <w:ilvl w:val="1"/>
          <w:numId w:val="13"/>
        </w:numPr>
        <w:spacing w:line="480" w:lineRule="auto"/>
        <w:jc w:val="both"/>
      </w:pPr>
      <w:r>
        <w:t>Potential cost savings – as noted</w:t>
      </w:r>
      <w:r w:rsidR="001554AC">
        <w:t>,</w:t>
      </w:r>
      <w:r>
        <w:t xml:space="preserve"> each phone call to the Company’s Customer Service Call Center costs approximately $6</w:t>
      </w:r>
      <w:r w:rsidR="007A2EB6">
        <w:t xml:space="preserve"> in labor costs</w:t>
      </w:r>
      <w:r>
        <w:t>.  The company believes that offering this fee</w:t>
      </w:r>
      <w:r w:rsidR="008C3218">
        <w:t>-</w:t>
      </w:r>
      <w:r>
        <w:t xml:space="preserve">free program to residential customers may lead to </w:t>
      </w:r>
      <w:r w:rsidR="00407EBA">
        <w:t>fewer phone</w:t>
      </w:r>
      <w:r>
        <w:t xml:space="preserve"> calls as customers will have more options for paying their bill free of charge.</w:t>
      </w:r>
      <w:r w:rsidR="003A74FB">
        <w:t xml:space="preserve"> </w:t>
      </w:r>
    </w:p>
    <w:p w:rsidR="00374836" w:rsidRDefault="009D359B" w:rsidP="009D359B">
      <w:pPr>
        <w:pStyle w:val="ListParagraph"/>
        <w:numPr>
          <w:ilvl w:val="0"/>
          <w:numId w:val="13"/>
        </w:numPr>
        <w:spacing w:line="480" w:lineRule="auto"/>
        <w:jc w:val="both"/>
      </w:pPr>
      <w:r>
        <w:lastRenderedPageBreak/>
        <w:tab/>
      </w:r>
      <w:r w:rsidR="000F7A62" w:rsidRPr="00C322A9">
        <w:t>The Company requests to defer the costs in Account 182.3 – Other Regulatory Assets.   A summary of the accounting entr</w:t>
      </w:r>
      <w:r w:rsidR="00E14C66">
        <w:t>ies</w:t>
      </w:r>
      <w:r w:rsidR="000F7A62" w:rsidRPr="00C322A9">
        <w:t xml:space="preserve"> follow:</w:t>
      </w:r>
    </w:p>
    <w:p w:rsidR="003016BB" w:rsidRPr="00C322A9" w:rsidRDefault="008033A2">
      <w:pPr>
        <w:spacing w:line="480" w:lineRule="auto"/>
        <w:jc w:val="both"/>
      </w:pPr>
      <w:r>
        <w:rPr>
          <w:noProof/>
        </w:rPr>
        <w:drawing>
          <wp:anchor distT="0" distB="0" distL="114300" distR="114300" simplePos="0" relativeHeight="251658240" behindDoc="0" locked="0" layoutInCell="1" allowOverlap="1">
            <wp:simplePos x="0" y="0"/>
            <wp:positionH relativeFrom="column">
              <wp:posOffset>342900</wp:posOffset>
            </wp:positionH>
            <wp:positionV relativeFrom="paragraph">
              <wp:posOffset>-57150</wp:posOffset>
            </wp:positionV>
            <wp:extent cx="5330190" cy="2295525"/>
            <wp:effectExtent l="19050" t="0" r="381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5330190" cy="2295525"/>
                    </a:xfrm>
                    <a:prstGeom prst="rect">
                      <a:avLst/>
                    </a:prstGeom>
                    <a:noFill/>
                    <a:ln w="9525">
                      <a:noFill/>
                      <a:miter lim="800000"/>
                      <a:headEnd/>
                      <a:tailEnd/>
                    </a:ln>
                  </pic:spPr>
                </pic:pic>
              </a:graphicData>
            </a:graphic>
          </wp:anchor>
        </w:drawing>
      </w:r>
    </w:p>
    <w:p w:rsidR="003016BB" w:rsidRPr="00C322A9" w:rsidRDefault="003016BB">
      <w:pPr>
        <w:spacing w:line="480" w:lineRule="auto"/>
        <w:jc w:val="both"/>
      </w:pPr>
    </w:p>
    <w:p w:rsidR="003016BB" w:rsidRPr="00C322A9" w:rsidRDefault="003016BB">
      <w:pPr>
        <w:spacing w:line="480" w:lineRule="auto"/>
        <w:jc w:val="both"/>
      </w:pPr>
    </w:p>
    <w:p w:rsidR="003016BB" w:rsidRPr="00C322A9" w:rsidRDefault="003016BB">
      <w:pPr>
        <w:spacing w:line="480" w:lineRule="auto"/>
        <w:jc w:val="both"/>
      </w:pPr>
    </w:p>
    <w:p w:rsidR="003016BB" w:rsidRPr="00C322A9" w:rsidRDefault="003016BB">
      <w:pPr>
        <w:spacing w:line="480" w:lineRule="auto"/>
        <w:jc w:val="both"/>
      </w:pPr>
    </w:p>
    <w:p w:rsidR="003016BB" w:rsidRPr="00C322A9" w:rsidRDefault="003016BB">
      <w:pPr>
        <w:spacing w:line="480" w:lineRule="auto"/>
        <w:jc w:val="both"/>
      </w:pPr>
    </w:p>
    <w:p w:rsidR="000F7A62" w:rsidRDefault="000F7A62" w:rsidP="00FD486C">
      <w:pPr>
        <w:spacing w:after="200" w:line="276" w:lineRule="auto"/>
      </w:pPr>
    </w:p>
    <w:p w:rsidR="00E14C66" w:rsidRDefault="009D359B" w:rsidP="00016F0D">
      <w:pPr>
        <w:pStyle w:val="ListParagraph"/>
        <w:numPr>
          <w:ilvl w:val="0"/>
          <w:numId w:val="13"/>
        </w:numPr>
        <w:tabs>
          <w:tab w:val="clear" w:pos="240"/>
          <w:tab w:val="num" w:pos="720"/>
        </w:tabs>
        <w:spacing w:line="480" w:lineRule="auto"/>
        <w:ind w:left="0" w:hanging="576"/>
        <w:jc w:val="both"/>
      </w:pPr>
      <w:r>
        <w:tab/>
      </w:r>
      <w:r w:rsidR="00DE14E7">
        <w:t xml:space="preserve">As explained earlier, in the </w:t>
      </w:r>
      <w:r w:rsidR="00FB664B">
        <w:t xml:space="preserve">future </w:t>
      </w:r>
      <w:r w:rsidR="00DE14E7">
        <w:t>general rate case Avista would request recovery of the deferred balance over a two year period</w:t>
      </w:r>
      <w:r w:rsidR="00E504F0">
        <w:t>,</w:t>
      </w:r>
      <w:r w:rsidR="00DE14E7">
        <w:t xml:space="preserve"> beginning on the effective date of new rates from the rate case.</w:t>
      </w:r>
      <w:r w:rsidR="00FB664B">
        <w:t xml:space="preserve">  The Company does not seek to accrue interest on the deferrals.  T</w:t>
      </w:r>
      <w:r w:rsidR="00DE14E7">
        <w:t xml:space="preserve">he </w:t>
      </w:r>
      <w:r w:rsidR="00E14C66">
        <w:t xml:space="preserve">monthly </w:t>
      </w:r>
      <w:r w:rsidR="00DE14E7">
        <w:t xml:space="preserve">accounting entries to record the amortization </w:t>
      </w:r>
      <w:r w:rsidR="008706EA">
        <w:t>follow</w:t>
      </w:r>
      <w:r w:rsidR="00E14C66">
        <w:t>:</w:t>
      </w:r>
    </w:p>
    <w:p w:rsidR="00E14C66" w:rsidRDefault="00E14C66" w:rsidP="00016F0D">
      <w:pPr>
        <w:pStyle w:val="ListParagraph"/>
        <w:numPr>
          <w:ilvl w:val="0"/>
          <w:numId w:val="13"/>
        </w:numPr>
        <w:tabs>
          <w:tab w:val="clear" w:pos="240"/>
          <w:tab w:val="num" w:pos="720"/>
        </w:tabs>
        <w:spacing w:line="480" w:lineRule="auto"/>
        <w:ind w:left="0" w:hanging="576"/>
        <w:jc w:val="both"/>
      </w:pPr>
      <w:r w:rsidRPr="00E14C66">
        <w:rPr>
          <w:noProof/>
        </w:rPr>
        <w:drawing>
          <wp:anchor distT="0" distB="0" distL="114300" distR="114300" simplePos="0" relativeHeight="251659264" behindDoc="0" locked="0" layoutInCell="1" allowOverlap="1">
            <wp:simplePos x="0" y="0"/>
            <wp:positionH relativeFrom="column">
              <wp:posOffset>346710</wp:posOffset>
            </wp:positionH>
            <wp:positionV relativeFrom="paragraph">
              <wp:posOffset>-635</wp:posOffset>
            </wp:positionV>
            <wp:extent cx="5334000" cy="153162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5334000" cy="1531620"/>
                    </a:xfrm>
                    <a:prstGeom prst="rect">
                      <a:avLst/>
                    </a:prstGeom>
                    <a:noFill/>
                    <a:ln w="9525">
                      <a:noFill/>
                      <a:miter lim="800000"/>
                      <a:headEnd/>
                      <a:tailEnd/>
                    </a:ln>
                  </pic:spPr>
                </pic:pic>
              </a:graphicData>
            </a:graphic>
          </wp:anchor>
        </w:drawing>
      </w:r>
    </w:p>
    <w:p w:rsidR="00E14C66" w:rsidRDefault="00E14C66" w:rsidP="004F3BE6">
      <w:pPr>
        <w:pStyle w:val="ListParagraph"/>
        <w:spacing w:line="480" w:lineRule="auto"/>
        <w:ind w:left="0"/>
        <w:jc w:val="both"/>
      </w:pPr>
    </w:p>
    <w:p w:rsidR="00E14C66" w:rsidRDefault="00E14C66" w:rsidP="004F3BE6">
      <w:pPr>
        <w:pStyle w:val="ListParagraph"/>
        <w:spacing w:line="480" w:lineRule="auto"/>
        <w:ind w:left="0"/>
        <w:jc w:val="both"/>
      </w:pPr>
    </w:p>
    <w:p w:rsidR="00E14C66" w:rsidRDefault="00E14C66" w:rsidP="004F3BE6">
      <w:pPr>
        <w:pStyle w:val="ListParagraph"/>
        <w:spacing w:line="480" w:lineRule="auto"/>
        <w:ind w:left="0"/>
        <w:jc w:val="both"/>
      </w:pPr>
    </w:p>
    <w:p w:rsidR="00E14C66" w:rsidRDefault="00E14C66" w:rsidP="004F3BE6">
      <w:pPr>
        <w:tabs>
          <w:tab w:val="num" w:pos="720"/>
        </w:tabs>
        <w:spacing w:line="480" w:lineRule="auto"/>
        <w:jc w:val="both"/>
      </w:pPr>
    </w:p>
    <w:p w:rsidR="00FB664B" w:rsidRPr="004F3BE6" w:rsidRDefault="00942257" w:rsidP="00942257">
      <w:pPr>
        <w:pStyle w:val="ListParagraph"/>
        <w:numPr>
          <w:ilvl w:val="0"/>
          <w:numId w:val="13"/>
        </w:numPr>
        <w:tabs>
          <w:tab w:val="clear" w:pos="240"/>
          <w:tab w:val="num" w:pos="720"/>
        </w:tabs>
        <w:spacing w:line="480" w:lineRule="auto"/>
        <w:ind w:left="0" w:hanging="576"/>
        <w:jc w:val="both"/>
        <w:rPr>
          <w:b/>
        </w:rPr>
      </w:pPr>
      <w:r>
        <w:tab/>
      </w:r>
      <w:r w:rsidRPr="000352DF">
        <w:t xml:space="preserve">The Company estimates that </w:t>
      </w:r>
      <w:r w:rsidRPr="00687286">
        <w:t xml:space="preserve">approximately </w:t>
      </w:r>
      <w:r w:rsidRPr="00D164E3">
        <w:t>$</w:t>
      </w:r>
      <w:r>
        <w:t>930,000</w:t>
      </w:r>
      <w:r w:rsidRPr="00D164E3">
        <w:t xml:space="preserve"> </w:t>
      </w:r>
      <w:r w:rsidRPr="00687286">
        <w:t>in</w:t>
      </w:r>
      <w:r w:rsidRPr="000352DF">
        <w:t xml:space="preserve"> costs will be deferred between July 1, 201</w:t>
      </w:r>
      <w:r>
        <w:t>6</w:t>
      </w:r>
      <w:r w:rsidRPr="000352DF">
        <w:t xml:space="preserve"> and </w:t>
      </w:r>
      <w:r>
        <w:t>December 31</w:t>
      </w:r>
      <w:r w:rsidRPr="000352DF">
        <w:t>, 201</w:t>
      </w:r>
      <w:r>
        <w:t>8 on a Washington electric allocated basis and $587,000 on a Washington natural gas allocated basis</w:t>
      </w:r>
      <w:r w:rsidRPr="000352DF">
        <w:t>.</w:t>
      </w:r>
      <w:r>
        <w:t xml:space="preserve">  On an annual basis the Company estimates the costs of the program to be approximately $372,000 and $235,000 on a Washington electric and natural gas allocated basis.</w:t>
      </w:r>
    </w:p>
    <w:p w:rsidR="00006885" w:rsidRPr="009D359B" w:rsidRDefault="00006885" w:rsidP="00006885">
      <w:pPr>
        <w:pStyle w:val="Heading1"/>
        <w:tabs>
          <w:tab w:val="left" w:pos="1260"/>
        </w:tabs>
        <w:spacing w:line="480" w:lineRule="auto"/>
        <w:ind w:left="360"/>
        <w:jc w:val="center"/>
        <w:rPr>
          <w:u w:val="none"/>
        </w:rPr>
      </w:pPr>
      <w:r w:rsidRPr="009D359B">
        <w:rPr>
          <w:u w:val="none"/>
        </w:rPr>
        <w:lastRenderedPageBreak/>
        <w:t>V.  REQUEST FOR RELIEF</w:t>
      </w:r>
    </w:p>
    <w:p w:rsidR="0080794F" w:rsidRPr="009D359B" w:rsidRDefault="00006885" w:rsidP="009D359B">
      <w:pPr>
        <w:pStyle w:val="Header"/>
        <w:numPr>
          <w:ilvl w:val="0"/>
          <w:numId w:val="13"/>
        </w:numPr>
        <w:tabs>
          <w:tab w:val="clear" w:pos="240"/>
          <w:tab w:val="left" w:pos="720"/>
        </w:tabs>
        <w:spacing w:line="480" w:lineRule="auto"/>
        <w:jc w:val="both"/>
      </w:pPr>
      <w:r w:rsidRPr="009D359B">
        <w:t xml:space="preserve">       WHEREFORE, Avista respectfully requests that the Commission issue an Order </w:t>
      </w:r>
      <w:r w:rsidR="00CE4DB5" w:rsidRPr="009D359B">
        <w:t>approvin</w:t>
      </w:r>
      <w:r w:rsidRPr="009D359B">
        <w:t xml:space="preserve">g the </w:t>
      </w:r>
      <w:r w:rsidR="009D359B" w:rsidRPr="009D359B">
        <w:t xml:space="preserve">deferred </w:t>
      </w:r>
      <w:r w:rsidRPr="009D359B">
        <w:t xml:space="preserve">accounting </w:t>
      </w:r>
      <w:r w:rsidR="002E6800">
        <w:t xml:space="preserve">and ratemaking </w:t>
      </w:r>
      <w:r w:rsidRPr="009D359B">
        <w:t xml:space="preserve">treatment </w:t>
      </w:r>
      <w:r w:rsidR="00CA0DF2">
        <w:t xml:space="preserve">of </w:t>
      </w:r>
      <w:r w:rsidR="00F051B3">
        <w:t>the costs incurred for Avista to offer a fee</w:t>
      </w:r>
      <w:r w:rsidR="00796BA8">
        <w:t>-</w:t>
      </w:r>
      <w:r w:rsidR="00F051B3">
        <w:t xml:space="preserve">free payment program </w:t>
      </w:r>
      <w:r w:rsidR="00E57213">
        <w:t>for</w:t>
      </w:r>
      <w:r w:rsidR="00F051B3">
        <w:t xml:space="preserve"> </w:t>
      </w:r>
      <w:r w:rsidR="00CA0DF2">
        <w:t>residential customers</w:t>
      </w:r>
      <w:r w:rsidR="009D359B" w:rsidRPr="009D359B">
        <w:t xml:space="preserve">. </w:t>
      </w:r>
      <w:r w:rsidR="00E57213">
        <w:t>Recovery of the deferred costs over a two year period would occur through a general rate case following 12 to 18 months of experience under the program, as explained in this Petition.</w:t>
      </w:r>
      <w:r w:rsidR="009D359B" w:rsidRPr="009D359B">
        <w:t xml:space="preserve">  </w:t>
      </w:r>
    </w:p>
    <w:p w:rsidR="00EF39C4" w:rsidRDefault="003D2170" w:rsidP="0008395E">
      <w:pPr>
        <w:tabs>
          <w:tab w:val="left" w:pos="4320"/>
        </w:tabs>
        <w:spacing w:line="480" w:lineRule="auto"/>
        <w:ind w:left="540" w:hanging="540"/>
        <w:jc w:val="both"/>
      </w:pPr>
      <w:r>
        <w:tab/>
      </w:r>
      <w:r>
        <w:tab/>
      </w:r>
    </w:p>
    <w:p w:rsidR="003D2170" w:rsidRDefault="00EF39C4">
      <w:pPr>
        <w:tabs>
          <w:tab w:val="left" w:pos="4320"/>
        </w:tabs>
        <w:spacing w:line="480" w:lineRule="auto"/>
        <w:ind w:left="540" w:hanging="540"/>
        <w:jc w:val="both"/>
      </w:pPr>
      <w:r>
        <w:tab/>
      </w:r>
      <w:r>
        <w:tab/>
      </w:r>
      <w:r w:rsidR="003D2170">
        <w:t xml:space="preserve">DATED this </w:t>
      </w:r>
      <w:r w:rsidR="005739ED">
        <w:t>__</w:t>
      </w:r>
      <w:proofErr w:type="spellStart"/>
      <w:r w:rsidR="003D2170" w:rsidRPr="00250F13">
        <w:rPr>
          <w:vertAlign w:val="superscript"/>
        </w:rPr>
        <w:t>th</w:t>
      </w:r>
      <w:proofErr w:type="spellEnd"/>
      <w:r w:rsidR="003D2170">
        <w:t xml:space="preserve"> day of </w:t>
      </w:r>
      <w:r w:rsidR="00EF6A33">
        <w:t>January</w:t>
      </w:r>
      <w:r w:rsidR="003D2170">
        <w:t xml:space="preserve"> 20</w:t>
      </w:r>
      <w:r w:rsidR="00C44A25">
        <w:t>1</w:t>
      </w:r>
      <w:r w:rsidR="00EF6A33">
        <w:t>6</w:t>
      </w:r>
    </w:p>
    <w:p w:rsidR="003D2170" w:rsidRDefault="003D2170">
      <w:pPr>
        <w:tabs>
          <w:tab w:val="left" w:pos="4320"/>
        </w:tabs>
        <w:ind w:left="540" w:hanging="540"/>
        <w:jc w:val="both"/>
      </w:pPr>
    </w:p>
    <w:p w:rsidR="00522D49" w:rsidRDefault="00522D49">
      <w:pPr>
        <w:tabs>
          <w:tab w:val="left" w:pos="4320"/>
        </w:tabs>
        <w:ind w:left="540" w:hanging="540"/>
        <w:jc w:val="both"/>
      </w:pPr>
    </w:p>
    <w:p w:rsidR="003D2170" w:rsidRDefault="003D2170">
      <w:pPr>
        <w:tabs>
          <w:tab w:val="left" w:pos="4320"/>
          <w:tab w:val="left" w:pos="4680"/>
        </w:tabs>
        <w:ind w:left="540" w:hanging="540"/>
        <w:jc w:val="both"/>
      </w:pPr>
      <w:r>
        <w:tab/>
      </w:r>
      <w:r>
        <w:tab/>
        <w:t>By: __________________________________</w:t>
      </w:r>
    </w:p>
    <w:p w:rsidR="003D2170" w:rsidRDefault="003D2170">
      <w:pPr>
        <w:tabs>
          <w:tab w:val="left" w:pos="3960"/>
          <w:tab w:val="left" w:pos="4320"/>
          <w:tab w:val="left" w:pos="4680"/>
        </w:tabs>
        <w:ind w:left="540" w:hanging="540"/>
        <w:jc w:val="both"/>
      </w:pPr>
      <w:r>
        <w:tab/>
      </w:r>
      <w:r>
        <w:tab/>
      </w:r>
      <w:r>
        <w:tab/>
      </w:r>
      <w:r w:rsidR="00796BA8">
        <w:t>Kelly Norwood</w:t>
      </w:r>
    </w:p>
    <w:p w:rsidR="001B3BD8" w:rsidRDefault="003D2170" w:rsidP="00796BA8">
      <w:pPr>
        <w:tabs>
          <w:tab w:val="left" w:pos="3960"/>
          <w:tab w:val="left" w:pos="4320"/>
          <w:tab w:val="left" w:pos="4680"/>
        </w:tabs>
        <w:ind w:left="540" w:hanging="540"/>
        <w:jc w:val="both"/>
      </w:pPr>
      <w:r>
        <w:tab/>
      </w:r>
      <w:r>
        <w:tab/>
      </w:r>
      <w:r>
        <w:tab/>
        <w:t>Vice President</w:t>
      </w:r>
      <w:r w:rsidR="00796BA8">
        <w:t xml:space="preserve">, </w:t>
      </w:r>
      <w:r w:rsidR="00336D43">
        <w:t>Avista Corp.</w:t>
      </w:r>
    </w:p>
    <w:p w:rsidR="001B3BD8" w:rsidRDefault="001B3BD8">
      <w:pPr>
        <w:tabs>
          <w:tab w:val="left" w:pos="3960"/>
          <w:tab w:val="left" w:pos="4320"/>
          <w:tab w:val="left" w:pos="4680"/>
        </w:tabs>
        <w:ind w:left="540" w:hanging="540"/>
        <w:jc w:val="both"/>
      </w:pPr>
    </w:p>
    <w:p w:rsidR="001B3BD8" w:rsidRDefault="001B3BD8">
      <w:pPr>
        <w:tabs>
          <w:tab w:val="left" w:pos="3960"/>
          <w:tab w:val="left" w:pos="4320"/>
          <w:tab w:val="left" w:pos="4680"/>
        </w:tabs>
        <w:ind w:left="540" w:hanging="540"/>
        <w:jc w:val="both"/>
      </w:pPr>
    </w:p>
    <w:p w:rsidR="003D2170" w:rsidRDefault="00C9544A" w:rsidP="008D56BE">
      <w:pPr>
        <w:spacing w:after="200" w:line="276" w:lineRule="auto"/>
      </w:pPr>
      <w:r>
        <w:br w:type="page"/>
      </w:r>
      <w:r w:rsidR="003D2170">
        <w:lastRenderedPageBreak/>
        <w:t>VERIFICATION</w:t>
      </w:r>
    </w:p>
    <w:p w:rsidR="003D2170" w:rsidRDefault="003D2170">
      <w:pPr>
        <w:jc w:val="center"/>
      </w:pPr>
    </w:p>
    <w:p w:rsidR="003D2170" w:rsidRDefault="003D2170">
      <w:pPr>
        <w:tabs>
          <w:tab w:val="left" w:pos="720"/>
          <w:tab w:val="left" w:pos="3600"/>
        </w:tabs>
      </w:pPr>
      <w:r>
        <w:tab/>
        <w:t>STATE OF WASHINGTON</w:t>
      </w:r>
      <w:r>
        <w:tab/>
        <w:t>)</w:t>
      </w:r>
    </w:p>
    <w:p w:rsidR="003D2170" w:rsidRDefault="003D2170">
      <w:pPr>
        <w:tabs>
          <w:tab w:val="left" w:pos="720"/>
          <w:tab w:val="left" w:pos="3600"/>
        </w:tabs>
      </w:pPr>
      <w:r>
        <w:tab/>
      </w:r>
      <w:r>
        <w:tab/>
        <w:t>)</w:t>
      </w:r>
    </w:p>
    <w:p w:rsidR="003D2170" w:rsidRDefault="003D2170">
      <w:pPr>
        <w:tabs>
          <w:tab w:val="left" w:pos="720"/>
          <w:tab w:val="left" w:pos="3600"/>
        </w:tabs>
      </w:pPr>
      <w:r>
        <w:tab/>
        <w:t>County of Spokane</w:t>
      </w:r>
      <w:r>
        <w:tab/>
        <w:t>)</w:t>
      </w:r>
    </w:p>
    <w:p w:rsidR="003D2170" w:rsidRDefault="003D2170">
      <w:pPr>
        <w:tabs>
          <w:tab w:val="left" w:pos="720"/>
          <w:tab w:val="left" w:pos="3600"/>
        </w:tabs>
      </w:pPr>
    </w:p>
    <w:p w:rsidR="003D2170" w:rsidRDefault="003D2170">
      <w:pPr>
        <w:jc w:val="both"/>
      </w:pPr>
      <w:r>
        <w:tab/>
      </w:r>
    </w:p>
    <w:p w:rsidR="003D2170" w:rsidRDefault="003D2170">
      <w:pPr>
        <w:pStyle w:val="BodyText2"/>
        <w:tabs>
          <w:tab w:val="left" w:pos="1080"/>
        </w:tabs>
        <w:spacing w:line="360" w:lineRule="auto"/>
        <w:ind w:left="720"/>
        <w:jc w:val="left"/>
        <w:rPr>
          <w:rFonts w:ascii="Times" w:hAnsi="Times" w:cs="Times"/>
        </w:rPr>
      </w:pPr>
      <w:r>
        <w:rPr>
          <w:rFonts w:ascii="Times" w:hAnsi="Times" w:cs="Times"/>
        </w:rPr>
        <w:tab/>
      </w:r>
      <w:r>
        <w:rPr>
          <w:rFonts w:ascii="Times" w:hAnsi="Times" w:cs="Times"/>
        </w:rPr>
        <w:tab/>
      </w:r>
      <w:r w:rsidR="00DA5809">
        <w:rPr>
          <w:rFonts w:ascii="Times" w:hAnsi="Times" w:cs="Times"/>
        </w:rPr>
        <w:t>Kelly Norwood</w:t>
      </w:r>
      <w:r>
        <w:rPr>
          <w:rFonts w:ascii="Times" w:hAnsi="Times" w:cs="Times"/>
        </w:rPr>
        <w:t>, being first duly sworn on oath, deposes and says:  That he is a Vice President of Avista Corporation and makes this verification for and on behalf of said corporation, being thereto duly authorized;</w:t>
      </w:r>
    </w:p>
    <w:p w:rsidR="003D2170" w:rsidRDefault="003D2170">
      <w:pPr>
        <w:tabs>
          <w:tab w:val="left" w:pos="1080"/>
        </w:tabs>
        <w:spacing w:line="360" w:lineRule="auto"/>
        <w:ind w:left="720"/>
      </w:pPr>
      <w:r>
        <w:tab/>
        <w:t>That he has read the foregoing Petition, knows the contents thereof, and believes the same to be true.</w:t>
      </w:r>
    </w:p>
    <w:p w:rsidR="003D2170" w:rsidRDefault="003D2170">
      <w:pPr>
        <w:tabs>
          <w:tab w:val="left" w:pos="1440"/>
        </w:tabs>
      </w:pPr>
    </w:p>
    <w:p w:rsidR="003D2170" w:rsidRDefault="003D2170">
      <w:pPr>
        <w:tabs>
          <w:tab w:val="left" w:pos="1440"/>
        </w:tabs>
        <w:jc w:val="both"/>
      </w:pPr>
    </w:p>
    <w:p w:rsidR="003D2170" w:rsidRDefault="003D2170">
      <w:pPr>
        <w:tabs>
          <w:tab w:val="left" w:pos="1440"/>
        </w:tabs>
        <w:jc w:val="both"/>
      </w:pPr>
    </w:p>
    <w:p w:rsidR="003D2170" w:rsidRDefault="003D2170">
      <w:pPr>
        <w:tabs>
          <w:tab w:val="left" w:pos="1440"/>
          <w:tab w:val="left" w:pos="5040"/>
          <w:tab w:val="left" w:pos="8640"/>
        </w:tabs>
        <w:jc w:val="both"/>
        <w:rPr>
          <w:u w:val="single"/>
        </w:rPr>
      </w:pPr>
      <w:r>
        <w:tab/>
      </w:r>
      <w:r>
        <w:tab/>
      </w:r>
      <w:r>
        <w:rPr>
          <w:u w:val="single"/>
        </w:rPr>
        <w:tab/>
      </w:r>
    </w:p>
    <w:p w:rsidR="003D2170" w:rsidRDefault="003D2170"/>
    <w:p w:rsidR="003D2170" w:rsidRDefault="003D2170"/>
    <w:p w:rsidR="003D2170" w:rsidRDefault="003D2170">
      <w:pPr>
        <w:tabs>
          <w:tab w:val="left" w:pos="1080"/>
          <w:tab w:val="left" w:pos="1260"/>
          <w:tab w:val="left" w:pos="5760"/>
          <w:tab w:val="left" w:pos="6300"/>
        </w:tabs>
        <w:ind w:left="540" w:hanging="540"/>
      </w:pPr>
      <w:r>
        <w:tab/>
      </w:r>
      <w:r>
        <w:tab/>
        <w:t xml:space="preserve">SIGNED AND SWORN to before me on this </w:t>
      </w:r>
      <w:r w:rsidR="00CF2201">
        <w:t>_____</w:t>
      </w:r>
      <w:r>
        <w:t xml:space="preserve"> day of </w:t>
      </w:r>
      <w:r w:rsidR="001707BC">
        <w:t xml:space="preserve">January </w:t>
      </w:r>
      <w:r>
        <w:t>20</w:t>
      </w:r>
      <w:r w:rsidR="00C44A25">
        <w:t>1</w:t>
      </w:r>
      <w:r w:rsidR="001707BC">
        <w:t>6</w:t>
      </w:r>
    </w:p>
    <w:p w:rsidR="003D2170" w:rsidRDefault="003D2170">
      <w:pPr>
        <w:tabs>
          <w:tab w:val="left" w:pos="1440"/>
          <w:tab w:val="left" w:pos="5760"/>
          <w:tab w:val="left" w:pos="6300"/>
        </w:tabs>
      </w:pPr>
    </w:p>
    <w:p w:rsidR="003D2170" w:rsidRDefault="003D2170">
      <w:pPr>
        <w:tabs>
          <w:tab w:val="left" w:pos="1440"/>
          <w:tab w:val="left" w:pos="5760"/>
          <w:tab w:val="left" w:pos="6300"/>
        </w:tabs>
      </w:pPr>
    </w:p>
    <w:p w:rsidR="003D2170" w:rsidRDefault="003D2170">
      <w:pPr>
        <w:tabs>
          <w:tab w:val="left" w:pos="1440"/>
          <w:tab w:val="left" w:pos="5760"/>
          <w:tab w:val="left" w:pos="6300"/>
        </w:tabs>
      </w:pPr>
    </w:p>
    <w:p w:rsidR="003D2170" w:rsidRDefault="003D2170">
      <w:pPr>
        <w:tabs>
          <w:tab w:val="left" w:pos="1440"/>
          <w:tab w:val="left" w:pos="5760"/>
          <w:tab w:val="left" w:pos="6300"/>
        </w:tabs>
      </w:pPr>
    </w:p>
    <w:p w:rsidR="003D2170" w:rsidRDefault="003D2170">
      <w:pPr>
        <w:tabs>
          <w:tab w:val="left" w:pos="1440"/>
          <w:tab w:val="left" w:pos="4320"/>
          <w:tab w:val="left" w:pos="6300"/>
          <w:tab w:val="left" w:pos="8190"/>
        </w:tabs>
        <w:rPr>
          <w:u w:val="single"/>
        </w:rPr>
      </w:pPr>
      <w:r>
        <w:tab/>
      </w:r>
      <w:r>
        <w:tab/>
      </w:r>
      <w:r>
        <w:rPr>
          <w:u w:val="single"/>
        </w:rPr>
        <w:tab/>
      </w:r>
      <w:r>
        <w:rPr>
          <w:u w:val="single"/>
        </w:rPr>
        <w:tab/>
      </w:r>
    </w:p>
    <w:p w:rsidR="003D2170" w:rsidRDefault="003D2170">
      <w:pPr>
        <w:tabs>
          <w:tab w:val="left" w:pos="1440"/>
          <w:tab w:val="left" w:pos="5760"/>
          <w:tab w:val="left" w:pos="6300"/>
        </w:tabs>
      </w:pPr>
    </w:p>
    <w:p w:rsidR="003D2170" w:rsidRDefault="003D2170">
      <w:pPr>
        <w:tabs>
          <w:tab w:val="left" w:pos="1440"/>
          <w:tab w:val="left" w:pos="5760"/>
          <w:tab w:val="left" w:pos="6300"/>
        </w:tabs>
        <w:ind w:left="4320"/>
      </w:pPr>
      <w:proofErr w:type="gramStart"/>
      <w:r>
        <w:t xml:space="preserve">NOTARY PUBLIC in and for the State of </w:t>
      </w:r>
      <w:r>
        <w:br/>
        <w:t>Washington, residing at Spokane.</w:t>
      </w:r>
      <w:proofErr w:type="gramEnd"/>
    </w:p>
    <w:p w:rsidR="003D2170" w:rsidRDefault="003D2170">
      <w:pPr>
        <w:tabs>
          <w:tab w:val="left" w:pos="1440"/>
          <w:tab w:val="left" w:pos="5760"/>
          <w:tab w:val="left" w:pos="6300"/>
        </w:tabs>
        <w:ind w:left="4320"/>
      </w:pPr>
    </w:p>
    <w:p w:rsidR="003D2170" w:rsidRDefault="003D2170">
      <w:pPr>
        <w:pStyle w:val="BodyText2"/>
        <w:ind w:left="3600" w:firstLine="720"/>
      </w:pPr>
      <w:r>
        <w:t xml:space="preserve">Commission Expires:  </w:t>
      </w:r>
      <w:r>
        <w:rPr>
          <w:u w:val="single"/>
        </w:rPr>
        <w:tab/>
      </w:r>
    </w:p>
    <w:p w:rsidR="003D2170" w:rsidRDefault="003D2170">
      <w:pPr>
        <w:spacing w:line="480" w:lineRule="auto"/>
        <w:ind w:firstLine="720"/>
        <w:jc w:val="both"/>
      </w:pPr>
    </w:p>
    <w:sectPr w:rsidR="003D2170" w:rsidSect="009118E4">
      <w:headerReference w:type="default" r:id="rId21"/>
      <w:footerReference w:type="default" r:id="rId22"/>
      <w:type w:val="continuous"/>
      <w:pgSz w:w="12240" w:h="15840" w:code="1"/>
      <w:pgMar w:top="1440" w:right="1440" w:bottom="1440" w:left="1440" w:header="720" w:footer="43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1F7" w:rsidRDefault="007E61F7" w:rsidP="003D2170">
      <w:r>
        <w:separator/>
      </w:r>
    </w:p>
  </w:endnote>
  <w:endnote w:type="continuationSeparator" w:id="0">
    <w:p w:rsidR="007E61F7" w:rsidRDefault="007E61F7" w:rsidP="003D2170">
      <w:r>
        <w:continuationSeparator/>
      </w:r>
    </w:p>
  </w:endnote>
  <w:endnote w:type="continuationNotice" w:id="1">
    <w:p w:rsidR="007E61F7" w:rsidRDefault="007E61F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1F7" w:rsidRDefault="007E61F7">
    <w:pPr>
      <w:pStyle w:val="Footer"/>
      <w:rPr>
        <w:caps/>
        <w:sz w:val="20"/>
        <w:szCs w:val="20"/>
      </w:rPr>
    </w:pPr>
    <w:r>
      <w:rPr>
        <w:caps/>
        <w:sz w:val="20"/>
        <w:szCs w:val="20"/>
      </w:rPr>
      <w:t>petition of avista corporation</w:t>
    </w:r>
  </w:p>
  <w:p w:rsidR="007E61F7" w:rsidRDefault="007E61F7">
    <w:pPr>
      <w:pStyle w:val="Footer"/>
      <w:rPr>
        <w:caps/>
        <w:sz w:val="20"/>
        <w:szCs w:val="20"/>
      </w:rPr>
    </w:pPr>
    <w:r>
      <w:rPr>
        <w:caps/>
        <w:sz w:val="20"/>
        <w:szCs w:val="20"/>
      </w:rPr>
      <w:t>for an accounting order</w:t>
    </w:r>
    <w:r>
      <w:rPr>
        <w:caps/>
        <w:sz w:val="20"/>
        <w:szCs w:val="20"/>
      </w:rPr>
      <w:tab/>
    </w:r>
    <w:r>
      <w:rPr>
        <w:caps/>
        <w:sz w:val="20"/>
        <w:szCs w:val="20"/>
      </w:rPr>
      <w:tab/>
      <w:t xml:space="preserve">pAGE </w:t>
    </w:r>
    <w:r w:rsidR="003910F5" w:rsidRPr="003E0A8C">
      <w:rPr>
        <w:caps/>
        <w:sz w:val="20"/>
        <w:szCs w:val="20"/>
      </w:rPr>
      <w:fldChar w:fldCharType="begin"/>
    </w:r>
    <w:r w:rsidRPr="003E0A8C">
      <w:rPr>
        <w:caps/>
        <w:sz w:val="20"/>
        <w:szCs w:val="20"/>
      </w:rPr>
      <w:instrText xml:space="preserve"> PAGE   \* MERGEFORMAT </w:instrText>
    </w:r>
    <w:r w:rsidR="003910F5" w:rsidRPr="003E0A8C">
      <w:rPr>
        <w:caps/>
        <w:sz w:val="20"/>
        <w:szCs w:val="20"/>
      </w:rPr>
      <w:fldChar w:fldCharType="separate"/>
    </w:r>
    <w:r w:rsidR="00822CC7">
      <w:rPr>
        <w:caps/>
        <w:noProof/>
        <w:sz w:val="20"/>
        <w:szCs w:val="20"/>
      </w:rPr>
      <w:t>10</w:t>
    </w:r>
    <w:r w:rsidR="003910F5" w:rsidRPr="003E0A8C">
      <w:rPr>
        <w:caps/>
        <w:sz w:val="20"/>
        <w:szCs w:val="20"/>
      </w:rPr>
      <w:fldChar w:fldCharType="end"/>
    </w:r>
  </w:p>
  <w:p w:rsidR="007E61F7" w:rsidRDefault="007E61F7">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1F7" w:rsidRDefault="007E61F7" w:rsidP="003D2170">
      <w:r>
        <w:separator/>
      </w:r>
    </w:p>
  </w:footnote>
  <w:footnote w:type="continuationSeparator" w:id="0">
    <w:p w:rsidR="007E61F7" w:rsidRDefault="007E61F7" w:rsidP="003D2170">
      <w:r>
        <w:continuationSeparator/>
      </w:r>
    </w:p>
  </w:footnote>
  <w:footnote w:type="continuationNotice" w:id="1">
    <w:p w:rsidR="007E61F7" w:rsidRDefault="007E61F7"/>
  </w:footnote>
  <w:footnote w:id="2">
    <w:p w:rsidR="007E61F7" w:rsidRDefault="007E61F7" w:rsidP="00363784">
      <w:pPr>
        <w:pStyle w:val="FootnoteText"/>
      </w:pPr>
      <w:r>
        <w:rPr>
          <w:rStyle w:val="FootnoteReference"/>
        </w:rPr>
        <w:footnoteRef/>
      </w:r>
      <w:r>
        <w:t xml:space="preserve"> </w:t>
      </w:r>
      <w:hyperlink r:id="rId1" w:history="1">
        <w:r w:rsidRPr="00AA61D4">
          <w:rPr>
            <w:rStyle w:val="Hyperlink"/>
          </w:rPr>
          <w:t>http://nasuca.org/2012-07-urging-utilities-to-eliminate-convenience-fees-for-paying-utility-bills-with-debit-and-credit-cards-and-urging-appropriate-state-regulatory-oversight/</w:t>
        </w:r>
      </w:hyperlink>
    </w:p>
  </w:footnote>
  <w:footnote w:id="3">
    <w:p w:rsidR="007E61F7" w:rsidRDefault="007E61F7">
      <w:pPr>
        <w:pStyle w:val="FootnoteText"/>
      </w:pPr>
      <w:r>
        <w:rPr>
          <w:rStyle w:val="FootnoteReference"/>
        </w:rPr>
        <w:footnoteRef/>
      </w:r>
      <w:r>
        <w:t xml:space="preserve"> This table is provided on the Company’s website at </w:t>
      </w:r>
      <w:hyperlink r:id="rId2" w:history="1">
        <w:r w:rsidRPr="00636000">
          <w:rPr>
            <w:rStyle w:val="Hyperlink"/>
          </w:rPr>
          <w:t>www.avistautilities.com</w:t>
        </w:r>
      </w:hyperlink>
      <w:r>
        <w:t>.</w:t>
      </w:r>
    </w:p>
  </w:footnote>
  <w:footnote w:id="4">
    <w:p w:rsidR="007E61F7" w:rsidRDefault="007E61F7">
      <w:pPr>
        <w:pStyle w:val="FootnoteText"/>
      </w:pPr>
      <w:r>
        <w:rPr>
          <w:rStyle w:val="FootnoteReference"/>
        </w:rPr>
        <w:footnoteRef/>
      </w:r>
      <w:r>
        <w:t xml:space="preserve"> </w:t>
      </w:r>
      <w:r>
        <w:rPr>
          <w:rFonts w:eastAsia="Calibri"/>
        </w:rPr>
        <w:t>Because commercial customers generally have more methods in which to pay, and their average payment amount is significantly higher than residential, which leads to higher processing costs, at this time Avista is not proposing a fee free program for commercial customers.</w:t>
      </w:r>
    </w:p>
  </w:footnote>
  <w:footnote w:id="5">
    <w:p w:rsidR="007E61F7" w:rsidRPr="00371B3D" w:rsidRDefault="007E61F7" w:rsidP="0041462B">
      <w:pPr>
        <w:pStyle w:val="Heading2"/>
        <w:spacing w:line="240" w:lineRule="auto"/>
        <w:contextualSpacing/>
        <w:rPr>
          <w:b w:val="0"/>
          <w:sz w:val="20"/>
          <w:szCs w:val="20"/>
        </w:rPr>
      </w:pPr>
      <w:r w:rsidRPr="00371B3D">
        <w:rPr>
          <w:rStyle w:val="FootnoteReference"/>
          <w:b w:val="0"/>
          <w:sz w:val="20"/>
          <w:szCs w:val="20"/>
        </w:rPr>
        <w:footnoteRef/>
      </w:r>
      <w:r w:rsidRPr="00371B3D">
        <w:rPr>
          <w:b w:val="0"/>
          <w:sz w:val="20"/>
          <w:szCs w:val="20"/>
        </w:rPr>
        <w:t xml:space="preserve"> </w:t>
      </w:r>
      <w:hyperlink r:id="rId3" w:history="1">
        <w:r w:rsidRPr="00371B3D">
          <w:rPr>
            <w:rStyle w:val="Hyperlink"/>
            <w:b w:val="0"/>
            <w:sz w:val="20"/>
            <w:szCs w:val="20"/>
          </w:rPr>
          <w:t>http://nasuca.org/2012-07-urging-utilities-to-eliminate-convenience-fees-for-paying-utility-bills-with-debit-and-credit-cards-and-urging-appropriate-state-regulatory-oversight/</w:t>
        </w:r>
      </w:hyperlink>
    </w:p>
    <w:p w:rsidR="007E61F7" w:rsidRDefault="007E61F7" w:rsidP="00BC31BD">
      <w:pPr>
        <w:pStyle w:val="FootnoteText"/>
      </w:pPr>
      <w:r>
        <w:t xml:space="preserve"> </w:t>
      </w:r>
    </w:p>
  </w:footnote>
  <w:footnote w:id="6">
    <w:p w:rsidR="007E61F7" w:rsidRPr="00F47613" w:rsidRDefault="007E61F7" w:rsidP="00F346B2">
      <w:pPr>
        <w:rPr>
          <w:sz w:val="18"/>
        </w:rPr>
      </w:pPr>
      <w:r w:rsidRPr="002071FB">
        <w:rPr>
          <w:rStyle w:val="FootnoteReference"/>
          <w:sz w:val="20"/>
          <w:szCs w:val="20"/>
        </w:rPr>
        <w:footnoteRef/>
      </w:r>
      <w:r w:rsidRPr="002071FB">
        <w:rPr>
          <w:sz w:val="20"/>
          <w:szCs w:val="20"/>
        </w:rPr>
        <w:t xml:space="preserve"> The 2013 Federal Reserve Payments Study, July 2014.</w:t>
      </w:r>
      <w:r w:rsidRPr="00F47613">
        <w:rPr>
          <w:sz w:val="18"/>
        </w:rPr>
        <w:t xml:space="preserve"> </w:t>
      </w:r>
      <w:hyperlink r:id="rId4" w:history="1">
        <w:r w:rsidRPr="00F47613">
          <w:rPr>
            <w:rStyle w:val="Hyperlink"/>
            <w:sz w:val="18"/>
          </w:rPr>
          <w:t>https://www.frbservices.org/files/communications/pdf/general/2013_fed_res_paymt_study_detailed_rpt.pdf</w:t>
        </w:r>
      </w:hyperlink>
    </w:p>
    <w:p w:rsidR="007E61F7" w:rsidRDefault="007E61F7" w:rsidP="00F346B2">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1F7" w:rsidRDefault="007E61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19A8"/>
    <w:multiLevelType w:val="hybridMultilevel"/>
    <w:tmpl w:val="609248FA"/>
    <w:lvl w:ilvl="0" w:tplc="41282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D03E0E"/>
    <w:multiLevelType w:val="hybridMultilevel"/>
    <w:tmpl w:val="D1DA1046"/>
    <w:lvl w:ilvl="0" w:tplc="665C54C8">
      <w:start w:val="16"/>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2">
    <w:nsid w:val="09E07603"/>
    <w:multiLevelType w:val="hybridMultilevel"/>
    <w:tmpl w:val="59A0B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937A4B"/>
    <w:multiLevelType w:val="hybridMultilevel"/>
    <w:tmpl w:val="7A64C87E"/>
    <w:lvl w:ilvl="0" w:tplc="7A6AC7BE">
      <w:start w:val="26"/>
      <w:numFmt w:val="decimal"/>
      <w:lvlText w:val="%1"/>
      <w:lvlJc w:val="left"/>
      <w:pPr>
        <w:tabs>
          <w:tab w:val="num" w:pos="720"/>
        </w:tabs>
        <w:ind w:left="720" w:hanging="720"/>
      </w:pPr>
      <w:rPr>
        <w:rFonts w:cs="Times New Roman" w:hint="default"/>
        <w:i/>
        <w:iCs/>
        <w:sz w:val="18"/>
        <w:szCs w:val="18"/>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1D716AD"/>
    <w:multiLevelType w:val="hybridMultilevel"/>
    <w:tmpl w:val="23DC083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15F75975"/>
    <w:multiLevelType w:val="hybridMultilevel"/>
    <w:tmpl w:val="9F88C8EC"/>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7">
    <w:nsid w:val="1C0E040A"/>
    <w:multiLevelType w:val="hybridMultilevel"/>
    <w:tmpl w:val="1FCE9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127DD2"/>
    <w:multiLevelType w:val="hybridMultilevel"/>
    <w:tmpl w:val="26F26EAC"/>
    <w:lvl w:ilvl="0" w:tplc="FFFFFFFF">
      <w:start w:val="2"/>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nsid w:val="280A4D0A"/>
    <w:multiLevelType w:val="hybridMultilevel"/>
    <w:tmpl w:val="CF962F08"/>
    <w:lvl w:ilvl="0" w:tplc="E5742222">
      <w:start w:val="2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nsid w:val="2B9E0069"/>
    <w:multiLevelType w:val="hybridMultilevel"/>
    <w:tmpl w:val="1008727C"/>
    <w:lvl w:ilvl="0" w:tplc="FDECF420">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F6328BD"/>
    <w:multiLevelType w:val="hybridMultilevel"/>
    <w:tmpl w:val="39E69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5616B9"/>
    <w:multiLevelType w:val="hybridMultilevel"/>
    <w:tmpl w:val="99827E7E"/>
    <w:lvl w:ilvl="0" w:tplc="7A5CA69E">
      <w:start w:val="11"/>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3">
    <w:nsid w:val="3F166001"/>
    <w:multiLevelType w:val="hybridMultilevel"/>
    <w:tmpl w:val="FCE8DCE8"/>
    <w:lvl w:ilvl="0" w:tplc="D8C21222">
      <w:start w:val="7"/>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4">
    <w:nsid w:val="422675B4"/>
    <w:multiLevelType w:val="hybridMultilevel"/>
    <w:tmpl w:val="A2D07946"/>
    <w:lvl w:ilvl="0" w:tplc="04090001">
      <w:start w:val="1"/>
      <w:numFmt w:val="bullet"/>
      <w:lvlText w:val=""/>
      <w:lvlJc w:val="left"/>
      <w:pPr>
        <w:tabs>
          <w:tab w:val="num" w:pos="240"/>
        </w:tabs>
        <w:ind w:left="240" w:hanging="816"/>
      </w:pPr>
      <w:rPr>
        <w:rFonts w:ascii="Symbol" w:hAnsi="Symbol"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5">
    <w:nsid w:val="42CB2885"/>
    <w:multiLevelType w:val="hybridMultilevel"/>
    <w:tmpl w:val="75DCDC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BF662C1"/>
    <w:multiLevelType w:val="hybridMultilevel"/>
    <w:tmpl w:val="85FEE5E6"/>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7">
    <w:nsid w:val="52DC79BD"/>
    <w:multiLevelType w:val="hybridMultilevel"/>
    <w:tmpl w:val="77BAB66A"/>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8">
    <w:nsid w:val="568A44DC"/>
    <w:multiLevelType w:val="singleLevel"/>
    <w:tmpl w:val="FBCA1606"/>
    <w:lvl w:ilvl="0">
      <w:start w:val="1"/>
      <w:numFmt w:val="bullet"/>
      <w:lvlText w:val="-"/>
      <w:lvlJc w:val="left"/>
      <w:pPr>
        <w:tabs>
          <w:tab w:val="num" w:pos="1080"/>
        </w:tabs>
        <w:ind w:left="1080" w:hanging="360"/>
      </w:pPr>
      <w:rPr>
        <w:rFonts w:hint="default"/>
      </w:rPr>
    </w:lvl>
  </w:abstractNum>
  <w:abstractNum w:abstractNumId="19">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0">
    <w:nsid w:val="69BE6A50"/>
    <w:multiLevelType w:val="hybridMultilevel"/>
    <w:tmpl w:val="250EEAB6"/>
    <w:lvl w:ilvl="0" w:tplc="337A60D4">
      <w:start w:val="6"/>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6E65669F"/>
    <w:multiLevelType w:val="hybridMultilevel"/>
    <w:tmpl w:val="7E90FC7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F62CEF"/>
    <w:multiLevelType w:val="hybridMultilevel"/>
    <w:tmpl w:val="F552F7F0"/>
    <w:lvl w:ilvl="0" w:tplc="1AD4C174">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79977075"/>
    <w:multiLevelType w:val="hybridMultilevel"/>
    <w:tmpl w:val="7D7A5402"/>
    <w:lvl w:ilvl="0" w:tplc="2BF8494C">
      <w:start w:val="24"/>
      <w:numFmt w:val="decimal"/>
      <w:lvlText w:val="%1"/>
      <w:lvlJc w:val="left"/>
      <w:pPr>
        <w:tabs>
          <w:tab w:val="num" w:pos="0"/>
        </w:tabs>
        <w:ind w:hanging="480"/>
      </w:pPr>
      <w:rPr>
        <w:rFonts w:cs="Times New Roman" w:hint="default"/>
        <w:i/>
        <w:iCs/>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num w:numId="1">
    <w:abstractNumId w:val="8"/>
  </w:num>
  <w:num w:numId="2">
    <w:abstractNumId w:val="6"/>
  </w:num>
  <w:num w:numId="3">
    <w:abstractNumId w:val="18"/>
  </w:num>
  <w:num w:numId="4">
    <w:abstractNumId w:val="22"/>
  </w:num>
  <w:num w:numId="5">
    <w:abstractNumId w:val="10"/>
  </w:num>
  <w:num w:numId="6">
    <w:abstractNumId w:val="13"/>
  </w:num>
  <w:num w:numId="7">
    <w:abstractNumId w:val="12"/>
  </w:num>
  <w:num w:numId="8">
    <w:abstractNumId w:val="3"/>
  </w:num>
  <w:num w:numId="9">
    <w:abstractNumId w:val="1"/>
  </w:num>
  <w:num w:numId="10">
    <w:abstractNumId w:val="20"/>
  </w:num>
  <w:num w:numId="11">
    <w:abstractNumId w:val="23"/>
  </w:num>
  <w:num w:numId="12">
    <w:abstractNumId w:val="9"/>
  </w:num>
  <w:num w:numId="13">
    <w:abstractNumId w:val="17"/>
  </w:num>
  <w:num w:numId="14">
    <w:abstractNumId w:val="19"/>
  </w:num>
  <w:num w:numId="15">
    <w:abstractNumId w:val="2"/>
  </w:num>
  <w:num w:numId="16">
    <w:abstractNumId w:val="5"/>
  </w:num>
  <w:num w:numId="17">
    <w:abstractNumId w:val="16"/>
  </w:num>
  <w:num w:numId="18">
    <w:abstractNumId w:val="14"/>
  </w:num>
  <w:num w:numId="19">
    <w:abstractNumId w:val="11"/>
  </w:num>
  <w:num w:numId="20">
    <w:abstractNumId w:val="0"/>
  </w:num>
  <w:num w:numId="21">
    <w:abstractNumId w:val="21"/>
  </w:num>
  <w:num w:numId="22">
    <w:abstractNumId w:val="4"/>
  </w:num>
  <w:num w:numId="23">
    <w:abstractNumId w:val="15"/>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75777">
      <o:colormenu v:ext="edit" strokecolor="none"/>
    </o:shapedefaults>
  </w:hdrShapeDefaults>
  <w:footnotePr>
    <w:footnote w:id="-1"/>
    <w:footnote w:id="0"/>
    <w:footnote w:id="1"/>
  </w:footnotePr>
  <w:endnotePr>
    <w:endnote w:id="-1"/>
    <w:endnote w:id="0"/>
    <w:endnote w:id="1"/>
  </w:endnotePr>
  <w:compat>
    <w:useFELayout/>
  </w:compat>
  <w:rsids>
    <w:rsidRoot w:val="003D453C"/>
    <w:rsid w:val="00006885"/>
    <w:rsid w:val="00011864"/>
    <w:rsid w:val="00013E10"/>
    <w:rsid w:val="000149D1"/>
    <w:rsid w:val="00014A45"/>
    <w:rsid w:val="00016F0D"/>
    <w:rsid w:val="000204B9"/>
    <w:rsid w:val="00023C78"/>
    <w:rsid w:val="000259FF"/>
    <w:rsid w:val="000267D0"/>
    <w:rsid w:val="00032BE9"/>
    <w:rsid w:val="000348E2"/>
    <w:rsid w:val="00036DC6"/>
    <w:rsid w:val="000429F5"/>
    <w:rsid w:val="000451B3"/>
    <w:rsid w:val="000479B7"/>
    <w:rsid w:val="00051163"/>
    <w:rsid w:val="0005157E"/>
    <w:rsid w:val="0006676D"/>
    <w:rsid w:val="00076C7E"/>
    <w:rsid w:val="00077C34"/>
    <w:rsid w:val="000801EE"/>
    <w:rsid w:val="0008186D"/>
    <w:rsid w:val="0008287F"/>
    <w:rsid w:val="00082C5D"/>
    <w:rsid w:val="0008395E"/>
    <w:rsid w:val="0008544C"/>
    <w:rsid w:val="000856DB"/>
    <w:rsid w:val="00087466"/>
    <w:rsid w:val="000912E9"/>
    <w:rsid w:val="00092E15"/>
    <w:rsid w:val="00093905"/>
    <w:rsid w:val="00094C1E"/>
    <w:rsid w:val="0009542A"/>
    <w:rsid w:val="000969D7"/>
    <w:rsid w:val="000A195C"/>
    <w:rsid w:val="000B51D3"/>
    <w:rsid w:val="000B53B7"/>
    <w:rsid w:val="000D767D"/>
    <w:rsid w:val="000E33A5"/>
    <w:rsid w:val="000E4D17"/>
    <w:rsid w:val="000E587F"/>
    <w:rsid w:val="000F04D6"/>
    <w:rsid w:val="000F3A90"/>
    <w:rsid w:val="000F3B62"/>
    <w:rsid w:val="000F4729"/>
    <w:rsid w:val="000F4CA6"/>
    <w:rsid w:val="000F54DA"/>
    <w:rsid w:val="000F7A62"/>
    <w:rsid w:val="0010697C"/>
    <w:rsid w:val="001111D5"/>
    <w:rsid w:val="0011264D"/>
    <w:rsid w:val="00115282"/>
    <w:rsid w:val="00120D59"/>
    <w:rsid w:val="00121717"/>
    <w:rsid w:val="001234F8"/>
    <w:rsid w:val="00123B79"/>
    <w:rsid w:val="00124B1D"/>
    <w:rsid w:val="00126FF3"/>
    <w:rsid w:val="00130B93"/>
    <w:rsid w:val="00130FAE"/>
    <w:rsid w:val="001330AC"/>
    <w:rsid w:val="00134122"/>
    <w:rsid w:val="00146685"/>
    <w:rsid w:val="00146BE0"/>
    <w:rsid w:val="001550DE"/>
    <w:rsid w:val="001554AC"/>
    <w:rsid w:val="0016683F"/>
    <w:rsid w:val="00166E91"/>
    <w:rsid w:val="001707BC"/>
    <w:rsid w:val="00172B47"/>
    <w:rsid w:val="00177C05"/>
    <w:rsid w:val="00195D6E"/>
    <w:rsid w:val="00197C74"/>
    <w:rsid w:val="001A00C2"/>
    <w:rsid w:val="001A0A82"/>
    <w:rsid w:val="001A309F"/>
    <w:rsid w:val="001B0AA8"/>
    <w:rsid w:val="001B3BD8"/>
    <w:rsid w:val="001B407E"/>
    <w:rsid w:val="001C3B8B"/>
    <w:rsid w:val="001C5D0E"/>
    <w:rsid w:val="001C7DB0"/>
    <w:rsid w:val="001C7EE0"/>
    <w:rsid w:val="001D25B3"/>
    <w:rsid w:val="001D57A8"/>
    <w:rsid w:val="001D6056"/>
    <w:rsid w:val="001D6CB2"/>
    <w:rsid w:val="001E0AE5"/>
    <w:rsid w:val="001E34C4"/>
    <w:rsid w:val="001E44A5"/>
    <w:rsid w:val="001F5646"/>
    <w:rsid w:val="001F5D1C"/>
    <w:rsid w:val="001F6013"/>
    <w:rsid w:val="0020310D"/>
    <w:rsid w:val="00203CE1"/>
    <w:rsid w:val="002073D8"/>
    <w:rsid w:val="00207E31"/>
    <w:rsid w:val="00214167"/>
    <w:rsid w:val="002158F0"/>
    <w:rsid w:val="00227511"/>
    <w:rsid w:val="002327B7"/>
    <w:rsid w:val="00232D89"/>
    <w:rsid w:val="00233BFF"/>
    <w:rsid w:val="002374FC"/>
    <w:rsid w:val="0024590C"/>
    <w:rsid w:val="0025032A"/>
    <w:rsid w:val="002509C7"/>
    <w:rsid w:val="00250F13"/>
    <w:rsid w:val="002517C3"/>
    <w:rsid w:val="00252DF4"/>
    <w:rsid w:val="002576A4"/>
    <w:rsid w:val="002607F9"/>
    <w:rsid w:val="00262355"/>
    <w:rsid w:val="00264407"/>
    <w:rsid w:val="0026583A"/>
    <w:rsid w:val="00265F27"/>
    <w:rsid w:val="00281B3C"/>
    <w:rsid w:val="00282CF0"/>
    <w:rsid w:val="00282D24"/>
    <w:rsid w:val="00285221"/>
    <w:rsid w:val="00287853"/>
    <w:rsid w:val="002917A1"/>
    <w:rsid w:val="002969A4"/>
    <w:rsid w:val="00297ADC"/>
    <w:rsid w:val="002A0A07"/>
    <w:rsid w:val="002A6860"/>
    <w:rsid w:val="002B1B97"/>
    <w:rsid w:val="002B60BD"/>
    <w:rsid w:val="002C1474"/>
    <w:rsid w:val="002C2EDA"/>
    <w:rsid w:val="002D2174"/>
    <w:rsid w:val="002E2930"/>
    <w:rsid w:val="002E6800"/>
    <w:rsid w:val="002E772C"/>
    <w:rsid w:val="002F0031"/>
    <w:rsid w:val="002F3AC6"/>
    <w:rsid w:val="002F3B14"/>
    <w:rsid w:val="003008D3"/>
    <w:rsid w:val="003013A2"/>
    <w:rsid w:val="003016BB"/>
    <w:rsid w:val="0031454E"/>
    <w:rsid w:val="003231FA"/>
    <w:rsid w:val="00336D43"/>
    <w:rsid w:val="003453C3"/>
    <w:rsid w:val="00347FF1"/>
    <w:rsid w:val="00350684"/>
    <w:rsid w:val="00352830"/>
    <w:rsid w:val="00354915"/>
    <w:rsid w:val="00355281"/>
    <w:rsid w:val="00355B46"/>
    <w:rsid w:val="00355C39"/>
    <w:rsid w:val="003566E8"/>
    <w:rsid w:val="00360698"/>
    <w:rsid w:val="00363784"/>
    <w:rsid w:val="00366A71"/>
    <w:rsid w:val="00366D7A"/>
    <w:rsid w:val="00366ECD"/>
    <w:rsid w:val="003672F4"/>
    <w:rsid w:val="00370326"/>
    <w:rsid w:val="003713F3"/>
    <w:rsid w:val="00371B3D"/>
    <w:rsid w:val="00374836"/>
    <w:rsid w:val="00375FCB"/>
    <w:rsid w:val="003823C2"/>
    <w:rsid w:val="00385C54"/>
    <w:rsid w:val="003910F5"/>
    <w:rsid w:val="003A014E"/>
    <w:rsid w:val="003A2BE1"/>
    <w:rsid w:val="003A7081"/>
    <w:rsid w:val="003A74FB"/>
    <w:rsid w:val="003B09A0"/>
    <w:rsid w:val="003B3EF9"/>
    <w:rsid w:val="003B62AB"/>
    <w:rsid w:val="003C17C1"/>
    <w:rsid w:val="003C77C5"/>
    <w:rsid w:val="003D003E"/>
    <w:rsid w:val="003D1F52"/>
    <w:rsid w:val="003D2170"/>
    <w:rsid w:val="003D26E8"/>
    <w:rsid w:val="003D3A71"/>
    <w:rsid w:val="003D453C"/>
    <w:rsid w:val="003D4BD1"/>
    <w:rsid w:val="003D4D4A"/>
    <w:rsid w:val="003D622B"/>
    <w:rsid w:val="003D7A35"/>
    <w:rsid w:val="003E09B6"/>
    <w:rsid w:val="003E0A8C"/>
    <w:rsid w:val="003E1FBA"/>
    <w:rsid w:val="003E4CF1"/>
    <w:rsid w:val="003E7A8A"/>
    <w:rsid w:val="003F0AEA"/>
    <w:rsid w:val="003F0E35"/>
    <w:rsid w:val="003F50AC"/>
    <w:rsid w:val="003F579E"/>
    <w:rsid w:val="003F6800"/>
    <w:rsid w:val="003F79B6"/>
    <w:rsid w:val="00407049"/>
    <w:rsid w:val="00407EBA"/>
    <w:rsid w:val="0041023B"/>
    <w:rsid w:val="0041462B"/>
    <w:rsid w:val="00421CB8"/>
    <w:rsid w:val="0042479C"/>
    <w:rsid w:val="004300B2"/>
    <w:rsid w:val="004304B6"/>
    <w:rsid w:val="00430754"/>
    <w:rsid w:val="00431A26"/>
    <w:rsid w:val="00432585"/>
    <w:rsid w:val="00434F2E"/>
    <w:rsid w:val="0043505B"/>
    <w:rsid w:val="00436664"/>
    <w:rsid w:val="00447F76"/>
    <w:rsid w:val="00450E9D"/>
    <w:rsid w:val="004511D2"/>
    <w:rsid w:val="0045447F"/>
    <w:rsid w:val="00455552"/>
    <w:rsid w:val="004558AA"/>
    <w:rsid w:val="00456484"/>
    <w:rsid w:val="00467CC5"/>
    <w:rsid w:val="00472002"/>
    <w:rsid w:val="00477307"/>
    <w:rsid w:val="00480006"/>
    <w:rsid w:val="00481F84"/>
    <w:rsid w:val="004837FC"/>
    <w:rsid w:val="004850A5"/>
    <w:rsid w:val="0049735F"/>
    <w:rsid w:val="004A00C8"/>
    <w:rsid w:val="004A1C3A"/>
    <w:rsid w:val="004A35C0"/>
    <w:rsid w:val="004A405F"/>
    <w:rsid w:val="004A4C6B"/>
    <w:rsid w:val="004D1F58"/>
    <w:rsid w:val="004D47A6"/>
    <w:rsid w:val="004D6B97"/>
    <w:rsid w:val="004D773D"/>
    <w:rsid w:val="004F005B"/>
    <w:rsid w:val="004F3BE6"/>
    <w:rsid w:val="004F3D48"/>
    <w:rsid w:val="0050020C"/>
    <w:rsid w:val="005023A5"/>
    <w:rsid w:val="005023F6"/>
    <w:rsid w:val="005057FB"/>
    <w:rsid w:val="00505BF1"/>
    <w:rsid w:val="00511B6A"/>
    <w:rsid w:val="0051737E"/>
    <w:rsid w:val="0052118D"/>
    <w:rsid w:val="00522D49"/>
    <w:rsid w:val="00525B11"/>
    <w:rsid w:val="00525D0D"/>
    <w:rsid w:val="0052684A"/>
    <w:rsid w:val="005327B2"/>
    <w:rsid w:val="00545CB0"/>
    <w:rsid w:val="00545D79"/>
    <w:rsid w:val="00546DC5"/>
    <w:rsid w:val="00553EDB"/>
    <w:rsid w:val="0055717E"/>
    <w:rsid w:val="00557AED"/>
    <w:rsid w:val="005608DD"/>
    <w:rsid w:val="005615C2"/>
    <w:rsid w:val="00566937"/>
    <w:rsid w:val="005713DD"/>
    <w:rsid w:val="00571991"/>
    <w:rsid w:val="0057264C"/>
    <w:rsid w:val="005739ED"/>
    <w:rsid w:val="00574569"/>
    <w:rsid w:val="00574CBC"/>
    <w:rsid w:val="00575DAD"/>
    <w:rsid w:val="00576C07"/>
    <w:rsid w:val="00580D82"/>
    <w:rsid w:val="005814C5"/>
    <w:rsid w:val="005941F8"/>
    <w:rsid w:val="005A08E9"/>
    <w:rsid w:val="005A1D95"/>
    <w:rsid w:val="005A1E2E"/>
    <w:rsid w:val="005A3125"/>
    <w:rsid w:val="005A63BE"/>
    <w:rsid w:val="005B280B"/>
    <w:rsid w:val="005B2E00"/>
    <w:rsid w:val="005B457A"/>
    <w:rsid w:val="005B51D4"/>
    <w:rsid w:val="005B730A"/>
    <w:rsid w:val="005C3D15"/>
    <w:rsid w:val="005C5A65"/>
    <w:rsid w:val="005C7F1A"/>
    <w:rsid w:val="005D5DCE"/>
    <w:rsid w:val="005D6E09"/>
    <w:rsid w:val="005D7888"/>
    <w:rsid w:val="005D7EE3"/>
    <w:rsid w:val="005E5E10"/>
    <w:rsid w:val="00600F54"/>
    <w:rsid w:val="006011CB"/>
    <w:rsid w:val="006032B2"/>
    <w:rsid w:val="006062B5"/>
    <w:rsid w:val="006072AD"/>
    <w:rsid w:val="006102E2"/>
    <w:rsid w:val="00611060"/>
    <w:rsid w:val="00612264"/>
    <w:rsid w:val="00612BED"/>
    <w:rsid w:val="00614315"/>
    <w:rsid w:val="006204F2"/>
    <w:rsid w:val="00625E9C"/>
    <w:rsid w:val="0063208B"/>
    <w:rsid w:val="0063561C"/>
    <w:rsid w:val="00636395"/>
    <w:rsid w:val="0064433F"/>
    <w:rsid w:val="00650494"/>
    <w:rsid w:val="00655BDC"/>
    <w:rsid w:val="006647AC"/>
    <w:rsid w:val="0067022C"/>
    <w:rsid w:val="00681662"/>
    <w:rsid w:val="00682E30"/>
    <w:rsid w:val="00683825"/>
    <w:rsid w:val="00687B02"/>
    <w:rsid w:val="00696C06"/>
    <w:rsid w:val="006A3349"/>
    <w:rsid w:val="006A366F"/>
    <w:rsid w:val="006B0AA6"/>
    <w:rsid w:val="006B5D30"/>
    <w:rsid w:val="006B69F1"/>
    <w:rsid w:val="006C01B6"/>
    <w:rsid w:val="006C0688"/>
    <w:rsid w:val="006D7B63"/>
    <w:rsid w:val="006E60CB"/>
    <w:rsid w:val="006E626A"/>
    <w:rsid w:val="006E776B"/>
    <w:rsid w:val="006F2F10"/>
    <w:rsid w:val="006F31DD"/>
    <w:rsid w:val="00703C4E"/>
    <w:rsid w:val="0070712A"/>
    <w:rsid w:val="00721984"/>
    <w:rsid w:val="0072632C"/>
    <w:rsid w:val="00726F4F"/>
    <w:rsid w:val="00727895"/>
    <w:rsid w:val="007317EA"/>
    <w:rsid w:val="00733B9C"/>
    <w:rsid w:val="00740588"/>
    <w:rsid w:val="00741F6C"/>
    <w:rsid w:val="00744154"/>
    <w:rsid w:val="00744740"/>
    <w:rsid w:val="007467FB"/>
    <w:rsid w:val="00750DE8"/>
    <w:rsid w:val="007541A7"/>
    <w:rsid w:val="00765EA1"/>
    <w:rsid w:val="00771DFD"/>
    <w:rsid w:val="007770F6"/>
    <w:rsid w:val="00783AC0"/>
    <w:rsid w:val="00790C75"/>
    <w:rsid w:val="00794CE1"/>
    <w:rsid w:val="00796BA8"/>
    <w:rsid w:val="007A2EB6"/>
    <w:rsid w:val="007A5001"/>
    <w:rsid w:val="007A71AE"/>
    <w:rsid w:val="007B4C61"/>
    <w:rsid w:val="007B4CE2"/>
    <w:rsid w:val="007B7DBB"/>
    <w:rsid w:val="007C39EF"/>
    <w:rsid w:val="007D113D"/>
    <w:rsid w:val="007D1469"/>
    <w:rsid w:val="007D2C3C"/>
    <w:rsid w:val="007D603A"/>
    <w:rsid w:val="007D6228"/>
    <w:rsid w:val="007D710B"/>
    <w:rsid w:val="007E2D21"/>
    <w:rsid w:val="007E4CCA"/>
    <w:rsid w:val="007E4D17"/>
    <w:rsid w:val="007E574A"/>
    <w:rsid w:val="007E61F7"/>
    <w:rsid w:val="007E620F"/>
    <w:rsid w:val="007E7FA9"/>
    <w:rsid w:val="007F0605"/>
    <w:rsid w:val="007F3ADC"/>
    <w:rsid w:val="007F70C5"/>
    <w:rsid w:val="0080045C"/>
    <w:rsid w:val="00803300"/>
    <w:rsid w:val="008033A2"/>
    <w:rsid w:val="00805FFD"/>
    <w:rsid w:val="00807217"/>
    <w:rsid w:val="0080794F"/>
    <w:rsid w:val="00811271"/>
    <w:rsid w:val="00812E1E"/>
    <w:rsid w:val="00816090"/>
    <w:rsid w:val="00816E9D"/>
    <w:rsid w:val="00817E30"/>
    <w:rsid w:val="00821551"/>
    <w:rsid w:val="00822502"/>
    <w:rsid w:val="00822CC7"/>
    <w:rsid w:val="00826D3E"/>
    <w:rsid w:val="00832E0D"/>
    <w:rsid w:val="00837986"/>
    <w:rsid w:val="00841F89"/>
    <w:rsid w:val="008441EB"/>
    <w:rsid w:val="0084758C"/>
    <w:rsid w:val="00850841"/>
    <w:rsid w:val="00855F54"/>
    <w:rsid w:val="00856AD8"/>
    <w:rsid w:val="0086300D"/>
    <w:rsid w:val="00863AF0"/>
    <w:rsid w:val="0086479D"/>
    <w:rsid w:val="00865BB1"/>
    <w:rsid w:val="0087046F"/>
    <w:rsid w:val="008706EA"/>
    <w:rsid w:val="008827FD"/>
    <w:rsid w:val="00882DC6"/>
    <w:rsid w:val="008842BC"/>
    <w:rsid w:val="0088713F"/>
    <w:rsid w:val="00890F05"/>
    <w:rsid w:val="008928E2"/>
    <w:rsid w:val="008B3895"/>
    <w:rsid w:val="008B39FA"/>
    <w:rsid w:val="008B422A"/>
    <w:rsid w:val="008B5562"/>
    <w:rsid w:val="008B667D"/>
    <w:rsid w:val="008C3218"/>
    <w:rsid w:val="008C4D3B"/>
    <w:rsid w:val="008D1305"/>
    <w:rsid w:val="008D4E21"/>
    <w:rsid w:val="008D56BE"/>
    <w:rsid w:val="008F4A8B"/>
    <w:rsid w:val="008F5287"/>
    <w:rsid w:val="008F7D3F"/>
    <w:rsid w:val="008F7DBE"/>
    <w:rsid w:val="009041CC"/>
    <w:rsid w:val="00905B74"/>
    <w:rsid w:val="00907F99"/>
    <w:rsid w:val="009118E4"/>
    <w:rsid w:val="0091221A"/>
    <w:rsid w:val="00912B53"/>
    <w:rsid w:val="00914189"/>
    <w:rsid w:val="00914290"/>
    <w:rsid w:val="00914335"/>
    <w:rsid w:val="00914F13"/>
    <w:rsid w:val="00917558"/>
    <w:rsid w:val="00921762"/>
    <w:rsid w:val="009233BC"/>
    <w:rsid w:val="009244B4"/>
    <w:rsid w:val="009308B7"/>
    <w:rsid w:val="009324A6"/>
    <w:rsid w:val="00933776"/>
    <w:rsid w:val="00940A43"/>
    <w:rsid w:val="00942257"/>
    <w:rsid w:val="009432E1"/>
    <w:rsid w:val="00943F15"/>
    <w:rsid w:val="0094644B"/>
    <w:rsid w:val="00952A18"/>
    <w:rsid w:val="00953A07"/>
    <w:rsid w:val="00960DE3"/>
    <w:rsid w:val="009723FE"/>
    <w:rsid w:val="0097320D"/>
    <w:rsid w:val="009811EB"/>
    <w:rsid w:val="00981388"/>
    <w:rsid w:val="0098152B"/>
    <w:rsid w:val="009820D5"/>
    <w:rsid w:val="0098478C"/>
    <w:rsid w:val="00984C21"/>
    <w:rsid w:val="00994B45"/>
    <w:rsid w:val="009950B0"/>
    <w:rsid w:val="009A515C"/>
    <w:rsid w:val="009B0EE6"/>
    <w:rsid w:val="009C1B5C"/>
    <w:rsid w:val="009C6017"/>
    <w:rsid w:val="009D359B"/>
    <w:rsid w:val="009D4E33"/>
    <w:rsid w:val="009E10D3"/>
    <w:rsid w:val="009E1C05"/>
    <w:rsid w:val="009E3A6F"/>
    <w:rsid w:val="009F2DF8"/>
    <w:rsid w:val="009F2E9C"/>
    <w:rsid w:val="009F3E76"/>
    <w:rsid w:val="00A00C6D"/>
    <w:rsid w:val="00A02A76"/>
    <w:rsid w:val="00A108D9"/>
    <w:rsid w:val="00A10E5A"/>
    <w:rsid w:val="00A12385"/>
    <w:rsid w:val="00A215ED"/>
    <w:rsid w:val="00A21ADA"/>
    <w:rsid w:val="00A21C17"/>
    <w:rsid w:val="00A26CD4"/>
    <w:rsid w:val="00A33721"/>
    <w:rsid w:val="00A34C91"/>
    <w:rsid w:val="00A356E9"/>
    <w:rsid w:val="00A41A50"/>
    <w:rsid w:val="00A4511A"/>
    <w:rsid w:val="00A50FE7"/>
    <w:rsid w:val="00A537A7"/>
    <w:rsid w:val="00A53AF6"/>
    <w:rsid w:val="00A609DB"/>
    <w:rsid w:val="00A621F1"/>
    <w:rsid w:val="00A64731"/>
    <w:rsid w:val="00A6537D"/>
    <w:rsid w:val="00A72120"/>
    <w:rsid w:val="00A81DD0"/>
    <w:rsid w:val="00A829AB"/>
    <w:rsid w:val="00A83E30"/>
    <w:rsid w:val="00A86614"/>
    <w:rsid w:val="00A90F81"/>
    <w:rsid w:val="00A914F5"/>
    <w:rsid w:val="00A949F8"/>
    <w:rsid w:val="00A97739"/>
    <w:rsid w:val="00AA16C7"/>
    <w:rsid w:val="00AA732F"/>
    <w:rsid w:val="00AB0554"/>
    <w:rsid w:val="00AB0DBC"/>
    <w:rsid w:val="00AB2FAD"/>
    <w:rsid w:val="00AB7748"/>
    <w:rsid w:val="00AC09FC"/>
    <w:rsid w:val="00AC18DD"/>
    <w:rsid w:val="00AC38D8"/>
    <w:rsid w:val="00AC4978"/>
    <w:rsid w:val="00AC6595"/>
    <w:rsid w:val="00AC6977"/>
    <w:rsid w:val="00AD351E"/>
    <w:rsid w:val="00AD4491"/>
    <w:rsid w:val="00AD6B0D"/>
    <w:rsid w:val="00AE6D92"/>
    <w:rsid w:val="00AF3C91"/>
    <w:rsid w:val="00AF54FF"/>
    <w:rsid w:val="00AF63BD"/>
    <w:rsid w:val="00AF64F2"/>
    <w:rsid w:val="00B05E43"/>
    <w:rsid w:val="00B209F5"/>
    <w:rsid w:val="00B221EF"/>
    <w:rsid w:val="00B22C3F"/>
    <w:rsid w:val="00B24258"/>
    <w:rsid w:val="00B27911"/>
    <w:rsid w:val="00B32142"/>
    <w:rsid w:val="00B3730C"/>
    <w:rsid w:val="00B44087"/>
    <w:rsid w:val="00B475EA"/>
    <w:rsid w:val="00B4798B"/>
    <w:rsid w:val="00B51F8A"/>
    <w:rsid w:val="00B53DC7"/>
    <w:rsid w:val="00B54043"/>
    <w:rsid w:val="00B63548"/>
    <w:rsid w:val="00B63695"/>
    <w:rsid w:val="00B6776D"/>
    <w:rsid w:val="00B808DA"/>
    <w:rsid w:val="00B84055"/>
    <w:rsid w:val="00B857FE"/>
    <w:rsid w:val="00B86A03"/>
    <w:rsid w:val="00B93E3B"/>
    <w:rsid w:val="00BA6A72"/>
    <w:rsid w:val="00BB5C1B"/>
    <w:rsid w:val="00BB6D04"/>
    <w:rsid w:val="00BC31BD"/>
    <w:rsid w:val="00BC3276"/>
    <w:rsid w:val="00BC5AB9"/>
    <w:rsid w:val="00BD13B0"/>
    <w:rsid w:val="00BD3D62"/>
    <w:rsid w:val="00BD4EEF"/>
    <w:rsid w:val="00BF0A30"/>
    <w:rsid w:val="00BF0E97"/>
    <w:rsid w:val="00C03FDB"/>
    <w:rsid w:val="00C069B0"/>
    <w:rsid w:val="00C13F8E"/>
    <w:rsid w:val="00C322A9"/>
    <w:rsid w:val="00C35F78"/>
    <w:rsid w:val="00C44A25"/>
    <w:rsid w:val="00C461E0"/>
    <w:rsid w:val="00C5464A"/>
    <w:rsid w:val="00C57131"/>
    <w:rsid w:val="00C6172D"/>
    <w:rsid w:val="00C67B14"/>
    <w:rsid w:val="00C74DA7"/>
    <w:rsid w:val="00C81F4C"/>
    <w:rsid w:val="00C82257"/>
    <w:rsid w:val="00C82AAD"/>
    <w:rsid w:val="00C83225"/>
    <w:rsid w:val="00C841D4"/>
    <w:rsid w:val="00C85AFA"/>
    <w:rsid w:val="00C85D02"/>
    <w:rsid w:val="00C9544A"/>
    <w:rsid w:val="00CA0DF2"/>
    <w:rsid w:val="00CA2CDC"/>
    <w:rsid w:val="00CA3349"/>
    <w:rsid w:val="00CA5B52"/>
    <w:rsid w:val="00CA5E68"/>
    <w:rsid w:val="00CA6EEE"/>
    <w:rsid w:val="00CB47E2"/>
    <w:rsid w:val="00CB7FC0"/>
    <w:rsid w:val="00CC0CBA"/>
    <w:rsid w:val="00CC0DB0"/>
    <w:rsid w:val="00CC24DA"/>
    <w:rsid w:val="00CC3E46"/>
    <w:rsid w:val="00CC4B1D"/>
    <w:rsid w:val="00CD0A48"/>
    <w:rsid w:val="00CD346E"/>
    <w:rsid w:val="00CD5083"/>
    <w:rsid w:val="00CE05FD"/>
    <w:rsid w:val="00CE1CE2"/>
    <w:rsid w:val="00CE4DB5"/>
    <w:rsid w:val="00CE5956"/>
    <w:rsid w:val="00CE6484"/>
    <w:rsid w:val="00CF1C94"/>
    <w:rsid w:val="00CF2201"/>
    <w:rsid w:val="00CF4A9A"/>
    <w:rsid w:val="00CF7D5D"/>
    <w:rsid w:val="00D00F1B"/>
    <w:rsid w:val="00D076B4"/>
    <w:rsid w:val="00D10206"/>
    <w:rsid w:val="00D176D3"/>
    <w:rsid w:val="00D21DC3"/>
    <w:rsid w:val="00D22FC4"/>
    <w:rsid w:val="00D310A1"/>
    <w:rsid w:val="00D31533"/>
    <w:rsid w:val="00D32137"/>
    <w:rsid w:val="00D3270E"/>
    <w:rsid w:val="00D3615C"/>
    <w:rsid w:val="00D425C2"/>
    <w:rsid w:val="00D54B77"/>
    <w:rsid w:val="00D555FC"/>
    <w:rsid w:val="00D55A78"/>
    <w:rsid w:val="00D62982"/>
    <w:rsid w:val="00D64EA0"/>
    <w:rsid w:val="00D67321"/>
    <w:rsid w:val="00D776C8"/>
    <w:rsid w:val="00D81C58"/>
    <w:rsid w:val="00D901DD"/>
    <w:rsid w:val="00D93266"/>
    <w:rsid w:val="00D948E2"/>
    <w:rsid w:val="00D979F4"/>
    <w:rsid w:val="00DA1690"/>
    <w:rsid w:val="00DA5809"/>
    <w:rsid w:val="00DA6D27"/>
    <w:rsid w:val="00DB1A40"/>
    <w:rsid w:val="00DB415A"/>
    <w:rsid w:val="00DB5651"/>
    <w:rsid w:val="00DC05D2"/>
    <w:rsid w:val="00DC1976"/>
    <w:rsid w:val="00DC5ED0"/>
    <w:rsid w:val="00DC620F"/>
    <w:rsid w:val="00DC75B5"/>
    <w:rsid w:val="00DD217C"/>
    <w:rsid w:val="00DD5757"/>
    <w:rsid w:val="00DD6BAD"/>
    <w:rsid w:val="00DE032E"/>
    <w:rsid w:val="00DE14E7"/>
    <w:rsid w:val="00DE3B8F"/>
    <w:rsid w:val="00DE3E50"/>
    <w:rsid w:val="00DF0D3B"/>
    <w:rsid w:val="00DF4BE6"/>
    <w:rsid w:val="00DF74C1"/>
    <w:rsid w:val="00DF74F5"/>
    <w:rsid w:val="00E0507F"/>
    <w:rsid w:val="00E06EDE"/>
    <w:rsid w:val="00E10466"/>
    <w:rsid w:val="00E112B5"/>
    <w:rsid w:val="00E14C66"/>
    <w:rsid w:val="00E151B1"/>
    <w:rsid w:val="00E16ABE"/>
    <w:rsid w:val="00E20C43"/>
    <w:rsid w:val="00E24BBB"/>
    <w:rsid w:val="00E31878"/>
    <w:rsid w:val="00E34F46"/>
    <w:rsid w:val="00E36590"/>
    <w:rsid w:val="00E37FC1"/>
    <w:rsid w:val="00E42AAC"/>
    <w:rsid w:val="00E46FAD"/>
    <w:rsid w:val="00E504F0"/>
    <w:rsid w:val="00E57213"/>
    <w:rsid w:val="00E60710"/>
    <w:rsid w:val="00E61FEE"/>
    <w:rsid w:val="00E6312B"/>
    <w:rsid w:val="00E636BC"/>
    <w:rsid w:val="00E71C99"/>
    <w:rsid w:val="00E92270"/>
    <w:rsid w:val="00EA52E4"/>
    <w:rsid w:val="00EA79AD"/>
    <w:rsid w:val="00EB2BF5"/>
    <w:rsid w:val="00EC5127"/>
    <w:rsid w:val="00ED03BC"/>
    <w:rsid w:val="00ED3976"/>
    <w:rsid w:val="00ED7340"/>
    <w:rsid w:val="00EE238E"/>
    <w:rsid w:val="00EE3459"/>
    <w:rsid w:val="00EE61D4"/>
    <w:rsid w:val="00EE68B0"/>
    <w:rsid w:val="00EE7A93"/>
    <w:rsid w:val="00EF39C4"/>
    <w:rsid w:val="00EF516F"/>
    <w:rsid w:val="00EF5A88"/>
    <w:rsid w:val="00EF6A33"/>
    <w:rsid w:val="00EF7098"/>
    <w:rsid w:val="00EF76FA"/>
    <w:rsid w:val="00F051B3"/>
    <w:rsid w:val="00F129D6"/>
    <w:rsid w:val="00F14656"/>
    <w:rsid w:val="00F147C1"/>
    <w:rsid w:val="00F21DE9"/>
    <w:rsid w:val="00F248C2"/>
    <w:rsid w:val="00F258E9"/>
    <w:rsid w:val="00F26B0C"/>
    <w:rsid w:val="00F26F45"/>
    <w:rsid w:val="00F3059F"/>
    <w:rsid w:val="00F346B2"/>
    <w:rsid w:val="00F35FBA"/>
    <w:rsid w:val="00F36AB1"/>
    <w:rsid w:val="00F40211"/>
    <w:rsid w:val="00F41E92"/>
    <w:rsid w:val="00F42CE0"/>
    <w:rsid w:val="00F45CA7"/>
    <w:rsid w:val="00F4669E"/>
    <w:rsid w:val="00F5458D"/>
    <w:rsid w:val="00F63627"/>
    <w:rsid w:val="00F63776"/>
    <w:rsid w:val="00F64BA5"/>
    <w:rsid w:val="00F65DC1"/>
    <w:rsid w:val="00F7450E"/>
    <w:rsid w:val="00F770B4"/>
    <w:rsid w:val="00F77B6A"/>
    <w:rsid w:val="00F80982"/>
    <w:rsid w:val="00F863BC"/>
    <w:rsid w:val="00F90244"/>
    <w:rsid w:val="00F9204B"/>
    <w:rsid w:val="00F92831"/>
    <w:rsid w:val="00F95530"/>
    <w:rsid w:val="00F95DBB"/>
    <w:rsid w:val="00FA1AA8"/>
    <w:rsid w:val="00FA22E2"/>
    <w:rsid w:val="00FA2F78"/>
    <w:rsid w:val="00FA6DA6"/>
    <w:rsid w:val="00FB08E1"/>
    <w:rsid w:val="00FB0D86"/>
    <w:rsid w:val="00FB1CDE"/>
    <w:rsid w:val="00FB664B"/>
    <w:rsid w:val="00FB72FF"/>
    <w:rsid w:val="00FC2809"/>
    <w:rsid w:val="00FC28A8"/>
    <w:rsid w:val="00FC2D1D"/>
    <w:rsid w:val="00FD1DFA"/>
    <w:rsid w:val="00FD3D4F"/>
    <w:rsid w:val="00FD486C"/>
    <w:rsid w:val="00FE2D3F"/>
    <w:rsid w:val="00FE52F3"/>
    <w:rsid w:val="00FE7176"/>
    <w:rsid w:val="00FF1AF4"/>
    <w:rsid w:val="00FF39A7"/>
    <w:rsid w:val="00FF7C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8E4"/>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semiHidden/>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uiPriority w:val="99"/>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uiPriority w:val="99"/>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99"/>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semiHidden/>
    <w:unhideWhenUsed/>
    <w:rsid w:val="009D4E33"/>
    <w:rPr>
      <w:sz w:val="20"/>
      <w:szCs w:val="20"/>
    </w:rPr>
  </w:style>
  <w:style w:type="character" w:customStyle="1" w:styleId="CommentTextChar">
    <w:name w:val="Comment Text Char"/>
    <w:basedOn w:val="DefaultParagraphFont"/>
    <w:link w:val="CommentText"/>
    <w:uiPriority w:val="99"/>
    <w:semiHidden/>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lsdException w:name="footer" w:unhideWhenUsed="0"/>
    <w:lsdException w:name="caption" w:uiPriority="35" w:qFormat="1"/>
    <w:lsdException w:name="footnote reference" w:uiPriority="0"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8E4"/>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semiHidden/>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99"/>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uiPriority w:val="99"/>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semiHidden/>
    <w:unhideWhenUsed/>
    <w:rsid w:val="009D4E33"/>
    <w:rPr>
      <w:sz w:val="20"/>
      <w:szCs w:val="20"/>
    </w:rPr>
  </w:style>
  <w:style w:type="character" w:customStyle="1" w:styleId="CommentTextChar">
    <w:name w:val="Comment Text Char"/>
    <w:basedOn w:val="DefaultParagraphFont"/>
    <w:link w:val="CommentText"/>
    <w:uiPriority w:val="99"/>
    <w:semiHidden/>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67852415">
      <w:bodyDiv w:val="1"/>
      <w:marLeft w:val="0"/>
      <w:marRight w:val="0"/>
      <w:marTop w:val="0"/>
      <w:marBottom w:val="0"/>
      <w:divBdr>
        <w:top w:val="none" w:sz="0" w:space="0" w:color="auto"/>
        <w:left w:val="none" w:sz="0" w:space="0" w:color="auto"/>
        <w:bottom w:val="none" w:sz="0" w:space="0" w:color="auto"/>
        <w:right w:val="none" w:sz="0" w:space="0" w:color="auto"/>
      </w:divBdr>
    </w:div>
    <w:div w:id="1900938232">
      <w:bodyDiv w:val="1"/>
      <w:marLeft w:val="0"/>
      <w:marRight w:val="0"/>
      <w:marTop w:val="0"/>
      <w:marBottom w:val="0"/>
      <w:divBdr>
        <w:top w:val="none" w:sz="0" w:space="0" w:color="auto"/>
        <w:left w:val="none" w:sz="0" w:space="0" w:color="auto"/>
        <w:bottom w:val="none" w:sz="0" w:space="0" w:color="auto"/>
        <w:right w:val="none" w:sz="0" w:space="0" w:color="auto"/>
      </w:divBdr>
    </w:div>
    <w:div w:id="21174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nasuca.org/2012-07-urging-utilities-to-eliminate-convenience-fees-for-paying-utility-bills-with-debit-and-credit-cards-and-urging-appropriate-state-regulatory-oversight/"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awn.bonfield@avistacorp.com" TargetMode="External"/><Relationship Id="rId24" Type="http://schemas.openxmlformats.org/officeDocument/2006/relationships/theme" Target="theme/theme1.xml"/><Relationship Id="rId32" Type="http://schemas.openxmlformats.org/officeDocument/2006/relationships/customXml" Target="../customXml/item7.xml"/><Relationship Id="rId5" Type="http://schemas.openxmlformats.org/officeDocument/2006/relationships/styles" Target="styles.xml"/><Relationship Id="rId15" Type="http://schemas.openxmlformats.org/officeDocument/2006/relationships/hyperlink" Target="http://nasuca.org/2012-07-urging-utilities-to-eliminate-convenience-fees-for-paying-utility-bills-with-debit-and-credit-cards-and-urging-appropriate-state-regulatory-oversight/" TargetMode="External"/><Relationship Id="rId23" Type="http://schemas.openxmlformats.org/officeDocument/2006/relationships/fontTable" Target="fontTable.xml"/><Relationship Id="rId28" Type="http://schemas.microsoft.com/office/2007/relationships/stylesWithEffects" Target="stylesWithEffects.xml"/><Relationship Id="rId10" Type="http://schemas.openxmlformats.org/officeDocument/2006/relationships/hyperlink" Target="mailto:david.meyer@avistacorp.com" TargetMode="External"/><Relationship Id="rId19" Type="http://schemas.openxmlformats.org/officeDocument/2006/relationships/image" Target="media/image5.emf"/><Relationship Id="rId31" Type="http://schemas.openxmlformats.org/officeDocument/2006/relationships/customXml" Target="../customXml/item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nasuca.org/2012-07-urging-utilities-to-eliminate-convenience-fees-for-paying-utility-bills-with-debit-and-credit-cards-and-urging-appropriate-state-regulatory-oversight/" TargetMode="External"/><Relationship Id="rId22" Type="http://schemas.openxmlformats.org/officeDocument/2006/relationships/footer" Target="footer1.xml"/><Relationship Id="rId30"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3" Type="http://schemas.openxmlformats.org/officeDocument/2006/relationships/hyperlink" Target="http://nasuca.org/2012-07-urging-utilities-to-eliminate-convenience-fees-for-paying-utility-bills-with-debit-and-credit-cards-and-urging-appropriate-state-regulatory-oversight/" TargetMode="External"/><Relationship Id="rId2" Type="http://schemas.openxmlformats.org/officeDocument/2006/relationships/hyperlink" Target="http://www.avistautilities.com" TargetMode="External"/><Relationship Id="rId1" Type="http://schemas.openxmlformats.org/officeDocument/2006/relationships/hyperlink" Target="http://nasuca.org/2012-07-urging-utilities-to-eliminate-convenience-fees-for-paying-utility-bills-with-debit-and-credit-cards-and-urging-appropriate-state-regulatory-oversight/" TargetMode="External"/><Relationship Id="rId4" Type="http://schemas.openxmlformats.org/officeDocument/2006/relationships/hyperlink" Target="https://www.frbservices.org/files/communications/pdf/general/2013_fed_res_paymt_study_detailed_rp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2016-01-12T08:00:00+00:00</OpenedDate>
    <Date1 xmlns="dc463f71-b30c-4ab2-9473-d307f9d35888">2016-01-12T08:00:00+00:00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160071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EC17664C6B90946ABEBEDF6A8C69937" ma:contentTypeVersion="104" ma:contentTypeDescription="" ma:contentTypeScope="" ma:versionID="27ea089c04ef9ccbe2ba059e83c3ca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A1E44E-F5FE-4503-BE6C-519D154DA5A7}"/>
</file>

<file path=customXml/itemProps2.xml><?xml version="1.0" encoding="utf-8"?>
<ds:datastoreItem xmlns:ds="http://schemas.openxmlformats.org/officeDocument/2006/customXml" ds:itemID="{6511AC36-463E-4E71-9B64-F63190FDD734}"/>
</file>

<file path=customXml/itemProps3.xml><?xml version="1.0" encoding="utf-8"?>
<ds:datastoreItem xmlns:ds="http://schemas.openxmlformats.org/officeDocument/2006/customXml" ds:itemID="{085853AC-1F19-4634-AEC4-FC94178EE850}"/>
</file>

<file path=customXml/itemProps4.xml><?xml version="1.0" encoding="utf-8"?>
<ds:datastoreItem xmlns:ds="http://schemas.openxmlformats.org/officeDocument/2006/customXml" ds:itemID="{ACA024DC-C729-4EDF-A210-5471441D374F}"/>
</file>

<file path=customXml/itemProps5.xml><?xml version="1.0" encoding="utf-8"?>
<ds:datastoreItem xmlns:ds="http://schemas.openxmlformats.org/officeDocument/2006/customXml" ds:itemID="{CB2F5524-23F9-479A-9DD5-5998274B2FEC}"/>
</file>

<file path=customXml/itemProps6.xml><?xml version="1.0" encoding="utf-8"?>
<ds:datastoreItem xmlns:ds="http://schemas.openxmlformats.org/officeDocument/2006/customXml" ds:itemID="{0E785478-FE48-406A-AEA4-21C766FF919C}"/>
</file>

<file path=customXml/itemProps7.xml><?xml version="1.0" encoding="utf-8"?>
<ds:datastoreItem xmlns:ds="http://schemas.openxmlformats.org/officeDocument/2006/customXml" ds:itemID="{E028F77C-6C25-4260-9CAE-0CA7FA04CEF6}"/>
</file>

<file path=docProps/app.xml><?xml version="1.0" encoding="utf-8"?>
<Properties xmlns="http://schemas.openxmlformats.org/officeDocument/2006/extended-properties" xmlns:vt="http://schemas.openxmlformats.org/officeDocument/2006/docPropsVTypes">
  <Template>Normal</Template>
  <TotalTime>0</TotalTime>
  <Pages>16</Pages>
  <Words>3365</Words>
  <Characters>19092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2015-08-21T16:27:00Z</dcterms:created>
  <dcterms:modified xsi:type="dcterms:W3CDTF">2016-01-12T17:35:00Z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0x0101006E56B4D1795A2E4DB2F0B01679ED314A007EC17664C6B90946ABEBEDF6A8C69937</vt:lpwstr>
  </property>
  <property fmtid="{D5CDD505-2E9C-101B-9397-08002B2CF9AE}" pid="3" name="_docset_NoMedatataSyncRequired">
    <vt:lpwstr>False</vt:lpwstr>
  </property>
</Properties>
</file>