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charts/chart5.xml" ContentType="application/vnd.openxmlformats-officedocument.drawingml.chart+xml"/>
  <Override PartName="/word/theme/theme1.xml" ContentType="application/vnd.openxmlformats-officedocument.theme+xml"/>
  <Override PartName="/word/charts/chart6.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969" w:rsidRDefault="00E81F80">
      <w:r w:rsidRPr="00E81F80">
        <w:rPr>
          <w:noProof/>
        </w:rPr>
        <w:drawing>
          <wp:inline distT="0" distB="0" distL="0" distR="0">
            <wp:extent cx="6492240" cy="1037098"/>
            <wp:effectExtent l="19050" t="0" r="3810" b="0"/>
            <wp:docPr id="2" name="" descr="Macintosh HD:Users:renee:Projects:0746_Avista:Avista_APPs_041513:Avista_WordTemplate_0416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e:Projects:0746_Avista:Avista_APPs_041513:Avista_WordTemplate_041613-03.jpg"/>
                    <pic:cNvPicPr>
                      <a:picLocks noChangeAspect="1" noChangeArrowheads="1"/>
                    </pic:cNvPicPr>
                  </pic:nvPicPr>
                  <pic:blipFill>
                    <a:blip r:embed="rId8" cstate="print"/>
                    <a:srcRect/>
                    <a:stretch>
                      <a:fillRect/>
                    </a:stretch>
                  </pic:blipFill>
                  <pic:spPr bwMode="auto">
                    <a:xfrm>
                      <a:off x="0" y="0"/>
                      <a:ext cx="6492240" cy="1037098"/>
                    </a:xfrm>
                    <a:prstGeom prst="rect">
                      <a:avLst/>
                    </a:prstGeom>
                    <a:noFill/>
                    <a:ln w="9525">
                      <a:noFill/>
                      <a:miter lim="800000"/>
                      <a:headEnd/>
                      <a:tailEnd/>
                    </a:ln>
                  </pic:spPr>
                </pic:pic>
              </a:graphicData>
            </a:graphic>
          </wp:inline>
        </w:drawing>
      </w:r>
    </w:p>
    <w:p w:rsidR="003A5969" w:rsidRDefault="003A5969">
      <w:pPr>
        <w:pBdr>
          <w:bottom w:val="single" w:sz="6" w:space="1" w:color="auto"/>
        </w:pBdr>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E01DA2" w:rsidRPr="00E01DA2" w:rsidRDefault="00E01DA2" w:rsidP="00E01DA2"/>
    <w:p w:rsidR="003A5969" w:rsidRDefault="003A5969">
      <w:pPr>
        <w:pStyle w:val="Heading6"/>
      </w:pPr>
      <w:bookmarkStart w:id="0" w:name="_Toc3183378"/>
      <w:r>
        <w:t>Service</w:t>
      </w:r>
      <w:bookmarkEnd w:id="0"/>
      <w:r w:rsidR="00E01DA2">
        <w:t xml:space="preserve"> </w:t>
      </w:r>
      <w:r w:rsidR="00401324">
        <w:t xml:space="preserve">Quality and </w:t>
      </w:r>
      <w:r>
        <w:t>Reliability</w:t>
      </w:r>
      <w:r w:rsidR="00E01DA2">
        <w:t xml:space="preserve"> </w:t>
      </w:r>
      <w:r>
        <w:t>Report</w:t>
      </w:r>
      <w:r w:rsidR="00401324">
        <w:t>ing Plan</w:t>
      </w:r>
    </w:p>
    <w:p w:rsidR="009C6304" w:rsidRDefault="009C6304" w:rsidP="009C6304"/>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rsidP="00E94BCB">
      <w:r>
        <w:rPr>
          <w:rFonts w:ascii="Symbol" w:hAnsi="Symbol"/>
        </w:rPr>
        <w:t></w:t>
      </w:r>
      <w:r>
        <w:t xml:space="preserve"> 201</w:t>
      </w:r>
      <w:r w:rsidR="0087565A">
        <w:t>5</w:t>
      </w:r>
      <w:r>
        <w:t xml:space="preserve"> Avista Corporation. All Right Reserved</w:t>
      </w:r>
    </w:p>
    <w:p w:rsidR="00E94BCB" w:rsidRDefault="00E94BCB" w:rsidP="00E94BCB"/>
    <w:p w:rsidR="00E94BCB" w:rsidRDefault="00E94BCB" w:rsidP="00E94BCB">
      <w:r>
        <w:t xml:space="preserve">Permission of the Copyright owner is granted to users to copy, download, reproduce, transmit or distribute any part of this document provided that: (1) the user includes Avista’s copyright notice on all copies, and (2) the materials are not used in any misleading or inappropriate manner. Furthermore, no portion of the attached work shall be republished in printed or digital form without the written permission of the Copyright owner.  </w:t>
      </w:r>
    </w:p>
    <w:p w:rsidR="003A5969" w:rsidRDefault="003A5969">
      <w:pPr>
        <w:spacing w:before="40" w:after="40"/>
        <w:ind w:right="180"/>
        <w:jc w:val="center"/>
        <w:rPr>
          <w:rFonts w:ascii="Arial" w:hAnsi="Arial"/>
          <w:b/>
          <w:sz w:val="36"/>
        </w:rPr>
      </w:pPr>
      <w:r>
        <w:rPr>
          <w:rFonts w:ascii="Arial" w:hAnsi="Arial"/>
          <w:b/>
          <w:sz w:val="36"/>
        </w:rPr>
        <w:br w:type="page"/>
      </w:r>
    </w:p>
    <w:p w:rsidR="003A5969" w:rsidRPr="00097B04" w:rsidRDefault="007F2584" w:rsidP="008E6501">
      <w:pPr>
        <w:pStyle w:val="TOC1"/>
        <w:jc w:val="center"/>
        <w:rPr>
          <w:sz w:val="28"/>
        </w:rPr>
      </w:pPr>
      <w:r w:rsidRPr="00097B04">
        <w:rPr>
          <w:sz w:val="28"/>
        </w:rPr>
        <w:lastRenderedPageBreak/>
        <w:t xml:space="preserve">Table of </w:t>
      </w:r>
      <w:r w:rsidR="003A5969" w:rsidRPr="00097B04">
        <w:rPr>
          <w:sz w:val="28"/>
        </w:rPr>
        <w:t>Contents</w:t>
      </w:r>
    </w:p>
    <w:p w:rsidR="005741C6" w:rsidRDefault="005741C6" w:rsidP="005741C6">
      <w:pPr>
        <w:pStyle w:val="TOC1"/>
        <w:spacing w:before="0"/>
      </w:pPr>
      <w:bookmarkStart w:id="1" w:name="_Toc3183379"/>
    </w:p>
    <w:p w:rsidR="0062724C" w:rsidRDefault="00D76041">
      <w:pPr>
        <w:pStyle w:val="TOC1"/>
        <w:rPr>
          <w:rFonts w:asciiTheme="minorHAnsi" w:eastAsiaTheme="minorEastAsia" w:hAnsiTheme="minorHAnsi" w:cstheme="minorBidi"/>
          <w:b w:val="0"/>
          <w:caps w:val="0"/>
          <w:noProof/>
          <w:sz w:val="22"/>
          <w:szCs w:val="22"/>
        </w:rPr>
      </w:pPr>
      <w:r w:rsidRPr="00D76041">
        <w:rPr>
          <w:b w:val="0"/>
          <w:caps w:val="0"/>
        </w:rPr>
        <w:fldChar w:fldCharType="begin"/>
      </w:r>
      <w:r w:rsidR="005E03B6">
        <w:rPr>
          <w:b w:val="0"/>
          <w:caps w:val="0"/>
        </w:rPr>
        <w:instrText xml:space="preserve"> TOC \o "1-4" \h \z \u </w:instrText>
      </w:r>
      <w:r w:rsidRPr="00D76041">
        <w:rPr>
          <w:b w:val="0"/>
          <w:caps w:val="0"/>
        </w:rPr>
        <w:fldChar w:fldCharType="separate"/>
      </w:r>
      <w:hyperlink w:anchor="_Toc435692476" w:history="1">
        <w:r w:rsidR="0062724C" w:rsidRPr="00F704DA">
          <w:rPr>
            <w:rStyle w:val="Hyperlink"/>
            <w:noProof/>
          </w:rPr>
          <w:t>Chapter 1 – Introduction</w:t>
        </w:r>
        <w:r w:rsidR="0062724C">
          <w:rPr>
            <w:noProof/>
            <w:webHidden/>
          </w:rPr>
          <w:tab/>
        </w:r>
        <w:r>
          <w:rPr>
            <w:noProof/>
            <w:webHidden/>
          </w:rPr>
          <w:fldChar w:fldCharType="begin"/>
        </w:r>
        <w:r w:rsidR="0062724C">
          <w:rPr>
            <w:noProof/>
            <w:webHidden/>
          </w:rPr>
          <w:instrText xml:space="preserve"> PAGEREF _Toc435692476 \h </w:instrText>
        </w:r>
        <w:r>
          <w:rPr>
            <w:noProof/>
            <w:webHidden/>
          </w:rPr>
        </w:r>
        <w:r>
          <w:rPr>
            <w:noProof/>
            <w:webHidden/>
          </w:rPr>
          <w:fldChar w:fldCharType="separate"/>
        </w:r>
        <w:r w:rsidR="008D79A9">
          <w:rPr>
            <w:noProof/>
            <w:webHidden/>
          </w:rPr>
          <w:t>3</w:t>
        </w:r>
        <w:r>
          <w:rPr>
            <w:noProof/>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77" w:history="1">
        <w:r w:rsidR="0062724C" w:rsidRPr="00F704DA">
          <w:rPr>
            <w:rStyle w:val="Hyperlink"/>
          </w:rPr>
          <w:t>Executive Summary</w:t>
        </w:r>
        <w:r w:rsidR="0062724C">
          <w:rPr>
            <w:webHidden/>
          </w:rPr>
          <w:tab/>
        </w:r>
        <w:r>
          <w:rPr>
            <w:webHidden/>
          </w:rPr>
          <w:fldChar w:fldCharType="begin"/>
        </w:r>
        <w:r w:rsidR="0062724C">
          <w:rPr>
            <w:webHidden/>
          </w:rPr>
          <w:instrText xml:space="preserve"> PAGEREF _Toc435692477 \h </w:instrText>
        </w:r>
        <w:r>
          <w:rPr>
            <w:webHidden/>
          </w:rPr>
        </w:r>
        <w:r>
          <w:rPr>
            <w:webHidden/>
          </w:rPr>
          <w:fldChar w:fldCharType="separate"/>
        </w:r>
        <w:r w:rsidR="008D79A9">
          <w:rPr>
            <w:webHidden/>
          </w:rPr>
          <w:t>3</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78" w:history="1">
        <w:r w:rsidR="0062724C" w:rsidRPr="00F704DA">
          <w:rPr>
            <w:rStyle w:val="Hyperlink"/>
          </w:rPr>
          <w:t>Background</w:t>
        </w:r>
        <w:r w:rsidR="0062724C">
          <w:rPr>
            <w:webHidden/>
          </w:rPr>
          <w:tab/>
        </w:r>
        <w:r>
          <w:rPr>
            <w:webHidden/>
          </w:rPr>
          <w:fldChar w:fldCharType="begin"/>
        </w:r>
        <w:r w:rsidR="0062724C">
          <w:rPr>
            <w:webHidden/>
          </w:rPr>
          <w:instrText xml:space="preserve"> PAGEREF _Toc435692478 \h </w:instrText>
        </w:r>
        <w:r>
          <w:rPr>
            <w:webHidden/>
          </w:rPr>
        </w:r>
        <w:r>
          <w:rPr>
            <w:webHidden/>
          </w:rPr>
          <w:fldChar w:fldCharType="separate"/>
        </w:r>
        <w:r w:rsidR="008D79A9">
          <w:rPr>
            <w:webHidden/>
          </w:rPr>
          <w:t>3</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79" w:history="1">
        <w:r w:rsidR="0062724C" w:rsidRPr="00F704DA">
          <w:rPr>
            <w:rStyle w:val="Hyperlink"/>
          </w:rPr>
          <w:t>Service Quality Measures Program</w:t>
        </w:r>
        <w:r w:rsidR="0062724C">
          <w:rPr>
            <w:webHidden/>
          </w:rPr>
          <w:tab/>
        </w:r>
        <w:r>
          <w:rPr>
            <w:webHidden/>
          </w:rPr>
          <w:fldChar w:fldCharType="begin"/>
        </w:r>
        <w:r w:rsidR="0062724C">
          <w:rPr>
            <w:webHidden/>
          </w:rPr>
          <w:instrText xml:space="preserve"> PAGEREF _Toc435692479 \h </w:instrText>
        </w:r>
        <w:r>
          <w:rPr>
            <w:webHidden/>
          </w:rPr>
        </w:r>
        <w:r>
          <w:rPr>
            <w:webHidden/>
          </w:rPr>
          <w:fldChar w:fldCharType="separate"/>
        </w:r>
        <w:r w:rsidR="008D79A9">
          <w:rPr>
            <w:webHidden/>
          </w:rPr>
          <w:t>4</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0" w:history="1">
        <w:r w:rsidR="0062724C" w:rsidRPr="00F704DA">
          <w:rPr>
            <w:rStyle w:val="Hyperlink"/>
          </w:rPr>
          <w:t>Electric Reliability</w:t>
        </w:r>
        <w:r w:rsidR="0062724C">
          <w:rPr>
            <w:webHidden/>
          </w:rPr>
          <w:tab/>
        </w:r>
        <w:r>
          <w:rPr>
            <w:webHidden/>
          </w:rPr>
          <w:fldChar w:fldCharType="begin"/>
        </w:r>
        <w:r w:rsidR="0062724C">
          <w:rPr>
            <w:webHidden/>
          </w:rPr>
          <w:instrText xml:space="preserve"> PAGEREF _Toc435692480 \h </w:instrText>
        </w:r>
        <w:r>
          <w:rPr>
            <w:webHidden/>
          </w:rPr>
        </w:r>
        <w:r>
          <w:rPr>
            <w:webHidden/>
          </w:rPr>
          <w:fldChar w:fldCharType="separate"/>
        </w:r>
        <w:r w:rsidR="008D79A9">
          <w:rPr>
            <w:webHidden/>
          </w:rPr>
          <w:t>5</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1" w:history="1">
        <w:r w:rsidR="0062724C" w:rsidRPr="00F704DA">
          <w:rPr>
            <w:rStyle w:val="Hyperlink"/>
          </w:rPr>
          <w:t>Appendices</w:t>
        </w:r>
        <w:r w:rsidR="0062724C">
          <w:rPr>
            <w:webHidden/>
          </w:rPr>
          <w:tab/>
        </w:r>
        <w:r>
          <w:rPr>
            <w:webHidden/>
          </w:rPr>
          <w:fldChar w:fldCharType="begin"/>
        </w:r>
        <w:r w:rsidR="0062724C">
          <w:rPr>
            <w:webHidden/>
          </w:rPr>
          <w:instrText xml:space="preserve"> PAGEREF _Toc435692481 \h </w:instrText>
        </w:r>
        <w:r>
          <w:rPr>
            <w:webHidden/>
          </w:rPr>
        </w:r>
        <w:r>
          <w:rPr>
            <w:webHidden/>
          </w:rPr>
          <w:fldChar w:fldCharType="separate"/>
        </w:r>
        <w:r w:rsidR="008D79A9">
          <w:rPr>
            <w:webHidden/>
          </w:rPr>
          <w:t>5</w:t>
        </w:r>
        <w:r>
          <w:rPr>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482" w:history="1">
        <w:r w:rsidR="0062724C" w:rsidRPr="00F704DA">
          <w:rPr>
            <w:rStyle w:val="Hyperlink"/>
            <w:noProof/>
          </w:rPr>
          <w:t>Chapter 2 – Service Quality Measures</w:t>
        </w:r>
        <w:r w:rsidR="0062724C">
          <w:rPr>
            <w:noProof/>
            <w:webHidden/>
          </w:rPr>
          <w:tab/>
        </w:r>
        <w:r>
          <w:rPr>
            <w:noProof/>
            <w:webHidden/>
          </w:rPr>
          <w:fldChar w:fldCharType="begin"/>
        </w:r>
        <w:r w:rsidR="0062724C">
          <w:rPr>
            <w:noProof/>
            <w:webHidden/>
          </w:rPr>
          <w:instrText xml:space="preserve"> PAGEREF _Toc435692482 \h </w:instrText>
        </w:r>
        <w:r>
          <w:rPr>
            <w:noProof/>
            <w:webHidden/>
          </w:rPr>
        </w:r>
        <w:r>
          <w:rPr>
            <w:noProof/>
            <w:webHidden/>
          </w:rPr>
          <w:fldChar w:fldCharType="separate"/>
        </w:r>
        <w:r w:rsidR="008D79A9">
          <w:rPr>
            <w:noProof/>
            <w:webHidden/>
          </w:rPr>
          <w:t>6</w:t>
        </w:r>
        <w:r>
          <w:rPr>
            <w:noProof/>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3" w:history="1">
        <w:r w:rsidR="0062724C" w:rsidRPr="00F704DA">
          <w:rPr>
            <w:rStyle w:val="Hyperlink"/>
          </w:rPr>
          <w:t>Customer Service Measures</w:t>
        </w:r>
        <w:r w:rsidR="0062724C">
          <w:rPr>
            <w:webHidden/>
          </w:rPr>
          <w:tab/>
        </w:r>
        <w:r>
          <w:rPr>
            <w:webHidden/>
          </w:rPr>
          <w:fldChar w:fldCharType="begin"/>
        </w:r>
        <w:r w:rsidR="0062724C">
          <w:rPr>
            <w:webHidden/>
          </w:rPr>
          <w:instrText xml:space="preserve"> PAGEREF _Toc435692483 \h </w:instrText>
        </w:r>
        <w:r>
          <w:rPr>
            <w:webHidden/>
          </w:rPr>
        </w:r>
        <w:r>
          <w:rPr>
            <w:webHidden/>
          </w:rPr>
          <w:fldChar w:fldCharType="separate"/>
        </w:r>
        <w:r w:rsidR="008D79A9">
          <w:rPr>
            <w:webHidden/>
          </w:rPr>
          <w:t>6</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4" w:history="1">
        <w:r w:rsidR="0062724C" w:rsidRPr="00F704DA">
          <w:rPr>
            <w:rStyle w:val="Hyperlink"/>
          </w:rPr>
          <w:t>Electric Reliability Measures</w:t>
        </w:r>
        <w:r w:rsidR="0062724C">
          <w:rPr>
            <w:webHidden/>
          </w:rPr>
          <w:tab/>
        </w:r>
        <w:r>
          <w:rPr>
            <w:webHidden/>
          </w:rPr>
          <w:fldChar w:fldCharType="begin"/>
        </w:r>
        <w:r w:rsidR="0062724C">
          <w:rPr>
            <w:webHidden/>
          </w:rPr>
          <w:instrText xml:space="preserve"> PAGEREF _Toc435692484 \h </w:instrText>
        </w:r>
        <w:r>
          <w:rPr>
            <w:webHidden/>
          </w:rPr>
        </w:r>
        <w:r>
          <w:rPr>
            <w:webHidden/>
          </w:rPr>
          <w:fldChar w:fldCharType="separate"/>
        </w:r>
        <w:r w:rsidR="008D79A9">
          <w:rPr>
            <w:webHidden/>
          </w:rPr>
          <w:t>10</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5" w:history="1">
        <w:r w:rsidR="0062724C" w:rsidRPr="00F704DA">
          <w:rPr>
            <w:rStyle w:val="Hyperlink"/>
          </w:rPr>
          <w:t>Customer Service Guarantees</w:t>
        </w:r>
        <w:r w:rsidR="0062724C">
          <w:rPr>
            <w:webHidden/>
          </w:rPr>
          <w:tab/>
        </w:r>
        <w:r>
          <w:rPr>
            <w:webHidden/>
          </w:rPr>
          <w:fldChar w:fldCharType="begin"/>
        </w:r>
        <w:r w:rsidR="0062724C">
          <w:rPr>
            <w:webHidden/>
          </w:rPr>
          <w:instrText xml:space="preserve"> PAGEREF _Toc435692485 \h </w:instrText>
        </w:r>
        <w:r>
          <w:rPr>
            <w:webHidden/>
          </w:rPr>
        </w:r>
        <w:r>
          <w:rPr>
            <w:webHidden/>
          </w:rPr>
          <w:fldChar w:fldCharType="separate"/>
        </w:r>
        <w:r w:rsidR="008D79A9">
          <w:rPr>
            <w:webHidden/>
          </w:rPr>
          <w:t>11</w:t>
        </w:r>
        <w:r>
          <w:rPr>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486" w:history="1">
        <w:r w:rsidR="0062724C" w:rsidRPr="00F704DA">
          <w:rPr>
            <w:rStyle w:val="Hyperlink"/>
            <w:noProof/>
          </w:rPr>
          <w:t>Chapter 3 – Electric Reliability</w:t>
        </w:r>
        <w:r w:rsidR="0062724C">
          <w:rPr>
            <w:noProof/>
            <w:webHidden/>
          </w:rPr>
          <w:tab/>
        </w:r>
        <w:r>
          <w:rPr>
            <w:noProof/>
            <w:webHidden/>
          </w:rPr>
          <w:fldChar w:fldCharType="begin"/>
        </w:r>
        <w:r w:rsidR="0062724C">
          <w:rPr>
            <w:noProof/>
            <w:webHidden/>
          </w:rPr>
          <w:instrText xml:space="preserve"> PAGEREF _Toc435692486 \h </w:instrText>
        </w:r>
        <w:r>
          <w:rPr>
            <w:noProof/>
            <w:webHidden/>
          </w:rPr>
        </w:r>
        <w:r>
          <w:rPr>
            <w:noProof/>
            <w:webHidden/>
          </w:rPr>
          <w:fldChar w:fldCharType="separate"/>
        </w:r>
        <w:r w:rsidR="008D79A9">
          <w:rPr>
            <w:noProof/>
            <w:webHidden/>
          </w:rPr>
          <w:t>15</w:t>
        </w:r>
        <w:r>
          <w:rPr>
            <w:noProof/>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7" w:history="1">
        <w:r w:rsidR="0062724C" w:rsidRPr="00F704DA">
          <w:rPr>
            <w:rStyle w:val="Hyperlink"/>
          </w:rPr>
          <w:t>Data Collection and Calculation Changes</w:t>
        </w:r>
        <w:r w:rsidR="0062724C">
          <w:rPr>
            <w:webHidden/>
          </w:rPr>
          <w:tab/>
        </w:r>
        <w:r>
          <w:rPr>
            <w:webHidden/>
          </w:rPr>
          <w:fldChar w:fldCharType="begin"/>
        </w:r>
        <w:r w:rsidR="0062724C">
          <w:rPr>
            <w:webHidden/>
          </w:rPr>
          <w:instrText xml:space="preserve"> PAGEREF _Toc435692487 \h </w:instrText>
        </w:r>
        <w:r>
          <w:rPr>
            <w:webHidden/>
          </w:rPr>
        </w:r>
        <w:r>
          <w:rPr>
            <w:webHidden/>
          </w:rPr>
          <w:fldChar w:fldCharType="separate"/>
        </w:r>
        <w:r w:rsidR="008D79A9">
          <w:rPr>
            <w:webHidden/>
          </w:rPr>
          <w:t>15</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8" w:history="1">
        <w:r w:rsidR="0062724C" w:rsidRPr="00F704DA">
          <w:rPr>
            <w:rStyle w:val="Hyperlink"/>
          </w:rPr>
          <w:t>Baseline Statistics</w:t>
        </w:r>
        <w:r w:rsidR="0062724C">
          <w:rPr>
            <w:webHidden/>
          </w:rPr>
          <w:tab/>
        </w:r>
        <w:r>
          <w:rPr>
            <w:webHidden/>
          </w:rPr>
          <w:fldChar w:fldCharType="begin"/>
        </w:r>
        <w:r w:rsidR="0062724C">
          <w:rPr>
            <w:webHidden/>
          </w:rPr>
          <w:instrText xml:space="preserve"> PAGEREF _Toc435692488 \h </w:instrText>
        </w:r>
        <w:r>
          <w:rPr>
            <w:webHidden/>
          </w:rPr>
        </w:r>
        <w:r>
          <w:rPr>
            <w:webHidden/>
          </w:rPr>
          <w:fldChar w:fldCharType="separate"/>
        </w:r>
        <w:r w:rsidR="008D79A9">
          <w:rPr>
            <w:webHidden/>
          </w:rPr>
          <w:t>15</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89" w:history="1">
        <w:r w:rsidR="0062724C" w:rsidRPr="00F704DA">
          <w:rPr>
            <w:rStyle w:val="Hyperlink"/>
          </w:rPr>
          <w:t>System Indices</w:t>
        </w:r>
        <w:r w:rsidR="0062724C">
          <w:rPr>
            <w:webHidden/>
          </w:rPr>
          <w:tab/>
        </w:r>
        <w:r>
          <w:rPr>
            <w:webHidden/>
          </w:rPr>
          <w:fldChar w:fldCharType="begin"/>
        </w:r>
        <w:r w:rsidR="0062724C">
          <w:rPr>
            <w:webHidden/>
          </w:rPr>
          <w:instrText xml:space="preserve"> PAGEREF _Toc435692489 \h </w:instrText>
        </w:r>
        <w:r>
          <w:rPr>
            <w:webHidden/>
          </w:rPr>
        </w:r>
        <w:r>
          <w:rPr>
            <w:webHidden/>
          </w:rPr>
          <w:fldChar w:fldCharType="separate"/>
        </w:r>
        <w:r w:rsidR="008D79A9">
          <w:rPr>
            <w:webHidden/>
          </w:rPr>
          <w:t>15</w:t>
        </w:r>
        <w:r>
          <w:rPr>
            <w:webHidden/>
          </w:rPr>
          <w:fldChar w:fldCharType="end"/>
        </w:r>
      </w:hyperlink>
    </w:p>
    <w:p w:rsidR="0062724C" w:rsidRDefault="00D76041" w:rsidP="008D79A9">
      <w:pPr>
        <w:pStyle w:val="TOC4"/>
        <w:rPr>
          <w:rFonts w:asciiTheme="minorHAnsi" w:eastAsiaTheme="minorEastAsia" w:hAnsiTheme="minorHAnsi" w:cstheme="minorBidi"/>
          <w:sz w:val="22"/>
          <w:szCs w:val="22"/>
        </w:rPr>
      </w:pPr>
      <w:hyperlink w:anchor="_Toc435692490" w:history="1">
        <w:r w:rsidR="0062724C" w:rsidRPr="00F704DA">
          <w:rPr>
            <w:rStyle w:val="Hyperlink"/>
          </w:rPr>
          <w:t>Table - Reliability Statistic Target by Index</w:t>
        </w:r>
        <w:r w:rsidR="0062724C">
          <w:rPr>
            <w:webHidden/>
          </w:rPr>
          <w:tab/>
        </w:r>
        <w:r>
          <w:rPr>
            <w:webHidden/>
          </w:rPr>
          <w:fldChar w:fldCharType="begin"/>
        </w:r>
        <w:r w:rsidR="0062724C">
          <w:rPr>
            <w:webHidden/>
          </w:rPr>
          <w:instrText xml:space="preserve"> PAGEREF _Toc435692490 \h </w:instrText>
        </w:r>
        <w:r>
          <w:rPr>
            <w:webHidden/>
          </w:rPr>
        </w:r>
        <w:r>
          <w:rPr>
            <w:webHidden/>
          </w:rPr>
          <w:fldChar w:fldCharType="separate"/>
        </w:r>
        <w:r w:rsidR="008D79A9">
          <w:rPr>
            <w:webHidden/>
          </w:rPr>
          <w:t>15</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1" w:history="1">
        <w:r w:rsidR="0062724C" w:rsidRPr="00F704DA">
          <w:rPr>
            <w:rStyle w:val="Hyperlink"/>
          </w:rPr>
          <w:t>Office Areas Indices</w:t>
        </w:r>
        <w:r w:rsidR="0062724C">
          <w:rPr>
            <w:webHidden/>
          </w:rPr>
          <w:tab/>
        </w:r>
        <w:r>
          <w:rPr>
            <w:webHidden/>
          </w:rPr>
          <w:fldChar w:fldCharType="begin"/>
        </w:r>
        <w:r w:rsidR="0062724C">
          <w:rPr>
            <w:webHidden/>
          </w:rPr>
          <w:instrText xml:space="preserve"> PAGEREF _Toc435692491 \h </w:instrText>
        </w:r>
        <w:r>
          <w:rPr>
            <w:webHidden/>
          </w:rPr>
        </w:r>
        <w:r>
          <w:rPr>
            <w:webHidden/>
          </w:rPr>
          <w:fldChar w:fldCharType="separate"/>
        </w:r>
        <w:r w:rsidR="008D79A9">
          <w:rPr>
            <w:webHidden/>
          </w:rPr>
          <w:t>17</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2" w:history="1">
        <w:r w:rsidR="0062724C" w:rsidRPr="00F704DA">
          <w:rPr>
            <w:rStyle w:val="Hyperlink"/>
          </w:rPr>
          <w:t>Major Event Days</w:t>
        </w:r>
        <w:r w:rsidR="0062724C">
          <w:rPr>
            <w:webHidden/>
          </w:rPr>
          <w:tab/>
        </w:r>
        <w:r>
          <w:rPr>
            <w:webHidden/>
          </w:rPr>
          <w:fldChar w:fldCharType="begin"/>
        </w:r>
        <w:r w:rsidR="0062724C">
          <w:rPr>
            <w:webHidden/>
          </w:rPr>
          <w:instrText xml:space="preserve"> PAGEREF _Toc435692492 \h </w:instrText>
        </w:r>
        <w:r>
          <w:rPr>
            <w:webHidden/>
          </w:rPr>
        </w:r>
        <w:r>
          <w:rPr>
            <w:webHidden/>
          </w:rPr>
          <w:fldChar w:fldCharType="separate"/>
        </w:r>
        <w:r w:rsidR="008D79A9">
          <w:rPr>
            <w:webHidden/>
          </w:rPr>
          <w:t>17</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3" w:history="1">
        <w:r w:rsidR="0062724C" w:rsidRPr="00F704DA">
          <w:rPr>
            <w:rStyle w:val="Hyperlink"/>
          </w:rPr>
          <w:t>Customers Experiencing Multiple Interruptions</w:t>
        </w:r>
        <w:r w:rsidR="0062724C">
          <w:rPr>
            <w:webHidden/>
          </w:rPr>
          <w:tab/>
        </w:r>
        <w:r>
          <w:rPr>
            <w:webHidden/>
          </w:rPr>
          <w:fldChar w:fldCharType="begin"/>
        </w:r>
        <w:r w:rsidR="0062724C">
          <w:rPr>
            <w:webHidden/>
          </w:rPr>
          <w:instrText xml:space="preserve"> PAGEREF _Toc435692493 \h </w:instrText>
        </w:r>
        <w:r>
          <w:rPr>
            <w:webHidden/>
          </w:rPr>
        </w:r>
        <w:r>
          <w:rPr>
            <w:webHidden/>
          </w:rPr>
          <w:fldChar w:fldCharType="separate"/>
        </w:r>
        <w:r w:rsidR="008D79A9">
          <w:rPr>
            <w:webHidden/>
          </w:rPr>
          <w:t>18</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4" w:history="1">
        <w:r w:rsidR="0062724C" w:rsidRPr="00F704DA">
          <w:rPr>
            <w:rStyle w:val="Hyperlink"/>
            <w:iCs/>
          </w:rPr>
          <w:t>Chart - Colville Office - CEMIn</w:t>
        </w:r>
        <w:r w:rsidR="0062724C">
          <w:rPr>
            <w:webHidden/>
          </w:rPr>
          <w:tab/>
        </w:r>
        <w:r>
          <w:rPr>
            <w:webHidden/>
          </w:rPr>
          <w:fldChar w:fldCharType="begin"/>
        </w:r>
        <w:r w:rsidR="0062724C">
          <w:rPr>
            <w:webHidden/>
          </w:rPr>
          <w:instrText xml:space="preserve"> PAGEREF _Toc435692494 \h </w:instrText>
        </w:r>
        <w:r>
          <w:rPr>
            <w:webHidden/>
          </w:rPr>
        </w:r>
        <w:r>
          <w:rPr>
            <w:webHidden/>
          </w:rPr>
          <w:fldChar w:fldCharType="separate"/>
        </w:r>
        <w:r w:rsidR="008D79A9">
          <w:rPr>
            <w:webHidden/>
          </w:rPr>
          <w:t>19</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5" w:history="1">
        <w:r w:rsidR="0062724C" w:rsidRPr="00F704DA">
          <w:rPr>
            <w:rStyle w:val="Hyperlink"/>
          </w:rPr>
          <w:t>Monthly Indices</w:t>
        </w:r>
        <w:r w:rsidR="0062724C">
          <w:rPr>
            <w:webHidden/>
          </w:rPr>
          <w:tab/>
        </w:r>
        <w:r>
          <w:rPr>
            <w:webHidden/>
          </w:rPr>
          <w:fldChar w:fldCharType="begin"/>
        </w:r>
        <w:r w:rsidR="0062724C">
          <w:rPr>
            <w:webHidden/>
          </w:rPr>
          <w:instrText xml:space="preserve"> PAGEREF _Toc435692495 \h </w:instrText>
        </w:r>
        <w:r>
          <w:rPr>
            <w:webHidden/>
          </w:rPr>
        </w:r>
        <w:r>
          <w:rPr>
            <w:webHidden/>
          </w:rPr>
          <w:fldChar w:fldCharType="separate"/>
        </w:r>
        <w:r w:rsidR="008D79A9">
          <w:rPr>
            <w:webHidden/>
          </w:rPr>
          <w:t>20</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6" w:history="1">
        <w:r w:rsidR="0062724C" w:rsidRPr="00F704DA">
          <w:rPr>
            <w:rStyle w:val="Hyperlink"/>
          </w:rPr>
          <w:t>Sustained Interruption Causes</w:t>
        </w:r>
        <w:r w:rsidR="0062724C">
          <w:rPr>
            <w:webHidden/>
          </w:rPr>
          <w:tab/>
        </w:r>
        <w:r>
          <w:rPr>
            <w:webHidden/>
          </w:rPr>
          <w:fldChar w:fldCharType="begin"/>
        </w:r>
        <w:r w:rsidR="0062724C">
          <w:rPr>
            <w:webHidden/>
          </w:rPr>
          <w:instrText xml:space="preserve"> PAGEREF _Toc435692496 \h </w:instrText>
        </w:r>
        <w:r>
          <w:rPr>
            <w:webHidden/>
          </w:rPr>
        </w:r>
        <w:r>
          <w:rPr>
            <w:webHidden/>
          </w:rPr>
          <w:fldChar w:fldCharType="separate"/>
        </w:r>
        <w:r w:rsidR="008D79A9">
          <w:rPr>
            <w:webHidden/>
          </w:rPr>
          <w:t>20</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7" w:history="1">
        <w:r w:rsidR="0062724C" w:rsidRPr="00F704DA">
          <w:rPr>
            <w:rStyle w:val="Hyperlink"/>
          </w:rPr>
          <w:t>Momentary Interruption Causes</w:t>
        </w:r>
        <w:r w:rsidR="0062724C">
          <w:rPr>
            <w:webHidden/>
          </w:rPr>
          <w:tab/>
        </w:r>
        <w:r>
          <w:rPr>
            <w:webHidden/>
          </w:rPr>
          <w:fldChar w:fldCharType="begin"/>
        </w:r>
        <w:r w:rsidR="0062724C">
          <w:rPr>
            <w:webHidden/>
          </w:rPr>
          <w:instrText xml:space="preserve"> PAGEREF _Toc435692497 \h </w:instrText>
        </w:r>
        <w:r>
          <w:rPr>
            <w:webHidden/>
          </w:rPr>
        </w:r>
        <w:r>
          <w:rPr>
            <w:webHidden/>
          </w:rPr>
          <w:fldChar w:fldCharType="separate"/>
        </w:r>
        <w:r w:rsidR="008D79A9">
          <w:rPr>
            <w:webHidden/>
          </w:rPr>
          <w:t>21</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8" w:history="1">
        <w:r w:rsidR="0062724C" w:rsidRPr="00F704DA">
          <w:rPr>
            <w:rStyle w:val="Hyperlink"/>
          </w:rPr>
          <w:t>Interruption Cause Codes</w:t>
        </w:r>
        <w:r w:rsidR="0062724C">
          <w:rPr>
            <w:webHidden/>
          </w:rPr>
          <w:tab/>
        </w:r>
        <w:r>
          <w:rPr>
            <w:webHidden/>
          </w:rPr>
          <w:fldChar w:fldCharType="begin"/>
        </w:r>
        <w:r w:rsidR="0062724C">
          <w:rPr>
            <w:webHidden/>
          </w:rPr>
          <w:instrText xml:space="preserve"> PAGEREF _Toc435692498 \h </w:instrText>
        </w:r>
        <w:r>
          <w:rPr>
            <w:webHidden/>
          </w:rPr>
        </w:r>
        <w:r>
          <w:rPr>
            <w:webHidden/>
          </w:rPr>
          <w:fldChar w:fldCharType="separate"/>
        </w:r>
        <w:r w:rsidR="008D79A9">
          <w:rPr>
            <w:webHidden/>
          </w:rPr>
          <w:t>21</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499" w:history="1">
        <w:r w:rsidR="0062724C" w:rsidRPr="00F704DA">
          <w:rPr>
            <w:rStyle w:val="Hyperlink"/>
          </w:rPr>
          <w:t>Areas of Concern</w:t>
        </w:r>
        <w:r w:rsidR="0062724C">
          <w:rPr>
            <w:webHidden/>
          </w:rPr>
          <w:tab/>
        </w:r>
        <w:r>
          <w:rPr>
            <w:webHidden/>
          </w:rPr>
          <w:fldChar w:fldCharType="begin"/>
        </w:r>
        <w:r w:rsidR="0062724C">
          <w:rPr>
            <w:webHidden/>
          </w:rPr>
          <w:instrText xml:space="preserve"> PAGEREF _Toc435692499 \h </w:instrText>
        </w:r>
        <w:r>
          <w:rPr>
            <w:webHidden/>
          </w:rPr>
        </w:r>
        <w:r>
          <w:rPr>
            <w:webHidden/>
          </w:rPr>
          <w:fldChar w:fldCharType="separate"/>
        </w:r>
        <w:r w:rsidR="008D79A9">
          <w:rPr>
            <w:webHidden/>
          </w:rPr>
          <w:t>21</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500" w:history="1">
        <w:r w:rsidR="0062724C" w:rsidRPr="00F704DA">
          <w:rPr>
            <w:rStyle w:val="Hyperlink"/>
          </w:rPr>
          <w:t>System Wide Work Plans</w:t>
        </w:r>
        <w:r w:rsidR="0062724C">
          <w:rPr>
            <w:webHidden/>
          </w:rPr>
          <w:tab/>
        </w:r>
        <w:r>
          <w:rPr>
            <w:webHidden/>
          </w:rPr>
          <w:fldChar w:fldCharType="begin"/>
        </w:r>
        <w:r w:rsidR="0062724C">
          <w:rPr>
            <w:webHidden/>
          </w:rPr>
          <w:instrText xml:space="preserve"> PAGEREF _Toc435692500 \h </w:instrText>
        </w:r>
        <w:r>
          <w:rPr>
            <w:webHidden/>
          </w:rPr>
        </w:r>
        <w:r>
          <w:rPr>
            <w:webHidden/>
          </w:rPr>
          <w:fldChar w:fldCharType="separate"/>
        </w:r>
        <w:r w:rsidR="008D79A9">
          <w:rPr>
            <w:webHidden/>
          </w:rPr>
          <w:t>22</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501" w:history="1">
        <w:r w:rsidR="0062724C" w:rsidRPr="00F704DA">
          <w:rPr>
            <w:rStyle w:val="Hyperlink"/>
          </w:rPr>
          <w:t>Grid Modernization Program</w:t>
        </w:r>
        <w:r w:rsidR="0062724C">
          <w:rPr>
            <w:webHidden/>
          </w:rPr>
          <w:tab/>
        </w:r>
        <w:r>
          <w:rPr>
            <w:webHidden/>
          </w:rPr>
          <w:fldChar w:fldCharType="begin"/>
        </w:r>
        <w:r w:rsidR="0062724C">
          <w:rPr>
            <w:webHidden/>
          </w:rPr>
          <w:instrText xml:space="preserve"> PAGEREF _Toc435692501 \h </w:instrText>
        </w:r>
        <w:r>
          <w:rPr>
            <w:webHidden/>
          </w:rPr>
        </w:r>
        <w:r>
          <w:rPr>
            <w:webHidden/>
          </w:rPr>
          <w:fldChar w:fldCharType="separate"/>
        </w:r>
        <w:r w:rsidR="008D79A9">
          <w:rPr>
            <w:webHidden/>
          </w:rPr>
          <w:t>22</w:t>
        </w:r>
        <w:r>
          <w:rPr>
            <w:webHidden/>
          </w:rPr>
          <w:fldChar w:fldCharType="end"/>
        </w:r>
      </w:hyperlink>
    </w:p>
    <w:p w:rsidR="0062724C" w:rsidRDefault="00D76041">
      <w:pPr>
        <w:pStyle w:val="TOC3"/>
        <w:rPr>
          <w:rFonts w:asciiTheme="minorHAnsi" w:eastAsiaTheme="minorEastAsia" w:hAnsiTheme="minorHAnsi" w:cstheme="minorBidi"/>
          <w:sz w:val="22"/>
          <w:szCs w:val="22"/>
        </w:rPr>
      </w:pPr>
      <w:hyperlink w:anchor="_Toc435692502" w:history="1">
        <w:r w:rsidR="0062724C" w:rsidRPr="00F704DA">
          <w:rPr>
            <w:rStyle w:val="Hyperlink"/>
          </w:rPr>
          <w:t>System Wide Vegetation Management Plan</w:t>
        </w:r>
        <w:r w:rsidR="0062724C">
          <w:rPr>
            <w:webHidden/>
          </w:rPr>
          <w:tab/>
        </w:r>
        <w:r>
          <w:rPr>
            <w:webHidden/>
          </w:rPr>
          <w:fldChar w:fldCharType="begin"/>
        </w:r>
        <w:r w:rsidR="0062724C">
          <w:rPr>
            <w:webHidden/>
          </w:rPr>
          <w:instrText xml:space="preserve"> PAGEREF _Toc435692502 \h </w:instrText>
        </w:r>
        <w:r>
          <w:rPr>
            <w:webHidden/>
          </w:rPr>
        </w:r>
        <w:r>
          <w:rPr>
            <w:webHidden/>
          </w:rPr>
          <w:fldChar w:fldCharType="separate"/>
        </w:r>
        <w:r w:rsidR="008D79A9">
          <w:rPr>
            <w:webHidden/>
          </w:rPr>
          <w:t>22</w:t>
        </w:r>
        <w:r>
          <w:rPr>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503" w:history="1">
        <w:r w:rsidR="0062724C" w:rsidRPr="00F704DA">
          <w:rPr>
            <w:rStyle w:val="Hyperlink"/>
            <w:noProof/>
          </w:rPr>
          <w:t>Appendix A - Definitions</w:t>
        </w:r>
        <w:r w:rsidR="0062724C">
          <w:rPr>
            <w:noProof/>
            <w:webHidden/>
          </w:rPr>
          <w:tab/>
        </w:r>
        <w:r>
          <w:rPr>
            <w:noProof/>
            <w:webHidden/>
          </w:rPr>
          <w:fldChar w:fldCharType="begin"/>
        </w:r>
        <w:r w:rsidR="0062724C">
          <w:rPr>
            <w:noProof/>
            <w:webHidden/>
          </w:rPr>
          <w:instrText xml:space="preserve"> PAGEREF _Toc435692503 \h </w:instrText>
        </w:r>
        <w:r>
          <w:rPr>
            <w:noProof/>
            <w:webHidden/>
          </w:rPr>
        </w:r>
        <w:r>
          <w:rPr>
            <w:noProof/>
            <w:webHidden/>
          </w:rPr>
          <w:fldChar w:fldCharType="separate"/>
        </w:r>
        <w:r w:rsidR="008D79A9">
          <w:rPr>
            <w:noProof/>
            <w:webHidden/>
          </w:rPr>
          <w:t>23</w:t>
        </w:r>
        <w:r>
          <w:rPr>
            <w:noProof/>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504" w:history="1">
        <w:r w:rsidR="0062724C" w:rsidRPr="00F704DA">
          <w:rPr>
            <w:rStyle w:val="Hyperlink"/>
            <w:noProof/>
          </w:rPr>
          <w:t>Appendix B - Index Calculations</w:t>
        </w:r>
        <w:r w:rsidR="0062724C">
          <w:rPr>
            <w:noProof/>
            <w:webHidden/>
          </w:rPr>
          <w:tab/>
        </w:r>
        <w:r>
          <w:rPr>
            <w:noProof/>
            <w:webHidden/>
          </w:rPr>
          <w:fldChar w:fldCharType="begin"/>
        </w:r>
        <w:r w:rsidR="0062724C">
          <w:rPr>
            <w:noProof/>
            <w:webHidden/>
          </w:rPr>
          <w:instrText xml:space="preserve"> PAGEREF _Toc435692504 \h </w:instrText>
        </w:r>
        <w:r>
          <w:rPr>
            <w:noProof/>
            <w:webHidden/>
          </w:rPr>
        </w:r>
        <w:r>
          <w:rPr>
            <w:noProof/>
            <w:webHidden/>
          </w:rPr>
          <w:fldChar w:fldCharType="separate"/>
        </w:r>
        <w:r w:rsidR="008D79A9">
          <w:rPr>
            <w:noProof/>
            <w:webHidden/>
          </w:rPr>
          <w:t>24</w:t>
        </w:r>
        <w:r>
          <w:rPr>
            <w:noProof/>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505" w:history="1">
        <w:r w:rsidR="0062724C" w:rsidRPr="00F704DA">
          <w:rPr>
            <w:rStyle w:val="Hyperlink"/>
            <w:noProof/>
          </w:rPr>
          <w:t>Appendix C - Customer Reliability Complaints</w:t>
        </w:r>
        <w:r w:rsidR="0062724C">
          <w:rPr>
            <w:noProof/>
            <w:webHidden/>
          </w:rPr>
          <w:tab/>
        </w:r>
        <w:r>
          <w:rPr>
            <w:noProof/>
            <w:webHidden/>
          </w:rPr>
          <w:fldChar w:fldCharType="begin"/>
        </w:r>
        <w:r w:rsidR="0062724C">
          <w:rPr>
            <w:noProof/>
            <w:webHidden/>
          </w:rPr>
          <w:instrText xml:space="preserve"> PAGEREF _Toc435692505 \h </w:instrText>
        </w:r>
        <w:r>
          <w:rPr>
            <w:noProof/>
            <w:webHidden/>
          </w:rPr>
        </w:r>
        <w:r>
          <w:rPr>
            <w:noProof/>
            <w:webHidden/>
          </w:rPr>
          <w:fldChar w:fldCharType="separate"/>
        </w:r>
        <w:r w:rsidR="008D79A9">
          <w:rPr>
            <w:noProof/>
            <w:webHidden/>
          </w:rPr>
          <w:t>26</w:t>
        </w:r>
        <w:r>
          <w:rPr>
            <w:noProof/>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506" w:history="1">
        <w:r w:rsidR="0062724C" w:rsidRPr="00F704DA">
          <w:rPr>
            <w:rStyle w:val="Hyperlink"/>
            <w:noProof/>
          </w:rPr>
          <w:t>Appendix D – SAIFI and SAIDI Historical Summary</w:t>
        </w:r>
        <w:r w:rsidR="0062724C">
          <w:rPr>
            <w:noProof/>
            <w:webHidden/>
          </w:rPr>
          <w:tab/>
        </w:r>
        <w:r>
          <w:rPr>
            <w:noProof/>
            <w:webHidden/>
          </w:rPr>
          <w:fldChar w:fldCharType="begin"/>
        </w:r>
        <w:r w:rsidR="0062724C">
          <w:rPr>
            <w:noProof/>
            <w:webHidden/>
          </w:rPr>
          <w:instrText xml:space="preserve"> PAGEREF _Toc435692506 \h </w:instrText>
        </w:r>
        <w:r>
          <w:rPr>
            <w:noProof/>
            <w:webHidden/>
          </w:rPr>
        </w:r>
        <w:r>
          <w:rPr>
            <w:noProof/>
            <w:webHidden/>
          </w:rPr>
          <w:fldChar w:fldCharType="separate"/>
        </w:r>
        <w:r w:rsidR="008D79A9">
          <w:rPr>
            <w:noProof/>
            <w:webHidden/>
          </w:rPr>
          <w:t>27</w:t>
        </w:r>
        <w:r>
          <w:rPr>
            <w:noProof/>
            <w:webHidden/>
          </w:rPr>
          <w:fldChar w:fldCharType="end"/>
        </w:r>
      </w:hyperlink>
    </w:p>
    <w:p w:rsidR="0062724C" w:rsidRDefault="00D76041">
      <w:pPr>
        <w:pStyle w:val="TOC1"/>
        <w:rPr>
          <w:rFonts w:asciiTheme="minorHAnsi" w:eastAsiaTheme="minorEastAsia" w:hAnsiTheme="minorHAnsi" w:cstheme="minorBidi"/>
          <w:b w:val="0"/>
          <w:caps w:val="0"/>
          <w:noProof/>
          <w:sz w:val="22"/>
          <w:szCs w:val="22"/>
        </w:rPr>
      </w:pPr>
      <w:hyperlink w:anchor="_Toc435692507" w:history="1">
        <w:r w:rsidR="0062724C" w:rsidRPr="00F704DA">
          <w:rPr>
            <w:rStyle w:val="Hyperlink"/>
            <w:noProof/>
          </w:rPr>
          <w:t>Appendix E – Service Quality Measures Report Card</w:t>
        </w:r>
        <w:r w:rsidR="0062724C">
          <w:rPr>
            <w:noProof/>
            <w:webHidden/>
          </w:rPr>
          <w:tab/>
        </w:r>
        <w:r>
          <w:rPr>
            <w:noProof/>
            <w:webHidden/>
          </w:rPr>
          <w:fldChar w:fldCharType="begin"/>
        </w:r>
        <w:r w:rsidR="0062724C">
          <w:rPr>
            <w:noProof/>
            <w:webHidden/>
          </w:rPr>
          <w:instrText xml:space="preserve"> PAGEREF _Toc435692507 \h </w:instrText>
        </w:r>
        <w:r>
          <w:rPr>
            <w:noProof/>
            <w:webHidden/>
          </w:rPr>
        </w:r>
        <w:r>
          <w:rPr>
            <w:noProof/>
            <w:webHidden/>
          </w:rPr>
          <w:fldChar w:fldCharType="separate"/>
        </w:r>
        <w:r w:rsidR="008D79A9">
          <w:rPr>
            <w:noProof/>
            <w:webHidden/>
          </w:rPr>
          <w:t>29</w:t>
        </w:r>
        <w:r>
          <w:rPr>
            <w:noProof/>
            <w:webHidden/>
          </w:rPr>
          <w:fldChar w:fldCharType="end"/>
        </w:r>
      </w:hyperlink>
    </w:p>
    <w:p w:rsidR="002D5929" w:rsidRDefault="00D76041" w:rsidP="005741C6">
      <w:pPr>
        <w:rPr>
          <w:rFonts w:ascii="Arial" w:hAnsi="Arial"/>
          <w:b/>
          <w:caps/>
        </w:rPr>
      </w:pPr>
      <w:r>
        <w:rPr>
          <w:rFonts w:ascii="Arial" w:hAnsi="Arial"/>
          <w:b/>
          <w:caps/>
        </w:rPr>
        <w:fldChar w:fldCharType="end"/>
      </w:r>
    </w:p>
    <w:p w:rsidR="00806319" w:rsidRPr="002D5929" w:rsidRDefault="00806319" w:rsidP="005741C6">
      <w:pPr>
        <w:sectPr w:rsidR="00806319" w:rsidRPr="002D5929" w:rsidSect="00F91972">
          <w:pgSz w:w="12240" w:h="15840" w:code="1"/>
          <w:pgMar w:top="1008" w:right="1008" w:bottom="1008" w:left="1008" w:header="720" w:footer="720" w:gutter="0"/>
          <w:pgNumType w:fmt="lowerRoman"/>
          <w:cols w:space="720"/>
          <w:titlePg/>
        </w:sectPr>
      </w:pPr>
    </w:p>
    <w:p w:rsidR="003A5969" w:rsidRDefault="00401324" w:rsidP="00BC678D">
      <w:pPr>
        <w:pStyle w:val="Heading1"/>
        <w:jc w:val="both"/>
      </w:pPr>
      <w:bookmarkStart w:id="2" w:name="_Toc98906745"/>
      <w:bookmarkStart w:id="3" w:name="_Toc165342416"/>
      <w:bookmarkStart w:id="4" w:name="_Toc193710975"/>
      <w:bookmarkStart w:id="5" w:name="_Toc227571566"/>
      <w:bookmarkStart w:id="6" w:name="_Toc435692476"/>
      <w:r>
        <w:lastRenderedPageBreak/>
        <w:t xml:space="preserve">Chapter 1 – </w:t>
      </w:r>
      <w:r w:rsidR="003A5969">
        <w:t>Introduction</w:t>
      </w:r>
      <w:bookmarkEnd w:id="1"/>
      <w:bookmarkEnd w:id="2"/>
      <w:bookmarkEnd w:id="3"/>
      <w:bookmarkEnd w:id="4"/>
      <w:bookmarkEnd w:id="5"/>
      <w:bookmarkEnd w:id="6"/>
    </w:p>
    <w:p w:rsidR="00401324" w:rsidRDefault="00401324" w:rsidP="00BC678D">
      <w:pPr>
        <w:jc w:val="both"/>
      </w:pPr>
    </w:p>
    <w:p w:rsidR="00401324" w:rsidRDefault="00C07887" w:rsidP="00BC678D">
      <w:pPr>
        <w:jc w:val="both"/>
      </w:pPr>
      <w:r>
        <w:t>Avista’s Service Quality and Reliability Repor</w:t>
      </w:r>
      <w:r w:rsidR="00E9193F">
        <w:t>t</w:t>
      </w:r>
      <w:r>
        <w:t xml:space="preserve"> </w:t>
      </w:r>
      <w:r w:rsidR="00E9193F">
        <w:t>details the annual results, from the prior calendar year, of the Company’s Service Quality Measures</w:t>
      </w:r>
      <w:r w:rsidR="004A4138">
        <w:t xml:space="preserve"> (SQM)</w:t>
      </w:r>
      <w:r w:rsidR="00E9193F">
        <w:t xml:space="preserve"> Program and overall electric reliability information as required by WAC 480-100-393 and 480-100-398.</w:t>
      </w:r>
      <w:r>
        <w:t xml:space="preserve"> </w:t>
      </w:r>
    </w:p>
    <w:p w:rsidR="009F3F2F" w:rsidRDefault="009F3F2F" w:rsidP="00BC678D">
      <w:pPr>
        <w:jc w:val="both"/>
      </w:pPr>
    </w:p>
    <w:p w:rsidR="009F3F2F" w:rsidRDefault="009F3F2F" w:rsidP="00BC678D">
      <w:pPr>
        <w:jc w:val="both"/>
      </w:pPr>
      <w:r>
        <w:t>The introduction will include a general overview of the Company’s electric and natural gas service profile.</w:t>
      </w:r>
    </w:p>
    <w:p w:rsidR="00F26E91" w:rsidRDefault="00F26E91" w:rsidP="00BC678D">
      <w:pPr>
        <w:pStyle w:val="Heading3"/>
        <w:jc w:val="both"/>
      </w:pPr>
    </w:p>
    <w:p w:rsidR="00401324" w:rsidRPr="00401324" w:rsidRDefault="00401324" w:rsidP="00BC678D">
      <w:pPr>
        <w:pStyle w:val="Heading3"/>
        <w:jc w:val="both"/>
      </w:pPr>
      <w:bookmarkStart w:id="7" w:name="_Toc435692477"/>
      <w:r w:rsidRPr="00401324">
        <w:t>Executive Summary</w:t>
      </w:r>
      <w:bookmarkEnd w:id="7"/>
    </w:p>
    <w:p w:rsidR="00B0179D" w:rsidRDefault="00B0179D" w:rsidP="00BC678D">
      <w:pPr>
        <w:jc w:val="both"/>
      </w:pPr>
    </w:p>
    <w:p w:rsidR="00401324" w:rsidRDefault="004A4138" w:rsidP="00BC678D">
      <w:pPr>
        <w:jc w:val="both"/>
      </w:pPr>
      <w:r>
        <w:t>The executive summary will provide highlights of the information included in the report.  Specifically, it will summarize the results of the SQM program and electric reliability information.</w:t>
      </w:r>
    </w:p>
    <w:p w:rsidR="00F26E91" w:rsidRDefault="00F26E91" w:rsidP="00BC678D">
      <w:pPr>
        <w:pStyle w:val="Heading3"/>
        <w:jc w:val="both"/>
      </w:pPr>
    </w:p>
    <w:p w:rsidR="00401324" w:rsidRDefault="00401324" w:rsidP="00BC678D">
      <w:pPr>
        <w:pStyle w:val="Heading3"/>
        <w:jc w:val="both"/>
      </w:pPr>
      <w:bookmarkStart w:id="8" w:name="_Toc435692478"/>
      <w:r w:rsidRPr="00401324">
        <w:t>Background</w:t>
      </w:r>
      <w:bookmarkEnd w:id="8"/>
    </w:p>
    <w:p w:rsidR="00401324" w:rsidRDefault="00401324" w:rsidP="00BC678D">
      <w:pPr>
        <w:jc w:val="both"/>
        <w:rPr>
          <w:b/>
        </w:rPr>
      </w:pPr>
    </w:p>
    <w:p w:rsidR="00712DE2" w:rsidRDefault="007A6784" w:rsidP="00BC678D">
      <w:pPr>
        <w:jc w:val="both"/>
      </w:pPr>
      <w:r>
        <w:t>Per WAC 480-</w:t>
      </w:r>
      <w:r w:rsidR="00734BAC">
        <w:t>100-398, Avista must submit an annual electric service reliability report to the Commission at least once per year.  Avista has selected to submit its annual report, known as its Service Quality and Reliability Report, on or before April 30</w:t>
      </w:r>
      <w:r w:rsidR="00734BAC" w:rsidRPr="00734BAC">
        <w:rPr>
          <w:vertAlign w:val="superscript"/>
        </w:rPr>
        <w:t>th</w:t>
      </w:r>
      <w:r w:rsidR="00734BAC">
        <w:t xml:space="preserve"> of each year.  This date allows the Company time to finalize results from the prior calendar year and put the report together.  As detailed in WAC 480-100-398, the contents of the report must include the following, at minimum:</w:t>
      </w:r>
    </w:p>
    <w:p w:rsidR="00734BAC" w:rsidRDefault="00734BAC" w:rsidP="00BC678D">
      <w:pPr>
        <w:jc w:val="both"/>
      </w:pPr>
    </w:p>
    <w:p w:rsidR="00734BAC" w:rsidRPr="00734BAC" w:rsidRDefault="00734BAC" w:rsidP="00BC678D">
      <w:pPr>
        <w:ind w:left="720" w:firstLine="360"/>
        <w:jc w:val="both"/>
        <w:rPr>
          <w:i/>
        </w:rPr>
      </w:pPr>
      <w:r w:rsidRPr="00734BAC">
        <w:rPr>
          <w:i/>
        </w:rPr>
        <w:t xml:space="preserve"> (1) The report must be consistent with the electric service reliability monitoring and reporting plan filed under WAC </w:t>
      </w:r>
      <w:hyperlink r:id="rId9" w:history="1">
        <w:r w:rsidRPr="00734BAC">
          <w:rPr>
            <w:rStyle w:val="Hyperlink"/>
            <w:i/>
          </w:rPr>
          <w:t>480-100-393</w:t>
        </w:r>
      </w:hyperlink>
      <w:r w:rsidRPr="00734BAC">
        <w:rPr>
          <w:i/>
        </w:rPr>
        <w:t>. As set forth in the plan, in an identified year, baseline reliability statistics must be established and reported. In subsequent years, new reliability statistics must be compared to the baseline reliability statistics and to reliability statistics from all intervening years. The utility must maintain historical reliability information necessary to show trends for a minimum of seven years.</w:t>
      </w:r>
    </w:p>
    <w:p w:rsidR="00734BAC" w:rsidRPr="00734BAC" w:rsidRDefault="00734BAC" w:rsidP="00BC678D">
      <w:pPr>
        <w:ind w:left="720" w:firstLine="360"/>
        <w:jc w:val="both"/>
        <w:rPr>
          <w:i/>
        </w:rPr>
      </w:pPr>
      <w:r w:rsidRPr="00734BAC">
        <w:rPr>
          <w:i/>
        </w:rPr>
        <w:t>(2) The report must address any changes that the utility may make in the collection of data and calculation of reliability information after initial baselines are set. The utility must explain why the changes occurred and explain how the change is expected to affect comparisons of the newer and older information. Additionally, to the extent practical, the utility must quantify the effect of such changes on the comparability of new reliability statistics to baseline reliability statistics.</w:t>
      </w:r>
    </w:p>
    <w:p w:rsidR="00734BAC" w:rsidRPr="00734BAC" w:rsidRDefault="00734BAC" w:rsidP="00BC678D">
      <w:pPr>
        <w:ind w:left="720" w:firstLine="360"/>
        <w:jc w:val="both"/>
        <w:rPr>
          <w:i/>
        </w:rPr>
      </w:pPr>
      <w:r w:rsidRPr="00734BAC">
        <w:rPr>
          <w:i/>
        </w:rPr>
        <w:t>(3) The report must identify the utility's geographic areas of greatest reliability concern, explain their causes, and explain how the utility plans to address them.</w:t>
      </w:r>
    </w:p>
    <w:p w:rsidR="00734BAC" w:rsidRPr="00734BAC" w:rsidRDefault="00734BAC" w:rsidP="00BC678D">
      <w:pPr>
        <w:ind w:left="720" w:firstLine="360"/>
        <w:jc w:val="both"/>
        <w:rPr>
          <w:i/>
        </w:rPr>
      </w:pPr>
      <w:r w:rsidRPr="00734BAC">
        <w:rPr>
          <w:i/>
        </w:rPr>
        <w:t>(4) The report must identify the total number of customer complaints about reliability and power quality made to the utility during the year, and must distinguish between complaints about sustained interruptions and power quality. The report must also identify complaints that were made about major events.</w:t>
      </w:r>
    </w:p>
    <w:p w:rsidR="00734BAC" w:rsidRPr="007A6784" w:rsidRDefault="00734BAC" w:rsidP="00BC678D">
      <w:pPr>
        <w:jc w:val="both"/>
      </w:pPr>
    </w:p>
    <w:p w:rsidR="00F26E91" w:rsidRDefault="00F26E91" w:rsidP="00BC678D">
      <w:pPr>
        <w:pStyle w:val="Heading3"/>
        <w:jc w:val="both"/>
      </w:pPr>
    </w:p>
    <w:p w:rsidR="00401324" w:rsidRDefault="00401324" w:rsidP="00BC678D">
      <w:pPr>
        <w:pStyle w:val="Heading3"/>
        <w:jc w:val="both"/>
      </w:pPr>
      <w:bookmarkStart w:id="9" w:name="_Toc435692479"/>
      <w:r>
        <w:t xml:space="preserve">Service Quality </w:t>
      </w:r>
      <w:r w:rsidR="0017039F">
        <w:t xml:space="preserve">Measures </w:t>
      </w:r>
      <w:r>
        <w:t>Program</w:t>
      </w:r>
      <w:bookmarkEnd w:id="9"/>
    </w:p>
    <w:p w:rsidR="00401324" w:rsidRDefault="00401324" w:rsidP="00BC678D">
      <w:pPr>
        <w:jc w:val="both"/>
        <w:rPr>
          <w:b/>
        </w:rPr>
      </w:pPr>
    </w:p>
    <w:p w:rsidR="00C07887" w:rsidRDefault="004737F1" w:rsidP="00BC678D">
      <w:pPr>
        <w:jc w:val="both"/>
      </w:pPr>
      <w:r>
        <w:t>This section will provide a summary of the results of the SQM Program for the prior calendar year.</w:t>
      </w:r>
    </w:p>
    <w:p w:rsidR="00813D8F" w:rsidRDefault="00813D8F" w:rsidP="00903390"/>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813D8F" w:rsidRPr="00813D8F" w:rsidTr="004764A4">
        <w:trPr>
          <w:trHeight w:val="315"/>
        </w:trPr>
        <w:tc>
          <w:tcPr>
            <w:tcW w:w="5178" w:type="dxa"/>
            <w:shd w:val="clear" w:color="000000" w:fill="BFBFBF"/>
            <w:vAlign w:val="bottom"/>
            <w:hideMark/>
          </w:tcPr>
          <w:p w:rsidR="00813D8F" w:rsidRPr="00813D8F" w:rsidRDefault="00813D8F" w:rsidP="00813D8F">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813D8F" w:rsidRPr="00813D8F" w:rsidRDefault="00813D8F" w:rsidP="00813D8F">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813D8F" w:rsidRPr="00813D8F" w:rsidRDefault="00813D8F" w:rsidP="004764A4">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813D8F" w:rsidRPr="00813D8F" w:rsidRDefault="00813D8F" w:rsidP="004764A4">
            <w:pPr>
              <w:jc w:val="center"/>
              <w:rPr>
                <w:rFonts w:ascii="Calibri" w:hAnsi="Calibri"/>
                <w:b/>
                <w:bCs/>
                <w:color w:val="000000"/>
                <w:szCs w:val="24"/>
              </w:rPr>
            </w:pPr>
            <w:r w:rsidRPr="00813D8F">
              <w:rPr>
                <w:rFonts w:ascii="Calibri" w:hAnsi="Calibri"/>
                <w:b/>
                <w:bCs/>
                <w:color w:val="000000"/>
                <w:szCs w:val="24"/>
              </w:rPr>
              <w:t>Achieved</w:t>
            </w:r>
          </w:p>
        </w:tc>
      </w:tr>
      <w:tr w:rsidR="00813D8F" w:rsidRPr="00813D8F" w:rsidTr="004764A4">
        <w:trPr>
          <w:trHeight w:val="630"/>
        </w:trPr>
        <w:tc>
          <w:tcPr>
            <w:tcW w:w="5178" w:type="dxa"/>
            <w:shd w:val="clear" w:color="auto" w:fill="auto"/>
            <w:vAlign w:val="center"/>
            <w:hideMark/>
          </w:tcPr>
          <w:p w:rsidR="00813D8F" w:rsidRPr="00813D8F" w:rsidRDefault="00813D8F" w:rsidP="00813D8F">
            <w:pPr>
              <w:rPr>
                <w:rFonts w:ascii="Calibri" w:hAnsi="Calibri"/>
                <w:color w:val="000000"/>
                <w:szCs w:val="24"/>
              </w:rPr>
            </w:pPr>
            <w:r w:rsidRPr="00813D8F">
              <w:rPr>
                <w:rFonts w:ascii="Calibri" w:hAnsi="Calibri"/>
                <w:color w:val="000000"/>
                <w:szCs w:val="24"/>
              </w:rPr>
              <w:t>Percent of customers satisfied with our Contact Center services, based on survey results</w:t>
            </w:r>
          </w:p>
        </w:tc>
        <w:tc>
          <w:tcPr>
            <w:tcW w:w="1793" w:type="dxa"/>
            <w:shd w:val="clear" w:color="auto" w:fill="auto"/>
            <w:vAlign w:val="center"/>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At least 90%</w:t>
            </w:r>
          </w:p>
        </w:tc>
        <w:tc>
          <w:tcPr>
            <w:tcW w:w="1504" w:type="dxa"/>
            <w:shd w:val="clear" w:color="auto" w:fill="auto"/>
            <w:noWrap/>
            <w:vAlign w:val="center"/>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center"/>
            <w:hideMark/>
          </w:tcPr>
          <w:p w:rsidR="00813D8F" w:rsidRPr="00813D8F" w:rsidRDefault="00813D8F" w:rsidP="004764A4">
            <w:pPr>
              <w:jc w:val="center"/>
              <w:rPr>
                <w:rFonts w:ascii="Calibri" w:hAnsi="Calibri"/>
                <w:color w:val="000000"/>
                <w:szCs w:val="24"/>
              </w:rPr>
            </w:pPr>
          </w:p>
        </w:tc>
      </w:tr>
      <w:tr w:rsidR="00813D8F" w:rsidRPr="00813D8F" w:rsidTr="004764A4">
        <w:trPr>
          <w:trHeight w:val="630"/>
        </w:trPr>
        <w:tc>
          <w:tcPr>
            <w:tcW w:w="5178" w:type="dxa"/>
            <w:shd w:val="clear" w:color="auto" w:fill="auto"/>
            <w:vAlign w:val="center"/>
            <w:hideMark/>
          </w:tcPr>
          <w:p w:rsidR="00813D8F" w:rsidRPr="00813D8F" w:rsidRDefault="00813D8F" w:rsidP="00813D8F">
            <w:pPr>
              <w:rPr>
                <w:rFonts w:ascii="Calibri" w:hAnsi="Calibri"/>
                <w:color w:val="000000"/>
                <w:szCs w:val="24"/>
              </w:rPr>
            </w:pPr>
            <w:r w:rsidRPr="00813D8F">
              <w:rPr>
                <w:rFonts w:ascii="Calibri" w:hAnsi="Calibri"/>
                <w:color w:val="000000"/>
                <w:szCs w:val="24"/>
              </w:rPr>
              <w:t>Percent of customers satisfied with field services, based on survey results</w:t>
            </w:r>
          </w:p>
        </w:tc>
        <w:tc>
          <w:tcPr>
            <w:tcW w:w="1793" w:type="dxa"/>
            <w:shd w:val="clear" w:color="auto" w:fill="auto"/>
            <w:vAlign w:val="center"/>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At least 90%</w:t>
            </w:r>
          </w:p>
        </w:tc>
        <w:tc>
          <w:tcPr>
            <w:tcW w:w="1504" w:type="dxa"/>
            <w:shd w:val="clear" w:color="auto" w:fill="auto"/>
            <w:noWrap/>
            <w:vAlign w:val="bottom"/>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bottom"/>
            <w:hideMark/>
          </w:tcPr>
          <w:p w:rsidR="00813D8F" w:rsidRPr="00813D8F" w:rsidRDefault="00813D8F" w:rsidP="004764A4">
            <w:pPr>
              <w:jc w:val="center"/>
              <w:rPr>
                <w:rFonts w:ascii="Calibri" w:hAnsi="Calibri"/>
                <w:color w:val="000000"/>
                <w:szCs w:val="24"/>
              </w:rPr>
            </w:pPr>
          </w:p>
        </w:tc>
      </w:tr>
      <w:tr w:rsidR="00813D8F" w:rsidRPr="00813D8F" w:rsidTr="004764A4">
        <w:trPr>
          <w:trHeight w:val="315"/>
        </w:trPr>
        <w:tc>
          <w:tcPr>
            <w:tcW w:w="5178" w:type="dxa"/>
            <w:shd w:val="clear" w:color="auto" w:fill="auto"/>
            <w:vAlign w:val="bottom"/>
            <w:hideMark/>
          </w:tcPr>
          <w:p w:rsidR="00813D8F" w:rsidRPr="00813D8F" w:rsidRDefault="00813D8F" w:rsidP="00813D8F">
            <w:pPr>
              <w:rPr>
                <w:rFonts w:ascii="Calibri" w:hAnsi="Calibri"/>
                <w:color w:val="000000"/>
                <w:szCs w:val="24"/>
              </w:rPr>
            </w:pPr>
            <w:r w:rsidRPr="00813D8F">
              <w:rPr>
                <w:rFonts w:ascii="Calibri" w:hAnsi="Calibri"/>
                <w:color w:val="000000"/>
                <w:szCs w:val="24"/>
              </w:rPr>
              <w:t>Number of complaints to the WUTC per 1,000 customers, per year</w:t>
            </w:r>
          </w:p>
        </w:tc>
        <w:tc>
          <w:tcPr>
            <w:tcW w:w="1793" w:type="dxa"/>
            <w:shd w:val="clear" w:color="auto" w:fill="auto"/>
            <w:vAlign w:val="bottom"/>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Less than 0.40</w:t>
            </w:r>
          </w:p>
        </w:tc>
        <w:tc>
          <w:tcPr>
            <w:tcW w:w="1504" w:type="dxa"/>
            <w:shd w:val="clear" w:color="auto" w:fill="auto"/>
            <w:noWrap/>
            <w:vAlign w:val="bottom"/>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bottom"/>
            <w:hideMark/>
          </w:tcPr>
          <w:p w:rsidR="00813D8F" w:rsidRPr="00813D8F" w:rsidRDefault="00813D8F" w:rsidP="004764A4">
            <w:pPr>
              <w:jc w:val="center"/>
              <w:rPr>
                <w:rFonts w:ascii="Calibri" w:hAnsi="Calibri"/>
                <w:color w:val="000000"/>
                <w:szCs w:val="24"/>
              </w:rPr>
            </w:pPr>
          </w:p>
        </w:tc>
      </w:tr>
      <w:tr w:rsidR="00813D8F" w:rsidRPr="00813D8F" w:rsidTr="004764A4">
        <w:trPr>
          <w:trHeight w:val="630"/>
        </w:trPr>
        <w:tc>
          <w:tcPr>
            <w:tcW w:w="5178" w:type="dxa"/>
            <w:shd w:val="clear" w:color="auto" w:fill="auto"/>
            <w:vAlign w:val="bottom"/>
            <w:hideMark/>
          </w:tcPr>
          <w:p w:rsidR="00813D8F" w:rsidRPr="00813D8F" w:rsidRDefault="00813D8F" w:rsidP="00813D8F">
            <w:pPr>
              <w:rPr>
                <w:rFonts w:ascii="Calibri" w:hAnsi="Calibri"/>
                <w:color w:val="000000"/>
                <w:szCs w:val="24"/>
              </w:rPr>
            </w:pPr>
            <w:r w:rsidRPr="00813D8F">
              <w:rPr>
                <w:rFonts w:ascii="Calibri" w:hAnsi="Calibri"/>
                <w:color w:val="000000"/>
                <w:szCs w:val="24"/>
              </w:rPr>
              <w:t>Percent of calls answered live within 60 seconds by our Contact Center</w:t>
            </w:r>
          </w:p>
        </w:tc>
        <w:tc>
          <w:tcPr>
            <w:tcW w:w="1793" w:type="dxa"/>
            <w:shd w:val="clear" w:color="auto" w:fill="auto"/>
            <w:vAlign w:val="bottom"/>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At least 80%</w:t>
            </w:r>
          </w:p>
        </w:tc>
        <w:tc>
          <w:tcPr>
            <w:tcW w:w="1504" w:type="dxa"/>
            <w:shd w:val="clear" w:color="auto" w:fill="auto"/>
            <w:noWrap/>
            <w:vAlign w:val="bottom"/>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bottom"/>
            <w:hideMark/>
          </w:tcPr>
          <w:p w:rsidR="00813D8F" w:rsidRPr="00813D8F" w:rsidRDefault="00813D8F" w:rsidP="004764A4">
            <w:pPr>
              <w:jc w:val="center"/>
              <w:rPr>
                <w:rFonts w:ascii="Calibri" w:hAnsi="Calibri"/>
                <w:color w:val="000000"/>
                <w:szCs w:val="24"/>
              </w:rPr>
            </w:pPr>
          </w:p>
        </w:tc>
      </w:tr>
      <w:tr w:rsidR="00813D8F" w:rsidRPr="00813D8F" w:rsidTr="004764A4">
        <w:trPr>
          <w:trHeight w:val="630"/>
        </w:trPr>
        <w:tc>
          <w:tcPr>
            <w:tcW w:w="5178" w:type="dxa"/>
            <w:shd w:val="clear" w:color="auto" w:fill="auto"/>
            <w:vAlign w:val="bottom"/>
            <w:hideMark/>
          </w:tcPr>
          <w:p w:rsidR="00813D8F" w:rsidRPr="00813D8F" w:rsidRDefault="00813D8F" w:rsidP="00813D8F">
            <w:pPr>
              <w:rPr>
                <w:rFonts w:ascii="Calibri" w:hAnsi="Calibri"/>
                <w:color w:val="000000"/>
                <w:szCs w:val="24"/>
              </w:rPr>
            </w:pPr>
            <w:r w:rsidRPr="00813D8F">
              <w:rPr>
                <w:rFonts w:ascii="Calibri" w:hAnsi="Calibri"/>
                <w:color w:val="000000"/>
                <w:szCs w:val="24"/>
              </w:rPr>
              <w:t>Average time from customer call to arrival of field technicians in response to electric system emergencies, per year</w:t>
            </w:r>
          </w:p>
        </w:tc>
        <w:tc>
          <w:tcPr>
            <w:tcW w:w="1793" w:type="dxa"/>
            <w:shd w:val="clear" w:color="auto" w:fill="auto"/>
            <w:vAlign w:val="bottom"/>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No more than 80 minutes</w:t>
            </w:r>
          </w:p>
        </w:tc>
        <w:tc>
          <w:tcPr>
            <w:tcW w:w="1504" w:type="dxa"/>
            <w:shd w:val="clear" w:color="auto" w:fill="auto"/>
            <w:noWrap/>
            <w:vAlign w:val="bottom"/>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bottom"/>
            <w:hideMark/>
          </w:tcPr>
          <w:p w:rsidR="00813D8F" w:rsidRPr="00813D8F" w:rsidRDefault="00813D8F" w:rsidP="004764A4">
            <w:pPr>
              <w:jc w:val="center"/>
              <w:rPr>
                <w:rFonts w:ascii="Calibri" w:hAnsi="Calibri"/>
                <w:color w:val="000000"/>
                <w:szCs w:val="24"/>
              </w:rPr>
            </w:pPr>
          </w:p>
        </w:tc>
      </w:tr>
      <w:tr w:rsidR="00813D8F" w:rsidRPr="00813D8F" w:rsidTr="004764A4">
        <w:trPr>
          <w:trHeight w:val="645"/>
        </w:trPr>
        <w:tc>
          <w:tcPr>
            <w:tcW w:w="5178" w:type="dxa"/>
            <w:shd w:val="clear" w:color="auto" w:fill="auto"/>
            <w:vAlign w:val="bottom"/>
            <w:hideMark/>
          </w:tcPr>
          <w:p w:rsidR="00813D8F" w:rsidRPr="00813D8F" w:rsidRDefault="00813D8F" w:rsidP="00813D8F">
            <w:pPr>
              <w:rPr>
                <w:rFonts w:ascii="Calibri" w:hAnsi="Calibri"/>
                <w:color w:val="000000"/>
                <w:szCs w:val="24"/>
              </w:rPr>
            </w:pPr>
            <w:r w:rsidRPr="00813D8F">
              <w:rPr>
                <w:rFonts w:ascii="Calibri" w:hAnsi="Calibri"/>
                <w:color w:val="000000"/>
                <w:szCs w:val="24"/>
              </w:rPr>
              <w:t>Average time from customer call to arrival of field technicians in response to natural gas system emergencies, per year</w:t>
            </w:r>
          </w:p>
        </w:tc>
        <w:tc>
          <w:tcPr>
            <w:tcW w:w="1793" w:type="dxa"/>
            <w:shd w:val="clear" w:color="auto" w:fill="auto"/>
            <w:vAlign w:val="bottom"/>
            <w:hideMark/>
          </w:tcPr>
          <w:p w:rsidR="00813D8F" w:rsidRPr="00813D8F" w:rsidRDefault="00813D8F" w:rsidP="00813D8F">
            <w:pPr>
              <w:jc w:val="center"/>
              <w:rPr>
                <w:rFonts w:ascii="Calibri" w:hAnsi="Calibri"/>
                <w:color w:val="000000"/>
                <w:szCs w:val="24"/>
              </w:rPr>
            </w:pPr>
            <w:r w:rsidRPr="00813D8F">
              <w:rPr>
                <w:rFonts w:ascii="Calibri" w:hAnsi="Calibri"/>
                <w:color w:val="000000"/>
                <w:szCs w:val="24"/>
              </w:rPr>
              <w:t>No more than 55 minutes</w:t>
            </w:r>
          </w:p>
        </w:tc>
        <w:tc>
          <w:tcPr>
            <w:tcW w:w="1504" w:type="dxa"/>
            <w:shd w:val="clear" w:color="auto" w:fill="auto"/>
            <w:noWrap/>
            <w:vAlign w:val="bottom"/>
            <w:hideMark/>
          </w:tcPr>
          <w:p w:rsidR="00813D8F" w:rsidRPr="00813D8F" w:rsidRDefault="00813D8F" w:rsidP="004764A4">
            <w:pPr>
              <w:jc w:val="center"/>
              <w:rPr>
                <w:rFonts w:ascii="Calibri" w:hAnsi="Calibri"/>
                <w:color w:val="000000"/>
                <w:szCs w:val="24"/>
              </w:rPr>
            </w:pPr>
          </w:p>
        </w:tc>
        <w:tc>
          <w:tcPr>
            <w:tcW w:w="1350" w:type="dxa"/>
            <w:shd w:val="clear" w:color="auto" w:fill="auto"/>
            <w:noWrap/>
            <w:vAlign w:val="bottom"/>
            <w:hideMark/>
          </w:tcPr>
          <w:p w:rsidR="00813D8F" w:rsidRPr="00813D8F" w:rsidRDefault="00813D8F" w:rsidP="004764A4">
            <w:pPr>
              <w:jc w:val="center"/>
              <w:rPr>
                <w:rFonts w:ascii="Calibri" w:hAnsi="Calibri"/>
                <w:color w:val="000000"/>
                <w:szCs w:val="24"/>
              </w:rPr>
            </w:pPr>
          </w:p>
        </w:tc>
      </w:tr>
    </w:tbl>
    <w:p w:rsidR="00813D8F" w:rsidRPr="00C07887" w:rsidRDefault="00813D8F" w:rsidP="00903390"/>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0"/>
        <w:gridCol w:w="1495"/>
        <w:gridCol w:w="1530"/>
      </w:tblGrid>
      <w:tr w:rsidR="004764A4" w:rsidRPr="004764A4" w:rsidTr="004764A4">
        <w:trPr>
          <w:trHeight w:val="315"/>
        </w:trPr>
        <w:tc>
          <w:tcPr>
            <w:tcW w:w="6800" w:type="dxa"/>
            <w:shd w:val="clear" w:color="000000" w:fill="BFBFBF"/>
            <w:vAlign w:val="bottom"/>
            <w:hideMark/>
          </w:tcPr>
          <w:p w:rsidR="004764A4" w:rsidRPr="004764A4" w:rsidRDefault="004764A4" w:rsidP="004764A4">
            <w:pPr>
              <w:rPr>
                <w:rFonts w:ascii="Calibri" w:hAnsi="Calibri"/>
                <w:b/>
                <w:bCs/>
                <w:color w:val="000000"/>
                <w:szCs w:val="24"/>
              </w:rPr>
            </w:pPr>
            <w:r w:rsidRPr="004764A4">
              <w:rPr>
                <w:rFonts w:ascii="Calibri" w:hAnsi="Calibri"/>
                <w:b/>
                <w:bCs/>
                <w:color w:val="000000"/>
                <w:szCs w:val="24"/>
              </w:rPr>
              <w:t xml:space="preserve">Electric System Reliability  </w:t>
            </w:r>
          </w:p>
        </w:tc>
        <w:tc>
          <w:tcPr>
            <w:tcW w:w="1495" w:type="dxa"/>
            <w:shd w:val="clear" w:color="000000" w:fill="BFBFBF"/>
            <w:vAlign w:val="bottom"/>
            <w:hideMark/>
          </w:tcPr>
          <w:p w:rsidR="004764A4" w:rsidRPr="004764A4" w:rsidRDefault="004764A4" w:rsidP="004764A4">
            <w:pPr>
              <w:jc w:val="center"/>
              <w:rPr>
                <w:rFonts w:ascii="Calibri" w:hAnsi="Calibri"/>
                <w:b/>
                <w:bCs/>
                <w:color w:val="000000"/>
                <w:szCs w:val="24"/>
              </w:rPr>
            </w:pPr>
            <w:r w:rsidRPr="004764A4">
              <w:rPr>
                <w:rFonts w:ascii="Calibri" w:hAnsi="Calibri"/>
                <w:b/>
                <w:bCs/>
                <w:color w:val="000000"/>
                <w:szCs w:val="24"/>
              </w:rPr>
              <w:t>5-Year Avg</w:t>
            </w:r>
            <w:r>
              <w:rPr>
                <w:rFonts w:ascii="Calibri" w:hAnsi="Calibri"/>
                <w:b/>
                <w:bCs/>
                <w:color w:val="000000"/>
                <w:szCs w:val="24"/>
              </w:rPr>
              <w:t>.</w:t>
            </w:r>
          </w:p>
        </w:tc>
        <w:tc>
          <w:tcPr>
            <w:tcW w:w="1530" w:type="dxa"/>
            <w:shd w:val="clear" w:color="000000" w:fill="BFBFBF"/>
            <w:vAlign w:val="bottom"/>
            <w:hideMark/>
          </w:tcPr>
          <w:p w:rsidR="004764A4" w:rsidRPr="004764A4" w:rsidRDefault="004764A4" w:rsidP="004764A4">
            <w:pPr>
              <w:jc w:val="center"/>
              <w:rPr>
                <w:rFonts w:ascii="Calibri" w:hAnsi="Calibri"/>
                <w:b/>
                <w:bCs/>
                <w:color w:val="000000"/>
                <w:szCs w:val="24"/>
              </w:rPr>
            </w:pPr>
            <w:r w:rsidRPr="004764A4">
              <w:rPr>
                <w:rFonts w:ascii="Calibri" w:hAnsi="Calibri"/>
                <w:b/>
                <w:bCs/>
                <w:color w:val="000000"/>
                <w:szCs w:val="24"/>
              </w:rPr>
              <w:t>20XX Result</w:t>
            </w:r>
          </w:p>
        </w:tc>
      </w:tr>
      <w:tr w:rsidR="004764A4" w:rsidRPr="004764A4" w:rsidTr="004764A4">
        <w:trPr>
          <w:trHeight w:val="630"/>
        </w:trPr>
        <w:tc>
          <w:tcPr>
            <w:tcW w:w="6800" w:type="dxa"/>
            <w:shd w:val="clear" w:color="auto" w:fill="auto"/>
            <w:vAlign w:val="bottom"/>
            <w:hideMark/>
          </w:tcPr>
          <w:p w:rsidR="004764A4" w:rsidRPr="004764A4" w:rsidRDefault="004764A4" w:rsidP="004764A4">
            <w:pPr>
              <w:rPr>
                <w:rFonts w:ascii="Calibri" w:hAnsi="Calibri"/>
                <w:color w:val="000000"/>
                <w:szCs w:val="24"/>
              </w:rPr>
            </w:pPr>
            <w:r w:rsidRPr="004764A4">
              <w:rPr>
                <w:rFonts w:ascii="Calibri" w:hAnsi="Calibri"/>
                <w:color w:val="000000"/>
                <w:szCs w:val="24"/>
              </w:rPr>
              <w:t>Frequency of non-major-storm power interruptions, per year, per customer</w:t>
            </w:r>
          </w:p>
        </w:tc>
        <w:tc>
          <w:tcPr>
            <w:tcW w:w="1495" w:type="dxa"/>
            <w:shd w:val="clear" w:color="auto" w:fill="auto"/>
            <w:vAlign w:val="bottom"/>
            <w:hideMark/>
          </w:tcPr>
          <w:p w:rsidR="004764A4" w:rsidRPr="004764A4" w:rsidRDefault="004764A4" w:rsidP="004764A4">
            <w:pPr>
              <w:jc w:val="center"/>
              <w:rPr>
                <w:rFonts w:ascii="Calibri" w:hAnsi="Calibri"/>
                <w:color w:val="000000"/>
                <w:szCs w:val="24"/>
              </w:rPr>
            </w:pPr>
            <w:r w:rsidRPr="004764A4">
              <w:rPr>
                <w:rFonts w:ascii="Calibri" w:hAnsi="Calibri"/>
                <w:color w:val="000000"/>
                <w:szCs w:val="24"/>
              </w:rPr>
              <w:t> </w:t>
            </w:r>
          </w:p>
        </w:tc>
        <w:tc>
          <w:tcPr>
            <w:tcW w:w="1530" w:type="dxa"/>
            <w:shd w:val="clear" w:color="auto" w:fill="auto"/>
            <w:noWrap/>
            <w:vAlign w:val="bottom"/>
            <w:hideMark/>
          </w:tcPr>
          <w:p w:rsidR="004764A4" w:rsidRPr="004764A4" w:rsidRDefault="004764A4" w:rsidP="004764A4">
            <w:pPr>
              <w:jc w:val="center"/>
              <w:rPr>
                <w:rFonts w:ascii="Calibri" w:hAnsi="Calibri"/>
                <w:color w:val="000000"/>
                <w:szCs w:val="24"/>
              </w:rPr>
            </w:pPr>
            <w:r w:rsidRPr="004764A4">
              <w:rPr>
                <w:rFonts w:ascii="Calibri" w:hAnsi="Calibri"/>
                <w:color w:val="000000"/>
                <w:szCs w:val="24"/>
              </w:rPr>
              <w:t> </w:t>
            </w:r>
          </w:p>
        </w:tc>
      </w:tr>
      <w:tr w:rsidR="004764A4" w:rsidRPr="004764A4" w:rsidTr="004764A4">
        <w:trPr>
          <w:trHeight w:val="330"/>
        </w:trPr>
        <w:tc>
          <w:tcPr>
            <w:tcW w:w="6800" w:type="dxa"/>
            <w:shd w:val="clear" w:color="auto" w:fill="auto"/>
            <w:vAlign w:val="bottom"/>
            <w:hideMark/>
          </w:tcPr>
          <w:p w:rsidR="004764A4" w:rsidRPr="004764A4" w:rsidRDefault="004764A4" w:rsidP="004764A4">
            <w:pPr>
              <w:rPr>
                <w:rFonts w:ascii="Calibri" w:hAnsi="Calibri"/>
                <w:color w:val="000000"/>
                <w:szCs w:val="24"/>
              </w:rPr>
            </w:pPr>
            <w:r w:rsidRPr="004764A4">
              <w:rPr>
                <w:rFonts w:ascii="Calibri" w:hAnsi="Calibri"/>
                <w:color w:val="000000"/>
                <w:szCs w:val="24"/>
              </w:rPr>
              <w:t>Length of power outages per year, per customer</w:t>
            </w:r>
          </w:p>
        </w:tc>
        <w:tc>
          <w:tcPr>
            <w:tcW w:w="1495" w:type="dxa"/>
            <w:shd w:val="clear" w:color="auto" w:fill="auto"/>
            <w:vAlign w:val="bottom"/>
            <w:hideMark/>
          </w:tcPr>
          <w:p w:rsidR="004764A4" w:rsidRPr="004764A4" w:rsidRDefault="004764A4" w:rsidP="004764A4">
            <w:pPr>
              <w:jc w:val="center"/>
              <w:rPr>
                <w:rFonts w:ascii="Calibri" w:hAnsi="Calibri"/>
                <w:color w:val="000000"/>
                <w:szCs w:val="24"/>
              </w:rPr>
            </w:pPr>
            <w:r w:rsidRPr="004764A4">
              <w:rPr>
                <w:rFonts w:ascii="Calibri" w:hAnsi="Calibri"/>
                <w:color w:val="000000"/>
                <w:szCs w:val="24"/>
              </w:rPr>
              <w:t> </w:t>
            </w:r>
          </w:p>
        </w:tc>
        <w:tc>
          <w:tcPr>
            <w:tcW w:w="1530" w:type="dxa"/>
            <w:shd w:val="clear" w:color="auto" w:fill="auto"/>
            <w:noWrap/>
            <w:vAlign w:val="bottom"/>
            <w:hideMark/>
          </w:tcPr>
          <w:p w:rsidR="004764A4" w:rsidRPr="004764A4" w:rsidRDefault="004764A4" w:rsidP="004764A4">
            <w:pPr>
              <w:jc w:val="center"/>
              <w:rPr>
                <w:rFonts w:ascii="Calibri" w:hAnsi="Calibri"/>
                <w:color w:val="000000"/>
                <w:szCs w:val="24"/>
              </w:rPr>
            </w:pPr>
            <w:r w:rsidRPr="004764A4">
              <w:rPr>
                <w:rFonts w:ascii="Calibri" w:hAnsi="Calibri"/>
                <w:color w:val="000000"/>
                <w:szCs w:val="24"/>
              </w:rPr>
              <w:t> </w:t>
            </w:r>
          </w:p>
        </w:tc>
      </w:tr>
    </w:tbl>
    <w:p w:rsidR="00401324" w:rsidRDefault="00401324" w:rsidP="00903390">
      <w:pPr>
        <w:rPr>
          <w:b/>
        </w:rPr>
      </w:pPr>
    </w:p>
    <w:tbl>
      <w:tblPr>
        <w:tblW w:w="9825" w:type="dxa"/>
        <w:tblInd w:w="93" w:type="dxa"/>
        <w:tblLook w:val="04A0"/>
      </w:tblPr>
      <w:tblGrid>
        <w:gridCol w:w="5145"/>
        <w:gridCol w:w="1800"/>
        <w:gridCol w:w="1530"/>
        <w:gridCol w:w="1350"/>
      </w:tblGrid>
      <w:tr w:rsidR="00FA3ED5" w:rsidRPr="00FA3ED5" w:rsidTr="00FA3ED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FA3ED5" w:rsidRPr="00FA3ED5" w:rsidRDefault="00FA3ED5" w:rsidP="00FA3ED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FA3ED5" w:rsidRPr="00FA3ED5" w:rsidRDefault="00FA3ED5" w:rsidP="00FA3ED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FA3ED5" w:rsidRPr="00FA3ED5" w:rsidRDefault="00FA3ED5" w:rsidP="00FA3ED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FA3ED5" w:rsidRPr="00FA3ED5" w:rsidRDefault="00FA3ED5" w:rsidP="00FA3ED5">
            <w:pPr>
              <w:jc w:val="center"/>
              <w:rPr>
                <w:rFonts w:ascii="Calibri" w:hAnsi="Calibri"/>
                <w:b/>
                <w:bCs/>
                <w:color w:val="000000"/>
                <w:szCs w:val="24"/>
              </w:rPr>
            </w:pPr>
            <w:r w:rsidRPr="00FA3ED5">
              <w:rPr>
                <w:rFonts w:ascii="Calibri" w:hAnsi="Calibri"/>
                <w:b/>
                <w:bCs/>
                <w:color w:val="000000"/>
                <w:szCs w:val="24"/>
              </w:rPr>
              <w:t>$$ Paid</w:t>
            </w:r>
          </w:p>
        </w:tc>
      </w:tr>
      <w:tr w:rsidR="00FA3ED5" w:rsidRPr="00FA3ED5" w:rsidTr="00FA3ED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 xml:space="preserve">Electric &amp; Natural Gas service appointments </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Electric outage restoration within 24 hours of notification from Customer, excluding major events</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Switch on power within one business day of request</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Provide cost estimate for new electric or natural gas supply within 10 business days</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Investigate and respond to billing inquiries with 10 business days</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Investigate customer-reported problems with a meter, or conduct a meter test, and report results within 20 business days</w:t>
            </w:r>
          </w:p>
        </w:tc>
        <w:tc>
          <w:tcPr>
            <w:tcW w:w="1800" w:type="dxa"/>
            <w:tcBorders>
              <w:top w:val="nil"/>
              <w:left w:val="nil"/>
              <w:bottom w:val="single" w:sz="4"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r w:rsidR="00FA3ED5" w:rsidRPr="00FA3ED5" w:rsidTr="00FA3ED5">
        <w:trPr>
          <w:trHeight w:val="645"/>
        </w:trPr>
        <w:tc>
          <w:tcPr>
            <w:tcW w:w="5145" w:type="dxa"/>
            <w:tcBorders>
              <w:top w:val="nil"/>
              <w:left w:val="single" w:sz="8" w:space="0" w:color="auto"/>
              <w:bottom w:val="single" w:sz="8" w:space="0" w:color="auto"/>
              <w:right w:val="single" w:sz="4" w:space="0" w:color="auto"/>
            </w:tcBorders>
            <w:shd w:val="clear" w:color="auto" w:fill="auto"/>
            <w:vAlign w:val="bottom"/>
            <w:hideMark/>
          </w:tcPr>
          <w:p w:rsidR="00FA3ED5" w:rsidRPr="00FA3ED5" w:rsidRDefault="00FA3ED5" w:rsidP="00FA3ED5">
            <w:pPr>
              <w:rPr>
                <w:rFonts w:ascii="Calibri" w:hAnsi="Calibri"/>
                <w:color w:val="000000"/>
                <w:szCs w:val="24"/>
              </w:rPr>
            </w:pPr>
            <w:r w:rsidRPr="00FA3ED5">
              <w:rPr>
                <w:rFonts w:ascii="Calibri" w:hAnsi="Calibri"/>
                <w:color w:val="000000"/>
                <w:szCs w:val="24"/>
              </w:rPr>
              <w:t>Provide notification at least 24 hours in advance of disconnecting service for scheduled electric interruptions</w:t>
            </w:r>
          </w:p>
        </w:tc>
        <w:tc>
          <w:tcPr>
            <w:tcW w:w="1800" w:type="dxa"/>
            <w:tcBorders>
              <w:top w:val="nil"/>
              <w:left w:val="nil"/>
              <w:bottom w:val="single" w:sz="8" w:space="0" w:color="auto"/>
              <w:right w:val="single" w:sz="4" w:space="0" w:color="auto"/>
            </w:tcBorders>
            <w:shd w:val="clear" w:color="auto" w:fill="auto"/>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8" w:space="0" w:color="auto"/>
              <w:right w:val="single" w:sz="4"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8" w:space="0" w:color="auto"/>
              <w:right w:val="single" w:sz="8" w:space="0" w:color="auto"/>
            </w:tcBorders>
            <w:shd w:val="clear" w:color="auto" w:fill="auto"/>
            <w:noWrap/>
            <w:vAlign w:val="bottom"/>
            <w:hideMark/>
          </w:tcPr>
          <w:p w:rsidR="00FA3ED5" w:rsidRPr="00FA3ED5" w:rsidRDefault="00FA3ED5" w:rsidP="00FA3ED5">
            <w:pPr>
              <w:jc w:val="center"/>
              <w:rPr>
                <w:rFonts w:ascii="Calibri" w:hAnsi="Calibri"/>
                <w:color w:val="000000"/>
                <w:szCs w:val="24"/>
              </w:rPr>
            </w:pPr>
            <w:r w:rsidRPr="00FA3ED5">
              <w:rPr>
                <w:rFonts w:ascii="Calibri" w:hAnsi="Calibri"/>
                <w:color w:val="000000"/>
                <w:szCs w:val="24"/>
              </w:rPr>
              <w:t> </w:t>
            </w:r>
          </w:p>
        </w:tc>
      </w:tr>
    </w:tbl>
    <w:p w:rsidR="004764A4" w:rsidRDefault="004764A4" w:rsidP="00903390">
      <w:pPr>
        <w:rPr>
          <w:b/>
        </w:rPr>
      </w:pPr>
    </w:p>
    <w:p w:rsidR="00401324" w:rsidRDefault="00401324" w:rsidP="00BC678D">
      <w:pPr>
        <w:pStyle w:val="Heading3"/>
        <w:jc w:val="both"/>
      </w:pPr>
      <w:bookmarkStart w:id="10" w:name="_Toc435692480"/>
      <w:r>
        <w:t>Electric Reliability</w:t>
      </w:r>
      <w:bookmarkEnd w:id="10"/>
    </w:p>
    <w:p w:rsidR="00401324" w:rsidRDefault="00401324" w:rsidP="00BC678D">
      <w:pPr>
        <w:jc w:val="both"/>
        <w:rPr>
          <w:b/>
        </w:rPr>
      </w:pPr>
    </w:p>
    <w:p w:rsidR="00401324" w:rsidRDefault="009F3F2F" w:rsidP="00BC678D">
      <w:pPr>
        <w:jc w:val="both"/>
      </w:pPr>
      <w:r>
        <w:t xml:space="preserve">This section will provide a summary of the results </w:t>
      </w:r>
      <w:r w:rsidR="00920632">
        <w:t>the electric reliability results for the prior calendar year.</w:t>
      </w:r>
      <w:r w:rsidR="004E3836">
        <w:t xml:space="preserve">  The following table is an example of the summarized results that will be included.</w:t>
      </w:r>
    </w:p>
    <w:p w:rsidR="00920632" w:rsidRDefault="00920632" w:rsidP="00903390"/>
    <w:tbl>
      <w:tblPr>
        <w:tblW w:w="0" w:type="auto"/>
        <w:jc w:val="center"/>
        <w:tblInd w:w="17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9"/>
        <w:gridCol w:w="2160"/>
        <w:gridCol w:w="1620"/>
        <w:gridCol w:w="2520"/>
        <w:gridCol w:w="2078"/>
      </w:tblGrid>
      <w:tr w:rsidR="00920632" w:rsidRPr="002B7728" w:rsidTr="00920632">
        <w:trPr>
          <w:jc w:val="center"/>
        </w:trPr>
        <w:tc>
          <w:tcPr>
            <w:tcW w:w="1189" w:type="dxa"/>
          </w:tcPr>
          <w:p w:rsidR="00920632" w:rsidRPr="002B7728" w:rsidRDefault="00920632" w:rsidP="00813D8F">
            <w:pPr>
              <w:pStyle w:val="Heading9"/>
              <w:rPr>
                <w:rFonts w:ascii="Times New Roman" w:hAnsi="Times New Roman" w:cs="Times New Roman"/>
              </w:rPr>
            </w:pPr>
          </w:p>
          <w:p w:rsidR="00920632" w:rsidRPr="002B7728" w:rsidRDefault="00920632" w:rsidP="00813D8F">
            <w:pPr>
              <w:pStyle w:val="Heading9"/>
              <w:ind w:left="-119"/>
              <w:rPr>
                <w:rFonts w:ascii="Times New Roman" w:hAnsi="Times New Roman" w:cs="Times New Roman"/>
              </w:rPr>
            </w:pPr>
            <w:r w:rsidRPr="00F854AB">
              <w:rPr>
                <w:rFonts w:ascii="Times New Roman" w:hAnsi="Times New Roman" w:cs="Times New Roman"/>
              </w:rPr>
              <w:t>Index</w:t>
            </w:r>
          </w:p>
        </w:tc>
        <w:tc>
          <w:tcPr>
            <w:tcW w:w="2160" w:type="dxa"/>
          </w:tcPr>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200</w:t>
            </w:r>
            <w:r>
              <w:rPr>
                <w:rFonts w:ascii="Times New Roman" w:hAnsi="Times New Roman" w:cs="Times New Roman"/>
              </w:rPr>
              <w:t>8</w:t>
            </w:r>
            <w:r w:rsidRPr="00F854AB">
              <w:rPr>
                <w:rFonts w:ascii="Times New Roman" w:hAnsi="Times New Roman" w:cs="Times New Roman"/>
              </w:rPr>
              <w:t xml:space="preserve">-2013 </w:t>
            </w:r>
          </w:p>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Average</w:t>
            </w:r>
          </w:p>
          <w:p w:rsidR="00920632" w:rsidRPr="002B7728" w:rsidRDefault="00920632" w:rsidP="00813D8F">
            <w:pPr>
              <w:jc w:val="center"/>
              <w:rPr>
                <w:sz w:val="16"/>
              </w:rPr>
            </w:pPr>
            <w:r w:rsidRPr="002B7728">
              <w:rPr>
                <w:sz w:val="16"/>
              </w:rPr>
              <w:t>(Excluding Major Events)</w:t>
            </w:r>
          </w:p>
        </w:tc>
        <w:tc>
          <w:tcPr>
            <w:tcW w:w="1620" w:type="dxa"/>
          </w:tcPr>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 xml:space="preserve">2005 </w:t>
            </w:r>
          </w:p>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Baseline</w:t>
            </w:r>
          </w:p>
        </w:tc>
        <w:tc>
          <w:tcPr>
            <w:tcW w:w="2520" w:type="dxa"/>
          </w:tcPr>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Reliability</w:t>
            </w:r>
          </w:p>
          <w:p w:rsidR="00920632" w:rsidRPr="002B7728" w:rsidRDefault="00920632" w:rsidP="00813D8F">
            <w:pPr>
              <w:pStyle w:val="Heading9"/>
              <w:rPr>
                <w:rFonts w:ascii="Times New Roman" w:hAnsi="Times New Roman" w:cs="Times New Roman"/>
              </w:rPr>
            </w:pPr>
            <w:r w:rsidRPr="00F854AB">
              <w:rPr>
                <w:rFonts w:ascii="Times New Roman" w:hAnsi="Times New Roman" w:cs="Times New Roman"/>
              </w:rPr>
              <w:t>Target</w:t>
            </w:r>
          </w:p>
          <w:p w:rsidR="00920632" w:rsidRPr="002B7728" w:rsidRDefault="00920632" w:rsidP="00813D8F">
            <w:pPr>
              <w:jc w:val="center"/>
              <w:rPr>
                <w:sz w:val="16"/>
              </w:rPr>
            </w:pPr>
            <w:r w:rsidRPr="002B7728">
              <w:rPr>
                <w:sz w:val="16"/>
              </w:rPr>
              <w:t>(Ave + 2 Standard Deviations)</w:t>
            </w:r>
          </w:p>
        </w:tc>
        <w:tc>
          <w:tcPr>
            <w:tcW w:w="2078" w:type="dxa"/>
          </w:tcPr>
          <w:p w:rsidR="00920632" w:rsidRDefault="00920632" w:rsidP="00920632">
            <w:pPr>
              <w:pStyle w:val="Heading9"/>
              <w:rPr>
                <w:rFonts w:ascii="Times New Roman" w:hAnsi="Times New Roman" w:cs="Times New Roman"/>
              </w:rPr>
            </w:pPr>
            <w:r>
              <w:rPr>
                <w:rFonts w:ascii="Times New Roman" w:hAnsi="Times New Roman" w:cs="Times New Roman"/>
              </w:rPr>
              <w:t>2014 Results</w:t>
            </w:r>
          </w:p>
          <w:p w:rsidR="00920632" w:rsidRPr="00920632" w:rsidRDefault="00920632" w:rsidP="00920632">
            <w:pPr>
              <w:jc w:val="center"/>
            </w:pPr>
            <w:r w:rsidRPr="002B7728">
              <w:rPr>
                <w:sz w:val="16"/>
              </w:rPr>
              <w:t>(Excluding Major Events)</w:t>
            </w:r>
          </w:p>
        </w:tc>
      </w:tr>
      <w:tr w:rsidR="00920632" w:rsidRPr="002B7728" w:rsidTr="00920632">
        <w:trPr>
          <w:jc w:val="center"/>
        </w:trPr>
        <w:tc>
          <w:tcPr>
            <w:tcW w:w="1189" w:type="dxa"/>
          </w:tcPr>
          <w:p w:rsidR="00920632" w:rsidRPr="002B7728" w:rsidRDefault="00920632" w:rsidP="00813D8F">
            <w:pPr>
              <w:spacing w:before="120" w:after="120"/>
              <w:jc w:val="center"/>
            </w:pPr>
            <w:r w:rsidRPr="00F854AB">
              <w:t>SAIFI</w:t>
            </w:r>
          </w:p>
        </w:tc>
        <w:tc>
          <w:tcPr>
            <w:tcW w:w="2160" w:type="dxa"/>
          </w:tcPr>
          <w:p w:rsidR="00920632" w:rsidRPr="002B7728" w:rsidRDefault="00920632" w:rsidP="00813D8F">
            <w:pPr>
              <w:spacing w:before="120" w:after="120"/>
              <w:jc w:val="center"/>
            </w:pPr>
            <w:r w:rsidRPr="00F854AB">
              <w:t>1.</w:t>
            </w:r>
            <w:r>
              <w:t>24</w:t>
            </w:r>
          </w:p>
        </w:tc>
        <w:tc>
          <w:tcPr>
            <w:tcW w:w="1620" w:type="dxa"/>
          </w:tcPr>
          <w:p w:rsidR="00920632" w:rsidRPr="002B7728" w:rsidRDefault="00920632" w:rsidP="00813D8F">
            <w:pPr>
              <w:spacing w:before="120" w:after="120"/>
              <w:jc w:val="center"/>
            </w:pPr>
            <w:r w:rsidRPr="00F854AB">
              <w:t>0.97</w:t>
            </w:r>
          </w:p>
        </w:tc>
        <w:tc>
          <w:tcPr>
            <w:tcW w:w="2520" w:type="dxa"/>
          </w:tcPr>
          <w:p w:rsidR="00920632" w:rsidRPr="002B7728" w:rsidRDefault="00920632" w:rsidP="00813D8F">
            <w:pPr>
              <w:spacing w:before="120" w:after="120"/>
              <w:jc w:val="center"/>
            </w:pPr>
            <w:r w:rsidRPr="00F854AB">
              <w:t>1.6</w:t>
            </w:r>
            <w:r>
              <w:t>1</w:t>
            </w:r>
          </w:p>
        </w:tc>
        <w:tc>
          <w:tcPr>
            <w:tcW w:w="2078" w:type="dxa"/>
          </w:tcPr>
          <w:p w:rsidR="00920632" w:rsidRPr="00F854AB" w:rsidRDefault="00920632" w:rsidP="00813D8F">
            <w:pPr>
              <w:spacing w:before="120" w:after="120"/>
              <w:jc w:val="center"/>
            </w:pPr>
            <w:r>
              <w:t>1.11</w:t>
            </w:r>
          </w:p>
        </w:tc>
      </w:tr>
      <w:tr w:rsidR="00920632" w:rsidRPr="002B7728" w:rsidTr="00920632">
        <w:trPr>
          <w:jc w:val="center"/>
        </w:trPr>
        <w:tc>
          <w:tcPr>
            <w:tcW w:w="1189" w:type="dxa"/>
          </w:tcPr>
          <w:p w:rsidR="00920632" w:rsidRPr="002B7728" w:rsidRDefault="00920632" w:rsidP="00813D8F">
            <w:pPr>
              <w:spacing w:before="120" w:after="120"/>
              <w:jc w:val="center"/>
            </w:pPr>
            <w:r w:rsidRPr="00F854AB">
              <w:t>MAIFI</w:t>
            </w:r>
          </w:p>
        </w:tc>
        <w:tc>
          <w:tcPr>
            <w:tcW w:w="2160" w:type="dxa"/>
          </w:tcPr>
          <w:p w:rsidR="00920632" w:rsidRPr="002B7728" w:rsidRDefault="00920632" w:rsidP="00813D8F">
            <w:pPr>
              <w:spacing w:before="120" w:after="120"/>
              <w:jc w:val="center"/>
            </w:pPr>
            <w:r w:rsidRPr="00F854AB">
              <w:t>3.</w:t>
            </w:r>
            <w:r>
              <w:t>12</w:t>
            </w:r>
          </w:p>
        </w:tc>
        <w:tc>
          <w:tcPr>
            <w:tcW w:w="1620" w:type="dxa"/>
          </w:tcPr>
          <w:p w:rsidR="00920632" w:rsidRPr="002B7728" w:rsidRDefault="00920632" w:rsidP="00813D8F">
            <w:pPr>
              <w:spacing w:before="120" w:after="120"/>
              <w:jc w:val="center"/>
            </w:pPr>
            <w:r w:rsidRPr="00F854AB">
              <w:t>3.58</w:t>
            </w:r>
          </w:p>
        </w:tc>
        <w:tc>
          <w:tcPr>
            <w:tcW w:w="2520" w:type="dxa"/>
          </w:tcPr>
          <w:p w:rsidR="00920632" w:rsidRPr="002B7728" w:rsidRDefault="00920632" w:rsidP="00813D8F">
            <w:pPr>
              <w:spacing w:before="120" w:after="120"/>
              <w:jc w:val="center"/>
            </w:pPr>
            <w:r>
              <w:t>4.89</w:t>
            </w:r>
          </w:p>
        </w:tc>
        <w:tc>
          <w:tcPr>
            <w:tcW w:w="2078" w:type="dxa"/>
          </w:tcPr>
          <w:p w:rsidR="00920632" w:rsidRDefault="00920632" w:rsidP="00813D8F">
            <w:pPr>
              <w:spacing w:before="120" w:after="120"/>
              <w:jc w:val="center"/>
            </w:pPr>
            <w:r>
              <w:t>2.2</w:t>
            </w:r>
          </w:p>
        </w:tc>
      </w:tr>
      <w:tr w:rsidR="00920632" w:rsidRPr="002B7728" w:rsidTr="00920632">
        <w:trPr>
          <w:jc w:val="center"/>
        </w:trPr>
        <w:tc>
          <w:tcPr>
            <w:tcW w:w="1189" w:type="dxa"/>
          </w:tcPr>
          <w:p w:rsidR="00920632" w:rsidRPr="002B7728" w:rsidRDefault="00920632" w:rsidP="00813D8F">
            <w:pPr>
              <w:spacing w:before="120" w:after="120"/>
              <w:jc w:val="center"/>
            </w:pPr>
            <w:r w:rsidRPr="00F854AB">
              <w:t>SAIDI</w:t>
            </w:r>
          </w:p>
        </w:tc>
        <w:tc>
          <w:tcPr>
            <w:tcW w:w="2160" w:type="dxa"/>
          </w:tcPr>
          <w:p w:rsidR="00920632" w:rsidRPr="002B7728" w:rsidRDefault="00920632" w:rsidP="00813D8F">
            <w:pPr>
              <w:spacing w:before="120" w:after="120"/>
              <w:jc w:val="center"/>
            </w:pPr>
            <w:r w:rsidRPr="00F854AB">
              <w:t>14</w:t>
            </w:r>
            <w:r>
              <w:t>9</w:t>
            </w:r>
          </w:p>
        </w:tc>
        <w:tc>
          <w:tcPr>
            <w:tcW w:w="1620" w:type="dxa"/>
          </w:tcPr>
          <w:p w:rsidR="00920632" w:rsidRPr="002B7728" w:rsidRDefault="00920632" w:rsidP="00813D8F">
            <w:pPr>
              <w:spacing w:before="120" w:after="120"/>
              <w:jc w:val="center"/>
            </w:pPr>
            <w:r w:rsidRPr="00F854AB">
              <w:t>108</w:t>
            </w:r>
          </w:p>
        </w:tc>
        <w:tc>
          <w:tcPr>
            <w:tcW w:w="2520" w:type="dxa"/>
          </w:tcPr>
          <w:p w:rsidR="00920632" w:rsidRPr="002B7728" w:rsidRDefault="00920632" w:rsidP="00813D8F">
            <w:pPr>
              <w:spacing w:before="120" w:after="120"/>
              <w:jc w:val="center"/>
            </w:pPr>
            <w:r w:rsidRPr="00F854AB">
              <w:t>200</w:t>
            </w:r>
          </w:p>
        </w:tc>
        <w:tc>
          <w:tcPr>
            <w:tcW w:w="2078" w:type="dxa"/>
          </w:tcPr>
          <w:p w:rsidR="00920632" w:rsidRPr="00F854AB" w:rsidRDefault="00920632" w:rsidP="00813D8F">
            <w:pPr>
              <w:spacing w:before="120" w:after="120"/>
              <w:jc w:val="center"/>
            </w:pPr>
            <w:r>
              <w:t>139</w:t>
            </w:r>
          </w:p>
        </w:tc>
      </w:tr>
      <w:tr w:rsidR="00920632" w:rsidRPr="002B7728" w:rsidTr="00920632">
        <w:trPr>
          <w:jc w:val="center"/>
        </w:trPr>
        <w:tc>
          <w:tcPr>
            <w:tcW w:w="1189" w:type="dxa"/>
          </w:tcPr>
          <w:p w:rsidR="00920632" w:rsidRPr="002B7728" w:rsidRDefault="00920632" w:rsidP="00813D8F">
            <w:pPr>
              <w:spacing w:before="120" w:after="120"/>
              <w:jc w:val="center"/>
            </w:pPr>
            <w:r w:rsidRPr="002B7728">
              <w:t>CAIDI</w:t>
            </w:r>
          </w:p>
        </w:tc>
        <w:tc>
          <w:tcPr>
            <w:tcW w:w="2160" w:type="dxa"/>
          </w:tcPr>
          <w:p w:rsidR="00920632" w:rsidRPr="002B7728" w:rsidRDefault="00920632" w:rsidP="00813D8F">
            <w:pPr>
              <w:spacing w:before="120" w:after="120"/>
              <w:jc w:val="center"/>
            </w:pPr>
            <w:r w:rsidRPr="00F854AB">
              <w:t>12</w:t>
            </w:r>
            <w:r>
              <w:t>0</w:t>
            </w:r>
          </w:p>
        </w:tc>
        <w:tc>
          <w:tcPr>
            <w:tcW w:w="1620" w:type="dxa"/>
          </w:tcPr>
          <w:p w:rsidR="00920632" w:rsidRPr="002B7728" w:rsidRDefault="00920632" w:rsidP="00813D8F">
            <w:pPr>
              <w:spacing w:before="120" w:after="120"/>
              <w:jc w:val="center"/>
            </w:pPr>
            <w:r w:rsidRPr="00F854AB">
              <w:t>112</w:t>
            </w:r>
          </w:p>
        </w:tc>
        <w:tc>
          <w:tcPr>
            <w:tcW w:w="2520" w:type="dxa"/>
          </w:tcPr>
          <w:p w:rsidR="00920632" w:rsidRPr="002B7728" w:rsidRDefault="00920632" w:rsidP="00813D8F">
            <w:pPr>
              <w:spacing w:before="120" w:after="120"/>
              <w:jc w:val="center"/>
            </w:pPr>
            <w:r w:rsidRPr="00F854AB">
              <w:t>13</w:t>
            </w:r>
            <w:r>
              <w:t>8</w:t>
            </w:r>
          </w:p>
        </w:tc>
        <w:tc>
          <w:tcPr>
            <w:tcW w:w="2078" w:type="dxa"/>
          </w:tcPr>
          <w:p w:rsidR="00920632" w:rsidRPr="00F854AB" w:rsidRDefault="00920632" w:rsidP="00813D8F">
            <w:pPr>
              <w:spacing w:before="120" w:after="120"/>
              <w:jc w:val="center"/>
            </w:pPr>
            <w:r>
              <w:t>125</w:t>
            </w:r>
          </w:p>
        </w:tc>
      </w:tr>
    </w:tbl>
    <w:p w:rsidR="00F26E91" w:rsidRDefault="00F26E91" w:rsidP="006615D5">
      <w:pPr>
        <w:pStyle w:val="Heading3"/>
      </w:pPr>
    </w:p>
    <w:p w:rsidR="00401324" w:rsidRDefault="00401324" w:rsidP="00BC678D">
      <w:pPr>
        <w:pStyle w:val="Heading3"/>
        <w:jc w:val="both"/>
      </w:pPr>
      <w:bookmarkStart w:id="11" w:name="_Toc435692481"/>
      <w:r>
        <w:t>Appendices</w:t>
      </w:r>
      <w:bookmarkEnd w:id="11"/>
    </w:p>
    <w:p w:rsidR="00401324" w:rsidRDefault="00401324" w:rsidP="00BC678D">
      <w:pPr>
        <w:jc w:val="both"/>
        <w:rPr>
          <w:b/>
        </w:rPr>
      </w:pPr>
    </w:p>
    <w:p w:rsidR="00401324" w:rsidRDefault="00401324" w:rsidP="00BC678D">
      <w:pPr>
        <w:jc w:val="both"/>
      </w:pPr>
      <w:r>
        <w:t xml:space="preserve">Appendix </w:t>
      </w:r>
      <w:r w:rsidRPr="00401324">
        <w:t>A</w:t>
      </w:r>
      <w:r>
        <w:t xml:space="preserve">:  </w:t>
      </w:r>
      <w:r w:rsidRPr="00401324">
        <w:t>Definitions</w:t>
      </w:r>
    </w:p>
    <w:p w:rsidR="00401324" w:rsidRDefault="00401324" w:rsidP="00BC678D">
      <w:pPr>
        <w:jc w:val="both"/>
      </w:pPr>
    </w:p>
    <w:p w:rsidR="00401324" w:rsidRDefault="00401324" w:rsidP="00BC678D">
      <w:pPr>
        <w:jc w:val="both"/>
      </w:pPr>
      <w:r>
        <w:t>Appendix B:  Electric Index Calculations</w:t>
      </w:r>
    </w:p>
    <w:p w:rsidR="006C20F7" w:rsidRDefault="006C20F7" w:rsidP="00BC678D">
      <w:pPr>
        <w:jc w:val="both"/>
      </w:pPr>
    </w:p>
    <w:p w:rsidR="006C20F7" w:rsidRDefault="006C20F7" w:rsidP="00BC678D">
      <w:pPr>
        <w:jc w:val="both"/>
      </w:pPr>
      <w:r>
        <w:t>Appendix C:  Customer Reliability Complaints</w:t>
      </w:r>
    </w:p>
    <w:p w:rsidR="00401324" w:rsidRDefault="00401324" w:rsidP="00BC678D">
      <w:pPr>
        <w:jc w:val="both"/>
      </w:pPr>
    </w:p>
    <w:p w:rsidR="00C15044" w:rsidRDefault="006C20F7" w:rsidP="00BC678D">
      <w:pPr>
        <w:jc w:val="both"/>
      </w:pPr>
      <w:r>
        <w:t>Appendix D</w:t>
      </w:r>
      <w:r w:rsidR="00401324">
        <w:t xml:space="preserve">: </w:t>
      </w:r>
      <w:r>
        <w:t xml:space="preserve"> </w:t>
      </w:r>
      <w:r w:rsidR="00401324">
        <w:t xml:space="preserve">SAIFI and SAIDI Historical Summary    </w:t>
      </w:r>
      <w:bookmarkStart w:id="12" w:name="_Toc98906746"/>
      <w:bookmarkStart w:id="13" w:name="_Toc165342417"/>
      <w:bookmarkStart w:id="14" w:name="_Toc193710976"/>
      <w:bookmarkStart w:id="15" w:name="_Toc227571567"/>
    </w:p>
    <w:p w:rsidR="0058765B" w:rsidRDefault="0058765B" w:rsidP="00BC678D">
      <w:pPr>
        <w:jc w:val="both"/>
      </w:pPr>
    </w:p>
    <w:p w:rsidR="0058765B" w:rsidRDefault="0058765B" w:rsidP="00BC678D">
      <w:pPr>
        <w:jc w:val="both"/>
        <w:rPr>
          <w:color w:val="000000"/>
        </w:rPr>
      </w:pPr>
      <w:r>
        <w:t>Appendix E: Service Quality Measures Report Card</w:t>
      </w:r>
    </w:p>
    <w:p w:rsidR="00E82B35" w:rsidRPr="00E82B35" w:rsidRDefault="00E82B35" w:rsidP="00E82B35">
      <w:pPr>
        <w:rPr>
          <w:color w:val="000000"/>
        </w:rPr>
      </w:pPr>
      <w:r>
        <w:rPr>
          <w:color w:val="000000"/>
        </w:rPr>
        <w:br w:type="page"/>
      </w:r>
    </w:p>
    <w:p w:rsidR="004257AC" w:rsidRDefault="004257AC" w:rsidP="00BC678D">
      <w:pPr>
        <w:pStyle w:val="Heading1"/>
        <w:jc w:val="both"/>
      </w:pPr>
      <w:bookmarkStart w:id="16" w:name="_Toc435692482"/>
      <w:r>
        <w:lastRenderedPageBreak/>
        <w:t>Chapter 2 – Service Quality Measures</w:t>
      </w:r>
      <w:bookmarkEnd w:id="16"/>
    </w:p>
    <w:p w:rsidR="004737F1" w:rsidRDefault="004737F1" w:rsidP="00BC678D">
      <w:pPr>
        <w:jc w:val="both"/>
      </w:pPr>
    </w:p>
    <w:p w:rsidR="004737F1" w:rsidRDefault="004737F1" w:rsidP="00BC678D">
      <w:pPr>
        <w:jc w:val="both"/>
      </w:pPr>
      <w:r>
        <w:t>Implemented in 2015, Avista’s Service Quality Measures (SQM) program was</w:t>
      </w:r>
      <w:r w:rsidRPr="00754BC3">
        <w:t xml:space="preserve"> establish</w:t>
      </w:r>
      <w:r>
        <w:t>ed to</w:t>
      </w:r>
      <w:r w:rsidRPr="00754BC3">
        <w:t xml:space="preserve"> track the Company’s efforts on the quality of the service it provides to its customers, establish customer service guarantees, and provide a method for reporting results of the program to the Commission and its customers</w:t>
      </w:r>
      <w:r>
        <w:t>.  The SQM Program includes six Customer Service Measures, two Electric Reliability Measures, and seven Customer Service Guarantees.</w:t>
      </w:r>
    </w:p>
    <w:p w:rsidR="004737F1" w:rsidRDefault="004737F1" w:rsidP="00BC678D">
      <w:pPr>
        <w:jc w:val="both"/>
      </w:pPr>
    </w:p>
    <w:p w:rsidR="004737F1" w:rsidRPr="00E7022A" w:rsidRDefault="004737F1" w:rsidP="00BC678D">
      <w:pPr>
        <w:jc w:val="both"/>
        <w:rPr>
          <w:szCs w:val="24"/>
        </w:rPr>
      </w:pPr>
      <w:r w:rsidRPr="00E7022A">
        <w:rPr>
          <w:szCs w:val="24"/>
        </w:rPr>
        <w:t>Per the Company’s approved tariffs for the program, Schedule 85 for electric service and Schedule 185 for natural gas service, in Dockets UE-140188 and UG-140189 (consolidated), Avista must include the results for the Customer Service and Electric Reliability measures in its 2016 Service Quality and Reliability Report.  Beginning in 2017 the Company must also include the results of the Customer Service Guarantees in the annual report.</w:t>
      </w:r>
    </w:p>
    <w:p w:rsidR="004737F1" w:rsidRDefault="004737F1" w:rsidP="00BC678D">
      <w:pPr>
        <w:pStyle w:val="Heading3"/>
        <w:jc w:val="both"/>
      </w:pPr>
    </w:p>
    <w:p w:rsidR="00996F16" w:rsidRDefault="00996F16" w:rsidP="00BC678D">
      <w:pPr>
        <w:pStyle w:val="Heading3"/>
        <w:jc w:val="both"/>
      </w:pPr>
      <w:bookmarkStart w:id="17" w:name="_Toc435692483"/>
      <w:r>
        <w:t>Customer Service Measures</w:t>
      </w:r>
      <w:bookmarkEnd w:id="17"/>
    </w:p>
    <w:p w:rsidR="00996F16" w:rsidRDefault="00996F16" w:rsidP="00BC678D">
      <w:pPr>
        <w:jc w:val="both"/>
      </w:pPr>
    </w:p>
    <w:p w:rsidR="00996F16" w:rsidRDefault="00996F16" w:rsidP="00BC678D">
      <w:pPr>
        <w:pStyle w:val="Heading5"/>
        <w:jc w:val="both"/>
      </w:pPr>
      <w:r>
        <w:t>Customer Satisfaction - Call Center</w:t>
      </w:r>
    </w:p>
    <w:p w:rsidR="00BC678D" w:rsidRDefault="00BC678D" w:rsidP="00BC678D">
      <w:pPr>
        <w:jc w:val="both"/>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853F7C" w:rsidRPr="00813D8F" w:rsidTr="00020145">
        <w:trPr>
          <w:trHeight w:val="315"/>
        </w:trPr>
        <w:tc>
          <w:tcPr>
            <w:tcW w:w="5178" w:type="dxa"/>
            <w:shd w:val="clear" w:color="000000" w:fill="BFBFBF"/>
            <w:vAlign w:val="bottom"/>
            <w:hideMark/>
          </w:tcPr>
          <w:p w:rsidR="00853F7C" w:rsidRPr="00813D8F" w:rsidRDefault="00853F7C"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853F7C" w:rsidRPr="00813D8F" w:rsidRDefault="00853F7C"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853F7C" w:rsidRPr="00813D8F" w:rsidRDefault="00853F7C"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853F7C" w:rsidRPr="00813D8F" w:rsidRDefault="00853F7C" w:rsidP="00020145">
            <w:pPr>
              <w:jc w:val="center"/>
              <w:rPr>
                <w:rFonts w:ascii="Calibri" w:hAnsi="Calibri"/>
                <w:b/>
                <w:bCs/>
                <w:color w:val="000000"/>
                <w:szCs w:val="24"/>
              </w:rPr>
            </w:pPr>
            <w:r w:rsidRPr="00813D8F">
              <w:rPr>
                <w:rFonts w:ascii="Calibri" w:hAnsi="Calibri"/>
                <w:b/>
                <w:bCs/>
                <w:color w:val="000000"/>
                <w:szCs w:val="24"/>
              </w:rPr>
              <w:t>Achieved</w:t>
            </w:r>
          </w:p>
        </w:tc>
      </w:tr>
      <w:tr w:rsidR="00853F7C" w:rsidRPr="00813D8F" w:rsidTr="00020145">
        <w:trPr>
          <w:trHeight w:val="630"/>
        </w:trPr>
        <w:tc>
          <w:tcPr>
            <w:tcW w:w="5178" w:type="dxa"/>
            <w:shd w:val="clear" w:color="auto" w:fill="auto"/>
            <w:vAlign w:val="center"/>
            <w:hideMark/>
          </w:tcPr>
          <w:p w:rsidR="00853F7C" w:rsidRPr="00813D8F" w:rsidRDefault="00853F7C" w:rsidP="00020145">
            <w:pPr>
              <w:rPr>
                <w:rFonts w:ascii="Calibri" w:hAnsi="Calibri"/>
                <w:color w:val="000000"/>
                <w:szCs w:val="24"/>
              </w:rPr>
            </w:pPr>
            <w:r w:rsidRPr="00813D8F">
              <w:rPr>
                <w:rFonts w:ascii="Calibri" w:hAnsi="Calibri"/>
                <w:color w:val="000000"/>
                <w:szCs w:val="24"/>
              </w:rPr>
              <w:t>Percent of customers satisfied with our Contact Center services, based on survey results</w:t>
            </w:r>
          </w:p>
        </w:tc>
        <w:tc>
          <w:tcPr>
            <w:tcW w:w="1793" w:type="dxa"/>
            <w:shd w:val="clear" w:color="auto" w:fill="auto"/>
            <w:vAlign w:val="center"/>
            <w:hideMark/>
          </w:tcPr>
          <w:p w:rsidR="00853F7C" w:rsidRPr="00813D8F" w:rsidRDefault="00853F7C" w:rsidP="00020145">
            <w:pPr>
              <w:jc w:val="center"/>
              <w:rPr>
                <w:rFonts w:ascii="Calibri" w:hAnsi="Calibri"/>
                <w:color w:val="000000"/>
                <w:szCs w:val="24"/>
              </w:rPr>
            </w:pPr>
            <w:r w:rsidRPr="00813D8F">
              <w:rPr>
                <w:rFonts w:ascii="Calibri" w:hAnsi="Calibri"/>
                <w:color w:val="000000"/>
                <w:szCs w:val="24"/>
              </w:rPr>
              <w:t>At least 90%</w:t>
            </w:r>
          </w:p>
        </w:tc>
        <w:tc>
          <w:tcPr>
            <w:tcW w:w="1504" w:type="dxa"/>
            <w:shd w:val="clear" w:color="auto" w:fill="auto"/>
            <w:noWrap/>
            <w:vAlign w:val="center"/>
            <w:hideMark/>
          </w:tcPr>
          <w:p w:rsidR="00853F7C" w:rsidRPr="00813D8F" w:rsidRDefault="00853F7C" w:rsidP="00020145">
            <w:pPr>
              <w:jc w:val="center"/>
              <w:rPr>
                <w:rFonts w:ascii="Calibri" w:hAnsi="Calibri"/>
                <w:color w:val="000000"/>
                <w:szCs w:val="24"/>
              </w:rPr>
            </w:pPr>
          </w:p>
        </w:tc>
        <w:tc>
          <w:tcPr>
            <w:tcW w:w="1350" w:type="dxa"/>
            <w:shd w:val="clear" w:color="auto" w:fill="auto"/>
            <w:noWrap/>
            <w:vAlign w:val="center"/>
            <w:hideMark/>
          </w:tcPr>
          <w:p w:rsidR="00853F7C" w:rsidRPr="00813D8F" w:rsidRDefault="00853F7C" w:rsidP="00020145">
            <w:pPr>
              <w:jc w:val="center"/>
              <w:rPr>
                <w:rFonts w:ascii="Calibri" w:hAnsi="Calibri"/>
                <w:color w:val="000000"/>
                <w:szCs w:val="24"/>
              </w:rPr>
            </w:pPr>
          </w:p>
        </w:tc>
      </w:tr>
    </w:tbl>
    <w:p w:rsidR="00853F7C" w:rsidRDefault="00853F7C" w:rsidP="00BC678D">
      <w:pPr>
        <w:pStyle w:val="BodyText2"/>
        <w:ind w:right="-36"/>
        <w:jc w:val="both"/>
        <w:rPr>
          <w:color w:val="auto"/>
        </w:rPr>
      </w:pPr>
    </w:p>
    <w:p w:rsidR="00853F7C" w:rsidRDefault="00853F7C" w:rsidP="00BC678D">
      <w:pPr>
        <w:pStyle w:val="BodyText2"/>
        <w:ind w:right="-36"/>
        <w:jc w:val="both"/>
        <w:rPr>
          <w:b/>
          <w:color w:val="auto"/>
        </w:rPr>
      </w:pPr>
      <w:r>
        <w:rPr>
          <w:b/>
          <w:color w:val="auto"/>
        </w:rPr>
        <w:t>About the Measure</w:t>
      </w:r>
    </w:p>
    <w:p w:rsidR="00955007" w:rsidRPr="00955007" w:rsidRDefault="00955007" w:rsidP="00BC678D">
      <w:pPr>
        <w:pStyle w:val="BodyText2"/>
        <w:ind w:right="-36"/>
        <w:jc w:val="both"/>
        <w:rPr>
          <w:color w:val="auto"/>
        </w:rPr>
      </w:pPr>
      <w:r>
        <w:rPr>
          <w:color w:val="auto"/>
        </w:rPr>
        <w:t>The full details of the measure are as follow:</w:t>
      </w:r>
    </w:p>
    <w:p w:rsidR="00BC678D" w:rsidRPr="00BC678D" w:rsidRDefault="00BC678D" w:rsidP="00955007">
      <w:pPr>
        <w:pStyle w:val="BodyText2"/>
        <w:ind w:left="720" w:right="-36"/>
        <w:jc w:val="both"/>
        <w:rPr>
          <w:color w:val="auto"/>
        </w:rPr>
      </w:pPr>
      <w:r w:rsidRPr="00BC678D">
        <w:rPr>
          <w:color w:val="auto"/>
        </w:rPr>
        <w:t xml:space="preserve">The level of Customer satisfaction with telephone service, as provided by the Company’s Contact Center, will be at least 90 percent, where: </w:t>
      </w:r>
    </w:p>
    <w:p w:rsidR="00BC678D" w:rsidRPr="00BC678D" w:rsidRDefault="00BC678D" w:rsidP="00924135">
      <w:pPr>
        <w:pStyle w:val="BodyText2"/>
        <w:numPr>
          <w:ilvl w:val="1"/>
          <w:numId w:val="14"/>
        </w:numPr>
        <w:adjustRightInd/>
        <w:spacing w:before="0"/>
        <w:ind w:right="-36"/>
        <w:jc w:val="both"/>
        <w:rPr>
          <w:color w:val="auto"/>
        </w:rPr>
      </w:pPr>
      <w:r w:rsidRPr="00BC678D">
        <w:rPr>
          <w:color w:val="auto"/>
        </w:rPr>
        <w:t>The measure of Customer satisfaction is based on Customers who respond to Avista’s quarterly survey of Customer satisfaction, known as the Voice of the Customer, as conducted by its independent survey contractor;</w:t>
      </w:r>
    </w:p>
    <w:p w:rsidR="00BC678D" w:rsidRPr="00BC678D" w:rsidRDefault="00BC678D" w:rsidP="00924135">
      <w:pPr>
        <w:pStyle w:val="BodyText2"/>
        <w:numPr>
          <w:ilvl w:val="1"/>
          <w:numId w:val="14"/>
        </w:numPr>
        <w:adjustRightInd/>
        <w:spacing w:before="0"/>
        <w:ind w:right="-36"/>
        <w:jc w:val="both"/>
        <w:rPr>
          <w:color w:val="auto"/>
        </w:rPr>
      </w:pPr>
      <w:r w:rsidRPr="00BC678D">
        <w:rPr>
          <w:color w:val="auto"/>
        </w:rPr>
        <w:t>The measure of satisfaction is based on Customers participating in the survey who report the level of their satisfaction as either “satisfied” or “very satisfied”; and</w:t>
      </w:r>
    </w:p>
    <w:p w:rsidR="00BC678D" w:rsidRDefault="00BC678D" w:rsidP="00924135">
      <w:pPr>
        <w:pStyle w:val="BodyText2"/>
        <w:numPr>
          <w:ilvl w:val="1"/>
          <w:numId w:val="14"/>
        </w:numPr>
        <w:adjustRightInd/>
        <w:spacing w:before="0"/>
        <w:ind w:right="-36"/>
        <w:jc w:val="both"/>
        <w:rPr>
          <w:color w:val="auto"/>
        </w:rPr>
      </w:pPr>
      <w:r w:rsidRPr="00BC678D">
        <w:rPr>
          <w:color w:val="auto"/>
        </w:rPr>
        <w:t>The measure of satisfaction is based on the statistically-significant survey results for both electric and natural gas service for Avista’s entire service territory for the calendar year, and if possible, will also be reported for Washington customers only.</w:t>
      </w:r>
    </w:p>
    <w:p w:rsidR="00BC678D" w:rsidRDefault="00BC678D" w:rsidP="00BC678D">
      <w:pPr>
        <w:pStyle w:val="BodyText2"/>
        <w:adjustRightInd/>
        <w:spacing w:before="0"/>
        <w:ind w:right="-36"/>
        <w:jc w:val="both"/>
        <w:rPr>
          <w:color w:val="auto"/>
        </w:rPr>
      </w:pPr>
    </w:p>
    <w:p w:rsidR="00955007" w:rsidRPr="002D5827" w:rsidRDefault="00955007" w:rsidP="00955007">
      <w:pPr>
        <w:jc w:val="both"/>
        <w:rPr>
          <w:szCs w:val="24"/>
        </w:rPr>
      </w:pPr>
      <w:r w:rsidRPr="002D5827">
        <w:rPr>
          <w:szCs w:val="24"/>
        </w:rPr>
        <w:t xml:space="preserve">The results of this measure are based on the Company’s Voice of the Customer (VOC) survey, which is administered by </w:t>
      </w:r>
      <w:r>
        <w:rPr>
          <w:szCs w:val="24"/>
        </w:rPr>
        <w:t xml:space="preserve">a third-party vendor with oversight from </w:t>
      </w:r>
      <w:r w:rsidRPr="002D5827">
        <w:rPr>
          <w:szCs w:val="24"/>
        </w:rPr>
        <w:t xml:space="preserve">our </w:t>
      </w:r>
      <w:r>
        <w:rPr>
          <w:szCs w:val="24"/>
        </w:rPr>
        <w:t xml:space="preserve">Avista’s </w:t>
      </w:r>
      <w:r w:rsidRPr="002D5827">
        <w:rPr>
          <w:szCs w:val="24"/>
        </w:rPr>
        <w:t>External Communications Department</w:t>
      </w:r>
      <w:r>
        <w:rPr>
          <w:szCs w:val="24"/>
        </w:rPr>
        <w:t>.</w:t>
      </w:r>
      <w:r w:rsidRPr="002D5827">
        <w:rPr>
          <w:szCs w:val="24"/>
        </w:rPr>
        <w:t xml:space="preserve">  </w:t>
      </w:r>
    </w:p>
    <w:p w:rsidR="00BC678D" w:rsidRPr="00BC678D" w:rsidRDefault="00BC678D" w:rsidP="00BC678D">
      <w:pPr>
        <w:pStyle w:val="BodyText2"/>
        <w:adjustRightInd/>
        <w:spacing w:before="0"/>
        <w:ind w:right="-36"/>
        <w:jc w:val="both"/>
        <w:rPr>
          <w:color w:val="auto"/>
        </w:rPr>
      </w:pPr>
    </w:p>
    <w:p w:rsidR="00406A8F" w:rsidRDefault="00406A8F" w:rsidP="00BC678D">
      <w:pPr>
        <w:pStyle w:val="Heading5"/>
        <w:jc w:val="both"/>
      </w:pPr>
    </w:p>
    <w:p w:rsidR="00406A8F" w:rsidRDefault="00406A8F" w:rsidP="00BC678D">
      <w:pPr>
        <w:pStyle w:val="Heading5"/>
        <w:jc w:val="both"/>
      </w:pPr>
    </w:p>
    <w:p w:rsidR="00996F16" w:rsidRDefault="00996F16" w:rsidP="00BC678D">
      <w:pPr>
        <w:pStyle w:val="Heading5"/>
        <w:jc w:val="both"/>
      </w:pPr>
      <w:r>
        <w:t>Customer Satisfaction – Field Services</w:t>
      </w:r>
    </w:p>
    <w:p w:rsidR="00996F16" w:rsidRDefault="00996F16" w:rsidP="00BC678D">
      <w:pPr>
        <w:pStyle w:val="Heading5"/>
        <w:jc w:val="both"/>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406A8F" w:rsidRPr="00813D8F" w:rsidTr="00020145">
        <w:trPr>
          <w:trHeight w:val="315"/>
        </w:trPr>
        <w:tc>
          <w:tcPr>
            <w:tcW w:w="5178" w:type="dxa"/>
            <w:shd w:val="clear" w:color="000000" w:fill="BFBFBF"/>
            <w:vAlign w:val="bottom"/>
            <w:hideMark/>
          </w:tcPr>
          <w:p w:rsidR="00406A8F" w:rsidRPr="00813D8F" w:rsidRDefault="00406A8F"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Achieved</w:t>
            </w:r>
          </w:p>
        </w:tc>
      </w:tr>
      <w:tr w:rsidR="00406A8F" w:rsidRPr="00813D8F" w:rsidTr="00020145">
        <w:trPr>
          <w:trHeight w:val="630"/>
        </w:trPr>
        <w:tc>
          <w:tcPr>
            <w:tcW w:w="5178" w:type="dxa"/>
            <w:shd w:val="clear" w:color="auto" w:fill="auto"/>
            <w:vAlign w:val="center"/>
            <w:hideMark/>
          </w:tcPr>
          <w:p w:rsidR="00406A8F" w:rsidRPr="00813D8F" w:rsidRDefault="00406A8F" w:rsidP="00020145">
            <w:pPr>
              <w:rPr>
                <w:rFonts w:ascii="Calibri" w:hAnsi="Calibri"/>
                <w:color w:val="000000"/>
                <w:szCs w:val="24"/>
              </w:rPr>
            </w:pPr>
            <w:r w:rsidRPr="00813D8F">
              <w:rPr>
                <w:rFonts w:ascii="Calibri" w:hAnsi="Calibri"/>
                <w:color w:val="000000"/>
                <w:szCs w:val="24"/>
              </w:rPr>
              <w:t>Percent of customers satisfied with field services, based on survey results</w:t>
            </w:r>
          </w:p>
        </w:tc>
        <w:tc>
          <w:tcPr>
            <w:tcW w:w="1793" w:type="dxa"/>
            <w:shd w:val="clear" w:color="auto" w:fill="auto"/>
            <w:vAlign w:val="center"/>
            <w:hideMark/>
          </w:tcPr>
          <w:p w:rsidR="00406A8F" w:rsidRPr="00813D8F" w:rsidRDefault="00406A8F" w:rsidP="00020145">
            <w:pPr>
              <w:jc w:val="center"/>
              <w:rPr>
                <w:rFonts w:ascii="Calibri" w:hAnsi="Calibri"/>
                <w:color w:val="000000"/>
                <w:szCs w:val="24"/>
              </w:rPr>
            </w:pPr>
            <w:r w:rsidRPr="00813D8F">
              <w:rPr>
                <w:rFonts w:ascii="Calibri" w:hAnsi="Calibri"/>
                <w:color w:val="000000"/>
                <w:szCs w:val="24"/>
              </w:rPr>
              <w:t>At least 90%</w:t>
            </w:r>
          </w:p>
        </w:tc>
        <w:tc>
          <w:tcPr>
            <w:tcW w:w="1504" w:type="dxa"/>
            <w:shd w:val="clear" w:color="auto" w:fill="auto"/>
            <w:noWrap/>
            <w:vAlign w:val="bottom"/>
            <w:hideMark/>
          </w:tcPr>
          <w:p w:rsidR="00406A8F" w:rsidRPr="00813D8F" w:rsidRDefault="00406A8F" w:rsidP="00020145">
            <w:pPr>
              <w:jc w:val="center"/>
              <w:rPr>
                <w:rFonts w:ascii="Calibri" w:hAnsi="Calibri"/>
                <w:color w:val="000000"/>
                <w:szCs w:val="24"/>
              </w:rPr>
            </w:pPr>
          </w:p>
        </w:tc>
        <w:tc>
          <w:tcPr>
            <w:tcW w:w="1350" w:type="dxa"/>
            <w:shd w:val="clear" w:color="auto" w:fill="auto"/>
            <w:noWrap/>
            <w:vAlign w:val="bottom"/>
            <w:hideMark/>
          </w:tcPr>
          <w:p w:rsidR="00406A8F" w:rsidRPr="00813D8F" w:rsidRDefault="00406A8F" w:rsidP="00020145">
            <w:pPr>
              <w:jc w:val="center"/>
              <w:rPr>
                <w:rFonts w:ascii="Calibri" w:hAnsi="Calibri"/>
                <w:color w:val="000000"/>
                <w:szCs w:val="24"/>
              </w:rPr>
            </w:pPr>
          </w:p>
        </w:tc>
      </w:tr>
    </w:tbl>
    <w:p w:rsidR="00BC678D" w:rsidRDefault="00BC678D" w:rsidP="00BC678D">
      <w:pPr>
        <w:pStyle w:val="Heading5"/>
        <w:jc w:val="both"/>
      </w:pPr>
    </w:p>
    <w:p w:rsidR="000F5A78" w:rsidRDefault="000F5A78" w:rsidP="000F5A78">
      <w:pPr>
        <w:rPr>
          <w:b/>
        </w:rPr>
      </w:pPr>
      <w:r>
        <w:rPr>
          <w:b/>
        </w:rPr>
        <w:t>About the Measure</w:t>
      </w:r>
    </w:p>
    <w:p w:rsidR="000F5A78" w:rsidRDefault="000F5A78" w:rsidP="000F5A78">
      <w:pPr>
        <w:rPr>
          <w:b/>
        </w:rPr>
      </w:pPr>
    </w:p>
    <w:p w:rsidR="000F5A78" w:rsidRDefault="000F5A78" w:rsidP="000F5A78">
      <w:r>
        <w:t>The full details of the measure are as follow:</w:t>
      </w:r>
    </w:p>
    <w:p w:rsidR="000F5A78" w:rsidRDefault="000F5A78" w:rsidP="000F5A78">
      <w:pPr>
        <w:rPr>
          <w:b/>
        </w:rPr>
      </w:pPr>
    </w:p>
    <w:p w:rsidR="000F5A78" w:rsidRPr="000F5A78" w:rsidRDefault="000F5A78" w:rsidP="00421E17">
      <w:pPr>
        <w:pStyle w:val="BodyText2"/>
        <w:ind w:left="720" w:right="54"/>
        <w:jc w:val="both"/>
        <w:rPr>
          <w:color w:val="auto"/>
        </w:rPr>
      </w:pPr>
      <w:r w:rsidRPr="000F5A78">
        <w:rPr>
          <w:color w:val="auto"/>
        </w:rPr>
        <w:t>The level of Customer satisfaction with the Company’s field services will be at least 90 percent, where:</w:t>
      </w:r>
    </w:p>
    <w:p w:rsidR="000F5A78" w:rsidRPr="000F5A78" w:rsidRDefault="000F5A78" w:rsidP="00924135">
      <w:pPr>
        <w:pStyle w:val="BodyText2"/>
        <w:numPr>
          <w:ilvl w:val="0"/>
          <w:numId w:val="15"/>
        </w:numPr>
        <w:adjustRightInd/>
        <w:spacing w:before="0"/>
        <w:ind w:right="54"/>
        <w:jc w:val="both"/>
        <w:rPr>
          <w:color w:val="auto"/>
        </w:rPr>
      </w:pPr>
      <w:r w:rsidRPr="000F5A78">
        <w:rPr>
          <w:color w:val="auto"/>
        </w:rPr>
        <w:t>The measure of Customer satisfaction is based on Customers who respond to Avista’s quarterly survey of Customer satisfaction, known as the Voice of the Customer, as conducted by its independent survey contractor;</w:t>
      </w:r>
    </w:p>
    <w:p w:rsidR="000F5A78" w:rsidRPr="000F5A78" w:rsidRDefault="000F5A78" w:rsidP="00924135">
      <w:pPr>
        <w:pStyle w:val="BodyText2"/>
        <w:numPr>
          <w:ilvl w:val="0"/>
          <w:numId w:val="15"/>
        </w:numPr>
        <w:adjustRightInd/>
        <w:spacing w:before="0"/>
        <w:ind w:right="54"/>
        <w:jc w:val="both"/>
        <w:rPr>
          <w:color w:val="auto"/>
        </w:rPr>
      </w:pPr>
      <w:r w:rsidRPr="000F5A78">
        <w:rPr>
          <w:color w:val="auto"/>
        </w:rPr>
        <w:t>The measure of satisfaction is based on Customers participating in the survey who report the level of their satisfaction as either “satisfied” or “very satisfied”; and</w:t>
      </w:r>
    </w:p>
    <w:p w:rsidR="000F5A78" w:rsidRPr="000F5A78" w:rsidRDefault="000F5A78" w:rsidP="00924135">
      <w:pPr>
        <w:pStyle w:val="BodyText2"/>
        <w:numPr>
          <w:ilvl w:val="0"/>
          <w:numId w:val="15"/>
        </w:numPr>
        <w:adjustRightInd/>
        <w:spacing w:before="0"/>
        <w:ind w:right="54"/>
        <w:jc w:val="both"/>
        <w:rPr>
          <w:color w:val="auto"/>
        </w:rPr>
      </w:pPr>
      <w:r w:rsidRPr="000F5A78">
        <w:rPr>
          <w:color w:val="auto"/>
        </w:rPr>
        <w:t>The measure of satisfaction is based on the statistically-significant survey results for both electric and natural gas service for Avista’s entire service territory for the calendar year, and if possible, will also be reported for Washington customers only.</w:t>
      </w:r>
    </w:p>
    <w:p w:rsidR="000F5A78" w:rsidRPr="000F5A78" w:rsidRDefault="000F5A78" w:rsidP="000F5A78"/>
    <w:p w:rsidR="00E21CD4" w:rsidRPr="00E21CD4" w:rsidRDefault="0017040A" w:rsidP="00E21CD4">
      <w:r w:rsidRPr="002D5827">
        <w:rPr>
          <w:szCs w:val="24"/>
        </w:rPr>
        <w:t xml:space="preserve">The results of this measure are based on the Company’s Voice of the Customer (VOC) survey, which is administered by </w:t>
      </w:r>
      <w:r>
        <w:rPr>
          <w:szCs w:val="24"/>
        </w:rPr>
        <w:t xml:space="preserve">a third-party vendor with oversight from </w:t>
      </w:r>
      <w:r w:rsidRPr="002D5827">
        <w:rPr>
          <w:szCs w:val="24"/>
        </w:rPr>
        <w:t>our External Communications Department.  At the conclusion of each year the External Communi</w:t>
      </w:r>
      <w:r>
        <w:rPr>
          <w:szCs w:val="24"/>
        </w:rPr>
        <w:t>cations Department will receive</w:t>
      </w:r>
      <w:r w:rsidRPr="002D5827">
        <w:rPr>
          <w:szCs w:val="24"/>
        </w:rPr>
        <w:t xml:space="preserve"> the annual VOC survey results on a system and WA only basis.</w:t>
      </w:r>
    </w:p>
    <w:p w:rsidR="00BC678D" w:rsidRDefault="00BC678D" w:rsidP="00BC678D">
      <w:pPr>
        <w:pStyle w:val="Heading5"/>
        <w:jc w:val="both"/>
      </w:pPr>
    </w:p>
    <w:p w:rsidR="00421E17" w:rsidRDefault="00421E17" w:rsidP="00BC678D">
      <w:pPr>
        <w:pStyle w:val="Heading5"/>
        <w:jc w:val="both"/>
      </w:pPr>
    </w:p>
    <w:p w:rsidR="00996F16" w:rsidRDefault="00996F16" w:rsidP="00BC678D">
      <w:pPr>
        <w:pStyle w:val="Heading5"/>
        <w:jc w:val="both"/>
      </w:pPr>
      <w:r>
        <w:t>UTC Complaint Ratio</w:t>
      </w:r>
    </w:p>
    <w:p w:rsidR="00406A8F" w:rsidRDefault="00406A8F" w:rsidP="00406A8F"/>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406A8F" w:rsidRPr="00813D8F" w:rsidTr="00020145">
        <w:trPr>
          <w:trHeight w:val="315"/>
        </w:trPr>
        <w:tc>
          <w:tcPr>
            <w:tcW w:w="5178" w:type="dxa"/>
            <w:shd w:val="clear" w:color="000000" w:fill="BFBFBF"/>
            <w:vAlign w:val="bottom"/>
            <w:hideMark/>
          </w:tcPr>
          <w:p w:rsidR="00406A8F" w:rsidRPr="00813D8F" w:rsidRDefault="00406A8F"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Achieved</w:t>
            </w:r>
          </w:p>
        </w:tc>
      </w:tr>
      <w:tr w:rsidR="00406A8F" w:rsidRPr="00813D8F" w:rsidTr="00020145">
        <w:trPr>
          <w:trHeight w:val="315"/>
        </w:trPr>
        <w:tc>
          <w:tcPr>
            <w:tcW w:w="5178" w:type="dxa"/>
            <w:shd w:val="clear" w:color="auto" w:fill="auto"/>
            <w:vAlign w:val="bottom"/>
            <w:hideMark/>
          </w:tcPr>
          <w:p w:rsidR="00406A8F" w:rsidRPr="00813D8F" w:rsidRDefault="00406A8F" w:rsidP="00020145">
            <w:pPr>
              <w:rPr>
                <w:rFonts w:ascii="Calibri" w:hAnsi="Calibri"/>
                <w:color w:val="000000"/>
                <w:szCs w:val="24"/>
              </w:rPr>
            </w:pPr>
            <w:r w:rsidRPr="00813D8F">
              <w:rPr>
                <w:rFonts w:ascii="Calibri" w:hAnsi="Calibri"/>
                <w:color w:val="000000"/>
                <w:szCs w:val="24"/>
              </w:rPr>
              <w:t>Number of complaints to the WUTC per 1,000 customers, per year</w:t>
            </w:r>
          </w:p>
        </w:tc>
        <w:tc>
          <w:tcPr>
            <w:tcW w:w="1793" w:type="dxa"/>
            <w:shd w:val="clear" w:color="auto" w:fill="auto"/>
            <w:vAlign w:val="bottom"/>
            <w:hideMark/>
          </w:tcPr>
          <w:p w:rsidR="00406A8F" w:rsidRPr="00813D8F" w:rsidRDefault="00406A8F" w:rsidP="00020145">
            <w:pPr>
              <w:jc w:val="center"/>
              <w:rPr>
                <w:rFonts w:ascii="Calibri" w:hAnsi="Calibri"/>
                <w:color w:val="000000"/>
                <w:szCs w:val="24"/>
              </w:rPr>
            </w:pPr>
            <w:r w:rsidRPr="00813D8F">
              <w:rPr>
                <w:rFonts w:ascii="Calibri" w:hAnsi="Calibri"/>
                <w:color w:val="000000"/>
                <w:szCs w:val="24"/>
              </w:rPr>
              <w:t>Less than 0.40</w:t>
            </w:r>
          </w:p>
        </w:tc>
        <w:tc>
          <w:tcPr>
            <w:tcW w:w="1504" w:type="dxa"/>
            <w:shd w:val="clear" w:color="auto" w:fill="auto"/>
            <w:noWrap/>
            <w:vAlign w:val="bottom"/>
            <w:hideMark/>
          </w:tcPr>
          <w:p w:rsidR="00406A8F" w:rsidRPr="00813D8F" w:rsidRDefault="00406A8F" w:rsidP="00020145">
            <w:pPr>
              <w:jc w:val="center"/>
              <w:rPr>
                <w:rFonts w:ascii="Calibri" w:hAnsi="Calibri"/>
                <w:color w:val="000000"/>
                <w:szCs w:val="24"/>
              </w:rPr>
            </w:pPr>
          </w:p>
        </w:tc>
        <w:tc>
          <w:tcPr>
            <w:tcW w:w="1350" w:type="dxa"/>
            <w:shd w:val="clear" w:color="auto" w:fill="auto"/>
            <w:noWrap/>
            <w:vAlign w:val="bottom"/>
            <w:hideMark/>
          </w:tcPr>
          <w:p w:rsidR="00406A8F" w:rsidRPr="00813D8F" w:rsidRDefault="00406A8F" w:rsidP="00020145">
            <w:pPr>
              <w:jc w:val="center"/>
              <w:rPr>
                <w:rFonts w:ascii="Calibri" w:hAnsi="Calibri"/>
                <w:color w:val="000000"/>
                <w:szCs w:val="24"/>
              </w:rPr>
            </w:pPr>
          </w:p>
        </w:tc>
      </w:tr>
    </w:tbl>
    <w:p w:rsidR="00406A8F" w:rsidRDefault="00406A8F" w:rsidP="00406A8F"/>
    <w:p w:rsidR="000F5A78" w:rsidRDefault="000F5A78" w:rsidP="00406A8F">
      <w:r>
        <w:rPr>
          <w:b/>
        </w:rPr>
        <w:t>About the Benchmark</w:t>
      </w:r>
    </w:p>
    <w:p w:rsidR="000F5A78" w:rsidRDefault="000F5A78" w:rsidP="00406A8F"/>
    <w:p w:rsidR="000F5A78" w:rsidRDefault="000F5A78" w:rsidP="007D4C3A">
      <w:pPr>
        <w:jc w:val="both"/>
      </w:pPr>
      <w:r>
        <w:t>The full details of the measure are as follow:</w:t>
      </w:r>
    </w:p>
    <w:p w:rsidR="000F5A78" w:rsidRDefault="000F5A78" w:rsidP="007D4C3A">
      <w:pPr>
        <w:jc w:val="both"/>
      </w:pPr>
    </w:p>
    <w:p w:rsidR="007D4C3A" w:rsidRPr="007D4C3A" w:rsidRDefault="007D4C3A" w:rsidP="007D4C3A">
      <w:pPr>
        <w:pStyle w:val="BodyText2"/>
        <w:ind w:left="720" w:right="54"/>
        <w:jc w:val="both"/>
        <w:rPr>
          <w:color w:val="auto"/>
        </w:rPr>
      </w:pPr>
      <w:r w:rsidRPr="007D4C3A">
        <w:rPr>
          <w:color w:val="auto"/>
        </w:rPr>
        <w:t>The number of complaints filed with the Washington Utilities and Transportation Commission by Avista’s electric and natural gas Customers will not exceed the rate of 0.4 complaints per 1,000 Customers for the calendar year.</w:t>
      </w:r>
    </w:p>
    <w:p w:rsidR="007D4C3A" w:rsidRDefault="007D4C3A" w:rsidP="007D4C3A">
      <w:pPr>
        <w:jc w:val="both"/>
      </w:pPr>
    </w:p>
    <w:p w:rsidR="007D4C3A" w:rsidRDefault="007D4C3A" w:rsidP="007D4C3A">
      <w:pPr>
        <w:jc w:val="both"/>
        <w:rPr>
          <w:szCs w:val="24"/>
        </w:rPr>
      </w:pPr>
      <w:r>
        <w:rPr>
          <w:szCs w:val="24"/>
        </w:rPr>
        <w:t xml:space="preserve">Customer Complaints filed with the WUTC will be monitored and tracked by Avista’s Customer Service Department. </w:t>
      </w:r>
    </w:p>
    <w:p w:rsidR="007D4C3A" w:rsidRDefault="007D4C3A" w:rsidP="007D4C3A">
      <w:pPr>
        <w:ind w:left="720"/>
        <w:jc w:val="both"/>
        <w:rPr>
          <w:szCs w:val="24"/>
        </w:rPr>
      </w:pPr>
    </w:p>
    <w:p w:rsidR="007D4C3A" w:rsidRDefault="007D4C3A" w:rsidP="007D4C3A">
      <w:pPr>
        <w:jc w:val="both"/>
        <w:rPr>
          <w:szCs w:val="24"/>
        </w:rPr>
      </w:pPr>
      <w:r>
        <w:rPr>
          <w:szCs w:val="24"/>
        </w:rPr>
        <w:lastRenderedPageBreak/>
        <w:t>The complaint ratio is calculated by dividing the sum of all electric and natural gas complaints to the WUTC by the average monthly number of Avista customers.  The quotient is then multiplied by 1,000 to get the complaint ratio.</w:t>
      </w:r>
    </w:p>
    <w:p w:rsidR="007D4C3A" w:rsidRDefault="007D4C3A" w:rsidP="007D4C3A">
      <w:pPr>
        <w:ind w:left="720"/>
        <w:jc w:val="both"/>
        <w:rPr>
          <w:szCs w:val="24"/>
        </w:rPr>
      </w:pPr>
    </w:p>
    <w:p w:rsidR="007D4C3A" w:rsidRDefault="007D4C3A" w:rsidP="007D4C3A">
      <w:pPr>
        <w:ind w:left="720"/>
        <w:jc w:val="both"/>
        <w:rPr>
          <w:szCs w:val="24"/>
        </w:rPr>
      </w:pPr>
      <w:r>
        <w:rPr>
          <w:szCs w:val="24"/>
        </w:rPr>
        <w:t>Complaint Ratio =</w:t>
      </w:r>
      <w:r>
        <w:rPr>
          <w:szCs w:val="24"/>
        </w:rPr>
        <w:tab/>
      </w:r>
      <w:r w:rsidRPr="003611A8">
        <w:rPr>
          <w:szCs w:val="24"/>
          <w:u w:val="single"/>
        </w:rPr>
        <w:t xml:space="preserve">         </w:t>
      </w:r>
      <w:r>
        <w:rPr>
          <w:szCs w:val="24"/>
          <w:u w:val="single"/>
        </w:rPr>
        <w:tab/>
      </w:r>
      <w:r w:rsidRPr="003611A8">
        <w:rPr>
          <w:szCs w:val="24"/>
          <w:u w:val="single"/>
        </w:rPr>
        <w:t xml:space="preserve">  </w:t>
      </w:r>
      <w:r w:rsidRPr="003611A8">
        <w:rPr>
          <w:szCs w:val="24"/>
          <w:u w:val="single"/>
        </w:rPr>
        <w:tab/>
        <w:t># of complaints</w:t>
      </w:r>
      <w:r>
        <w:rPr>
          <w:szCs w:val="24"/>
          <w:u w:val="single"/>
        </w:rPr>
        <w:tab/>
        <w:t xml:space="preserve">           </w:t>
      </w:r>
      <w:r w:rsidRPr="003611A8">
        <w:rPr>
          <w:szCs w:val="24"/>
          <w:u w:val="single"/>
        </w:rPr>
        <w:tab/>
      </w:r>
      <w:r>
        <w:rPr>
          <w:szCs w:val="24"/>
          <w:u w:val="single"/>
        </w:rPr>
        <w:t xml:space="preserve">   </w:t>
      </w:r>
      <w:r w:rsidRPr="003611A8">
        <w:rPr>
          <w:szCs w:val="24"/>
          <w:u w:val="single"/>
        </w:rPr>
        <w:t xml:space="preserve">      </w:t>
      </w:r>
      <w:r>
        <w:rPr>
          <w:szCs w:val="24"/>
        </w:rPr>
        <w:t xml:space="preserve">  </w:t>
      </w:r>
    </w:p>
    <w:p w:rsidR="007D4C3A" w:rsidRDefault="007D4C3A" w:rsidP="007D4C3A">
      <w:pPr>
        <w:ind w:left="2160" w:firstLine="720"/>
        <w:jc w:val="both"/>
        <w:rPr>
          <w:szCs w:val="24"/>
        </w:rPr>
      </w:pPr>
      <w:r>
        <w:rPr>
          <w:szCs w:val="24"/>
        </w:rPr>
        <w:t xml:space="preserve">    Avg. # of electric + natural gas customers     X 1,000  </w:t>
      </w:r>
    </w:p>
    <w:p w:rsidR="007D4C3A" w:rsidRDefault="007D4C3A" w:rsidP="007D4C3A">
      <w:pPr>
        <w:ind w:left="720"/>
        <w:jc w:val="both"/>
        <w:rPr>
          <w:szCs w:val="24"/>
        </w:rPr>
      </w:pPr>
    </w:p>
    <w:p w:rsidR="00996F16" w:rsidRDefault="00996F16" w:rsidP="00BC678D">
      <w:pPr>
        <w:pStyle w:val="Heading5"/>
        <w:jc w:val="both"/>
      </w:pPr>
    </w:p>
    <w:p w:rsidR="007D4C3A" w:rsidRDefault="007D4C3A" w:rsidP="00BC678D">
      <w:pPr>
        <w:pStyle w:val="Heading5"/>
        <w:jc w:val="both"/>
      </w:pPr>
    </w:p>
    <w:p w:rsidR="00996F16" w:rsidRDefault="00996F16" w:rsidP="00BC678D">
      <w:pPr>
        <w:pStyle w:val="Heading5"/>
        <w:jc w:val="both"/>
      </w:pPr>
      <w:r>
        <w:t>Call Center Grade of Service</w:t>
      </w:r>
    </w:p>
    <w:p w:rsidR="00406A8F" w:rsidRDefault="00406A8F" w:rsidP="00406A8F"/>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406A8F" w:rsidRPr="00813D8F" w:rsidTr="00020145">
        <w:trPr>
          <w:trHeight w:val="315"/>
        </w:trPr>
        <w:tc>
          <w:tcPr>
            <w:tcW w:w="5178" w:type="dxa"/>
            <w:shd w:val="clear" w:color="000000" w:fill="BFBFBF"/>
            <w:vAlign w:val="bottom"/>
            <w:hideMark/>
          </w:tcPr>
          <w:p w:rsidR="00406A8F" w:rsidRPr="00813D8F" w:rsidRDefault="00406A8F"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Achieved</w:t>
            </w:r>
          </w:p>
        </w:tc>
      </w:tr>
      <w:tr w:rsidR="00406A8F" w:rsidRPr="00813D8F" w:rsidTr="00020145">
        <w:trPr>
          <w:trHeight w:val="630"/>
        </w:trPr>
        <w:tc>
          <w:tcPr>
            <w:tcW w:w="5178" w:type="dxa"/>
            <w:shd w:val="clear" w:color="auto" w:fill="auto"/>
            <w:vAlign w:val="bottom"/>
            <w:hideMark/>
          </w:tcPr>
          <w:p w:rsidR="00406A8F" w:rsidRPr="00813D8F" w:rsidRDefault="00406A8F" w:rsidP="00020145">
            <w:pPr>
              <w:rPr>
                <w:rFonts w:ascii="Calibri" w:hAnsi="Calibri"/>
                <w:color w:val="000000"/>
                <w:szCs w:val="24"/>
              </w:rPr>
            </w:pPr>
            <w:r w:rsidRPr="00813D8F">
              <w:rPr>
                <w:rFonts w:ascii="Calibri" w:hAnsi="Calibri"/>
                <w:color w:val="000000"/>
                <w:szCs w:val="24"/>
              </w:rPr>
              <w:t>Percent of calls answered live within 60 seconds by our Contact Center</w:t>
            </w:r>
          </w:p>
        </w:tc>
        <w:tc>
          <w:tcPr>
            <w:tcW w:w="1793" w:type="dxa"/>
            <w:shd w:val="clear" w:color="auto" w:fill="auto"/>
            <w:vAlign w:val="bottom"/>
            <w:hideMark/>
          </w:tcPr>
          <w:p w:rsidR="00406A8F" w:rsidRPr="00813D8F" w:rsidRDefault="00406A8F" w:rsidP="00020145">
            <w:pPr>
              <w:jc w:val="center"/>
              <w:rPr>
                <w:rFonts w:ascii="Calibri" w:hAnsi="Calibri"/>
                <w:color w:val="000000"/>
                <w:szCs w:val="24"/>
              </w:rPr>
            </w:pPr>
            <w:r w:rsidRPr="00813D8F">
              <w:rPr>
                <w:rFonts w:ascii="Calibri" w:hAnsi="Calibri"/>
                <w:color w:val="000000"/>
                <w:szCs w:val="24"/>
              </w:rPr>
              <w:t>At least 80%</w:t>
            </w:r>
          </w:p>
        </w:tc>
        <w:tc>
          <w:tcPr>
            <w:tcW w:w="1504" w:type="dxa"/>
            <w:shd w:val="clear" w:color="auto" w:fill="auto"/>
            <w:noWrap/>
            <w:vAlign w:val="bottom"/>
            <w:hideMark/>
          </w:tcPr>
          <w:p w:rsidR="00406A8F" w:rsidRPr="00813D8F" w:rsidRDefault="00406A8F" w:rsidP="00020145">
            <w:pPr>
              <w:jc w:val="center"/>
              <w:rPr>
                <w:rFonts w:ascii="Calibri" w:hAnsi="Calibri"/>
                <w:color w:val="000000"/>
                <w:szCs w:val="24"/>
              </w:rPr>
            </w:pPr>
          </w:p>
        </w:tc>
        <w:tc>
          <w:tcPr>
            <w:tcW w:w="1350" w:type="dxa"/>
            <w:shd w:val="clear" w:color="auto" w:fill="auto"/>
            <w:noWrap/>
            <w:vAlign w:val="bottom"/>
            <w:hideMark/>
          </w:tcPr>
          <w:p w:rsidR="00406A8F" w:rsidRPr="00813D8F" w:rsidRDefault="00406A8F" w:rsidP="00020145">
            <w:pPr>
              <w:jc w:val="center"/>
              <w:rPr>
                <w:rFonts w:ascii="Calibri" w:hAnsi="Calibri"/>
                <w:color w:val="000000"/>
                <w:szCs w:val="24"/>
              </w:rPr>
            </w:pPr>
          </w:p>
        </w:tc>
      </w:tr>
    </w:tbl>
    <w:p w:rsidR="00406A8F" w:rsidRDefault="00406A8F" w:rsidP="00406A8F"/>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5B4CFD" w:rsidRPr="00406A8F" w:rsidRDefault="005B4CFD" w:rsidP="00406A8F"/>
    <w:p w:rsidR="00DD3E5E" w:rsidRPr="00DD3E5E" w:rsidRDefault="00DD3E5E" w:rsidP="00DD3E5E">
      <w:pPr>
        <w:pStyle w:val="BodyText2"/>
        <w:ind w:left="720" w:right="54"/>
        <w:jc w:val="both"/>
        <w:rPr>
          <w:color w:val="auto"/>
        </w:rPr>
      </w:pPr>
      <w:r w:rsidRPr="00DD3E5E">
        <w:rPr>
          <w:color w:val="auto"/>
        </w:rPr>
        <w:t>The percentage of Customer calls answered by a live representative within 60 seconds will be at least 80 percent for the calendar year, where:</w:t>
      </w:r>
    </w:p>
    <w:p w:rsidR="00DD3E5E" w:rsidRPr="00DD3E5E" w:rsidRDefault="00DD3E5E" w:rsidP="00924135">
      <w:pPr>
        <w:pStyle w:val="BodyText2"/>
        <w:numPr>
          <w:ilvl w:val="0"/>
          <w:numId w:val="16"/>
        </w:numPr>
        <w:adjustRightInd/>
        <w:spacing w:before="0"/>
        <w:ind w:right="54"/>
        <w:jc w:val="both"/>
        <w:rPr>
          <w:color w:val="auto"/>
        </w:rPr>
      </w:pPr>
      <w:r w:rsidRPr="00DD3E5E">
        <w:rPr>
          <w:color w:val="auto"/>
        </w:rPr>
        <w:t>The measure of response time is based on results from the Company’s Contact Center, and is initiated when the Customer requests to speak to a Customer service representative; and</w:t>
      </w:r>
    </w:p>
    <w:p w:rsidR="00DD3E5E" w:rsidRPr="00DD3E5E" w:rsidRDefault="00DD3E5E" w:rsidP="00924135">
      <w:pPr>
        <w:pStyle w:val="BodyText2"/>
        <w:numPr>
          <w:ilvl w:val="0"/>
          <w:numId w:val="16"/>
        </w:numPr>
        <w:adjustRightInd/>
        <w:spacing w:before="0"/>
        <w:ind w:right="54"/>
        <w:jc w:val="both"/>
        <w:rPr>
          <w:color w:val="auto"/>
        </w:rPr>
      </w:pPr>
      <w:r w:rsidRPr="00DD3E5E">
        <w:rPr>
          <w:color w:val="auto"/>
        </w:rPr>
        <w:t>Response time is based on the combined results for both electric and natural gas Customers for Avista’s entire service territory.</w:t>
      </w:r>
    </w:p>
    <w:p w:rsidR="00996F16" w:rsidRDefault="00996F16" w:rsidP="00BC678D">
      <w:pPr>
        <w:pStyle w:val="Heading5"/>
        <w:jc w:val="both"/>
      </w:pPr>
    </w:p>
    <w:p w:rsidR="00DD3E5E" w:rsidRDefault="00DD3E5E" w:rsidP="00DD3E5E">
      <w:pPr>
        <w:jc w:val="both"/>
        <w:rPr>
          <w:szCs w:val="24"/>
        </w:rPr>
      </w:pPr>
      <w:r>
        <w:rPr>
          <w:szCs w:val="24"/>
        </w:rPr>
        <w:t xml:space="preserve">The Call Center Grade of Service (GOS), or goal of answering 80% of calls within 60 seconds, will be managed by the Customer Service Scheduler with oversight of the Customer Service Management team.  </w:t>
      </w:r>
    </w:p>
    <w:p w:rsidR="00DD3E5E" w:rsidRDefault="00DD3E5E" w:rsidP="00DD3E5E">
      <w:pPr>
        <w:ind w:left="720"/>
        <w:jc w:val="both"/>
        <w:rPr>
          <w:szCs w:val="24"/>
        </w:rPr>
      </w:pPr>
    </w:p>
    <w:p w:rsidR="00DD3E5E" w:rsidRDefault="00DD3E5E" w:rsidP="00DD3E5E">
      <w:pPr>
        <w:jc w:val="both"/>
        <w:rPr>
          <w:szCs w:val="24"/>
        </w:rPr>
      </w:pPr>
      <w:r>
        <w:rPr>
          <w:szCs w:val="24"/>
        </w:rPr>
        <w:t xml:space="preserve">When a customer calls Avista’s Call Center the call is received by the Interactive Voice </w:t>
      </w:r>
      <w:r w:rsidR="00BB0900">
        <w:rPr>
          <w:szCs w:val="24"/>
        </w:rPr>
        <w:t>Response</w:t>
      </w:r>
      <w:r>
        <w:rPr>
          <w:szCs w:val="24"/>
        </w:rPr>
        <w:t xml:space="preserve"> (IVR) system where the customer can self-serve (i.e., check account balance, pay a bill, etc…) or choose to speak to a Customer Service Representative (CSR).  The response time to phone calls is measured from the time a customer requests to speak to a CSR until a CSR answers the call.</w:t>
      </w:r>
    </w:p>
    <w:p w:rsidR="00DD3E5E" w:rsidRDefault="00DD3E5E" w:rsidP="00DD3E5E">
      <w:pPr>
        <w:ind w:left="720"/>
        <w:jc w:val="both"/>
        <w:rPr>
          <w:szCs w:val="24"/>
        </w:rPr>
      </w:pPr>
    </w:p>
    <w:p w:rsidR="00DD3E5E" w:rsidRDefault="00DD3E5E" w:rsidP="00DD3E5E">
      <w:pPr>
        <w:jc w:val="both"/>
        <w:rPr>
          <w:szCs w:val="24"/>
        </w:rPr>
      </w:pPr>
      <w:r>
        <w:rPr>
          <w:szCs w:val="24"/>
        </w:rPr>
        <w:t>The GOS for the calendar year is determined by dividing the total number of calls answered by a CSR within 60 seconds by the total number of calls received for the year.</w:t>
      </w:r>
    </w:p>
    <w:p w:rsidR="00DD3E5E" w:rsidRDefault="00DD3E5E" w:rsidP="00DD3E5E">
      <w:pPr>
        <w:ind w:left="720"/>
        <w:jc w:val="both"/>
        <w:rPr>
          <w:szCs w:val="24"/>
        </w:rPr>
      </w:pPr>
    </w:p>
    <w:p w:rsidR="00DD3E5E" w:rsidRDefault="00DD3E5E" w:rsidP="00DD3E5E">
      <w:pPr>
        <w:ind w:left="720"/>
        <w:jc w:val="both"/>
        <w:rPr>
          <w:szCs w:val="24"/>
        </w:rPr>
      </w:pPr>
      <w:r>
        <w:rPr>
          <w:szCs w:val="24"/>
        </w:rPr>
        <w:t xml:space="preserve">GOS = </w:t>
      </w:r>
      <w:r w:rsidRPr="001B5DA6">
        <w:rPr>
          <w:szCs w:val="24"/>
          <w:u w:val="single"/>
        </w:rPr>
        <w:t>total number of calls answered within 60 seconds</w:t>
      </w:r>
    </w:p>
    <w:p w:rsidR="00DD3E5E" w:rsidRDefault="00DD3E5E" w:rsidP="00DD3E5E">
      <w:pPr>
        <w:ind w:left="720"/>
        <w:jc w:val="both"/>
        <w:rPr>
          <w:szCs w:val="24"/>
        </w:rPr>
      </w:pPr>
      <w:r>
        <w:rPr>
          <w:szCs w:val="24"/>
        </w:rPr>
        <w:tab/>
      </w:r>
      <w:r>
        <w:rPr>
          <w:szCs w:val="24"/>
        </w:rPr>
        <w:tab/>
      </w:r>
      <w:r>
        <w:rPr>
          <w:szCs w:val="24"/>
        </w:rPr>
        <w:tab/>
        <w:t>total number of calls</w:t>
      </w:r>
    </w:p>
    <w:p w:rsidR="00DD3E5E" w:rsidRDefault="00DD3E5E" w:rsidP="00DD3E5E"/>
    <w:p w:rsidR="00DD3E5E" w:rsidRPr="00DD3E5E" w:rsidRDefault="00DD3E5E" w:rsidP="00DD3E5E"/>
    <w:p w:rsidR="00DD3E5E" w:rsidRDefault="00DD3E5E" w:rsidP="00BC678D">
      <w:pPr>
        <w:pStyle w:val="Heading5"/>
        <w:jc w:val="both"/>
      </w:pPr>
    </w:p>
    <w:p w:rsidR="00DD3E5E" w:rsidRDefault="00DD3E5E" w:rsidP="00BC678D">
      <w:pPr>
        <w:pStyle w:val="Heading5"/>
        <w:jc w:val="both"/>
      </w:pPr>
    </w:p>
    <w:p w:rsidR="00DD3E5E" w:rsidRDefault="00DD3E5E">
      <w:pPr>
        <w:rPr>
          <w:rFonts w:ascii="Arial" w:hAnsi="Arial"/>
          <w:b/>
          <w:snapToGrid w:val="0"/>
          <w:color w:val="000000"/>
          <w:sz w:val="22"/>
        </w:rPr>
      </w:pPr>
      <w:r>
        <w:br w:type="page"/>
      </w:r>
    </w:p>
    <w:p w:rsidR="00996F16" w:rsidRDefault="00996F16" w:rsidP="00BC678D">
      <w:pPr>
        <w:pStyle w:val="Heading5"/>
        <w:jc w:val="both"/>
      </w:pPr>
      <w:r>
        <w:lastRenderedPageBreak/>
        <w:t>Electric Emergency Response Time</w:t>
      </w:r>
    </w:p>
    <w:p w:rsidR="00406A8F" w:rsidRDefault="00406A8F" w:rsidP="00406A8F"/>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406A8F" w:rsidRPr="00813D8F" w:rsidTr="00020145">
        <w:trPr>
          <w:trHeight w:val="315"/>
        </w:trPr>
        <w:tc>
          <w:tcPr>
            <w:tcW w:w="5178" w:type="dxa"/>
            <w:shd w:val="clear" w:color="000000" w:fill="BFBFBF"/>
            <w:vAlign w:val="bottom"/>
            <w:hideMark/>
          </w:tcPr>
          <w:p w:rsidR="00406A8F" w:rsidRPr="00813D8F" w:rsidRDefault="00406A8F"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Achieved</w:t>
            </w:r>
          </w:p>
        </w:tc>
      </w:tr>
      <w:tr w:rsidR="00406A8F" w:rsidRPr="00813D8F" w:rsidTr="00020145">
        <w:trPr>
          <w:trHeight w:val="630"/>
        </w:trPr>
        <w:tc>
          <w:tcPr>
            <w:tcW w:w="5178" w:type="dxa"/>
            <w:shd w:val="clear" w:color="auto" w:fill="auto"/>
            <w:vAlign w:val="bottom"/>
            <w:hideMark/>
          </w:tcPr>
          <w:p w:rsidR="00406A8F" w:rsidRPr="00813D8F" w:rsidRDefault="00406A8F" w:rsidP="00020145">
            <w:pPr>
              <w:rPr>
                <w:rFonts w:ascii="Calibri" w:hAnsi="Calibri"/>
                <w:color w:val="000000"/>
                <w:szCs w:val="24"/>
              </w:rPr>
            </w:pPr>
            <w:r w:rsidRPr="00813D8F">
              <w:rPr>
                <w:rFonts w:ascii="Calibri" w:hAnsi="Calibri"/>
                <w:color w:val="000000"/>
                <w:szCs w:val="24"/>
              </w:rPr>
              <w:t>Average time from customer call to arrival of field technicians in response to electric system emergencies, per year</w:t>
            </w:r>
          </w:p>
        </w:tc>
        <w:tc>
          <w:tcPr>
            <w:tcW w:w="1793" w:type="dxa"/>
            <w:shd w:val="clear" w:color="auto" w:fill="auto"/>
            <w:vAlign w:val="bottom"/>
            <w:hideMark/>
          </w:tcPr>
          <w:p w:rsidR="00406A8F" w:rsidRPr="00813D8F" w:rsidRDefault="00406A8F" w:rsidP="00020145">
            <w:pPr>
              <w:jc w:val="center"/>
              <w:rPr>
                <w:rFonts w:ascii="Calibri" w:hAnsi="Calibri"/>
                <w:color w:val="000000"/>
                <w:szCs w:val="24"/>
              </w:rPr>
            </w:pPr>
            <w:r w:rsidRPr="00813D8F">
              <w:rPr>
                <w:rFonts w:ascii="Calibri" w:hAnsi="Calibri"/>
                <w:color w:val="000000"/>
                <w:szCs w:val="24"/>
              </w:rPr>
              <w:t>No more than 80 minutes</w:t>
            </w:r>
          </w:p>
        </w:tc>
        <w:tc>
          <w:tcPr>
            <w:tcW w:w="1504" w:type="dxa"/>
            <w:shd w:val="clear" w:color="auto" w:fill="auto"/>
            <w:noWrap/>
            <w:vAlign w:val="bottom"/>
            <w:hideMark/>
          </w:tcPr>
          <w:p w:rsidR="00406A8F" w:rsidRPr="00813D8F" w:rsidRDefault="00406A8F" w:rsidP="00020145">
            <w:pPr>
              <w:jc w:val="center"/>
              <w:rPr>
                <w:rFonts w:ascii="Calibri" w:hAnsi="Calibri"/>
                <w:color w:val="000000"/>
                <w:szCs w:val="24"/>
              </w:rPr>
            </w:pPr>
          </w:p>
        </w:tc>
        <w:tc>
          <w:tcPr>
            <w:tcW w:w="1350" w:type="dxa"/>
            <w:shd w:val="clear" w:color="auto" w:fill="auto"/>
            <w:noWrap/>
            <w:vAlign w:val="bottom"/>
            <w:hideMark/>
          </w:tcPr>
          <w:p w:rsidR="00406A8F" w:rsidRPr="00813D8F" w:rsidRDefault="00406A8F" w:rsidP="00020145">
            <w:pPr>
              <w:jc w:val="center"/>
              <w:rPr>
                <w:rFonts w:ascii="Calibri" w:hAnsi="Calibri"/>
                <w:color w:val="000000"/>
                <w:szCs w:val="24"/>
              </w:rPr>
            </w:pPr>
          </w:p>
        </w:tc>
      </w:tr>
    </w:tbl>
    <w:p w:rsidR="00406A8F" w:rsidRPr="00406A8F" w:rsidRDefault="00406A8F" w:rsidP="00406A8F"/>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96F16" w:rsidRDefault="00996F16" w:rsidP="00BC678D">
      <w:pPr>
        <w:pStyle w:val="Heading5"/>
        <w:jc w:val="both"/>
      </w:pPr>
    </w:p>
    <w:p w:rsidR="009A466D" w:rsidRPr="009A466D" w:rsidRDefault="009A466D" w:rsidP="009A466D">
      <w:pPr>
        <w:pStyle w:val="BodyText2"/>
        <w:ind w:left="720" w:right="54"/>
        <w:jc w:val="both"/>
        <w:rPr>
          <w:color w:val="auto"/>
        </w:rPr>
      </w:pPr>
      <w:r w:rsidRPr="009A466D">
        <w:rPr>
          <w:color w:val="auto"/>
        </w:rPr>
        <w:t>The Company’s average response time to an electric system emergency in Washington will not exceed 80 minutes for the calendar year, where:</w:t>
      </w:r>
    </w:p>
    <w:p w:rsidR="009A466D" w:rsidRPr="009A466D" w:rsidRDefault="009A466D" w:rsidP="00924135">
      <w:pPr>
        <w:pStyle w:val="ListParagraph"/>
        <w:numPr>
          <w:ilvl w:val="0"/>
          <w:numId w:val="17"/>
        </w:numPr>
        <w:ind w:left="1440" w:right="54"/>
        <w:jc w:val="both"/>
        <w:rPr>
          <w:szCs w:val="24"/>
        </w:rPr>
      </w:pPr>
      <w:r w:rsidRPr="009A466D">
        <w:rPr>
          <w:szCs w:val="24"/>
        </w:rPr>
        <w:t>Response time is measured from the time of the Customer call to the arrival of a field service technician;</w:t>
      </w:r>
    </w:p>
    <w:p w:rsidR="009A466D" w:rsidRPr="009A466D" w:rsidRDefault="009A466D" w:rsidP="00924135">
      <w:pPr>
        <w:pStyle w:val="ListParagraph"/>
        <w:numPr>
          <w:ilvl w:val="0"/>
          <w:numId w:val="17"/>
        </w:numPr>
        <w:ind w:left="1440" w:right="54"/>
        <w:jc w:val="both"/>
        <w:rPr>
          <w:szCs w:val="24"/>
        </w:rPr>
      </w:pPr>
      <w:r w:rsidRPr="009A466D">
        <w:rPr>
          <w:szCs w:val="24"/>
        </w:rPr>
        <w:t>“Electric system emergency” is defined as an event when police/fire are standing by, or arcing/flashing wires down (unspecified location, pole to house, or pole to pole), or for feeder lockout; and</w:t>
      </w:r>
    </w:p>
    <w:p w:rsidR="009A466D" w:rsidRPr="009A466D" w:rsidRDefault="009A466D" w:rsidP="00924135">
      <w:pPr>
        <w:pStyle w:val="ListParagraph"/>
        <w:numPr>
          <w:ilvl w:val="0"/>
          <w:numId w:val="17"/>
        </w:numPr>
        <w:ind w:left="1440" w:right="54"/>
        <w:jc w:val="both"/>
        <w:rPr>
          <w:szCs w:val="24"/>
        </w:rPr>
      </w:pPr>
      <w:r w:rsidRPr="009A466D">
        <w:rPr>
          <w:szCs w:val="24"/>
        </w:rPr>
        <w:t>Response times are excluded from the calculation for those periods of time when the Company is experiencing an outage that qualifies as a Major Event Day (“MED”), as defined by the IEEE, and which includes the 24 hour period following the MED.</w:t>
      </w:r>
    </w:p>
    <w:p w:rsidR="005B4CFD" w:rsidRDefault="005B4CFD" w:rsidP="005B4CFD"/>
    <w:p w:rsidR="009A466D" w:rsidRDefault="009A466D" w:rsidP="009A466D">
      <w:pPr>
        <w:jc w:val="both"/>
        <w:rPr>
          <w:szCs w:val="24"/>
        </w:rPr>
      </w:pPr>
      <w:r w:rsidRPr="003611A8">
        <w:rPr>
          <w:szCs w:val="24"/>
        </w:rPr>
        <w:t xml:space="preserve">Electric </w:t>
      </w:r>
      <w:r>
        <w:rPr>
          <w:szCs w:val="24"/>
        </w:rPr>
        <w:t>e</w:t>
      </w:r>
      <w:r w:rsidRPr="003611A8">
        <w:rPr>
          <w:szCs w:val="24"/>
        </w:rPr>
        <w:t>mergency</w:t>
      </w:r>
      <w:r>
        <w:rPr>
          <w:szCs w:val="24"/>
        </w:rPr>
        <w:t xml:space="preserve"> response time is determined by the length of time it takes for Avista to respond onsite after receiving notice of an emergency.  The Company begins tracking the time to respond after a field order has been created, which happens when a customer or individual reports an emergency.  The average response time for the year is calculated by dividing the sum of all electric emergency response times by the total number of electric emergency incidents.</w:t>
      </w:r>
    </w:p>
    <w:p w:rsidR="009A466D" w:rsidRDefault="009A466D" w:rsidP="009A466D">
      <w:pPr>
        <w:ind w:left="720"/>
        <w:jc w:val="both"/>
        <w:rPr>
          <w:szCs w:val="24"/>
        </w:rPr>
      </w:pPr>
    </w:p>
    <w:p w:rsidR="009A466D" w:rsidRDefault="009A466D" w:rsidP="009A466D">
      <w:pPr>
        <w:ind w:left="720"/>
        <w:jc w:val="both"/>
        <w:rPr>
          <w:szCs w:val="24"/>
          <w:u w:val="single"/>
        </w:rPr>
      </w:pPr>
      <w:r>
        <w:rPr>
          <w:szCs w:val="24"/>
        </w:rPr>
        <w:t xml:space="preserve">Avg. Emergency Response Time = </w:t>
      </w:r>
      <w:r w:rsidRPr="00AB279C">
        <w:rPr>
          <w:szCs w:val="24"/>
          <w:u w:val="single"/>
        </w:rPr>
        <w:t>sum of electric emergency response times</w:t>
      </w:r>
    </w:p>
    <w:p w:rsidR="009A466D" w:rsidRPr="00AB279C" w:rsidRDefault="009A466D" w:rsidP="009A466D">
      <w:pPr>
        <w:jc w:val="both"/>
        <w:rPr>
          <w:szCs w:val="24"/>
        </w:rPr>
      </w:pPr>
      <w:r>
        <w:rPr>
          <w:szCs w:val="24"/>
        </w:rPr>
        <w:tab/>
      </w:r>
      <w:r>
        <w:rPr>
          <w:szCs w:val="24"/>
        </w:rPr>
        <w:tab/>
        <w:t xml:space="preserve">   </w:t>
      </w:r>
      <w:r>
        <w:rPr>
          <w:szCs w:val="24"/>
        </w:rPr>
        <w:tab/>
      </w:r>
      <w:r>
        <w:rPr>
          <w:szCs w:val="24"/>
        </w:rPr>
        <w:tab/>
      </w:r>
      <w:r>
        <w:rPr>
          <w:szCs w:val="24"/>
        </w:rPr>
        <w:tab/>
        <w:t xml:space="preserve">              # of electric emergency incidents</w:t>
      </w:r>
    </w:p>
    <w:p w:rsidR="009A466D" w:rsidRDefault="009A466D" w:rsidP="005B4CFD"/>
    <w:p w:rsidR="009A466D" w:rsidRPr="005B4CFD" w:rsidRDefault="009A466D" w:rsidP="005B4CFD"/>
    <w:p w:rsidR="00996F16" w:rsidRDefault="00996F16" w:rsidP="00BC678D">
      <w:pPr>
        <w:pStyle w:val="Heading5"/>
        <w:jc w:val="both"/>
      </w:pPr>
      <w:r>
        <w:t>Natural Gas Emergency Response Time</w:t>
      </w:r>
    </w:p>
    <w:p w:rsidR="00406A8F" w:rsidRDefault="00406A8F" w:rsidP="00406A8F"/>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1793"/>
        <w:gridCol w:w="1504"/>
        <w:gridCol w:w="1350"/>
      </w:tblGrid>
      <w:tr w:rsidR="00406A8F" w:rsidRPr="00813D8F" w:rsidTr="00020145">
        <w:trPr>
          <w:trHeight w:val="315"/>
        </w:trPr>
        <w:tc>
          <w:tcPr>
            <w:tcW w:w="5178" w:type="dxa"/>
            <w:shd w:val="clear" w:color="000000" w:fill="BFBFBF"/>
            <w:vAlign w:val="bottom"/>
            <w:hideMark/>
          </w:tcPr>
          <w:p w:rsidR="00406A8F" w:rsidRPr="00813D8F" w:rsidRDefault="00406A8F" w:rsidP="00020145">
            <w:pPr>
              <w:rPr>
                <w:rFonts w:ascii="Calibri" w:hAnsi="Calibri"/>
                <w:b/>
                <w:bCs/>
                <w:color w:val="000000"/>
                <w:szCs w:val="24"/>
              </w:rPr>
            </w:pPr>
            <w:r w:rsidRPr="00813D8F">
              <w:rPr>
                <w:rFonts w:ascii="Calibri" w:hAnsi="Calibri"/>
                <w:b/>
                <w:bCs/>
                <w:color w:val="000000"/>
                <w:szCs w:val="24"/>
              </w:rPr>
              <w:t>Customer Service Measures</w:t>
            </w:r>
          </w:p>
        </w:tc>
        <w:tc>
          <w:tcPr>
            <w:tcW w:w="1793" w:type="dxa"/>
            <w:shd w:val="clear" w:color="000000" w:fill="BFBFBF"/>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Benchmark</w:t>
            </w:r>
          </w:p>
        </w:tc>
        <w:tc>
          <w:tcPr>
            <w:tcW w:w="1504"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20XX Performance</w:t>
            </w:r>
          </w:p>
        </w:tc>
        <w:tc>
          <w:tcPr>
            <w:tcW w:w="1350" w:type="dxa"/>
            <w:shd w:val="clear" w:color="000000" w:fill="BFBFBF"/>
            <w:noWrap/>
            <w:vAlign w:val="bottom"/>
            <w:hideMark/>
          </w:tcPr>
          <w:p w:rsidR="00406A8F" w:rsidRPr="00813D8F" w:rsidRDefault="00406A8F" w:rsidP="00020145">
            <w:pPr>
              <w:jc w:val="center"/>
              <w:rPr>
                <w:rFonts w:ascii="Calibri" w:hAnsi="Calibri"/>
                <w:b/>
                <w:bCs/>
                <w:color w:val="000000"/>
                <w:szCs w:val="24"/>
              </w:rPr>
            </w:pPr>
            <w:r w:rsidRPr="00813D8F">
              <w:rPr>
                <w:rFonts w:ascii="Calibri" w:hAnsi="Calibri"/>
                <w:b/>
                <w:bCs/>
                <w:color w:val="000000"/>
                <w:szCs w:val="24"/>
              </w:rPr>
              <w:t>Achieved</w:t>
            </w:r>
          </w:p>
        </w:tc>
      </w:tr>
      <w:tr w:rsidR="00406A8F" w:rsidRPr="00813D8F" w:rsidTr="00020145">
        <w:trPr>
          <w:trHeight w:val="645"/>
        </w:trPr>
        <w:tc>
          <w:tcPr>
            <w:tcW w:w="5178" w:type="dxa"/>
            <w:shd w:val="clear" w:color="auto" w:fill="auto"/>
            <w:vAlign w:val="bottom"/>
            <w:hideMark/>
          </w:tcPr>
          <w:p w:rsidR="00406A8F" w:rsidRPr="00813D8F" w:rsidRDefault="00406A8F" w:rsidP="00020145">
            <w:pPr>
              <w:rPr>
                <w:rFonts w:ascii="Calibri" w:hAnsi="Calibri"/>
                <w:color w:val="000000"/>
                <w:szCs w:val="24"/>
              </w:rPr>
            </w:pPr>
            <w:r w:rsidRPr="00813D8F">
              <w:rPr>
                <w:rFonts w:ascii="Calibri" w:hAnsi="Calibri"/>
                <w:color w:val="000000"/>
                <w:szCs w:val="24"/>
              </w:rPr>
              <w:t>Average time from customer call to arrival of field technicians in response to natural gas system emergencies, per year</w:t>
            </w:r>
          </w:p>
        </w:tc>
        <w:tc>
          <w:tcPr>
            <w:tcW w:w="1793" w:type="dxa"/>
            <w:shd w:val="clear" w:color="auto" w:fill="auto"/>
            <w:vAlign w:val="bottom"/>
            <w:hideMark/>
          </w:tcPr>
          <w:p w:rsidR="00406A8F" w:rsidRPr="00813D8F" w:rsidRDefault="00406A8F" w:rsidP="00020145">
            <w:pPr>
              <w:jc w:val="center"/>
              <w:rPr>
                <w:rFonts w:ascii="Calibri" w:hAnsi="Calibri"/>
                <w:color w:val="000000"/>
                <w:szCs w:val="24"/>
              </w:rPr>
            </w:pPr>
            <w:r w:rsidRPr="00813D8F">
              <w:rPr>
                <w:rFonts w:ascii="Calibri" w:hAnsi="Calibri"/>
                <w:color w:val="000000"/>
                <w:szCs w:val="24"/>
              </w:rPr>
              <w:t>No more than 55 minutes</w:t>
            </w:r>
          </w:p>
        </w:tc>
        <w:tc>
          <w:tcPr>
            <w:tcW w:w="1504" w:type="dxa"/>
            <w:shd w:val="clear" w:color="auto" w:fill="auto"/>
            <w:noWrap/>
            <w:vAlign w:val="bottom"/>
            <w:hideMark/>
          </w:tcPr>
          <w:p w:rsidR="00406A8F" w:rsidRPr="00813D8F" w:rsidRDefault="00406A8F" w:rsidP="00020145">
            <w:pPr>
              <w:jc w:val="center"/>
              <w:rPr>
                <w:rFonts w:ascii="Calibri" w:hAnsi="Calibri"/>
                <w:color w:val="000000"/>
                <w:szCs w:val="24"/>
              </w:rPr>
            </w:pPr>
          </w:p>
        </w:tc>
        <w:tc>
          <w:tcPr>
            <w:tcW w:w="1350" w:type="dxa"/>
            <w:shd w:val="clear" w:color="auto" w:fill="auto"/>
            <w:noWrap/>
            <w:vAlign w:val="bottom"/>
            <w:hideMark/>
          </w:tcPr>
          <w:p w:rsidR="00406A8F" w:rsidRPr="00813D8F" w:rsidRDefault="00406A8F" w:rsidP="00020145">
            <w:pPr>
              <w:jc w:val="center"/>
              <w:rPr>
                <w:rFonts w:ascii="Calibri" w:hAnsi="Calibri"/>
                <w:color w:val="000000"/>
                <w:szCs w:val="24"/>
              </w:rPr>
            </w:pPr>
          </w:p>
        </w:tc>
      </w:tr>
    </w:tbl>
    <w:p w:rsidR="00406A8F" w:rsidRPr="00406A8F" w:rsidRDefault="00406A8F" w:rsidP="00406A8F"/>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54742F" w:rsidRDefault="0054742F" w:rsidP="005B4CFD"/>
    <w:p w:rsidR="0054742F" w:rsidRPr="0054742F" w:rsidRDefault="0054742F" w:rsidP="0054742F">
      <w:pPr>
        <w:pStyle w:val="BodyText2"/>
        <w:ind w:left="720" w:right="54"/>
        <w:jc w:val="both"/>
        <w:rPr>
          <w:color w:val="auto"/>
        </w:rPr>
      </w:pPr>
      <w:r w:rsidRPr="0054742F">
        <w:rPr>
          <w:color w:val="auto"/>
        </w:rPr>
        <w:t>The Company’s average response time to a natural gas system emergency in Washington will not exceed 55 minutes for the calendar year, where:</w:t>
      </w:r>
    </w:p>
    <w:p w:rsidR="0054742F" w:rsidRPr="0054742F" w:rsidRDefault="0054742F" w:rsidP="00924135">
      <w:pPr>
        <w:pStyle w:val="BodyText2"/>
        <w:numPr>
          <w:ilvl w:val="1"/>
          <w:numId w:val="18"/>
        </w:numPr>
        <w:adjustRightInd/>
        <w:spacing w:before="0"/>
        <w:ind w:right="54"/>
        <w:jc w:val="both"/>
        <w:rPr>
          <w:color w:val="auto"/>
        </w:rPr>
      </w:pPr>
      <w:r w:rsidRPr="0054742F">
        <w:rPr>
          <w:color w:val="auto"/>
        </w:rPr>
        <w:lastRenderedPageBreak/>
        <w:t>Response time is measured from the time of the customer call to the arrival of a field service technician; and</w:t>
      </w:r>
    </w:p>
    <w:p w:rsidR="0054742F" w:rsidRPr="0054742F" w:rsidRDefault="0054742F" w:rsidP="00924135">
      <w:pPr>
        <w:pStyle w:val="BodyText2"/>
        <w:numPr>
          <w:ilvl w:val="1"/>
          <w:numId w:val="18"/>
        </w:numPr>
        <w:adjustRightInd/>
        <w:spacing w:before="0"/>
        <w:ind w:right="54"/>
        <w:jc w:val="both"/>
        <w:rPr>
          <w:color w:val="auto"/>
        </w:rPr>
      </w:pPr>
      <w:r w:rsidRPr="0054742F">
        <w:rPr>
          <w:color w:val="auto"/>
        </w:rPr>
        <w:t>“Natural gas system emergency” is defined as an event when there is a natural gas explosion or fire, fire in the vicinity of natural gas facilities, police or fire are standing by, leaks identified in the field as “Grade 1”, high or low gas pressure problems identified by alarms or customer calls, natural gas system emergency alarms, carbon monoxide calls, natural gas odor calls, runaway furnace calls, or delayed ignition calls.</w:t>
      </w:r>
    </w:p>
    <w:p w:rsidR="0054742F" w:rsidRDefault="0054742F" w:rsidP="005B4CFD"/>
    <w:p w:rsidR="0054742F" w:rsidRDefault="0054742F" w:rsidP="0054742F">
      <w:pPr>
        <w:jc w:val="both"/>
        <w:rPr>
          <w:szCs w:val="24"/>
        </w:rPr>
      </w:pPr>
      <w:r>
        <w:rPr>
          <w:szCs w:val="24"/>
        </w:rPr>
        <w:t>Natural Gas</w:t>
      </w:r>
      <w:r w:rsidRPr="003611A8">
        <w:rPr>
          <w:szCs w:val="24"/>
        </w:rPr>
        <w:t xml:space="preserve"> </w:t>
      </w:r>
      <w:r>
        <w:rPr>
          <w:szCs w:val="24"/>
        </w:rPr>
        <w:t>e</w:t>
      </w:r>
      <w:r w:rsidRPr="003611A8">
        <w:rPr>
          <w:szCs w:val="24"/>
        </w:rPr>
        <w:t>mergency</w:t>
      </w:r>
      <w:r>
        <w:rPr>
          <w:szCs w:val="24"/>
        </w:rPr>
        <w:t xml:space="preserve"> response time is determined by the length of time it takes for Avista to respond onsite after receiving notice of an emergency.  The Company begins tracking the time to respond after a field order has been created, which happens when a customer or individual reports an emergency.  The average response time for the year is calculated by dividing the sum of all electric emergency response times by the total number of electric emergency incidents.</w:t>
      </w:r>
    </w:p>
    <w:p w:rsidR="0054742F" w:rsidRDefault="0054742F" w:rsidP="0054742F">
      <w:pPr>
        <w:ind w:left="720"/>
        <w:jc w:val="both"/>
        <w:rPr>
          <w:szCs w:val="24"/>
        </w:rPr>
      </w:pPr>
    </w:p>
    <w:p w:rsidR="0054742F" w:rsidRDefault="0054742F" w:rsidP="0054742F">
      <w:pPr>
        <w:ind w:left="720"/>
        <w:jc w:val="both"/>
        <w:rPr>
          <w:szCs w:val="24"/>
          <w:u w:val="single"/>
        </w:rPr>
      </w:pPr>
      <w:r>
        <w:rPr>
          <w:szCs w:val="24"/>
        </w:rPr>
        <w:t xml:space="preserve">Avg. Emergency Response Time = </w:t>
      </w:r>
      <w:r w:rsidRPr="00AB279C">
        <w:rPr>
          <w:szCs w:val="24"/>
          <w:u w:val="single"/>
        </w:rPr>
        <w:t xml:space="preserve">sum of </w:t>
      </w:r>
      <w:r>
        <w:rPr>
          <w:szCs w:val="24"/>
          <w:u w:val="single"/>
        </w:rPr>
        <w:t>natural gas</w:t>
      </w:r>
      <w:r w:rsidRPr="00AB279C">
        <w:rPr>
          <w:szCs w:val="24"/>
          <w:u w:val="single"/>
        </w:rPr>
        <w:t xml:space="preserve"> emergency response times</w:t>
      </w:r>
    </w:p>
    <w:p w:rsidR="0054742F" w:rsidRPr="00AB279C" w:rsidRDefault="0054742F" w:rsidP="0054742F">
      <w:pPr>
        <w:jc w:val="both"/>
        <w:rPr>
          <w:szCs w:val="24"/>
        </w:rPr>
      </w:pPr>
      <w:r>
        <w:rPr>
          <w:szCs w:val="24"/>
        </w:rPr>
        <w:tab/>
      </w:r>
      <w:r>
        <w:rPr>
          <w:szCs w:val="24"/>
        </w:rPr>
        <w:tab/>
        <w:t xml:space="preserve">   </w:t>
      </w:r>
      <w:r>
        <w:rPr>
          <w:szCs w:val="24"/>
        </w:rPr>
        <w:tab/>
      </w:r>
      <w:r>
        <w:rPr>
          <w:szCs w:val="24"/>
        </w:rPr>
        <w:tab/>
      </w:r>
      <w:r>
        <w:rPr>
          <w:szCs w:val="24"/>
        </w:rPr>
        <w:tab/>
        <w:t xml:space="preserve">                 # of </w:t>
      </w:r>
      <w:r w:rsidR="008503E6">
        <w:rPr>
          <w:szCs w:val="24"/>
        </w:rPr>
        <w:t>natural gas</w:t>
      </w:r>
      <w:r>
        <w:rPr>
          <w:szCs w:val="24"/>
        </w:rPr>
        <w:t xml:space="preserve"> emergency incidents</w:t>
      </w:r>
    </w:p>
    <w:p w:rsidR="0054742F" w:rsidRDefault="0054742F" w:rsidP="005B4CFD"/>
    <w:p w:rsidR="00996F16" w:rsidRDefault="00996F16" w:rsidP="00BC678D">
      <w:pPr>
        <w:pStyle w:val="Heading3"/>
        <w:jc w:val="both"/>
      </w:pPr>
      <w:bookmarkStart w:id="18" w:name="_Toc435692484"/>
      <w:r>
        <w:t>Electric Reliability Measures</w:t>
      </w:r>
      <w:bookmarkEnd w:id="18"/>
    </w:p>
    <w:p w:rsidR="00996F16" w:rsidRDefault="00996F16" w:rsidP="00BC678D">
      <w:pPr>
        <w:pStyle w:val="Heading5"/>
        <w:jc w:val="both"/>
      </w:pPr>
    </w:p>
    <w:p w:rsidR="00996F16" w:rsidRDefault="00996F16" w:rsidP="00BC678D">
      <w:pPr>
        <w:pStyle w:val="Heading5"/>
        <w:jc w:val="both"/>
      </w:pPr>
      <w:r>
        <w:t>Frequency of Interruptions</w:t>
      </w:r>
    </w:p>
    <w:p w:rsidR="00406A8F" w:rsidRDefault="00406A8F" w:rsidP="00406A8F"/>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0"/>
        <w:gridCol w:w="1495"/>
        <w:gridCol w:w="1530"/>
      </w:tblGrid>
      <w:tr w:rsidR="00406A8F" w:rsidRPr="004764A4" w:rsidTr="00020145">
        <w:trPr>
          <w:trHeight w:val="315"/>
        </w:trPr>
        <w:tc>
          <w:tcPr>
            <w:tcW w:w="6800" w:type="dxa"/>
            <w:shd w:val="clear" w:color="000000" w:fill="BFBFBF"/>
            <w:vAlign w:val="bottom"/>
            <w:hideMark/>
          </w:tcPr>
          <w:p w:rsidR="00406A8F" w:rsidRPr="004764A4" w:rsidRDefault="00406A8F" w:rsidP="00020145">
            <w:pPr>
              <w:rPr>
                <w:rFonts w:ascii="Calibri" w:hAnsi="Calibri"/>
                <w:b/>
                <w:bCs/>
                <w:color w:val="000000"/>
                <w:szCs w:val="24"/>
              </w:rPr>
            </w:pPr>
            <w:r w:rsidRPr="004764A4">
              <w:rPr>
                <w:rFonts w:ascii="Calibri" w:hAnsi="Calibri"/>
                <w:b/>
                <w:bCs/>
                <w:color w:val="000000"/>
                <w:szCs w:val="24"/>
              </w:rPr>
              <w:t xml:space="preserve">Electric System Reliability  </w:t>
            </w:r>
          </w:p>
        </w:tc>
        <w:tc>
          <w:tcPr>
            <w:tcW w:w="1495" w:type="dxa"/>
            <w:shd w:val="clear" w:color="000000" w:fill="BFBFBF"/>
            <w:vAlign w:val="bottom"/>
            <w:hideMark/>
          </w:tcPr>
          <w:p w:rsidR="00406A8F" w:rsidRPr="004764A4" w:rsidRDefault="00406A8F" w:rsidP="00020145">
            <w:pPr>
              <w:jc w:val="center"/>
              <w:rPr>
                <w:rFonts w:ascii="Calibri" w:hAnsi="Calibri"/>
                <w:b/>
                <w:bCs/>
                <w:color w:val="000000"/>
                <w:szCs w:val="24"/>
              </w:rPr>
            </w:pPr>
            <w:r w:rsidRPr="004764A4">
              <w:rPr>
                <w:rFonts w:ascii="Calibri" w:hAnsi="Calibri"/>
                <w:b/>
                <w:bCs/>
                <w:color w:val="000000"/>
                <w:szCs w:val="24"/>
              </w:rPr>
              <w:t>5-Year Avg</w:t>
            </w:r>
            <w:r>
              <w:rPr>
                <w:rFonts w:ascii="Calibri" w:hAnsi="Calibri"/>
                <w:b/>
                <w:bCs/>
                <w:color w:val="000000"/>
                <w:szCs w:val="24"/>
              </w:rPr>
              <w:t>.</w:t>
            </w:r>
          </w:p>
        </w:tc>
        <w:tc>
          <w:tcPr>
            <w:tcW w:w="1530" w:type="dxa"/>
            <w:shd w:val="clear" w:color="000000" w:fill="BFBFBF"/>
            <w:vAlign w:val="bottom"/>
            <w:hideMark/>
          </w:tcPr>
          <w:p w:rsidR="00406A8F" w:rsidRPr="004764A4" w:rsidRDefault="00406A8F" w:rsidP="00020145">
            <w:pPr>
              <w:jc w:val="center"/>
              <w:rPr>
                <w:rFonts w:ascii="Calibri" w:hAnsi="Calibri"/>
                <w:b/>
                <w:bCs/>
                <w:color w:val="000000"/>
                <w:szCs w:val="24"/>
              </w:rPr>
            </w:pPr>
            <w:r w:rsidRPr="004764A4">
              <w:rPr>
                <w:rFonts w:ascii="Calibri" w:hAnsi="Calibri"/>
                <w:b/>
                <w:bCs/>
                <w:color w:val="000000"/>
                <w:szCs w:val="24"/>
              </w:rPr>
              <w:t>20XX Result</w:t>
            </w:r>
          </w:p>
        </w:tc>
      </w:tr>
      <w:tr w:rsidR="00406A8F" w:rsidRPr="004764A4" w:rsidTr="00020145">
        <w:trPr>
          <w:trHeight w:val="630"/>
        </w:trPr>
        <w:tc>
          <w:tcPr>
            <w:tcW w:w="6800" w:type="dxa"/>
            <w:shd w:val="clear" w:color="auto" w:fill="auto"/>
            <w:vAlign w:val="bottom"/>
            <w:hideMark/>
          </w:tcPr>
          <w:p w:rsidR="00406A8F" w:rsidRPr="004764A4" w:rsidRDefault="00406A8F" w:rsidP="00020145">
            <w:pPr>
              <w:rPr>
                <w:rFonts w:ascii="Calibri" w:hAnsi="Calibri"/>
                <w:color w:val="000000"/>
                <w:szCs w:val="24"/>
              </w:rPr>
            </w:pPr>
            <w:r w:rsidRPr="004764A4">
              <w:rPr>
                <w:rFonts w:ascii="Calibri" w:hAnsi="Calibri"/>
                <w:color w:val="000000"/>
                <w:szCs w:val="24"/>
              </w:rPr>
              <w:t>Frequency of non-major-storm power interruptions, per year, per customer</w:t>
            </w:r>
          </w:p>
        </w:tc>
        <w:tc>
          <w:tcPr>
            <w:tcW w:w="1495" w:type="dxa"/>
            <w:shd w:val="clear" w:color="auto" w:fill="auto"/>
            <w:vAlign w:val="bottom"/>
            <w:hideMark/>
          </w:tcPr>
          <w:p w:rsidR="00406A8F" w:rsidRPr="004764A4" w:rsidRDefault="00406A8F" w:rsidP="00020145">
            <w:pPr>
              <w:jc w:val="center"/>
              <w:rPr>
                <w:rFonts w:ascii="Calibri" w:hAnsi="Calibri"/>
                <w:color w:val="000000"/>
                <w:szCs w:val="24"/>
              </w:rPr>
            </w:pPr>
            <w:r w:rsidRPr="004764A4">
              <w:rPr>
                <w:rFonts w:ascii="Calibri" w:hAnsi="Calibri"/>
                <w:color w:val="000000"/>
                <w:szCs w:val="24"/>
              </w:rPr>
              <w:t> </w:t>
            </w:r>
          </w:p>
        </w:tc>
        <w:tc>
          <w:tcPr>
            <w:tcW w:w="1530" w:type="dxa"/>
            <w:shd w:val="clear" w:color="auto" w:fill="auto"/>
            <w:noWrap/>
            <w:vAlign w:val="bottom"/>
            <w:hideMark/>
          </w:tcPr>
          <w:p w:rsidR="00406A8F" w:rsidRPr="004764A4" w:rsidRDefault="00406A8F" w:rsidP="00020145">
            <w:pPr>
              <w:jc w:val="center"/>
              <w:rPr>
                <w:rFonts w:ascii="Calibri" w:hAnsi="Calibri"/>
                <w:color w:val="000000"/>
                <w:szCs w:val="24"/>
              </w:rPr>
            </w:pPr>
            <w:r w:rsidRPr="004764A4">
              <w:rPr>
                <w:rFonts w:ascii="Calibri" w:hAnsi="Calibri"/>
                <w:color w:val="000000"/>
                <w:szCs w:val="24"/>
              </w:rPr>
              <w:t> </w:t>
            </w:r>
          </w:p>
        </w:tc>
      </w:tr>
    </w:tbl>
    <w:p w:rsidR="00406A8F" w:rsidRDefault="00406A8F" w:rsidP="00406A8F"/>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5B4CFD" w:rsidRDefault="005B4CFD" w:rsidP="00406A8F"/>
    <w:p w:rsidR="0054742F" w:rsidRPr="0054742F" w:rsidRDefault="0054742F" w:rsidP="0054742F">
      <w:pPr>
        <w:pStyle w:val="BodyText2"/>
        <w:ind w:left="720" w:right="54"/>
        <w:jc w:val="both"/>
        <w:rPr>
          <w:color w:val="auto"/>
        </w:rPr>
      </w:pPr>
      <w:r w:rsidRPr="0054742F">
        <w:rPr>
          <w:color w:val="auto"/>
        </w:rPr>
        <w:t>The Company will report the frequency of electric system interruptions per Customer for the calendar year, where:</w:t>
      </w:r>
    </w:p>
    <w:p w:rsidR="0054742F" w:rsidRPr="0054742F" w:rsidRDefault="0054742F" w:rsidP="00924135">
      <w:pPr>
        <w:pStyle w:val="BodyText2"/>
        <w:numPr>
          <w:ilvl w:val="1"/>
          <w:numId w:val="19"/>
        </w:numPr>
        <w:adjustRightInd/>
        <w:spacing w:before="0"/>
        <w:ind w:right="54"/>
        <w:jc w:val="both"/>
        <w:rPr>
          <w:color w:val="auto"/>
        </w:rPr>
      </w:pPr>
      <w:r w:rsidRPr="0054742F">
        <w:rPr>
          <w:color w:val="auto"/>
        </w:rPr>
        <w:t>The interruptions are measured as the System Average Interruption Frequency Index (“SAIFI”), as calculated by the IEEE;</w:t>
      </w:r>
    </w:p>
    <w:p w:rsidR="0054742F" w:rsidRPr="0054742F" w:rsidRDefault="0054742F" w:rsidP="00924135">
      <w:pPr>
        <w:pStyle w:val="BodyText2"/>
        <w:numPr>
          <w:ilvl w:val="1"/>
          <w:numId w:val="19"/>
        </w:numPr>
        <w:adjustRightInd/>
        <w:spacing w:before="0"/>
        <w:ind w:right="54"/>
        <w:jc w:val="both"/>
        <w:rPr>
          <w:color w:val="auto"/>
        </w:rPr>
      </w:pPr>
      <w:r w:rsidRPr="0054742F">
        <w:rPr>
          <w:color w:val="auto"/>
        </w:rPr>
        <w:t>The calculation of SAIFI excludes interruptions associated with any MED;</w:t>
      </w:r>
    </w:p>
    <w:p w:rsidR="0054742F" w:rsidRPr="0054742F" w:rsidRDefault="0054742F" w:rsidP="00924135">
      <w:pPr>
        <w:pStyle w:val="BodyText2"/>
        <w:numPr>
          <w:ilvl w:val="1"/>
          <w:numId w:val="19"/>
        </w:numPr>
        <w:adjustRightInd/>
        <w:spacing w:before="0"/>
        <w:ind w:right="54"/>
        <w:jc w:val="both"/>
        <w:rPr>
          <w:color w:val="auto"/>
        </w:rPr>
      </w:pPr>
      <w:r w:rsidRPr="0054742F">
        <w:rPr>
          <w:color w:val="auto"/>
        </w:rPr>
        <w:t>The report will provide a brief description of the predominant factors influencing the current-year results, and in the context of the Company’s historic five-year rolling average of SAIFI; and</w:t>
      </w:r>
    </w:p>
    <w:p w:rsidR="0054742F" w:rsidRPr="0054742F" w:rsidRDefault="0054742F" w:rsidP="00924135">
      <w:pPr>
        <w:pStyle w:val="BodyText2"/>
        <w:numPr>
          <w:ilvl w:val="1"/>
          <w:numId w:val="19"/>
        </w:numPr>
        <w:adjustRightInd/>
        <w:spacing w:before="0"/>
        <w:ind w:right="54"/>
        <w:jc w:val="both"/>
        <w:rPr>
          <w:color w:val="auto"/>
        </w:rPr>
      </w:pPr>
      <w:r w:rsidRPr="0054742F">
        <w:rPr>
          <w:color w:val="auto"/>
        </w:rPr>
        <w:t xml:space="preserve">The results will be reported on a system basis for Washington and Idaho and will include the annual SAIFI for Washington only. </w:t>
      </w:r>
    </w:p>
    <w:p w:rsidR="0054742F" w:rsidRDefault="0054742F" w:rsidP="00406A8F"/>
    <w:p w:rsidR="0054742F" w:rsidRPr="00406A8F" w:rsidRDefault="0054742F" w:rsidP="00406A8F">
      <w:r>
        <w:t>Full details of the SAIFI results are further described in Chapter 3.</w:t>
      </w:r>
    </w:p>
    <w:p w:rsidR="00996F16" w:rsidRDefault="00996F16" w:rsidP="00BC678D">
      <w:pPr>
        <w:pStyle w:val="Heading5"/>
        <w:jc w:val="both"/>
      </w:pPr>
    </w:p>
    <w:p w:rsidR="00DE5110" w:rsidRDefault="00DE5110">
      <w:pPr>
        <w:rPr>
          <w:rFonts w:ascii="Arial" w:hAnsi="Arial"/>
          <w:b/>
          <w:snapToGrid w:val="0"/>
          <w:color w:val="000000"/>
          <w:sz w:val="22"/>
        </w:rPr>
      </w:pPr>
      <w:r>
        <w:br w:type="page"/>
      </w:r>
    </w:p>
    <w:p w:rsidR="00996F16" w:rsidRPr="00996F16" w:rsidRDefault="00996F16" w:rsidP="00BC678D">
      <w:pPr>
        <w:pStyle w:val="Heading5"/>
        <w:jc w:val="both"/>
      </w:pPr>
      <w:r>
        <w:lastRenderedPageBreak/>
        <w:t>Duration of Interruptions</w:t>
      </w:r>
    </w:p>
    <w:p w:rsidR="00996F16" w:rsidRDefault="00996F16" w:rsidP="00BC678D">
      <w:pPr>
        <w:jc w:val="both"/>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0"/>
        <w:gridCol w:w="1495"/>
        <w:gridCol w:w="1530"/>
      </w:tblGrid>
      <w:tr w:rsidR="00406A8F" w:rsidRPr="004764A4" w:rsidTr="00020145">
        <w:trPr>
          <w:trHeight w:val="315"/>
        </w:trPr>
        <w:tc>
          <w:tcPr>
            <w:tcW w:w="6800" w:type="dxa"/>
            <w:shd w:val="clear" w:color="000000" w:fill="BFBFBF"/>
            <w:vAlign w:val="bottom"/>
            <w:hideMark/>
          </w:tcPr>
          <w:p w:rsidR="00406A8F" w:rsidRPr="004764A4" w:rsidRDefault="00406A8F" w:rsidP="00020145">
            <w:pPr>
              <w:rPr>
                <w:rFonts w:ascii="Calibri" w:hAnsi="Calibri"/>
                <w:b/>
                <w:bCs/>
                <w:color w:val="000000"/>
                <w:szCs w:val="24"/>
              </w:rPr>
            </w:pPr>
            <w:r w:rsidRPr="004764A4">
              <w:rPr>
                <w:rFonts w:ascii="Calibri" w:hAnsi="Calibri"/>
                <w:b/>
                <w:bCs/>
                <w:color w:val="000000"/>
                <w:szCs w:val="24"/>
              </w:rPr>
              <w:t xml:space="preserve">Electric System Reliability  </w:t>
            </w:r>
          </w:p>
        </w:tc>
        <w:tc>
          <w:tcPr>
            <w:tcW w:w="1495" w:type="dxa"/>
            <w:shd w:val="clear" w:color="000000" w:fill="BFBFBF"/>
            <w:vAlign w:val="bottom"/>
            <w:hideMark/>
          </w:tcPr>
          <w:p w:rsidR="00406A8F" w:rsidRPr="004764A4" w:rsidRDefault="00406A8F" w:rsidP="00020145">
            <w:pPr>
              <w:jc w:val="center"/>
              <w:rPr>
                <w:rFonts w:ascii="Calibri" w:hAnsi="Calibri"/>
                <w:b/>
                <w:bCs/>
                <w:color w:val="000000"/>
                <w:szCs w:val="24"/>
              </w:rPr>
            </w:pPr>
            <w:r w:rsidRPr="004764A4">
              <w:rPr>
                <w:rFonts w:ascii="Calibri" w:hAnsi="Calibri"/>
                <w:b/>
                <w:bCs/>
                <w:color w:val="000000"/>
                <w:szCs w:val="24"/>
              </w:rPr>
              <w:t>5-Year Avg</w:t>
            </w:r>
            <w:r>
              <w:rPr>
                <w:rFonts w:ascii="Calibri" w:hAnsi="Calibri"/>
                <w:b/>
                <w:bCs/>
                <w:color w:val="000000"/>
                <w:szCs w:val="24"/>
              </w:rPr>
              <w:t>.</w:t>
            </w:r>
          </w:p>
        </w:tc>
        <w:tc>
          <w:tcPr>
            <w:tcW w:w="1530" w:type="dxa"/>
            <w:shd w:val="clear" w:color="000000" w:fill="BFBFBF"/>
            <w:vAlign w:val="bottom"/>
            <w:hideMark/>
          </w:tcPr>
          <w:p w:rsidR="00406A8F" w:rsidRPr="004764A4" w:rsidRDefault="00406A8F" w:rsidP="00020145">
            <w:pPr>
              <w:jc w:val="center"/>
              <w:rPr>
                <w:rFonts w:ascii="Calibri" w:hAnsi="Calibri"/>
                <w:b/>
                <w:bCs/>
                <w:color w:val="000000"/>
                <w:szCs w:val="24"/>
              </w:rPr>
            </w:pPr>
            <w:r w:rsidRPr="004764A4">
              <w:rPr>
                <w:rFonts w:ascii="Calibri" w:hAnsi="Calibri"/>
                <w:b/>
                <w:bCs/>
                <w:color w:val="000000"/>
                <w:szCs w:val="24"/>
              </w:rPr>
              <w:t>20XX Result</w:t>
            </w:r>
          </w:p>
        </w:tc>
      </w:tr>
      <w:tr w:rsidR="00406A8F" w:rsidRPr="004764A4" w:rsidTr="00020145">
        <w:trPr>
          <w:trHeight w:val="330"/>
        </w:trPr>
        <w:tc>
          <w:tcPr>
            <w:tcW w:w="6800" w:type="dxa"/>
            <w:shd w:val="clear" w:color="auto" w:fill="auto"/>
            <w:vAlign w:val="bottom"/>
            <w:hideMark/>
          </w:tcPr>
          <w:p w:rsidR="00406A8F" w:rsidRPr="004764A4" w:rsidRDefault="00406A8F" w:rsidP="00020145">
            <w:pPr>
              <w:rPr>
                <w:rFonts w:ascii="Calibri" w:hAnsi="Calibri"/>
                <w:color w:val="000000"/>
                <w:szCs w:val="24"/>
              </w:rPr>
            </w:pPr>
            <w:r w:rsidRPr="004764A4">
              <w:rPr>
                <w:rFonts w:ascii="Calibri" w:hAnsi="Calibri"/>
                <w:color w:val="000000"/>
                <w:szCs w:val="24"/>
              </w:rPr>
              <w:t>Length of power outages per year, per customer</w:t>
            </w:r>
          </w:p>
        </w:tc>
        <w:tc>
          <w:tcPr>
            <w:tcW w:w="1495" w:type="dxa"/>
            <w:shd w:val="clear" w:color="auto" w:fill="auto"/>
            <w:vAlign w:val="bottom"/>
            <w:hideMark/>
          </w:tcPr>
          <w:p w:rsidR="00406A8F" w:rsidRPr="004764A4" w:rsidRDefault="00406A8F" w:rsidP="00020145">
            <w:pPr>
              <w:jc w:val="center"/>
              <w:rPr>
                <w:rFonts w:ascii="Calibri" w:hAnsi="Calibri"/>
                <w:color w:val="000000"/>
                <w:szCs w:val="24"/>
              </w:rPr>
            </w:pPr>
            <w:r w:rsidRPr="004764A4">
              <w:rPr>
                <w:rFonts w:ascii="Calibri" w:hAnsi="Calibri"/>
                <w:color w:val="000000"/>
                <w:szCs w:val="24"/>
              </w:rPr>
              <w:t> </w:t>
            </w:r>
          </w:p>
        </w:tc>
        <w:tc>
          <w:tcPr>
            <w:tcW w:w="1530" w:type="dxa"/>
            <w:shd w:val="clear" w:color="auto" w:fill="auto"/>
            <w:noWrap/>
            <w:vAlign w:val="bottom"/>
            <w:hideMark/>
          </w:tcPr>
          <w:p w:rsidR="00406A8F" w:rsidRPr="004764A4" w:rsidRDefault="00406A8F" w:rsidP="00020145">
            <w:pPr>
              <w:jc w:val="center"/>
              <w:rPr>
                <w:rFonts w:ascii="Calibri" w:hAnsi="Calibri"/>
                <w:color w:val="000000"/>
                <w:szCs w:val="24"/>
              </w:rPr>
            </w:pPr>
            <w:r w:rsidRPr="004764A4">
              <w:rPr>
                <w:rFonts w:ascii="Calibri" w:hAnsi="Calibri"/>
                <w:color w:val="000000"/>
                <w:szCs w:val="24"/>
              </w:rPr>
              <w:t> </w:t>
            </w:r>
          </w:p>
        </w:tc>
      </w:tr>
    </w:tbl>
    <w:p w:rsidR="00406A8F" w:rsidRDefault="00406A8F" w:rsidP="00BC678D">
      <w:pPr>
        <w:jc w:val="both"/>
      </w:pPr>
    </w:p>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5B4CFD" w:rsidRDefault="005B4CFD" w:rsidP="00BC678D">
      <w:pPr>
        <w:jc w:val="both"/>
      </w:pPr>
    </w:p>
    <w:p w:rsidR="004B4903" w:rsidRPr="004B4903" w:rsidRDefault="004B4903" w:rsidP="004B4903">
      <w:pPr>
        <w:pStyle w:val="BodyText2"/>
        <w:ind w:left="720" w:right="54"/>
        <w:jc w:val="both"/>
        <w:rPr>
          <w:color w:val="auto"/>
        </w:rPr>
      </w:pPr>
      <w:r w:rsidRPr="004B4903">
        <w:rPr>
          <w:color w:val="auto"/>
        </w:rPr>
        <w:t>The Company will report the duration of electric system interruptions per Customer for the calendar year, where:</w:t>
      </w:r>
    </w:p>
    <w:p w:rsidR="004B4903" w:rsidRPr="004B4903" w:rsidRDefault="004B4903" w:rsidP="00924135">
      <w:pPr>
        <w:pStyle w:val="BodyText2"/>
        <w:numPr>
          <w:ilvl w:val="0"/>
          <w:numId w:val="20"/>
        </w:numPr>
        <w:adjustRightInd/>
        <w:spacing w:before="0"/>
        <w:ind w:right="54"/>
        <w:jc w:val="both"/>
        <w:rPr>
          <w:color w:val="auto"/>
        </w:rPr>
      </w:pPr>
      <w:r w:rsidRPr="004B4903">
        <w:rPr>
          <w:color w:val="auto"/>
        </w:rPr>
        <w:t>The interruption duration is measured as the System Average Interruption Duration Index (“SAIDI”), as defined by the IEEE;</w:t>
      </w:r>
    </w:p>
    <w:p w:rsidR="004B4903" w:rsidRPr="004B4903" w:rsidRDefault="004B4903" w:rsidP="00924135">
      <w:pPr>
        <w:pStyle w:val="BodyText2"/>
        <w:numPr>
          <w:ilvl w:val="0"/>
          <w:numId w:val="20"/>
        </w:numPr>
        <w:adjustRightInd/>
        <w:spacing w:before="0"/>
        <w:ind w:right="54"/>
        <w:jc w:val="both"/>
        <w:rPr>
          <w:color w:val="auto"/>
        </w:rPr>
      </w:pPr>
      <w:r w:rsidRPr="004B4903">
        <w:rPr>
          <w:color w:val="auto"/>
        </w:rPr>
        <w:t>The calculation of SAIDI excludes interruptions associated with any MED;</w:t>
      </w:r>
    </w:p>
    <w:p w:rsidR="004B4903" w:rsidRPr="004B4903" w:rsidRDefault="004B4903" w:rsidP="00924135">
      <w:pPr>
        <w:pStyle w:val="BodyText2"/>
        <w:numPr>
          <w:ilvl w:val="0"/>
          <w:numId w:val="20"/>
        </w:numPr>
        <w:adjustRightInd/>
        <w:spacing w:before="0"/>
        <w:ind w:right="54"/>
        <w:jc w:val="both"/>
        <w:rPr>
          <w:color w:val="auto"/>
        </w:rPr>
      </w:pPr>
      <w:r w:rsidRPr="004B4903">
        <w:rPr>
          <w:color w:val="auto"/>
        </w:rPr>
        <w:t>The report will provide a brief description of the predominant factors influencing the current-year system results, and in the context of the Company’s historic five-year rolling average of SAIDI; and</w:t>
      </w:r>
    </w:p>
    <w:p w:rsidR="004B4903" w:rsidRPr="004B4903" w:rsidRDefault="004B4903" w:rsidP="00924135">
      <w:pPr>
        <w:numPr>
          <w:ilvl w:val="0"/>
          <w:numId w:val="20"/>
        </w:numPr>
        <w:ind w:right="54"/>
        <w:jc w:val="both"/>
        <w:rPr>
          <w:szCs w:val="24"/>
        </w:rPr>
      </w:pPr>
      <w:r w:rsidRPr="004B4903">
        <w:rPr>
          <w:szCs w:val="24"/>
        </w:rPr>
        <w:t>The results will be reported on a system basis for Washington and Idaho and will include the annual SAIDI for Washington only</w:t>
      </w:r>
    </w:p>
    <w:p w:rsidR="004B4903" w:rsidRDefault="004B4903" w:rsidP="00BC678D">
      <w:pPr>
        <w:jc w:val="both"/>
      </w:pPr>
    </w:p>
    <w:p w:rsidR="004B4903" w:rsidRPr="00996F16" w:rsidRDefault="004B4903" w:rsidP="00BC678D">
      <w:pPr>
        <w:jc w:val="both"/>
      </w:pPr>
      <w:r>
        <w:t>Full details of the SAIFI results are further described in Chapter 3.</w:t>
      </w:r>
    </w:p>
    <w:p w:rsidR="00485FDE" w:rsidRDefault="00485FDE" w:rsidP="00BC678D">
      <w:pPr>
        <w:pStyle w:val="Heading3"/>
        <w:jc w:val="both"/>
      </w:pPr>
    </w:p>
    <w:p w:rsidR="00996F16" w:rsidRDefault="00996F16" w:rsidP="00BC678D">
      <w:pPr>
        <w:pStyle w:val="Heading3"/>
        <w:jc w:val="both"/>
      </w:pPr>
      <w:bookmarkStart w:id="19" w:name="_Toc435692485"/>
      <w:r>
        <w:t>Customer Service Guarantees</w:t>
      </w:r>
      <w:bookmarkEnd w:id="19"/>
      <w:r>
        <w:t xml:space="preserve"> </w:t>
      </w:r>
    </w:p>
    <w:p w:rsidR="007E136F" w:rsidRDefault="007E136F" w:rsidP="00BC678D">
      <w:pPr>
        <w:pStyle w:val="Heading5"/>
        <w:jc w:val="both"/>
      </w:pPr>
    </w:p>
    <w:p w:rsidR="00996F16" w:rsidRDefault="00996F16" w:rsidP="00BC678D">
      <w:pPr>
        <w:pStyle w:val="Heading5"/>
        <w:jc w:val="both"/>
      </w:pPr>
      <w:r>
        <w:t>Service Appointments</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 xml:space="preserve">Electric &amp; Natural Gas service appointments </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P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24135" w:rsidRDefault="00924135" w:rsidP="005B4CFD"/>
    <w:p w:rsidR="00924135" w:rsidRPr="00924135" w:rsidRDefault="00924135" w:rsidP="00924135">
      <w:pPr>
        <w:pStyle w:val="BodyText2"/>
        <w:ind w:left="720" w:right="54"/>
        <w:jc w:val="both"/>
        <w:rPr>
          <w:color w:val="auto"/>
        </w:rPr>
      </w:pPr>
      <w:r w:rsidRPr="00924135">
        <w:rPr>
          <w:color w:val="auto"/>
        </w:rPr>
        <w:t>The Company will keep mutually agreed upon appointments for electric or natural gas service, scheduled in the time windows of either 8:00 a.m. – 12:00 p.m. or 12:00 p.m. – 5:00 p.m., except for the following instances:</w:t>
      </w:r>
    </w:p>
    <w:p w:rsidR="00924135" w:rsidRPr="00924135" w:rsidRDefault="00924135" w:rsidP="00924135">
      <w:pPr>
        <w:pStyle w:val="BodyText2"/>
        <w:numPr>
          <w:ilvl w:val="1"/>
          <w:numId w:val="21"/>
        </w:numPr>
        <w:adjustRightInd/>
        <w:spacing w:before="0"/>
        <w:ind w:right="54"/>
        <w:jc w:val="both"/>
        <w:rPr>
          <w:color w:val="auto"/>
        </w:rPr>
      </w:pPr>
      <w:r w:rsidRPr="00924135">
        <w:rPr>
          <w:color w:val="auto"/>
        </w:rPr>
        <w:t>When the Customer or Applicant cancels the appointment;</w:t>
      </w:r>
    </w:p>
    <w:p w:rsidR="00924135" w:rsidRPr="00924135" w:rsidRDefault="00924135" w:rsidP="00924135">
      <w:pPr>
        <w:pStyle w:val="BodyText2"/>
        <w:numPr>
          <w:ilvl w:val="1"/>
          <w:numId w:val="21"/>
        </w:numPr>
        <w:adjustRightInd/>
        <w:spacing w:before="0"/>
        <w:ind w:right="54"/>
        <w:jc w:val="both"/>
        <w:rPr>
          <w:color w:val="auto"/>
        </w:rPr>
      </w:pPr>
      <w:r w:rsidRPr="00924135">
        <w:rPr>
          <w:color w:val="auto"/>
        </w:rPr>
        <w:t>The Customer or Applicant fails to keep the appointment; or</w:t>
      </w:r>
    </w:p>
    <w:p w:rsidR="00924135" w:rsidRPr="00924135" w:rsidRDefault="00924135" w:rsidP="00924135">
      <w:pPr>
        <w:pStyle w:val="BodyText2"/>
        <w:numPr>
          <w:ilvl w:val="1"/>
          <w:numId w:val="21"/>
        </w:numPr>
        <w:adjustRightInd/>
        <w:spacing w:before="0"/>
        <w:ind w:right="54"/>
        <w:jc w:val="both"/>
        <w:rPr>
          <w:color w:val="auto"/>
        </w:rPr>
      </w:pPr>
      <w:r w:rsidRPr="00924135">
        <w:rPr>
          <w:color w:val="auto"/>
        </w:rPr>
        <w:t>The Company reschedules the appointment with at least 24 hours notice.</w:t>
      </w:r>
    </w:p>
    <w:p w:rsidR="00924135" w:rsidRDefault="00924135" w:rsidP="005B4CFD"/>
    <w:p w:rsidR="007E136F" w:rsidRDefault="007E136F" w:rsidP="00BC678D">
      <w:pPr>
        <w:pStyle w:val="Heading5"/>
        <w:jc w:val="both"/>
      </w:pPr>
    </w:p>
    <w:p w:rsidR="005B4CFD" w:rsidRPr="005B4CFD" w:rsidRDefault="005B4CFD" w:rsidP="005B4CFD"/>
    <w:p w:rsidR="00924135" w:rsidRDefault="00924135" w:rsidP="00BC678D">
      <w:pPr>
        <w:pStyle w:val="Heading5"/>
        <w:jc w:val="both"/>
      </w:pPr>
    </w:p>
    <w:p w:rsidR="00924135" w:rsidRDefault="00924135" w:rsidP="00BC678D">
      <w:pPr>
        <w:pStyle w:val="Heading5"/>
        <w:jc w:val="both"/>
      </w:pPr>
    </w:p>
    <w:p w:rsidR="00924135" w:rsidRDefault="00924135">
      <w:pPr>
        <w:rPr>
          <w:rFonts w:ascii="Arial" w:hAnsi="Arial"/>
          <w:b/>
          <w:snapToGrid w:val="0"/>
          <w:color w:val="000000"/>
          <w:sz w:val="22"/>
        </w:rPr>
      </w:pPr>
      <w:r>
        <w:br w:type="page"/>
      </w:r>
    </w:p>
    <w:p w:rsidR="00996F16" w:rsidRDefault="00996F16" w:rsidP="00BC678D">
      <w:pPr>
        <w:pStyle w:val="Heading5"/>
        <w:jc w:val="both"/>
      </w:pPr>
      <w:r>
        <w:lastRenderedPageBreak/>
        <w:t>Outage Restoration</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Electric outage restoration within 24 hours of notification from Customer, excluding major events</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P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7E136F" w:rsidRDefault="007E136F" w:rsidP="00BC678D">
      <w:pPr>
        <w:pStyle w:val="Heading5"/>
        <w:jc w:val="both"/>
      </w:pPr>
    </w:p>
    <w:p w:rsidR="00924135" w:rsidRPr="00924135" w:rsidRDefault="00924135" w:rsidP="00924135">
      <w:pPr>
        <w:pStyle w:val="BodyText2"/>
        <w:ind w:left="720" w:right="54"/>
        <w:jc w:val="both"/>
        <w:rPr>
          <w:color w:val="auto"/>
        </w:rPr>
      </w:pPr>
      <w:r w:rsidRPr="00924135">
        <w:rPr>
          <w:color w:val="auto"/>
        </w:rPr>
        <w:t>When the Customer experiences an electric interruption, the Company will restore the service within 24 hours of notification from the Customer, except for the following instances:</w:t>
      </w:r>
    </w:p>
    <w:p w:rsidR="00924135" w:rsidRPr="00924135" w:rsidRDefault="00924135" w:rsidP="00924135">
      <w:pPr>
        <w:pStyle w:val="BodyText2"/>
        <w:numPr>
          <w:ilvl w:val="0"/>
          <w:numId w:val="22"/>
        </w:numPr>
        <w:adjustRightInd/>
        <w:spacing w:before="0"/>
        <w:ind w:right="54"/>
        <w:jc w:val="both"/>
        <w:rPr>
          <w:color w:val="auto"/>
        </w:rPr>
      </w:pPr>
      <w:r w:rsidRPr="00924135">
        <w:rPr>
          <w:color w:val="auto"/>
        </w:rPr>
        <w:t>During periods of time when the outage is associated with a MED, which includes the 24-hour period following the MED; or</w:t>
      </w:r>
    </w:p>
    <w:p w:rsidR="00924135" w:rsidRPr="00924135" w:rsidRDefault="00924135" w:rsidP="00924135">
      <w:pPr>
        <w:pStyle w:val="BodyText2"/>
        <w:numPr>
          <w:ilvl w:val="0"/>
          <w:numId w:val="22"/>
        </w:numPr>
        <w:adjustRightInd/>
        <w:spacing w:before="0"/>
        <w:ind w:right="54"/>
        <w:jc w:val="both"/>
        <w:rPr>
          <w:color w:val="auto"/>
        </w:rPr>
      </w:pPr>
      <w:r w:rsidRPr="00924135">
        <w:rPr>
          <w:color w:val="auto"/>
        </w:rPr>
        <w:t>When an action or default by someone other than a utility employee that is outside the control of the company prevented the Company from restoring supply.</w:t>
      </w:r>
    </w:p>
    <w:p w:rsidR="00924135" w:rsidRPr="00924135" w:rsidRDefault="00924135" w:rsidP="00924135"/>
    <w:p w:rsidR="005B4CFD" w:rsidRPr="005B4CFD" w:rsidRDefault="005B4CFD" w:rsidP="005B4CFD"/>
    <w:p w:rsidR="00996F16" w:rsidRDefault="00996F16" w:rsidP="00BC678D">
      <w:pPr>
        <w:pStyle w:val="Heading5"/>
        <w:jc w:val="both"/>
      </w:pPr>
      <w:r>
        <w:t>Switching on Power</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Switch on power within one business day of request</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24135" w:rsidRDefault="00924135" w:rsidP="005B4CFD"/>
    <w:p w:rsidR="00924135" w:rsidRPr="00924135" w:rsidRDefault="00924135" w:rsidP="00924135">
      <w:pPr>
        <w:pStyle w:val="BodyText2"/>
        <w:ind w:left="720" w:right="54"/>
        <w:jc w:val="both"/>
        <w:rPr>
          <w:color w:val="auto"/>
        </w:rPr>
      </w:pPr>
      <w:r w:rsidRPr="00924135">
        <w:rPr>
          <w:color w:val="auto"/>
        </w:rPr>
        <w:t>The Company will switch on power within one business day of the Customer or Applicant’s request for service, except for the following instances:</w:t>
      </w:r>
    </w:p>
    <w:p w:rsidR="00924135" w:rsidRPr="00924135" w:rsidRDefault="00924135" w:rsidP="00924135">
      <w:pPr>
        <w:pStyle w:val="BodyText2"/>
        <w:numPr>
          <w:ilvl w:val="0"/>
          <w:numId w:val="23"/>
        </w:numPr>
        <w:adjustRightInd/>
        <w:spacing w:before="0"/>
        <w:ind w:right="54"/>
        <w:jc w:val="both"/>
        <w:rPr>
          <w:color w:val="auto"/>
        </w:rPr>
      </w:pPr>
      <w:r w:rsidRPr="00924135">
        <w:rPr>
          <w:color w:val="auto"/>
        </w:rPr>
        <w:t>When construction is required before the service can be energized;</w:t>
      </w:r>
    </w:p>
    <w:p w:rsidR="00924135" w:rsidRPr="00924135" w:rsidRDefault="00924135" w:rsidP="00924135">
      <w:pPr>
        <w:pStyle w:val="BodyText2"/>
        <w:numPr>
          <w:ilvl w:val="0"/>
          <w:numId w:val="23"/>
        </w:numPr>
        <w:adjustRightInd/>
        <w:spacing w:before="0"/>
        <w:ind w:right="54"/>
        <w:jc w:val="both"/>
        <w:rPr>
          <w:color w:val="auto"/>
        </w:rPr>
      </w:pPr>
      <w:r w:rsidRPr="00924135">
        <w:rPr>
          <w:color w:val="auto"/>
        </w:rPr>
        <w:t>When the Customer does not provide evidence that all required government inspections have been satisfied;</w:t>
      </w:r>
    </w:p>
    <w:p w:rsidR="00924135" w:rsidRPr="00924135" w:rsidRDefault="00924135" w:rsidP="00924135">
      <w:pPr>
        <w:pStyle w:val="BodyText2"/>
        <w:numPr>
          <w:ilvl w:val="0"/>
          <w:numId w:val="23"/>
        </w:numPr>
        <w:adjustRightInd/>
        <w:spacing w:before="0"/>
        <w:ind w:right="54"/>
        <w:jc w:val="both"/>
        <w:rPr>
          <w:color w:val="auto"/>
        </w:rPr>
      </w:pPr>
      <w:r w:rsidRPr="00924135">
        <w:rPr>
          <w:color w:val="auto"/>
        </w:rPr>
        <w:t>When required payments to the Company have not been received; or</w:t>
      </w:r>
    </w:p>
    <w:p w:rsidR="00924135" w:rsidRPr="00924135" w:rsidRDefault="00924135" w:rsidP="00924135">
      <w:pPr>
        <w:pStyle w:val="BodyText2"/>
        <w:numPr>
          <w:ilvl w:val="0"/>
          <w:numId w:val="23"/>
        </w:numPr>
        <w:adjustRightInd/>
        <w:spacing w:before="0"/>
        <w:ind w:right="54"/>
        <w:jc w:val="both"/>
        <w:rPr>
          <w:color w:val="auto"/>
        </w:rPr>
      </w:pPr>
      <w:r w:rsidRPr="00924135">
        <w:rPr>
          <w:color w:val="auto"/>
        </w:rPr>
        <w:t>The service has been disconnected for nonpayment or theft/diversion of service.</w:t>
      </w:r>
    </w:p>
    <w:p w:rsidR="00924135" w:rsidRDefault="00924135" w:rsidP="005B4CFD"/>
    <w:p w:rsidR="005B4CFD" w:rsidRPr="00903DD6" w:rsidRDefault="005B4CFD" w:rsidP="00903DD6"/>
    <w:p w:rsidR="00996F16" w:rsidRDefault="00996F16"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rsidP="00BC678D">
      <w:pPr>
        <w:pStyle w:val="Heading5"/>
        <w:jc w:val="both"/>
      </w:pPr>
    </w:p>
    <w:p w:rsidR="00671CF9" w:rsidRDefault="00671CF9">
      <w:pPr>
        <w:rPr>
          <w:rFonts w:ascii="Arial" w:hAnsi="Arial"/>
          <w:b/>
          <w:snapToGrid w:val="0"/>
          <w:color w:val="000000"/>
          <w:sz w:val="22"/>
        </w:rPr>
      </w:pPr>
      <w:r>
        <w:br w:type="page"/>
      </w:r>
    </w:p>
    <w:p w:rsidR="00996F16" w:rsidRDefault="00996F16" w:rsidP="00BC678D">
      <w:pPr>
        <w:pStyle w:val="Heading5"/>
        <w:jc w:val="both"/>
      </w:pPr>
      <w:r>
        <w:lastRenderedPageBreak/>
        <w:t>Cost Estimates for New Supply</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Provide cost estimate for new electric or natural gas supply within 10 business days</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24135" w:rsidRPr="002D5827" w:rsidRDefault="00924135" w:rsidP="00924135">
      <w:pPr>
        <w:rPr>
          <w:szCs w:val="24"/>
        </w:rPr>
      </w:pPr>
    </w:p>
    <w:p w:rsidR="00924135" w:rsidRPr="002D5827" w:rsidRDefault="00924135" w:rsidP="00924135">
      <w:pPr>
        <w:ind w:left="720"/>
        <w:jc w:val="both"/>
        <w:rPr>
          <w:szCs w:val="24"/>
        </w:rPr>
      </w:pPr>
      <w:r w:rsidRPr="002D5827">
        <w:rPr>
          <w:szCs w:val="24"/>
        </w:rPr>
        <w:t>The Company will provide a cost estimate to the Customer or Applicant for new electric or natural gas supply within 10 business days upon receipt of all the necessary information from the Customer or Applicant</w:t>
      </w:r>
      <w:r>
        <w:rPr>
          <w:szCs w:val="24"/>
        </w:rPr>
        <w:t>.</w:t>
      </w:r>
    </w:p>
    <w:p w:rsidR="00924135" w:rsidRDefault="00924135" w:rsidP="005B4CFD"/>
    <w:p w:rsidR="005B4CFD" w:rsidRPr="00903DD6" w:rsidRDefault="005B4CFD" w:rsidP="00903DD6"/>
    <w:p w:rsidR="00996F16" w:rsidRDefault="00996F16" w:rsidP="00BC678D">
      <w:pPr>
        <w:pStyle w:val="Heading5"/>
        <w:jc w:val="both"/>
      </w:pPr>
    </w:p>
    <w:p w:rsidR="00996F16" w:rsidRDefault="00996F16" w:rsidP="00BC678D">
      <w:pPr>
        <w:pStyle w:val="Heading5"/>
        <w:jc w:val="both"/>
      </w:pPr>
      <w:r>
        <w:t>Billing Inquires</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315"/>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Investigate and respond to billing inquiries with 10 business days</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5B4CFD" w:rsidRPr="00903DD6" w:rsidRDefault="005B4CFD" w:rsidP="00903DD6"/>
    <w:p w:rsidR="00996F16" w:rsidRDefault="00996F16" w:rsidP="00BC678D">
      <w:pPr>
        <w:pStyle w:val="Heading5"/>
        <w:jc w:val="both"/>
      </w:pPr>
    </w:p>
    <w:p w:rsidR="00996F16" w:rsidRDefault="00996F16" w:rsidP="00BC678D">
      <w:pPr>
        <w:pStyle w:val="Heading5"/>
        <w:jc w:val="both"/>
      </w:pPr>
      <w:r>
        <w:t>Meter Investigations and Tests</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630"/>
        </w:trPr>
        <w:tc>
          <w:tcPr>
            <w:tcW w:w="5145" w:type="dxa"/>
            <w:tcBorders>
              <w:top w:val="nil"/>
              <w:left w:val="single" w:sz="8" w:space="0" w:color="auto"/>
              <w:bottom w:val="single" w:sz="4"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Investigate customer-reported problems with a meter, or conduct a meter test, and report results within 20 business days</w:t>
            </w:r>
          </w:p>
        </w:tc>
        <w:tc>
          <w:tcPr>
            <w:tcW w:w="1800" w:type="dxa"/>
            <w:tcBorders>
              <w:top w:val="nil"/>
              <w:left w:val="nil"/>
              <w:bottom w:val="single" w:sz="4"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4"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Default="00903DD6" w:rsidP="00903DD6"/>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24135" w:rsidRDefault="00924135" w:rsidP="005B4CFD"/>
    <w:p w:rsidR="00924135" w:rsidRPr="00924135" w:rsidRDefault="00924135" w:rsidP="00924135">
      <w:pPr>
        <w:pStyle w:val="BodyText2"/>
        <w:ind w:left="720" w:right="54"/>
        <w:jc w:val="both"/>
        <w:rPr>
          <w:color w:val="auto"/>
        </w:rPr>
      </w:pPr>
      <w:r w:rsidRPr="00924135">
        <w:rPr>
          <w:color w:val="auto"/>
        </w:rPr>
        <w:t>The Company will respond to most billing inquiries at the time of the initial contact, and for those inquires that require further investigation, the company will investigate and respond to the Customer within 10 business days.</w:t>
      </w:r>
    </w:p>
    <w:p w:rsidR="00924135" w:rsidRDefault="00924135" w:rsidP="005B4CFD"/>
    <w:p w:rsidR="005B4CFD" w:rsidRPr="00903DD6" w:rsidRDefault="005B4CFD" w:rsidP="00903DD6"/>
    <w:p w:rsidR="00996F16" w:rsidRDefault="00996F16" w:rsidP="00BC678D">
      <w:pPr>
        <w:pStyle w:val="Heading5"/>
        <w:jc w:val="both"/>
      </w:pPr>
    </w:p>
    <w:p w:rsidR="00671CF9" w:rsidRDefault="00671CF9">
      <w:pPr>
        <w:rPr>
          <w:rFonts w:ascii="Arial" w:hAnsi="Arial"/>
          <w:b/>
          <w:snapToGrid w:val="0"/>
          <w:color w:val="000000"/>
          <w:sz w:val="22"/>
        </w:rPr>
      </w:pPr>
      <w:r>
        <w:br w:type="page"/>
      </w:r>
    </w:p>
    <w:p w:rsidR="00996F16" w:rsidRDefault="00996F16" w:rsidP="00BC678D">
      <w:pPr>
        <w:pStyle w:val="Heading5"/>
        <w:jc w:val="both"/>
      </w:pPr>
      <w:r>
        <w:lastRenderedPageBreak/>
        <w:t>Notification of Scheduled Interruptions</w:t>
      </w:r>
    </w:p>
    <w:p w:rsidR="00903DD6" w:rsidRDefault="00903DD6" w:rsidP="00903DD6"/>
    <w:tbl>
      <w:tblPr>
        <w:tblW w:w="9825" w:type="dxa"/>
        <w:tblInd w:w="93" w:type="dxa"/>
        <w:tblLook w:val="04A0"/>
      </w:tblPr>
      <w:tblGrid>
        <w:gridCol w:w="5145"/>
        <w:gridCol w:w="1800"/>
        <w:gridCol w:w="1530"/>
        <w:gridCol w:w="1350"/>
      </w:tblGrid>
      <w:tr w:rsidR="00903DD6" w:rsidRPr="00FA3ED5" w:rsidTr="00020145">
        <w:trPr>
          <w:trHeight w:val="315"/>
        </w:trPr>
        <w:tc>
          <w:tcPr>
            <w:tcW w:w="5145" w:type="dxa"/>
            <w:tcBorders>
              <w:top w:val="single" w:sz="8" w:space="0" w:color="auto"/>
              <w:left w:val="single" w:sz="8" w:space="0" w:color="auto"/>
              <w:bottom w:val="single" w:sz="4" w:space="0" w:color="auto"/>
              <w:right w:val="single" w:sz="4" w:space="0" w:color="auto"/>
            </w:tcBorders>
            <w:shd w:val="clear" w:color="000000" w:fill="BFBFBF"/>
            <w:vAlign w:val="bottom"/>
            <w:hideMark/>
          </w:tcPr>
          <w:p w:rsidR="00903DD6" w:rsidRPr="00FA3ED5" w:rsidRDefault="00903DD6" w:rsidP="00020145">
            <w:pPr>
              <w:rPr>
                <w:rFonts w:ascii="Calibri" w:hAnsi="Calibri"/>
                <w:b/>
                <w:bCs/>
                <w:color w:val="000000"/>
                <w:szCs w:val="24"/>
              </w:rPr>
            </w:pPr>
            <w:r w:rsidRPr="00FA3ED5">
              <w:rPr>
                <w:rFonts w:ascii="Calibri" w:hAnsi="Calibri"/>
                <w:b/>
                <w:bCs/>
                <w:color w:val="000000"/>
                <w:szCs w:val="24"/>
              </w:rPr>
              <w:t>Customer Service Guarantees</w:t>
            </w:r>
          </w:p>
        </w:tc>
        <w:tc>
          <w:tcPr>
            <w:tcW w:w="1800" w:type="dxa"/>
            <w:tcBorders>
              <w:top w:val="single" w:sz="8" w:space="0" w:color="auto"/>
              <w:left w:val="nil"/>
              <w:bottom w:val="single" w:sz="4" w:space="0" w:color="auto"/>
              <w:right w:val="single" w:sz="4" w:space="0" w:color="auto"/>
            </w:tcBorders>
            <w:shd w:val="clear" w:color="000000" w:fill="BFBFBF"/>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Quantity</w:t>
            </w:r>
          </w:p>
        </w:tc>
        <w:tc>
          <w:tcPr>
            <w:tcW w:w="1530" w:type="dxa"/>
            <w:tcBorders>
              <w:top w:val="single" w:sz="8" w:space="0" w:color="auto"/>
              <w:left w:val="nil"/>
              <w:bottom w:val="single" w:sz="4" w:space="0" w:color="auto"/>
              <w:right w:val="single" w:sz="4"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Missed</w:t>
            </w:r>
          </w:p>
        </w:tc>
        <w:tc>
          <w:tcPr>
            <w:tcW w:w="1350" w:type="dxa"/>
            <w:tcBorders>
              <w:top w:val="single" w:sz="8" w:space="0" w:color="auto"/>
              <w:left w:val="nil"/>
              <w:bottom w:val="single" w:sz="4" w:space="0" w:color="auto"/>
              <w:right w:val="single" w:sz="8" w:space="0" w:color="auto"/>
            </w:tcBorders>
            <w:shd w:val="clear" w:color="000000" w:fill="BFBFBF"/>
            <w:noWrap/>
            <w:vAlign w:val="bottom"/>
            <w:hideMark/>
          </w:tcPr>
          <w:p w:rsidR="00903DD6" w:rsidRPr="00FA3ED5" w:rsidRDefault="00903DD6" w:rsidP="00020145">
            <w:pPr>
              <w:jc w:val="center"/>
              <w:rPr>
                <w:rFonts w:ascii="Calibri" w:hAnsi="Calibri"/>
                <w:b/>
                <w:bCs/>
                <w:color w:val="000000"/>
                <w:szCs w:val="24"/>
              </w:rPr>
            </w:pPr>
            <w:r w:rsidRPr="00FA3ED5">
              <w:rPr>
                <w:rFonts w:ascii="Calibri" w:hAnsi="Calibri"/>
                <w:b/>
                <w:bCs/>
                <w:color w:val="000000"/>
                <w:szCs w:val="24"/>
              </w:rPr>
              <w:t>$$ Paid</w:t>
            </w:r>
          </w:p>
        </w:tc>
      </w:tr>
      <w:tr w:rsidR="00903DD6" w:rsidRPr="00FA3ED5" w:rsidTr="00020145">
        <w:trPr>
          <w:trHeight w:val="645"/>
        </w:trPr>
        <w:tc>
          <w:tcPr>
            <w:tcW w:w="5145" w:type="dxa"/>
            <w:tcBorders>
              <w:top w:val="nil"/>
              <w:left w:val="single" w:sz="8" w:space="0" w:color="auto"/>
              <w:bottom w:val="single" w:sz="8" w:space="0" w:color="auto"/>
              <w:right w:val="single" w:sz="4" w:space="0" w:color="auto"/>
            </w:tcBorders>
            <w:shd w:val="clear" w:color="auto" w:fill="auto"/>
            <w:vAlign w:val="bottom"/>
            <w:hideMark/>
          </w:tcPr>
          <w:p w:rsidR="00903DD6" w:rsidRPr="00FA3ED5" w:rsidRDefault="00903DD6" w:rsidP="00020145">
            <w:pPr>
              <w:rPr>
                <w:rFonts w:ascii="Calibri" w:hAnsi="Calibri"/>
                <w:color w:val="000000"/>
                <w:szCs w:val="24"/>
              </w:rPr>
            </w:pPr>
            <w:r w:rsidRPr="00FA3ED5">
              <w:rPr>
                <w:rFonts w:ascii="Calibri" w:hAnsi="Calibri"/>
                <w:color w:val="000000"/>
                <w:szCs w:val="24"/>
              </w:rPr>
              <w:t>Provide notification at least 24 hours in advance of disconnecting service for scheduled electric interruptions</w:t>
            </w:r>
          </w:p>
        </w:tc>
        <w:tc>
          <w:tcPr>
            <w:tcW w:w="1800" w:type="dxa"/>
            <w:tcBorders>
              <w:top w:val="nil"/>
              <w:left w:val="nil"/>
              <w:bottom w:val="single" w:sz="8" w:space="0" w:color="auto"/>
              <w:right w:val="single" w:sz="4" w:space="0" w:color="auto"/>
            </w:tcBorders>
            <w:shd w:val="clear" w:color="auto" w:fill="auto"/>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530" w:type="dxa"/>
            <w:tcBorders>
              <w:top w:val="nil"/>
              <w:left w:val="nil"/>
              <w:bottom w:val="single" w:sz="8" w:space="0" w:color="auto"/>
              <w:right w:val="single" w:sz="4"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c>
          <w:tcPr>
            <w:tcW w:w="1350" w:type="dxa"/>
            <w:tcBorders>
              <w:top w:val="nil"/>
              <w:left w:val="nil"/>
              <w:bottom w:val="single" w:sz="8" w:space="0" w:color="auto"/>
              <w:right w:val="single" w:sz="8" w:space="0" w:color="auto"/>
            </w:tcBorders>
            <w:shd w:val="clear" w:color="auto" w:fill="auto"/>
            <w:noWrap/>
            <w:vAlign w:val="bottom"/>
            <w:hideMark/>
          </w:tcPr>
          <w:p w:rsidR="00903DD6" w:rsidRPr="00FA3ED5" w:rsidRDefault="00903DD6" w:rsidP="00020145">
            <w:pPr>
              <w:jc w:val="center"/>
              <w:rPr>
                <w:rFonts w:ascii="Calibri" w:hAnsi="Calibri"/>
                <w:color w:val="000000"/>
                <w:szCs w:val="24"/>
              </w:rPr>
            </w:pPr>
            <w:r w:rsidRPr="00FA3ED5">
              <w:rPr>
                <w:rFonts w:ascii="Calibri" w:hAnsi="Calibri"/>
                <w:color w:val="000000"/>
                <w:szCs w:val="24"/>
              </w:rPr>
              <w:t> </w:t>
            </w:r>
          </w:p>
        </w:tc>
      </w:tr>
    </w:tbl>
    <w:p w:rsidR="00903DD6" w:rsidRDefault="00903DD6" w:rsidP="005B4CFD">
      <w:pPr>
        <w:jc w:val="center"/>
      </w:pPr>
    </w:p>
    <w:p w:rsidR="005B4CFD" w:rsidRDefault="005B4CFD" w:rsidP="005B4CFD">
      <w:r>
        <w:rPr>
          <w:b/>
        </w:rPr>
        <w:t>About the Benchmark</w:t>
      </w:r>
    </w:p>
    <w:p w:rsidR="005B4CFD" w:rsidRDefault="005B4CFD" w:rsidP="005B4CFD"/>
    <w:p w:rsidR="005B4CFD" w:rsidRDefault="005B4CFD" w:rsidP="005B4CFD">
      <w:r>
        <w:t>The full details of the measure are as follow:</w:t>
      </w:r>
    </w:p>
    <w:p w:rsidR="00924135" w:rsidRDefault="00924135" w:rsidP="005B4CFD"/>
    <w:p w:rsidR="00924135" w:rsidRPr="00924135" w:rsidRDefault="00924135" w:rsidP="00924135">
      <w:pPr>
        <w:pStyle w:val="BodyText2"/>
        <w:ind w:left="720" w:right="-36"/>
        <w:jc w:val="both"/>
        <w:rPr>
          <w:color w:val="auto"/>
        </w:rPr>
      </w:pPr>
      <w:r w:rsidRPr="00924135">
        <w:rPr>
          <w:color w:val="auto"/>
        </w:rPr>
        <w:t>The Company will investigate Customer-reported problems with a meter, or conduct a meter test, and report the results to the Customer within 20 business days.</w:t>
      </w:r>
    </w:p>
    <w:p w:rsidR="00924135" w:rsidRDefault="00924135" w:rsidP="005B4CFD"/>
    <w:p w:rsidR="005B4CFD" w:rsidRPr="00903DD6" w:rsidRDefault="005B4CFD" w:rsidP="005B4CFD">
      <w:pPr>
        <w:jc w:val="center"/>
      </w:pPr>
    </w:p>
    <w:p w:rsidR="004257AC" w:rsidRDefault="004257AC" w:rsidP="00BC678D">
      <w:pPr>
        <w:pStyle w:val="Heading3"/>
        <w:jc w:val="both"/>
        <w:rPr>
          <w:kern w:val="28"/>
          <w:sz w:val="28"/>
          <w:u w:val="single"/>
        </w:rPr>
      </w:pPr>
      <w:r>
        <w:br w:type="page"/>
      </w:r>
    </w:p>
    <w:p w:rsidR="004257AC" w:rsidRDefault="004257AC" w:rsidP="00BC678D">
      <w:pPr>
        <w:pStyle w:val="Heading1"/>
        <w:jc w:val="both"/>
      </w:pPr>
      <w:bookmarkStart w:id="20" w:name="_Toc435692486"/>
      <w:r>
        <w:lastRenderedPageBreak/>
        <w:t>Chapter 3 – Electric Reliability</w:t>
      </w:r>
      <w:bookmarkEnd w:id="20"/>
    </w:p>
    <w:p w:rsidR="001D4C53" w:rsidRDefault="001D4C53" w:rsidP="00BC678D">
      <w:pPr>
        <w:jc w:val="both"/>
      </w:pPr>
    </w:p>
    <w:p w:rsidR="004257AC" w:rsidRPr="001D4C53" w:rsidRDefault="00370F92" w:rsidP="00BC678D">
      <w:pPr>
        <w:jc w:val="both"/>
        <w:rPr>
          <w:rStyle w:val="Emphasis"/>
          <w:b/>
          <w:i w:val="0"/>
        </w:rPr>
      </w:pPr>
      <w:r>
        <w:t>In this section the Company will provide a brief overview of reliability for the year and explain any changes or significant events that occurred.</w:t>
      </w:r>
    </w:p>
    <w:p w:rsidR="003A5969" w:rsidRDefault="003A5969" w:rsidP="00BC678D">
      <w:pPr>
        <w:pStyle w:val="Heading3"/>
        <w:jc w:val="both"/>
      </w:pPr>
      <w:bookmarkStart w:id="21" w:name="_Toc435692487"/>
      <w:r>
        <w:t>Data Collection and Calculation Changes</w:t>
      </w:r>
      <w:bookmarkEnd w:id="12"/>
      <w:bookmarkEnd w:id="13"/>
      <w:bookmarkEnd w:id="14"/>
      <w:bookmarkEnd w:id="15"/>
      <w:bookmarkEnd w:id="21"/>
    </w:p>
    <w:p w:rsidR="003A5969" w:rsidRDefault="003A5969" w:rsidP="00BC678D">
      <w:pPr>
        <w:jc w:val="both"/>
      </w:pPr>
    </w:p>
    <w:p w:rsidR="003A5969" w:rsidRDefault="00370F92" w:rsidP="00BC678D">
      <w:pPr>
        <w:jc w:val="both"/>
      </w:pPr>
      <w:r>
        <w:t>WAC 480-100-398</w:t>
      </w:r>
      <w:r w:rsidR="003A5969">
        <w:t>(2) requires the Company to report changes made in data collection or calculation of reliability information after initial baselines are set.  This section addresses changes that the Compa</w:t>
      </w:r>
      <w:r w:rsidR="005331BB">
        <w:t>ny has made to data collection</w:t>
      </w:r>
      <w:r w:rsidR="00CF5011">
        <w:t xml:space="preserve"> or calculations</w:t>
      </w:r>
      <w:r w:rsidR="005331BB">
        <w:t>.</w:t>
      </w:r>
    </w:p>
    <w:p w:rsidR="00FC4E17" w:rsidRDefault="00FC4E17" w:rsidP="00BC678D">
      <w:pPr>
        <w:pStyle w:val="Heading3"/>
        <w:jc w:val="both"/>
      </w:pPr>
      <w:bookmarkStart w:id="22" w:name="_Toc435692488"/>
      <w:bookmarkStart w:id="23" w:name="OLE_LINK1"/>
      <w:r>
        <w:t>Baseline Statistics</w:t>
      </w:r>
      <w:bookmarkEnd w:id="22"/>
    </w:p>
    <w:p w:rsidR="00370F92" w:rsidRDefault="00370F92" w:rsidP="00370F92"/>
    <w:p w:rsidR="00370F92" w:rsidRPr="002A2373" w:rsidRDefault="00370F92" w:rsidP="00370F92">
      <w:pPr>
        <w:jc w:val="both"/>
        <w:rPr>
          <w:szCs w:val="24"/>
        </w:rPr>
      </w:pPr>
      <w:r w:rsidRPr="002A2373">
        <w:rPr>
          <w:szCs w:val="24"/>
        </w:rPr>
        <w:t xml:space="preserve">WAC 480-100-393 (3)(b) requires the establishment of baseline reliability statistics. The Company’s baseline statistics </w:t>
      </w:r>
      <w:r w:rsidR="00A3086A">
        <w:rPr>
          <w:szCs w:val="24"/>
        </w:rPr>
        <w:t>will be</w:t>
      </w:r>
      <w:r w:rsidRPr="002A2373">
        <w:rPr>
          <w:szCs w:val="24"/>
        </w:rPr>
        <w:t xml:space="preserve"> included in </w:t>
      </w:r>
      <w:r w:rsidR="00A3086A">
        <w:rPr>
          <w:szCs w:val="24"/>
        </w:rPr>
        <w:t xml:space="preserve">the </w:t>
      </w:r>
      <w:r w:rsidRPr="002A2373">
        <w:rPr>
          <w:szCs w:val="24"/>
        </w:rPr>
        <w:t xml:space="preserve">report and compare the </w:t>
      </w:r>
      <w:r w:rsidR="00A3086A">
        <w:rPr>
          <w:szCs w:val="24"/>
        </w:rPr>
        <w:t>reporting</w:t>
      </w:r>
      <w:r w:rsidRPr="002A2373">
        <w:rPr>
          <w:szCs w:val="24"/>
        </w:rPr>
        <w:t xml:space="preserve"> year data to the baseline year of 2005 and years in between. The Company </w:t>
      </w:r>
      <w:r w:rsidR="00A3086A">
        <w:rPr>
          <w:szCs w:val="24"/>
        </w:rPr>
        <w:t xml:space="preserve">will </w:t>
      </w:r>
      <w:r w:rsidRPr="002A2373">
        <w:rPr>
          <w:szCs w:val="24"/>
        </w:rPr>
        <w:t>al</w:t>
      </w:r>
      <w:r w:rsidR="00A3086A">
        <w:rPr>
          <w:szCs w:val="24"/>
        </w:rPr>
        <w:t>so provide</w:t>
      </w:r>
      <w:r w:rsidRPr="002A2373">
        <w:rPr>
          <w:szCs w:val="24"/>
        </w:rPr>
        <w:t xml:space="preserve"> a statistical target that represents an analysis based on an average over a time period and adding two standard deviations. Year to year variations should be below this target, but may provide information that shows continuing trends.  </w:t>
      </w:r>
    </w:p>
    <w:p w:rsidR="003A5969" w:rsidRDefault="003A5969" w:rsidP="00BC678D">
      <w:pPr>
        <w:pStyle w:val="Heading3"/>
        <w:jc w:val="both"/>
      </w:pPr>
      <w:bookmarkStart w:id="24" w:name="_Toc98906754"/>
      <w:bookmarkStart w:id="25" w:name="_Toc165342428"/>
      <w:bookmarkStart w:id="26" w:name="_Toc193710985"/>
      <w:bookmarkStart w:id="27" w:name="_Toc227571577"/>
      <w:bookmarkStart w:id="28" w:name="_Toc435692489"/>
      <w:bookmarkEnd w:id="23"/>
      <w:r>
        <w:t>System Indices</w:t>
      </w:r>
      <w:bookmarkEnd w:id="24"/>
      <w:bookmarkEnd w:id="25"/>
      <w:bookmarkEnd w:id="26"/>
      <w:bookmarkEnd w:id="27"/>
      <w:bookmarkEnd w:id="28"/>
    </w:p>
    <w:p w:rsidR="0026757E" w:rsidRDefault="0026757E" w:rsidP="0026757E"/>
    <w:p w:rsidR="0026757E" w:rsidRDefault="0026757E" w:rsidP="0026757E">
      <w:pPr>
        <w:spacing w:before="120"/>
        <w:jc w:val="both"/>
      </w:pPr>
      <w:r>
        <w:t xml:space="preserve">The System Indices section will show indices for Avista’s Washington and Idaho (“system”) electric service territory by year.  Each chart </w:t>
      </w:r>
      <w:r w:rsidR="00A3086A">
        <w:t>will show</w:t>
      </w:r>
      <w:r>
        <w:t xml:space="preserve"> eight years of data along with the baseline reliability statistic. The Company also has calculated a reliability target that is the average over the previous five years plus two standard deviations. </w:t>
      </w:r>
    </w:p>
    <w:p w:rsidR="0026757E" w:rsidRDefault="0026757E" w:rsidP="0026757E">
      <w:pPr>
        <w:jc w:val="both"/>
      </w:pPr>
    </w:p>
    <w:p w:rsidR="0026757E" w:rsidRDefault="0026757E" w:rsidP="0026757E">
      <w:pPr>
        <w:jc w:val="both"/>
      </w:pPr>
      <w:r>
        <w:t xml:space="preserve">The reliability targets have been adjusted by removing Major Event Days, MED’s, as defined </w:t>
      </w:r>
      <w:r w:rsidR="00FF7B5A">
        <w:t xml:space="preserve">in </w:t>
      </w:r>
    </w:p>
    <w:p w:rsidR="00FF7B5A" w:rsidRDefault="00FF7B5A" w:rsidP="0026757E">
      <w:pPr>
        <w:jc w:val="both"/>
      </w:pPr>
      <w:r>
        <w:t>Appendix A.</w:t>
      </w:r>
    </w:p>
    <w:p w:rsidR="0026757E" w:rsidRDefault="0026757E" w:rsidP="0026757E">
      <w:pPr>
        <w:jc w:val="both"/>
      </w:pPr>
    </w:p>
    <w:p w:rsidR="0026757E" w:rsidRDefault="0026757E" w:rsidP="0026757E">
      <w:pPr>
        <w:jc w:val="both"/>
      </w:pPr>
      <w:r>
        <w:t>The following are examples of the charts that will be included for each system indice.</w:t>
      </w:r>
    </w:p>
    <w:p w:rsidR="0026757E" w:rsidRDefault="0026757E" w:rsidP="0026757E">
      <w:pPr>
        <w:jc w:val="both"/>
      </w:pPr>
    </w:p>
    <w:p w:rsidR="0026757E" w:rsidRPr="0026757E" w:rsidRDefault="0026757E" w:rsidP="0026757E">
      <w:pPr>
        <w:pStyle w:val="Heading4"/>
        <w:rPr>
          <w:rFonts w:ascii="Times New Roman" w:hAnsi="Times New Roman"/>
          <w:sz w:val="24"/>
        </w:rPr>
      </w:pPr>
      <w:bookmarkStart w:id="29" w:name="_Toc435692490"/>
      <w:r>
        <w:rPr>
          <w:rFonts w:ascii="Times New Roman" w:hAnsi="Times New Roman"/>
          <w:sz w:val="24"/>
        </w:rPr>
        <w:t xml:space="preserve">Table - </w:t>
      </w:r>
      <w:r w:rsidRPr="0026757E">
        <w:rPr>
          <w:rFonts w:ascii="Times New Roman" w:hAnsi="Times New Roman"/>
          <w:sz w:val="24"/>
        </w:rPr>
        <w:t>Reliability Statistic Target by Index</w:t>
      </w:r>
      <w:bookmarkEnd w:id="29"/>
    </w:p>
    <w:p w:rsidR="0026757E" w:rsidRDefault="0026757E" w:rsidP="0026757E">
      <w:pPr>
        <w:jc w:val="both"/>
      </w:pPr>
    </w:p>
    <w:tbl>
      <w:tblPr>
        <w:tblW w:w="0" w:type="auto"/>
        <w:jc w:val="center"/>
        <w:tblInd w:w="-2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2094"/>
        <w:gridCol w:w="2722"/>
        <w:gridCol w:w="2406"/>
        <w:gridCol w:w="2795"/>
      </w:tblGrid>
      <w:tr w:rsidR="0026757E" w:rsidRPr="002B7728" w:rsidTr="00020145">
        <w:trPr>
          <w:jc w:val="center"/>
        </w:trPr>
        <w:tc>
          <w:tcPr>
            <w:tcW w:w="2094" w:type="dxa"/>
          </w:tcPr>
          <w:p w:rsidR="0026757E" w:rsidRPr="002B7728" w:rsidRDefault="0026757E" w:rsidP="00020145">
            <w:pPr>
              <w:pStyle w:val="Heading9"/>
              <w:rPr>
                <w:rFonts w:ascii="Times New Roman" w:hAnsi="Times New Roman" w:cs="Times New Roman"/>
              </w:rPr>
            </w:pPr>
          </w:p>
          <w:p w:rsidR="0026757E" w:rsidRPr="002B7728" w:rsidRDefault="0026757E" w:rsidP="00020145">
            <w:pPr>
              <w:pStyle w:val="Heading9"/>
              <w:ind w:left="-119"/>
              <w:rPr>
                <w:rFonts w:ascii="Times New Roman" w:hAnsi="Times New Roman" w:cs="Times New Roman"/>
              </w:rPr>
            </w:pPr>
            <w:r w:rsidRPr="00F854AB">
              <w:rPr>
                <w:rFonts w:ascii="Times New Roman" w:hAnsi="Times New Roman" w:cs="Times New Roman"/>
              </w:rPr>
              <w:t>Index</w:t>
            </w:r>
          </w:p>
        </w:tc>
        <w:tc>
          <w:tcPr>
            <w:tcW w:w="2722" w:type="dxa"/>
          </w:tcPr>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200</w:t>
            </w:r>
            <w:r>
              <w:rPr>
                <w:rFonts w:ascii="Times New Roman" w:hAnsi="Times New Roman" w:cs="Times New Roman"/>
              </w:rPr>
              <w:t>8</w:t>
            </w:r>
            <w:r w:rsidRPr="00F854AB">
              <w:rPr>
                <w:rFonts w:ascii="Times New Roman" w:hAnsi="Times New Roman" w:cs="Times New Roman"/>
              </w:rPr>
              <w:t xml:space="preserve">-2013 </w:t>
            </w:r>
          </w:p>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Average</w:t>
            </w:r>
          </w:p>
          <w:p w:rsidR="0026757E" w:rsidRPr="002B7728" w:rsidRDefault="0026757E" w:rsidP="00020145">
            <w:pPr>
              <w:jc w:val="center"/>
              <w:rPr>
                <w:sz w:val="16"/>
              </w:rPr>
            </w:pPr>
            <w:r w:rsidRPr="002B7728">
              <w:rPr>
                <w:sz w:val="16"/>
              </w:rPr>
              <w:t>(Excluding Major Events)</w:t>
            </w:r>
          </w:p>
        </w:tc>
        <w:tc>
          <w:tcPr>
            <w:tcW w:w="2406" w:type="dxa"/>
          </w:tcPr>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 xml:space="preserve">2005 </w:t>
            </w:r>
          </w:p>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Baseline</w:t>
            </w:r>
          </w:p>
        </w:tc>
        <w:tc>
          <w:tcPr>
            <w:tcW w:w="2795" w:type="dxa"/>
          </w:tcPr>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Reliability</w:t>
            </w:r>
          </w:p>
          <w:p w:rsidR="0026757E" w:rsidRPr="002B7728" w:rsidRDefault="0026757E" w:rsidP="00020145">
            <w:pPr>
              <w:pStyle w:val="Heading9"/>
              <w:rPr>
                <w:rFonts w:ascii="Times New Roman" w:hAnsi="Times New Roman" w:cs="Times New Roman"/>
              </w:rPr>
            </w:pPr>
            <w:r w:rsidRPr="00F854AB">
              <w:rPr>
                <w:rFonts w:ascii="Times New Roman" w:hAnsi="Times New Roman" w:cs="Times New Roman"/>
              </w:rPr>
              <w:t>Target</w:t>
            </w:r>
          </w:p>
          <w:p w:rsidR="0026757E" w:rsidRPr="002B7728" w:rsidRDefault="0026757E" w:rsidP="00020145">
            <w:pPr>
              <w:jc w:val="center"/>
              <w:rPr>
                <w:sz w:val="16"/>
              </w:rPr>
            </w:pPr>
            <w:r w:rsidRPr="002B7728">
              <w:rPr>
                <w:sz w:val="16"/>
              </w:rPr>
              <w:t>(Ave + 2 Standard Deviations)</w:t>
            </w:r>
          </w:p>
        </w:tc>
      </w:tr>
      <w:tr w:rsidR="0026757E" w:rsidRPr="002B7728" w:rsidTr="00020145">
        <w:trPr>
          <w:jc w:val="center"/>
        </w:trPr>
        <w:tc>
          <w:tcPr>
            <w:tcW w:w="2094" w:type="dxa"/>
          </w:tcPr>
          <w:p w:rsidR="0026757E" w:rsidRPr="002B7728" w:rsidRDefault="0026757E" w:rsidP="00020145">
            <w:pPr>
              <w:spacing w:before="120" w:after="120"/>
              <w:jc w:val="center"/>
            </w:pPr>
            <w:r w:rsidRPr="00F854AB">
              <w:t>SAIFI</w:t>
            </w:r>
          </w:p>
        </w:tc>
        <w:tc>
          <w:tcPr>
            <w:tcW w:w="2722" w:type="dxa"/>
          </w:tcPr>
          <w:p w:rsidR="0026757E" w:rsidRPr="002B7728" w:rsidRDefault="0026757E" w:rsidP="00020145">
            <w:pPr>
              <w:spacing w:before="120" w:after="120"/>
              <w:jc w:val="center"/>
            </w:pPr>
            <w:r w:rsidRPr="00F854AB">
              <w:t>1.</w:t>
            </w:r>
            <w:r>
              <w:t>24</w:t>
            </w:r>
          </w:p>
        </w:tc>
        <w:tc>
          <w:tcPr>
            <w:tcW w:w="2406" w:type="dxa"/>
          </w:tcPr>
          <w:p w:rsidR="0026757E" w:rsidRPr="002B7728" w:rsidRDefault="0026757E" w:rsidP="00020145">
            <w:pPr>
              <w:spacing w:before="120" w:after="120"/>
              <w:jc w:val="center"/>
            </w:pPr>
            <w:r w:rsidRPr="00F854AB">
              <w:t>0.97</w:t>
            </w:r>
          </w:p>
        </w:tc>
        <w:tc>
          <w:tcPr>
            <w:tcW w:w="2795" w:type="dxa"/>
          </w:tcPr>
          <w:p w:rsidR="0026757E" w:rsidRPr="002B7728" w:rsidRDefault="0026757E" w:rsidP="00020145">
            <w:pPr>
              <w:spacing w:before="120" w:after="120"/>
              <w:jc w:val="center"/>
            </w:pPr>
            <w:r w:rsidRPr="00F854AB">
              <w:t>1.6</w:t>
            </w:r>
            <w:r>
              <w:t>1</w:t>
            </w:r>
          </w:p>
        </w:tc>
      </w:tr>
      <w:tr w:rsidR="0026757E" w:rsidRPr="002B7728" w:rsidTr="00020145">
        <w:trPr>
          <w:jc w:val="center"/>
        </w:trPr>
        <w:tc>
          <w:tcPr>
            <w:tcW w:w="2094" w:type="dxa"/>
          </w:tcPr>
          <w:p w:rsidR="0026757E" w:rsidRPr="002B7728" w:rsidRDefault="0026757E" w:rsidP="00020145">
            <w:pPr>
              <w:spacing w:before="120" w:after="120"/>
              <w:jc w:val="center"/>
            </w:pPr>
            <w:r w:rsidRPr="00F854AB">
              <w:t>MAIFI</w:t>
            </w:r>
          </w:p>
        </w:tc>
        <w:tc>
          <w:tcPr>
            <w:tcW w:w="2722" w:type="dxa"/>
          </w:tcPr>
          <w:p w:rsidR="0026757E" w:rsidRPr="002B7728" w:rsidRDefault="0026757E" w:rsidP="00020145">
            <w:pPr>
              <w:spacing w:before="120" w:after="120"/>
              <w:jc w:val="center"/>
            </w:pPr>
            <w:r w:rsidRPr="00F854AB">
              <w:t>3.</w:t>
            </w:r>
            <w:r>
              <w:t>12</w:t>
            </w:r>
          </w:p>
        </w:tc>
        <w:tc>
          <w:tcPr>
            <w:tcW w:w="2406" w:type="dxa"/>
          </w:tcPr>
          <w:p w:rsidR="0026757E" w:rsidRPr="002B7728" w:rsidRDefault="0026757E" w:rsidP="00020145">
            <w:pPr>
              <w:spacing w:before="120" w:after="120"/>
              <w:jc w:val="center"/>
            </w:pPr>
            <w:r w:rsidRPr="00F854AB">
              <w:t>3.58</w:t>
            </w:r>
          </w:p>
        </w:tc>
        <w:tc>
          <w:tcPr>
            <w:tcW w:w="2795" w:type="dxa"/>
          </w:tcPr>
          <w:p w:rsidR="0026757E" w:rsidRPr="002B7728" w:rsidRDefault="0026757E" w:rsidP="00020145">
            <w:pPr>
              <w:spacing w:before="120" w:after="120"/>
              <w:jc w:val="center"/>
            </w:pPr>
            <w:r>
              <w:t>4.89</w:t>
            </w:r>
          </w:p>
        </w:tc>
      </w:tr>
      <w:tr w:rsidR="0026757E" w:rsidRPr="002B7728" w:rsidTr="00020145">
        <w:trPr>
          <w:jc w:val="center"/>
        </w:trPr>
        <w:tc>
          <w:tcPr>
            <w:tcW w:w="2094" w:type="dxa"/>
          </w:tcPr>
          <w:p w:rsidR="0026757E" w:rsidRPr="002B7728" w:rsidRDefault="0026757E" w:rsidP="00020145">
            <w:pPr>
              <w:spacing w:before="120" w:after="120"/>
              <w:jc w:val="center"/>
            </w:pPr>
            <w:r w:rsidRPr="00F854AB">
              <w:t>SAIDI</w:t>
            </w:r>
          </w:p>
        </w:tc>
        <w:tc>
          <w:tcPr>
            <w:tcW w:w="2722" w:type="dxa"/>
          </w:tcPr>
          <w:p w:rsidR="0026757E" w:rsidRPr="002B7728" w:rsidRDefault="0026757E" w:rsidP="00020145">
            <w:pPr>
              <w:spacing w:before="120" w:after="120"/>
              <w:jc w:val="center"/>
            </w:pPr>
            <w:r w:rsidRPr="00F854AB">
              <w:t>14</w:t>
            </w:r>
            <w:r>
              <w:t>9</w:t>
            </w:r>
          </w:p>
        </w:tc>
        <w:tc>
          <w:tcPr>
            <w:tcW w:w="2406" w:type="dxa"/>
          </w:tcPr>
          <w:p w:rsidR="0026757E" w:rsidRPr="002B7728" w:rsidRDefault="0026757E" w:rsidP="00020145">
            <w:pPr>
              <w:spacing w:before="120" w:after="120"/>
              <w:jc w:val="center"/>
            </w:pPr>
            <w:r w:rsidRPr="00F854AB">
              <w:t>108</w:t>
            </w:r>
          </w:p>
        </w:tc>
        <w:tc>
          <w:tcPr>
            <w:tcW w:w="2795" w:type="dxa"/>
          </w:tcPr>
          <w:p w:rsidR="0026757E" w:rsidRPr="002B7728" w:rsidRDefault="0026757E" w:rsidP="00020145">
            <w:pPr>
              <w:spacing w:before="120" w:after="120"/>
              <w:jc w:val="center"/>
            </w:pPr>
            <w:r w:rsidRPr="00F854AB">
              <w:t>200</w:t>
            </w:r>
          </w:p>
        </w:tc>
      </w:tr>
      <w:tr w:rsidR="0026757E" w:rsidRPr="002B7728" w:rsidTr="00020145">
        <w:trPr>
          <w:jc w:val="center"/>
        </w:trPr>
        <w:tc>
          <w:tcPr>
            <w:tcW w:w="2094" w:type="dxa"/>
          </w:tcPr>
          <w:p w:rsidR="0026757E" w:rsidRPr="002B7728" w:rsidRDefault="0026757E" w:rsidP="00020145">
            <w:pPr>
              <w:spacing w:before="120" w:after="120"/>
              <w:jc w:val="center"/>
            </w:pPr>
            <w:r w:rsidRPr="002B7728">
              <w:t>CAIDI</w:t>
            </w:r>
          </w:p>
        </w:tc>
        <w:tc>
          <w:tcPr>
            <w:tcW w:w="2722" w:type="dxa"/>
          </w:tcPr>
          <w:p w:rsidR="0026757E" w:rsidRPr="002B7728" w:rsidRDefault="0026757E" w:rsidP="00020145">
            <w:pPr>
              <w:spacing w:before="120" w:after="120"/>
              <w:jc w:val="center"/>
            </w:pPr>
            <w:r w:rsidRPr="00F854AB">
              <w:t>12</w:t>
            </w:r>
            <w:r>
              <w:t>0</w:t>
            </w:r>
          </w:p>
        </w:tc>
        <w:tc>
          <w:tcPr>
            <w:tcW w:w="2406" w:type="dxa"/>
          </w:tcPr>
          <w:p w:rsidR="0026757E" w:rsidRPr="002B7728" w:rsidRDefault="0026757E" w:rsidP="00020145">
            <w:pPr>
              <w:spacing w:before="120" w:after="120"/>
              <w:jc w:val="center"/>
            </w:pPr>
            <w:r w:rsidRPr="00F854AB">
              <w:t>112</w:t>
            </w:r>
          </w:p>
        </w:tc>
        <w:tc>
          <w:tcPr>
            <w:tcW w:w="2795" w:type="dxa"/>
          </w:tcPr>
          <w:p w:rsidR="0026757E" w:rsidRPr="002B7728" w:rsidRDefault="0026757E" w:rsidP="00020145">
            <w:pPr>
              <w:spacing w:before="120" w:after="120"/>
              <w:jc w:val="center"/>
            </w:pPr>
            <w:r w:rsidRPr="00F854AB">
              <w:t>13</w:t>
            </w:r>
            <w:r>
              <w:t>8</w:t>
            </w:r>
          </w:p>
        </w:tc>
      </w:tr>
    </w:tbl>
    <w:p w:rsidR="0026757E" w:rsidRDefault="0026757E" w:rsidP="0026757E">
      <w:pPr>
        <w:jc w:val="both"/>
      </w:pPr>
    </w:p>
    <w:p w:rsidR="005364B7" w:rsidRDefault="005364B7" w:rsidP="0026757E">
      <w:pPr>
        <w:rPr>
          <w:b/>
        </w:rPr>
      </w:pPr>
    </w:p>
    <w:p w:rsidR="005364B7" w:rsidRDefault="005364B7" w:rsidP="0026757E">
      <w:pPr>
        <w:rPr>
          <w:b/>
        </w:rPr>
      </w:pPr>
    </w:p>
    <w:p w:rsidR="00A3086A" w:rsidRDefault="00A3086A" w:rsidP="0026757E">
      <w:pPr>
        <w:rPr>
          <w:b/>
        </w:rPr>
      </w:pPr>
    </w:p>
    <w:p w:rsidR="0026757E" w:rsidRDefault="0026757E" w:rsidP="0026757E">
      <w:pPr>
        <w:rPr>
          <w:b/>
        </w:rPr>
      </w:pPr>
      <w:r>
        <w:rPr>
          <w:b/>
        </w:rPr>
        <w:lastRenderedPageBreak/>
        <w:t xml:space="preserve">Chart - </w:t>
      </w:r>
      <w:r w:rsidRPr="0026757E">
        <w:rPr>
          <w:b/>
        </w:rPr>
        <w:t>SAIFI - Sustained Interruptions / Customer</w:t>
      </w:r>
    </w:p>
    <w:p w:rsidR="0026757E" w:rsidRDefault="0026757E" w:rsidP="0026757E">
      <w:pPr>
        <w:rPr>
          <w:b/>
        </w:rPr>
      </w:pPr>
    </w:p>
    <w:p w:rsidR="0026757E" w:rsidRDefault="00D76041" w:rsidP="0026757E">
      <w:pPr>
        <w:rPr>
          <w:b/>
        </w:rPr>
      </w:pPr>
      <w:r>
        <w:rPr>
          <w:b/>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margin-left:135.95pt;margin-top:47.4pt;width:142.9pt;height:29.7pt;z-index:251658240" adj="-5260,98291" fillcolor="#396">
            <v:textbox style="mso-next-textbox:#_x0000_s1034">
              <w:txbxContent>
                <w:p w:rsidR="007B1359" w:rsidRDefault="007B1359" w:rsidP="0026757E">
                  <w:r>
                    <w:t>Baseline Year 2005</w:t>
                  </w:r>
                </w:p>
              </w:txbxContent>
            </v:textbox>
          </v:shape>
        </w:pict>
      </w:r>
      <w:r w:rsidR="0026757E" w:rsidRPr="0026757E">
        <w:rPr>
          <w:b/>
          <w:noProof/>
        </w:rPr>
        <w:drawing>
          <wp:inline distT="0" distB="0" distL="0" distR="0">
            <wp:extent cx="5391150" cy="3181350"/>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757E" w:rsidRDefault="0026757E" w:rsidP="0026757E">
      <w:pPr>
        <w:rPr>
          <w:b/>
        </w:rPr>
      </w:pPr>
    </w:p>
    <w:p w:rsidR="0026757E" w:rsidRDefault="0026757E" w:rsidP="0026757E">
      <w:pPr>
        <w:rPr>
          <w:b/>
        </w:rPr>
      </w:pPr>
    </w:p>
    <w:p w:rsidR="0026757E" w:rsidRDefault="0026757E" w:rsidP="0026757E">
      <w:pPr>
        <w:rPr>
          <w:b/>
        </w:rPr>
      </w:pPr>
      <w:r>
        <w:rPr>
          <w:b/>
        </w:rPr>
        <w:t xml:space="preserve">Chart - </w:t>
      </w:r>
      <w:r w:rsidRPr="0026757E">
        <w:rPr>
          <w:b/>
        </w:rPr>
        <w:t>Sustained Interruptions / Customer Historic Comparison</w:t>
      </w:r>
    </w:p>
    <w:p w:rsidR="0026757E" w:rsidRDefault="0026757E" w:rsidP="0026757E">
      <w:pPr>
        <w:rPr>
          <w:b/>
        </w:rPr>
      </w:pPr>
    </w:p>
    <w:p w:rsidR="0026757E" w:rsidRDefault="0026757E" w:rsidP="0026757E">
      <w:pPr>
        <w:rPr>
          <w:b/>
        </w:rPr>
      </w:pPr>
      <w:r w:rsidRPr="0026757E">
        <w:rPr>
          <w:b/>
          <w:noProof/>
        </w:rPr>
        <w:drawing>
          <wp:inline distT="0" distB="0" distL="0" distR="0">
            <wp:extent cx="5314950" cy="2847975"/>
            <wp:effectExtent l="19050" t="0" r="19050" b="0"/>
            <wp:docPr id="2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757E" w:rsidRDefault="0026757E" w:rsidP="0026757E">
      <w:pPr>
        <w:rPr>
          <w:b/>
        </w:rPr>
      </w:pPr>
    </w:p>
    <w:p w:rsidR="0026757E" w:rsidRDefault="0026757E" w:rsidP="0026757E"/>
    <w:p w:rsidR="0026757E" w:rsidRPr="0026757E" w:rsidRDefault="0026757E" w:rsidP="0026757E">
      <w:r>
        <w:t>Following the graphical information about each system indice the report will also contain further explanations and details about the results for the year.</w:t>
      </w:r>
    </w:p>
    <w:p w:rsidR="0026757E" w:rsidRDefault="0026757E" w:rsidP="00BC678D">
      <w:pPr>
        <w:pStyle w:val="Heading3"/>
        <w:jc w:val="both"/>
      </w:pPr>
      <w:bookmarkStart w:id="30" w:name="_Toc3183396"/>
      <w:bookmarkStart w:id="31" w:name="_Toc97619596"/>
      <w:bookmarkStart w:id="32" w:name="_Toc98906761"/>
      <w:bookmarkStart w:id="33" w:name="_Toc165342434"/>
      <w:bookmarkStart w:id="34" w:name="_Toc193710992"/>
      <w:bookmarkStart w:id="35" w:name="_Toc227571585"/>
    </w:p>
    <w:p w:rsidR="00594385" w:rsidRDefault="00594385">
      <w:pPr>
        <w:rPr>
          <w:rFonts w:ascii="Arial" w:hAnsi="Arial"/>
          <w:b/>
        </w:rPr>
      </w:pPr>
      <w:bookmarkStart w:id="36" w:name="_Toc435692491"/>
      <w:r>
        <w:br w:type="page"/>
      </w:r>
    </w:p>
    <w:p w:rsidR="00EF4035" w:rsidRDefault="003A5969" w:rsidP="00BC678D">
      <w:pPr>
        <w:pStyle w:val="Heading3"/>
        <w:jc w:val="both"/>
      </w:pPr>
      <w:r>
        <w:lastRenderedPageBreak/>
        <w:t>O</w:t>
      </w:r>
      <w:r w:rsidR="00E135DB">
        <w:t>ffice</w:t>
      </w:r>
      <w:r>
        <w:t xml:space="preserve"> </w:t>
      </w:r>
      <w:r w:rsidR="00EF4035">
        <w:t xml:space="preserve">Areas </w:t>
      </w:r>
      <w:r>
        <w:t>Indices</w:t>
      </w:r>
      <w:bookmarkEnd w:id="30"/>
      <w:bookmarkEnd w:id="31"/>
      <w:bookmarkEnd w:id="32"/>
      <w:bookmarkEnd w:id="33"/>
      <w:bookmarkEnd w:id="34"/>
      <w:bookmarkEnd w:id="35"/>
      <w:bookmarkEnd w:id="36"/>
    </w:p>
    <w:p w:rsidR="0026757E" w:rsidRDefault="0026757E" w:rsidP="0026757E"/>
    <w:p w:rsidR="00680FCE" w:rsidRDefault="00020145" w:rsidP="0026757E">
      <w:r>
        <w:t xml:space="preserve">The Office Areas Indices section will include charts showing the system indices results for each of the Company’s office areas.  </w:t>
      </w:r>
      <w:r w:rsidR="00680FCE">
        <w:t xml:space="preserve">The Company </w:t>
      </w:r>
      <w:r w:rsidR="002866AA">
        <w:t xml:space="preserve">has </w:t>
      </w:r>
      <w:r w:rsidR="00680FCE">
        <w:t>eleven different office areas it provides data on, which are the following.</w:t>
      </w:r>
    </w:p>
    <w:p w:rsidR="00680FCE" w:rsidRDefault="00680FCE" w:rsidP="0026757E"/>
    <w:tbl>
      <w:tblPr>
        <w:tblW w:w="11448" w:type="dxa"/>
        <w:tblInd w:w="198" w:type="dxa"/>
        <w:tblLayout w:type="fixed"/>
        <w:tblLook w:val="0000"/>
      </w:tblPr>
      <w:tblGrid>
        <w:gridCol w:w="1188"/>
        <w:gridCol w:w="3420"/>
        <w:gridCol w:w="1170"/>
        <w:gridCol w:w="5670"/>
      </w:tblGrid>
      <w:tr w:rsidR="00680FCE" w:rsidTr="006938BF">
        <w:tc>
          <w:tcPr>
            <w:tcW w:w="1188" w:type="dxa"/>
          </w:tcPr>
          <w:p w:rsidR="00680FCE" w:rsidRDefault="00680FCE" w:rsidP="006938BF">
            <w:pPr>
              <w:pStyle w:val="Footer"/>
              <w:tabs>
                <w:tab w:val="clear" w:pos="4320"/>
                <w:tab w:val="clear" w:pos="8640"/>
              </w:tabs>
            </w:pPr>
            <w:r>
              <w:t>CDC</w:t>
            </w:r>
          </w:p>
        </w:tc>
        <w:tc>
          <w:tcPr>
            <w:tcW w:w="3420" w:type="dxa"/>
          </w:tcPr>
          <w:p w:rsidR="00680FCE" w:rsidRDefault="00680FCE" w:rsidP="006938BF">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680FCE" w:rsidRDefault="00680FCE" w:rsidP="006938BF">
            <w:pPr>
              <w:pStyle w:val="Footer"/>
              <w:tabs>
                <w:tab w:val="clear" w:pos="4320"/>
                <w:tab w:val="clear" w:pos="8640"/>
              </w:tabs>
            </w:pPr>
            <w:r>
              <w:t>LCC</w:t>
            </w:r>
          </w:p>
        </w:tc>
        <w:tc>
          <w:tcPr>
            <w:tcW w:w="5670" w:type="dxa"/>
          </w:tcPr>
          <w:p w:rsidR="00680FCE" w:rsidRDefault="00680FCE" w:rsidP="006938BF">
            <w:pPr>
              <w:pStyle w:val="Footer"/>
              <w:tabs>
                <w:tab w:val="clear" w:pos="4320"/>
                <w:tab w:val="clear" w:pos="8640"/>
              </w:tabs>
            </w:pPr>
            <w:r>
              <w:t>Lewiston-Clarkston</w:t>
            </w:r>
          </w:p>
        </w:tc>
      </w:tr>
      <w:tr w:rsidR="00680FCE" w:rsidTr="006938BF">
        <w:tc>
          <w:tcPr>
            <w:tcW w:w="1188" w:type="dxa"/>
          </w:tcPr>
          <w:p w:rsidR="00680FCE" w:rsidRDefault="00680FCE" w:rsidP="006938BF">
            <w:pPr>
              <w:pStyle w:val="Footer"/>
              <w:tabs>
                <w:tab w:val="clear" w:pos="4320"/>
                <w:tab w:val="clear" w:pos="8640"/>
              </w:tabs>
            </w:pPr>
            <w:r>
              <w:t>COC</w:t>
            </w:r>
          </w:p>
        </w:tc>
        <w:tc>
          <w:tcPr>
            <w:tcW w:w="3420" w:type="dxa"/>
          </w:tcPr>
          <w:p w:rsidR="00680FCE" w:rsidRDefault="00680FCE" w:rsidP="006938BF">
            <w:pPr>
              <w:pStyle w:val="Footer"/>
              <w:tabs>
                <w:tab w:val="clear" w:pos="4320"/>
                <w:tab w:val="clear" w:pos="8640"/>
              </w:tabs>
            </w:pPr>
            <w:smartTag w:uri="urn:schemas-microsoft-com:office:smarttags" w:element="place">
              <w:r>
                <w:t>Colville</w:t>
              </w:r>
            </w:smartTag>
          </w:p>
        </w:tc>
        <w:tc>
          <w:tcPr>
            <w:tcW w:w="1170" w:type="dxa"/>
          </w:tcPr>
          <w:p w:rsidR="00680FCE" w:rsidRDefault="00680FCE" w:rsidP="006938BF">
            <w:pPr>
              <w:pStyle w:val="Footer"/>
              <w:tabs>
                <w:tab w:val="clear" w:pos="4320"/>
                <w:tab w:val="clear" w:pos="8640"/>
              </w:tabs>
            </w:pPr>
            <w:r>
              <w:t>OTC</w:t>
            </w:r>
          </w:p>
        </w:tc>
        <w:tc>
          <w:tcPr>
            <w:tcW w:w="5670" w:type="dxa"/>
          </w:tcPr>
          <w:p w:rsidR="00680FCE" w:rsidRDefault="00680FCE" w:rsidP="006938BF">
            <w:pPr>
              <w:pStyle w:val="Footer"/>
              <w:tabs>
                <w:tab w:val="clear" w:pos="4320"/>
                <w:tab w:val="clear" w:pos="8640"/>
              </w:tabs>
            </w:pPr>
            <w:r>
              <w:t>Othello</w:t>
            </w:r>
          </w:p>
        </w:tc>
      </w:tr>
      <w:tr w:rsidR="00680FCE" w:rsidTr="006938BF">
        <w:tc>
          <w:tcPr>
            <w:tcW w:w="1188" w:type="dxa"/>
          </w:tcPr>
          <w:p w:rsidR="00680FCE" w:rsidRDefault="00680FCE" w:rsidP="006938BF">
            <w:pPr>
              <w:pStyle w:val="Footer"/>
              <w:tabs>
                <w:tab w:val="clear" w:pos="4320"/>
                <w:tab w:val="clear" w:pos="8640"/>
              </w:tabs>
            </w:pPr>
            <w:r>
              <w:t>DAC</w:t>
            </w:r>
          </w:p>
        </w:tc>
        <w:tc>
          <w:tcPr>
            <w:tcW w:w="3420" w:type="dxa"/>
          </w:tcPr>
          <w:p w:rsidR="00680FCE" w:rsidRDefault="00680FCE" w:rsidP="006938BF">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680FCE" w:rsidRDefault="00680FCE" w:rsidP="006938BF">
            <w:pPr>
              <w:pStyle w:val="Footer"/>
              <w:tabs>
                <w:tab w:val="clear" w:pos="4320"/>
                <w:tab w:val="clear" w:pos="8640"/>
              </w:tabs>
            </w:pPr>
            <w:r>
              <w:t>PAC</w:t>
            </w:r>
          </w:p>
        </w:tc>
        <w:tc>
          <w:tcPr>
            <w:tcW w:w="5670" w:type="dxa"/>
          </w:tcPr>
          <w:p w:rsidR="00680FCE" w:rsidRDefault="00680FCE" w:rsidP="006938BF">
            <w:pPr>
              <w:pStyle w:val="Footer"/>
              <w:tabs>
                <w:tab w:val="clear" w:pos="4320"/>
                <w:tab w:val="clear" w:pos="8640"/>
              </w:tabs>
            </w:pPr>
            <w:r>
              <w:t>Palouse</w:t>
            </w:r>
          </w:p>
        </w:tc>
      </w:tr>
      <w:tr w:rsidR="00680FCE" w:rsidTr="006938BF">
        <w:tc>
          <w:tcPr>
            <w:tcW w:w="1188" w:type="dxa"/>
          </w:tcPr>
          <w:p w:rsidR="00680FCE" w:rsidRDefault="00680FCE" w:rsidP="006938BF">
            <w:pPr>
              <w:pStyle w:val="Footer"/>
              <w:tabs>
                <w:tab w:val="clear" w:pos="4320"/>
                <w:tab w:val="clear" w:pos="8640"/>
              </w:tabs>
            </w:pPr>
            <w:r>
              <w:t>DPC</w:t>
            </w:r>
          </w:p>
        </w:tc>
        <w:tc>
          <w:tcPr>
            <w:tcW w:w="3420" w:type="dxa"/>
          </w:tcPr>
          <w:p w:rsidR="00680FCE" w:rsidRDefault="00680FCE" w:rsidP="006938BF">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680FCE" w:rsidRDefault="00680FCE" w:rsidP="006938BF">
            <w:pPr>
              <w:pStyle w:val="Footer"/>
              <w:tabs>
                <w:tab w:val="clear" w:pos="4320"/>
                <w:tab w:val="clear" w:pos="8640"/>
              </w:tabs>
            </w:pPr>
            <w:r>
              <w:t>SAC</w:t>
            </w:r>
          </w:p>
        </w:tc>
        <w:tc>
          <w:tcPr>
            <w:tcW w:w="5670" w:type="dxa"/>
          </w:tcPr>
          <w:p w:rsidR="00680FCE" w:rsidRDefault="00680FCE" w:rsidP="006938BF">
            <w:pPr>
              <w:pStyle w:val="Footer"/>
              <w:tabs>
                <w:tab w:val="clear" w:pos="4320"/>
                <w:tab w:val="clear" w:pos="8640"/>
              </w:tabs>
            </w:pPr>
            <w:r>
              <w:t>Sandpoint</w:t>
            </w:r>
          </w:p>
        </w:tc>
      </w:tr>
      <w:tr w:rsidR="00680FCE" w:rsidTr="006938BF">
        <w:tc>
          <w:tcPr>
            <w:tcW w:w="1188" w:type="dxa"/>
          </w:tcPr>
          <w:p w:rsidR="00680FCE" w:rsidRDefault="00680FCE" w:rsidP="006938BF">
            <w:pPr>
              <w:pStyle w:val="Footer"/>
              <w:tabs>
                <w:tab w:val="clear" w:pos="4320"/>
                <w:tab w:val="clear" w:pos="8640"/>
              </w:tabs>
            </w:pPr>
            <w:r>
              <w:t>GRC</w:t>
            </w:r>
          </w:p>
        </w:tc>
        <w:tc>
          <w:tcPr>
            <w:tcW w:w="3420" w:type="dxa"/>
          </w:tcPr>
          <w:p w:rsidR="00680FCE" w:rsidRDefault="00680FCE" w:rsidP="006938BF">
            <w:pPr>
              <w:pStyle w:val="Footer"/>
              <w:tabs>
                <w:tab w:val="clear" w:pos="4320"/>
                <w:tab w:val="clear" w:pos="8640"/>
              </w:tabs>
            </w:pPr>
            <w:r>
              <w:t>Grangeville</w:t>
            </w:r>
          </w:p>
        </w:tc>
        <w:tc>
          <w:tcPr>
            <w:tcW w:w="1170" w:type="dxa"/>
          </w:tcPr>
          <w:p w:rsidR="00680FCE" w:rsidRDefault="00680FCE" w:rsidP="006938BF">
            <w:pPr>
              <w:pStyle w:val="Footer"/>
              <w:tabs>
                <w:tab w:val="clear" w:pos="4320"/>
                <w:tab w:val="clear" w:pos="8640"/>
              </w:tabs>
            </w:pPr>
            <w:r>
              <w:t>SPC</w:t>
            </w:r>
          </w:p>
        </w:tc>
        <w:tc>
          <w:tcPr>
            <w:tcW w:w="5670" w:type="dxa"/>
          </w:tcPr>
          <w:p w:rsidR="00680FCE" w:rsidRDefault="00680FCE" w:rsidP="006938BF">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680FCE" w:rsidTr="006938BF">
        <w:trPr>
          <w:trHeight w:val="243"/>
        </w:trPr>
        <w:tc>
          <w:tcPr>
            <w:tcW w:w="1188" w:type="dxa"/>
          </w:tcPr>
          <w:p w:rsidR="00680FCE" w:rsidRDefault="00680FCE" w:rsidP="006938BF">
            <w:pPr>
              <w:pStyle w:val="Footer"/>
              <w:tabs>
                <w:tab w:val="clear" w:pos="4320"/>
                <w:tab w:val="clear" w:pos="8640"/>
              </w:tabs>
            </w:pPr>
            <w:r>
              <w:t>KEC</w:t>
            </w:r>
          </w:p>
        </w:tc>
        <w:tc>
          <w:tcPr>
            <w:tcW w:w="3420" w:type="dxa"/>
          </w:tcPr>
          <w:p w:rsidR="00680FCE" w:rsidRDefault="00680FCE" w:rsidP="006938BF">
            <w:pPr>
              <w:pStyle w:val="Footer"/>
              <w:tabs>
                <w:tab w:val="clear" w:pos="4320"/>
                <w:tab w:val="clear" w:pos="8640"/>
              </w:tabs>
            </w:pPr>
            <w:r>
              <w:t>Kellogg/ St. Maries</w:t>
            </w:r>
          </w:p>
        </w:tc>
        <w:tc>
          <w:tcPr>
            <w:tcW w:w="1170" w:type="dxa"/>
          </w:tcPr>
          <w:p w:rsidR="00680FCE" w:rsidRDefault="00680FCE" w:rsidP="006938BF">
            <w:pPr>
              <w:pStyle w:val="Footer"/>
              <w:tabs>
                <w:tab w:val="clear" w:pos="4320"/>
                <w:tab w:val="clear" w:pos="8640"/>
              </w:tabs>
            </w:pPr>
          </w:p>
        </w:tc>
        <w:tc>
          <w:tcPr>
            <w:tcW w:w="5670" w:type="dxa"/>
          </w:tcPr>
          <w:p w:rsidR="00680FCE" w:rsidRDefault="00680FCE" w:rsidP="006938BF">
            <w:pPr>
              <w:pStyle w:val="Footer"/>
              <w:tabs>
                <w:tab w:val="clear" w:pos="4320"/>
                <w:tab w:val="clear" w:pos="8640"/>
              </w:tabs>
            </w:pPr>
          </w:p>
        </w:tc>
      </w:tr>
    </w:tbl>
    <w:p w:rsidR="00680FCE" w:rsidRDefault="00680FCE" w:rsidP="0026757E"/>
    <w:p w:rsidR="0026757E" w:rsidRDefault="008C6E1B" w:rsidP="0026757E">
      <w:r>
        <w:t xml:space="preserve">An example of the charts to be includes for the system indices </w:t>
      </w:r>
      <w:r w:rsidR="002866AA">
        <w:t>of each office area are</w:t>
      </w:r>
      <w:r>
        <w:t xml:space="preserve"> as follows.</w:t>
      </w:r>
    </w:p>
    <w:p w:rsidR="008C6E1B" w:rsidRDefault="008C6E1B" w:rsidP="0026757E"/>
    <w:p w:rsidR="008C6E1B" w:rsidRDefault="008C6E1B" w:rsidP="0026757E">
      <w:pPr>
        <w:rPr>
          <w:b/>
        </w:rPr>
      </w:pPr>
      <w:r w:rsidRPr="008C6E1B">
        <w:rPr>
          <w:b/>
        </w:rPr>
        <w:t>Chart – SAIFI – Sustained Interruptions / Customer</w:t>
      </w:r>
    </w:p>
    <w:p w:rsidR="008C6E1B" w:rsidRDefault="008C6E1B" w:rsidP="0026757E">
      <w:pPr>
        <w:rPr>
          <w:b/>
        </w:rPr>
      </w:pPr>
    </w:p>
    <w:p w:rsidR="008C6E1B" w:rsidRPr="008C6E1B" w:rsidRDefault="008C6E1B" w:rsidP="0026757E">
      <w:pPr>
        <w:rPr>
          <w:b/>
        </w:rPr>
      </w:pPr>
      <w:r w:rsidRPr="008C6E1B">
        <w:rPr>
          <w:b/>
          <w:noProof/>
        </w:rPr>
        <w:drawing>
          <wp:inline distT="0" distB="0" distL="0" distR="0">
            <wp:extent cx="5156200" cy="3387725"/>
            <wp:effectExtent l="0" t="0" r="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15D5" w:rsidRDefault="006615D5" w:rsidP="00BC678D">
      <w:pPr>
        <w:pStyle w:val="Heading3"/>
        <w:jc w:val="both"/>
      </w:pPr>
      <w:bookmarkStart w:id="37" w:name="_Ref162252485"/>
      <w:bookmarkStart w:id="38" w:name="_Toc165342468"/>
      <w:bookmarkStart w:id="39" w:name="_Toc193711038"/>
      <w:bookmarkStart w:id="40" w:name="_Toc227571633"/>
      <w:bookmarkStart w:id="41" w:name="_Toc435692492"/>
      <w:bookmarkStart w:id="42" w:name="_Toc97619602"/>
      <w:bookmarkStart w:id="43" w:name="_Toc98906767"/>
      <w:bookmarkStart w:id="44" w:name="_Toc165342439"/>
      <w:bookmarkStart w:id="45" w:name="_Toc193710997"/>
      <w:bookmarkStart w:id="46" w:name="_Toc227571590"/>
      <w:bookmarkStart w:id="47" w:name="_Toc3183401"/>
      <w:r w:rsidRPr="00983C7D">
        <w:t>Major Event Day</w:t>
      </w:r>
      <w:bookmarkEnd w:id="37"/>
      <w:bookmarkEnd w:id="38"/>
      <w:bookmarkEnd w:id="39"/>
      <w:bookmarkEnd w:id="40"/>
      <w:r>
        <w:t>s</w:t>
      </w:r>
      <w:bookmarkEnd w:id="41"/>
    </w:p>
    <w:p w:rsidR="00370F92" w:rsidRDefault="00370F92" w:rsidP="00370F92"/>
    <w:p w:rsidR="00370F92" w:rsidRDefault="00370F92" w:rsidP="00370F92">
      <w:pPr>
        <w:jc w:val="both"/>
      </w:pPr>
      <w:r>
        <w:t>Major Events and Major Event Days as used in this report are defined per the IEEE Guide for Electric Power Distribution Reliability Indices, IEEE P1366-2012. The definitions are taken from the IEEE Guide and can be found in Appendix A.  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rsidR="00370F92" w:rsidRDefault="00370F92" w:rsidP="00370F92">
      <w:pPr>
        <w:jc w:val="both"/>
      </w:pPr>
    </w:p>
    <w:p w:rsidR="00370F92" w:rsidRDefault="00370F92" w:rsidP="00370F92">
      <w:pPr>
        <w:jc w:val="both"/>
      </w:pPr>
      <w:r>
        <w:t>The Company will include a list of the Major Event Days that occurred during the year as shown in the following example.</w:t>
      </w:r>
    </w:p>
    <w:p w:rsidR="00370F92" w:rsidRDefault="00370F92" w:rsidP="00370F92">
      <w:pPr>
        <w:jc w:val="both"/>
      </w:pPr>
    </w:p>
    <w:tbl>
      <w:tblPr>
        <w:tblW w:w="0" w:type="auto"/>
        <w:jc w:val="center"/>
        <w:tblInd w:w="-747" w:type="dxa"/>
        <w:tblLook w:val="0000"/>
      </w:tblPr>
      <w:tblGrid>
        <w:gridCol w:w="3555"/>
        <w:gridCol w:w="1440"/>
        <w:gridCol w:w="3960"/>
      </w:tblGrid>
      <w:tr w:rsidR="00370F92" w:rsidRPr="00F7741B" w:rsidTr="00020145">
        <w:trPr>
          <w:jc w:val="center"/>
        </w:trPr>
        <w:tc>
          <w:tcPr>
            <w:tcW w:w="3555" w:type="dxa"/>
            <w:tcBorders>
              <w:top w:val="single" w:sz="18" w:space="0" w:color="auto"/>
              <w:left w:val="single" w:sz="18" w:space="0" w:color="auto"/>
              <w:bottom w:val="single" w:sz="18" w:space="0" w:color="auto"/>
              <w:right w:val="single" w:sz="6" w:space="0" w:color="auto"/>
            </w:tcBorders>
            <w:vAlign w:val="center"/>
          </w:tcPr>
          <w:p w:rsidR="00370F92" w:rsidRPr="00F7741B" w:rsidRDefault="00370F92" w:rsidP="00020145">
            <w:pPr>
              <w:pStyle w:val="Heading9"/>
              <w:rPr>
                <w:rFonts w:ascii="Times New Roman" w:hAnsi="Times New Roman" w:cs="Times New Roman"/>
              </w:rPr>
            </w:pPr>
            <w:r w:rsidRPr="00F854AB">
              <w:rPr>
                <w:rFonts w:ascii="Times New Roman" w:hAnsi="Times New Roman" w:cs="Times New Roman"/>
              </w:rPr>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rsidR="00370F92" w:rsidRPr="00F7741B" w:rsidRDefault="00370F92" w:rsidP="00020145">
            <w:pPr>
              <w:pStyle w:val="Heading9"/>
              <w:rPr>
                <w:rFonts w:ascii="Times New Roman" w:hAnsi="Times New Roman" w:cs="Times New Roman"/>
              </w:rPr>
            </w:pPr>
            <w:r w:rsidRPr="00F854AB">
              <w:rPr>
                <w:rFonts w:ascii="Times New Roman" w:hAnsi="Times New Roman" w:cs="Times New Roman"/>
              </w:rPr>
              <w:t xml:space="preserve">SAIDI </w:t>
            </w:r>
            <w:r w:rsidRPr="00F854AB">
              <w:rPr>
                <w:rFonts w:ascii="Times New Roman" w:hAnsi="Times New Roman" w:cs="Times New Roman"/>
                <w:sz w:val="20"/>
              </w:rPr>
              <w:t>(Customer-Minutes)</w:t>
            </w:r>
          </w:p>
        </w:tc>
        <w:tc>
          <w:tcPr>
            <w:tcW w:w="3960" w:type="dxa"/>
            <w:tcBorders>
              <w:top w:val="single" w:sz="18" w:space="0" w:color="auto"/>
              <w:left w:val="single" w:sz="6" w:space="0" w:color="auto"/>
              <w:bottom w:val="single" w:sz="18" w:space="0" w:color="auto"/>
              <w:right w:val="single" w:sz="18" w:space="0" w:color="auto"/>
            </w:tcBorders>
            <w:vAlign w:val="center"/>
          </w:tcPr>
          <w:p w:rsidR="00370F92" w:rsidRPr="00F7741B" w:rsidRDefault="00370F92" w:rsidP="00020145">
            <w:pPr>
              <w:pStyle w:val="Heading9"/>
              <w:rPr>
                <w:rFonts w:ascii="Times New Roman" w:hAnsi="Times New Roman" w:cs="Times New Roman"/>
              </w:rPr>
            </w:pPr>
            <w:r w:rsidRPr="00F854AB">
              <w:rPr>
                <w:rFonts w:ascii="Times New Roman" w:hAnsi="Times New Roman" w:cs="Times New Roman"/>
              </w:rPr>
              <w:t>Cause</w:t>
            </w:r>
          </w:p>
        </w:tc>
      </w:tr>
      <w:tr w:rsidR="00370F92" w:rsidRPr="00F7741B" w:rsidTr="00020145">
        <w:trPr>
          <w:jc w:val="center"/>
        </w:trPr>
        <w:tc>
          <w:tcPr>
            <w:tcW w:w="3555" w:type="dxa"/>
            <w:tcBorders>
              <w:top w:val="single" w:sz="18" w:space="0" w:color="auto"/>
              <w:left w:val="single" w:sz="18" w:space="0" w:color="auto"/>
              <w:bottom w:val="single" w:sz="6" w:space="0" w:color="auto"/>
              <w:right w:val="single" w:sz="6" w:space="0" w:color="auto"/>
            </w:tcBorders>
          </w:tcPr>
          <w:p w:rsidR="00370F92" w:rsidRPr="00F7741B" w:rsidRDefault="00370F92" w:rsidP="00020145">
            <w:pPr>
              <w:rPr>
                <w:color w:val="000000"/>
              </w:rPr>
            </w:pPr>
            <w:r>
              <w:rPr>
                <w:color w:val="000000"/>
              </w:rPr>
              <w:t>2014</w:t>
            </w:r>
            <w:r w:rsidRPr="00F854AB">
              <w:rPr>
                <w:color w:val="000000"/>
              </w:rPr>
              <w:t xml:space="preserve"> Major Event Day Threshold</w:t>
            </w:r>
          </w:p>
        </w:tc>
        <w:tc>
          <w:tcPr>
            <w:tcW w:w="1440" w:type="dxa"/>
            <w:tcBorders>
              <w:top w:val="single" w:sz="18" w:space="0" w:color="auto"/>
              <w:left w:val="single" w:sz="6" w:space="0" w:color="auto"/>
              <w:bottom w:val="single" w:sz="6" w:space="0" w:color="auto"/>
              <w:right w:val="single" w:sz="6" w:space="0" w:color="auto"/>
            </w:tcBorders>
          </w:tcPr>
          <w:p w:rsidR="00370F92" w:rsidRPr="00F7741B" w:rsidRDefault="00370F92" w:rsidP="00020145">
            <w:pPr>
              <w:jc w:val="center"/>
              <w:rPr>
                <w:color w:val="000000"/>
              </w:rPr>
            </w:pPr>
            <w:r w:rsidRPr="00F854AB">
              <w:rPr>
                <w:color w:val="000000"/>
              </w:rPr>
              <w:t>8.</w:t>
            </w:r>
            <w:r>
              <w:rPr>
                <w:color w:val="000000"/>
              </w:rPr>
              <w:t>72</w:t>
            </w:r>
          </w:p>
        </w:tc>
        <w:tc>
          <w:tcPr>
            <w:tcW w:w="3960" w:type="dxa"/>
            <w:tcBorders>
              <w:top w:val="single" w:sz="18" w:space="0" w:color="auto"/>
              <w:left w:val="single" w:sz="6" w:space="0" w:color="auto"/>
              <w:bottom w:val="single" w:sz="6" w:space="0" w:color="auto"/>
              <w:right w:val="single" w:sz="18" w:space="0" w:color="auto"/>
            </w:tcBorders>
          </w:tcPr>
          <w:p w:rsidR="00370F92" w:rsidRPr="00F7741B" w:rsidRDefault="00370F92" w:rsidP="00020145">
            <w:pPr>
              <w:jc w:val="center"/>
            </w:pPr>
          </w:p>
        </w:tc>
      </w:tr>
      <w:tr w:rsidR="00370F92" w:rsidRPr="00F7741B" w:rsidTr="00020145">
        <w:trPr>
          <w:trHeight w:val="318"/>
          <w:jc w:val="center"/>
        </w:trPr>
        <w:tc>
          <w:tcPr>
            <w:tcW w:w="3555" w:type="dxa"/>
            <w:tcBorders>
              <w:top w:val="single" w:sz="6" w:space="0" w:color="auto"/>
              <w:left w:val="single" w:sz="18" w:space="0" w:color="auto"/>
              <w:bottom w:val="single" w:sz="6" w:space="0" w:color="auto"/>
              <w:right w:val="single" w:sz="6" w:space="0" w:color="auto"/>
            </w:tcBorders>
            <w:vAlign w:val="bottom"/>
          </w:tcPr>
          <w:p w:rsidR="00370F92" w:rsidRPr="00F7741B" w:rsidRDefault="00370F92" w:rsidP="00020145">
            <w:pPr>
              <w:rPr>
                <w:color w:val="000000"/>
              </w:rPr>
            </w:pPr>
            <w:r>
              <w:rPr>
                <w:color w:val="000000"/>
              </w:rPr>
              <w:t>July 23</w:t>
            </w:r>
            <w:r w:rsidRPr="00F854AB">
              <w:rPr>
                <w:color w:val="000000"/>
              </w:rPr>
              <w:t>, 201</w:t>
            </w:r>
            <w:r>
              <w:rPr>
                <w:color w:val="000000"/>
              </w:rPr>
              <w:t>4</w:t>
            </w:r>
          </w:p>
        </w:tc>
        <w:tc>
          <w:tcPr>
            <w:tcW w:w="1440" w:type="dxa"/>
            <w:tcBorders>
              <w:top w:val="single" w:sz="6" w:space="0" w:color="auto"/>
              <w:left w:val="single" w:sz="6" w:space="0" w:color="auto"/>
              <w:bottom w:val="single" w:sz="6" w:space="0" w:color="auto"/>
              <w:right w:val="single" w:sz="6" w:space="0" w:color="auto"/>
            </w:tcBorders>
            <w:vAlign w:val="bottom"/>
          </w:tcPr>
          <w:p w:rsidR="00370F92" w:rsidRPr="00F7741B" w:rsidRDefault="00370F92" w:rsidP="00020145">
            <w:pPr>
              <w:jc w:val="center"/>
              <w:rPr>
                <w:color w:val="000000"/>
              </w:rPr>
            </w:pPr>
            <w:r>
              <w:rPr>
                <w:color w:val="000000"/>
              </w:rPr>
              <w:t>92.95</w:t>
            </w:r>
          </w:p>
        </w:tc>
        <w:tc>
          <w:tcPr>
            <w:tcW w:w="3960" w:type="dxa"/>
            <w:tcBorders>
              <w:top w:val="single" w:sz="6" w:space="0" w:color="auto"/>
              <w:left w:val="single" w:sz="6" w:space="0" w:color="auto"/>
              <w:bottom w:val="single" w:sz="6" w:space="0" w:color="auto"/>
              <w:right w:val="single" w:sz="18" w:space="0" w:color="auto"/>
            </w:tcBorders>
          </w:tcPr>
          <w:p w:rsidR="00370F92" w:rsidRPr="00F7741B" w:rsidRDefault="00370F92" w:rsidP="00020145">
            <w:pPr>
              <w:jc w:val="center"/>
              <w:rPr>
                <w:color w:val="000000"/>
              </w:rPr>
            </w:pPr>
            <w:r w:rsidRPr="00F854AB">
              <w:rPr>
                <w:color w:val="000000"/>
              </w:rPr>
              <w:t>Wind</w:t>
            </w:r>
          </w:p>
        </w:tc>
      </w:tr>
      <w:tr w:rsidR="00370F92" w:rsidRPr="00F7741B" w:rsidTr="00020145">
        <w:trPr>
          <w:jc w:val="center"/>
        </w:trPr>
        <w:tc>
          <w:tcPr>
            <w:tcW w:w="3555" w:type="dxa"/>
            <w:tcBorders>
              <w:top w:val="single" w:sz="6" w:space="0" w:color="auto"/>
              <w:left w:val="single" w:sz="18" w:space="0" w:color="auto"/>
              <w:bottom w:val="single" w:sz="4" w:space="0" w:color="auto"/>
              <w:right w:val="single" w:sz="6" w:space="0" w:color="auto"/>
            </w:tcBorders>
            <w:vAlign w:val="bottom"/>
          </w:tcPr>
          <w:p w:rsidR="00370F92" w:rsidRPr="00F7741B" w:rsidRDefault="00370F92" w:rsidP="00020145">
            <w:pPr>
              <w:rPr>
                <w:color w:val="000000"/>
              </w:rPr>
            </w:pPr>
            <w:r>
              <w:rPr>
                <w:color w:val="000000"/>
              </w:rPr>
              <w:t>July 24</w:t>
            </w:r>
            <w:r w:rsidRPr="00F854AB">
              <w:rPr>
                <w:color w:val="000000"/>
              </w:rPr>
              <w:t>, 201</w:t>
            </w:r>
            <w:r>
              <w:rPr>
                <w:color w:val="000000"/>
              </w:rPr>
              <w:t>4</w:t>
            </w:r>
          </w:p>
        </w:tc>
        <w:tc>
          <w:tcPr>
            <w:tcW w:w="1440" w:type="dxa"/>
            <w:tcBorders>
              <w:top w:val="single" w:sz="6" w:space="0" w:color="auto"/>
              <w:left w:val="single" w:sz="6" w:space="0" w:color="auto"/>
              <w:bottom w:val="single" w:sz="4" w:space="0" w:color="auto"/>
              <w:right w:val="single" w:sz="6" w:space="0" w:color="auto"/>
            </w:tcBorders>
            <w:vAlign w:val="bottom"/>
          </w:tcPr>
          <w:p w:rsidR="00370F92" w:rsidRPr="00F7741B" w:rsidRDefault="00370F92" w:rsidP="00020145">
            <w:pPr>
              <w:jc w:val="center"/>
              <w:rPr>
                <w:color w:val="000000"/>
              </w:rPr>
            </w:pPr>
            <w:r>
              <w:rPr>
                <w:color w:val="000000"/>
              </w:rPr>
              <w:t>35.66</w:t>
            </w:r>
          </w:p>
        </w:tc>
        <w:tc>
          <w:tcPr>
            <w:tcW w:w="3960" w:type="dxa"/>
            <w:tcBorders>
              <w:top w:val="single" w:sz="6" w:space="0" w:color="auto"/>
              <w:left w:val="single" w:sz="6" w:space="0" w:color="auto"/>
              <w:bottom w:val="single" w:sz="4" w:space="0" w:color="auto"/>
              <w:right w:val="single" w:sz="18" w:space="0" w:color="auto"/>
            </w:tcBorders>
          </w:tcPr>
          <w:p w:rsidR="00370F92" w:rsidRPr="00F7741B" w:rsidRDefault="00370F92" w:rsidP="00020145">
            <w:pPr>
              <w:jc w:val="center"/>
              <w:rPr>
                <w:color w:val="000000"/>
              </w:rPr>
            </w:pPr>
            <w:r w:rsidRPr="00F854AB">
              <w:rPr>
                <w:color w:val="000000"/>
              </w:rPr>
              <w:t>Wind</w:t>
            </w:r>
          </w:p>
        </w:tc>
      </w:tr>
      <w:tr w:rsidR="00370F92" w:rsidRPr="00F7741B" w:rsidTr="00020145">
        <w:trPr>
          <w:jc w:val="center"/>
        </w:trPr>
        <w:tc>
          <w:tcPr>
            <w:tcW w:w="3555" w:type="dxa"/>
            <w:tcBorders>
              <w:top w:val="single" w:sz="4" w:space="0" w:color="auto"/>
              <w:left w:val="single" w:sz="18" w:space="0" w:color="auto"/>
              <w:bottom w:val="single" w:sz="4" w:space="0" w:color="auto"/>
              <w:right w:val="single" w:sz="6" w:space="0" w:color="auto"/>
            </w:tcBorders>
            <w:vAlign w:val="bottom"/>
          </w:tcPr>
          <w:p w:rsidR="00370F92" w:rsidRPr="00F7741B" w:rsidRDefault="00370F92" w:rsidP="00020145">
            <w:pPr>
              <w:rPr>
                <w:color w:val="000000"/>
              </w:rPr>
            </w:pPr>
            <w:r>
              <w:rPr>
                <w:color w:val="000000"/>
              </w:rPr>
              <w:t>August 2</w:t>
            </w:r>
            <w:r w:rsidRPr="00F854AB">
              <w:rPr>
                <w:color w:val="000000"/>
              </w:rPr>
              <w:t>, 201</w:t>
            </w:r>
            <w:r>
              <w:rPr>
                <w:color w:val="000000"/>
              </w:rPr>
              <w:t>4</w:t>
            </w:r>
          </w:p>
        </w:tc>
        <w:tc>
          <w:tcPr>
            <w:tcW w:w="1440" w:type="dxa"/>
            <w:tcBorders>
              <w:top w:val="single" w:sz="4" w:space="0" w:color="auto"/>
              <w:left w:val="single" w:sz="6" w:space="0" w:color="auto"/>
              <w:bottom w:val="single" w:sz="4" w:space="0" w:color="auto"/>
              <w:right w:val="single" w:sz="6" w:space="0" w:color="auto"/>
            </w:tcBorders>
            <w:vAlign w:val="bottom"/>
          </w:tcPr>
          <w:p w:rsidR="00370F92" w:rsidRPr="00F7741B" w:rsidRDefault="00370F92" w:rsidP="00020145">
            <w:pPr>
              <w:jc w:val="center"/>
              <w:rPr>
                <w:color w:val="000000"/>
              </w:rPr>
            </w:pPr>
            <w:r>
              <w:rPr>
                <w:color w:val="000000"/>
              </w:rPr>
              <w:t>121.05</w:t>
            </w:r>
          </w:p>
        </w:tc>
        <w:tc>
          <w:tcPr>
            <w:tcW w:w="3960" w:type="dxa"/>
            <w:tcBorders>
              <w:top w:val="single" w:sz="4" w:space="0" w:color="auto"/>
              <w:left w:val="single" w:sz="6" w:space="0" w:color="auto"/>
              <w:bottom w:val="single" w:sz="4" w:space="0" w:color="auto"/>
              <w:right w:val="single" w:sz="18" w:space="0" w:color="auto"/>
            </w:tcBorders>
          </w:tcPr>
          <w:p w:rsidR="00370F92" w:rsidRPr="00F7741B" w:rsidRDefault="00370F92" w:rsidP="00020145">
            <w:pPr>
              <w:tabs>
                <w:tab w:val="left" w:pos="585"/>
                <w:tab w:val="left" w:pos="1050"/>
                <w:tab w:val="center" w:pos="1872"/>
              </w:tabs>
              <w:rPr>
                <w:color w:val="000000"/>
              </w:rPr>
            </w:pPr>
            <w:r w:rsidRPr="00F854AB">
              <w:rPr>
                <w:color w:val="000000"/>
              </w:rPr>
              <w:tab/>
            </w:r>
            <w:r w:rsidRPr="00F854AB">
              <w:rPr>
                <w:color w:val="000000"/>
              </w:rPr>
              <w:tab/>
            </w:r>
            <w:r w:rsidRPr="00F854AB">
              <w:rPr>
                <w:color w:val="000000"/>
              </w:rPr>
              <w:tab/>
              <w:t>Wind</w:t>
            </w:r>
          </w:p>
        </w:tc>
      </w:tr>
      <w:tr w:rsidR="00370F92" w:rsidRPr="00F854AB" w:rsidTr="00020145">
        <w:trPr>
          <w:jc w:val="center"/>
        </w:trPr>
        <w:tc>
          <w:tcPr>
            <w:tcW w:w="3555" w:type="dxa"/>
            <w:tcBorders>
              <w:top w:val="single" w:sz="4" w:space="0" w:color="auto"/>
              <w:left w:val="single" w:sz="18" w:space="0" w:color="auto"/>
              <w:bottom w:val="single" w:sz="4" w:space="0" w:color="auto"/>
              <w:right w:val="single" w:sz="6" w:space="0" w:color="auto"/>
            </w:tcBorders>
            <w:vAlign w:val="bottom"/>
          </w:tcPr>
          <w:p w:rsidR="00370F92" w:rsidRPr="00F854AB" w:rsidRDefault="00370F92" w:rsidP="00020145">
            <w:pPr>
              <w:rPr>
                <w:color w:val="000000"/>
              </w:rPr>
            </w:pPr>
            <w:r>
              <w:rPr>
                <w:color w:val="000000"/>
              </w:rPr>
              <w:t>August 3, 2014</w:t>
            </w:r>
          </w:p>
        </w:tc>
        <w:tc>
          <w:tcPr>
            <w:tcW w:w="1440" w:type="dxa"/>
            <w:tcBorders>
              <w:top w:val="single" w:sz="4" w:space="0" w:color="auto"/>
              <w:left w:val="single" w:sz="6" w:space="0" w:color="auto"/>
              <w:bottom w:val="single" w:sz="4" w:space="0" w:color="auto"/>
              <w:right w:val="single" w:sz="6" w:space="0" w:color="auto"/>
            </w:tcBorders>
            <w:vAlign w:val="bottom"/>
          </w:tcPr>
          <w:p w:rsidR="00370F92" w:rsidRPr="00F854AB" w:rsidRDefault="00370F92" w:rsidP="00020145">
            <w:pPr>
              <w:jc w:val="center"/>
              <w:rPr>
                <w:color w:val="000000"/>
              </w:rPr>
            </w:pPr>
            <w:r>
              <w:rPr>
                <w:color w:val="000000"/>
              </w:rPr>
              <w:t>38.52</w:t>
            </w:r>
          </w:p>
        </w:tc>
        <w:tc>
          <w:tcPr>
            <w:tcW w:w="3960" w:type="dxa"/>
            <w:tcBorders>
              <w:top w:val="single" w:sz="4" w:space="0" w:color="auto"/>
              <w:left w:val="single" w:sz="6" w:space="0" w:color="auto"/>
              <w:bottom w:val="single" w:sz="4" w:space="0" w:color="auto"/>
              <w:right w:val="single" w:sz="18" w:space="0" w:color="auto"/>
            </w:tcBorders>
          </w:tcPr>
          <w:p w:rsidR="00370F92" w:rsidRPr="00F854AB" w:rsidRDefault="00370F92" w:rsidP="00020145">
            <w:pPr>
              <w:tabs>
                <w:tab w:val="left" w:pos="585"/>
                <w:tab w:val="left" w:pos="1050"/>
                <w:tab w:val="center" w:pos="1872"/>
              </w:tabs>
              <w:jc w:val="center"/>
              <w:rPr>
                <w:color w:val="000000"/>
              </w:rPr>
            </w:pPr>
            <w:r w:rsidRPr="00F854AB">
              <w:rPr>
                <w:color w:val="000000"/>
              </w:rPr>
              <w:t>Wind</w:t>
            </w:r>
          </w:p>
        </w:tc>
      </w:tr>
      <w:tr w:rsidR="00370F92" w:rsidRPr="00F7741B" w:rsidTr="00020145">
        <w:trPr>
          <w:jc w:val="center"/>
        </w:trPr>
        <w:tc>
          <w:tcPr>
            <w:tcW w:w="3555" w:type="dxa"/>
            <w:tcBorders>
              <w:top w:val="single" w:sz="4" w:space="0" w:color="auto"/>
              <w:left w:val="single" w:sz="18" w:space="0" w:color="auto"/>
              <w:bottom w:val="single" w:sz="18" w:space="0" w:color="auto"/>
              <w:right w:val="single" w:sz="6" w:space="0" w:color="auto"/>
            </w:tcBorders>
            <w:vAlign w:val="bottom"/>
          </w:tcPr>
          <w:p w:rsidR="00370F92" w:rsidRPr="00F7741B" w:rsidRDefault="00370F92" w:rsidP="00020145">
            <w:pPr>
              <w:rPr>
                <w:color w:val="000000"/>
              </w:rPr>
            </w:pPr>
            <w:r>
              <w:rPr>
                <w:color w:val="000000"/>
              </w:rPr>
              <w:t>August</w:t>
            </w:r>
            <w:r w:rsidRPr="00F854AB">
              <w:rPr>
                <w:color w:val="000000"/>
              </w:rPr>
              <w:t xml:space="preserve"> </w:t>
            </w:r>
            <w:r>
              <w:rPr>
                <w:color w:val="000000"/>
              </w:rPr>
              <w:t>12</w:t>
            </w:r>
            <w:r w:rsidRPr="00F854AB">
              <w:rPr>
                <w:color w:val="000000"/>
              </w:rPr>
              <w:t>, 201</w:t>
            </w:r>
            <w:r>
              <w:rPr>
                <w:color w:val="000000"/>
              </w:rPr>
              <w:t>4</w:t>
            </w:r>
          </w:p>
        </w:tc>
        <w:tc>
          <w:tcPr>
            <w:tcW w:w="1440" w:type="dxa"/>
            <w:tcBorders>
              <w:top w:val="single" w:sz="4" w:space="0" w:color="auto"/>
              <w:left w:val="single" w:sz="6" w:space="0" w:color="auto"/>
              <w:bottom w:val="single" w:sz="18" w:space="0" w:color="auto"/>
              <w:right w:val="single" w:sz="6" w:space="0" w:color="auto"/>
            </w:tcBorders>
            <w:vAlign w:val="bottom"/>
          </w:tcPr>
          <w:p w:rsidR="00370F92" w:rsidRPr="00F7741B" w:rsidRDefault="00370F92" w:rsidP="00020145">
            <w:pPr>
              <w:jc w:val="center"/>
              <w:rPr>
                <w:color w:val="000000"/>
              </w:rPr>
            </w:pPr>
            <w:r>
              <w:rPr>
                <w:color w:val="000000"/>
              </w:rPr>
              <w:t>9.84</w:t>
            </w:r>
          </w:p>
        </w:tc>
        <w:tc>
          <w:tcPr>
            <w:tcW w:w="3960" w:type="dxa"/>
            <w:tcBorders>
              <w:top w:val="single" w:sz="4" w:space="0" w:color="auto"/>
              <w:left w:val="single" w:sz="6" w:space="0" w:color="auto"/>
              <w:bottom w:val="single" w:sz="18" w:space="0" w:color="auto"/>
              <w:right w:val="single" w:sz="18" w:space="0" w:color="auto"/>
            </w:tcBorders>
          </w:tcPr>
          <w:p w:rsidR="00370F92" w:rsidRPr="00F7741B" w:rsidRDefault="00370F92" w:rsidP="00020145">
            <w:pPr>
              <w:tabs>
                <w:tab w:val="left" w:pos="585"/>
              </w:tabs>
              <w:jc w:val="center"/>
              <w:rPr>
                <w:color w:val="000000"/>
              </w:rPr>
            </w:pPr>
            <w:r w:rsidRPr="00F854AB">
              <w:rPr>
                <w:color w:val="000000"/>
              </w:rPr>
              <w:t>Wind</w:t>
            </w:r>
          </w:p>
        </w:tc>
      </w:tr>
    </w:tbl>
    <w:p w:rsidR="00370F92" w:rsidRPr="00370F92" w:rsidRDefault="00370F92" w:rsidP="00BA0FA4">
      <w:pPr>
        <w:jc w:val="both"/>
      </w:pPr>
      <w:r>
        <w:t xml:space="preserve">  </w:t>
      </w:r>
    </w:p>
    <w:p w:rsidR="005A498B" w:rsidRDefault="005A498B" w:rsidP="00BC678D">
      <w:pPr>
        <w:pStyle w:val="Heading3"/>
        <w:jc w:val="both"/>
      </w:pPr>
      <w:bookmarkStart w:id="48" w:name="_Toc193711000"/>
      <w:bookmarkStart w:id="49" w:name="_Toc227571595"/>
      <w:bookmarkStart w:id="50" w:name="_Toc435692493"/>
      <w:bookmarkEnd w:id="42"/>
      <w:bookmarkEnd w:id="43"/>
      <w:bookmarkEnd w:id="44"/>
      <w:bookmarkEnd w:id="45"/>
      <w:bookmarkEnd w:id="46"/>
      <w:r>
        <w:t>Customers Experiencing Multiple Interruptions</w:t>
      </w:r>
      <w:bookmarkEnd w:id="48"/>
      <w:bookmarkEnd w:id="49"/>
      <w:bookmarkEnd w:id="50"/>
      <w:r w:rsidRPr="00980946">
        <w:t xml:space="preserve">  </w:t>
      </w:r>
    </w:p>
    <w:p w:rsidR="005D1ACF" w:rsidRDefault="005D1ACF" w:rsidP="00BC678D">
      <w:pPr>
        <w:jc w:val="both"/>
      </w:pPr>
    </w:p>
    <w:p w:rsidR="005D1ACF" w:rsidRDefault="005D1ACF" w:rsidP="00BC678D">
      <w:pPr>
        <w:jc w:val="both"/>
      </w:pPr>
      <w:r w:rsidRPr="001677DA">
        <w:rPr>
          <w:szCs w:val="24"/>
        </w:rPr>
        <w:t>The IEEE</w:t>
      </w:r>
      <w:r>
        <w:t xml:space="preserve"> Standard 1366P-2003 provides for two methods to analyze data associated with customers experiencing multiple momentary interruptions and/or sustained interruptions. Avista’s Outage OMT and Geographical Information System GIS provide the ability to geospatially associate an outage to individual customer service points. This association allows for graphically showing Customers Experiencing Multiple sustained Interruptions (CEMI</w:t>
      </w:r>
      <w:r w:rsidRPr="00E42B41">
        <w:rPr>
          <w:i/>
          <w:sz w:val="28"/>
          <w:vertAlign w:val="subscript"/>
        </w:rPr>
        <w:t>n</w:t>
      </w:r>
      <w:r>
        <w:t xml:space="preserve">) with Major Event Day data included onto GIS produced areas. Data can be exported to MS Excel to also create graphs representing different values of n. </w:t>
      </w:r>
    </w:p>
    <w:p w:rsidR="00107C1A" w:rsidRDefault="00107C1A" w:rsidP="00BC678D">
      <w:pPr>
        <w:jc w:val="both"/>
      </w:pPr>
    </w:p>
    <w:p w:rsidR="00107C1A" w:rsidRDefault="00107C1A" w:rsidP="00BC678D">
      <w:pPr>
        <w:jc w:val="both"/>
      </w:pPr>
      <w:r>
        <w:t>This section will provide the results for CEMI</w:t>
      </w:r>
      <w:r w:rsidRPr="00E42B41">
        <w:rPr>
          <w:i/>
          <w:sz w:val="28"/>
          <w:vertAlign w:val="subscript"/>
        </w:rPr>
        <w:t>n</w:t>
      </w:r>
      <w:r w:rsidR="00F84FA0">
        <w:rPr>
          <w:i/>
          <w:sz w:val="28"/>
          <w:vertAlign w:val="subscript"/>
        </w:rPr>
        <w:t xml:space="preserve"> </w:t>
      </w:r>
      <w:r w:rsidR="00F84FA0">
        <w:t>and an explanation of the results.  Charts showing the results will be provided, similar to the following examples.</w:t>
      </w:r>
    </w:p>
    <w:p w:rsidR="00F84FA0" w:rsidRDefault="00F84FA0" w:rsidP="00BC678D">
      <w:pPr>
        <w:jc w:val="both"/>
      </w:pPr>
    </w:p>
    <w:p w:rsidR="00F84FA0" w:rsidRPr="00F84FA0" w:rsidRDefault="00F84FA0" w:rsidP="00F84FA0">
      <w:pPr>
        <w:pStyle w:val="Heading5"/>
        <w:rPr>
          <w:rStyle w:val="Emphasis"/>
          <w:rFonts w:ascii="Times New Roman" w:hAnsi="Times New Roman"/>
          <w:i w:val="0"/>
        </w:rPr>
      </w:pPr>
      <w:bookmarkStart w:id="51" w:name="_Toc386461857"/>
      <w:bookmarkStart w:id="52" w:name="_Toc193711001"/>
      <w:bookmarkStart w:id="53" w:name="_Toc227571596"/>
      <w:r w:rsidRPr="00F84FA0">
        <w:rPr>
          <w:rStyle w:val="Emphasis"/>
          <w:rFonts w:ascii="Times New Roman" w:hAnsi="Times New Roman"/>
          <w:i w:val="0"/>
          <w:sz w:val="24"/>
        </w:rPr>
        <w:t>Chart 5.1 - Avista Service Territory - CEMIn</w:t>
      </w:r>
      <w:bookmarkEnd w:id="51"/>
      <w:r w:rsidRPr="00F84FA0">
        <w:rPr>
          <w:rStyle w:val="Emphasis"/>
          <w:rFonts w:ascii="Times New Roman" w:hAnsi="Times New Roman"/>
          <w:i w:val="0"/>
          <w:sz w:val="24"/>
        </w:rPr>
        <w:t xml:space="preserve"> </w:t>
      </w:r>
      <w:bookmarkEnd w:id="52"/>
      <w:bookmarkEnd w:id="53"/>
    </w:p>
    <w:p w:rsidR="00F84FA0" w:rsidRDefault="00F84FA0" w:rsidP="00BC678D">
      <w:pPr>
        <w:jc w:val="both"/>
      </w:pPr>
    </w:p>
    <w:p w:rsidR="00F84FA0" w:rsidRDefault="00A80ECF" w:rsidP="00BC678D">
      <w:pPr>
        <w:jc w:val="both"/>
      </w:pPr>
      <w:r>
        <w:rPr>
          <w:noProof/>
        </w:rPr>
        <w:drawing>
          <wp:inline distT="0" distB="0" distL="0" distR="0">
            <wp:extent cx="4362450" cy="326445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363348" cy="3265123"/>
                    </a:xfrm>
                    <a:prstGeom prst="rect">
                      <a:avLst/>
                    </a:prstGeom>
                    <a:noFill/>
                  </pic:spPr>
                </pic:pic>
              </a:graphicData>
            </a:graphic>
          </wp:inline>
        </w:drawing>
      </w:r>
    </w:p>
    <w:p w:rsidR="00A80ECF" w:rsidRPr="00A80ECF" w:rsidRDefault="00A80ECF" w:rsidP="00A80ECF">
      <w:pPr>
        <w:pStyle w:val="Heading3"/>
        <w:rPr>
          <w:rStyle w:val="Emphasis"/>
          <w:rFonts w:ascii="Times New Roman" w:hAnsi="Times New Roman"/>
          <w:i w:val="0"/>
        </w:rPr>
      </w:pPr>
      <w:bookmarkStart w:id="54" w:name="_Toc193711002"/>
      <w:bookmarkStart w:id="55" w:name="_Toc227571597"/>
      <w:bookmarkStart w:id="56" w:name="_Toc386461858"/>
      <w:bookmarkStart w:id="57" w:name="_Toc435692494"/>
      <w:r w:rsidRPr="00A80ECF">
        <w:rPr>
          <w:rStyle w:val="Emphasis"/>
          <w:rFonts w:ascii="Times New Roman" w:hAnsi="Times New Roman"/>
          <w:i w:val="0"/>
        </w:rPr>
        <w:lastRenderedPageBreak/>
        <w:t>Chart - Colville Office - CEMIn</w:t>
      </w:r>
      <w:bookmarkEnd w:id="54"/>
      <w:bookmarkEnd w:id="55"/>
      <w:bookmarkEnd w:id="56"/>
      <w:bookmarkEnd w:id="57"/>
    </w:p>
    <w:p w:rsidR="00A80ECF" w:rsidRDefault="00A80ECF" w:rsidP="00A80ECF">
      <w:pPr>
        <w:jc w:val="center"/>
      </w:pPr>
      <w:r w:rsidRPr="008A17A7">
        <w:rPr>
          <w:noProof/>
        </w:rPr>
        <w:drawing>
          <wp:inline distT="0" distB="0" distL="0" distR="0">
            <wp:extent cx="5203445" cy="8093811"/>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5205174" cy="8096501"/>
                    </a:xfrm>
                    <a:prstGeom prst="rect">
                      <a:avLst/>
                    </a:prstGeom>
                    <a:noFill/>
                    <a:ln w="9525">
                      <a:noFill/>
                      <a:miter lim="800000"/>
                      <a:headEnd/>
                      <a:tailEnd/>
                    </a:ln>
                  </pic:spPr>
                </pic:pic>
              </a:graphicData>
            </a:graphic>
          </wp:inline>
        </w:drawing>
      </w:r>
    </w:p>
    <w:p w:rsidR="00A80ECF" w:rsidRDefault="00A80ECF" w:rsidP="00BC678D">
      <w:pPr>
        <w:jc w:val="both"/>
      </w:pPr>
    </w:p>
    <w:p w:rsidR="00A80ECF" w:rsidRPr="005D1ACF" w:rsidRDefault="00A80ECF" w:rsidP="00BC678D">
      <w:pPr>
        <w:jc w:val="both"/>
      </w:pPr>
    </w:p>
    <w:p w:rsidR="003A5969" w:rsidRDefault="003A5969" w:rsidP="00BC678D">
      <w:pPr>
        <w:pStyle w:val="Heading3"/>
        <w:jc w:val="both"/>
        <w:rPr>
          <w:rStyle w:val="Heading1Char"/>
          <w:b/>
          <w:kern w:val="0"/>
          <w:sz w:val="24"/>
          <w:u w:val="none"/>
        </w:rPr>
      </w:pPr>
      <w:bookmarkStart w:id="58" w:name="_Toc98906770"/>
      <w:bookmarkStart w:id="59" w:name="_Toc165342445"/>
      <w:bookmarkStart w:id="60" w:name="_Toc193711013"/>
      <w:bookmarkStart w:id="61" w:name="_Toc227571608"/>
      <w:bookmarkStart w:id="62" w:name="_Toc435692495"/>
      <w:r w:rsidRPr="00FC4E17">
        <w:rPr>
          <w:rStyle w:val="Heading1Char"/>
          <w:b/>
          <w:kern w:val="0"/>
          <w:sz w:val="24"/>
          <w:u w:val="none"/>
        </w:rPr>
        <w:t>Monthly Indices</w:t>
      </w:r>
      <w:bookmarkEnd w:id="47"/>
      <w:bookmarkEnd w:id="58"/>
      <w:bookmarkEnd w:id="59"/>
      <w:bookmarkEnd w:id="60"/>
      <w:bookmarkEnd w:id="61"/>
      <w:bookmarkEnd w:id="62"/>
    </w:p>
    <w:p w:rsidR="00A80ECF" w:rsidRDefault="00A80ECF" w:rsidP="00A80ECF"/>
    <w:p w:rsidR="00A80ECF" w:rsidRDefault="008C45C5" w:rsidP="00A80ECF">
      <w:r>
        <w:t>This section will provide the system indices by month in order to show the monthly variation in system results.</w:t>
      </w:r>
      <w:r w:rsidR="007702E2">
        <w:t xml:space="preserve">  An example of the charts that may be included is as follows.</w:t>
      </w:r>
    </w:p>
    <w:p w:rsidR="007702E2" w:rsidRDefault="007702E2" w:rsidP="00A80ECF"/>
    <w:p w:rsidR="007702E2" w:rsidRPr="007702E2" w:rsidRDefault="007702E2" w:rsidP="00A80ECF">
      <w:pPr>
        <w:rPr>
          <w:b/>
        </w:rPr>
      </w:pPr>
      <w:r w:rsidRPr="007702E2">
        <w:rPr>
          <w:b/>
        </w:rPr>
        <w:t>Chart – SAIFI – Sustained Interruptions / Customer by Month</w:t>
      </w:r>
    </w:p>
    <w:p w:rsidR="008C45C5" w:rsidRDefault="008C45C5" w:rsidP="00A80ECF"/>
    <w:p w:rsidR="008C45C5" w:rsidRPr="00A80ECF" w:rsidRDefault="007702E2" w:rsidP="00A80ECF">
      <w:r w:rsidRPr="007702E2">
        <w:rPr>
          <w:noProof/>
        </w:rPr>
        <w:drawing>
          <wp:inline distT="0" distB="0" distL="0" distR="0">
            <wp:extent cx="5943600" cy="2781300"/>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5969" w:rsidRDefault="003A5969" w:rsidP="00BC678D">
      <w:pPr>
        <w:pStyle w:val="Heading3"/>
        <w:jc w:val="both"/>
      </w:pPr>
      <w:bookmarkStart w:id="63" w:name="_Toc3183409"/>
      <w:bookmarkStart w:id="64" w:name="_Toc97619611"/>
      <w:bookmarkStart w:id="65" w:name="_Toc98906778"/>
      <w:bookmarkStart w:id="66" w:name="_Toc165342453"/>
      <w:bookmarkStart w:id="67" w:name="_Toc193711021"/>
      <w:bookmarkStart w:id="68" w:name="_Toc227571616"/>
      <w:bookmarkStart w:id="69" w:name="_Toc435692496"/>
      <w:r>
        <w:t>Sustained Interruption Causes</w:t>
      </w:r>
      <w:bookmarkEnd w:id="63"/>
      <w:bookmarkEnd w:id="64"/>
      <w:bookmarkEnd w:id="65"/>
      <w:bookmarkEnd w:id="66"/>
      <w:bookmarkEnd w:id="67"/>
      <w:bookmarkEnd w:id="68"/>
      <w:bookmarkEnd w:id="69"/>
    </w:p>
    <w:p w:rsidR="007B1359" w:rsidRDefault="007B1359" w:rsidP="007B1359"/>
    <w:p w:rsidR="007B1359" w:rsidRDefault="007B1359" w:rsidP="007B1359">
      <w:r>
        <w:t>This section will provide further explanation and detail for the causes of sustained interruptions. The following table is an example of what will be included.</w:t>
      </w:r>
    </w:p>
    <w:p w:rsidR="00680FCE" w:rsidRDefault="00680FCE" w:rsidP="007B1359"/>
    <w:p w:rsidR="00680FCE" w:rsidRPr="00AC3BBD" w:rsidRDefault="00680FCE" w:rsidP="007B1359">
      <w:pPr>
        <w:rPr>
          <w:b/>
        </w:rPr>
      </w:pPr>
      <w:r w:rsidRPr="00AC3BBD">
        <w:rPr>
          <w:b/>
        </w:rPr>
        <w:t xml:space="preserve">Table </w:t>
      </w:r>
      <w:r w:rsidR="00AC3BBD" w:rsidRPr="00AC3BBD">
        <w:rPr>
          <w:b/>
        </w:rPr>
        <w:t xml:space="preserve"> - % SAIFI per Cause by Office</w:t>
      </w:r>
    </w:p>
    <w:p w:rsidR="007B1359" w:rsidRDefault="007B1359" w:rsidP="007B1359"/>
    <w:tbl>
      <w:tblPr>
        <w:tblW w:w="4707" w:type="pct"/>
        <w:tblInd w:w="198" w:type="dxa"/>
        <w:tblLayout w:type="fixed"/>
        <w:tblLook w:val="04A0"/>
      </w:tblPr>
      <w:tblGrid>
        <w:gridCol w:w="1190"/>
        <w:gridCol w:w="720"/>
        <w:gridCol w:w="724"/>
        <w:gridCol w:w="720"/>
        <w:gridCol w:w="722"/>
        <w:gridCol w:w="720"/>
        <w:gridCol w:w="720"/>
        <w:gridCol w:w="719"/>
        <w:gridCol w:w="719"/>
        <w:gridCol w:w="719"/>
        <w:gridCol w:w="717"/>
        <w:gridCol w:w="719"/>
        <w:gridCol w:w="719"/>
      </w:tblGrid>
      <w:tr w:rsidR="008C2798" w:rsidRPr="00E130E1" w:rsidTr="008C2798">
        <w:trPr>
          <w:trHeight w:val="660"/>
        </w:trPr>
        <w:tc>
          <w:tcPr>
            <w:tcW w:w="60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1359" w:rsidRPr="007B1359" w:rsidRDefault="007B1359" w:rsidP="007B1359">
            <w:pPr>
              <w:rPr>
                <w:b/>
                <w:bCs/>
                <w:sz w:val="18"/>
                <w:szCs w:val="18"/>
              </w:rPr>
            </w:pPr>
            <w:r w:rsidRPr="007B1359">
              <w:rPr>
                <w:b/>
                <w:bCs/>
                <w:sz w:val="18"/>
                <w:szCs w:val="18"/>
              </w:rPr>
              <w:t>Reason</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CDC</w:t>
            </w:r>
          </w:p>
        </w:tc>
        <w:tc>
          <w:tcPr>
            <w:tcW w:w="368"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COC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DAC</w:t>
            </w:r>
          </w:p>
        </w:tc>
        <w:tc>
          <w:tcPr>
            <w:tcW w:w="367"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GRC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KEC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LCC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OTC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PAC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SAC</w:t>
            </w:r>
          </w:p>
        </w:tc>
        <w:tc>
          <w:tcPr>
            <w:tcW w:w="365"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SPC</w:t>
            </w:r>
          </w:p>
        </w:tc>
        <w:tc>
          <w:tcPr>
            <w:tcW w:w="366" w:type="pct"/>
            <w:tcBorders>
              <w:top w:val="single" w:sz="8" w:space="0" w:color="auto"/>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b/>
                <w:bCs/>
                <w:sz w:val="18"/>
                <w:szCs w:val="18"/>
              </w:rPr>
            </w:pPr>
            <w:r w:rsidRPr="007B1359">
              <w:rPr>
                <w:b/>
                <w:bCs/>
                <w:sz w:val="18"/>
                <w:szCs w:val="18"/>
              </w:rPr>
              <w:t>DPC</w:t>
            </w:r>
          </w:p>
        </w:tc>
        <w:tc>
          <w:tcPr>
            <w:tcW w:w="366" w:type="pct"/>
            <w:tcBorders>
              <w:top w:val="single" w:sz="8" w:space="0" w:color="auto"/>
              <w:left w:val="nil"/>
              <w:bottom w:val="single" w:sz="8" w:space="0" w:color="auto"/>
              <w:right w:val="single" w:sz="8" w:space="0" w:color="auto"/>
            </w:tcBorders>
            <w:shd w:val="clear" w:color="auto" w:fill="auto"/>
            <w:vAlign w:val="bottom"/>
            <w:hideMark/>
          </w:tcPr>
          <w:p w:rsidR="007B1359" w:rsidRPr="007B1359" w:rsidRDefault="007B1359" w:rsidP="007B1359">
            <w:pPr>
              <w:jc w:val="center"/>
              <w:rPr>
                <w:b/>
                <w:bCs/>
                <w:sz w:val="18"/>
                <w:szCs w:val="18"/>
              </w:rPr>
            </w:pPr>
            <w:r w:rsidRPr="007B1359">
              <w:rPr>
                <w:b/>
                <w:bCs/>
                <w:sz w:val="18"/>
                <w:szCs w:val="18"/>
              </w:rPr>
              <w:t xml:space="preserve">All </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ANIMAL</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12.0%</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5.0%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3.1%</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6.3%</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1.4%</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6.2%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0.7%</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5.4%</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MISC</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r>
      <w:tr w:rsidR="008C2798" w:rsidRPr="00E130E1" w:rsidTr="008C2798">
        <w:trPr>
          <w:trHeight w:val="270"/>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POLE FIRE</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1.8%</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7.6%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0.5%</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0.1%</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10.1%</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0.2%</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10.7%</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40.6%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8.1%</w:t>
            </w:r>
          </w:p>
        </w:tc>
      </w:tr>
      <w:tr w:rsidR="008C2798" w:rsidRPr="00E130E1" w:rsidTr="008C2798">
        <w:trPr>
          <w:trHeight w:val="285"/>
        </w:trPr>
        <w:tc>
          <w:tcPr>
            <w:tcW w:w="605" w:type="pct"/>
            <w:tcBorders>
              <w:top w:val="nil"/>
              <w:left w:val="single" w:sz="8" w:space="0" w:color="auto"/>
              <w:bottom w:val="single" w:sz="4" w:space="0" w:color="auto"/>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WEATHER</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14.1%</w:t>
            </w:r>
          </w:p>
        </w:tc>
        <w:tc>
          <w:tcPr>
            <w:tcW w:w="368"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24.4%</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47.8%</w:t>
            </w:r>
          </w:p>
        </w:tc>
        <w:tc>
          <w:tcPr>
            <w:tcW w:w="367"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13.7%</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35.0%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13.4%</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9.9%</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20.0%</w:t>
            </w:r>
          </w:p>
        </w:tc>
        <w:tc>
          <w:tcPr>
            <w:tcW w:w="365"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16.5%</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13.7%</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19.9%</w:t>
            </w:r>
          </w:p>
        </w:tc>
      </w:tr>
      <w:tr w:rsidR="008C2798" w:rsidRPr="00E130E1" w:rsidTr="008C2798">
        <w:trPr>
          <w:trHeight w:val="270"/>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UNKNOWN</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17.1%</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4.8%</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9.1%</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21.6%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12.1%</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11.4%</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10.3%</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TREE</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11.2%</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10.8%</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4.1%</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7.6%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14.3%</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6.9%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16.5%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36.7%</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9.4%</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PUBLIC</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20.2%</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2.7%</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9.9%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5.9%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20.7%</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6.7%</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4.1%</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15.5%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10.0%</w:t>
            </w:r>
          </w:p>
        </w:tc>
      </w:tr>
      <w:tr w:rsidR="008C2798" w:rsidRPr="00E130E1" w:rsidTr="008C2798">
        <w:trPr>
          <w:trHeight w:val="255"/>
        </w:trPr>
        <w:tc>
          <w:tcPr>
            <w:tcW w:w="605" w:type="pct"/>
            <w:tcBorders>
              <w:top w:val="nil"/>
              <w:left w:val="single" w:sz="8" w:space="0" w:color="auto"/>
              <w:bottom w:val="single" w:sz="4" w:space="0" w:color="auto"/>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COMPANY</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2.3%</w:t>
            </w:r>
          </w:p>
        </w:tc>
        <w:tc>
          <w:tcPr>
            <w:tcW w:w="368"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4.7%</w:t>
            </w:r>
          </w:p>
        </w:tc>
        <w:tc>
          <w:tcPr>
            <w:tcW w:w="367"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0.2%</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17.7%</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4.5%</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5"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8.4%</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single" w:sz="4"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4.0%</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EQUIP OH</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5.0%</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24.9%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24.5%</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16.2%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49.7%</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18.6%</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27.3%</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21.5%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19.8%</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EQUIP UG</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0.1%</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0.2%</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0.1%</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0.8%</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11.8%</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1.6%</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0.4%</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4.4%</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1.7%</w:t>
            </w:r>
          </w:p>
        </w:tc>
      </w:tr>
      <w:tr w:rsidR="008C2798" w:rsidRPr="00E130E1" w:rsidTr="008C2798">
        <w:trPr>
          <w:trHeight w:val="255"/>
        </w:trPr>
        <w:tc>
          <w:tcPr>
            <w:tcW w:w="605" w:type="pct"/>
            <w:tcBorders>
              <w:top w:val="nil"/>
              <w:left w:val="single" w:sz="8" w:space="0" w:color="auto"/>
              <w:bottom w:val="nil"/>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EQUIPSUB</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8.0%</w:t>
            </w:r>
          </w:p>
        </w:tc>
        <w:tc>
          <w:tcPr>
            <w:tcW w:w="368"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7"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11.9%</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6.5%</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0.1%</w:t>
            </w:r>
          </w:p>
        </w:tc>
        <w:tc>
          <w:tcPr>
            <w:tcW w:w="365"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0.0%</w:t>
            </w:r>
          </w:p>
        </w:tc>
        <w:tc>
          <w:tcPr>
            <w:tcW w:w="366" w:type="pct"/>
            <w:tcBorders>
              <w:top w:val="nil"/>
              <w:left w:val="nil"/>
              <w:bottom w:val="nil"/>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2.3%</w:t>
            </w:r>
          </w:p>
        </w:tc>
      </w:tr>
      <w:tr w:rsidR="008C2798" w:rsidRPr="00E130E1" w:rsidTr="008C2798">
        <w:trPr>
          <w:trHeight w:val="270"/>
        </w:trPr>
        <w:tc>
          <w:tcPr>
            <w:tcW w:w="605" w:type="pct"/>
            <w:tcBorders>
              <w:top w:val="nil"/>
              <w:left w:val="single" w:sz="8" w:space="0" w:color="auto"/>
              <w:bottom w:val="single" w:sz="8" w:space="0" w:color="auto"/>
              <w:right w:val="single" w:sz="8" w:space="0" w:color="auto"/>
            </w:tcBorders>
            <w:shd w:val="clear" w:color="auto" w:fill="auto"/>
            <w:noWrap/>
            <w:vAlign w:val="bottom"/>
            <w:hideMark/>
          </w:tcPr>
          <w:p w:rsidR="007B1359" w:rsidRPr="007B1359" w:rsidRDefault="007B1359" w:rsidP="007B1359">
            <w:pPr>
              <w:rPr>
                <w:sz w:val="18"/>
                <w:szCs w:val="18"/>
              </w:rPr>
            </w:pPr>
            <w:r w:rsidRPr="007B1359">
              <w:rPr>
                <w:sz w:val="18"/>
                <w:szCs w:val="18"/>
              </w:rPr>
              <w:t>PLANNED</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8.2%</w:t>
            </w:r>
          </w:p>
        </w:tc>
        <w:tc>
          <w:tcPr>
            <w:tcW w:w="368"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14.1%</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3.5%</w:t>
            </w:r>
          </w:p>
        </w:tc>
        <w:tc>
          <w:tcPr>
            <w:tcW w:w="367"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34.6%</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3.8%</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4.7%</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12.1%</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7.4%</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4.6%</w:t>
            </w:r>
          </w:p>
        </w:tc>
        <w:tc>
          <w:tcPr>
            <w:tcW w:w="365"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10.6%</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1.3%</w:t>
            </w:r>
          </w:p>
        </w:tc>
        <w:tc>
          <w:tcPr>
            <w:tcW w:w="366" w:type="pct"/>
            <w:tcBorders>
              <w:top w:val="nil"/>
              <w:left w:val="nil"/>
              <w:bottom w:val="single" w:sz="8" w:space="0" w:color="auto"/>
              <w:right w:val="single" w:sz="8" w:space="0" w:color="auto"/>
            </w:tcBorders>
            <w:shd w:val="clear" w:color="auto" w:fill="auto"/>
            <w:noWrap/>
            <w:vAlign w:val="bottom"/>
            <w:hideMark/>
          </w:tcPr>
          <w:p w:rsidR="007B1359" w:rsidRPr="007B1359" w:rsidRDefault="007B1359" w:rsidP="007B1359">
            <w:pPr>
              <w:jc w:val="center"/>
              <w:rPr>
                <w:sz w:val="18"/>
                <w:szCs w:val="18"/>
              </w:rPr>
            </w:pPr>
            <w:r w:rsidRPr="007B1359">
              <w:rPr>
                <w:sz w:val="18"/>
                <w:szCs w:val="18"/>
              </w:rPr>
              <w:t>9.0%</w:t>
            </w:r>
          </w:p>
        </w:tc>
      </w:tr>
    </w:tbl>
    <w:p w:rsidR="007B1359" w:rsidRDefault="007B1359" w:rsidP="007B1359">
      <w:pPr>
        <w:pStyle w:val="Footer"/>
        <w:tabs>
          <w:tab w:val="clear" w:pos="4320"/>
          <w:tab w:val="clear" w:pos="8640"/>
        </w:tabs>
      </w:pPr>
    </w:p>
    <w:p w:rsidR="007B1359" w:rsidRPr="007B1359" w:rsidRDefault="007B1359" w:rsidP="007B1359"/>
    <w:p w:rsidR="003A5969" w:rsidRDefault="003A5969" w:rsidP="00BC678D">
      <w:pPr>
        <w:pStyle w:val="Heading3"/>
        <w:jc w:val="both"/>
      </w:pPr>
      <w:bookmarkStart w:id="70" w:name="_Toc98906787"/>
      <w:bookmarkStart w:id="71" w:name="_Toc165342462"/>
      <w:bookmarkStart w:id="72" w:name="_Toc193711031"/>
      <w:bookmarkStart w:id="73" w:name="_Toc227571626"/>
      <w:bookmarkStart w:id="74" w:name="_Toc435692497"/>
      <w:bookmarkStart w:id="75" w:name="_Toc3183413"/>
      <w:r w:rsidRPr="00534AE3">
        <w:lastRenderedPageBreak/>
        <w:t>Momentary Interruption Causes</w:t>
      </w:r>
      <w:bookmarkEnd w:id="70"/>
      <w:bookmarkEnd w:id="71"/>
      <w:bookmarkEnd w:id="72"/>
      <w:bookmarkEnd w:id="73"/>
      <w:bookmarkEnd w:id="74"/>
    </w:p>
    <w:p w:rsidR="00482D46" w:rsidRDefault="00482D46" w:rsidP="00482D46"/>
    <w:p w:rsidR="003F5B72" w:rsidRDefault="003F5B72" w:rsidP="003F5B72">
      <w:pPr>
        <w:jc w:val="both"/>
      </w:pPr>
      <w:r>
        <w:t xml:space="preserve">The cause for many momentary interruptions is unknown. Because faults are temporary, the cause goes unnoticed even after the line is patrolled.   Momentary outages are recorded using our SCADA system (System Control and Data Acquisition). On average, about </w:t>
      </w:r>
      <w:r w:rsidRPr="009C71AB">
        <w:t>88%</w:t>
      </w:r>
      <w:r>
        <w:t xml:space="preserve"> of Avista’s customers are served from SCADA controlled stations.  The following table is an example of what will be included in this section.</w:t>
      </w:r>
    </w:p>
    <w:p w:rsidR="003F5B72" w:rsidRDefault="003F5B72" w:rsidP="003F5B72">
      <w:pPr>
        <w:jc w:val="both"/>
      </w:pPr>
    </w:p>
    <w:p w:rsidR="003F5B72" w:rsidRPr="003F5B72" w:rsidRDefault="003F5B72" w:rsidP="003F5B72">
      <w:pPr>
        <w:jc w:val="both"/>
        <w:rPr>
          <w:b/>
        </w:rPr>
      </w:pPr>
      <w:r w:rsidRPr="003F5B72">
        <w:rPr>
          <w:b/>
        </w:rPr>
        <w:t>Table - % MAIFI per Cause by Office in Washington</w:t>
      </w:r>
    </w:p>
    <w:p w:rsidR="003F5B72" w:rsidRDefault="003F5B72" w:rsidP="003F5B72">
      <w:pPr>
        <w:jc w:val="both"/>
      </w:pPr>
    </w:p>
    <w:tbl>
      <w:tblPr>
        <w:tblW w:w="10345" w:type="dxa"/>
        <w:jc w:val="center"/>
        <w:tblInd w:w="93" w:type="dxa"/>
        <w:tblLook w:val="04A0"/>
      </w:tblPr>
      <w:tblGrid>
        <w:gridCol w:w="1939"/>
        <w:gridCol w:w="1006"/>
        <w:gridCol w:w="1020"/>
        <w:gridCol w:w="895"/>
        <w:gridCol w:w="1228"/>
        <w:gridCol w:w="895"/>
        <w:gridCol w:w="1239"/>
        <w:gridCol w:w="895"/>
        <w:gridCol w:w="1228"/>
      </w:tblGrid>
      <w:tr w:rsidR="003F5B72" w:rsidRPr="003F5B72" w:rsidTr="006938BF">
        <w:trPr>
          <w:trHeight w:val="285"/>
          <w:jc w:val="center"/>
        </w:trPr>
        <w:tc>
          <w:tcPr>
            <w:tcW w:w="1939" w:type="dxa"/>
            <w:tcBorders>
              <w:top w:val="single" w:sz="12" w:space="0" w:color="000000"/>
              <w:left w:val="single" w:sz="12" w:space="0" w:color="000000"/>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Reason</w:t>
            </w:r>
          </w:p>
        </w:tc>
        <w:tc>
          <w:tcPr>
            <w:tcW w:w="1006"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COC</w:t>
            </w:r>
          </w:p>
        </w:tc>
        <w:tc>
          <w:tcPr>
            <w:tcW w:w="1020"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DAC</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DPC</w:t>
            </w:r>
          </w:p>
        </w:tc>
        <w:tc>
          <w:tcPr>
            <w:tcW w:w="1228"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LCC - WA</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OTC</w:t>
            </w:r>
          </w:p>
        </w:tc>
        <w:tc>
          <w:tcPr>
            <w:tcW w:w="1239"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PAC - WA</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SPC</w:t>
            </w:r>
          </w:p>
        </w:tc>
        <w:tc>
          <w:tcPr>
            <w:tcW w:w="1228" w:type="dxa"/>
            <w:tcBorders>
              <w:top w:val="single" w:sz="12" w:space="0" w:color="000000"/>
              <w:left w:val="nil"/>
              <w:bottom w:val="single" w:sz="12" w:space="0" w:color="000000"/>
              <w:right w:val="single" w:sz="12"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All Offices</w:t>
            </w:r>
          </w:p>
        </w:tc>
      </w:tr>
      <w:tr w:rsidR="003F5B72" w:rsidRPr="003F5B72" w:rsidTr="006938BF">
        <w:trPr>
          <w:trHeight w:val="270"/>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ANIMAL</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COMPANY</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EQUIPMENT</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2.9%</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PUBLIC</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1.3%</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TREE</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0.2%</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UNDETERMINED</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47.8%</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28.6%</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16.2%</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57.9%</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43.4%</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22.0%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35.6%</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WEATHER</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37.2%</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48.4%</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0.2%</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27.8%</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37.7%</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53.2%</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25.8%</w:t>
            </w:r>
          </w:p>
        </w:tc>
      </w:tr>
      <w:tr w:rsidR="003F5B72" w:rsidRPr="003F5B72" w:rsidTr="006938BF">
        <w:trPr>
          <w:trHeight w:val="270"/>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EQUIPMENT OH</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25.8%</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EQUIPMENT UG</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2.7%</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PLANNED</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r w:rsidR="003F5B72" w:rsidRPr="003F5B72" w:rsidTr="006938BF">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UNKNOWN</w:t>
            </w:r>
          </w:p>
        </w:tc>
        <w:tc>
          <w:tcPr>
            <w:tcW w:w="1006"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100.0%</w:t>
            </w:r>
          </w:p>
        </w:tc>
        <w:tc>
          <w:tcPr>
            <w:tcW w:w="1020"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14.8%</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15.6%</w:t>
            </w:r>
          </w:p>
        </w:tc>
        <w:tc>
          <w:tcPr>
            <w:tcW w:w="1228"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83.7%</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11.5%</w:t>
            </w:r>
          </w:p>
        </w:tc>
        <w:tc>
          <w:tcPr>
            <w:tcW w:w="1239"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15.3%</w:t>
            </w:r>
          </w:p>
        </w:tc>
        <w:tc>
          <w:tcPr>
            <w:tcW w:w="895" w:type="dxa"/>
            <w:tcBorders>
              <w:top w:val="nil"/>
              <w:left w:val="nil"/>
              <w:bottom w:val="single" w:sz="4"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18.0%</w:t>
            </w:r>
          </w:p>
        </w:tc>
        <w:tc>
          <w:tcPr>
            <w:tcW w:w="1228" w:type="dxa"/>
            <w:tcBorders>
              <w:top w:val="nil"/>
              <w:left w:val="nil"/>
              <w:bottom w:val="single" w:sz="4"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12.9%</w:t>
            </w:r>
          </w:p>
        </w:tc>
      </w:tr>
      <w:tr w:rsidR="003F5B72" w:rsidRPr="003F5B72" w:rsidTr="006938BF">
        <w:trPr>
          <w:trHeight w:val="270"/>
          <w:jc w:val="center"/>
        </w:trPr>
        <w:tc>
          <w:tcPr>
            <w:tcW w:w="1939" w:type="dxa"/>
            <w:tcBorders>
              <w:top w:val="nil"/>
              <w:left w:val="single" w:sz="12" w:space="0" w:color="000000"/>
              <w:bottom w:val="single" w:sz="12" w:space="0" w:color="000000"/>
              <w:right w:val="single" w:sz="4" w:space="0" w:color="000000"/>
            </w:tcBorders>
            <w:shd w:val="clear" w:color="auto" w:fill="auto"/>
            <w:noWrap/>
            <w:vAlign w:val="bottom"/>
            <w:hideMark/>
          </w:tcPr>
          <w:p w:rsidR="003F5B72" w:rsidRPr="003F5B72" w:rsidRDefault="003F5B72" w:rsidP="006938BF">
            <w:pPr>
              <w:rPr>
                <w:rFonts w:ascii="Arial" w:hAnsi="Arial" w:cs="Arial"/>
                <w:sz w:val="20"/>
              </w:rPr>
            </w:pPr>
            <w:r w:rsidRPr="003F5B72">
              <w:rPr>
                <w:rFonts w:ascii="Arial" w:hAnsi="Arial" w:cs="Arial"/>
                <w:sz w:val="20"/>
              </w:rPr>
              <w:t>FORCED</w:t>
            </w:r>
          </w:p>
        </w:tc>
        <w:tc>
          <w:tcPr>
            <w:tcW w:w="1006"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020"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7.4%</w:t>
            </w:r>
          </w:p>
        </w:tc>
        <w:tc>
          <w:tcPr>
            <w:tcW w:w="1228"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895"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c>
          <w:tcPr>
            <w:tcW w:w="1239"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3.6%</w:t>
            </w:r>
          </w:p>
        </w:tc>
        <w:tc>
          <w:tcPr>
            <w:tcW w:w="895" w:type="dxa"/>
            <w:tcBorders>
              <w:top w:val="nil"/>
              <w:left w:val="nil"/>
              <w:bottom w:val="single" w:sz="12" w:space="0" w:color="000000"/>
              <w:right w:val="single" w:sz="4"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2.7%</w:t>
            </w:r>
          </w:p>
        </w:tc>
        <w:tc>
          <w:tcPr>
            <w:tcW w:w="1228" w:type="dxa"/>
            <w:tcBorders>
              <w:top w:val="nil"/>
              <w:left w:val="nil"/>
              <w:bottom w:val="single" w:sz="12" w:space="0" w:color="000000"/>
              <w:right w:val="single" w:sz="12" w:space="0" w:color="000000"/>
            </w:tcBorders>
            <w:shd w:val="clear" w:color="auto" w:fill="auto"/>
            <w:noWrap/>
            <w:vAlign w:val="bottom"/>
            <w:hideMark/>
          </w:tcPr>
          <w:p w:rsidR="003F5B72" w:rsidRPr="003F5B72" w:rsidRDefault="003F5B72" w:rsidP="006938BF">
            <w:pPr>
              <w:jc w:val="right"/>
              <w:rPr>
                <w:rFonts w:ascii="Arial" w:hAnsi="Arial" w:cs="Arial"/>
                <w:sz w:val="20"/>
              </w:rPr>
            </w:pPr>
            <w:r w:rsidRPr="003F5B72">
              <w:rPr>
                <w:rFonts w:ascii="Arial" w:hAnsi="Arial" w:cs="Arial"/>
                <w:sz w:val="20"/>
              </w:rPr>
              <w:t>0.0%</w:t>
            </w:r>
          </w:p>
        </w:tc>
      </w:tr>
    </w:tbl>
    <w:p w:rsidR="00482D46" w:rsidRPr="00482D46" w:rsidRDefault="00482D46" w:rsidP="00482D46"/>
    <w:p w:rsidR="003A5969" w:rsidRDefault="003A5969" w:rsidP="00BC678D">
      <w:pPr>
        <w:pStyle w:val="Heading3"/>
        <w:jc w:val="both"/>
      </w:pPr>
      <w:bookmarkStart w:id="76" w:name="_Toc3183414"/>
      <w:bookmarkStart w:id="77" w:name="_Toc98906792"/>
      <w:bookmarkStart w:id="78" w:name="_Ref162238252"/>
      <w:bookmarkStart w:id="79" w:name="_Toc165342474"/>
      <w:bookmarkStart w:id="80" w:name="_Toc193711042"/>
      <w:bookmarkStart w:id="81" w:name="_Toc227571637"/>
      <w:bookmarkStart w:id="82" w:name="_Toc435692498"/>
      <w:bookmarkEnd w:id="75"/>
      <w:r>
        <w:t>Interruption Cause Codes</w:t>
      </w:r>
      <w:bookmarkEnd w:id="76"/>
      <w:bookmarkEnd w:id="77"/>
      <w:bookmarkEnd w:id="78"/>
      <w:bookmarkEnd w:id="79"/>
      <w:bookmarkEnd w:id="80"/>
      <w:bookmarkEnd w:id="81"/>
      <w:bookmarkEnd w:id="82"/>
      <w:r>
        <w:t xml:space="preserve"> </w:t>
      </w:r>
    </w:p>
    <w:p w:rsidR="0007554D" w:rsidRDefault="0007554D" w:rsidP="0007554D"/>
    <w:p w:rsidR="0007554D" w:rsidRDefault="0007554D" w:rsidP="0007554D">
      <w:pPr>
        <w:autoSpaceDE w:val="0"/>
        <w:autoSpaceDN w:val="0"/>
        <w:adjustRightInd w:val="0"/>
        <w:spacing w:before="120"/>
        <w:jc w:val="both"/>
        <w:rPr>
          <w:szCs w:val="24"/>
        </w:rPr>
      </w:pPr>
      <w:r>
        <w:rPr>
          <w:szCs w:val="24"/>
        </w:rPr>
        <w:t>Cause code information is provided in this report to give readers a better understanding of outage sources. Further, the Company uses cause information to analyze past outages and, if possible, reduce the frequency and duration of future outages. Cause code information will be provided in a table similar to the following example.</w:t>
      </w:r>
    </w:p>
    <w:p w:rsidR="0007554D" w:rsidRDefault="0007554D" w:rsidP="0007554D">
      <w:pPr>
        <w:autoSpaceDE w:val="0"/>
        <w:autoSpaceDN w:val="0"/>
        <w:adjustRightInd w:val="0"/>
        <w:spacing w:before="120"/>
        <w:jc w:val="both"/>
        <w:rPr>
          <w:szCs w:val="24"/>
        </w:rPr>
      </w:pPr>
    </w:p>
    <w:tbl>
      <w:tblPr>
        <w:tblW w:w="0" w:type="auto"/>
        <w:jc w:val="center"/>
        <w:tblLayout w:type="fixed"/>
        <w:tblCellMar>
          <w:left w:w="30" w:type="dxa"/>
          <w:right w:w="30" w:type="dxa"/>
        </w:tblCellMar>
        <w:tblLook w:val="0000"/>
      </w:tblPr>
      <w:tblGrid>
        <w:gridCol w:w="1515"/>
        <w:gridCol w:w="1515"/>
        <w:gridCol w:w="1515"/>
        <w:gridCol w:w="1515"/>
        <w:gridCol w:w="3504"/>
      </w:tblGrid>
      <w:tr w:rsidR="0007554D" w:rsidTr="00107C1A">
        <w:trPr>
          <w:trHeight w:val="348"/>
          <w:jc w:val="center"/>
        </w:trPr>
        <w:tc>
          <w:tcPr>
            <w:tcW w:w="1515" w:type="dxa"/>
            <w:tcBorders>
              <w:top w:val="single" w:sz="12" w:space="0" w:color="auto"/>
              <w:left w:val="single" w:sz="12" w:space="0" w:color="auto"/>
              <w:bottom w:val="single" w:sz="12" w:space="0" w:color="auto"/>
            </w:tcBorders>
            <w:vAlign w:val="bottom"/>
          </w:tcPr>
          <w:p w:rsidR="0007554D" w:rsidRDefault="0007554D" w:rsidP="00107C1A">
            <w:pPr>
              <w:rPr>
                <w:rFonts w:ascii="Arial" w:hAnsi="Arial"/>
                <w:b/>
                <w:snapToGrid w:val="0"/>
                <w:color w:val="000000"/>
              </w:rPr>
            </w:pPr>
            <w:r>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bottom"/>
          </w:tcPr>
          <w:p w:rsidR="0007554D" w:rsidRDefault="0007554D" w:rsidP="00107C1A">
            <w:pPr>
              <w:pStyle w:val="Heading7"/>
            </w:pPr>
            <w:r>
              <w:t xml:space="preserve">Proposed </w:t>
            </w:r>
            <w:r>
              <w:br/>
            </w:r>
            <w:r>
              <w:rPr>
                <w:b w:val="0"/>
                <w:sz w:val="16"/>
              </w:rPr>
              <w:t>(Changes Only)</w:t>
            </w:r>
          </w:p>
        </w:tc>
        <w:tc>
          <w:tcPr>
            <w:tcW w:w="1515" w:type="dxa"/>
            <w:tcBorders>
              <w:top w:val="single" w:sz="12" w:space="0" w:color="auto"/>
              <w:left w:val="single" w:sz="12" w:space="0" w:color="auto"/>
              <w:bottom w:val="single" w:sz="12" w:space="0" w:color="auto"/>
            </w:tcBorders>
            <w:vAlign w:val="bottom"/>
          </w:tcPr>
          <w:p w:rsidR="0007554D" w:rsidRDefault="0007554D" w:rsidP="00107C1A">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bottom"/>
          </w:tcPr>
          <w:p w:rsidR="0007554D" w:rsidRDefault="0007554D" w:rsidP="00107C1A">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07554D" w:rsidRDefault="0007554D" w:rsidP="00107C1A">
            <w:pPr>
              <w:rPr>
                <w:rFonts w:ascii="Arial" w:hAnsi="Arial"/>
                <w:b/>
                <w:snapToGrid w:val="0"/>
                <w:color w:val="000000"/>
              </w:rPr>
            </w:pPr>
            <w:r>
              <w:rPr>
                <w:rFonts w:ascii="Arial" w:hAnsi="Arial"/>
                <w:b/>
                <w:snapToGrid w:val="0"/>
                <w:color w:val="000000"/>
              </w:rPr>
              <w:t>Definition</w:t>
            </w:r>
          </w:p>
        </w:tc>
      </w:tr>
      <w:tr w:rsidR="0007554D" w:rsidTr="00107C1A">
        <w:trPr>
          <w:trHeight w:val="233"/>
          <w:jc w:val="center"/>
        </w:trPr>
        <w:tc>
          <w:tcPr>
            <w:tcW w:w="1515" w:type="dxa"/>
            <w:tcBorders>
              <w:left w:val="single" w:sz="12" w:space="0" w:color="auto"/>
            </w:tcBorders>
            <w:vAlign w:val="center"/>
          </w:tcPr>
          <w:p w:rsidR="0007554D" w:rsidRDefault="0007554D" w:rsidP="00107C1A">
            <w:pPr>
              <w:rPr>
                <w:rFonts w:ascii="Arial" w:hAnsi="Arial"/>
                <w:snapToGrid w:val="0"/>
                <w:color w:val="000000"/>
                <w:sz w:val="16"/>
              </w:rPr>
            </w:pPr>
            <w:r>
              <w:rPr>
                <w:rFonts w:ascii="Arial" w:hAnsi="Arial"/>
                <w:snapToGrid w:val="0"/>
                <w:color w:val="000000"/>
                <w:sz w:val="16"/>
              </w:rPr>
              <w:t>ANIMAL</w:t>
            </w:r>
          </w:p>
        </w:tc>
        <w:tc>
          <w:tcPr>
            <w:tcW w:w="1515" w:type="dxa"/>
            <w:tcBorders>
              <w:right w:val="single" w:sz="12" w:space="0" w:color="auto"/>
            </w:tcBorders>
            <w:vAlign w:val="center"/>
          </w:tcPr>
          <w:p w:rsidR="0007554D" w:rsidRDefault="0007554D" w:rsidP="00107C1A">
            <w:pPr>
              <w:rPr>
                <w:rFonts w:ascii="Arial" w:hAnsi="Arial"/>
                <w:snapToGrid w:val="0"/>
                <w:color w:val="000000"/>
                <w:sz w:val="16"/>
              </w:rPr>
            </w:pPr>
          </w:p>
        </w:tc>
        <w:tc>
          <w:tcPr>
            <w:tcW w:w="1515" w:type="dxa"/>
            <w:tcBorders>
              <w:left w:val="single" w:sz="12" w:space="0" w:color="auto"/>
            </w:tcBorders>
            <w:vAlign w:val="center"/>
          </w:tcPr>
          <w:p w:rsidR="0007554D" w:rsidRDefault="0007554D" w:rsidP="00107C1A">
            <w:pPr>
              <w:rPr>
                <w:rFonts w:ascii="Arial" w:hAnsi="Arial"/>
                <w:snapToGrid w:val="0"/>
                <w:color w:val="000000"/>
                <w:sz w:val="16"/>
              </w:rPr>
            </w:pPr>
            <w:r>
              <w:rPr>
                <w:rFonts w:ascii="Arial" w:hAnsi="Arial"/>
                <w:snapToGrid w:val="0"/>
                <w:color w:val="000000"/>
                <w:sz w:val="16"/>
              </w:rPr>
              <w:t>Bird</w:t>
            </w:r>
          </w:p>
        </w:tc>
        <w:tc>
          <w:tcPr>
            <w:tcW w:w="1515" w:type="dxa"/>
            <w:tcBorders>
              <w:left w:val="nil"/>
              <w:right w:val="single" w:sz="12" w:space="0" w:color="auto"/>
            </w:tcBorders>
            <w:vAlign w:val="center"/>
          </w:tcPr>
          <w:p w:rsidR="0007554D" w:rsidRDefault="0007554D" w:rsidP="00107C1A">
            <w:pPr>
              <w:rPr>
                <w:rFonts w:ascii="Arial" w:hAnsi="Arial" w:cs="Arial"/>
                <w:snapToGrid w:val="0"/>
                <w:color w:val="000000"/>
                <w:sz w:val="16"/>
              </w:rPr>
            </w:pPr>
          </w:p>
        </w:tc>
        <w:tc>
          <w:tcPr>
            <w:tcW w:w="3504" w:type="dxa"/>
            <w:tcBorders>
              <w:left w:val="single" w:sz="12" w:space="0" w:color="auto"/>
              <w:right w:val="single" w:sz="12" w:space="0" w:color="auto"/>
            </w:tcBorders>
          </w:tcPr>
          <w:p w:rsidR="0007554D" w:rsidRDefault="0007554D" w:rsidP="00107C1A">
            <w:pPr>
              <w:rPr>
                <w:rFonts w:ascii="Arial" w:hAnsi="Arial" w:cs="Arial"/>
                <w:snapToGrid w:val="0"/>
                <w:color w:val="000000"/>
                <w:sz w:val="16"/>
              </w:rPr>
            </w:pPr>
            <w:r>
              <w:rPr>
                <w:rFonts w:ascii="Arial" w:hAnsi="Arial" w:cs="Arial"/>
                <w:snapToGrid w:val="0"/>
                <w:color w:val="000000"/>
                <w:sz w:val="16"/>
              </w:rPr>
              <w:t xml:space="preserve">Outages caused by animal contacts. Specific animal called out in sub category. </w:t>
            </w:r>
          </w:p>
        </w:tc>
      </w:tr>
      <w:tr w:rsidR="0007554D" w:rsidTr="0007554D">
        <w:trPr>
          <w:trHeight w:val="233"/>
          <w:jc w:val="center"/>
        </w:trPr>
        <w:tc>
          <w:tcPr>
            <w:tcW w:w="1515" w:type="dxa"/>
            <w:tcBorders>
              <w:left w:val="single" w:sz="12" w:space="0" w:color="auto"/>
            </w:tcBorders>
            <w:vAlign w:val="center"/>
          </w:tcPr>
          <w:p w:rsidR="0007554D" w:rsidRDefault="0007554D" w:rsidP="00107C1A">
            <w:pPr>
              <w:rPr>
                <w:rFonts w:ascii="Arial" w:hAnsi="Arial"/>
                <w:snapToGrid w:val="0"/>
                <w:color w:val="000000"/>
                <w:sz w:val="16"/>
              </w:rPr>
            </w:pPr>
          </w:p>
        </w:tc>
        <w:tc>
          <w:tcPr>
            <w:tcW w:w="1515" w:type="dxa"/>
            <w:tcBorders>
              <w:right w:val="single" w:sz="12" w:space="0" w:color="auto"/>
            </w:tcBorders>
            <w:vAlign w:val="center"/>
          </w:tcPr>
          <w:p w:rsidR="0007554D" w:rsidRDefault="0007554D" w:rsidP="00107C1A">
            <w:pPr>
              <w:rPr>
                <w:rFonts w:ascii="Arial" w:hAnsi="Arial"/>
                <w:snapToGrid w:val="0"/>
                <w:color w:val="000000"/>
                <w:sz w:val="16"/>
              </w:rPr>
            </w:pPr>
          </w:p>
        </w:tc>
        <w:tc>
          <w:tcPr>
            <w:tcW w:w="1515" w:type="dxa"/>
            <w:tcBorders>
              <w:left w:val="single" w:sz="12" w:space="0" w:color="auto"/>
            </w:tcBorders>
            <w:vAlign w:val="center"/>
          </w:tcPr>
          <w:p w:rsidR="0007554D" w:rsidRDefault="0007554D" w:rsidP="00107C1A">
            <w:pPr>
              <w:rPr>
                <w:rFonts w:ascii="Arial" w:hAnsi="Arial"/>
                <w:snapToGrid w:val="0"/>
                <w:color w:val="000000"/>
                <w:sz w:val="16"/>
              </w:rPr>
            </w:pPr>
            <w:r>
              <w:rPr>
                <w:rFonts w:ascii="Arial" w:hAnsi="Arial"/>
                <w:snapToGrid w:val="0"/>
                <w:color w:val="000000"/>
                <w:sz w:val="16"/>
              </w:rPr>
              <w:t>Squirrel</w:t>
            </w:r>
          </w:p>
        </w:tc>
        <w:tc>
          <w:tcPr>
            <w:tcW w:w="1515" w:type="dxa"/>
            <w:tcBorders>
              <w:left w:val="nil"/>
              <w:right w:val="single" w:sz="12" w:space="0" w:color="auto"/>
            </w:tcBorders>
            <w:vAlign w:val="center"/>
          </w:tcPr>
          <w:p w:rsidR="0007554D" w:rsidRDefault="0007554D" w:rsidP="00107C1A">
            <w:pPr>
              <w:rPr>
                <w:rFonts w:ascii="Arial" w:hAnsi="Arial" w:cs="Arial"/>
                <w:snapToGrid w:val="0"/>
                <w:color w:val="000000"/>
                <w:sz w:val="16"/>
              </w:rPr>
            </w:pPr>
          </w:p>
        </w:tc>
        <w:tc>
          <w:tcPr>
            <w:tcW w:w="3504" w:type="dxa"/>
            <w:tcBorders>
              <w:left w:val="single" w:sz="12" w:space="0" w:color="auto"/>
              <w:right w:val="single" w:sz="12" w:space="0" w:color="auto"/>
            </w:tcBorders>
          </w:tcPr>
          <w:p w:rsidR="0007554D" w:rsidRDefault="0007554D" w:rsidP="00107C1A">
            <w:pPr>
              <w:rPr>
                <w:rFonts w:ascii="Arial" w:hAnsi="Arial" w:cs="Arial"/>
                <w:snapToGrid w:val="0"/>
                <w:color w:val="000000"/>
                <w:sz w:val="16"/>
              </w:rPr>
            </w:pPr>
          </w:p>
        </w:tc>
      </w:tr>
      <w:tr w:rsidR="0007554D" w:rsidTr="0007554D">
        <w:trPr>
          <w:trHeight w:val="233"/>
          <w:jc w:val="center"/>
        </w:trPr>
        <w:tc>
          <w:tcPr>
            <w:tcW w:w="1515" w:type="dxa"/>
            <w:tcBorders>
              <w:left w:val="single" w:sz="12" w:space="0" w:color="auto"/>
              <w:bottom w:val="single" w:sz="4" w:space="0" w:color="auto"/>
            </w:tcBorders>
            <w:vAlign w:val="center"/>
          </w:tcPr>
          <w:p w:rsidR="0007554D" w:rsidRDefault="0007554D" w:rsidP="00107C1A">
            <w:pPr>
              <w:rPr>
                <w:rFonts w:ascii="Arial" w:hAnsi="Arial"/>
                <w:snapToGrid w:val="0"/>
                <w:color w:val="000000"/>
                <w:sz w:val="16"/>
              </w:rPr>
            </w:pPr>
          </w:p>
        </w:tc>
        <w:tc>
          <w:tcPr>
            <w:tcW w:w="1515" w:type="dxa"/>
            <w:tcBorders>
              <w:bottom w:val="single" w:sz="4" w:space="0" w:color="auto"/>
              <w:right w:val="single" w:sz="12" w:space="0" w:color="auto"/>
            </w:tcBorders>
            <w:vAlign w:val="center"/>
          </w:tcPr>
          <w:p w:rsidR="0007554D" w:rsidRDefault="0007554D" w:rsidP="00107C1A">
            <w:pPr>
              <w:rPr>
                <w:rFonts w:ascii="Arial" w:hAnsi="Arial"/>
                <w:snapToGrid w:val="0"/>
                <w:color w:val="000000"/>
                <w:sz w:val="16"/>
              </w:rPr>
            </w:pPr>
          </w:p>
        </w:tc>
        <w:tc>
          <w:tcPr>
            <w:tcW w:w="1515" w:type="dxa"/>
            <w:tcBorders>
              <w:left w:val="single" w:sz="12" w:space="0" w:color="auto"/>
              <w:bottom w:val="single" w:sz="4" w:space="0" w:color="auto"/>
            </w:tcBorders>
            <w:vAlign w:val="center"/>
          </w:tcPr>
          <w:p w:rsidR="0007554D" w:rsidRDefault="0007554D" w:rsidP="00107C1A">
            <w:pPr>
              <w:rPr>
                <w:rFonts w:ascii="Arial" w:hAnsi="Arial"/>
                <w:snapToGrid w:val="0"/>
                <w:color w:val="000000"/>
                <w:sz w:val="16"/>
              </w:rPr>
            </w:pPr>
            <w:r>
              <w:rPr>
                <w:rFonts w:ascii="Arial" w:hAnsi="Arial"/>
                <w:snapToGrid w:val="0"/>
                <w:color w:val="000000"/>
                <w:sz w:val="16"/>
              </w:rPr>
              <w:t>Underground</w:t>
            </w:r>
          </w:p>
        </w:tc>
        <w:tc>
          <w:tcPr>
            <w:tcW w:w="1515" w:type="dxa"/>
            <w:tcBorders>
              <w:left w:val="nil"/>
              <w:bottom w:val="single" w:sz="4" w:space="0" w:color="auto"/>
              <w:right w:val="single" w:sz="12" w:space="0" w:color="auto"/>
            </w:tcBorders>
            <w:vAlign w:val="center"/>
          </w:tcPr>
          <w:p w:rsidR="0007554D" w:rsidRDefault="0007554D" w:rsidP="00107C1A">
            <w:pPr>
              <w:rPr>
                <w:rFonts w:ascii="Arial" w:hAnsi="Arial" w:cs="Arial"/>
                <w:snapToGrid w:val="0"/>
                <w:color w:val="000000"/>
                <w:sz w:val="16"/>
              </w:rPr>
            </w:pPr>
          </w:p>
        </w:tc>
        <w:tc>
          <w:tcPr>
            <w:tcW w:w="3504" w:type="dxa"/>
            <w:tcBorders>
              <w:left w:val="single" w:sz="12" w:space="0" w:color="auto"/>
              <w:bottom w:val="single" w:sz="4" w:space="0" w:color="auto"/>
              <w:right w:val="single" w:sz="12" w:space="0" w:color="auto"/>
            </w:tcBorders>
          </w:tcPr>
          <w:p w:rsidR="0007554D" w:rsidRDefault="0007554D" w:rsidP="00107C1A">
            <w:pPr>
              <w:rPr>
                <w:rFonts w:ascii="Arial" w:hAnsi="Arial" w:cs="Arial"/>
                <w:snapToGrid w:val="0"/>
                <w:color w:val="000000"/>
                <w:sz w:val="16"/>
              </w:rPr>
            </w:pPr>
          </w:p>
        </w:tc>
      </w:tr>
    </w:tbl>
    <w:p w:rsidR="0007554D" w:rsidRDefault="0007554D" w:rsidP="0007554D">
      <w:pPr>
        <w:autoSpaceDE w:val="0"/>
        <w:autoSpaceDN w:val="0"/>
        <w:adjustRightInd w:val="0"/>
        <w:spacing w:before="120"/>
        <w:jc w:val="both"/>
        <w:rPr>
          <w:szCs w:val="24"/>
        </w:rPr>
      </w:pPr>
    </w:p>
    <w:p w:rsidR="00043961" w:rsidRDefault="00043961" w:rsidP="00BC678D">
      <w:pPr>
        <w:pStyle w:val="Heading3"/>
        <w:jc w:val="both"/>
      </w:pPr>
      <w:bookmarkStart w:id="83" w:name="_Toc435692499"/>
      <w:r>
        <w:t>Areas of Concern</w:t>
      </w:r>
      <w:bookmarkEnd w:id="83"/>
    </w:p>
    <w:p w:rsidR="008C6E1B" w:rsidRDefault="008C6E1B" w:rsidP="008C6E1B"/>
    <w:p w:rsidR="008C6E1B" w:rsidRPr="008C6E1B" w:rsidRDefault="008C6E1B" w:rsidP="008C6E1B">
      <w:r>
        <w:t>The Areas of Concern section will include the area or areas that experience the lowest reliability in the Company’s Washington operating areas.  Causal information along with work plans to improve the reliability of the greatest areas of concern will be documented.</w:t>
      </w:r>
    </w:p>
    <w:p w:rsidR="0044651A" w:rsidRDefault="0044651A">
      <w:pPr>
        <w:rPr>
          <w:rFonts w:ascii="Arial" w:hAnsi="Arial"/>
          <w:b/>
        </w:rPr>
      </w:pPr>
      <w:r>
        <w:br w:type="page"/>
      </w:r>
    </w:p>
    <w:p w:rsidR="00043961" w:rsidRDefault="00043961" w:rsidP="00BC678D">
      <w:pPr>
        <w:pStyle w:val="Heading3"/>
        <w:jc w:val="both"/>
      </w:pPr>
      <w:bookmarkStart w:id="84" w:name="_Toc435692500"/>
      <w:r>
        <w:lastRenderedPageBreak/>
        <w:t xml:space="preserve">System Wide </w:t>
      </w:r>
      <w:r w:rsidRPr="00980946">
        <w:t>Work Plans</w:t>
      </w:r>
      <w:bookmarkEnd w:id="84"/>
    </w:p>
    <w:p w:rsidR="00CE5DAA" w:rsidRDefault="00CE5DAA" w:rsidP="00CE5DAA"/>
    <w:p w:rsidR="00CE5DAA" w:rsidRDefault="00CE5DAA" w:rsidP="00CE5DAA">
      <w:r>
        <w:t xml:space="preserve">In this section the Company will document system wide work plans currently being implemented to improve overall reliability.  Programs such as wildlife guards or wood pole management or those similar will be explained. </w:t>
      </w:r>
    </w:p>
    <w:p w:rsidR="000B7A1A" w:rsidRPr="00CE5DAA" w:rsidRDefault="000B7A1A" w:rsidP="00CE5DAA"/>
    <w:p w:rsidR="00043961" w:rsidRDefault="00043961" w:rsidP="00BC678D">
      <w:pPr>
        <w:pStyle w:val="Heading3"/>
        <w:jc w:val="both"/>
      </w:pPr>
      <w:bookmarkStart w:id="85" w:name="_Toc435692501"/>
      <w:r w:rsidRPr="006615D5">
        <w:t>Grid Modernization Program</w:t>
      </w:r>
      <w:bookmarkEnd w:id="85"/>
    </w:p>
    <w:p w:rsidR="000B7A1A" w:rsidRDefault="000B7A1A" w:rsidP="000B7A1A"/>
    <w:p w:rsidR="000B7A1A" w:rsidRDefault="000B7A1A" w:rsidP="000B7A1A">
      <w:pPr>
        <w:autoSpaceDE w:val="0"/>
        <w:autoSpaceDN w:val="0"/>
        <w:adjustRightInd w:val="0"/>
        <w:jc w:val="both"/>
      </w:pPr>
      <w:r w:rsidRPr="00BE76A7">
        <w:t xml:space="preserve">Avista </w:t>
      </w:r>
      <w:r>
        <w:t>has initiated</w:t>
      </w:r>
      <w:r w:rsidRPr="00BE76A7">
        <w:t xml:space="preserve"> a </w:t>
      </w:r>
      <w:r w:rsidRPr="00AB48EE">
        <w:t>Grid Modernization</w:t>
      </w:r>
      <w:r w:rsidRPr="00BE76A7">
        <w:t xml:space="preserve"> Program that is designed to reduce energy losses, improve operation, and increase the long-term reliability of its overhead and underground electric distribution system. The program will include replacing the following item: poles, transformers, cross arms, arresters, air switches with steel arms, grounds, cutouts, riser wire, insulators, and conductors to address concerns related to age, capacity, high electrical resistance, strength, and mechanical ability.  Changes, including the addition of wildlife guards, smart grid devices, switch capacitor banks, balancing feeders, removing unauthorized attachments, replacing open wire secondary, and reconfigurations are included in the Program.</w:t>
      </w:r>
    </w:p>
    <w:p w:rsidR="000B7A1A" w:rsidRDefault="000B7A1A" w:rsidP="000B7A1A">
      <w:pPr>
        <w:autoSpaceDE w:val="0"/>
        <w:autoSpaceDN w:val="0"/>
        <w:adjustRightInd w:val="0"/>
        <w:jc w:val="both"/>
      </w:pPr>
    </w:p>
    <w:p w:rsidR="000B7A1A" w:rsidRDefault="000B7A1A" w:rsidP="000B7A1A">
      <w:pPr>
        <w:autoSpaceDE w:val="0"/>
        <w:autoSpaceDN w:val="0"/>
        <w:adjustRightInd w:val="0"/>
        <w:jc w:val="both"/>
      </w:pPr>
      <w:r>
        <w:t>This section will provide a brief explanation of specific work being done as part of the Grid Modernization Program.</w:t>
      </w:r>
    </w:p>
    <w:p w:rsidR="000B7A1A" w:rsidRPr="00BE76A7" w:rsidRDefault="000B7A1A" w:rsidP="000B7A1A">
      <w:pPr>
        <w:autoSpaceDE w:val="0"/>
        <w:autoSpaceDN w:val="0"/>
        <w:adjustRightInd w:val="0"/>
        <w:jc w:val="both"/>
      </w:pPr>
    </w:p>
    <w:p w:rsidR="00043961" w:rsidRPr="00BE76A7" w:rsidRDefault="00043961" w:rsidP="00BC678D">
      <w:pPr>
        <w:pStyle w:val="Heading3"/>
        <w:jc w:val="both"/>
      </w:pPr>
      <w:bookmarkStart w:id="86" w:name="_Toc227571594"/>
      <w:bookmarkStart w:id="87" w:name="_Toc435692502"/>
      <w:r w:rsidRPr="00BE76A7">
        <w:t>System Wide Vegetation Management Plan</w:t>
      </w:r>
      <w:bookmarkEnd w:id="86"/>
      <w:bookmarkEnd w:id="87"/>
    </w:p>
    <w:p w:rsidR="00043961" w:rsidRPr="00043961" w:rsidRDefault="00043961" w:rsidP="00BC678D">
      <w:pPr>
        <w:jc w:val="both"/>
      </w:pPr>
    </w:p>
    <w:p w:rsidR="0053654F" w:rsidRPr="00BE76A7" w:rsidRDefault="0053654F" w:rsidP="0053654F">
      <w:pPr>
        <w:autoSpaceDE w:val="0"/>
        <w:autoSpaceDN w:val="0"/>
        <w:adjustRightInd w:val="0"/>
        <w:jc w:val="both"/>
      </w:pPr>
      <w:bookmarkStart w:id="88" w:name="_Toc98906749"/>
      <w:bookmarkStart w:id="89" w:name="_Toc165342420"/>
      <w:bookmarkStart w:id="90" w:name="_Toc193710980"/>
      <w:bookmarkStart w:id="91" w:name="_Toc227571572"/>
      <w:r w:rsidRPr="00BE76A7">
        <w:t xml:space="preserve">Avista has an annual vegetation management plan and budget to accomplish the plan. The budget is allocated into distribution, transmission, administration, and gas line re-clearing. </w:t>
      </w:r>
      <w:r>
        <w:t>This section will provide a brief explanation of both the distribution and transmission vegetation management efforts.</w:t>
      </w:r>
    </w:p>
    <w:p w:rsidR="001C5F28" w:rsidRDefault="001C5F28" w:rsidP="00BC678D">
      <w:pPr>
        <w:jc w:val="both"/>
        <w:rPr>
          <w:rFonts w:ascii="Arial" w:hAnsi="Arial"/>
          <w:b/>
          <w:kern w:val="28"/>
          <w:sz w:val="28"/>
          <w:u w:val="single"/>
        </w:rPr>
      </w:pPr>
      <w:r>
        <w:br w:type="page"/>
      </w:r>
    </w:p>
    <w:p w:rsidR="00401324" w:rsidRDefault="00401324" w:rsidP="00BC678D">
      <w:pPr>
        <w:pStyle w:val="Heading1"/>
        <w:jc w:val="both"/>
      </w:pPr>
      <w:bookmarkStart w:id="92" w:name="_Toc435692503"/>
      <w:r>
        <w:lastRenderedPageBreak/>
        <w:t>Appendix A - Definitions</w:t>
      </w:r>
      <w:bookmarkEnd w:id="88"/>
      <w:bookmarkEnd w:id="89"/>
      <w:bookmarkEnd w:id="90"/>
      <w:bookmarkEnd w:id="91"/>
      <w:bookmarkEnd w:id="92"/>
    </w:p>
    <w:p w:rsidR="00401324" w:rsidRPr="006176A2" w:rsidRDefault="00401324" w:rsidP="00BC678D">
      <w:pPr>
        <w:jc w:val="both"/>
      </w:pPr>
    </w:p>
    <w:p w:rsidR="00C63492" w:rsidRDefault="00C63492" w:rsidP="00BC678D">
      <w:pPr>
        <w:jc w:val="both"/>
        <w:rPr>
          <w:color w:val="000000"/>
        </w:rPr>
      </w:pPr>
      <w:r>
        <w:rPr>
          <w:i/>
          <w:color w:val="000000"/>
        </w:rPr>
        <w:t>"Baseline reliability statistic"</w:t>
      </w:r>
      <w:r>
        <w:rPr>
          <w:color w:val="000000"/>
        </w:rPr>
        <w:t xml:space="preserve"> – Avista will compare its reliability statistics to the year 2005.</w:t>
      </w:r>
    </w:p>
    <w:p w:rsidR="00C63492" w:rsidRDefault="00C63492" w:rsidP="00BC678D">
      <w:pPr>
        <w:jc w:val="both"/>
        <w:rPr>
          <w:color w:val="000000"/>
        </w:rPr>
      </w:pPr>
    </w:p>
    <w:p w:rsidR="00C63492" w:rsidRDefault="00C63492" w:rsidP="00BC678D">
      <w:pPr>
        <w:jc w:val="both"/>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rsidR="00C63492" w:rsidRDefault="00C63492" w:rsidP="00BC678D">
      <w:pPr>
        <w:jc w:val="both"/>
        <w:rPr>
          <w:color w:val="000000"/>
        </w:rPr>
      </w:pPr>
    </w:p>
    <w:p w:rsidR="00C63492" w:rsidRDefault="00C63492" w:rsidP="00BC678D">
      <w:pPr>
        <w:jc w:val="both"/>
        <w:rPr>
          <w:color w:val="000000"/>
        </w:rPr>
      </w:pPr>
      <w:r>
        <w:t xml:space="preserve"> </w:t>
      </w: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rsidR="007A6784" w:rsidRDefault="007A6784" w:rsidP="00BC678D">
      <w:pPr>
        <w:jc w:val="both"/>
        <w:rPr>
          <w:color w:val="000000"/>
        </w:rPr>
      </w:pPr>
    </w:p>
    <w:p w:rsidR="007A6784" w:rsidRDefault="007A6784" w:rsidP="00BC678D">
      <w:pPr>
        <w:jc w:val="both"/>
        <w:rPr>
          <w:szCs w:val="24"/>
        </w:rPr>
      </w:pPr>
      <w:r>
        <w:rPr>
          <w:i/>
          <w:color w:val="000000"/>
        </w:rPr>
        <w:t>“Electric Service Reliability”</w:t>
      </w:r>
      <w:r>
        <w:rPr>
          <w:i/>
          <w:color w:val="000000"/>
        </w:rPr>
        <w:softHyphen/>
        <w:t xml:space="preserve"> - </w:t>
      </w:r>
      <w:r>
        <w:rPr>
          <w:szCs w:val="24"/>
        </w:rPr>
        <w:t>T</w:t>
      </w:r>
      <w:r w:rsidRPr="007A6784">
        <w:rPr>
          <w:szCs w:val="24"/>
        </w:rPr>
        <w:t>he continuity of electric service experienced by retail customers.</w:t>
      </w:r>
    </w:p>
    <w:p w:rsidR="007A6784" w:rsidRDefault="007A6784" w:rsidP="00BC678D">
      <w:pPr>
        <w:jc w:val="both"/>
        <w:rPr>
          <w:szCs w:val="24"/>
        </w:rPr>
      </w:pPr>
    </w:p>
    <w:p w:rsidR="007A6784" w:rsidRPr="007A6784" w:rsidRDefault="007A6784" w:rsidP="00BC678D">
      <w:pPr>
        <w:jc w:val="both"/>
        <w:rPr>
          <w:szCs w:val="24"/>
        </w:rPr>
      </w:pPr>
      <w:r w:rsidRPr="007A6784">
        <w:rPr>
          <w:i/>
          <w:szCs w:val="24"/>
        </w:rPr>
        <w:t>"Full-system"</w:t>
      </w:r>
      <w:r w:rsidRPr="007A6784">
        <w:rPr>
          <w:szCs w:val="24"/>
        </w:rPr>
        <w:t xml:space="preserve"> </w:t>
      </w:r>
      <w:r>
        <w:rPr>
          <w:szCs w:val="24"/>
        </w:rPr>
        <w:t>- A</w:t>
      </w:r>
      <w:r w:rsidRPr="007A6784">
        <w:rPr>
          <w:szCs w:val="24"/>
        </w:rPr>
        <w:t>ll equipment and lines necessary to serve retail customers whether for the purpose of generation, transmission, distribution or individual service.</w:t>
      </w:r>
    </w:p>
    <w:p w:rsidR="007A6784" w:rsidRPr="007A6784" w:rsidRDefault="007A6784" w:rsidP="00BC678D">
      <w:pPr>
        <w:jc w:val="both"/>
        <w:rPr>
          <w:szCs w:val="24"/>
        </w:rPr>
      </w:pPr>
    </w:p>
    <w:p w:rsidR="00C63492" w:rsidRPr="00C63492" w:rsidRDefault="00C63492" w:rsidP="00BC678D">
      <w:pPr>
        <w:jc w:val="both"/>
        <w:rPr>
          <w:color w:val="000000"/>
        </w:rPr>
      </w:pPr>
      <w:r>
        <w:rPr>
          <w:i/>
          <w:color w:val="000000"/>
        </w:rPr>
        <w:t>“Interruption Cause Code”</w:t>
      </w:r>
      <w:r>
        <w:rPr>
          <w:color w:val="000000"/>
        </w:rPr>
        <w:t xml:space="preserve"> – </w:t>
      </w:r>
      <w:r w:rsidR="00E135DB">
        <w:rPr>
          <w:color w:val="000000"/>
        </w:rPr>
        <w:t>Used to describe the cause of an interruption (i.e., animal, tree, public, etc…).</w:t>
      </w:r>
    </w:p>
    <w:p w:rsidR="00C63492" w:rsidRDefault="00C63492" w:rsidP="00BC678D">
      <w:pPr>
        <w:pStyle w:val="Header"/>
        <w:tabs>
          <w:tab w:val="clear" w:pos="4320"/>
          <w:tab w:val="clear" w:pos="8640"/>
        </w:tabs>
        <w:jc w:val="both"/>
      </w:pPr>
    </w:p>
    <w:p w:rsidR="00C63492" w:rsidRPr="00E135DB" w:rsidRDefault="00E135DB" w:rsidP="00BC678D">
      <w:pPr>
        <w:pStyle w:val="BodyText"/>
        <w:jc w:val="both"/>
        <w:rPr>
          <w:sz w:val="24"/>
        </w:rPr>
      </w:pPr>
      <w:r w:rsidRPr="00E135DB">
        <w:rPr>
          <w:i/>
          <w:sz w:val="24"/>
        </w:rPr>
        <w:t>"Major E</w:t>
      </w:r>
      <w:r w:rsidR="00C63492" w:rsidRPr="00E135DB">
        <w:rPr>
          <w:i/>
          <w:sz w:val="24"/>
        </w:rPr>
        <w:t>vent"</w:t>
      </w:r>
      <w:r w:rsidR="00C63492" w:rsidRPr="00E135DB">
        <w:rPr>
          <w:sz w:val="24"/>
        </w:rPr>
        <w:t xml:space="preserve"> – </w:t>
      </w:r>
      <w:r w:rsidRPr="00E135DB">
        <w:rPr>
          <w:sz w:val="24"/>
        </w:rPr>
        <w:t>Designates an event that exceeds reasonable design and or operation limits of the electric power system. A Major Event includes at least one Major Event Day (MED).</w:t>
      </w:r>
    </w:p>
    <w:p w:rsidR="00E135DB" w:rsidRPr="00E135DB" w:rsidRDefault="00E135DB" w:rsidP="00BC678D">
      <w:pPr>
        <w:pStyle w:val="BodyText"/>
        <w:jc w:val="both"/>
        <w:rPr>
          <w:sz w:val="24"/>
        </w:rPr>
      </w:pPr>
    </w:p>
    <w:p w:rsidR="00E135DB" w:rsidRDefault="00E135DB" w:rsidP="00BC678D">
      <w:pPr>
        <w:pStyle w:val="BodyText"/>
        <w:jc w:val="both"/>
      </w:pPr>
      <w:r w:rsidRPr="00E135DB">
        <w:rPr>
          <w:i/>
          <w:sz w:val="24"/>
        </w:rPr>
        <w:t>"Major Event Day"</w:t>
      </w:r>
      <w:r w:rsidRPr="00E135DB">
        <w:rPr>
          <w:sz w:val="24"/>
        </w:rPr>
        <w:t xml:space="preserve"> – A day in which the daily system SAIDI exceeds a threshold value, T</w:t>
      </w:r>
      <w:r w:rsidRPr="00E135DB">
        <w:rPr>
          <w:sz w:val="24"/>
          <w:vertAlign w:val="subscript"/>
        </w:rPr>
        <w:t>MED</w:t>
      </w:r>
      <w:r w:rsidRPr="00E135DB">
        <w:rPr>
          <w:sz w:val="24"/>
        </w:rPr>
        <w:t>. For the purposes of calculating daily system SAIDI, any interruption that spans multiple calendar days is accrued to the day on which the interruption began. Statistically, days having a daily system SAIDI greater than T</w:t>
      </w:r>
      <w:r w:rsidRPr="00E135DB">
        <w:rPr>
          <w:sz w:val="24"/>
          <w:vertAlign w:val="subscript"/>
        </w:rPr>
        <w:t>MED</w:t>
      </w:r>
      <w:r w:rsidRPr="00E135DB">
        <w:rPr>
          <w:sz w:val="24"/>
        </w:rPr>
        <w:t xml:space="preserve"> are days on which the energy delivery system experienced stresses beyond that normally expected (such as severe weather).  Activities that occur on major event days should be separately analyzed and reported</w:t>
      </w:r>
      <w:r w:rsidRPr="00B86AC7">
        <w:t xml:space="preserve">.  </w:t>
      </w:r>
    </w:p>
    <w:p w:rsidR="00C63492" w:rsidRDefault="00C63492" w:rsidP="00BC678D">
      <w:pPr>
        <w:jc w:val="both"/>
        <w:rPr>
          <w:i/>
        </w:rPr>
      </w:pPr>
    </w:p>
    <w:p w:rsidR="00C63492" w:rsidRDefault="00C63492" w:rsidP="00BC678D">
      <w:pPr>
        <w:jc w:val="both"/>
      </w:pPr>
      <w:r>
        <w:rPr>
          <w:i/>
        </w:rPr>
        <w:t xml:space="preserve">“Momentary Event Interruption” – </w:t>
      </w:r>
      <w:r>
        <w:t>An interruption(s) of duration 5 minutes or less.  Each event consists of one trip and one reclose operation that occur within 5 minutes.  For example, if an interrupting device operates three times and then holds, this would be counted as three events with the number of customers affected as three times the Ni.</w:t>
      </w:r>
    </w:p>
    <w:p w:rsidR="007A6784" w:rsidRDefault="007A6784" w:rsidP="00BC678D">
      <w:pPr>
        <w:jc w:val="both"/>
      </w:pPr>
    </w:p>
    <w:p w:rsidR="007A6784" w:rsidRPr="007A6784" w:rsidRDefault="007A6784" w:rsidP="00BC678D">
      <w:pPr>
        <w:jc w:val="both"/>
      </w:pPr>
      <w:r>
        <w:rPr>
          <w:i/>
        </w:rPr>
        <w:t>“Power Quality”</w:t>
      </w:r>
      <w:r>
        <w:t xml:space="preserve"> – Characteristics of electricity, primarily voltage and frequency, that must meet certain specifications for safe, adequate and efficient operations.</w:t>
      </w:r>
    </w:p>
    <w:p w:rsidR="00C63492" w:rsidRDefault="00C63492" w:rsidP="00BC678D">
      <w:pPr>
        <w:pStyle w:val="Header"/>
        <w:tabs>
          <w:tab w:val="clear" w:pos="4320"/>
          <w:tab w:val="clear" w:pos="8640"/>
        </w:tabs>
        <w:jc w:val="both"/>
      </w:pPr>
    </w:p>
    <w:p w:rsidR="00401324" w:rsidRPr="004B7F16" w:rsidRDefault="00401324" w:rsidP="00BC678D">
      <w:pPr>
        <w:pStyle w:val="Header"/>
        <w:tabs>
          <w:tab w:val="clear" w:pos="4320"/>
          <w:tab w:val="clear" w:pos="8640"/>
        </w:tabs>
        <w:jc w:val="both"/>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Same as Reliability Indices.</w:t>
      </w:r>
    </w:p>
    <w:p w:rsidR="00401324" w:rsidRDefault="00401324" w:rsidP="00BC678D">
      <w:pPr>
        <w:pStyle w:val="BodyText"/>
        <w:jc w:val="both"/>
      </w:pPr>
    </w:p>
    <w:p w:rsidR="00401324" w:rsidRDefault="00401324" w:rsidP="00BC678D">
      <w:pPr>
        <w:jc w:val="both"/>
        <w:rPr>
          <w:color w:val="000000"/>
        </w:rPr>
      </w:pPr>
      <w:r w:rsidRPr="006E5748">
        <w:rPr>
          <w:i/>
          <w:color w:val="000000"/>
        </w:rPr>
        <w:t>“Reliability Target”</w:t>
      </w:r>
      <w:r>
        <w:rPr>
          <w:color w:val="000000"/>
        </w:rPr>
        <w:t xml:space="preserve"> - A statistical method was developed in 2004 for baseline statistics. The method is defined as the average over a specific timeframe and 2 times the standard deviation. For 95% of the time, the Reliability Statistic should be below the target.</w:t>
      </w:r>
    </w:p>
    <w:p w:rsidR="00401324" w:rsidRDefault="00401324" w:rsidP="00BC678D">
      <w:pPr>
        <w:autoSpaceDE w:val="0"/>
        <w:autoSpaceDN w:val="0"/>
        <w:adjustRightInd w:val="0"/>
        <w:jc w:val="both"/>
        <w:rPr>
          <w:rFonts w:ascii="Arial" w:hAnsi="Arial" w:cs="Arial"/>
          <w:color w:val="000000"/>
          <w:sz w:val="23"/>
          <w:szCs w:val="23"/>
        </w:rPr>
      </w:pPr>
    </w:p>
    <w:p w:rsidR="00C63492" w:rsidRDefault="00C63492" w:rsidP="00BC678D">
      <w:pPr>
        <w:jc w:val="both"/>
      </w:pPr>
      <w:r>
        <w:rPr>
          <w:i/>
        </w:rPr>
        <w:t>“Sustained Interruption”</w:t>
      </w:r>
      <w:r>
        <w:t xml:space="preserve"> - An interruption lasting longer than 5 minutes. </w:t>
      </w:r>
    </w:p>
    <w:p w:rsidR="007A6784" w:rsidRDefault="007A6784" w:rsidP="00BC678D">
      <w:pPr>
        <w:jc w:val="both"/>
      </w:pPr>
    </w:p>
    <w:p w:rsidR="00401324" w:rsidRDefault="00401324">
      <w:pPr>
        <w:rPr>
          <w:rFonts w:ascii="Arial" w:hAnsi="Arial"/>
          <w:b/>
          <w:kern w:val="28"/>
          <w:sz w:val="28"/>
          <w:u w:val="single"/>
        </w:rPr>
      </w:pPr>
      <w:r>
        <w:br w:type="page"/>
      </w:r>
    </w:p>
    <w:p w:rsidR="00401324" w:rsidRPr="001E023F" w:rsidRDefault="00401324" w:rsidP="00401324">
      <w:pPr>
        <w:pStyle w:val="Heading1"/>
      </w:pPr>
      <w:bookmarkStart w:id="93" w:name="_Toc98906795"/>
      <w:bookmarkStart w:id="94" w:name="_Toc165342477"/>
      <w:bookmarkStart w:id="95" w:name="_Toc193711045"/>
      <w:bookmarkStart w:id="96" w:name="_Toc227571640"/>
      <w:bookmarkStart w:id="97" w:name="_Toc435692504"/>
      <w:r>
        <w:lastRenderedPageBreak/>
        <w:t xml:space="preserve">Appendix B - </w:t>
      </w:r>
      <w:r w:rsidRPr="001E023F">
        <w:t>Ind</w:t>
      </w:r>
      <w:r>
        <w:t>ex</w:t>
      </w:r>
      <w:r w:rsidRPr="001E023F">
        <w:t xml:space="preserve"> Calculations</w:t>
      </w:r>
      <w:bookmarkEnd w:id="93"/>
      <w:bookmarkEnd w:id="94"/>
      <w:bookmarkEnd w:id="95"/>
      <w:bookmarkEnd w:id="96"/>
      <w:bookmarkEnd w:id="97"/>
    </w:p>
    <w:p w:rsidR="004257AC" w:rsidRDefault="004257AC" w:rsidP="004257AC">
      <w:pPr>
        <w:pStyle w:val="Heading4"/>
      </w:pPr>
      <w:bookmarkStart w:id="98" w:name="_Toc3183389"/>
      <w:bookmarkStart w:id="99" w:name="_Toc98906798"/>
      <w:bookmarkStart w:id="100" w:name="_Toc165342480"/>
      <w:bookmarkStart w:id="101" w:name="_Toc193711048"/>
      <w:bookmarkStart w:id="102" w:name="_Toc227571643"/>
    </w:p>
    <w:p w:rsidR="00401324" w:rsidRDefault="00401324" w:rsidP="004257AC">
      <w:pPr>
        <w:pStyle w:val="Heading5"/>
      </w:pPr>
      <w:r>
        <w:t>SAIFI – System Average Interruption Frequency Index</w:t>
      </w:r>
      <w:bookmarkEnd w:id="98"/>
      <w:bookmarkEnd w:id="99"/>
      <w:bookmarkEnd w:id="100"/>
      <w:bookmarkEnd w:id="101"/>
      <w:bookmarkEnd w:id="102"/>
    </w:p>
    <w:p w:rsidR="00401324" w:rsidRDefault="00401324" w:rsidP="00924135">
      <w:pPr>
        <w:numPr>
          <w:ilvl w:val="0"/>
          <w:numId w:val="1"/>
        </w:numPr>
        <w:tabs>
          <w:tab w:val="clear" w:pos="360"/>
          <w:tab w:val="num" w:pos="720"/>
        </w:tabs>
        <w:ind w:left="720"/>
      </w:pPr>
      <w:r>
        <w:t xml:space="preserve">The average number of sustained interruptions per customer  </w:t>
      </w:r>
    </w:p>
    <w:p w:rsidR="00401324" w:rsidRDefault="00401324" w:rsidP="00924135">
      <w:pPr>
        <w:numPr>
          <w:ilvl w:val="0"/>
          <w:numId w:val="2"/>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rsidR="00401324" w:rsidRDefault="00401324" w:rsidP="00401324">
      <w:pPr>
        <w:ind w:left="360" w:firstLine="360"/>
      </w:pPr>
      <w:r>
        <w:tab/>
        <w:t xml:space="preserve">                    Total number of customers served  </w:t>
      </w:r>
    </w:p>
    <w:p w:rsidR="00401324" w:rsidRDefault="00401324" w:rsidP="00924135">
      <w:pPr>
        <w:numPr>
          <w:ilvl w:val="0"/>
          <w:numId w:val="7"/>
        </w:numPr>
        <w:tabs>
          <w:tab w:val="clear" w:pos="360"/>
          <w:tab w:val="num" w:pos="720"/>
        </w:tabs>
        <w:ind w:left="720"/>
      </w:pPr>
      <w:r>
        <w:t xml:space="preserve">=    </w:t>
      </w:r>
      <w:r w:rsidRPr="00B8013D">
        <w:rPr>
          <w:position w:val="-14"/>
          <w:u w:val="single"/>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o:ole="" fillcolor="window">
            <v:imagedata r:id="rId16" o:title=""/>
          </v:shape>
          <o:OLEObject Type="Embed" ProgID="Equation.3" ShapeID="_x0000_i1025" DrawAspect="Content" ObjectID="_1512366534" r:id="rId17"/>
        </w:object>
      </w:r>
    </w:p>
    <w:p w:rsidR="00401324" w:rsidRDefault="00401324" w:rsidP="00401324">
      <w:pPr>
        <w:ind w:left="360" w:firstLine="360"/>
      </w:pPr>
      <w:r>
        <w:t xml:space="preserve">        </w:t>
      </w:r>
      <w:r w:rsidRPr="00B8013D">
        <w:rPr>
          <w:position w:val="-10"/>
        </w:rPr>
        <w:object w:dxaOrig="360" w:dyaOrig="340">
          <v:shape id="_x0000_i1026" type="#_x0000_t75" style="width:18pt;height:17.25pt" o:ole="" fillcolor="window">
            <v:imagedata r:id="rId18" o:title=""/>
          </v:shape>
          <o:OLEObject Type="Embed" ProgID="Equation.3" ShapeID="_x0000_i1026" DrawAspect="Content" ObjectID="_1512366535" r:id="rId19"/>
        </w:object>
      </w:r>
    </w:p>
    <w:p w:rsidR="004257AC" w:rsidRDefault="004257AC" w:rsidP="004257AC">
      <w:pPr>
        <w:pStyle w:val="Heading4"/>
      </w:pPr>
      <w:bookmarkStart w:id="103" w:name="_Toc3183390"/>
      <w:bookmarkStart w:id="104" w:name="_Toc98906799"/>
      <w:bookmarkStart w:id="105" w:name="_Toc165342481"/>
      <w:bookmarkStart w:id="106" w:name="_Toc193711049"/>
      <w:bookmarkStart w:id="107" w:name="_Toc227571644"/>
    </w:p>
    <w:p w:rsidR="00401324" w:rsidRDefault="00401324" w:rsidP="004257AC">
      <w:pPr>
        <w:pStyle w:val="Heading5"/>
      </w:pPr>
      <w:r>
        <w:t>MAIFI</w:t>
      </w:r>
      <w:r>
        <w:rPr>
          <w:vertAlign w:val="subscript"/>
        </w:rPr>
        <w:t>E</w:t>
      </w:r>
      <w:r>
        <w:t xml:space="preserve"> – Momentary Average Interruption Event Frequency Index</w:t>
      </w:r>
      <w:bookmarkEnd w:id="103"/>
      <w:bookmarkEnd w:id="104"/>
      <w:bookmarkEnd w:id="105"/>
      <w:bookmarkEnd w:id="106"/>
      <w:bookmarkEnd w:id="107"/>
      <w:r>
        <w:t xml:space="preserve"> </w:t>
      </w:r>
    </w:p>
    <w:p w:rsidR="00401324" w:rsidRDefault="00401324" w:rsidP="00924135">
      <w:pPr>
        <w:numPr>
          <w:ilvl w:val="0"/>
          <w:numId w:val="3"/>
        </w:numPr>
        <w:tabs>
          <w:tab w:val="clear" w:pos="360"/>
          <w:tab w:val="num" w:pos="720"/>
        </w:tabs>
        <w:ind w:left="720"/>
      </w:pPr>
      <w:r>
        <w:t xml:space="preserve">The average number of momentary interruption events per customer  </w:t>
      </w:r>
    </w:p>
    <w:p w:rsidR="00401324" w:rsidRDefault="00401324" w:rsidP="00924135">
      <w:pPr>
        <w:numPr>
          <w:ilvl w:val="0"/>
          <w:numId w:val="4"/>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rsidR="00401324" w:rsidRDefault="00401324" w:rsidP="00401324">
      <w:pPr>
        <w:ind w:left="360" w:firstLine="360"/>
      </w:pPr>
      <w:r>
        <w:tab/>
      </w:r>
      <w:r>
        <w:tab/>
        <w:t xml:space="preserve">             Total number of customers served</w:t>
      </w:r>
      <w:r>
        <w:tab/>
      </w:r>
      <w:r>
        <w:tab/>
      </w:r>
      <w:r>
        <w:tab/>
      </w:r>
      <w:r>
        <w:tab/>
      </w:r>
    </w:p>
    <w:p w:rsidR="00401324" w:rsidRDefault="00401324" w:rsidP="00924135">
      <w:pPr>
        <w:numPr>
          <w:ilvl w:val="0"/>
          <w:numId w:val="8"/>
        </w:numPr>
        <w:tabs>
          <w:tab w:val="clear" w:pos="360"/>
          <w:tab w:val="num" w:pos="720"/>
        </w:tabs>
        <w:ind w:left="720"/>
      </w:pPr>
      <w:r>
        <w:t xml:space="preserve">= </w:t>
      </w:r>
      <w:r w:rsidRPr="00B8013D">
        <w:rPr>
          <w:position w:val="-14"/>
          <w:u w:val="single"/>
        </w:rPr>
        <w:object w:dxaOrig="1020" w:dyaOrig="400">
          <v:shape id="_x0000_i1027" type="#_x0000_t75" style="width:52.5pt;height:19.5pt" o:ole="" fillcolor="window">
            <v:imagedata r:id="rId20" o:title=""/>
          </v:shape>
          <o:OLEObject Type="Embed" ProgID="Equation.3" ShapeID="_x0000_i1027" DrawAspect="Content" ObjectID="_1512366536" r:id="rId21"/>
        </w:object>
      </w:r>
    </w:p>
    <w:p w:rsidR="00401324" w:rsidRDefault="00401324" w:rsidP="00401324">
      <w:pPr>
        <w:ind w:left="360" w:firstLine="360"/>
      </w:pPr>
      <w:r>
        <w:t xml:space="preserve">          </w:t>
      </w:r>
      <w:r w:rsidRPr="00B8013D">
        <w:rPr>
          <w:position w:val="-10"/>
        </w:rPr>
        <w:object w:dxaOrig="360" w:dyaOrig="340">
          <v:shape id="_x0000_i1028" type="#_x0000_t75" style="width:18pt;height:17.25pt" o:ole="" fillcolor="window">
            <v:imagedata r:id="rId18" o:title=""/>
          </v:shape>
          <o:OLEObject Type="Embed" ProgID="Equation.3" ShapeID="_x0000_i1028" DrawAspect="Content" ObjectID="_1512366537" r:id="rId22"/>
        </w:object>
      </w:r>
    </w:p>
    <w:p w:rsidR="00401324" w:rsidRDefault="00401324" w:rsidP="00924135">
      <w:pPr>
        <w:numPr>
          <w:ilvl w:val="0"/>
          <w:numId w:val="13"/>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rsidR="004257AC" w:rsidRDefault="004257AC" w:rsidP="004257AC">
      <w:pPr>
        <w:pStyle w:val="Heading4"/>
      </w:pPr>
      <w:bookmarkStart w:id="108" w:name="_Toc3183391"/>
      <w:bookmarkStart w:id="109" w:name="_Toc98906800"/>
      <w:bookmarkStart w:id="110" w:name="_Toc165342482"/>
      <w:bookmarkStart w:id="111" w:name="_Toc193711050"/>
      <w:bookmarkStart w:id="112" w:name="_Toc227571645"/>
    </w:p>
    <w:p w:rsidR="00401324" w:rsidRDefault="00401324" w:rsidP="004257AC">
      <w:pPr>
        <w:pStyle w:val="Heading5"/>
      </w:pPr>
      <w:r>
        <w:t>SAIDI – System Average Interruption Duration Index</w:t>
      </w:r>
      <w:bookmarkEnd w:id="108"/>
      <w:bookmarkEnd w:id="109"/>
      <w:bookmarkEnd w:id="110"/>
      <w:bookmarkEnd w:id="111"/>
      <w:bookmarkEnd w:id="112"/>
      <w:r>
        <w:t xml:space="preserve"> </w:t>
      </w:r>
    </w:p>
    <w:p w:rsidR="00401324" w:rsidRDefault="00401324" w:rsidP="00924135">
      <w:pPr>
        <w:numPr>
          <w:ilvl w:val="0"/>
          <w:numId w:val="5"/>
        </w:numPr>
        <w:tabs>
          <w:tab w:val="clear" w:pos="360"/>
          <w:tab w:val="num" w:pos="720"/>
        </w:tabs>
        <w:ind w:left="720"/>
      </w:pPr>
      <w:r>
        <w:t>Average sustained outage time per customer</w:t>
      </w:r>
    </w:p>
    <w:p w:rsidR="00401324" w:rsidRDefault="00401324" w:rsidP="00924135">
      <w:pPr>
        <w:numPr>
          <w:ilvl w:val="0"/>
          <w:numId w:val="6"/>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rsidR="00401324" w:rsidRDefault="00401324" w:rsidP="00401324">
      <w:pPr>
        <w:ind w:left="360" w:firstLine="360"/>
      </w:pPr>
      <w:r>
        <w:rPr>
          <w:sz w:val="22"/>
        </w:rPr>
        <w:tab/>
        <w:t xml:space="preserve">                                Total number of customers served</w:t>
      </w:r>
    </w:p>
    <w:p w:rsidR="00401324" w:rsidRDefault="00401324" w:rsidP="00924135">
      <w:pPr>
        <w:numPr>
          <w:ilvl w:val="0"/>
          <w:numId w:val="9"/>
        </w:numPr>
        <w:tabs>
          <w:tab w:val="clear" w:pos="360"/>
          <w:tab w:val="num" w:pos="720"/>
        </w:tabs>
        <w:ind w:left="720"/>
      </w:pPr>
      <w:r>
        <w:t xml:space="preserve">=     </w:t>
      </w:r>
      <w:r w:rsidRPr="00B8013D">
        <w:rPr>
          <w:position w:val="-14"/>
          <w:u w:val="single"/>
        </w:rPr>
        <w:object w:dxaOrig="760" w:dyaOrig="400">
          <v:shape id="_x0000_i1029" type="#_x0000_t75" style="width:39pt;height:19.5pt" o:ole="" fillcolor="window">
            <v:imagedata r:id="rId23" o:title=""/>
          </v:shape>
          <o:OLEObject Type="Embed" ProgID="Equation.3" ShapeID="_x0000_i1029" DrawAspect="Content" ObjectID="_1512366538" r:id="rId24"/>
        </w:object>
      </w:r>
    </w:p>
    <w:p w:rsidR="00401324" w:rsidRDefault="00401324" w:rsidP="00401324">
      <w:pPr>
        <w:ind w:left="360" w:firstLine="360"/>
      </w:pPr>
      <w:r>
        <w:t xml:space="preserve">          </w:t>
      </w:r>
      <w:r w:rsidRPr="00B8013D">
        <w:rPr>
          <w:position w:val="-10"/>
        </w:rPr>
        <w:object w:dxaOrig="360" w:dyaOrig="340">
          <v:shape id="_x0000_i1030" type="#_x0000_t75" style="width:18pt;height:17.25pt" o:ole="" fillcolor="window">
            <v:imagedata r:id="rId18" o:title=""/>
          </v:shape>
          <o:OLEObject Type="Embed" ProgID="Equation.3" ShapeID="_x0000_i1030" DrawAspect="Content" ObjectID="_1512366539" r:id="rId25"/>
        </w:object>
      </w:r>
    </w:p>
    <w:p w:rsidR="004257AC" w:rsidRDefault="004257AC" w:rsidP="004257AC">
      <w:pPr>
        <w:pStyle w:val="Heading4"/>
      </w:pPr>
      <w:bookmarkStart w:id="113" w:name="_Toc3183392"/>
      <w:bookmarkStart w:id="114" w:name="_Toc98906801"/>
      <w:bookmarkStart w:id="115" w:name="_Toc165342483"/>
      <w:bookmarkStart w:id="116" w:name="_Toc193711051"/>
      <w:bookmarkStart w:id="117" w:name="_Toc227571646"/>
    </w:p>
    <w:p w:rsidR="00401324" w:rsidRDefault="00401324" w:rsidP="004257AC">
      <w:pPr>
        <w:pStyle w:val="Heading5"/>
      </w:pPr>
      <w:r>
        <w:t>CAIDI – Customer Average Interruption Duration Index</w:t>
      </w:r>
      <w:bookmarkEnd w:id="113"/>
      <w:bookmarkEnd w:id="114"/>
      <w:bookmarkEnd w:id="115"/>
      <w:bookmarkEnd w:id="116"/>
      <w:bookmarkEnd w:id="117"/>
    </w:p>
    <w:p w:rsidR="00401324" w:rsidRDefault="00401324" w:rsidP="00924135">
      <w:pPr>
        <w:numPr>
          <w:ilvl w:val="0"/>
          <w:numId w:val="12"/>
        </w:numPr>
        <w:tabs>
          <w:tab w:val="clear" w:pos="360"/>
          <w:tab w:val="num" w:pos="720"/>
        </w:tabs>
        <w:ind w:left="720"/>
      </w:pPr>
      <w:r>
        <w:t>Average restoration time</w:t>
      </w:r>
    </w:p>
    <w:p w:rsidR="00401324" w:rsidRDefault="00401324" w:rsidP="00924135">
      <w:pPr>
        <w:numPr>
          <w:ilvl w:val="0"/>
          <w:numId w:val="11"/>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rsidR="00401324" w:rsidRDefault="00401324" w:rsidP="00401324">
      <w:pPr>
        <w:ind w:left="360" w:firstLine="360"/>
      </w:pPr>
      <w:r>
        <w:rPr>
          <w:sz w:val="22"/>
        </w:rPr>
        <w:tab/>
        <w:t xml:space="preserve">                       The number of customers which had </w:t>
      </w:r>
      <w:r>
        <w:rPr>
          <w:b/>
          <w:i/>
          <w:sz w:val="22"/>
        </w:rPr>
        <w:t>sustained interruptions</w:t>
      </w:r>
    </w:p>
    <w:p w:rsidR="00401324" w:rsidRDefault="00401324" w:rsidP="00924135">
      <w:pPr>
        <w:numPr>
          <w:ilvl w:val="0"/>
          <w:numId w:val="10"/>
        </w:numPr>
        <w:tabs>
          <w:tab w:val="clear" w:pos="360"/>
          <w:tab w:val="num" w:pos="720"/>
        </w:tabs>
        <w:ind w:left="720"/>
      </w:pPr>
      <w:r>
        <w:t xml:space="preserve">=   </w:t>
      </w:r>
      <w:r w:rsidRPr="00B8013D">
        <w:rPr>
          <w:position w:val="-14"/>
          <w:u w:val="single"/>
        </w:rPr>
        <w:object w:dxaOrig="760" w:dyaOrig="400">
          <v:shape id="_x0000_i1031" type="#_x0000_t75" style="width:39pt;height:19.5pt" o:ole="" fillcolor="window">
            <v:imagedata r:id="rId26" o:title=""/>
          </v:shape>
          <o:OLEObject Type="Embed" ProgID="Equation.3" ShapeID="_x0000_i1031" DrawAspect="Content" ObjectID="_1512366540" r:id="rId27"/>
        </w:object>
      </w:r>
    </w:p>
    <w:p w:rsidR="00401324" w:rsidRDefault="00401324" w:rsidP="00401324">
      <w:pPr>
        <w:ind w:left="360"/>
      </w:pPr>
      <w:r>
        <w:t xml:space="preserve">             </w:t>
      </w:r>
      <w:r w:rsidRPr="00B8013D">
        <w:rPr>
          <w:position w:val="-14"/>
        </w:rPr>
        <w:object w:dxaOrig="620" w:dyaOrig="400">
          <v:shape id="_x0000_i1032" type="#_x0000_t75" style="width:31.5pt;height:19.5pt" o:ole="" fillcolor="window">
            <v:imagedata r:id="rId28" o:title=""/>
          </v:shape>
          <o:OLEObject Type="Embed" ProgID="Equation.3" ShapeID="_x0000_i1032" DrawAspect="Content" ObjectID="_1512366541" r:id="rId29"/>
        </w:object>
      </w:r>
    </w:p>
    <w:p w:rsidR="00401324" w:rsidRDefault="00401324" w:rsidP="00401324"/>
    <w:p w:rsidR="00401324" w:rsidRDefault="00401324" w:rsidP="00401324">
      <w:bookmarkStart w:id="118" w:name="_Toc98906802"/>
      <w:bookmarkStart w:id="119" w:name="_Toc165342484"/>
      <w:r>
        <w:t>Quantities</w:t>
      </w:r>
      <w:bookmarkEnd w:id="118"/>
      <w:bookmarkEnd w:id="119"/>
    </w:p>
    <w:p w:rsidR="00401324" w:rsidRDefault="00401324" w:rsidP="00401324">
      <w:pPr>
        <w:rPr>
          <w:i/>
        </w:rPr>
      </w:pPr>
      <w:r>
        <w:rPr>
          <w:i/>
        </w:rPr>
        <w:t>i = An interruption event;</w:t>
      </w:r>
    </w:p>
    <w:p w:rsidR="00401324" w:rsidRDefault="00401324" w:rsidP="00401324">
      <w:pPr>
        <w:rPr>
          <w:i/>
        </w:rPr>
      </w:pPr>
      <w:r>
        <w:rPr>
          <w:i/>
        </w:rPr>
        <w:t>r</w:t>
      </w:r>
      <w:r>
        <w:rPr>
          <w:i/>
          <w:vertAlign w:val="subscript"/>
        </w:rPr>
        <w:t xml:space="preserve">i  </w:t>
      </w:r>
      <w:r>
        <w:rPr>
          <w:i/>
        </w:rPr>
        <w:t xml:space="preserve">= Restoration time for each interruption event; </w:t>
      </w:r>
    </w:p>
    <w:p w:rsidR="00401324" w:rsidRDefault="00401324" w:rsidP="00401324">
      <w:pPr>
        <w:rPr>
          <w:i/>
        </w:rPr>
      </w:pPr>
      <w:r>
        <w:rPr>
          <w:i/>
        </w:rPr>
        <w:t>T = Total;</w:t>
      </w:r>
    </w:p>
    <w:p w:rsidR="00401324" w:rsidRDefault="00401324" w:rsidP="00401324">
      <w:pPr>
        <w:rPr>
          <w:i/>
        </w:rPr>
      </w:pPr>
      <w:r>
        <w:rPr>
          <w:i/>
        </w:rPr>
        <w:t>ID</w:t>
      </w:r>
      <w:r>
        <w:rPr>
          <w:i/>
          <w:vertAlign w:val="subscript"/>
        </w:rPr>
        <w:t xml:space="preserve">E  </w:t>
      </w:r>
      <w:r>
        <w:rPr>
          <w:i/>
        </w:rPr>
        <w:t>= Number of interrupting device events;</w:t>
      </w:r>
    </w:p>
    <w:p w:rsidR="00401324" w:rsidRDefault="00401324" w:rsidP="00401324">
      <w:pPr>
        <w:rPr>
          <w:i/>
        </w:rPr>
      </w:pPr>
      <w:r>
        <w:rPr>
          <w:i/>
        </w:rPr>
        <w:t>N</w:t>
      </w:r>
      <w:r>
        <w:rPr>
          <w:i/>
          <w:vertAlign w:val="subscript"/>
        </w:rPr>
        <w:t xml:space="preserve">i </w:t>
      </w:r>
      <w:r>
        <w:rPr>
          <w:i/>
        </w:rPr>
        <w:t>= Number of interrupted customers for each interruption event during the reporting period;</w:t>
      </w:r>
    </w:p>
    <w:p w:rsidR="00401324" w:rsidRDefault="00401324" w:rsidP="00401324">
      <w:pPr>
        <w:rPr>
          <w:i/>
        </w:rPr>
      </w:pPr>
      <w:r>
        <w:rPr>
          <w:i/>
        </w:rPr>
        <w:t>N</w:t>
      </w:r>
      <w:r>
        <w:rPr>
          <w:i/>
          <w:vertAlign w:val="subscript"/>
        </w:rPr>
        <w:t xml:space="preserve">T </w:t>
      </w:r>
      <w:r>
        <w:rPr>
          <w:i/>
        </w:rPr>
        <w:t>= Total number of customers served for the area being indexed;</w:t>
      </w:r>
    </w:p>
    <w:p w:rsidR="004257AC" w:rsidRDefault="004257AC" w:rsidP="004257AC">
      <w:pPr>
        <w:pStyle w:val="Heading4"/>
      </w:pPr>
      <w:bookmarkStart w:id="120" w:name="_Toc193711052"/>
      <w:bookmarkStart w:id="121" w:name="_Toc227571647"/>
      <w:bookmarkStart w:id="122" w:name="_Toc165342485"/>
    </w:p>
    <w:p w:rsidR="004257AC" w:rsidRDefault="004257AC" w:rsidP="004257AC">
      <w:pPr>
        <w:pStyle w:val="Heading4"/>
      </w:pPr>
    </w:p>
    <w:p w:rsidR="00401324" w:rsidRDefault="00401324" w:rsidP="004257AC">
      <w:pPr>
        <w:pStyle w:val="Heading5"/>
      </w:pPr>
      <w:r>
        <w:t>CEMI</w:t>
      </w:r>
      <w:r w:rsidRPr="00C44B45">
        <w:rPr>
          <w:i/>
          <w:sz w:val="28"/>
          <w:vertAlign w:val="subscript"/>
        </w:rPr>
        <w:t>n</w:t>
      </w:r>
      <w:r>
        <w:t xml:space="preserve"> – Customers Experiencing Multiple Sustained Interruptions more than n.</w:t>
      </w:r>
      <w:bookmarkEnd w:id="120"/>
      <w:bookmarkEnd w:id="121"/>
    </w:p>
    <w:p w:rsidR="00401324" w:rsidRDefault="00401324" w:rsidP="00924135">
      <w:pPr>
        <w:numPr>
          <w:ilvl w:val="0"/>
          <w:numId w:val="12"/>
        </w:numPr>
        <w:tabs>
          <w:tab w:val="clear" w:pos="360"/>
          <w:tab w:val="num" w:pos="720"/>
        </w:tabs>
        <w:ind w:left="720"/>
      </w:pPr>
      <w:r>
        <w:t>CEMI</w:t>
      </w:r>
      <w:r w:rsidRPr="00C44B45">
        <w:rPr>
          <w:i/>
          <w:sz w:val="28"/>
          <w:vertAlign w:val="subscript"/>
        </w:rPr>
        <w:t>n</w:t>
      </w:r>
    </w:p>
    <w:p w:rsidR="00401324" w:rsidRDefault="00401324" w:rsidP="00924135">
      <w:pPr>
        <w:numPr>
          <w:ilvl w:val="0"/>
          <w:numId w:val="11"/>
        </w:numPr>
        <w:tabs>
          <w:tab w:val="num" w:pos="720"/>
        </w:tabs>
        <w:ind w:left="720"/>
        <w:rPr>
          <w:sz w:val="22"/>
        </w:rPr>
      </w:pPr>
      <w:r>
        <w:t>=</w:t>
      </w:r>
      <w:r>
        <w:tab/>
      </w:r>
      <w:r>
        <w:rPr>
          <w:sz w:val="22"/>
          <w:u w:val="single"/>
        </w:rPr>
        <w:t xml:space="preserve">Total Number of Customers that experience more than </w:t>
      </w:r>
      <w:r w:rsidRPr="00C44B45">
        <w:rPr>
          <w:i/>
          <w:sz w:val="22"/>
          <w:u w:val="single"/>
        </w:rPr>
        <w:t>n</w:t>
      </w:r>
      <w:r>
        <w:rPr>
          <w:sz w:val="22"/>
          <w:u w:val="single"/>
        </w:rPr>
        <w:t xml:space="preserve"> </w:t>
      </w:r>
      <w:r w:rsidRPr="00E75899">
        <w:rPr>
          <w:b/>
          <w:sz w:val="22"/>
          <w:u w:val="single"/>
        </w:rPr>
        <w:t>sustained interruptions</w:t>
      </w:r>
    </w:p>
    <w:p w:rsidR="00401324" w:rsidRDefault="00401324" w:rsidP="00401324">
      <w:pPr>
        <w:ind w:left="360" w:firstLine="360"/>
      </w:pPr>
      <w:r>
        <w:rPr>
          <w:sz w:val="22"/>
        </w:rPr>
        <w:tab/>
        <w:t xml:space="preserve">                       Total Number of Customers Served</w:t>
      </w:r>
    </w:p>
    <w:p w:rsidR="00401324" w:rsidRDefault="00401324" w:rsidP="00924135">
      <w:pPr>
        <w:numPr>
          <w:ilvl w:val="0"/>
          <w:numId w:val="10"/>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rsidR="00401324" w:rsidRPr="00E75899" w:rsidRDefault="00401324" w:rsidP="00401324">
      <w:pPr>
        <w:ind w:left="360"/>
        <w:rPr>
          <w:sz w:val="28"/>
        </w:rPr>
      </w:pPr>
      <w:r>
        <w:t xml:space="preserve">             N</w:t>
      </w:r>
      <w:r w:rsidRPr="00E75899">
        <w:rPr>
          <w:i/>
          <w:sz w:val="28"/>
          <w:vertAlign w:val="subscript"/>
        </w:rPr>
        <w:t>T</w:t>
      </w:r>
    </w:p>
    <w:p w:rsidR="004257AC" w:rsidRDefault="004257AC" w:rsidP="004257AC">
      <w:pPr>
        <w:pStyle w:val="Heading4"/>
      </w:pPr>
      <w:bookmarkStart w:id="123" w:name="_Toc193711053"/>
      <w:bookmarkStart w:id="124" w:name="_Toc227571648"/>
    </w:p>
    <w:p w:rsidR="00401324" w:rsidRPr="00C44B45" w:rsidRDefault="00401324" w:rsidP="004257AC">
      <w:pPr>
        <w:pStyle w:val="Heading5"/>
      </w:pPr>
      <w:r>
        <w:t>CEMSMI</w:t>
      </w:r>
      <w:bookmarkStart w:id="125" w:name="OLE_LINK8"/>
      <w:bookmarkStart w:id="126" w:name="OLE_LINK9"/>
      <w:r w:rsidRPr="00C44B45">
        <w:rPr>
          <w:i/>
          <w:sz w:val="28"/>
          <w:vertAlign w:val="subscript"/>
        </w:rPr>
        <w:t>n</w:t>
      </w:r>
      <w:bookmarkEnd w:id="125"/>
      <w:bookmarkEnd w:id="126"/>
      <w:r>
        <w:t xml:space="preserve"> – Customers experiencing multiple sustained interruption and momentary interruption events.</w:t>
      </w:r>
      <w:bookmarkEnd w:id="123"/>
      <w:bookmarkEnd w:id="124"/>
      <w:r>
        <w:t xml:space="preserve"> </w:t>
      </w:r>
    </w:p>
    <w:p w:rsidR="00401324" w:rsidRDefault="00401324" w:rsidP="00924135">
      <w:pPr>
        <w:numPr>
          <w:ilvl w:val="0"/>
          <w:numId w:val="12"/>
        </w:numPr>
        <w:tabs>
          <w:tab w:val="clear" w:pos="360"/>
          <w:tab w:val="num" w:pos="720"/>
        </w:tabs>
        <w:ind w:left="720"/>
      </w:pPr>
      <w:r>
        <w:t>CEMSMIn</w:t>
      </w:r>
    </w:p>
    <w:p w:rsidR="00401324" w:rsidRDefault="00401324" w:rsidP="00924135">
      <w:pPr>
        <w:numPr>
          <w:ilvl w:val="0"/>
          <w:numId w:val="11"/>
        </w:numPr>
        <w:tabs>
          <w:tab w:val="num" w:pos="720"/>
        </w:tabs>
        <w:ind w:left="720"/>
        <w:rPr>
          <w:sz w:val="22"/>
        </w:rPr>
      </w:pPr>
      <w:r>
        <w:t>=</w:t>
      </w:r>
      <w:r>
        <w:tab/>
      </w:r>
      <w:r>
        <w:rPr>
          <w:sz w:val="22"/>
          <w:u w:val="single"/>
        </w:rPr>
        <w:t xml:space="preserve">Total Number of Customers experiencing more than </w:t>
      </w:r>
      <w:r w:rsidRPr="00C44B45">
        <w:rPr>
          <w:i/>
          <w:sz w:val="22"/>
          <w:u w:val="single"/>
        </w:rPr>
        <w:t>n</w:t>
      </w:r>
      <w:r>
        <w:rPr>
          <w:sz w:val="22"/>
          <w:u w:val="single"/>
        </w:rPr>
        <w:t xml:space="preserve"> </w:t>
      </w:r>
      <w:r w:rsidRPr="00E75899">
        <w:rPr>
          <w:b/>
          <w:sz w:val="22"/>
          <w:u w:val="single"/>
        </w:rPr>
        <w:t>interruptions</w:t>
      </w:r>
    </w:p>
    <w:p w:rsidR="00401324" w:rsidRDefault="00401324" w:rsidP="00401324">
      <w:pPr>
        <w:ind w:left="360" w:firstLine="360"/>
      </w:pPr>
      <w:r>
        <w:rPr>
          <w:sz w:val="22"/>
        </w:rPr>
        <w:tab/>
        <w:t xml:space="preserve">                       Total Number of Customers Served</w:t>
      </w:r>
    </w:p>
    <w:p w:rsidR="00401324" w:rsidRDefault="00401324" w:rsidP="00924135">
      <w:pPr>
        <w:numPr>
          <w:ilvl w:val="0"/>
          <w:numId w:val="10"/>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rsidR="00401324" w:rsidRPr="00E75899" w:rsidRDefault="00401324" w:rsidP="00401324">
      <w:pPr>
        <w:ind w:left="360"/>
        <w:rPr>
          <w:sz w:val="28"/>
        </w:rPr>
      </w:pPr>
      <w:r>
        <w:t xml:space="preserve">             N</w:t>
      </w:r>
      <w:r w:rsidRPr="00E75899">
        <w:rPr>
          <w:i/>
          <w:sz w:val="28"/>
          <w:vertAlign w:val="subscript"/>
        </w:rPr>
        <w:t>T</w:t>
      </w:r>
    </w:p>
    <w:p w:rsidR="004257AC" w:rsidRDefault="004257AC" w:rsidP="004257AC">
      <w:pPr>
        <w:pStyle w:val="Heading4"/>
      </w:pPr>
      <w:bookmarkStart w:id="127" w:name="_Toc193711054"/>
      <w:bookmarkStart w:id="128" w:name="_Toc227571649"/>
    </w:p>
    <w:p w:rsidR="00401324" w:rsidRDefault="00401324" w:rsidP="004257AC">
      <w:pPr>
        <w:pStyle w:val="Heading5"/>
      </w:pPr>
      <w:r>
        <w:t>MED - Major Event Day</w:t>
      </w:r>
      <w:bookmarkEnd w:id="122"/>
      <w:bookmarkEnd w:id="127"/>
      <w:bookmarkEnd w:id="128"/>
      <w:r>
        <w:t xml:space="preserve"> </w:t>
      </w:r>
    </w:p>
    <w:p w:rsidR="00401324" w:rsidRPr="00B740C1" w:rsidRDefault="00401324" w:rsidP="00401324">
      <w:pPr>
        <w:rPr>
          <w:szCs w:val="24"/>
        </w:rPr>
      </w:pPr>
      <w:r w:rsidRPr="00B740C1">
        <w:rPr>
          <w:szCs w:val="24"/>
        </w:rPr>
        <w:t>A major event day is a day in which the daily system</w:t>
      </w:r>
      <w:r w:rsidRPr="0030103F">
        <w:rPr>
          <w:szCs w:val="24"/>
        </w:rPr>
        <w:t xml:space="preserve"> SAIDI exceeds a threshold value. Its purpose is to allow major events to be studied separately from daily operation, and in the process, to better reveal trends in daily operation that would be hidden by the large statistical effect of major events.</w:t>
      </w:r>
    </w:p>
    <w:p w:rsidR="00401324" w:rsidRPr="00B740C1" w:rsidRDefault="00401324" w:rsidP="00401324">
      <w:pPr>
        <w:rPr>
          <w:szCs w:val="24"/>
        </w:rPr>
      </w:pPr>
    </w:p>
    <w:p w:rsidR="00401324" w:rsidRPr="00B740C1" w:rsidRDefault="00401324" w:rsidP="00401324">
      <w:pPr>
        <w:autoSpaceDE w:val="0"/>
        <w:autoSpaceDN w:val="0"/>
        <w:adjustRightInd w:val="0"/>
        <w:rPr>
          <w:szCs w:val="24"/>
        </w:rPr>
      </w:pPr>
      <w:r w:rsidRPr="00F854AB">
        <w:rPr>
          <w:szCs w:val="24"/>
        </w:rPr>
        <w:t>T</w:t>
      </w:r>
      <w:r w:rsidRPr="00F854AB">
        <w:rPr>
          <w:szCs w:val="24"/>
          <w:vertAlign w:val="subscript"/>
        </w:rPr>
        <w:t>MED</w:t>
      </w:r>
      <w:r w:rsidRPr="00F854AB">
        <w:rPr>
          <w:szCs w:val="24"/>
        </w:rPr>
        <w:t xml:space="preserve"> is calculated (taken from the IEEE 1366-2003 Standard) </w:t>
      </w:r>
    </w:p>
    <w:p w:rsidR="00401324" w:rsidRPr="00B740C1" w:rsidRDefault="00401324" w:rsidP="00401324">
      <w:pPr>
        <w:autoSpaceDE w:val="0"/>
        <w:autoSpaceDN w:val="0"/>
        <w:adjustRightInd w:val="0"/>
        <w:rPr>
          <w:szCs w:val="24"/>
        </w:rPr>
      </w:pPr>
      <w:r w:rsidRPr="00F854AB">
        <w:rPr>
          <w:szCs w:val="24"/>
        </w:rPr>
        <w:t>The major event day identification threshold value, T</w:t>
      </w:r>
      <w:r w:rsidRPr="00F854AB">
        <w:rPr>
          <w:szCs w:val="24"/>
          <w:vertAlign w:val="subscript"/>
        </w:rPr>
        <w:t>MED</w:t>
      </w:r>
      <w:r w:rsidRPr="00F854AB">
        <w:rPr>
          <w:szCs w:val="24"/>
        </w:rPr>
        <w:t>, is calculated at the end of each reporting period (typically one year) for use during the next reporting period as follows:</w:t>
      </w:r>
    </w:p>
    <w:p w:rsidR="00401324" w:rsidRPr="00B740C1" w:rsidRDefault="00401324" w:rsidP="00401324">
      <w:pPr>
        <w:autoSpaceDE w:val="0"/>
        <w:autoSpaceDN w:val="0"/>
        <w:adjustRightInd w:val="0"/>
        <w:ind w:left="720"/>
        <w:rPr>
          <w:szCs w:val="24"/>
        </w:rPr>
      </w:pPr>
      <w:r w:rsidRPr="00F854AB">
        <w:rPr>
          <w:szCs w:val="24"/>
        </w:rPr>
        <w:t>a) Collect values of daily SAIDI for five sequential years ending on the last day of the last complete reporting period. If fewer than five years of historical data are available, use all available historical data until five years of historical data are available.</w:t>
      </w:r>
    </w:p>
    <w:p w:rsidR="00401324" w:rsidRPr="00B740C1" w:rsidRDefault="00401324" w:rsidP="00401324">
      <w:pPr>
        <w:autoSpaceDE w:val="0"/>
        <w:autoSpaceDN w:val="0"/>
        <w:adjustRightInd w:val="0"/>
        <w:ind w:left="720"/>
        <w:rPr>
          <w:szCs w:val="24"/>
        </w:rPr>
      </w:pPr>
      <w:r w:rsidRPr="00F854AB">
        <w:rPr>
          <w:szCs w:val="24"/>
        </w:rPr>
        <w:t>b) Only those days that have a SAIDI/Day value will be used to calculate the T</w:t>
      </w:r>
      <w:r w:rsidRPr="00F854AB">
        <w:rPr>
          <w:szCs w:val="24"/>
          <w:vertAlign w:val="subscript"/>
        </w:rPr>
        <w:t>MED</w:t>
      </w:r>
      <w:r w:rsidRPr="00F854AB">
        <w:rPr>
          <w:szCs w:val="24"/>
        </w:rPr>
        <w:t xml:space="preserve"> (do not include days that did not have any interruptions).</w:t>
      </w:r>
    </w:p>
    <w:p w:rsidR="00401324" w:rsidRPr="00B740C1" w:rsidRDefault="00401324" w:rsidP="00401324">
      <w:pPr>
        <w:autoSpaceDE w:val="0"/>
        <w:autoSpaceDN w:val="0"/>
        <w:adjustRightInd w:val="0"/>
        <w:ind w:firstLine="720"/>
        <w:rPr>
          <w:szCs w:val="24"/>
        </w:rPr>
      </w:pPr>
      <w:r w:rsidRPr="00F854AB">
        <w:rPr>
          <w:szCs w:val="24"/>
        </w:rPr>
        <w:t>c) Take the natural logarithm (ln) of each daily SAIDI value in the data set.</w:t>
      </w:r>
    </w:p>
    <w:p w:rsidR="00401324" w:rsidRPr="00B740C1" w:rsidRDefault="00401324" w:rsidP="00401324">
      <w:pPr>
        <w:autoSpaceDE w:val="0"/>
        <w:autoSpaceDN w:val="0"/>
        <w:adjustRightInd w:val="0"/>
        <w:ind w:left="720"/>
        <w:rPr>
          <w:szCs w:val="24"/>
        </w:rPr>
      </w:pPr>
      <w:r w:rsidRPr="00F854AB">
        <w:rPr>
          <w:szCs w:val="24"/>
        </w:rPr>
        <w:t>d) Find a(Alpha), the average of the logarithms (also known as the log-average) of the data set.</w:t>
      </w:r>
    </w:p>
    <w:p w:rsidR="00401324" w:rsidRPr="00B740C1" w:rsidRDefault="00401324" w:rsidP="00401324">
      <w:pPr>
        <w:autoSpaceDE w:val="0"/>
        <w:autoSpaceDN w:val="0"/>
        <w:adjustRightInd w:val="0"/>
        <w:ind w:left="720"/>
        <w:rPr>
          <w:szCs w:val="24"/>
        </w:rPr>
      </w:pPr>
      <w:r w:rsidRPr="00F854AB">
        <w:rPr>
          <w:szCs w:val="24"/>
        </w:rPr>
        <w:t>e) Find b(Beta), the standard deviation of the logarithms (also known as the log-standard deviation) of the data set.</w:t>
      </w:r>
    </w:p>
    <w:p w:rsidR="00401324" w:rsidRPr="00B740C1" w:rsidRDefault="00401324" w:rsidP="00401324">
      <w:pPr>
        <w:autoSpaceDE w:val="0"/>
        <w:autoSpaceDN w:val="0"/>
        <w:adjustRightInd w:val="0"/>
        <w:ind w:firstLine="720"/>
        <w:rPr>
          <w:szCs w:val="24"/>
        </w:rPr>
      </w:pPr>
      <w:r w:rsidRPr="00F854AB">
        <w:rPr>
          <w:szCs w:val="24"/>
        </w:rPr>
        <w:t>f) Compute the major event day threshold, TMED, using equation (25).</w:t>
      </w:r>
    </w:p>
    <w:p w:rsidR="00401324" w:rsidRPr="00B740C1" w:rsidRDefault="00401324" w:rsidP="00401324">
      <w:pPr>
        <w:autoSpaceDE w:val="0"/>
        <w:autoSpaceDN w:val="0"/>
        <w:adjustRightInd w:val="0"/>
        <w:ind w:firstLine="720"/>
        <w:rPr>
          <w:rFonts w:ascii="Arial" w:hAnsi="Arial" w:cs="Arial"/>
          <w:szCs w:val="24"/>
        </w:rPr>
      </w:pPr>
    </w:p>
    <w:p w:rsidR="00401324" w:rsidRPr="00B740C1" w:rsidRDefault="00401324" w:rsidP="00401324">
      <w:pPr>
        <w:autoSpaceDE w:val="0"/>
        <w:autoSpaceDN w:val="0"/>
        <w:adjustRightInd w:val="0"/>
        <w:ind w:left="720" w:firstLine="720"/>
        <w:rPr>
          <w:szCs w:val="24"/>
        </w:rPr>
      </w:pPr>
      <w:r w:rsidRPr="00F854AB">
        <w:rPr>
          <w:szCs w:val="24"/>
        </w:rPr>
        <w:t>T</w:t>
      </w:r>
      <w:r w:rsidRPr="00F854AB">
        <w:rPr>
          <w:i/>
          <w:iCs/>
          <w:szCs w:val="24"/>
          <w:vertAlign w:val="subscript"/>
        </w:rPr>
        <w:t>MED</w:t>
      </w:r>
      <w:r w:rsidRPr="00F854AB">
        <w:rPr>
          <w:i/>
          <w:iCs/>
          <w:szCs w:val="24"/>
        </w:rPr>
        <w:t xml:space="preserve"> = e</w:t>
      </w:r>
      <w:r w:rsidRPr="00F854AB">
        <w:rPr>
          <w:rFonts w:ascii="Symbol" w:hAnsi="Symbol" w:cs="Symbol"/>
          <w:szCs w:val="24"/>
          <w:vertAlign w:val="superscript"/>
        </w:rPr>
        <w:t></w:t>
      </w:r>
      <w:r w:rsidRPr="00F854AB">
        <w:rPr>
          <w:rFonts w:ascii="GreekC" w:hAnsi="GreekC" w:cs="GreekC"/>
          <w:szCs w:val="24"/>
          <w:vertAlign w:val="superscript"/>
        </w:rPr>
        <w:t>a</w:t>
      </w:r>
      <w:r w:rsidRPr="00F854AB">
        <w:rPr>
          <w:rFonts w:ascii="Symbol" w:hAnsi="Symbol" w:cs="Symbol"/>
          <w:szCs w:val="24"/>
          <w:vertAlign w:val="superscript"/>
        </w:rPr>
        <w:t></w:t>
      </w:r>
      <w:r w:rsidRPr="00F854AB">
        <w:rPr>
          <w:rFonts w:ascii="Symbol" w:hAnsi="Symbol" w:cs="Symbol"/>
          <w:szCs w:val="24"/>
          <w:vertAlign w:val="superscript"/>
        </w:rPr>
        <w:t></w:t>
      </w:r>
      <w:r w:rsidRPr="00F854AB">
        <w:rPr>
          <w:szCs w:val="24"/>
          <w:vertAlign w:val="superscript"/>
        </w:rPr>
        <w:t xml:space="preserve">2.5 </w:t>
      </w:r>
      <w:r w:rsidRPr="00F854AB">
        <w:rPr>
          <w:rFonts w:ascii="GreekC" w:hAnsi="GreekC" w:cs="GreekC"/>
          <w:szCs w:val="24"/>
          <w:vertAlign w:val="superscript"/>
        </w:rPr>
        <w:t>b</w:t>
      </w:r>
      <w:r w:rsidRPr="00F854AB">
        <w:rPr>
          <w:rFonts w:ascii="Symbol" w:hAnsi="Symbol" w:cs="Symbol"/>
          <w:szCs w:val="24"/>
          <w:vertAlign w:val="superscript"/>
        </w:rPr>
        <w:t></w:t>
      </w:r>
      <w:r w:rsidRPr="00F854AB">
        <w:rPr>
          <w:rFonts w:ascii="Symbol" w:hAnsi="Symbol" w:cs="Symbol"/>
          <w:szCs w:val="24"/>
        </w:rPr>
        <w:tab/>
      </w:r>
      <w:r w:rsidRPr="00F854AB">
        <w:rPr>
          <w:rFonts w:ascii="Symbol" w:hAnsi="Symbol" w:cs="Symbol"/>
          <w:szCs w:val="24"/>
        </w:rPr>
        <w:tab/>
      </w:r>
      <w:r w:rsidRPr="00F854AB">
        <w:rPr>
          <w:rFonts w:ascii="Symbol" w:hAnsi="Symbol" w:cs="Symbol"/>
          <w:szCs w:val="24"/>
        </w:rPr>
        <w:tab/>
      </w:r>
      <w:r w:rsidRPr="00F854AB">
        <w:rPr>
          <w:rFonts w:ascii="Symbol" w:hAnsi="Symbol" w:cs="Symbol"/>
          <w:szCs w:val="24"/>
        </w:rPr>
        <w:tab/>
      </w:r>
      <w:r w:rsidRPr="00F854AB">
        <w:rPr>
          <w:rFonts w:ascii="Symbol" w:hAnsi="Symbol" w:cs="Symbol"/>
          <w:szCs w:val="24"/>
        </w:rPr>
        <w:tab/>
      </w:r>
      <w:r w:rsidRPr="00F854AB">
        <w:rPr>
          <w:rFonts w:ascii="Symbol" w:hAnsi="Symbol" w:cs="Symbol"/>
          <w:szCs w:val="24"/>
        </w:rPr>
        <w:tab/>
      </w:r>
      <w:r w:rsidRPr="00F854AB">
        <w:rPr>
          <w:rFonts w:ascii="Symbol" w:hAnsi="Symbol" w:cs="Symbol"/>
          <w:szCs w:val="24"/>
        </w:rPr>
        <w:tab/>
      </w:r>
      <w:r w:rsidRPr="00F854AB">
        <w:rPr>
          <w:rFonts w:ascii="Arial" w:hAnsi="Arial" w:cs="Arial"/>
          <w:szCs w:val="24"/>
        </w:rPr>
        <w:t>(25)</w:t>
      </w:r>
    </w:p>
    <w:p w:rsidR="00401324" w:rsidRPr="00B740C1" w:rsidRDefault="00401324" w:rsidP="00401324">
      <w:pPr>
        <w:autoSpaceDE w:val="0"/>
        <w:autoSpaceDN w:val="0"/>
        <w:adjustRightInd w:val="0"/>
        <w:rPr>
          <w:rFonts w:ascii="Arial" w:hAnsi="Arial" w:cs="Arial"/>
          <w:szCs w:val="24"/>
        </w:rPr>
      </w:pPr>
    </w:p>
    <w:p w:rsidR="00401324" w:rsidRPr="00B740C1" w:rsidRDefault="00401324" w:rsidP="002B06D1">
      <w:pPr>
        <w:autoSpaceDE w:val="0"/>
        <w:autoSpaceDN w:val="0"/>
        <w:adjustRightInd w:val="0"/>
        <w:ind w:left="720"/>
        <w:jc w:val="both"/>
        <w:rPr>
          <w:szCs w:val="24"/>
        </w:rPr>
      </w:pPr>
      <w:r w:rsidRPr="00B740C1">
        <w:rPr>
          <w:szCs w:val="24"/>
        </w:rPr>
        <w:t>g) Any day with daily SAIDI greater than the threshold value TMED that occurs during the subsequent</w:t>
      </w:r>
      <w:r w:rsidRPr="0030103F">
        <w:rPr>
          <w:szCs w:val="24"/>
        </w:rPr>
        <w:t xml:space="preserve"> reporting period is classified as a major event day. Activities that occur on days classified as major event days should be separately analyzed and reported.</w:t>
      </w:r>
    </w:p>
    <w:p w:rsidR="002B06D1" w:rsidRDefault="002B06D1"/>
    <w:p w:rsidR="004257AC" w:rsidRDefault="002B06D1">
      <w:pPr>
        <w:rPr>
          <w:rFonts w:ascii="Arial" w:hAnsi="Arial"/>
          <w:b/>
          <w:kern w:val="28"/>
          <w:sz w:val="28"/>
          <w:u w:val="single"/>
        </w:rPr>
      </w:pPr>
      <w:r>
        <w:t xml:space="preserve">When an event has reached the threshold to constitute a MED described in subpart (f) above, all outage incidents associated with the MED will be flagged in the Company’s Outage Management Tool.  As the Company further assesses damage in the field while making repairs, new subsequent outage incidents that were a result of the MED may be created as more accurate information is made available.  The subsequent incidents will be flagged and included as part of </w:t>
      </w:r>
      <w:r w:rsidR="00F744A0">
        <w:t xml:space="preserve">original outage event and </w:t>
      </w:r>
      <w:r>
        <w:t xml:space="preserve">MED.   </w:t>
      </w:r>
      <w:r w:rsidR="004257AC">
        <w:br w:type="page"/>
      </w:r>
    </w:p>
    <w:p w:rsidR="00EF4035" w:rsidRDefault="00EF4035" w:rsidP="00EF4035">
      <w:pPr>
        <w:pStyle w:val="Heading1"/>
      </w:pPr>
      <w:bookmarkStart w:id="129" w:name="_Toc3183406"/>
      <w:bookmarkStart w:id="130" w:name="_Toc97619608"/>
      <w:bookmarkStart w:id="131" w:name="_Toc98906775"/>
      <w:bookmarkStart w:id="132" w:name="_Toc165342450"/>
      <w:bookmarkStart w:id="133" w:name="_Toc193711018"/>
      <w:bookmarkStart w:id="134" w:name="_Toc227571613"/>
      <w:bookmarkStart w:id="135" w:name="_Toc435692505"/>
      <w:r>
        <w:lastRenderedPageBreak/>
        <w:t>Appendix C - Customer Reliability Complaints</w:t>
      </w:r>
      <w:bookmarkEnd w:id="129"/>
      <w:bookmarkEnd w:id="130"/>
      <w:bookmarkEnd w:id="131"/>
      <w:bookmarkEnd w:id="132"/>
      <w:bookmarkEnd w:id="133"/>
      <w:bookmarkEnd w:id="134"/>
      <w:bookmarkEnd w:id="135"/>
    </w:p>
    <w:p w:rsidR="00EF4035" w:rsidRDefault="00EF4035" w:rsidP="00EF4035">
      <w:pPr>
        <w:pStyle w:val="Heading5"/>
      </w:pPr>
      <w:bookmarkStart w:id="136" w:name="_Toc3183407"/>
      <w:bookmarkStart w:id="137" w:name="_Toc98906776"/>
      <w:bookmarkStart w:id="138" w:name="_Toc165342451"/>
      <w:bookmarkStart w:id="139" w:name="_Toc193711019"/>
      <w:bookmarkStart w:id="140" w:name="_Toc227571614"/>
    </w:p>
    <w:p w:rsidR="00EF4035" w:rsidRPr="00E061B7" w:rsidRDefault="00EF4035" w:rsidP="00EF4035">
      <w:pPr>
        <w:pStyle w:val="Heading5"/>
      </w:pPr>
      <w:r w:rsidRPr="00E061B7">
        <w:t xml:space="preserve">Commission </w:t>
      </w:r>
      <w:bookmarkEnd w:id="136"/>
      <w:bookmarkEnd w:id="137"/>
      <w:bookmarkEnd w:id="138"/>
      <w:bookmarkEnd w:id="139"/>
      <w:bookmarkEnd w:id="140"/>
      <w:r w:rsidRPr="00E061B7">
        <w:t xml:space="preserve">Complaints </w:t>
      </w:r>
    </w:p>
    <w:p w:rsidR="00EF4035" w:rsidRDefault="00EF4035" w:rsidP="00EF4035"/>
    <w:p w:rsidR="001C33DC" w:rsidRDefault="001C33DC" w:rsidP="00EF4035">
      <w:r>
        <w:t>Commission Complaints are complaints received by the Washington Utilities and Transportation Commission specifically related to the Company’s SQM Program, power quality, electric reliability</w:t>
      </w:r>
      <w:r w:rsidR="001B4F8C">
        <w:t>, or Major Events</w:t>
      </w:r>
      <w:r>
        <w:t>.</w:t>
      </w:r>
    </w:p>
    <w:p w:rsidR="001C33DC" w:rsidRDefault="001C33DC" w:rsidP="00EF4035"/>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5430"/>
        <w:gridCol w:w="1492"/>
        <w:gridCol w:w="1492"/>
      </w:tblGrid>
      <w:tr w:rsidR="001C33DC" w:rsidTr="00C9563B">
        <w:tc>
          <w:tcPr>
            <w:tcW w:w="530" w:type="pct"/>
          </w:tcPr>
          <w:p w:rsidR="001C33DC" w:rsidRDefault="001C33DC" w:rsidP="00813D8F">
            <w:pPr>
              <w:rPr>
                <w:b/>
                <w:bCs/>
                <w:sz w:val="28"/>
              </w:rPr>
            </w:pPr>
            <w:r>
              <w:rPr>
                <w:b/>
                <w:bCs/>
                <w:sz w:val="28"/>
              </w:rPr>
              <w:t>Customer / Feeder</w:t>
            </w:r>
          </w:p>
        </w:tc>
        <w:tc>
          <w:tcPr>
            <w:tcW w:w="2985" w:type="pct"/>
          </w:tcPr>
          <w:p w:rsidR="001C33DC" w:rsidRDefault="001C33DC" w:rsidP="00813D8F">
            <w:pPr>
              <w:rPr>
                <w:b/>
                <w:bCs/>
                <w:sz w:val="28"/>
              </w:rPr>
            </w:pPr>
            <w:r>
              <w:rPr>
                <w:b/>
                <w:bCs/>
                <w:sz w:val="28"/>
              </w:rPr>
              <w:t>Complaint</w:t>
            </w:r>
          </w:p>
        </w:tc>
        <w:tc>
          <w:tcPr>
            <w:tcW w:w="565" w:type="pct"/>
          </w:tcPr>
          <w:p w:rsidR="001C33DC" w:rsidRDefault="001C33DC" w:rsidP="00813D8F">
            <w:pPr>
              <w:rPr>
                <w:b/>
                <w:bCs/>
                <w:sz w:val="28"/>
              </w:rPr>
            </w:pPr>
            <w:r>
              <w:rPr>
                <w:b/>
                <w:bCs/>
                <w:sz w:val="28"/>
              </w:rPr>
              <w:t>Complaint Category</w:t>
            </w:r>
          </w:p>
        </w:tc>
        <w:tc>
          <w:tcPr>
            <w:tcW w:w="920" w:type="pct"/>
          </w:tcPr>
          <w:p w:rsidR="001C33DC" w:rsidRDefault="001C33DC" w:rsidP="00813D8F">
            <w:pPr>
              <w:rPr>
                <w:b/>
                <w:bCs/>
                <w:sz w:val="28"/>
              </w:rPr>
            </w:pPr>
            <w:r>
              <w:rPr>
                <w:b/>
                <w:bCs/>
                <w:sz w:val="28"/>
              </w:rPr>
              <w:t>Resolution</w:t>
            </w:r>
          </w:p>
        </w:tc>
      </w:tr>
      <w:tr w:rsidR="001C33DC" w:rsidTr="00C9563B">
        <w:trPr>
          <w:trHeight w:val="1008"/>
        </w:trPr>
        <w:tc>
          <w:tcPr>
            <w:tcW w:w="530" w:type="pct"/>
          </w:tcPr>
          <w:p w:rsidR="001C33DC" w:rsidRDefault="001C33DC" w:rsidP="00813D8F">
            <w:pPr>
              <w:rPr>
                <w:sz w:val="20"/>
              </w:rPr>
            </w:pPr>
          </w:p>
        </w:tc>
        <w:tc>
          <w:tcPr>
            <w:tcW w:w="2985" w:type="pct"/>
          </w:tcPr>
          <w:p w:rsidR="001C33DC" w:rsidRPr="00954795" w:rsidRDefault="001C33DC" w:rsidP="00813D8F">
            <w:pPr>
              <w:pStyle w:val="Footer"/>
              <w:rPr>
                <w:sz w:val="20"/>
              </w:rPr>
            </w:pPr>
          </w:p>
        </w:tc>
        <w:tc>
          <w:tcPr>
            <w:tcW w:w="565" w:type="pct"/>
          </w:tcPr>
          <w:p w:rsidR="001C33DC" w:rsidRDefault="001C33DC" w:rsidP="00813D8F">
            <w:pPr>
              <w:rPr>
                <w:sz w:val="20"/>
              </w:rPr>
            </w:pPr>
          </w:p>
        </w:tc>
        <w:tc>
          <w:tcPr>
            <w:tcW w:w="920" w:type="pct"/>
          </w:tcPr>
          <w:p w:rsidR="001C33DC" w:rsidRDefault="001C33DC" w:rsidP="00813D8F">
            <w:pPr>
              <w:rPr>
                <w:sz w:val="20"/>
              </w:rPr>
            </w:pPr>
          </w:p>
        </w:tc>
      </w:tr>
    </w:tbl>
    <w:p w:rsidR="00EF4035" w:rsidRDefault="00EF4035" w:rsidP="00EF4035"/>
    <w:p w:rsidR="001C33DC" w:rsidRDefault="001C33DC" w:rsidP="00EF4035"/>
    <w:p w:rsidR="00EF4035" w:rsidRPr="004247F3" w:rsidRDefault="00EF4035" w:rsidP="00EF4035">
      <w:pPr>
        <w:pStyle w:val="Heading5"/>
        <w:rPr>
          <w:color w:val="FF0000"/>
        </w:rPr>
      </w:pPr>
      <w:bookmarkStart w:id="141" w:name="_Toc3183408"/>
      <w:bookmarkStart w:id="142" w:name="_Toc98906777"/>
      <w:bookmarkStart w:id="143" w:name="_Toc165342452"/>
      <w:bookmarkStart w:id="144" w:name="_Toc193711020"/>
      <w:bookmarkStart w:id="145" w:name="_Toc227571615"/>
      <w:r>
        <w:t>Customer Complaints</w:t>
      </w:r>
      <w:bookmarkEnd w:id="141"/>
      <w:bookmarkEnd w:id="142"/>
      <w:bookmarkEnd w:id="143"/>
      <w:bookmarkEnd w:id="144"/>
      <w:bookmarkEnd w:id="145"/>
    </w:p>
    <w:p w:rsidR="00AE2186" w:rsidRDefault="00AE2186" w:rsidP="00AE2186"/>
    <w:p w:rsidR="00EF4035" w:rsidRDefault="001C33DC" w:rsidP="00AE2186">
      <w:pPr>
        <w:rPr>
          <w:b/>
        </w:rPr>
      </w:pPr>
      <w:r>
        <w:t>Customer</w:t>
      </w:r>
      <w:r w:rsidRPr="001C33DC">
        <w:t xml:space="preserve"> Complaints are complaints received by the </w:t>
      </w:r>
      <w:r>
        <w:t>Company</w:t>
      </w:r>
      <w:r w:rsidRPr="001C33DC">
        <w:t xml:space="preserve"> specifically related to the Company’s SQM Program, power quality, electric reliability</w:t>
      </w:r>
      <w:r w:rsidR="001B4F8C">
        <w:t>, or Major Events.</w:t>
      </w:r>
    </w:p>
    <w:p w:rsidR="00C9563B" w:rsidRDefault="00C9563B" w:rsidP="00C9563B"/>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5305"/>
        <w:gridCol w:w="1530"/>
        <w:gridCol w:w="1530"/>
      </w:tblGrid>
      <w:tr w:rsidR="00C9563B" w:rsidTr="00C9563B">
        <w:trPr>
          <w:trHeight w:val="1155"/>
        </w:trPr>
        <w:tc>
          <w:tcPr>
            <w:tcW w:w="1460" w:type="dxa"/>
            <w:shd w:val="clear" w:color="auto" w:fill="auto"/>
            <w:hideMark/>
          </w:tcPr>
          <w:p w:rsidR="00C9563B" w:rsidRDefault="00C9563B" w:rsidP="00813D8F">
            <w:pPr>
              <w:rPr>
                <w:b/>
                <w:bCs/>
                <w:color w:val="000000"/>
                <w:sz w:val="28"/>
                <w:szCs w:val="28"/>
              </w:rPr>
            </w:pPr>
            <w:r>
              <w:rPr>
                <w:b/>
                <w:bCs/>
                <w:color w:val="000000"/>
                <w:sz w:val="28"/>
                <w:szCs w:val="28"/>
              </w:rPr>
              <w:t>Office /State /Feeder</w:t>
            </w:r>
          </w:p>
        </w:tc>
        <w:tc>
          <w:tcPr>
            <w:tcW w:w="5305" w:type="dxa"/>
            <w:shd w:val="clear" w:color="auto" w:fill="auto"/>
            <w:hideMark/>
          </w:tcPr>
          <w:p w:rsidR="00C9563B" w:rsidRDefault="00C9563B" w:rsidP="00813D8F">
            <w:pPr>
              <w:rPr>
                <w:b/>
                <w:bCs/>
                <w:color w:val="000000"/>
                <w:sz w:val="28"/>
                <w:szCs w:val="28"/>
              </w:rPr>
            </w:pPr>
            <w:r>
              <w:rPr>
                <w:b/>
                <w:bCs/>
                <w:color w:val="000000"/>
                <w:sz w:val="28"/>
                <w:szCs w:val="28"/>
              </w:rPr>
              <w:t>Complaint</w:t>
            </w:r>
          </w:p>
        </w:tc>
        <w:tc>
          <w:tcPr>
            <w:tcW w:w="1530" w:type="dxa"/>
            <w:shd w:val="clear" w:color="auto" w:fill="auto"/>
            <w:hideMark/>
          </w:tcPr>
          <w:p w:rsidR="00C9563B" w:rsidRDefault="00C9563B" w:rsidP="00813D8F">
            <w:pPr>
              <w:rPr>
                <w:b/>
                <w:bCs/>
                <w:color w:val="000000"/>
                <w:sz w:val="28"/>
                <w:szCs w:val="28"/>
              </w:rPr>
            </w:pPr>
            <w:r>
              <w:rPr>
                <w:b/>
                <w:bCs/>
                <w:color w:val="000000"/>
                <w:sz w:val="28"/>
                <w:szCs w:val="28"/>
              </w:rPr>
              <w:t>Complaint Category</w:t>
            </w:r>
          </w:p>
        </w:tc>
        <w:tc>
          <w:tcPr>
            <w:tcW w:w="1530" w:type="dxa"/>
            <w:shd w:val="clear" w:color="auto" w:fill="auto"/>
            <w:hideMark/>
          </w:tcPr>
          <w:p w:rsidR="00C9563B" w:rsidRDefault="00C9563B" w:rsidP="00813D8F">
            <w:pPr>
              <w:rPr>
                <w:b/>
                <w:bCs/>
                <w:color w:val="000000"/>
                <w:sz w:val="28"/>
                <w:szCs w:val="28"/>
              </w:rPr>
            </w:pPr>
            <w:r>
              <w:rPr>
                <w:b/>
                <w:bCs/>
                <w:color w:val="000000"/>
                <w:sz w:val="28"/>
                <w:szCs w:val="28"/>
              </w:rPr>
              <w:t>Resolution</w:t>
            </w:r>
          </w:p>
        </w:tc>
      </w:tr>
      <w:tr w:rsidR="00C9563B" w:rsidTr="00C9563B">
        <w:trPr>
          <w:trHeight w:val="315"/>
        </w:trPr>
        <w:tc>
          <w:tcPr>
            <w:tcW w:w="1460" w:type="dxa"/>
            <w:shd w:val="clear" w:color="auto" w:fill="auto"/>
            <w:noWrap/>
            <w:hideMark/>
          </w:tcPr>
          <w:p w:rsidR="00C9563B" w:rsidRDefault="00C9563B" w:rsidP="00813D8F">
            <w:pPr>
              <w:rPr>
                <w:rFonts w:ascii="Calibri" w:hAnsi="Calibri"/>
                <w:color w:val="000000"/>
                <w:sz w:val="20"/>
              </w:rPr>
            </w:pPr>
          </w:p>
        </w:tc>
        <w:tc>
          <w:tcPr>
            <w:tcW w:w="5305" w:type="dxa"/>
            <w:shd w:val="clear" w:color="auto" w:fill="auto"/>
            <w:hideMark/>
          </w:tcPr>
          <w:p w:rsidR="00C9563B" w:rsidRDefault="00C9563B" w:rsidP="00813D8F">
            <w:pPr>
              <w:rPr>
                <w:rFonts w:ascii="Calibri" w:hAnsi="Calibri"/>
                <w:color w:val="000000"/>
                <w:sz w:val="20"/>
              </w:rPr>
            </w:pPr>
          </w:p>
        </w:tc>
        <w:tc>
          <w:tcPr>
            <w:tcW w:w="1530" w:type="dxa"/>
            <w:shd w:val="clear" w:color="auto" w:fill="auto"/>
            <w:hideMark/>
          </w:tcPr>
          <w:p w:rsidR="00C9563B" w:rsidRDefault="00C9563B" w:rsidP="00813D8F">
            <w:pPr>
              <w:rPr>
                <w:color w:val="000000"/>
                <w:sz w:val="20"/>
              </w:rPr>
            </w:pPr>
          </w:p>
        </w:tc>
        <w:tc>
          <w:tcPr>
            <w:tcW w:w="1530" w:type="dxa"/>
            <w:shd w:val="clear" w:color="auto" w:fill="auto"/>
            <w:hideMark/>
          </w:tcPr>
          <w:p w:rsidR="00C9563B" w:rsidRDefault="00C9563B" w:rsidP="00813D8F">
            <w:pPr>
              <w:ind w:firstLineChars="100" w:firstLine="200"/>
              <w:rPr>
                <w:rFonts w:ascii="Calibri" w:hAnsi="Calibri"/>
                <w:color w:val="000000"/>
                <w:sz w:val="20"/>
              </w:rPr>
            </w:pPr>
          </w:p>
        </w:tc>
      </w:tr>
    </w:tbl>
    <w:p w:rsidR="00C9563B" w:rsidRPr="00C9563B" w:rsidRDefault="00C9563B" w:rsidP="00C9563B"/>
    <w:p w:rsidR="00EF4035" w:rsidRDefault="00EF4035">
      <w:pPr>
        <w:rPr>
          <w:rFonts w:ascii="Arial" w:hAnsi="Arial"/>
          <w:b/>
          <w:kern w:val="28"/>
          <w:sz w:val="28"/>
          <w:u w:val="single"/>
        </w:rPr>
      </w:pPr>
      <w:r>
        <w:br w:type="page"/>
      </w:r>
    </w:p>
    <w:p w:rsidR="00401324" w:rsidRDefault="00401324" w:rsidP="00401324">
      <w:pPr>
        <w:pStyle w:val="Heading1"/>
      </w:pPr>
      <w:bookmarkStart w:id="146" w:name="_Toc435692506"/>
      <w:r>
        <w:lastRenderedPageBreak/>
        <w:t xml:space="preserve">Appendix </w:t>
      </w:r>
      <w:r w:rsidR="00EF4035">
        <w:t>D</w:t>
      </w:r>
      <w:r w:rsidRPr="002A4EB3">
        <w:t xml:space="preserve"> –</w:t>
      </w:r>
      <w:r>
        <w:t xml:space="preserve"> </w:t>
      </w:r>
      <w:r w:rsidRPr="002A4EB3">
        <w:t xml:space="preserve">SAIFI </w:t>
      </w:r>
      <w:r>
        <w:t xml:space="preserve">and SAIDI </w:t>
      </w:r>
      <w:r w:rsidRPr="002A4EB3">
        <w:t>Historical Summary</w:t>
      </w:r>
      <w:bookmarkEnd w:id="146"/>
      <w:r w:rsidRPr="002A4EB3">
        <w:t xml:space="preserve"> </w:t>
      </w:r>
    </w:p>
    <w:p w:rsidR="00401324" w:rsidRDefault="00401324" w:rsidP="00085A4C">
      <w:pPr>
        <w:autoSpaceDE w:val="0"/>
        <w:autoSpaceDN w:val="0"/>
        <w:adjustRightInd w:val="0"/>
        <w:rPr>
          <w:rFonts w:ascii="Arial" w:hAnsi="Arial" w:cs="Arial"/>
          <w:color w:val="000000"/>
          <w:sz w:val="23"/>
          <w:szCs w:val="23"/>
        </w:rPr>
      </w:pPr>
    </w:p>
    <w:p w:rsidR="00C71B61" w:rsidRDefault="00C71B61">
      <w:pPr>
        <w:rPr>
          <w:rFonts w:ascii="Arial" w:hAnsi="Arial" w:cs="Arial"/>
          <w:color w:val="000000"/>
          <w:sz w:val="23"/>
          <w:szCs w:val="23"/>
        </w:rPr>
      </w:pPr>
      <w:r w:rsidRPr="00C71B61">
        <w:rPr>
          <w:rFonts w:ascii="Arial" w:hAnsi="Arial" w:cs="Arial"/>
          <w:color w:val="000000"/>
          <w:sz w:val="23"/>
          <w:szCs w:val="23"/>
        </w:rPr>
        <w:t>2004 - 201</w:t>
      </w:r>
      <w:r>
        <w:rPr>
          <w:rFonts w:ascii="Arial" w:hAnsi="Arial" w:cs="Arial"/>
          <w:color w:val="000000"/>
          <w:sz w:val="23"/>
          <w:szCs w:val="23"/>
        </w:rPr>
        <w:t>4</w:t>
      </w:r>
      <w:r w:rsidRPr="00C71B61">
        <w:rPr>
          <w:rFonts w:ascii="Arial" w:hAnsi="Arial" w:cs="Arial"/>
          <w:color w:val="000000"/>
          <w:sz w:val="23"/>
          <w:szCs w:val="23"/>
        </w:rPr>
        <w:t xml:space="preserve"> AVA SAIFI Performance by Measurement by Year</w:t>
      </w:r>
    </w:p>
    <w:p w:rsidR="00C71B61" w:rsidRDefault="00C71B61">
      <w:pPr>
        <w:rPr>
          <w:rFonts w:ascii="Arial" w:hAnsi="Arial" w:cs="Arial"/>
          <w:color w:val="000000"/>
          <w:sz w:val="23"/>
          <w:szCs w:val="23"/>
        </w:rPr>
      </w:pPr>
    </w:p>
    <w:tbl>
      <w:tblPr>
        <w:tblW w:w="9980" w:type="dxa"/>
        <w:tblInd w:w="103" w:type="dxa"/>
        <w:tblLook w:val="04A0"/>
      </w:tblPr>
      <w:tblGrid>
        <w:gridCol w:w="800"/>
        <w:gridCol w:w="1540"/>
        <w:gridCol w:w="1720"/>
        <w:gridCol w:w="1660"/>
        <w:gridCol w:w="1700"/>
        <w:gridCol w:w="1600"/>
        <w:gridCol w:w="984"/>
      </w:tblGrid>
      <w:tr w:rsidR="00C71B61" w:rsidRPr="00C71B61" w:rsidTr="00C71B61">
        <w:trPr>
          <w:trHeight w:val="1125"/>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Year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C71B61" w:rsidRPr="00C71B61" w:rsidRDefault="00C71B61" w:rsidP="00C71B61">
            <w:pPr>
              <w:jc w:val="center"/>
              <w:rPr>
                <w:rFonts w:ascii="Arial" w:hAnsi="Arial" w:cs="Arial"/>
                <w:sz w:val="20"/>
              </w:rPr>
            </w:pPr>
            <w:r w:rsidRPr="00C71B61">
              <w:rPr>
                <w:rFonts w:ascii="Arial" w:hAnsi="Arial" w:cs="Arial"/>
                <w:sz w:val="20"/>
              </w:rPr>
              <w:t>Calendar Year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C71B61" w:rsidRPr="00C71B61" w:rsidRDefault="00C71B61" w:rsidP="00C71B61">
            <w:pPr>
              <w:jc w:val="center"/>
              <w:rPr>
                <w:rFonts w:ascii="Arial" w:hAnsi="Arial" w:cs="Arial"/>
                <w:sz w:val="20"/>
              </w:rPr>
            </w:pPr>
            <w:r w:rsidRPr="00C71B61">
              <w:rPr>
                <w:rFonts w:ascii="Arial" w:hAnsi="Arial" w:cs="Arial"/>
                <w:sz w:val="20"/>
              </w:rPr>
              <w:t>Annual IEEE SAIFI Excluding Daily Results over TMED</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C71B61" w:rsidRPr="00C71B61" w:rsidRDefault="00C71B61" w:rsidP="00C71B61">
            <w:pPr>
              <w:jc w:val="center"/>
              <w:rPr>
                <w:rFonts w:ascii="Arial" w:hAnsi="Arial" w:cs="Arial"/>
                <w:sz w:val="20"/>
              </w:rPr>
            </w:pPr>
            <w:r w:rsidRPr="00C71B61">
              <w:rPr>
                <w:rFonts w:ascii="Arial" w:hAnsi="Arial" w:cs="Arial"/>
                <w:sz w:val="20"/>
              </w:rPr>
              <w:t>Annual Total SAIFI Results: All Minutes w/o Exclusion</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C71B61" w:rsidRPr="00C71B61" w:rsidRDefault="00C71B61" w:rsidP="00C71B61">
            <w:pPr>
              <w:jc w:val="center"/>
              <w:rPr>
                <w:rFonts w:ascii="Arial" w:hAnsi="Arial" w:cs="Arial"/>
                <w:sz w:val="20"/>
              </w:rPr>
            </w:pPr>
            <w:r w:rsidRPr="00C71B61">
              <w:rPr>
                <w:rFonts w:ascii="Arial" w:hAnsi="Arial" w:cs="Arial"/>
                <w:sz w:val="20"/>
              </w:rPr>
              <w:t>Annual Total SAIFI Results Excluding 2006</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C71B61" w:rsidRPr="00C71B61" w:rsidRDefault="00C71B61" w:rsidP="00C71B61">
            <w:pPr>
              <w:jc w:val="center"/>
              <w:rPr>
                <w:rFonts w:ascii="Arial" w:hAnsi="Arial" w:cs="Arial"/>
                <w:sz w:val="20"/>
              </w:rPr>
            </w:pPr>
            <w:r w:rsidRPr="00C71B61">
              <w:rPr>
                <w:rFonts w:ascii="Arial" w:hAnsi="Arial" w:cs="Arial"/>
                <w:sz w:val="20"/>
              </w:rPr>
              <w:t>Total SAIFI 5-Year Rolling Annual Average Excluding 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70"/>
        </w:trPr>
        <w:tc>
          <w:tcPr>
            <w:tcW w:w="800" w:type="dxa"/>
            <w:tcBorders>
              <w:top w:val="nil"/>
              <w:left w:val="single" w:sz="4" w:space="0" w:color="auto"/>
              <w:bottom w:val="nil"/>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1</w:t>
            </w:r>
          </w:p>
        </w:tc>
        <w:tc>
          <w:tcPr>
            <w:tcW w:w="1540" w:type="dxa"/>
            <w:tcBorders>
              <w:top w:val="nil"/>
              <w:left w:val="nil"/>
              <w:bottom w:val="nil"/>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2004</w:t>
            </w:r>
          </w:p>
        </w:tc>
        <w:tc>
          <w:tcPr>
            <w:tcW w:w="1720" w:type="dxa"/>
            <w:tcBorders>
              <w:top w:val="nil"/>
              <w:left w:val="nil"/>
              <w:bottom w:val="nil"/>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1.01</w:t>
            </w:r>
          </w:p>
        </w:tc>
        <w:tc>
          <w:tcPr>
            <w:tcW w:w="1660" w:type="dxa"/>
            <w:tcBorders>
              <w:top w:val="nil"/>
              <w:left w:val="nil"/>
              <w:bottom w:val="nil"/>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1.13</w:t>
            </w:r>
          </w:p>
        </w:tc>
        <w:tc>
          <w:tcPr>
            <w:tcW w:w="1700" w:type="dxa"/>
            <w:tcBorders>
              <w:top w:val="nil"/>
              <w:left w:val="nil"/>
              <w:bottom w:val="nil"/>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1.13</w:t>
            </w:r>
          </w:p>
        </w:tc>
        <w:tc>
          <w:tcPr>
            <w:tcW w:w="1600" w:type="dxa"/>
            <w:tcBorders>
              <w:top w:val="nil"/>
              <w:left w:val="nil"/>
              <w:bottom w:val="nil"/>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1.13</w:t>
            </w:r>
          </w:p>
        </w:tc>
        <w:tc>
          <w:tcPr>
            <w:tcW w:w="960" w:type="dxa"/>
            <w:tcBorders>
              <w:top w:val="nil"/>
              <w:left w:val="nil"/>
              <w:bottom w:val="nil"/>
              <w:right w:val="single" w:sz="4" w:space="0" w:color="auto"/>
            </w:tcBorders>
            <w:shd w:val="clear" w:color="auto" w:fill="auto"/>
            <w:noWrap/>
            <w:vAlign w:val="bottom"/>
            <w:hideMark/>
          </w:tcPr>
          <w:p w:rsidR="00C71B61" w:rsidRPr="00C71B61" w:rsidRDefault="00C71B61" w:rsidP="00C71B61">
            <w:pPr>
              <w:rPr>
                <w:rFonts w:ascii="Arial" w:hAnsi="Arial" w:cs="Arial"/>
                <w:b/>
                <w:bCs/>
                <w:sz w:val="20"/>
              </w:rPr>
            </w:pPr>
            <w:r w:rsidRPr="00C71B61">
              <w:rPr>
                <w:rFonts w:ascii="Arial" w:hAnsi="Arial" w:cs="Arial"/>
                <w:b/>
                <w:bCs/>
                <w:sz w:val="20"/>
              </w:rPr>
              <w:t> </w:t>
            </w:r>
          </w:p>
        </w:tc>
      </w:tr>
      <w:tr w:rsidR="00C71B61" w:rsidRPr="00C71B61" w:rsidTr="00C71B61">
        <w:trPr>
          <w:trHeight w:val="270"/>
        </w:trPr>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2005</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0.97</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1.17</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1.17</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Baseline</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3</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2006</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1.29</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1.91</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b/>
                <w:bCs/>
                <w:sz w:val="20"/>
              </w:rPr>
            </w:pPr>
            <w:r w:rsidRPr="00C71B61">
              <w:rPr>
                <w:rFonts w:ascii="Arial" w:hAnsi="Arial" w:cs="Arial"/>
                <w:b/>
                <w:bCs/>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4</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2007</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1.14</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1.40</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1.40</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b/>
                <w:bCs/>
                <w:sz w:val="20"/>
              </w:rPr>
            </w:pPr>
            <w:r w:rsidRPr="00C71B61">
              <w:rPr>
                <w:rFonts w:ascii="Arial" w:hAnsi="Arial" w:cs="Arial"/>
                <w:b/>
                <w:bCs/>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5</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2008</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1.40</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1.60</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1.60</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1.33</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b/>
                <w:bCs/>
                <w:sz w:val="20"/>
              </w:rPr>
            </w:pPr>
            <w:r w:rsidRPr="00C71B61">
              <w:rPr>
                <w:rFonts w:ascii="Arial" w:hAnsi="Arial" w:cs="Arial"/>
                <w:b/>
                <w:bCs/>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6</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2009</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1.52</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1.52</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1.52</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1.36</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b/>
                <w:bCs/>
                <w:sz w:val="20"/>
              </w:rPr>
            </w:pPr>
            <w:r w:rsidRPr="00C71B61">
              <w:rPr>
                <w:rFonts w:ascii="Arial" w:hAnsi="Arial" w:cs="Arial"/>
                <w:b/>
                <w:bCs/>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7</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2010</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1.23</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1.49</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1.49</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1.44</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8</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2011</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1.08</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1.08</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1.08</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1.42</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9</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2012</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1.14</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1.25</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1.25</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1.39</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10</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2013</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1.05</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1.21</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1.21</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1.31</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7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11</w:t>
            </w:r>
          </w:p>
        </w:tc>
        <w:tc>
          <w:tcPr>
            <w:tcW w:w="154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right"/>
              <w:rPr>
                <w:rFonts w:ascii="Arial" w:hAnsi="Arial" w:cs="Arial"/>
                <w:sz w:val="20"/>
              </w:rPr>
            </w:pPr>
            <w:r w:rsidRPr="00C71B61">
              <w:rPr>
                <w:rFonts w:ascii="Arial" w:hAnsi="Arial" w:cs="Arial"/>
                <w:sz w:val="20"/>
              </w:rPr>
              <w:t>2014</w:t>
            </w:r>
          </w:p>
        </w:tc>
        <w:tc>
          <w:tcPr>
            <w:tcW w:w="172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1.11</w:t>
            </w:r>
          </w:p>
        </w:tc>
        <w:tc>
          <w:tcPr>
            <w:tcW w:w="16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1.56</w:t>
            </w:r>
          </w:p>
        </w:tc>
        <w:tc>
          <w:tcPr>
            <w:tcW w:w="17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1.56</w:t>
            </w:r>
          </w:p>
        </w:tc>
        <w:tc>
          <w:tcPr>
            <w:tcW w:w="160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1.32</w:t>
            </w:r>
          </w:p>
        </w:tc>
        <w:tc>
          <w:tcPr>
            <w:tcW w:w="960" w:type="dxa"/>
            <w:tcBorders>
              <w:top w:val="nil"/>
              <w:left w:val="nil"/>
              <w:bottom w:val="single" w:sz="4"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r>
      <w:tr w:rsidR="00C71B61" w:rsidRPr="00C71B61" w:rsidTr="00C71B61">
        <w:trPr>
          <w:trHeight w:val="270"/>
        </w:trPr>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jc w:val="center"/>
              <w:rPr>
                <w:rFonts w:ascii="Arial" w:hAnsi="Arial" w:cs="Arial"/>
                <w:sz w:val="20"/>
              </w:rPr>
            </w:pPr>
            <w:r w:rsidRPr="00C71B61">
              <w:rPr>
                <w:rFonts w:ascii="Arial" w:hAnsi="Arial" w:cs="Arial"/>
                <w:sz w:val="20"/>
              </w:rPr>
              <w:t>1.17</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71B61" w:rsidRPr="00C71B61" w:rsidRDefault="00C71B61" w:rsidP="00C71B61">
            <w:pPr>
              <w:rPr>
                <w:rFonts w:ascii="Arial" w:hAnsi="Arial" w:cs="Arial"/>
                <w:sz w:val="20"/>
              </w:rPr>
            </w:pPr>
            <w:r w:rsidRPr="00C71B61">
              <w:rPr>
                <w:rFonts w:ascii="Arial" w:hAnsi="Arial" w:cs="Arial"/>
                <w:sz w:val="20"/>
              </w:rPr>
              <w:t>Target</w:t>
            </w:r>
          </w:p>
        </w:tc>
      </w:tr>
    </w:tbl>
    <w:p w:rsidR="00C71B61" w:rsidRDefault="00C71B61">
      <w:pPr>
        <w:rPr>
          <w:rFonts w:ascii="Arial" w:hAnsi="Arial" w:cs="Arial"/>
          <w:color w:val="000000"/>
          <w:sz w:val="23"/>
          <w:szCs w:val="23"/>
        </w:rPr>
      </w:pPr>
    </w:p>
    <w:p w:rsidR="00606EA0" w:rsidRDefault="00C71B61">
      <w:pPr>
        <w:rPr>
          <w:rFonts w:ascii="Arial" w:hAnsi="Arial" w:cs="Arial"/>
          <w:color w:val="000000"/>
          <w:sz w:val="23"/>
          <w:szCs w:val="23"/>
        </w:rPr>
      </w:pPr>
      <w:r w:rsidRPr="00C71B61">
        <w:rPr>
          <w:rFonts w:ascii="Arial" w:hAnsi="Arial" w:cs="Arial"/>
          <w:noProof/>
          <w:color w:val="000000"/>
          <w:sz w:val="23"/>
          <w:szCs w:val="23"/>
        </w:rPr>
        <w:drawing>
          <wp:inline distT="0" distB="0" distL="0" distR="0">
            <wp:extent cx="5943600" cy="386207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606EA0">
        <w:rPr>
          <w:rFonts w:ascii="Arial" w:hAnsi="Arial" w:cs="Arial"/>
          <w:color w:val="000000"/>
          <w:sz w:val="23"/>
          <w:szCs w:val="23"/>
        </w:rPr>
        <w:br w:type="page"/>
      </w:r>
    </w:p>
    <w:p w:rsidR="00606EA0" w:rsidRDefault="00606EA0" w:rsidP="00085A4C">
      <w:pPr>
        <w:autoSpaceDE w:val="0"/>
        <w:autoSpaceDN w:val="0"/>
        <w:adjustRightInd w:val="0"/>
        <w:rPr>
          <w:rFonts w:ascii="Arial" w:hAnsi="Arial" w:cs="Arial"/>
          <w:color w:val="000000"/>
          <w:sz w:val="23"/>
          <w:szCs w:val="23"/>
        </w:rPr>
      </w:pPr>
      <w:r w:rsidRPr="00606EA0">
        <w:rPr>
          <w:rFonts w:ascii="Arial" w:hAnsi="Arial" w:cs="Arial"/>
          <w:color w:val="000000"/>
          <w:sz w:val="23"/>
          <w:szCs w:val="23"/>
        </w:rPr>
        <w:lastRenderedPageBreak/>
        <w:t>2004-2014 AVA SAIDI Performance by Measurement by Year</w:t>
      </w:r>
    </w:p>
    <w:p w:rsidR="00606EA0" w:rsidRDefault="00606EA0" w:rsidP="00085A4C">
      <w:pPr>
        <w:autoSpaceDE w:val="0"/>
        <w:autoSpaceDN w:val="0"/>
        <w:adjustRightInd w:val="0"/>
        <w:rPr>
          <w:rFonts w:ascii="Arial" w:hAnsi="Arial" w:cs="Arial"/>
          <w:color w:val="000000"/>
          <w:sz w:val="23"/>
          <w:szCs w:val="23"/>
        </w:rPr>
      </w:pPr>
    </w:p>
    <w:tbl>
      <w:tblPr>
        <w:tblW w:w="10420" w:type="dxa"/>
        <w:tblInd w:w="103" w:type="dxa"/>
        <w:tblLook w:val="04A0"/>
      </w:tblPr>
      <w:tblGrid>
        <w:gridCol w:w="700"/>
        <w:gridCol w:w="1540"/>
        <w:gridCol w:w="1720"/>
        <w:gridCol w:w="1760"/>
        <w:gridCol w:w="1700"/>
        <w:gridCol w:w="1820"/>
        <w:gridCol w:w="1180"/>
      </w:tblGrid>
      <w:tr w:rsidR="00606EA0" w:rsidRPr="00606EA0" w:rsidTr="00606EA0">
        <w:trPr>
          <w:trHeight w:val="11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Year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606EA0" w:rsidRPr="00606EA0" w:rsidRDefault="00606EA0" w:rsidP="00606EA0">
            <w:pPr>
              <w:jc w:val="center"/>
              <w:rPr>
                <w:rFonts w:ascii="Arial" w:hAnsi="Arial" w:cs="Arial"/>
                <w:sz w:val="20"/>
              </w:rPr>
            </w:pPr>
            <w:r w:rsidRPr="00606EA0">
              <w:rPr>
                <w:rFonts w:ascii="Arial" w:hAnsi="Arial" w:cs="Arial"/>
                <w:sz w:val="20"/>
              </w:rPr>
              <w:t>Calendar Year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606EA0" w:rsidRPr="00606EA0" w:rsidRDefault="00606EA0" w:rsidP="00606EA0">
            <w:pPr>
              <w:jc w:val="center"/>
              <w:rPr>
                <w:rFonts w:ascii="Arial" w:hAnsi="Arial" w:cs="Arial"/>
                <w:sz w:val="20"/>
              </w:rPr>
            </w:pPr>
            <w:r w:rsidRPr="00606EA0">
              <w:rPr>
                <w:rFonts w:ascii="Arial" w:hAnsi="Arial" w:cs="Arial"/>
                <w:sz w:val="20"/>
              </w:rPr>
              <w:t>Annual IEEE SAIDI Excluding Daily Results over T</w:t>
            </w:r>
            <w:r w:rsidRPr="00606EA0">
              <w:rPr>
                <w:rFonts w:ascii="Arial" w:hAnsi="Arial" w:cs="Arial"/>
                <w:sz w:val="20"/>
                <w:vertAlign w:val="subscript"/>
              </w:rPr>
              <w:t>MED</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606EA0" w:rsidRPr="00606EA0" w:rsidRDefault="00606EA0" w:rsidP="00606EA0">
            <w:pPr>
              <w:jc w:val="center"/>
              <w:rPr>
                <w:rFonts w:ascii="Arial" w:hAnsi="Arial" w:cs="Arial"/>
                <w:sz w:val="20"/>
              </w:rPr>
            </w:pPr>
            <w:r w:rsidRPr="00606EA0">
              <w:rPr>
                <w:rFonts w:ascii="Arial" w:hAnsi="Arial" w:cs="Arial"/>
                <w:sz w:val="20"/>
              </w:rPr>
              <w:t>Annual Total SAIDI Results: All Minutes w/o Exclusion</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606EA0" w:rsidRPr="00606EA0" w:rsidRDefault="00606EA0" w:rsidP="00606EA0">
            <w:pPr>
              <w:jc w:val="center"/>
              <w:rPr>
                <w:rFonts w:ascii="Arial" w:hAnsi="Arial" w:cs="Arial"/>
                <w:sz w:val="20"/>
              </w:rPr>
            </w:pPr>
            <w:r w:rsidRPr="00606EA0">
              <w:rPr>
                <w:rFonts w:ascii="Arial" w:hAnsi="Arial" w:cs="Arial"/>
                <w:sz w:val="20"/>
              </w:rPr>
              <w:t>Annual Total SAIDI Results Excluding 2006</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rsidR="00606EA0" w:rsidRPr="00606EA0" w:rsidRDefault="00606EA0" w:rsidP="00606EA0">
            <w:pPr>
              <w:jc w:val="center"/>
              <w:rPr>
                <w:rFonts w:ascii="Arial" w:hAnsi="Arial" w:cs="Arial"/>
                <w:sz w:val="20"/>
              </w:rPr>
            </w:pPr>
            <w:r w:rsidRPr="00606EA0">
              <w:rPr>
                <w:rFonts w:ascii="Arial" w:hAnsi="Arial" w:cs="Arial"/>
                <w:sz w:val="20"/>
              </w:rPr>
              <w:t>Total SAIDI 5-Year Rolling Annual Average Excluding 2006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70"/>
        </w:trPr>
        <w:tc>
          <w:tcPr>
            <w:tcW w:w="700" w:type="dxa"/>
            <w:tcBorders>
              <w:top w:val="nil"/>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1</w:t>
            </w:r>
          </w:p>
        </w:tc>
        <w:tc>
          <w:tcPr>
            <w:tcW w:w="154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2004</w:t>
            </w:r>
          </w:p>
        </w:tc>
        <w:tc>
          <w:tcPr>
            <w:tcW w:w="172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126</w:t>
            </w:r>
          </w:p>
        </w:tc>
        <w:tc>
          <w:tcPr>
            <w:tcW w:w="176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172</w:t>
            </w:r>
          </w:p>
        </w:tc>
        <w:tc>
          <w:tcPr>
            <w:tcW w:w="170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172</w:t>
            </w:r>
          </w:p>
        </w:tc>
        <w:tc>
          <w:tcPr>
            <w:tcW w:w="182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172</w:t>
            </w:r>
          </w:p>
        </w:tc>
        <w:tc>
          <w:tcPr>
            <w:tcW w:w="1180" w:type="dxa"/>
            <w:tcBorders>
              <w:top w:val="nil"/>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70"/>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2005</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108</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176</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176</w:t>
            </w:r>
          </w:p>
        </w:tc>
        <w:tc>
          <w:tcPr>
            <w:tcW w:w="182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174</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Baseline</w:t>
            </w:r>
          </w:p>
        </w:tc>
      </w:tr>
      <w:tr w:rsidR="00606EA0" w:rsidRPr="00606EA0" w:rsidTr="00606EA0">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3</w:t>
            </w:r>
          </w:p>
        </w:tc>
        <w:tc>
          <w:tcPr>
            <w:tcW w:w="154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2006</w:t>
            </w:r>
          </w:p>
        </w:tc>
        <w:tc>
          <w:tcPr>
            <w:tcW w:w="17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143</w:t>
            </w:r>
          </w:p>
        </w:tc>
        <w:tc>
          <w:tcPr>
            <w:tcW w:w="176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374</w:t>
            </w:r>
          </w:p>
        </w:tc>
        <w:tc>
          <w:tcPr>
            <w:tcW w:w="170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 </w:t>
            </w:r>
          </w:p>
        </w:tc>
        <w:tc>
          <w:tcPr>
            <w:tcW w:w="18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4</w:t>
            </w:r>
          </w:p>
        </w:tc>
        <w:tc>
          <w:tcPr>
            <w:tcW w:w="154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2007</w:t>
            </w:r>
          </w:p>
        </w:tc>
        <w:tc>
          <w:tcPr>
            <w:tcW w:w="17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132</w:t>
            </w:r>
          </w:p>
        </w:tc>
        <w:tc>
          <w:tcPr>
            <w:tcW w:w="176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209</w:t>
            </w:r>
          </w:p>
        </w:tc>
        <w:tc>
          <w:tcPr>
            <w:tcW w:w="170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209</w:t>
            </w:r>
          </w:p>
        </w:tc>
        <w:tc>
          <w:tcPr>
            <w:tcW w:w="18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186</w:t>
            </w:r>
          </w:p>
        </w:tc>
        <w:tc>
          <w:tcPr>
            <w:tcW w:w="118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5</w:t>
            </w:r>
          </w:p>
        </w:tc>
        <w:tc>
          <w:tcPr>
            <w:tcW w:w="154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2008</w:t>
            </w:r>
          </w:p>
        </w:tc>
        <w:tc>
          <w:tcPr>
            <w:tcW w:w="17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159</w:t>
            </w:r>
          </w:p>
        </w:tc>
        <w:tc>
          <w:tcPr>
            <w:tcW w:w="176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227</w:t>
            </w:r>
          </w:p>
        </w:tc>
        <w:tc>
          <w:tcPr>
            <w:tcW w:w="170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227</w:t>
            </w:r>
          </w:p>
        </w:tc>
        <w:tc>
          <w:tcPr>
            <w:tcW w:w="18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196</w:t>
            </w:r>
          </w:p>
        </w:tc>
        <w:tc>
          <w:tcPr>
            <w:tcW w:w="118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6</w:t>
            </w:r>
          </w:p>
        </w:tc>
        <w:tc>
          <w:tcPr>
            <w:tcW w:w="154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2009</w:t>
            </w:r>
          </w:p>
        </w:tc>
        <w:tc>
          <w:tcPr>
            <w:tcW w:w="17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193</w:t>
            </w:r>
          </w:p>
        </w:tc>
        <w:tc>
          <w:tcPr>
            <w:tcW w:w="176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193</w:t>
            </w:r>
          </w:p>
        </w:tc>
        <w:tc>
          <w:tcPr>
            <w:tcW w:w="170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193</w:t>
            </w:r>
          </w:p>
        </w:tc>
        <w:tc>
          <w:tcPr>
            <w:tcW w:w="182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195</w:t>
            </w:r>
          </w:p>
        </w:tc>
        <w:tc>
          <w:tcPr>
            <w:tcW w:w="1180" w:type="dxa"/>
            <w:tcBorders>
              <w:top w:val="nil"/>
              <w:left w:val="nil"/>
              <w:bottom w:val="single" w:sz="4"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nil"/>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7</w:t>
            </w:r>
          </w:p>
        </w:tc>
        <w:tc>
          <w:tcPr>
            <w:tcW w:w="154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2010</w:t>
            </w:r>
          </w:p>
        </w:tc>
        <w:tc>
          <w:tcPr>
            <w:tcW w:w="172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146</w:t>
            </w:r>
          </w:p>
        </w:tc>
        <w:tc>
          <w:tcPr>
            <w:tcW w:w="176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236</w:t>
            </w:r>
          </w:p>
        </w:tc>
        <w:tc>
          <w:tcPr>
            <w:tcW w:w="170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236</w:t>
            </w:r>
          </w:p>
        </w:tc>
        <w:tc>
          <w:tcPr>
            <w:tcW w:w="1820" w:type="dxa"/>
            <w:tcBorders>
              <w:top w:val="nil"/>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208</w:t>
            </w:r>
          </w:p>
        </w:tc>
        <w:tc>
          <w:tcPr>
            <w:tcW w:w="1180" w:type="dxa"/>
            <w:tcBorders>
              <w:top w:val="nil"/>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8</w:t>
            </w:r>
          </w:p>
        </w:tc>
        <w:tc>
          <w:tcPr>
            <w:tcW w:w="154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2011</w:t>
            </w:r>
          </w:p>
        </w:tc>
        <w:tc>
          <w:tcPr>
            <w:tcW w:w="17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118</w:t>
            </w:r>
          </w:p>
        </w:tc>
        <w:tc>
          <w:tcPr>
            <w:tcW w:w="176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118</w:t>
            </w:r>
          </w:p>
        </w:tc>
        <w:tc>
          <w:tcPr>
            <w:tcW w:w="170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118</w:t>
            </w:r>
          </w:p>
        </w:tc>
        <w:tc>
          <w:tcPr>
            <w:tcW w:w="18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197</w:t>
            </w:r>
          </w:p>
        </w:tc>
        <w:tc>
          <w:tcPr>
            <w:tcW w:w="118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9</w:t>
            </w:r>
          </w:p>
        </w:tc>
        <w:tc>
          <w:tcPr>
            <w:tcW w:w="154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2012</w:t>
            </w:r>
          </w:p>
        </w:tc>
        <w:tc>
          <w:tcPr>
            <w:tcW w:w="17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138</w:t>
            </w:r>
          </w:p>
        </w:tc>
        <w:tc>
          <w:tcPr>
            <w:tcW w:w="176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163</w:t>
            </w:r>
          </w:p>
        </w:tc>
        <w:tc>
          <w:tcPr>
            <w:tcW w:w="170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163</w:t>
            </w:r>
          </w:p>
        </w:tc>
        <w:tc>
          <w:tcPr>
            <w:tcW w:w="18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187</w:t>
            </w:r>
          </w:p>
        </w:tc>
        <w:tc>
          <w:tcPr>
            <w:tcW w:w="118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10</w:t>
            </w:r>
          </w:p>
        </w:tc>
        <w:tc>
          <w:tcPr>
            <w:tcW w:w="154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2013</w:t>
            </w:r>
          </w:p>
        </w:tc>
        <w:tc>
          <w:tcPr>
            <w:tcW w:w="17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138</w:t>
            </w:r>
          </w:p>
        </w:tc>
        <w:tc>
          <w:tcPr>
            <w:tcW w:w="176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199</w:t>
            </w:r>
          </w:p>
        </w:tc>
        <w:tc>
          <w:tcPr>
            <w:tcW w:w="170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199</w:t>
            </w:r>
          </w:p>
        </w:tc>
        <w:tc>
          <w:tcPr>
            <w:tcW w:w="18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182</w:t>
            </w:r>
          </w:p>
        </w:tc>
        <w:tc>
          <w:tcPr>
            <w:tcW w:w="118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70"/>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11</w:t>
            </w:r>
          </w:p>
        </w:tc>
        <w:tc>
          <w:tcPr>
            <w:tcW w:w="154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right"/>
              <w:rPr>
                <w:rFonts w:ascii="Arial" w:hAnsi="Arial" w:cs="Arial"/>
                <w:sz w:val="20"/>
              </w:rPr>
            </w:pPr>
            <w:r w:rsidRPr="00606EA0">
              <w:rPr>
                <w:rFonts w:ascii="Arial" w:hAnsi="Arial" w:cs="Arial"/>
                <w:sz w:val="20"/>
              </w:rPr>
              <w:t>2014</w:t>
            </w:r>
          </w:p>
        </w:tc>
        <w:tc>
          <w:tcPr>
            <w:tcW w:w="17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139</w:t>
            </w:r>
          </w:p>
        </w:tc>
        <w:tc>
          <w:tcPr>
            <w:tcW w:w="176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437</w:t>
            </w:r>
          </w:p>
        </w:tc>
        <w:tc>
          <w:tcPr>
            <w:tcW w:w="170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437</w:t>
            </w:r>
          </w:p>
        </w:tc>
        <w:tc>
          <w:tcPr>
            <w:tcW w:w="182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jc w:val="center"/>
              <w:rPr>
                <w:rFonts w:ascii="Arial" w:hAnsi="Arial" w:cs="Arial"/>
                <w:sz w:val="20"/>
              </w:rPr>
            </w:pPr>
            <w:r w:rsidRPr="00606EA0">
              <w:rPr>
                <w:rFonts w:ascii="Arial" w:hAnsi="Arial" w:cs="Arial"/>
                <w:sz w:val="20"/>
              </w:rPr>
              <w:t>231</w:t>
            </w:r>
          </w:p>
        </w:tc>
        <w:tc>
          <w:tcPr>
            <w:tcW w:w="1180" w:type="dxa"/>
            <w:tcBorders>
              <w:top w:val="single" w:sz="4" w:space="0" w:color="auto"/>
              <w:left w:val="nil"/>
              <w:bottom w:val="nil"/>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r>
      <w:tr w:rsidR="00606EA0" w:rsidRPr="00606EA0" w:rsidTr="00606EA0">
        <w:trPr>
          <w:trHeight w:val="270"/>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c>
          <w:tcPr>
            <w:tcW w:w="1720" w:type="dxa"/>
            <w:tcBorders>
              <w:top w:val="single" w:sz="8" w:space="0" w:color="auto"/>
              <w:left w:val="nil"/>
              <w:bottom w:val="single" w:sz="8" w:space="0" w:color="auto"/>
              <w:right w:val="single" w:sz="4" w:space="0" w:color="auto"/>
            </w:tcBorders>
            <w:shd w:val="clear" w:color="auto" w:fill="auto"/>
            <w:noWrap/>
            <w:vAlign w:val="center"/>
            <w:hideMark/>
          </w:tcPr>
          <w:p w:rsidR="00606EA0" w:rsidRPr="00606EA0" w:rsidRDefault="00606EA0" w:rsidP="00606EA0">
            <w:pPr>
              <w:jc w:val="center"/>
              <w:rPr>
                <w:rFonts w:ascii="Arial" w:hAnsi="Arial" w:cs="Arial"/>
                <w:sz w:val="20"/>
              </w:rPr>
            </w:pPr>
            <w:r w:rsidRPr="00606EA0">
              <w:rPr>
                <w:rFonts w:ascii="Arial" w:hAnsi="Arial" w:cs="Arial"/>
                <w:sz w:val="20"/>
              </w:rPr>
              <w:t>144</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c>
          <w:tcPr>
            <w:tcW w:w="1820" w:type="dxa"/>
            <w:tcBorders>
              <w:top w:val="single" w:sz="8" w:space="0" w:color="auto"/>
              <w:left w:val="nil"/>
              <w:bottom w:val="single" w:sz="8" w:space="0" w:color="auto"/>
              <w:right w:val="single" w:sz="4"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 </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606EA0" w:rsidRPr="00606EA0" w:rsidRDefault="00606EA0" w:rsidP="00606EA0">
            <w:pPr>
              <w:rPr>
                <w:rFonts w:ascii="Arial" w:hAnsi="Arial" w:cs="Arial"/>
                <w:sz w:val="20"/>
              </w:rPr>
            </w:pPr>
            <w:r w:rsidRPr="00606EA0">
              <w:rPr>
                <w:rFonts w:ascii="Arial" w:hAnsi="Arial" w:cs="Arial"/>
                <w:sz w:val="20"/>
              </w:rPr>
              <w:t>Target</w:t>
            </w:r>
          </w:p>
        </w:tc>
      </w:tr>
    </w:tbl>
    <w:p w:rsidR="00606EA0" w:rsidRDefault="00606EA0" w:rsidP="00085A4C">
      <w:pPr>
        <w:autoSpaceDE w:val="0"/>
        <w:autoSpaceDN w:val="0"/>
        <w:adjustRightInd w:val="0"/>
        <w:rPr>
          <w:rFonts w:ascii="Arial" w:hAnsi="Arial" w:cs="Arial"/>
          <w:color w:val="000000"/>
          <w:sz w:val="23"/>
          <w:szCs w:val="23"/>
        </w:rPr>
      </w:pPr>
    </w:p>
    <w:p w:rsidR="00606EA0" w:rsidRDefault="00606EA0" w:rsidP="00085A4C">
      <w:pPr>
        <w:autoSpaceDE w:val="0"/>
        <w:autoSpaceDN w:val="0"/>
        <w:adjustRightInd w:val="0"/>
        <w:rPr>
          <w:rFonts w:ascii="Arial" w:hAnsi="Arial" w:cs="Arial"/>
          <w:color w:val="000000"/>
          <w:sz w:val="23"/>
          <w:szCs w:val="23"/>
        </w:rPr>
      </w:pPr>
      <w:r w:rsidRPr="00606EA0">
        <w:rPr>
          <w:rFonts w:ascii="Arial" w:hAnsi="Arial" w:cs="Arial"/>
          <w:noProof/>
          <w:color w:val="000000"/>
          <w:sz w:val="23"/>
          <w:szCs w:val="23"/>
        </w:rPr>
        <w:drawing>
          <wp:inline distT="0" distB="0" distL="0" distR="0">
            <wp:extent cx="5943600" cy="3627120"/>
            <wp:effectExtent l="1905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6319" w:rsidRDefault="00806319">
      <w:pPr>
        <w:rPr>
          <w:rFonts w:ascii="Arial" w:hAnsi="Arial" w:cs="Arial"/>
          <w:color w:val="000000"/>
          <w:sz w:val="23"/>
          <w:szCs w:val="23"/>
        </w:rPr>
      </w:pPr>
      <w:r>
        <w:rPr>
          <w:rFonts w:ascii="Arial" w:hAnsi="Arial" w:cs="Arial"/>
          <w:color w:val="000000"/>
          <w:sz w:val="23"/>
          <w:szCs w:val="23"/>
        </w:rPr>
        <w:br w:type="page"/>
      </w:r>
    </w:p>
    <w:p w:rsidR="00806319" w:rsidRDefault="00806319" w:rsidP="00806319">
      <w:pPr>
        <w:pStyle w:val="Heading1"/>
      </w:pPr>
      <w:bookmarkStart w:id="147" w:name="_Toc435692507"/>
      <w:r>
        <w:lastRenderedPageBreak/>
        <w:t>Appendix E</w:t>
      </w:r>
      <w:r w:rsidRPr="002A4EB3">
        <w:t xml:space="preserve"> –</w:t>
      </w:r>
      <w:r>
        <w:t xml:space="preserve"> Service Quality Measures Report Card</w:t>
      </w:r>
      <w:bookmarkEnd w:id="147"/>
    </w:p>
    <w:p w:rsidR="00806319" w:rsidRDefault="00806319" w:rsidP="00085A4C">
      <w:pPr>
        <w:autoSpaceDE w:val="0"/>
        <w:autoSpaceDN w:val="0"/>
        <w:adjustRightInd w:val="0"/>
        <w:rPr>
          <w:rFonts w:ascii="Arial" w:hAnsi="Arial" w:cs="Arial"/>
          <w:color w:val="000000"/>
          <w:sz w:val="23"/>
          <w:szCs w:val="23"/>
        </w:rPr>
      </w:pPr>
    </w:p>
    <w:p w:rsidR="00806319" w:rsidRDefault="00806319" w:rsidP="00085A4C">
      <w:pPr>
        <w:autoSpaceDE w:val="0"/>
        <w:autoSpaceDN w:val="0"/>
        <w:adjustRightInd w:val="0"/>
        <w:rPr>
          <w:rFonts w:ascii="Arial" w:hAnsi="Arial" w:cs="Arial"/>
          <w:color w:val="000000"/>
          <w:sz w:val="23"/>
          <w:szCs w:val="23"/>
        </w:rPr>
      </w:pPr>
      <w:r>
        <w:rPr>
          <w:rFonts w:ascii="Arial" w:hAnsi="Arial" w:cs="Arial"/>
          <w:color w:val="000000"/>
          <w:sz w:val="23"/>
          <w:szCs w:val="23"/>
        </w:rPr>
        <w:t>The following is an example of the annual report card that will be sent to customers within 90 days of filing the Service Quality and Reliability Report.</w:t>
      </w:r>
    </w:p>
    <w:p w:rsidR="00420775" w:rsidRDefault="00420775" w:rsidP="00085A4C">
      <w:pPr>
        <w:autoSpaceDE w:val="0"/>
        <w:autoSpaceDN w:val="0"/>
        <w:adjustRightInd w:val="0"/>
        <w:rPr>
          <w:rFonts w:ascii="Arial" w:hAnsi="Arial" w:cs="Arial"/>
          <w:noProof/>
          <w:color w:val="000000"/>
          <w:sz w:val="23"/>
          <w:szCs w:val="23"/>
        </w:rPr>
      </w:pPr>
    </w:p>
    <w:p w:rsidR="00420775" w:rsidRDefault="00420775" w:rsidP="00085A4C">
      <w:pPr>
        <w:autoSpaceDE w:val="0"/>
        <w:autoSpaceDN w:val="0"/>
        <w:adjustRightInd w:val="0"/>
        <w:rPr>
          <w:rFonts w:ascii="Arial" w:hAnsi="Arial" w:cs="Arial"/>
          <w:color w:val="000000"/>
          <w:sz w:val="23"/>
          <w:szCs w:val="23"/>
        </w:rPr>
      </w:pPr>
      <w:r>
        <w:rPr>
          <w:noProof/>
        </w:rPr>
        <w:drawing>
          <wp:inline distT="0" distB="0" distL="0" distR="0">
            <wp:extent cx="6492240" cy="6349160"/>
            <wp:effectExtent l="19050" t="0" r="3810" b="0"/>
            <wp:docPr id="11" name="Picture 11" descr="C:\Users\sbb5719\AppData\Local\Microsoft\Windows\Temporary Internet Files\Content.Word\Annual Report Card Template -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b5719\AppData\Local\Microsoft\Windows\Temporary Internet Files\Content.Word\Annual Report Card Template - DRAFT.JPG"/>
                    <pic:cNvPicPr>
                      <a:picLocks noChangeAspect="1" noChangeArrowheads="1"/>
                    </pic:cNvPicPr>
                  </pic:nvPicPr>
                  <pic:blipFill>
                    <a:blip r:embed="rId32" cstate="print"/>
                    <a:srcRect/>
                    <a:stretch>
                      <a:fillRect/>
                    </a:stretch>
                  </pic:blipFill>
                  <pic:spPr bwMode="auto">
                    <a:xfrm>
                      <a:off x="0" y="0"/>
                      <a:ext cx="6492240" cy="6349160"/>
                    </a:xfrm>
                    <a:prstGeom prst="rect">
                      <a:avLst/>
                    </a:prstGeom>
                    <a:noFill/>
                    <a:ln w="9525">
                      <a:noFill/>
                      <a:miter lim="800000"/>
                      <a:headEnd/>
                      <a:tailEnd/>
                    </a:ln>
                  </pic:spPr>
                </pic:pic>
              </a:graphicData>
            </a:graphic>
          </wp:inline>
        </w:drawing>
      </w:r>
    </w:p>
    <w:p w:rsidR="00420775" w:rsidRPr="00085A4C" w:rsidRDefault="00420775" w:rsidP="00085A4C">
      <w:pPr>
        <w:autoSpaceDE w:val="0"/>
        <w:autoSpaceDN w:val="0"/>
        <w:adjustRightInd w:val="0"/>
        <w:rPr>
          <w:rFonts w:ascii="Arial" w:hAnsi="Arial" w:cs="Arial"/>
          <w:color w:val="000000"/>
          <w:sz w:val="23"/>
          <w:szCs w:val="23"/>
        </w:rPr>
      </w:pPr>
    </w:p>
    <w:sectPr w:rsidR="00420775" w:rsidRPr="00085A4C" w:rsidSect="002A49F9">
      <w:headerReference w:type="even" r:id="rId33"/>
      <w:headerReference w:type="default" r:id="rId34"/>
      <w:footerReference w:type="default" r:id="rId35"/>
      <w:headerReference w:type="first" r:id="rId36"/>
      <w:pgSz w:w="12240" w:h="15840" w:code="1"/>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359" w:rsidRDefault="007B1359">
      <w:r>
        <w:separator/>
      </w:r>
    </w:p>
  </w:endnote>
  <w:endnote w:type="continuationSeparator" w:id="0">
    <w:p w:rsidR="007B1359" w:rsidRDefault="007B13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59" w:rsidRDefault="00D76041">
    <w:pPr>
      <w:pStyle w:val="Footer"/>
      <w:framePr w:wrap="around" w:vAnchor="text" w:hAnchor="margin" w:xAlign="right" w:y="1"/>
      <w:rPr>
        <w:rStyle w:val="PageNumber"/>
      </w:rPr>
    </w:pPr>
    <w:r>
      <w:rPr>
        <w:rStyle w:val="PageNumber"/>
      </w:rPr>
      <w:fldChar w:fldCharType="begin"/>
    </w:r>
    <w:r w:rsidR="007B1359">
      <w:rPr>
        <w:rStyle w:val="PageNumber"/>
      </w:rPr>
      <w:instrText xml:space="preserve">PAGE  </w:instrText>
    </w:r>
    <w:r>
      <w:rPr>
        <w:rStyle w:val="PageNumber"/>
      </w:rPr>
      <w:fldChar w:fldCharType="separate"/>
    </w:r>
    <w:r w:rsidR="00FF7B5A">
      <w:rPr>
        <w:rStyle w:val="PageNumber"/>
        <w:noProof/>
      </w:rPr>
      <w:t>15</w:t>
    </w:r>
    <w:r>
      <w:rPr>
        <w:rStyle w:val="PageNumber"/>
      </w:rPr>
      <w:fldChar w:fldCharType="end"/>
    </w:r>
  </w:p>
  <w:p w:rsidR="007B1359" w:rsidRDefault="007B1359">
    <w:pPr>
      <w:pStyle w:val="Footer"/>
      <w:tabs>
        <w:tab w:val="clear" w:pos="8640"/>
        <w:tab w:val="right" w:pos="9450"/>
      </w:tabs>
      <w:ind w:right="360"/>
      <w:rPr>
        <w:rFonts w:ascii="Tahoma" w:hAnsi="Tahoma"/>
        <w:color w:val="999999"/>
        <w:sz w:val="20"/>
      </w:rPr>
    </w:pPr>
    <w:r>
      <w:rPr>
        <w:rFonts w:ascii="Tahoma" w:hAnsi="Tahoma"/>
        <w:color w:val="999999"/>
        <w:sz w:val="20"/>
      </w:rPr>
      <w:t xml:space="preserve">Avista Utilities </w:t>
    </w:r>
  </w:p>
  <w:p w:rsidR="007B1359" w:rsidRDefault="007B1359">
    <w:pPr>
      <w:pStyle w:val="Footer"/>
      <w:tabs>
        <w:tab w:val="clear" w:pos="8640"/>
        <w:tab w:val="right" w:pos="9450"/>
      </w:tabs>
      <w:ind w:right="360"/>
      <w:rPr>
        <w:rFonts w:ascii="Tahoma" w:hAnsi="Tahoma" w:cs="Tahoma"/>
        <w:color w:val="999999"/>
        <w:sz w:val="20"/>
      </w:rPr>
    </w:pPr>
    <w:r>
      <w:rPr>
        <w:rFonts w:ascii="Tahoma" w:hAnsi="Tahoma" w:cs="Tahoma"/>
        <w:color w:val="999999"/>
        <w:sz w:val="20"/>
      </w:rPr>
      <w:t>Service Quality and Reliability Reporting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359" w:rsidRDefault="007B1359">
      <w:r>
        <w:separator/>
      </w:r>
    </w:p>
  </w:footnote>
  <w:footnote w:type="continuationSeparator" w:id="0">
    <w:p w:rsidR="007B1359" w:rsidRDefault="007B1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59" w:rsidRDefault="007B13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59" w:rsidRDefault="007B13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59" w:rsidRDefault="007B13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nsid w:val="0E370F6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DF2EC5"/>
    <w:multiLevelType w:val="hybridMultilevel"/>
    <w:tmpl w:val="DB025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F46675"/>
    <w:multiLevelType w:val="hybridMultilevel"/>
    <w:tmpl w:val="7F5450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3210B9B"/>
    <w:multiLevelType w:val="hybridMultilevel"/>
    <w:tmpl w:val="F92A7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FC5366"/>
    <w:multiLevelType w:val="hybridMultilevel"/>
    <w:tmpl w:val="4A7A86D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86D363E"/>
    <w:multiLevelType w:val="hybridMultilevel"/>
    <w:tmpl w:val="47BC7A1E"/>
    <w:lvl w:ilvl="0" w:tplc="99B413F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35240D9"/>
    <w:multiLevelType w:val="hybridMultilevel"/>
    <w:tmpl w:val="FE0CCF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6916CF8"/>
    <w:multiLevelType w:val="hybridMultilevel"/>
    <w:tmpl w:val="4D121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285058A"/>
    <w:multiLevelType w:val="hybridMultilevel"/>
    <w:tmpl w:val="E97033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1701641"/>
    <w:multiLevelType w:val="hybridMultilevel"/>
    <w:tmpl w:val="D3D4181A"/>
    <w:lvl w:ilvl="0" w:tplc="A620CA70">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7A777F7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21"/>
  </w:num>
  <w:num w:numId="3">
    <w:abstractNumId w:val="4"/>
  </w:num>
  <w:num w:numId="4">
    <w:abstractNumId w:val="15"/>
  </w:num>
  <w:num w:numId="5">
    <w:abstractNumId w:val="22"/>
  </w:num>
  <w:num w:numId="6">
    <w:abstractNumId w:val="11"/>
  </w:num>
  <w:num w:numId="7">
    <w:abstractNumId w:val="19"/>
  </w:num>
  <w:num w:numId="8">
    <w:abstractNumId w:val="12"/>
  </w:num>
  <w:num w:numId="9">
    <w:abstractNumId w:val="18"/>
  </w:num>
  <w:num w:numId="10">
    <w:abstractNumId w:val="9"/>
  </w:num>
  <w:num w:numId="11">
    <w:abstractNumId w:val="0"/>
  </w:num>
  <w:num w:numId="12">
    <w:abstractNumId w:val="7"/>
  </w:num>
  <w:num w:numId="13">
    <w:abstractNumId w:val="17"/>
  </w:num>
  <w:num w:numId="14">
    <w:abstractNumId w:val="16"/>
  </w:num>
  <w:num w:numId="15">
    <w:abstractNumId w:val="2"/>
  </w:num>
  <w:num w:numId="16">
    <w:abstractNumId w:val="14"/>
  </w:num>
  <w:num w:numId="17">
    <w:abstractNumId w:val="6"/>
  </w:num>
  <w:num w:numId="18">
    <w:abstractNumId w:val="20"/>
  </w:num>
  <w:num w:numId="19">
    <w:abstractNumId w:val="3"/>
  </w:num>
  <w:num w:numId="20">
    <w:abstractNumId w:val="8"/>
  </w:num>
  <w:num w:numId="21">
    <w:abstractNumId w:val="1"/>
  </w:num>
  <w:num w:numId="22">
    <w:abstractNumId w:val="5"/>
  </w:num>
  <w:num w:numId="23">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fr-FR" w:vendorID="64" w:dllVersion="131078" w:nlCheck="1" w:checkStyle="1"/>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128001" fillcolor="#9cf">
      <v:fill color="#9cf"/>
      <o:colormru v:ext="edit" colors="#ddd,#060,#393,#396"/>
    </o:shapedefaults>
  </w:hdrShapeDefaults>
  <w:footnotePr>
    <w:footnote w:id="-1"/>
    <w:footnote w:id="0"/>
  </w:footnotePr>
  <w:endnotePr>
    <w:endnote w:id="-1"/>
    <w:endnote w:id="0"/>
  </w:endnotePr>
  <w:compat/>
  <w:rsids>
    <w:rsidRoot w:val="000B34F1"/>
    <w:rsid w:val="000003FD"/>
    <w:rsid w:val="00004AC6"/>
    <w:rsid w:val="00004CE2"/>
    <w:rsid w:val="00007199"/>
    <w:rsid w:val="00007930"/>
    <w:rsid w:val="00011BF3"/>
    <w:rsid w:val="00013286"/>
    <w:rsid w:val="000141B3"/>
    <w:rsid w:val="00014EC0"/>
    <w:rsid w:val="00015201"/>
    <w:rsid w:val="00017611"/>
    <w:rsid w:val="00017692"/>
    <w:rsid w:val="00020145"/>
    <w:rsid w:val="00020D2A"/>
    <w:rsid w:val="000216D5"/>
    <w:rsid w:val="00023371"/>
    <w:rsid w:val="0002338F"/>
    <w:rsid w:val="00023DFA"/>
    <w:rsid w:val="00024540"/>
    <w:rsid w:val="00024A59"/>
    <w:rsid w:val="00026159"/>
    <w:rsid w:val="000302F5"/>
    <w:rsid w:val="00037E07"/>
    <w:rsid w:val="00043961"/>
    <w:rsid w:val="00044FC2"/>
    <w:rsid w:val="000478D4"/>
    <w:rsid w:val="00050F48"/>
    <w:rsid w:val="00051715"/>
    <w:rsid w:val="00052835"/>
    <w:rsid w:val="00054FC2"/>
    <w:rsid w:val="0005598B"/>
    <w:rsid w:val="0006092D"/>
    <w:rsid w:val="00064394"/>
    <w:rsid w:val="00064538"/>
    <w:rsid w:val="00064C31"/>
    <w:rsid w:val="00066018"/>
    <w:rsid w:val="00067BA3"/>
    <w:rsid w:val="00070829"/>
    <w:rsid w:val="000715E5"/>
    <w:rsid w:val="00071AE0"/>
    <w:rsid w:val="0007200C"/>
    <w:rsid w:val="00074917"/>
    <w:rsid w:val="0007554D"/>
    <w:rsid w:val="00075AF4"/>
    <w:rsid w:val="0007647B"/>
    <w:rsid w:val="000764E0"/>
    <w:rsid w:val="00076ACB"/>
    <w:rsid w:val="000779D3"/>
    <w:rsid w:val="00077BF6"/>
    <w:rsid w:val="00081545"/>
    <w:rsid w:val="00084F4C"/>
    <w:rsid w:val="00084F8B"/>
    <w:rsid w:val="00085A4C"/>
    <w:rsid w:val="00086366"/>
    <w:rsid w:val="00087D7E"/>
    <w:rsid w:val="00090298"/>
    <w:rsid w:val="00091A1F"/>
    <w:rsid w:val="0009232F"/>
    <w:rsid w:val="00092BEC"/>
    <w:rsid w:val="00095FFC"/>
    <w:rsid w:val="000967E6"/>
    <w:rsid w:val="00097188"/>
    <w:rsid w:val="00097B04"/>
    <w:rsid w:val="00097F5C"/>
    <w:rsid w:val="000A1DA2"/>
    <w:rsid w:val="000B1272"/>
    <w:rsid w:val="000B34F1"/>
    <w:rsid w:val="000B6CE2"/>
    <w:rsid w:val="000B703A"/>
    <w:rsid w:val="000B7A1A"/>
    <w:rsid w:val="000C028A"/>
    <w:rsid w:val="000C2B19"/>
    <w:rsid w:val="000C2B6E"/>
    <w:rsid w:val="000C4EED"/>
    <w:rsid w:val="000C5DC0"/>
    <w:rsid w:val="000D06BF"/>
    <w:rsid w:val="000D0791"/>
    <w:rsid w:val="000D0CA4"/>
    <w:rsid w:val="000D1343"/>
    <w:rsid w:val="000D2D55"/>
    <w:rsid w:val="000D34D6"/>
    <w:rsid w:val="000D41A5"/>
    <w:rsid w:val="000E1617"/>
    <w:rsid w:val="000E1DC4"/>
    <w:rsid w:val="000E3347"/>
    <w:rsid w:val="000E4745"/>
    <w:rsid w:val="000E53FD"/>
    <w:rsid w:val="000E5B55"/>
    <w:rsid w:val="000E70E1"/>
    <w:rsid w:val="000F1C87"/>
    <w:rsid w:val="000F1ED1"/>
    <w:rsid w:val="000F27E9"/>
    <w:rsid w:val="000F40CC"/>
    <w:rsid w:val="000F4206"/>
    <w:rsid w:val="000F4A20"/>
    <w:rsid w:val="000F5A54"/>
    <w:rsid w:val="000F5A78"/>
    <w:rsid w:val="00100AF1"/>
    <w:rsid w:val="001028D9"/>
    <w:rsid w:val="001049BF"/>
    <w:rsid w:val="001056D2"/>
    <w:rsid w:val="00107998"/>
    <w:rsid w:val="00107C1A"/>
    <w:rsid w:val="0011345B"/>
    <w:rsid w:val="001138B8"/>
    <w:rsid w:val="00113C8A"/>
    <w:rsid w:val="00113DD3"/>
    <w:rsid w:val="00113F29"/>
    <w:rsid w:val="00114ED5"/>
    <w:rsid w:val="00116E47"/>
    <w:rsid w:val="0012070C"/>
    <w:rsid w:val="00123F5F"/>
    <w:rsid w:val="00124209"/>
    <w:rsid w:val="001260FC"/>
    <w:rsid w:val="001305B8"/>
    <w:rsid w:val="00132E0F"/>
    <w:rsid w:val="001332C7"/>
    <w:rsid w:val="001338F6"/>
    <w:rsid w:val="001350F0"/>
    <w:rsid w:val="001409B1"/>
    <w:rsid w:val="00141B92"/>
    <w:rsid w:val="00142CEE"/>
    <w:rsid w:val="0014331F"/>
    <w:rsid w:val="00144130"/>
    <w:rsid w:val="00144889"/>
    <w:rsid w:val="00146D55"/>
    <w:rsid w:val="00146E26"/>
    <w:rsid w:val="001517CA"/>
    <w:rsid w:val="001528CB"/>
    <w:rsid w:val="001541BE"/>
    <w:rsid w:val="00154358"/>
    <w:rsid w:val="001550FE"/>
    <w:rsid w:val="0015554C"/>
    <w:rsid w:val="00155ABE"/>
    <w:rsid w:val="001563FC"/>
    <w:rsid w:val="00157FCE"/>
    <w:rsid w:val="0016218C"/>
    <w:rsid w:val="001621EC"/>
    <w:rsid w:val="00163C99"/>
    <w:rsid w:val="00164C19"/>
    <w:rsid w:val="00165F24"/>
    <w:rsid w:val="0016699D"/>
    <w:rsid w:val="001677DA"/>
    <w:rsid w:val="00167986"/>
    <w:rsid w:val="0017039F"/>
    <w:rsid w:val="0017040A"/>
    <w:rsid w:val="001705A0"/>
    <w:rsid w:val="00170881"/>
    <w:rsid w:val="00173086"/>
    <w:rsid w:val="0017520A"/>
    <w:rsid w:val="00176A8B"/>
    <w:rsid w:val="00177E2E"/>
    <w:rsid w:val="00183E43"/>
    <w:rsid w:val="00184AE2"/>
    <w:rsid w:val="00185AC8"/>
    <w:rsid w:val="001907C2"/>
    <w:rsid w:val="001916FC"/>
    <w:rsid w:val="00192852"/>
    <w:rsid w:val="001929DA"/>
    <w:rsid w:val="00193D7B"/>
    <w:rsid w:val="0019699D"/>
    <w:rsid w:val="001A06BE"/>
    <w:rsid w:val="001A0EB9"/>
    <w:rsid w:val="001A1000"/>
    <w:rsid w:val="001A4BF7"/>
    <w:rsid w:val="001A605D"/>
    <w:rsid w:val="001A765E"/>
    <w:rsid w:val="001B20DD"/>
    <w:rsid w:val="001B2CE9"/>
    <w:rsid w:val="001B2E67"/>
    <w:rsid w:val="001B35AC"/>
    <w:rsid w:val="001B4F8C"/>
    <w:rsid w:val="001B5294"/>
    <w:rsid w:val="001B636B"/>
    <w:rsid w:val="001C0CBD"/>
    <w:rsid w:val="001C33DC"/>
    <w:rsid w:val="001C5462"/>
    <w:rsid w:val="001C5F28"/>
    <w:rsid w:val="001D443D"/>
    <w:rsid w:val="001D4A4D"/>
    <w:rsid w:val="001D4C53"/>
    <w:rsid w:val="001D6C2A"/>
    <w:rsid w:val="001E023F"/>
    <w:rsid w:val="001E04A5"/>
    <w:rsid w:val="001E2221"/>
    <w:rsid w:val="001E2A7C"/>
    <w:rsid w:val="001E4136"/>
    <w:rsid w:val="001E5080"/>
    <w:rsid w:val="001E5CD7"/>
    <w:rsid w:val="001E5F4F"/>
    <w:rsid w:val="001F0BB7"/>
    <w:rsid w:val="001F6138"/>
    <w:rsid w:val="001F6B0E"/>
    <w:rsid w:val="001F7011"/>
    <w:rsid w:val="0020239C"/>
    <w:rsid w:val="00203005"/>
    <w:rsid w:val="00205893"/>
    <w:rsid w:val="00206916"/>
    <w:rsid w:val="002104DF"/>
    <w:rsid w:val="00212395"/>
    <w:rsid w:val="00213DFF"/>
    <w:rsid w:val="002156BB"/>
    <w:rsid w:val="002157EF"/>
    <w:rsid w:val="00220549"/>
    <w:rsid w:val="0022545B"/>
    <w:rsid w:val="002254DB"/>
    <w:rsid w:val="0023368C"/>
    <w:rsid w:val="0023514D"/>
    <w:rsid w:val="00235C7E"/>
    <w:rsid w:val="00236853"/>
    <w:rsid w:val="00240659"/>
    <w:rsid w:val="002413F4"/>
    <w:rsid w:val="00241A76"/>
    <w:rsid w:val="00244431"/>
    <w:rsid w:val="00244946"/>
    <w:rsid w:val="002471D1"/>
    <w:rsid w:val="0024730D"/>
    <w:rsid w:val="00250E5C"/>
    <w:rsid w:val="0025187F"/>
    <w:rsid w:val="00252219"/>
    <w:rsid w:val="0025274D"/>
    <w:rsid w:val="002528F1"/>
    <w:rsid w:val="00252FDF"/>
    <w:rsid w:val="002532B1"/>
    <w:rsid w:val="00256FD4"/>
    <w:rsid w:val="002605CE"/>
    <w:rsid w:val="00264A85"/>
    <w:rsid w:val="00264DB5"/>
    <w:rsid w:val="0026757E"/>
    <w:rsid w:val="00267BC2"/>
    <w:rsid w:val="00270E21"/>
    <w:rsid w:val="00270F5A"/>
    <w:rsid w:val="00280413"/>
    <w:rsid w:val="002816D2"/>
    <w:rsid w:val="00281AD8"/>
    <w:rsid w:val="00285E7C"/>
    <w:rsid w:val="002866AA"/>
    <w:rsid w:val="002877C9"/>
    <w:rsid w:val="00290055"/>
    <w:rsid w:val="0029215A"/>
    <w:rsid w:val="00292E50"/>
    <w:rsid w:val="00294D37"/>
    <w:rsid w:val="00296171"/>
    <w:rsid w:val="00297EE5"/>
    <w:rsid w:val="00297F9C"/>
    <w:rsid w:val="002A0517"/>
    <w:rsid w:val="002A17DA"/>
    <w:rsid w:val="002A2373"/>
    <w:rsid w:val="002A2920"/>
    <w:rsid w:val="002A3FBD"/>
    <w:rsid w:val="002A49F9"/>
    <w:rsid w:val="002A4EB3"/>
    <w:rsid w:val="002A5DC6"/>
    <w:rsid w:val="002A5EC2"/>
    <w:rsid w:val="002A68A2"/>
    <w:rsid w:val="002A6A88"/>
    <w:rsid w:val="002A73B8"/>
    <w:rsid w:val="002B06D1"/>
    <w:rsid w:val="002B0AB8"/>
    <w:rsid w:val="002B7728"/>
    <w:rsid w:val="002C0943"/>
    <w:rsid w:val="002C0E29"/>
    <w:rsid w:val="002C31A7"/>
    <w:rsid w:val="002C442F"/>
    <w:rsid w:val="002D2D34"/>
    <w:rsid w:val="002D58CF"/>
    <w:rsid w:val="002D5929"/>
    <w:rsid w:val="002D64FC"/>
    <w:rsid w:val="002D6D86"/>
    <w:rsid w:val="002D7299"/>
    <w:rsid w:val="002D7A71"/>
    <w:rsid w:val="002E059C"/>
    <w:rsid w:val="002E26B7"/>
    <w:rsid w:val="002E2BDE"/>
    <w:rsid w:val="002E3E2D"/>
    <w:rsid w:val="002E54CF"/>
    <w:rsid w:val="002F0B57"/>
    <w:rsid w:val="002F3A6A"/>
    <w:rsid w:val="002F4833"/>
    <w:rsid w:val="002F5EA2"/>
    <w:rsid w:val="002F77D4"/>
    <w:rsid w:val="0030103F"/>
    <w:rsid w:val="00301A40"/>
    <w:rsid w:val="00301BC6"/>
    <w:rsid w:val="00307977"/>
    <w:rsid w:val="0031443C"/>
    <w:rsid w:val="00317734"/>
    <w:rsid w:val="003215B5"/>
    <w:rsid w:val="00321A92"/>
    <w:rsid w:val="003232E5"/>
    <w:rsid w:val="003250D0"/>
    <w:rsid w:val="003313C3"/>
    <w:rsid w:val="00334E80"/>
    <w:rsid w:val="00335E0A"/>
    <w:rsid w:val="00336CA1"/>
    <w:rsid w:val="0033755E"/>
    <w:rsid w:val="00341B3E"/>
    <w:rsid w:val="00344256"/>
    <w:rsid w:val="003464E2"/>
    <w:rsid w:val="003535D1"/>
    <w:rsid w:val="00353B05"/>
    <w:rsid w:val="00355537"/>
    <w:rsid w:val="00357387"/>
    <w:rsid w:val="0035744F"/>
    <w:rsid w:val="00360004"/>
    <w:rsid w:val="00361919"/>
    <w:rsid w:val="00361ED6"/>
    <w:rsid w:val="003627D5"/>
    <w:rsid w:val="003630DB"/>
    <w:rsid w:val="00363FB1"/>
    <w:rsid w:val="00367FB7"/>
    <w:rsid w:val="00370F92"/>
    <w:rsid w:val="00371A53"/>
    <w:rsid w:val="003736EB"/>
    <w:rsid w:val="00374574"/>
    <w:rsid w:val="0037482A"/>
    <w:rsid w:val="00381E10"/>
    <w:rsid w:val="003820C1"/>
    <w:rsid w:val="00383172"/>
    <w:rsid w:val="0038355B"/>
    <w:rsid w:val="003855E6"/>
    <w:rsid w:val="00387375"/>
    <w:rsid w:val="00387432"/>
    <w:rsid w:val="003932FE"/>
    <w:rsid w:val="00394755"/>
    <w:rsid w:val="003A089B"/>
    <w:rsid w:val="003A1ADB"/>
    <w:rsid w:val="003A37AB"/>
    <w:rsid w:val="003A3D3C"/>
    <w:rsid w:val="003A5969"/>
    <w:rsid w:val="003A64CF"/>
    <w:rsid w:val="003A7875"/>
    <w:rsid w:val="003A79C3"/>
    <w:rsid w:val="003A7A41"/>
    <w:rsid w:val="003B26A9"/>
    <w:rsid w:val="003B4F27"/>
    <w:rsid w:val="003B697F"/>
    <w:rsid w:val="003C0447"/>
    <w:rsid w:val="003C09ED"/>
    <w:rsid w:val="003C6A39"/>
    <w:rsid w:val="003C7217"/>
    <w:rsid w:val="003C7260"/>
    <w:rsid w:val="003D0ED0"/>
    <w:rsid w:val="003D212B"/>
    <w:rsid w:val="003D2CE9"/>
    <w:rsid w:val="003D2E5E"/>
    <w:rsid w:val="003D52DD"/>
    <w:rsid w:val="003D7AA9"/>
    <w:rsid w:val="003E2AE3"/>
    <w:rsid w:val="003E3264"/>
    <w:rsid w:val="003E329B"/>
    <w:rsid w:val="003E3EA6"/>
    <w:rsid w:val="003F0400"/>
    <w:rsid w:val="003F1947"/>
    <w:rsid w:val="003F5B72"/>
    <w:rsid w:val="003F6A92"/>
    <w:rsid w:val="003F6D0F"/>
    <w:rsid w:val="003F761B"/>
    <w:rsid w:val="003F7B8B"/>
    <w:rsid w:val="00400B8B"/>
    <w:rsid w:val="00401324"/>
    <w:rsid w:val="0040433C"/>
    <w:rsid w:val="00405EF9"/>
    <w:rsid w:val="00406A8F"/>
    <w:rsid w:val="00406DF6"/>
    <w:rsid w:val="00407716"/>
    <w:rsid w:val="00410324"/>
    <w:rsid w:val="00411868"/>
    <w:rsid w:val="00411B81"/>
    <w:rsid w:val="00413B7B"/>
    <w:rsid w:val="00413BFD"/>
    <w:rsid w:val="004145C5"/>
    <w:rsid w:val="0041461F"/>
    <w:rsid w:val="00415F9F"/>
    <w:rsid w:val="00416A4D"/>
    <w:rsid w:val="00416B14"/>
    <w:rsid w:val="00417C4A"/>
    <w:rsid w:val="00420775"/>
    <w:rsid w:val="00421E17"/>
    <w:rsid w:val="0042345C"/>
    <w:rsid w:val="004247F3"/>
    <w:rsid w:val="0042539C"/>
    <w:rsid w:val="00425628"/>
    <w:rsid w:val="004257AC"/>
    <w:rsid w:val="00425CA1"/>
    <w:rsid w:val="00426340"/>
    <w:rsid w:val="00426ACC"/>
    <w:rsid w:val="00430572"/>
    <w:rsid w:val="00433353"/>
    <w:rsid w:val="00444F29"/>
    <w:rsid w:val="00445BCD"/>
    <w:rsid w:val="00446366"/>
    <w:rsid w:val="004464C8"/>
    <w:rsid w:val="0044651A"/>
    <w:rsid w:val="004470FF"/>
    <w:rsid w:val="004536E4"/>
    <w:rsid w:val="00460DF6"/>
    <w:rsid w:val="0046124D"/>
    <w:rsid w:val="0046151C"/>
    <w:rsid w:val="00461F71"/>
    <w:rsid w:val="0046431A"/>
    <w:rsid w:val="00464CF0"/>
    <w:rsid w:val="00466447"/>
    <w:rsid w:val="0047125F"/>
    <w:rsid w:val="00471803"/>
    <w:rsid w:val="00473073"/>
    <w:rsid w:val="004737F1"/>
    <w:rsid w:val="00473AE9"/>
    <w:rsid w:val="0047462A"/>
    <w:rsid w:val="00474F65"/>
    <w:rsid w:val="00476359"/>
    <w:rsid w:val="004764A4"/>
    <w:rsid w:val="00476808"/>
    <w:rsid w:val="00480A6F"/>
    <w:rsid w:val="00482D46"/>
    <w:rsid w:val="00483848"/>
    <w:rsid w:val="00485FDE"/>
    <w:rsid w:val="00487300"/>
    <w:rsid w:val="00492D24"/>
    <w:rsid w:val="00494637"/>
    <w:rsid w:val="00497F45"/>
    <w:rsid w:val="004A0FA1"/>
    <w:rsid w:val="004A10FB"/>
    <w:rsid w:val="004A4138"/>
    <w:rsid w:val="004A5738"/>
    <w:rsid w:val="004A6A15"/>
    <w:rsid w:val="004B1449"/>
    <w:rsid w:val="004B1EC0"/>
    <w:rsid w:val="004B249D"/>
    <w:rsid w:val="004B4903"/>
    <w:rsid w:val="004B5844"/>
    <w:rsid w:val="004B782D"/>
    <w:rsid w:val="004C00BD"/>
    <w:rsid w:val="004C06FD"/>
    <w:rsid w:val="004C1041"/>
    <w:rsid w:val="004C25D5"/>
    <w:rsid w:val="004C29B2"/>
    <w:rsid w:val="004C349E"/>
    <w:rsid w:val="004C3833"/>
    <w:rsid w:val="004C4722"/>
    <w:rsid w:val="004C4D14"/>
    <w:rsid w:val="004C72ED"/>
    <w:rsid w:val="004D0521"/>
    <w:rsid w:val="004D3D24"/>
    <w:rsid w:val="004D4A23"/>
    <w:rsid w:val="004D708F"/>
    <w:rsid w:val="004E3836"/>
    <w:rsid w:val="004E45B0"/>
    <w:rsid w:val="004E46D5"/>
    <w:rsid w:val="004E510C"/>
    <w:rsid w:val="004E5C75"/>
    <w:rsid w:val="004E6D17"/>
    <w:rsid w:val="004E798D"/>
    <w:rsid w:val="004F4BAA"/>
    <w:rsid w:val="004F4F23"/>
    <w:rsid w:val="004F5B57"/>
    <w:rsid w:val="004F7CC2"/>
    <w:rsid w:val="00501D2C"/>
    <w:rsid w:val="00502178"/>
    <w:rsid w:val="00502291"/>
    <w:rsid w:val="00502E37"/>
    <w:rsid w:val="00503D37"/>
    <w:rsid w:val="005048A7"/>
    <w:rsid w:val="00504A7A"/>
    <w:rsid w:val="005064B9"/>
    <w:rsid w:val="005105EC"/>
    <w:rsid w:val="00513E44"/>
    <w:rsid w:val="00514606"/>
    <w:rsid w:val="00514646"/>
    <w:rsid w:val="00517A36"/>
    <w:rsid w:val="00517CB0"/>
    <w:rsid w:val="00520139"/>
    <w:rsid w:val="005201D2"/>
    <w:rsid w:val="00525107"/>
    <w:rsid w:val="00525675"/>
    <w:rsid w:val="005314FD"/>
    <w:rsid w:val="0053260E"/>
    <w:rsid w:val="005331BB"/>
    <w:rsid w:val="00534AE3"/>
    <w:rsid w:val="005353B0"/>
    <w:rsid w:val="005362CE"/>
    <w:rsid w:val="00536307"/>
    <w:rsid w:val="005364B7"/>
    <w:rsid w:val="0053654F"/>
    <w:rsid w:val="00540FCE"/>
    <w:rsid w:val="00542CF2"/>
    <w:rsid w:val="005435ED"/>
    <w:rsid w:val="00545189"/>
    <w:rsid w:val="005471F3"/>
    <w:rsid w:val="0054742F"/>
    <w:rsid w:val="0054756F"/>
    <w:rsid w:val="00547F9C"/>
    <w:rsid w:val="00551002"/>
    <w:rsid w:val="00553BB8"/>
    <w:rsid w:val="005548CA"/>
    <w:rsid w:val="00555991"/>
    <w:rsid w:val="00556A82"/>
    <w:rsid w:val="00560F37"/>
    <w:rsid w:val="0056136B"/>
    <w:rsid w:val="00561AB8"/>
    <w:rsid w:val="00565968"/>
    <w:rsid w:val="005710ED"/>
    <w:rsid w:val="005719B9"/>
    <w:rsid w:val="00573B1F"/>
    <w:rsid w:val="005741C6"/>
    <w:rsid w:val="00574E16"/>
    <w:rsid w:val="00576323"/>
    <w:rsid w:val="00577BE8"/>
    <w:rsid w:val="00585A46"/>
    <w:rsid w:val="0058765B"/>
    <w:rsid w:val="00590A50"/>
    <w:rsid w:val="00593A50"/>
    <w:rsid w:val="00593CF5"/>
    <w:rsid w:val="00594110"/>
    <w:rsid w:val="00594385"/>
    <w:rsid w:val="00596751"/>
    <w:rsid w:val="005A0459"/>
    <w:rsid w:val="005A1C4C"/>
    <w:rsid w:val="005A36F7"/>
    <w:rsid w:val="005A375E"/>
    <w:rsid w:val="005A3AA9"/>
    <w:rsid w:val="005A498B"/>
    <w:rsid w:val="005A5362"/>
    <w:rsid w:val="005A5899"/>
    <w:rsid w:val="005A5C74"/>
    <w:rsid w:val="005A5DC3"/>
    <w:rsid w:val="005A79B6"/>
    <w:rsid w:val="005A7CA7"/>
    <w:rsid w:val="005B05CA"/>
    <w:rsid w:val="005B0A17"/>
    <w:rsid w:val="005B1688"/>
    <w:rsid w:val="005B1F05"/>
    <w:rsid w:val="005B429D"/>
    <w:rsid w:val="005B438A"/>
    <w:rsid w:val="005B4CFD"/>
    <w:rsid w:val="005B70A3"/>
    <w:rsid w:val="005C3DE9"/>
    <w:rsid w:val="005C41D7"/>
    <w:rsid w:val="005C4A15"/>
    <w:rsid w:val="005C4EC7"/>
    <w:rsid w:val="005C5F39"/>
    <w:rsid w:val="005D1ACF"/>
    <w:rsid w:val="005D1CC2"/>
    <w:rsid w:val="005D517C"/>
    <w:rsid w:val="005D7A00"/>
    <w:rsid w:val="005D7D7F"/>
    <w:rsid w:val="005E03B6"/>
    <w:rsid w:val="005E1BEB"/>
    <w:rsid w:val="005E5945"/>
    <w:rsid w:val="005E70A5"/>
    <w:rsid w:val="005E78E0"/>
    <w:rsid w:val="005F3315"/>
    <w:rsid w:val="005F3E5D"/>
    <w:rsid w:val="005F4C99"/>
    <w:rsid w:val="005F7868"/>
    <w:rsid w:val="00603F99"/>
    <w:rsid w:val="006042E1"/>
    <w:rsid w:val="0060620C"/>
    <w:rsid w:val="00606EA0"/>
    <w:rsid w:val="0060732D"/>
    <w:rsid w:val="00611F9C"/>
    <w:rsid w:val="006137BD"/>
    <w:rsid w:val="0061584F"/>
    <w:rsid w:val="006176A2"/>
    <w:rsid w:val="0062034C"/>
    <w:rsid w:val="00622EB3"/>
    <w:rsid w:val="00623B03"/>
    <w:rsid w:val="0062552D"/>
    <w:rsid w:val="00625928"/>
    <w:rsid w:val="0062724C"/>
    <w:rsid w:val="00627C81"/>
    <w:rsid w:val="00630AB8"/>
    <w:rsid w:val="006317C1"/>
    <w:rsid w:val="00631EC8"/>
    <w:rsid w:val="00641382"/>
    <w:rsid w:val="006426A6"/>
    <w:rsid w:val="00642D0D"/>
    <w:rsid w:val="006472C9"/>
    <w:rsid w:val="006472DB"/>
    <w:rsid w:val="00647D5E"/>
    <w:rsid w:val="00647E80"/>
    <w:rsid w:val="0065200F"/>
    <w:rsid w:val="0066095D"/>
    <w:rsid w:val="00660C33"/>
    <w:rsid w:val="00660FDB"/>
    <w:rsid w:val="006615D5"/>
    <w:rsid w:val="00661E23"/>
    <w:rsid w:val="00666DD5"/>
    <w:rsid w:val="00671CF9"/>
    <w:rsid w:val="00674C70"/>
    <w:rsid w:val="00674DC9"/>
    <w:rsid w:val="00675C52"/>
    <w:rsid w:val="00676452"/>
    <w:rsid w:val="0067795F"/>
    <w:rsid w:val="00680FCE"/>
    <w:rsid w:val="00682864"/>
    <w:rsid w:val="00685FE8"/>
    <w:rsid w:val="00686491"/>
    <w:rsid w:val="00690219"/>
    <w:rsid w:val="00693E3B"/>
    <w:rsid w:val="006943A3"/>
    <w:rsid w:val="00695C8C"/>
    <w:rsid w:val="006A1945"/>
    <w:rsid w:val="006A1A52"/>
    <w:rsid w:val="006A2FE7"/>
    <w:rsid w:val="006A4292"/>
    <w:rsid w:val="006B3142"/>
    <w:rsid w:val="006B33BB"/>
    <w:rsid w:val="006B3B7E"/>
    <w:rsid w:val="006B4FC5"/>
    <w:rsid w:val="006C20F7"/>
    <w:rsid w:val="006C3644"/>
    <w:rsid w:val="006C3D40"/>
    <w:rsid w:val="006C647A"/>
    <w:rsid w:val="006C7F78"/>
    <w:rsid w:val="006D1294"/>
    <w:rsid w:val="006D1306"/>
    <w:rsid w:val="006D2DE9"/>
    <w:rsid w:val="006D2F88"/>
    <w:rsid w:val="006D45A7"/>
    <w:rsid w:val="006D4BFD"/>
    <w:rsid w:val="006D6303"/>
    <w:rsid w:val="006E05CF"/>
    <w:rsid w:val="006E370B"/>
    <w:rsid w:val="006E6465"/>
    <w:rsid w:val="006F1960"/>
    <w:rsid w:val="006F2B11"/>
    <w:rsid w:val="006F45FF"/>
    <w:rsid w:val="006F4B93"/>
    <w:rsid w:val="00700A4C"/>
    <w:rsid w:val="00702CDF"/>
    <w:rsid w:val="00702DE9"/>
    <w:rsid w:val="00703A18"/>
    <w:rsid w:val="00704665"/>
    <w:rsid w:val="00705BA0"/>
    <w:rsid w:val="007079AE"/>
    <w:rsid w:val="00710EA0"/>
    <w:rsid w:val="007122A8"/>
    <w:rsid w:val="00712D6A"/>
    <w:rsid w:val="00712DE2"/>
    <w:rsid w:val="007144BD"/>
    <w:rsid w:val="00715F4B"/>
    <w:rsid w:val="00724ADE"/>
    <w:rsid w:val="007276F0"/>
    <w:rsid w:val="0073218E"/>
    <w:rsid w:val="0073341D"/>
    <w:rsid w:val="00734BAC"/>
    <w:rsid w:val="00737CDE"/>
    <w:rsid w:val="007406E8"/>
    <w:rsid w:val="0074725B"/>
    <w:rsid w:val="00747E3F"/>
    <w:rsid w:val="00750075"/>
    <w:rsid w:val="0075102C"/>
    <w:rsid w:val="00751F8C"/>
    <w:rsid w:val="00754171"/>
    <w:rsid w:val="00756860"/>
    <w:rsid w:val="00756DCF"/>
    <w:rsid w:val="00757656"/>
    <w:rsid w:val="007604DD"/>
    <w:rsid w:val="00761945"/>
    <w:rsid w:val="0076225D"/>
    <w:rsid w:val="00763737"/>
    <w:rsid w:val="007637E6"/>
    <w:rsid w:val="0076481F"/>
    <w:rsid w:val="0076515B"/>
    <w:rsid w:val="00765FBF"/>
    <w:rsid w:val="007700A7"/>
    <w:rsid w:val="007700F5"/>
    <w:rsid w:val="007702E2"/>
    <w:rsid w:val="0077090B"/>
    <w:rsid w:val="00774414"/>
    <w:rsid w:val="00774691"/>
    <w:rsid w:val="0077543A"/>
    <w:rsid w:val="00775947"/>
    <w:rsid w:val="00775B57"/>
    <w:rsid w:val="00776C52"/>
    <w:rsid w:val="00777BD7"/>
    <w:rsid w:val="00777E7E"/>
    <w:rsid w:val="00783995"/>
    <w:rsid w:val="00790CF7"/>
    <w:rsid w:val="007955FA"/>
    <w:rsid w:val="00795A61"/>
    <w:rsid w:val="00795FC9"/>
    <w:rsid w:val="007A22F7"/>
    <w:rsid w:val="007A32F0"/>
    <w:rsid w:val="007A5B56"/>
    <w:rsid w:val="007A6784"/>
    <w:rsid w:val="007B1359"/>
    <w:rsid w:val="007B1936"/>
    <w:rsid w:val="007B2125"/>
    <w:rsid w:val="007B3164"/>
    <w:rsid w:val="007B5027"/>
    <w:rsid w:val="007B555B"/>
    <w:rsid w:val="007B7607"/>
    <w:rsid w:val="007B7B67"/>
    <w:rsid w:val="007B7F9D"/>
    <w:rsid w:val="007C1FDD"/>
    <w:rsid w:val="007C26C9"/>
    <w:rsid w:val="007C3252"/>
    <w:rsid w:val="007C33D7"/>
    <w:rsid w:val="007C4B23"/>
    <w:rsid w:val="007C5580"/>
    <w:rsid w:val="007C6A5E"/>
    <w:rsid w:val="007D0E43"/>
    <w:rsid w:val="007D1A62"/>
    <w:rsid w:val="007D44B4"/>
    <w:rsid w:val="007D4C3A"/>
    <w:rsid w:val="007D56F3"/>
    <w:rsid w:val="007D684A"/>
    <w:rsid w:val="007E136F"/>
    <w:rsid w:val="007E1750"/>
    <w:rsid w:val="007E2831"/>
    <w:rsid w:val="007E28BD"/>
    <w:rsid w:val="007E5069"/>
    <w:rsid w:val="007F1C4E"/>
    <w:rsid w:val="007F2584"/>
    <w:rsid w:val="007F2840"/>
    <w:rsid w:val="007F3BE9"/>
    <w:rsid w:val="007F482B"/>
    <w:rsid w:val="007F491E"/>
    <w:rsid w:val="007F5545"/>
    <w:rsid w:val="007F6817"/>
    <w:rsid w:val="007F737E"/>
    <w:rsid w:val="007F7814"/>
    <w:rsid w:val="00801164"/>
    <w:rsid w:val="00801575"/>
    <w:rsid w:val="00802590"/>
    <w:rsid w:val="00806319"/>
    <w:rsid w:val="00810A3A"/>
    <w:rsid w:val="00811F2B"/>
    <w:rsid w:val="008125D2"/>
    <w:rsid w:val="008134AE"/>
    <w:rsid w:val="00813D8F"/>
    <w:rsid w:val="0081407F"/>
    <w:rsid w:val="00817173"/>
    <w:rsid w:val="00817588"/>
    <w:rsid w:val="00822BC3"/>
    <w:rsid w:val="00825843"/>
    <w:rsid w:val="00827CB2"/>
    <w:rsid w:val="00833D66"/>
    <w:rsid w:val="00835B46"/>
    <w:rsid w:val="008368B5"/>
    <w:rsid w:val="00837254"/>
    <w:rsid w:val="00837843"/>
    <w:rsid w:val="00843514"/>
    <w:rsid w:val="00843AB9"/>
    <w:rsid w:val="00845FF6"/>
    <w:rsid w:val="008472F3"/>
    <w:rsid w:val="008503E6"/>
    <w:rsid w:val="008513D6"/>
    <w:rsid w:val="00852354"/>
    <w:rsid w:val="008525D7"/>
    <w:rsid w:val="00853F7C"/>
    <w:rsid w:val="00856B1E"/>
    <w:rsid w:val="00864E70"/>
    <w:rsid w:val="00864FAE"/>
    <w:rsid w:val="0086551B"/>
    <w:rsid w:val="00866291"/>
    <w:rsid w:val="008676CB"/>
    <w:rsid w:val="008708C0"/>
    <w:rsid w:val="00871450"/>
    <w:rsid w:val="00872AD5"/>
    <w:rsid w:val="0087421E"/>
    <w:rsid w:val="00874E04"/>
    <w:rsid w:val="0087565A"/>
    <w:rsid w:val="00875AB3"/>
    <w:rsid w:val="0087607F"/>
    <w:rsid w:val="00877074"/>
    <w:rsid w:val="00877402"/>
    <w:rsid w:val="008774F9"/>
    <w:rsid w:val="008828F5"/>
    <w:rsid w:val="00886FF7"/>
    <w:rsid w:val="00891CFD"/>
    <w:rsid w:val="0089466E"/>
    <w:rsid w:val="008951BB"/>
    <w:rsid w:val="0089546A"/>
    <w:rsid w:val="008964D9"/>
    <w:rsid w:val="008968C7"/>
    <w:rsid w:val="008A17A7"/>
    <w:rsid w:val="008A1C1E"/>
    <w:rsid w:val="008A74FF"/>
    <w:rsid w:val="008B044A"/>
    <w:rsid w:val="008B064F"/>
    <w:rsid w:val="008B1516"/>
    <w:rsid w:val="008B3588"/>
    <w:rsid w:val="008B6ECC"/>
    <w:rsid w:val="008B7289"/>
    <w:rsid w:val="008C0704"/>
    <w:rsid w:val="008C265E"/>
    <w:rsid w:val="008C2798"/>
    <w:rsid w:val="008C2F15"/>
    <w:rsid w:val="008C45C5"/>
    <w:rsid w:val="008C6E1B"/>
    <w:rsid w:val="008D0A01"/>
    <w:rsid w:val="008D0FA5"/>
    <w:rsid w:val="008D156C"/>
    <w:rsid w:val="008D26B8"/>
    <w:rsid w:val="008D2F9E"/>
    <w:rsid w:val="008D79A9"/>
    <w:rsid w:val="008E14AF"/>
    <w:rsid w:val="008E17F2"/>
    <w:rsid w:val="008E323E"/>
    <w:rsid w:val="008E6501"/>
    <w:rsid w:val="008E6645"/>
    <w:rsid w:val="008E687D"/>
    <w:rsid w:val="008E7EBC"/>
    <w:rsid w:val="008F019F"/>
    <w:rsid w:val="008F073A"/>
    <w:rsid w:val="008F2858"/>
    <w:rsid w:val="008F3E85"/>
    <w:rsid w:val="008F4304"/>
    <w:rsid w:val="00900DE3"/>
    <w:rsid w:val="009010B4"/>
    <w:rsid w:val="00902824"/>
    <w:rsid w:val="009029E5"/>
    <w:rsid w:val="00903390"/>
    <w:rsid w:val="00903DD6"/>
    <w:rsid w:val="009060FE"/>
    <w:rsid w:val="009065F4"/>
    <w:rsid w:val="0090747A"/>
    <w:rsid w:val="00910029"/>
    <w:rsid w:val="009117BA"/>
    <w:rsid w:val="009135E0"/>
    <w:rsid w:val="009158A6"/>
    <w:rsid w:val="00920632"/>
    <w:rsid w:val="0092193B"/>
    <w:rsid w:val="00922EA9"/>
    <w:rsid w:val="00923693"/>
    <w:rsid w:val="00924135"/>
    <w:rsid w:val="00924EB7"/>
    <w:rsid w:val="009301CC"/>
    <w:rsid w:val="009313B9"/>
    <w:rsid w:val="00937DE1"/>
    <w:rsid w:val="00943BB8"/>
    <w:rsid w:val="00943D5C"/>
    <w:rsid w:val="009441AC"/>
    <w:rsid w:val="00945264"/>
    <w:rsid w:val="00945F37"/>
    <w:rsid w:val="00946DD1"/>
    <w:rsid w:val="00950278"/>
    <w:rsid w:val="00950465"/>
    <w:rsid w:val="009508E5"/>
    <w:rsid w:val="009509DF"/>
    <w:rsid w:val="009540CB"/>
    <w:rsid w:val="009543C5"/>
    <w:rsid w:val="00954795"/>
    <w:rsid w:val="00955007"/>
    <w:rsid w:val="009551C1"/>
    <w:rsid w:val="00956A6E"/>
    <w:rsid w:val="00957050"/>
    <w:rsid w:val="009570B9"/>
    <w:rsid w:val="00962AA3"/>
    <w:rsid w:val="009631B7"/>
    <w:rsid w:val="0096387E"/>
    <w:rsid w:val="0096472A"/>
    <w:rsid w:val="00965407"/>
    <w:rsid w:val="00966479"/>
    <w:rsid w:val="00967F3C"/>
    <w:rsid w:val="00970AFD"/>
    <w:rsid w:val="00973F4C"/>
    <w:rsid w:val="0097678E"/>
    <w:rsid w:val="00977629"/>
    <w:rsid w:val="00977697"/>
    <w:rsid w:val="00980946"/>
    <w:rsid w:val="00982694"/>
    <w:rsid w:val="00983C7D"/>
    <w:rsid w:val="00983CE5"/>
    <w:rsid w:val="00983E8E"/>
    <w:rsid w:val="009843BF"/>
    <w:rsid w:val="00985DD1"/>
    <w:rsid w:val="00986D8B"/>
    <w:rsid w:val="00992CA2"/>
    <w:rsid w:val="00992E28"/>
    <w:rsid w:val="009965D8"/>
    <w:rsid w:val="00996C79"/>
    <w:rsid w:val="00996F16"/>
    <w:rsid w:val="00996F5A"/>
    <w:rsid w:val="009A24F1"/>
    <w:rsid w:val="009A2BF5"/>
    <w:rsid w:val="009A3FD0"/>
    <w:rsid w:val="009A466D"/>
    <w:rsid w:val="009A59AA"/>
    <w:rsid w:val="009B03E5"/>
    <w:rsid w:val="009B082A"/>
    <w:rsid w:val="009B0D1F"/>
    <w:rsid w:val="009B116F"/>
    <w:rsid w:val="009B5716"/>
    <w:rsid w:val="009C02AF"/>
    <w:rsid w:val="009C0F82"/>
    <w:rsid w:val="009C194B"/>
    <w:rsid w:val="009C1C14"/>
    <w:rsid w:val="009C29D3"/>
    <w:rsid w:val="009C46C5"/>
    <w:rsid w:val="009C6304"/>
    <w:rsid w:val="009C71AB"/>
    <w:rsid w:val="009D0ABB"/>
    <w:rsid w:val="009D13D7"/>
    <w:rsid w:val="009D3BB2"/>
    <w:rsid w:val="009E208D"/>
    <w:rsid w:val="009E2345"/>
    <w:rsid w:val="009E2579"/>
    <w:rsid w:val="009E6B50"/>
    <w:rsid w:val="009F0A34"/>
    <w:rsid w:val="009F3F2F"/>
    <w:rsid w:val="009F5F20"/>
    <w:rsid w:val="009F62D4"/>
    <w:rsid w:val="009F7B65"/>
    <w:rsid w:val="00A005AA"/>
    <w:rsid w:val="00A0089F"/>
    <w:rsid w:val="00A01092"/>
    <w:rsid w:val="00A03554"/>
    <w:rsid w:val="00A04DCD"/>
    <w:rsid w:val="00A05CC9"/>
    <w:rsid w:val="00A119FD"/>
    <w:rsid w:val="00A11DF2"/>
    <w:rsid w:val="00A16828"/>
    <w:rsid w:val="00A16885"/>
    <w:rsid w:val="00A17807"/>
    <w:rsid w:val="00A24FD3"/>
    <w:rsid w:val="00A26B0D"/>
    <w:rsid w:val="00A27128"/>
    <w:rsid w:val="00A27417"/>
    <w:rsid w:val="00A3086A"/>
    <w:rsid w:val="00A32619"/>
    <w:rsid w:val="00A32D63"/>
    <w:rsid w:val="00A331C4"/>
    <w:rsid w:val="00A345D2"/>
    <w:rsid w:val="00A3487D"/>
    <w:rsid w:val="00A35AC3"/>
    <w:rsid w:val="00A36F79"/>
    <w:rsid w:val="00A41CE0"/>
    <w:rsid w:val="00A440E6"/>
    <w:rsid w:val="00A50C53"/>
    <w:rsid w:val="00A514A7"/>
    <w:rsid w:val="00A52412"/>
    <w:rsid w:val="00A524EA"/>
    <w:rsid w:val="00A5535D"/>
    <w:rsid w:val="00A56B17"/>
    <w:rsid w:val="00A56D35"/>
    <w:rsid w:val="00A6209D"/>
    <w:rsid w:val="00A622A3"/>
    <w:rsid w:val="00A627B5"/>
    <w:rsid w:val="00A6299A"/>
    <w:rsid w:val="00A66591"/>
    <w:rsid w:val="00A7067D"/>
    <w:rsid w:val="00A7338C"/>
    <w:rsid w:val="00A7400F"/>
    <w:rsid w:val="00A77319"/>
    <w:rsid w:val="00A80ECF"/>
    <w:rsid w:val="00A8128B"/>
    <w:rsid w:val="00A82499"/>
    <w:rsid w:val="00A843DF"/>
    <w:rsid w:val="00A86415"/>
    <w:rsid w:val="00A8789C"/>
    <w:rsid w:val="00A908DE"/>
    <w:rsid w:val="00A90C5F"/>
    <w:rsid w:val="00A94320"/>
    <w:rsid w:val="00AA100E"/>
    <w:rsid w:val="00AA15E2"/>
    <w:rsid w:val="00AA1911"/>
    <w:rsid w:val="00AA32CB"/>
    <w:rsid w:val="00AA62C1"/>
    <w:rsid w:val="00AB1C1D"/>
    <w:rsid w:val="00AB372A"/>
    <w:rsid w:val="00AB4216"/>
    <w:rsid w:val="00AB4582"/>
    <w:rsid w:val="00AB48EE"/>
    <w:rsid w:val="00AB51ED"/>
    <w:rsid w:val="00AB5950"/>
    <w:rsid w:val="00AC028F"/>
    <w:rsid w:val="00AC06AE"/>
    <w:rsid w:val="00AC1025"/>
    <w:rsid w:val="00AC2CFD"/>
    <w:rsid w:val="00AC3BBD"/>
    <w:rsid w:val="00AC5085"/>
    <w:rsid w:val="00AC6706"/>
    <w:rsid w:val="00AC7377"/>
    <w:rsid w:val="00AC7984"/>
    <w:rsid w:val="00AC7DA9"/>
    <w:rsid w:val="00AD24A2"/>
    <w:rsid w:val="00AD4575"/>
    <w:rsid w:val="00AD5B2D"/>
    <w:rsid w:val="00AD686A"/>
    <w:rsid w:val="00AE2186"/>
    <w:rsid w:val="00AE2443"/>
    <w:rsid w:val="00AE2849"/>
    <w:rsid w:val="00AE3336"/>
    <w:rsid w:val="00AE3C90"/>
    <w:rsid w:val="00AE4D78"/>
    <w:rsid w:val="00AE77E9"/>
    <w:rsid w:val="00AF1F3B"/>
    <w:rsid w:val="00AF5119"/>
    <w:rsid w:val="00AF6FAB"/>
    <w:rsid w:val="00B0055B"/>
    <w:rsid w:val="00B01159"/>
    <w:rsid w:val="00B0179D"/>
    <w:rsid w:val="00B018B3"/>
    <w:rsid w:val="00B02D3B"/>
    <w:rsid w:val="00B031BD"/>
    <w:rsid w:val="00B03549"/>
    <w:rsid w:val="00B03AA1"/>
    <w:rsid w:val="00B050A9"/>
    <w:rsid w:val="00B05B86"/>
    <w:rsid w:val="00B05D05"/>
    <w:rsid w:val="00B06F11"/>
    <w:rsid w:val="00B10909"/>
    <w:rsid w:val="00B1170C"/>
    <w:rsid w:val="00B11C71"/>
    <w:rsid w:val="00B11F28"/>
    <w:rsid w:val="00B14C89"/>
    <w:rsid w:val="00B1580D"/>
    <w:rsid w:val="00B179C8"/>
    <w:rsid w:val="00B17D22"/>
    <w:rsid w:val="00B20C25"/>
    <w:rsid w:val="00B21935"/>
    <w:rsid w:val="00B26618"/>
    <w:rsid w:val="00B27CB4"/>
    <w:rsid w:val="00B3116D"/>
    <w:rsid w:val="00B31946"/>
    <w:rsid w:val="00B32098"/>
    <w:rsid w:val="00B326DD"/>
    <w:rsid w:val="00B32E88"/>
    <w:rsid w:val="00B360B0"/>
    <w:rsid w:val="00B369C1"/>
    <w:rsid w:val="00B41C5A"/>
    <w:rsid w:val="00B42CDF"/>
    <w:rsid w:val="00B43328"/>
    <w:rsid w:val="00B44D6F"/>
    <w:rsid w:val="00B47661"/>
    <w:rsid w:val="00B47C0E"/>
    <w:rsid w:val="00B47E62"/>
    <w:rsid w:val="00B504A3"/>
    <w:rsid w:val="00B50D2F"/>
    <w:rsid w:val="00B51664"/>
    <w:rsid w:val="00B55943"/>
    <w:rsid w:val="00B560AF"/>
    <w:rsid w:val="00B56783"/>
    <w:rsid w:val="00B57AB7"/>
    <w:rsid w:val="00B603D9"/>
    <w:rsid w:val="00B60E98"/>
    <w:rsid w:val="00B63A17"/>
    <w:rsid w:val="00B6439F"/>
    <w:rsid w:val="00B652E6"/>
    <w:rsid w:val="00B7084A"/>
    <w:rsid w:val="00B71306"/>
    <w:rsid w:val="00B7220E"/>
    <w:rsid w:val="00B72EC5"/>
    <w:rsid w:val="00B737BD"/>
    <w:rsid w:val="00B740C1"/>
    <w:rsid w:val="00B751D1"/>
    <w:rsid w:val="00B76699"/>
    <w:rsid w:val="00B77F87"/>
    <w:rsid w:val="00B8013D"/>
    <w:rsid w:val="00B80812"/>
    <w:rsid w:val="00B81D19"/>
    <w:rsid w:val="00B85549"/>
    <w:rsid w:val="00B867D3"/>
    <w:rsid w:val="00B86AC7"/>
    <w:rsid w:val="00B905EB"/>
    <w:rsid w:val="00B92607"/>
    <w:rsid w:val="00B93E4C"/>
    <w:rsid w:val="00B941C3"/>
    <w:rsid w:val="00B9570B"/>
    <w:rsid w:val="00B9736F"/>
    <w:rsid w:val="00BA0FA4"/>
    <w:rsid w:val="00BA1846"/>
    <w:rsid w:val="00BA1878"/>
    <w:rsid w:val="00BA2C8F"/>
    <w:rsid w:val="00BA37C7"/>
    <w:rsid w:val="00BA5202"/>
    <w:rsid w:val="00BA5389"/>
    <w:rsid w:val="00BA5EB2"/>
    <w:rsid w:val="00BB038A"/>
    <w:rsid w:val="00BB08DB"/>
    <w:rsid w:val="00BB0900"/>
    <w:rsid w:val="00BB0AD7"/>
    <w:rsid w:val="00BB5D62"/>
    <w:rsid w:val="00BB6289"/>
    <w:rsid w:val="00BB7C26"/>
    <w:rsid w:val="00BC160D"/>
    <w:rsid w:val="00BC2DD0"/>
    <w:rsid w:val="00BC3AC6"/>
    <w:rsid w:val="00BC678D"/>
    <w:rsid w:val="00BC7CD6"/>
    <w:rsid w:val="00BD24C3"/>
    <w:rsid w:val="00BD3D24"/>
    <w:rsid w:val="00BD618C"/>
    <w:rsid w:val="00BE2092"/>
    <w:rsid w:val="00BE2899"/>
    <w:rsid w:val="00BE2F6B"/>
    <w:rsid w:val="00BE4280"/>
    <w:rsid w:val="00BE76A7"/>
    <w:rsid w:val="00BF1838"/>
    <w:rsid w:val="00BF2451"/>
    <w:rsid w:val="00BF35C6"/>
    <w:rsid w:val="00BF5A17"/>
    <w:rsid w:val="00BF7ECF"/>
    <w:rsid w:val="00C006E1"/>
    <w:rsid w:val="00C00994"/>
    <w:rsid w:val="00C03D6B"/>
    <w:rsid w:val="00C047B5"/>
    <w:rsid w:val="00C07887"/>
    <w:rsid w:val="00C07B5A"/>
    <w:rsid w:val="00C1046C"/>
    <w:rsid w:val="00C11162"/>
    <w:rsid w:val="00C11661"/>
    <w:rsid w:val="00C11D11"/>
    <w:rsid w:val="00C12D5A"/>
    <w:rsid w:val="00C1434F"/>
    <w:rsid w:val="00C15044"/>
    <w:rsid w:val="00C1569E"/>
    <w:rsid w:val="00C16785"/>
    <w:rsid w:val="00C16F8D"/>
    <w:rsid w:val="00C1797A"/>
    <w:rsid w:val="00C21443"/>
    <w:rsid w:val="00C21D18"/>
    <w:rsid w:val="00C2228F"/>
    <w:rsid w:val="00C2390B"/>
    <w:rsid w:val="00C2466B"/>
    <w:rsid w:val="00C254B4"/>
    <w:rsid w:val="00C264D8"/>
    <w:rsid w:val="00C27F62"/>
    <w:rsid w:val="00C30187"/>
    <w:rsid w:val="00C34537"/>
    <w:rsid w:val="00C36A43"/>
    <w:rsid w:val="00C37091"/>
    <w:rsid w:val="00C42C61"/>
    <w:rsid w:val="00C42FB4"/>
    <w:rsid w:val="00C4312D"/>
    <w:rsid w:val="00C44B45"/>
    <w:rsid w:val="00C47876"/>
    <w:rsid w:val="00C50C5D"/>
    <w:rsid w:val="00C52742"/>
    <w:rsid w:val="00C5275E"/>
    <w:rsid w:val="00C5337D"/>
    <w:rsid w:val="00C538C7"/>
    <w:rsid w:val="00C5591A"/>
    <w:rsid w:val="00C620D9"/>
    <w:rsid w:val="00C63492"/>
    <w:rsid w:val="00C63E9F"/>
    <w:rsid w:val="00C70F75"/>
    <w:rsid w:val="00C719D9"/>
    <w:rsid w:val="00C71B61"/>
    <w:rsid w:val="00C7389E"/>
    <w:rsid w:val="00C753FC"/>
    <w:rsid w:val="00C76C93"/>
    <w:rsid w:val="00C80844"/>
    <w:rsid w:val="00C810D5"/>
    <w:rsid w:val="00C81663"/>
    <w:rsid w:val="00C819EF"/>
    <w:rsid w:val="00C86F5B"/>
    <w:rsid w:val="00C94179"/>
    <w:rsid w:val="00C955C8"/>
    <w:rsid w:val="00C9563B"/>
    <w:rsid w:val="00C95D2D"/>
    <w:rsid w:val="00CA111E"/>
    <w:rsid w:val="00CA2D09"/>
    <w:rsid w:val="00CA2D2F"/>
    <w:rsid w:val="00CA336B"/>
    <w:rsid w:val="00CA4822"/>
    <w:rsid w:val="00CA4E12"/>
    <w:rsid w:val="00CA4E56"/>
    <w:rsid w:val="00CB1AAA"/>
    <w:rsid w:val="00CB4B9F"/>
    <w:rsid w:val="00CB580D"/>
    <w:rsid w:val="00CC5265"/>
    <w:rsid w:val="00CC6A3A"/>
    <w:rsid w:val="00CD148A"/>
    <w:rsid w:val="00CD1669"/>
    <w:rsid w:val="00CD2917"/>
    <w:rsid w:val="00CD2A3C"/>
    <w:rsid w:val="00CD3307"/>
    <w:rsid w:val="00CD4D37"/>
    <w:rsid w:val="00CD5903"/>
    <w:rsid w:val="00CD5E1F"/>
    <w:rsid w:val="00CD6102"/>
    <w:rsid w:val="00CD623A"/>
    <w:rsid w:val="00CE242B"/>
    <w:rsid w:val="00CE2451"/>
    <w:rsid w:val="00CE5DAA"/>
    <w:rsid w:val="00CE6EE9"/>
    <w:rsid w:val="00CE7105"/>
    <w:rsid w:val="00CF0900"/>
    <w:rsid w:val="00CF4B81"/>
    <w:rsid w:val="00CF5011"/>
    <w:rsid w:val="00CF5710"/>
    <w:rsid w:val="00D019A5"/>
    <w:rsid w:val="00D0568C"/>
    <w:rsid w:val="00D063F8"/>
    <w:rsid w:val="00D07D0E"/>
    <w:rsid w:val="00D12345"/>
    <w:rsid w:val="00D13728"/>
    <w:rsid w:val="00D168ED"/>
    <w:rsid w:val="00D175AF"/>
    <w:rsid w:val="00D17F80"/>
    <w:rsid w:val="00D23436"/>
    <w:rsid w:val="00D26383"/>
    <w:rsid w:val="00D265D4"/>
    <w:rsid w:val="00D30DEB"/>
    <w:rsid w:val="00D314F6"/>
    <w:rsid w:val="00D31802"/>
    <w:rsid w:val="00D3349D"/>
    <w:rsid w:val="00D35208"/>
    <w:rsid w:val="00D40A69"/>
    <w:rsid w:val="00D40CBA"/>
    <w:rsid w:val="00D4121E"/>
    <w:rsid w:val="00D445E8"/>
    <w:rsid w:val="00D477A4"/>
    <w:rsid w:val="00D536F3"/>
    <w:rsid w:val="00D56428"/>
    <w:rsid w:val="00D5768D"/>
    <w:rsid w:val="00D61853"/>
    <w:rsid w:val="00D639E7"/>
    <w:rsid w:val="00D64BC1"/>
    <w:rsid w:val="00D670B4"/>
    <w:rsid w:val="00D7236F"/>
    <w:rsid w:val="00D76041"/>
    <w:rsid w:val="00D76AFB"/>
    <w:rsid w:val="00D76E2B"/>
    <w:rsid w:val="00D776FB"/>
    <w:rsid w:val="00D77DCC"/>
    <w:rsid w:val="00D805BD"/>
    <w:rsid w:val="00D85165"/>
    <w:rsid w:val="00D85A3A"/>
    <w:rsid w:val="00D868ED"/>
    <w:rsid w:val="00D87A3E"/>
    <w:rsid w:val="00D90B48"/>
    <w:rsid w:val="00D9124D"/>
    <w:rsid w:val="00DA4051"/>
    <w:rsid w:val="00DA4695"/>
    <w:rsid w:val="00DB215B"/>
    <w:rsid w:val="00DC1437"/>
    <w:rsid w:val="00DC5DC1"/>
    <w:rsid w:val="00DC72B4"/>
    <w:rsid w:val="00DD0B0D"/>
    <w:rsid w:val="00DD0F65"/>
    <w:rsid w:val="00DD1501"/>
    <w:rsid w:val="00DD1763"/>
    <w:rsid w:val="00DD305E"/>
    <w:rsid w:val="00DD3A16"/>
    <w:rsid w:val="00DD3E5C"/>
    <w:rsid w:val="00DD3E5E"/>
    <w:rsid w:val="00DD4720"/>
    <w:rsid w:val="00DD56B2"/>
    <w:rsid w:val="00DE2FDF"/>
    <w:rsid w:val="00DE4135"/>
    <w:rsid w:val="00DE4621"/>
    <w:rsid w:val="00DE5110"/>
    <w:rsid w:val="00DE5BA4"/>
    <w:rsid w:val="00DE5BAB"/>
    <w:rsid w:val="00DE6E06"/>
    <w:rsid w:val="00DF09D3"/>
    <w:rsid w:val="00DF2157"/>
    <w:rsid w:val="00DF7A71"/>
    <w:rsid w:val="00E00548"/>
    <w:rsid w:val="00E00EF9"/>
    <w:rsid w:val="00E01DA2"/>
    <w:rsid w:val="00E020E1"/>
    <w:rsid w:val="00E02FC1"/>
    <w:rsid w:val="00E03D73"/>
    <w:rsid w:val="00E040E5"/>
    <w:rsid w:val="00E061B7"/>
    <w:rsid w:val="00E069D9"/>
    <w:rsid w:val="00E130AA"/>
    <w:rsid w:val="00E130E1"/>
    <w:rsid w:val="00E135DB"/>
    <w:rsid w:val="00E14652"/>
    <w:rsid w:val="00E21CD4"/>
    <w:rsid w:val="00E246D8"/>
    <w:rsid w:val="00E25B75"/>
    <w:rsid w:val="00E27887"/>
    <w:rsid w:val="00E31409"/>
    <w:rsid w:val="00E31D71"/>
    <w:rsid w:val="00E31F28"/>
    <w:rsid w:val="00E3255C"/>
    <w:rsid w:val="00E327DE"/>
    <w:rsid w:val="00E32D28"/>
    <w:rsid w:val="00E32E27"/>
    <w:rsid w:val="00E335C2"/>
    <w:rsid w:val="00E34E19"/>
    <w:rsid w:val="00E35FA6"/>
    <w:rsid w:val="00E361DD"/>
    <w:rsid w:val="00E3701D"/>
    <w:rsid w:val="00E373B6"/>
    <w:rsid w:val="00E37F09"/>
    <w:rsid w:val="00E41E9E"/>
    <w:rsid w:val="00E42B41"/>
    <w:rsid w:val="00E45623"/>
    <w:rsid w:val="00E45B66"/>
    <w:rsid w:val="00E5047D"/>
    <w:rsid w:val="00E50C85"/>
    <w:rsid w:val="00E51FC0"/>
    <w:rsid w:val="00E525FD"/>
    <w:rsid w:val="00E54E06"/>
    <w:rsid w:val="00E55EBA"/>
    <w:rsid w:val="00E55F82"/>
    <w:rsid w:val="00E562FB"/>
    <w:rsid w:val="00E603F7"/>
    <w:rsid w:val="00E622C7"/>
    <w:rsid w:val="00E63A5E"/>
    <w:rsid w:val="00E63BE8"/>
    <w:rsid w:val="00E63C60"/>
    <w:rsid w:val="00E65379"/>
    <w:rsid w:val="00E6539F"/>
    <w:rsid w:val="00E674C0"/>
    <w:rsid w:val="00E7022A"/>
    <w:rsid w:val="00E724FF"/>
    <w:rsid w:val="00E73BA7"/>
    <w:rsid w:val="00E74274"/>
    <w:rsid w:val="00E742C3"/>
    <w:rsid w:val="00E744ED"/>
    <w:rsid w:val="00E753AD"/>
    <w:rsid w:val="00E75899"/>
    <w:rsid w:val="00E75C2E"/>
    <w:rsid w:val="00E8199D"/>
    <w:rsid w:val="00E81F80"/>
    <w:rsid w:val="00E82B35"/>
    <w:rsid w:val="00E849AF"/>
    <w:rsid w:val="00E873C2"/>
    <w:rsid w:val="00E9193F"/>
    <w:rsid w:val="00E93C6A"/>
    <w:rsid w:val="00E94BCB"/>
    <w:rsid w:val="00EA08E8"/>
    <w:rsid w:val="00EA2D21"/>
    <w:rsid w:val="00EA3E49"/>
    <w:rsid w:val="00EA43CE"/>
    <w:rsid w:val="00EA46D1"/>
    <w:rsid w:val="00EA4770"/>
    <w:rsid w:val="00EB130F"/>
    <w:rsid w:val="00EB2FC3"/>
    <w:rsid w:val="00EB3263"/>
    <w:rsid w:val="00EB56C1"/>
    <w:rsid w:val="00EB5EDF"/>
    <w:rsid w:val="00EB78F2"/>
    <w:rsid w:val="00EC1F61"/>
    <w:rsid w:val="00EC76E1"/>
    <w:rsid w:val="00ED1B6A"/>
    <w:rsid w:val="00ED2FE7"/>
    <w:rsid w:val="00ED448D"/>
    <w:rsid w:val="00ED7E11"/>
    <w:rsid w:val="00ED7EC0"/>
    <w:rsid w:val="00EE258D"/>
    <w:rsid w:val="00EE31FB"/>
    <w:rsid w:val="00EE46D6"/>
    <w:rsid w:val="00EE75D7"/>
    <w:rsid w:val="00EF0FF2"/>
    <w:rsid w:val="00EF258D"/>
    <w:rsid w:val="00EF4035"/>
    <w:rsid w:val="00F00E1D"/>
    <w:rsid w:val="00F029CB"/>
    <w:rsid w:val="00F036EE"/>
    <w:rsid w:val="00F04DCE"/>
    <w:rsid w:val="00F05B2A"/>
    <w:rsid w:val="00F07DEB"/>
    <w:rsid w:val="00F108BA"/>
    <w:rsid w:val="00F1280C"/>
    <w:rsid w:val="00F14563"/>
    <w:rsid w:val="00F152DE"/>
    <w:rsid w:val="00F2143D"/>
    <w:rsid w:val="00F22E3B"/>
    <w:rsid w:val="00F25EF8"/>
    <w:rsid w:val="00F26E91"/>
    <w:rsid w:val="00F33A21"/>
    <w:rsid w:val="00F372D7"/>
    <w:rsid w:val="00F41DDC"/>
    <w:rsid w:val="00F4683C"/>
    <w:rsid w:val="00F50467"/>
    <w:rsid w:val="00F5106F"/>
    <w:rsid w:val="00F5574C"/>
    <w:rsid w:val="00F5739C"/>
    <w:rsid w:val="00F60DB2"/>
    <w:rsid w:val="00F610FF"/>
    <w:rsid w:val="00F62182"/>
    <w:rsid w:val="00F64384"/>
    <w:rsid w:val="00F64892"/>
    <w:rsid w:val="00F65268"/>
    <w:rsid w:val="00F6597C"/>
    <w:rsid w:val="00F66E57"/>
    <w:rsid w:val="00F70D6A"/>
    <w:rsid w:val="00F714F8"/>
    <w:rsid w:val="00F7159F"/>
    <w:rsid w:val="00F72DE9"/>
    <w:rsid w:val="00F744A0"/>
    <w:rsid w:val="00F7741B"/>
    <w:rsid w:val="00F775C0"/>
    <w:rsid w:val="00F80677"/>
    <w:rsid w:val="00F81926"/>
    <w:rsid w:val="00F82ACA"/>
    <w:rsid w:val="00F83353"/>
    <w:rsid w:val="00F84529"/>
    <w:rsid w:val="00F84FA0"/>
    <w:rsid w:val="00F854AB"/>
    <w:rsid w:val="00F85A95"/>
    <w:rsid w:val="00F86C50"/>
    <w:rsid w:val="00F8779F"/>
    <w:rsid w:val="00F91972"/>
    <w:rsid w:val="00F953DE"/>
    <w:rsid w:val="00F9562F"/>
    <w:rsid w:val="00F95D3B"/>
    <w:rsid w:val="00F97C19"/>
    <w:rsid w:val="00FA0B69"/>
    <w:rsid w:val="00FA0BDD"/>
    <w:rsid w:val="00FA13E8"/>
    <w:rsid w:val="00FA27EB"/>
    <w:rsid w:val="00FA2FE5"/>
    <w:rsid w:val="00FA3ED5"/>
    <w:rsid w:val="00FA6694"/>
    <w:rsid w:val="00FA6B11"/>
    <w:rsid w:val="00FB0ECA"/>
    <w:rsid w:val="00FB109B"/>
    <w:rsid w:val="00FB15EF"/>
    <w:rsid w:val="00FB25BB"/>
    <w:rsid w:val="00FB3E84"/>
    <w:rsid w:val="00FB4B51"/>
    <w:rsid w:val="00FB61F9"/>
    <w:rsid w:val="00FC030F"/>
    <w:rsid w:val="00FC087B"/>
    <w:rsid w:val="00FC0C7A"/>
    <w:rsid w:val="00FC249C"/>
    <w:rsid w:val="00FC2D97"/>
    <w:rsid w:val="00FC3EFD"/>
    <w:rsid w:val="00FC4BBA"/>
    <w:rsid w:val="00FC4E17"/>
    <w:rsid w:val="00FC5BD1"/>
    <w:rsid w:val="00FC65D2"/>
    <w:rsid w:val="00FC7617"/>
    <w:rsid w:val="00FD03A8"/>
    <w:rsid w:val="00FD177C"/>
    <w:rsid w:val="00FD1CD9"/>
    <w:rsid w:val="00FD5546"/>
    <w:rsid w:val="00FE0715"/>
    <w:rsid w:val="00FE332E"/>
    <w:rsid w:val="00FE3DB5"/>
    <w:rsid w:val="00FE4C79"/>
    <w:rsid w:val="00FE796E"/>
    <w:rsid w:val="00FF3834"/>
    <w:rsid w:val="00FF476F"/>
    <w:rsid w:val="00FF4F35"/>
    <w:rsid w:val="00FF4F82"/>
    <w:rsid w:val="00FF54FA"/>
    <w:rsid w:val="00FF5C62"/>
    <w:rsid w:val="00FF6900"/>
    <w:rsid w:val="00FF7153"/>
    <w:rsid w:val="00FF7A0E"/>
    <w:rsid w:val="00FF7B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8001" fillcolor="#9cf">
      <v:fill color="#9cf"/>
      <o:colormru v:ext="edit" colors="#ddd,#060,#393,#396"/>
    </o:shapedefaults>
    <o:shapelayout v:ext="edit">
      <o:idmap v:ext="edit" data="1"/>
      <o:rules v:ext="edit">
        <o:r id="V:Rule1"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013D"/>
    <w:rPr>
      <w:sz w:val="24"/>
    </w:rPr>
  </w:style>
  <w:style w:type="paragraph" w:styleId="Heading1">
    <w:name w:val="heading 1"/>
    <w:basedOn w:val="Normal"/>
    <w:next w:val="Normal"/>
    <w:link w:val="Heading1Char"/>
    <w:qFormat/>
    <w:rsid w:val="00B8013D"/>
    <w:pPr>
      <w:keepNext/>
      <w:spacing w:before="240" w:after="60"/>
      <w:outlineLvl w:val="0"/>
    </w:pPr>
    <w:rPr>
      <w:rFonts w:ascii="Arial" w:hAnsi="Arial"/>
      <w:b/>
      <w:kern w:val="28"/>
      <w:sz w:val="28"/>
      <w:u w:val="single"/>
    </w:rPr>
  </w:style>
  <w:style w:type="paragraph" w:styleId="Heading2">
    <w:name w:val="heading 2"/>
    <w:basedOn w:val="Normal"/>
    <w:next w:val="Normal"/>
    <w:qFormat/>
    <w:rsid w:val="00B8013D"/>
    <w:pPr>
      <w:keepNext/>
      <w:jc w:val="center"/>
      <w:outlineLvl w:val="1"/>
    </w:pPr>
    <w:rPr>
      <w:rFonts w:ascii="Arial" w:hAnsi="Arial"/>
      <w:b/>
      <w:snapToGrid w:val="0"/>
      <w:color w:val="000000"/>
    </w:rPr>
  </w:style>
  <w:style w:type="paragraph" w:styleId="Heading3">
    <w:name w:val="heading 3"/>
    <w:basedOn w:val="Normal"/>
    <w:next w:val="Normal"/>
    <w:link w:val="Heading3Char"/>
    <w:qFormat/>
    <w:rsid w:val="00E3255C"/>
    <w:pPr>
      <w:keepNext/>
      <w:spacing w:before="240" w:after="60"/>
      <w:outlineLvl w:val="2"/>
    </w:pPr>
    <w:rPr>
      <w:rFonts w:ascii="Arial" w:hAnsi="Arial"/>
      <w:b/>
    </w:rPr>
  </w:style>
  <w:style w:type="paragraph" w:styleId="Heading4">
    <w:name w:val="heading 4"/>
    <w:basedOn w:val="Normal"/>
    <w:next w:val="Normal"/>
    <w:link w:val="Heading4Char"/>
    <w:qFormat/>
    <w:rsid w:val="00D868ED"/>
    <w:pPr>
      <w:keepNext/>
      <w:outlineLvl w:val="3"/>
    </w:pPr>
    <w:rPr>
      <w:rFonts w:ascii="Arial" w:hAnsi="Arial"/>
      <w:b/>
      <w:snapToGrid w:val="0"/>
      <w:color w:val="000000"/>
      <w:sz w:val="22"/>
    </w:rPr>
  </w:style>
  <w:style w:type="paragraph" w:styleId="Heading5">
    <w:name w:val="heading 5"/>
    <w:basedOn w:val="Normal"/>
    <w:next w:val="Normal"/>
    <w:qFormat/>
    <w:rsid w:val="00B8013D"/>
    <w:pPr>
      <w:keepNext/>
      <w:outlineLvl w:val="4"/>
    </w:pPr>
    <w:rPr>
      <w:rFonts w:ascii="Arial" w:hAnsi="Arial"/>
      <w:b/>
      <w:snapToGrid w:val="0"/>
      <w:color w:val="000000"/>
      <w:sz w:val="22"/>
    </w:rPr>
  </w:style>
  <w:style w:type="paragraph" w:styleId="Heading6">
    <w:name w:val="heading 6"/>
    <w:basedOn w:val="Normal"/>
    <w:next w:val="Normal"/>
    <w:qFormat/>
    <w:rsid w:val="00B8013D"/>
    <w:pPr>
      <w:keepNext/>
      <w:spacing w:before="40" w:after="40"/>
      <w:ind w:right="180"/>
      <w:jc w:val="center"/>
      <w:outlineLvl w:val="5"/>
    </w:pPr>
    <w:rPr>
      <w:rFonts w:ascii="Arial" w:hAnsi="Arial"/>
      <w:b/>
      <w:sz w:val="40"/>
    </w:rPr>
  </w:style>
  <w:style w:type="paragraph" w:styleId="Heading7">
    <w:name w:val="heading 7"/>
    <w:basedOn w:val="Normal"/>
    <w:next w:val="Normal"/>
    <w:qFormat/>
    <w:rsid w:val="00B8013D"/>
    <w:pPr>
      <w:keepNext/>
      <w:outlineLvl w:val="6"/>
    </w:pPr>
    <w:rPr>
      <w:rFonts w:ascii="Arial" w:hAnsi="Arial"/>
      <w:b/>
      <w:snapToGrid w:val="0"/>
      <w:color w:val="000000"/>
      <w:sz w:val="20"/>
    </w:rPr>
  </w:style>
  <w:style w:type="paragraph" w:styleId="Heading8">
    <w:name w:val="heading 8"/>
    <w:basedOn w:val="Normal"/>
    <w:next w:val="Normal"/>
    <w:qFormat/>
    <w:rsid w:val="00B8013D"/>
    <w:pPr>
      <w:keepNext/>
      <w:outlineLvl w:val="7"/>
    </w:pPr>
    <w:rPr>
      <w:rFonts w:ascii="Arial" w:hAnsi="Arial"/>
      <w:b/>
      <w:snapToGrid w:val="0"/>
      <w:color w:val="000000"/>
      <w:sz w:val="28"/>
    </w:rPr>
  </w:style>
  <w:style w:type="paragraph" w:styleId="Heading9">
    <w:name w:val="heading 9"/>
    <w:basedOn w:val="Normal"/>
    <w:next w:val="Normal"/>
    <w:qFormat/>
    <w:rsid w:val="00B8013D"/>
    <w:pPr>
      <w:keepNext/>
      <w:jc w:val="center"/>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8013D"/>
    <w:pPr>
      <w:tabs>
        <w:tab w:val="center" w:pos="4320"/>
        <w:tab w:val="right" w:pos="8640"/>
      </w:tabs>
    </w:pPr>
  </w:style>
  <w:style w:type="character" w:styleId="PageNumber">
    <w:name w:val="page number"/>
    <w:basedOn w:val="DefaultParagraphFont"/>
    <w:rsid w:val="00B8013D"/>
  </w:style>
  <w:style w:type="paragraph" w:styleId="Header">
    <w:name w:val="header"/>
    <w:basedOn w:val="Normal"/>
    <w:rsid w:val="00B8013D"/>
    <w:pPr>
      <w:tabs>
        <w:tab w:val="center" w:pos="4320"/>
        <w:tab w:val="right" w:pos="8640"/>
      </w:tabs>
    </w:pPr>
  </w:style>
  <w:style w:type="character" w:styleId="CommentReference">
    <w:name w:val="annotation reference"/>
    <w:basedOn w:val="DefaultParagraphFont"/>
    <w:semiHidden/>
    <w:rsid w:val="00B8013D"/>
    <w:rPr>
      <w:sz w:val="16"/>
    </w:rPr>
  </w:style>
  <w:style w:type="paragraph" w:styleId="CommentText">
    <w:name w:val="annotation text"/>
    <w:basedOn w:val="Normal"/>
    <w:semiHidden/>
    <w:rsid w:val="00B8013D"/>
  </w:style>
  <w:style w:type="paragraph" w:styleId="DocumentMap">
    <w:name w:val="Document Map"/>
    <w:basedOn w:val="Normal"/>
    <w:semiHidden/>
    <w:rsid w:val="00B8013D"/>
    <w:pPr>
      <w:shd w:val="clear" w:color="auto" w:fill="000080"/>
    </w:pPr>
    <w:rPr>
      <w:rFonts w:ascii="Tahoma" w:hAnsi="Tahoma"/>
    </w:rPr>
  </w:style>
  <w:style w:type="paragraph" w:styleId="TOC1">
    <w:name w:val="toc 1"/>
    <w:basedOn w:val="Normal"/>
    <w:next w:val="Normal"/>
    <w:autoRedefine/>
    <w:uiPriority w:val="39"/>
    <w:qFormat/>
    <w:rsid w:val="008E6501"/>
    <w:pPr>
      <w:tabs>
        <w:tab w:val="right" w:leader="dot" w:pos="10170"/>
      </w:tabs>
      <w:spacing w:before="360"/>
      <w:ind w:right="36"/>
    </w:pPr>
    <w:rPr>
      <w:rFonts w:ascii="Arial" w:hAnsi="Arial"/>
      <w:b/>
      <w:caps/>
    </w:rPr>
  </w:style>
  <w:style w:type="paragraph" w:styleId="TableofFigures">
    <w:name w:val="table of figures"/>
    <w:basedOn w:val="Normal"/>
    <w:next w:val="Normal"/>
    <w:semiHidden/>
    <w:rsid w:val="00B8013D"/>
    <w:pPr>
      <w:ind w:left="400" w:hanging="400"/>
    </w:pPr>
  </w:style>
  <w:style w:type="paragraph" w:styleId="TOC2">
    <w:name w:val="toc 2"/>
    <w:basedOn w:val="Heading3"/>
    <w:next w:val="Normal"/>
    <w:autoRedefine/>
    <w:uiPriority w:val="39"/>
    <w:qFormat/>
    <w:rsid w:val="00B8013D"/>
  </w:style>
  <w:style w:type="paragraph" w:styleId="TOC3">
    <w:name w:val="toc 3"/>
    <w:basedOn w:val="Normal"/>
    <w:next w:val="Normal"/>
    <w:autoRedefine/>
    <w:uiPriority w:val="39"/>
    <w:qFormat/>
    <w:rsid w:val="00F91972"/>
    <w:pPr>
      <w:tabs>
        <w:tab w:val="right" w:leader="dot" w:pos="10170"/>
      </w:tabs>
      <w:ind w:left="360" w:right="36"/>
    </w:pPr>
    <w:rPr>
      <w:noProof/>
      <w:sz w:val="20"/>
    </w:rPr>
  </w:style>
  <w:style w:type="paragraph" w:styleId="TOC4">
    <w:name w:val="toc 4"/>
    <w:basedOn w:val="Normal"/>
    <w:next w:val="Normal"/>
    <w:autoRedefine/>
    <w:uiPriority w:val="39"/>
    <w:rsid w:val="008D79A9"/>
    <w:pPr>
      <w:tabs>
        <w:tab w:val="right" w:leader="dot" w:pos="10170"/>
      </w:tabs>
      <w:ind w:left="360"/>
    </w:pPr>
    <w:rPr>
      <w:noProof/>
      <w:sz w:val="20"/>
    </w:rPr>
  </w:style>
  <w:style w:type="paragraph" w:styleId="TOC5">
    <w:name w:val="toc 5"/>
    <w:basedOn w:val="Normal"/>
    <w:next w:val="Normal"/>
    <w:autoRedefine/>
    <w:uiPriority w:val="39"/>
    <w:rsid w:val="00B8013D"/>
    <w:pPr>
      <w:ind w:left="600"/>
    </w:pPr>
  </w:style>
  <w:style w:type="paragraph" w:styleId="TOC6">
    <w:name w:val="toc 6"/>
    <w:basedOn w:val="Normal"/>
    <w:next w:val="Normal"/>
    <w:autoRedefine/>
    <w:uiPriority w:val="39"/>
    <w:rsid w:val="00B8013D"/>
    <w:pPr>
      <w:ind w:left="800"/>
    </w:pPr>
  </w:style>
  <w:style w:type="paragraph" w:styleId="TOC7">
    <w:name w:val="toc 7"/>
    <w:basedOn w:val="Normal"/>
    <w:next w:val="Normal"/>
    <w:autoRedefine/>
    <w:uiPriority w:val="39"/>
    <w:rsid w:val="00B8013D"/>
    <w:pPr>
      <w:ind w:left="1000"/>
    </w:pPr>
  </w:style>
  <w:style w:type="paragraph" w:styleId="TOC8">
    <w:name w:val="toc 8"/>
    <w:basedOn w:val="Normal"/>
    <w:next w:val="Normal"/>
    <w:autoRedefine/>
    <w:uiPriority w:val="39"/>
    <w:rsid w:val="00B8013D"/>
    <w:pPr>
      <w:ind w:left="1200"/>
    </w:pPr>
  </w:style>
  <w:style w:type="paragraph" w:styleId="TOC9">
    <w:name w:val="toc 9"/>
    <w:basedOn w:val="Normal"/>
    <w:next w:val="Normal"/>
    <w:autoRedefine/>
    <w:uiPriority w:val="39"/>
    <w:rsid w:val="00B8013D"/>
    <w:pPr>
      <w:ind w:left="1400"/>
    </w:pPr>
  </w:style>
  <w:style w:type="paragraph" w:styleId="FootnoteText">
    <w:name w:val="footnote text"/>
    <w:basedOn w:val="Normal"/>
    <w:link w:val="FootnoteTextChar"/>
    <w:rsid w:val="00B8013D"/>
  </w:style>
  <w:style w:type="character" w:styleId="FootnoteReference">
    <w:name w:val="footnote reference"/>
    <w:basedOn w:val="DefaultParagraphFont"/>
    <w:rsid w:val="00B8013D"/>
    <w:rPr>
      <w:vertAlign w:val="superscript"/>
    </w:rPr>
  </w:style>
  <w:style w:type="paragraph" w:styleId="BodyTextIndent">
    <w:name w:val="Body Text Indent"/>
    <w:basedOn w:val="Normal"/>
    <w:rsid w:val="00B8013D"/>
    <w:pPr>
      <w:ind w:left="720"/>
    </w:pPr>
    <w:rPr>
      <w:sz w:val="16"/>
    </w:rPr>
  </w:style>
  <w:style w:type="character" w:styleId="LineNumber">
    <w:name w:val="line number"/>
    <w:basedOn w:val="DefaultParagraphFont"/>
    <w:rsid w:val="00B8013D"/>
  </w:style>
  <w:style w:type="paragraph" w:styleId="BodyTextIndent2">
    <w:name w:val="Body Text Indent 2"/>
    <w:basedOn w:val="Normal"/>
    <w:rsid w:val="00B8013D"/>
    <w:pPr>
      <w:ind w:left="720"/>
    </w:pPr>
  </w:style>
  <w:style w:type="paragraph" w:styleId="BodyTextIndent3">
    <w:name w:val="Body Text Indent 3"/>
    <w:basedOn w:val="Normal"/>
    <w:rsid w:val="00B8013D"/>
    <w:pPr>
      <w:ind w:left="720"/>
    </w:pPr>
    <w:rPr>
      <w:color w:val="FF0000"/>
    </w:rPr>
  </w:style>
  <w:style w:type="paragraph" w:styleId="PlainText">
    <w:name w:val="Plain Text"/>
    <w:basedOn w:val="Normal"/>
    <w:rsid w:val="00B8013D"/>
    <w:rPr>
      <w:rFonts w:ascii="Courier New" w:hAnsi="Courier New"/>
      <w:sz w:val="20"/>
    </w:rPr>
  </w:style>
  <w:style w:type="paragraph" w:styleId="BodyText">
    <w:name w:val="Body Text"/>
    <w:basedOn w:val="Normal"/>
    <w:rsid w:val="00B8013D"/>
    <w:rPr>
      <w:sz w:val="22"/>
      <w:szCs w:val="24"/>
    </w:rPr>
  </w:style>
  <w:style w:type="paragraph" w:styleId="BlockText">
    <w:name w:val="Block Text"/>
    <w:basedOn w:val="Normal"/>
    <w:rsid w:val="00B8013D"/>
    <w:pPr>
      <w:ind w:left="720" w:right="1404"/>
    </w:pPr>
  </w:style>
  <w:style w:type="paragraph" w:customStyle="1" w:styleId="xl24">
    <w:name w:val="xl24"/>
    <w:basedOn w:val="Normal"/>
    <w:rsid w:val="00B8013D"/>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5">
    <w:name w:val="xl25"/>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Cs w:val="24"/>
    </w:rPr>
  </w:style>
  <w:style w:type="paragraph" w:customStyle="1" w:styleId="xl26">
    <w:name w:val="xl26"/>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Cs w:val="24"/>
    </w:rPr>
  </w:style>
  <w:style w:type="paragraph" w:customStyle="1" w:styleId="xl27">
    <w:name w:val="xl27"/>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B8013D"/>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1">
    <w:name w:val="xl31"/>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B8013D"/>
    <w:pPr>
      <w:pBdr>
        <w:top w:val="single" w:sz="4"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Normal"/>
    <w:rsid w:val="00B8013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8">
    <w:name w:val="xl38"/>
    <w:basedOn w:val="Normal"/>
    <w:rsid w:val="00B8013D"/>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styleId="BodyText2">
    <w:name w:val="Body Text 2"/>
    <w:basedOn w:val="Normal"/>
    <w:rsid w:val="00B8013D"/>
    <w:pPr>
      <w:autoSpaceDE w:val="0"/>
      <w:autoSpaceDN w:val="0"/>
      <w:adjustRightInd w:val="0"/>
      <w:spacing w:before="120"/>
    </w:pPr>
    <w:rPr>
      <w:color w:val="FF0000"/>
      <w:szCs w:val="24"/>
    </w:rPr>
  </w:style>
  <w:style w:type="paragraph" w:styleId="BalloonText">
    <w:name w:val="Balloon Text"/>
    <w:basedOn w:val="Normal"/>
    <w:semiHidden/>
    <w:rsid w:val="000B34F1"/>
    <w:rPr>
      <w:rFonts w:ascii="Tahoma" w:hAnsi="Tahoma" w:cs="Tahoma"/>
      <w:sz w:val="16"/>
      <w:szCs w:val="16"/>
    </w:rPr>
  </w:style>
  <w:style w:type="paragraph" w:styleId="CommentSubject">
    <w:name w:val="annotation subject"/>
    <w:basedOn w:val="CommentText"/>
    <w:next w:val="CommentText"/>
    <w:semiHidden/>
    <w:rsid w:val="00795FC9"/>
    <w:rPr>
      <w:b/>
      <w:bCs/>
      <w:sz w:val="20"/>
    </w:rPr>
  </w:style>
  <w:style w:type="table" w:styleId="TableGrid">
    <w:name w:val="Table Grid"/>
    <w:basedOn w:val="TableNormal"/>
    <w:rsid w:val="00AC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24FD3"/>
    <w:rPr>
      <w:color w:val="0000FF"/>
      <w:u w:val="single"/>
    </w:rPr>
  </w:style>
  <w:style w:type="character" w:customStyle="1" w:styleId="Heading1Char">
    <w:name w:val="Heading 1 Char"/>
    <w:basedOn w:val="DefaultParagraphFont"/>
    <w:link w:val="Heading1"/>
    <w:rsid w:val="00514646"/>
    <w:rPr>
      <w:rFonts w:ascii="Arial" w:hAnsi="Arial"/>
      <w:b/>
      <w:kern w:val="28"/>
      <w:sz w:val="28"/>
      <w:u w:val="single"/>
      <w:lang w:val="en-US" w:eastAsia="en-US" w:bidi="ar-SA"/>
    </w:rPr>
  </w:style>
  <w:style w:type="character" w:customStyle="1" w:styleId="Heading3Char">
    <w:name w:val="Heading 3 Char"/>
    <w:basedOn w:val="DefaultParagraphFont"/>
    <w:link w:val="Heading3"/>
    <w:rsid w:val="00E3255C"/>
    <w:rPr>
      <w:rFonts w:ascii="Arial" w:hAnsi="Arial"/>
      <w:b/>
      <w:sz w:val="24"/>
    </w:rPr>
  </w:style>
  <w:style w:type="paragraph" w:styleId="ListParagraph">
    <w:name w:val="List Paragraph"/>
    <w:basedOn w:val="Normal"/>
    <w:uiPriority w:val="34"/>
    <w:qFormat/>
    <w:rsid w:val="001677DA"/>
    <w:pPr>
      <w:ind w:left="720"/>
      <w:contextualSpacing/>
    </w:pPr>
  </w:style>
  <w:style w:type="character" w:customStyle="1" w:styleId="FooterChar">
    <w:name w:val="Footer Char"/>
    <w:basedOn w:val="DefaultParagraphFont"/>
    <w:link w:val="Footer"/>
    <w:rsid w:val="004E45B0"/>
    <w:rPr>
      <w:sz w:val="24"/>
    </w:rPr>
  </w:style>
  <w:style w:type="paragraph" w:customStyle="1" w:styleId="Default">
    <w:name w:val="Default"/>
    <w:rsid w:val="00085A4C"/>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7F491E"/>
    <w:pPr>
      <w:keepLines/>
      <w:spacing w:before="480" w:after="0" w:line="276" w:lineRule="auto"/>
      <w:outlineLvl w:val="9"/>
    </w:pPr>
    <w:rPr>
      <w:rFonts w:asciiTheme="majorHAnsi" w:eastAsiaTheme="majorEastAsia" w:hAnsiTheme="majorHAnsi" w:cstheme="majorBidi"/>
      <w:bCs/>
      <w:color w:val="365F91" w:themeColor="accent1" w:themeShade="BF"/>
      <w:kern w:val="0"/>
      <w:szCs w:val="28"/>
      <w:u w:val="none"/>
    </w:rPr>
  </w:style>
  <w:style w:type="character" w:customStyle="1" w:styleId="Heading4Char">
    <w:name w:val="Heading 4 Char"/>
    <w:basedOn w:val="DefaultParagraphFont"/>
    <w:link w:val="Heading4"/>
    <w:rsid w:val="00004CE2"/>
    <w:rPr>
      <w:rFonts w:ascii="Arial" w:hAnsi="Arial"/>
      <w:b/>
      <w:snapToGrid w:val="0"/>
      <w:color w:val="000000"/>
      <w:sz w:val="22"/>
    </w:rPr>
  </w:style>
  <w:style w:type="paragraph" w:styleId="NoSpacing">
    <w:name w:val="No Spacing"/>
    <w:link w:val="NoSpacingChar"/>
    <w:uiPriority w:val="1"/>
    <w:qFormat/>
    <w:rsid w:val="00BE76A7"/>
    <w:rPr>
      <w:rFonts w:ascii="Calibri" w:eastAsia="Calibri" w:hAnsi="Calibri"/>
      <w:sz w:val="22"/>
      <w:szCs w:val="22"/>
    </w:rPr>
  </w:style>
  <w:style w:type="paragraph" w:customStyle="1" w:styleId="Style1">
    <w:name w:val="Style1"/>
    <w:basedOn w:val="NoSpacing"/>
    <w:link w:val="Style1Char"/>
    <w:qFormat/>
    <w:rsid w:val="00BE76A7"/>
    <w:pPr>
      <w:spacing w:after="120"/>
    </w:pPr>
    <w:rPr>
      <w:rFonts w:ascii="Arial" w:hAnsi="Arial" w:cs="Arial"/>
      <w:b/>
      <w:sz w:val="28"/>
      <w:szCs w:val="28"/>
      <w:u w:val="single"/>
    </w:rPr>
  </w:style>
  <w:style w:type="character" w:customStyle="1" w:styleId="NoSpacingChar">
    <w:name w:val="No Spacing Char"/>
    <w:basedOn w:val="DefaultParagraphFont"/>
    <w:link w:val="NoSpacing"/>
    <w:uiPriority w:val="1"/>
    <w:rsid w:val="00BE76A7"/>
    <w:rPr>
      <w:rFonts w:ascii="Calibri" w:eastAsia="Calibri" w:hAnsi="Calibri"/>
      <w:sz w:val="22"/>
      <w:szCs w:val="22"/>
    </w:rPr>
  </w:style>
  <w:style w:type="character" w:customStyle="1" w:styleId="Style1Char">
    <w:name w:val="Style1 Char"/>
    <w:basedOn w:val="NoSpacingChar"/>
    <w:link w:val="Style1"/>
    <w:rsid w:val="00BE76A7"/>
    <w:rPr>
      <w:rFonts w:ascii="Arial" w:hAnsi="Arial" w:cs="Arial"/>
      <w:b/>
      <w:sz w:val="28"/>
      <w:szCs w:val="28"/>
      <w:u w:val="single"/>
    </w:rPr>
  </w:style>
  <w:style w:type="character" w:customStyle="1" w:styleId="FootnoteTextChar">
    <w:name w:val="Footnote Text Char"/>
    <w:basedOn w:val="DefaultParagraphFont"/>
    <w:link w:val="FootnoteText"/>
    <w:rsid w:val="00192852"/>
    <w:rPr>
      <w:sz w:val="24"/>
    </w:rPr>
  </w:style>
  <w:style w:type="character" w:styleId="Emphasis">
    <w:name w:val="Emphasis"/>
    <w:basedOn w:val="DefaultParagraphFont"/>
    <w:qFormat/>
    <w:rsid w:val="001D4C53"/>
    <w:rPr>
      <w:i/>
      <w:iCs/>
    </w:rPr>
  </w:style>
</w:styles>
</file>

<file path=word/webSettings.xml><?xml version="1.0" encoding="utf-8"?>
<w:webSettings xmlns:r="http://schemas.openxmlformats.org/officeDocument/2006/relationships" xmlns:w="http://schemas.openxmlformats.org/wordprocessingml/2006/main">
  <w:divs>
    <w:div w:id="353551">
      <w:bodyDiv w:val="1"/>
      <w:marLeft w:val="0"/>
      <w:marRight w:val="0"/>
      <w:marTop w:val="0"/>
      <w:marBottom w:val="0"/>
      <w:divBdr>
        <w:top w:val="none" w:sz="0" w:space="0" w:color="auto"/>
        <w:left w:val="none" w:sz="0" w:space="0" w:color="auto"/>
        <w:bottom w:val="none" w:sz="0" w:space="0" w:color="auto"/>
        <w:right w:val="none" w:sz="0" w:space="0" w:color="auto"/>
      </w:divBdr>
    </w:div>
    <w:div w:id="11416037">
      <w:bodyDiv w:val="1"/>
      <w:marLeft w:val="0"/>
      <w:marRight w:val="0"/>
      <w:marTop w:val="0"/>
      <w:marBottom w:val="0"/>
      <w:divBdr>
        <w:top w:val="none" w:sz="0" w:space="0" w:color="auto"/>
        <w:left w:val="none" w:sz="0" w:space="0" w:color="auto"/>
        <w:bottom w:val="none" w:sz="0" w:space="0" w:color="auto"/>
        <w:right w:val="none" w:sz="0" w:space="0" w:color="auto"/>
      </w:divBdr>
    </w:div>
    <w:div w:id="58527486">
      <w:bodyDiv w:val="1"/>
      <w:marLeft w:val="0"/>
      <w:marRight w:val="0"/>
      <w:marTop w:val="0"/>
      <w:marBottom w:val="0"/>
      <w:divBdr>
        <w:top w:val="none" w:sz="0" w:space="0" w:color="auto"/>
        <w:left w:val="none" w:sz="0" w:space="0" w:color="auto"/>
        <w:bottom w:val="none" w:sz="0" w:space="0" w:color="auto"/>
        <w:right w:val="none" w:sz="0" w:space="0" w:color="auto"/>
      </w:divBdr>
      <w:divsChild>
        <w:div w:id="1922253722">
          <w:marLeft w:val="0"/>
          <w:marRight w:val="0"/>
          <w:marTop w:val="0"/>
          <w:marBottom w:val="0"/>
          <w:divBdr>
            <w:top w:val="none" w:sz="0" w:space="0" w:color="auto"/>
            <w:left w:val="none" w:sz="0" w:space="0" w:color="auto"/>
            <w:bottom w:val="none" w:sz="0" w:space="0" w:color="auto"/>
            <w:right w:val="none" w:sz="0" w:space="0" w:color="auto"/>
          </w:divBdr>
          <w:divsChild>
            <w:div w:id="807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2903">
      <w:bodyDiv w:val="1"/>
      <w:marLeft w:val="0"/>
      <w:marRight w:val="0"/>
      <w:marTop w:val="0"/>
      <w:marBottom w:val="0"/>
      <w:divBdr>
        <w:top w:val="none" w:sz="0" w:space="0" w:color="auto"/>
        <w:left w:val="none" w:sz="0" w:space="0" w:color="auto"/>
        <w:bottom w:val="none" w:sz="0" w:space="0" w:color="auto"/>
        <w:right w:val="none" w:sz="0" w:space="0" w:color="auto"/>
      </w:divBdr>
    </w:div>
    <w:div w:id="85657375">
      <w:bodyDiv w:val="1"/>
      <w:marLeft w:val="0"/>
      <w:marRight w:val="0"/>
      <w:marTop w:val="0"/>
      <w:marBottom w:val="0"/>
      <w:divBdr>
        <w:top w:val="none" w:sz="0" w:space="0" w:color="auto"/>
        <w:left w:val="none" w:sz="0" w:space="0" w:color="auto"/>
        <w:bottom w:val="none" w:sz="0" w:space="0" w:color="auto"/>
        <w:right w:val="none" w:sz="0" w:space="0" w:color="auto"/>
      </w:divBdr>
    </w:div>
    <w:div w:id="103430956">
      <w:bodyDiv w:val="1"/>
      <w:marLeft w:val="0"/>
      <w:marRight w:val="0"/>
      <w:marTop w:val="0"/>
      <w:marBottom w:val="0"/>
      <w:divBdr>
        <w:top w:val="none" w:sz="0" w:space="0" w:color="auto"/>
        <w:left w:val="none" w:sz="0" w:space="0" w:color="auto"/>
        <w:bottom w:val="none" w:sz="0" w:space="0" w:color="auto"/>
        <w:right w:val="none" w:sz="0" w:space="0" w:color="auto"/>
      </w:divBdr>
    </w:div>
    <w:div w:id="166869669">
      <w:bodyDiv w:val="1"/>
      <w:marLeft w:val="0"/>
      <w:marRight w:val="0"/>
      <w:marTop w:val="0"/>
      <w:marBottom w:val="0"/>
      <w:divBdr>
        <w:top w:val="none" w:sz="0" w:space="0" w:color="auto"/>
        <w:left w:val="none" w:sz="0" w:space="0" w:color="auto"/>
        <w:bottom w:val="none" w:sz="0" w:space="0" w:color="auto"/>
        <w:right w:val="none" w:sz="0" w:space="0" w:color="auto"/>
      </w:divBdr>
    </w:div>
    <w:div w:id="178542527">
      <w:bodyDiv w:val="1"/>
      <w:marLeft w:val="0"/>
      <w:marRight w:val="0"/>
      <w:marTop w:val="0"/>
      <w:marBottom w:val="0"/>
      <w:divBdr>
        <w:top w:val="none" w:sz="0" w:space="0" w:color="auto"/>
        <w:left w:val="none" w:sz="0" w:space="0" w:color="auto"/>
        <w:bottom w:val="none" w:sz="0" w:space="0" w:color="auto"/>
        <w:right w:val="none" w:sz="0" w:space="0" w:color="auto"/>
      </w:divBdr>
    </w:div>
    <w:div w:id="207570424">
      <w:bodyDiv w:val="1"/>
      <w:marLeft w:val="0"/>
      <w:marRight w:val="0"/>
      <w:marTop w:val="0"/>
      <w:marBottom w:val="0"/>
      <w:divBdr>
        <w:top w:val="none" w:sz="0" w:space="0" w:color="auto"/>
        <w:left w:val="none" w:sz="0" w:space="0" w:color="auto"/>
        <w:bottom w:val="none" w:sz="0" w:space="0" w:color="auto"/>
        <w:right w:val="none" w:sz="0" w:space="0" w:color="auto"/>
      </w:divBdr>
      <w:divsChild>
        <w:div w:id="85420403">
          <w:marLeft w:val="0"/>
          <w:marRight w:val="0"/>
          <w:marTop w:val="0"/>
          <w:marBottom w:val="0"/>
          <w:divBdr>
            <w:top w:val="none" w:sz="0" w:space="0" w:color="auto"/>
            <w:left w:val="none" w:sz="0" w:space="0" w:color="auto"/>
            <w:bottom w:val="none" w:sz="0" w:space="0" w:color="auto"/>
            <w:right w:val="none" w:sz="0" w:space="0" w:color="auto"/>
          </w:divBdr>
        </w:div>
      </w:divsChild>
    </w:div>
    <w:div w:id="248200625">
      <w:bodyDiv w:val="1"/>
      <w:marLeft w:val="0"/>
      <w:marRight w:val="0"/>
      <w:marTop w:val="0"/>
      <w:marBottom w:val="0"/>
      <w:divBdr>
        <w:top w:val="none" w:sz="0" w:space="0" w:color="auto"/>
        <w:left w:val="none" w:sz="0" w:space="0" w:color="auto"/>
        <w:bottom w:val="none" w:sz="0" w:space="0" w:color="auto"/>
        <w:right w:val="none" w:sz="0" w:space="0" w:color="auto"/>
      </w:divBdr>
    </w:div>
    <w:div w:id="305012810">
      <w:bodyDiv w:val="1"/>
      <w:marLeft w:val="0"/>
      <w:marRight w:val="0"/>
      <w:marTop w:val="0"/>
      <w:marBottom w:val="0"/>
      <w:divBdr>
        <w:top w:val="none" w:sz="0" w:space="0" w:color="auto"/>
        <w:left w:val="none" w:sz="0" w:space="0" w:color="auto"/>
        <w:bottom w:val="none" w:sz="0" w:space="0" w:color="auto"/>
        <w:right w:val="none" w:sz="0" w:space="0" w:color="auto"/>
      </w:divBdr>
    </w:div>
    <w:div w:id="325284766">
      <w:bodyDiv w:val="1"/>
      <w:marLeft w:val="0"/>
      <w:marRight w:val="0"/>
      <w:marTop w:val="0"/>
      <w:marBottom w:val="0"/>
      <w:divBdr>
        <w:top w:val="none" w:sz="0" w:space="0" w:color="auto"/>
        <w:left w:val="none" w:sz="0" w:space="0" w:color="auto"/>
        <w:bottom w:val="none" w:sz="0" w:space="0" w:color="auto"/>
        <w:right w:val="none" w:sz="0" w:space="0" w:color="auto"/>
      </w:divBdr>
    </w:div>
    <w:div w:id="339551714">
      <w:bodyDiv w:val="1"/>
      <w:marLeft w:val="0"/>
      <w:marRight w:val="0"/>
      <w:marTop w:val="0"/>
      <w:marBottom w:val="0"/>
      <w:divBdr>
        <w:top w:val="none" w:sz="0" w:space="0" w:color="auto"/>
        <w:left w:val="none" w:sz="0" w:space="0" w:color="auto"/>
        <w:bottom w:val="none" w:sz="0" w:space="0" w:color="auto"/>
        <w:right w:val="none" w:sz="0" w:space="0" w:color="auto"/>
      </w:divBdr>
    </w:div>
    <w:div w:id="348529701">
      <w:bodyDiv w:val="1"/>
      <w:marLeft w:val="0"/>
      <w:marRight w:val="0"/>
      <w:marTop w:val="0"/>
      <w:marBottom w:val="0"/>
      <w:divBdr>
        <w:top w:val="none" w:sz="0" w:space="0" w:color="auto"/>
        <w:left w:val="none" w:sz="0" w:space="0" w:color="auto"/>
        <w:bottom w:val="none" w:sz="0" w:space="0" w:color="auto"/>
        <w:right w:val="none" w:sz="0" w:space="0" w:color="auto"/>
      </w:divBdr>
    </w:div>
    <w:div w:id="395784935">
      <w:bodyDiv w:val="1"/>
      <w:marLeft w:val="0"/>
      <w:marRight w:val="0"/>
      <w:marTop w:val="0"/>
      <w:marBottom w:val="0"/>
      <w:divBdr>
        <w:top w:val="none" w:sz="0" w:space="0" w:color="auto"/>
        <w:left w:val="none" w:sz="0" w:space="0" w:color="auto"/>
        <w:bottom w:val="none" w:sz="0" w:space="0" w:color="auto"/>
        <w:right w:val="none" w:sz="0" w:space="0" w:color="auto"/>
      </w:divBdr>
    </w:div>
    <w:div w:id="395863478">
      <w:bodyDiv w:val="1"/>
      <w:marLeft w:val="0"/>
      <w:marRight w:val="0"/>
      <w:marTop w:val="0"/>
      <w:marBottom w:val="0"/>
      <w:divBdr>
        <w:top w:val="none" w:sz="0" w:space="0" w:color="auto"/>
        <w:left w:val="none" w:sz="0" w:space="0" w:color="auto"/>
        <w:bottom w:val="none" w:sz="0" w:space="0" w:color="auto"/>
        <w:right w:val="none" w:sz="0" w:space="0" w:color="auto"/>
      </w:divBdr>
    </w:div>
    <w:div w:id="399061211">
      <w:bodyDiv w:val="1"/>
      <w:marLeft w:val="0"/>
      <w:marRight w:val="0"/>
      <w:marTop w:val="0"/>
      <w:marBottom w:val="0"/>
      <w:divBdr>
        <w:top w:val="none" w:sz="0" w:space="0" w:color="auto"/>
        <w:left w:val="none" w:sz="0" w:space="0" w:color="auto"/>
        <w:bottom w:val="none" w:sz="0" w:space="0" w:color="auto"/>
        <w:right w:val="none" w:sz="0" w:space="0" w:color="auto"/>
      </w:divBdr>
    </w:div>
    <w:div w:id="414669936">
      <w:bodyDiv w:val="1"/>
      <w:marLeft w:val="0"/>
      <w:marRight w:val="0"/>
      <w:marTop w:val="0"/>
      <w:marBottom w:val="0"/>
      <w:divBdr>
        <w:top w:val="none" w:sz="0" w:space="0" w:color="auto"/>
        <w:left w:val="none" w:sz="0" w:space="0" w:color="auto"/>
        <w:bottom w:val="none" w:sz="0" w:space="0" w:color="auto"/>
        <w:right w:val="none" w:sz="0" w:space="0" w:color="auto"/>
      </w:divBdr>
    </w:div>
    <w:div w:id="421294031">
      <w:bodyDiv w:val="1"/>
      <w:marLeft w:val="0"/>
      <w:marRight w:val="0"/>
      <w:marTop w:val="0"/>
      <w:marBottom w:val="0"/>
      <w:divBdr>
        <w:top w:val="none" w:sz="0" w:space="0" w:color="auto"/>
        <w:left w:val="none" w:sz="0" w:space="0" w:color="auto"/>
        <w:bottom w:val="none" w:sz="0" w:space="0" w:color="auto"/>
        <w:right w:val="none" w:sz="0" w:space="0" w:color="auto"/>
      </w:divBdr>
    </w:div>
    <w:div w:id="431778020">
      <w:bodyDiv w:val="1"/>
      <w:marLeft w:val="0"/>
      <w:marRight w:val="0"/>
      <w:marTop w:val="0"/>
      <w:marBottom w:val="0"/>
      <w:divBdr>
        <w:top w:val="none" w:sz="0" w:space="0" w:color="auto"/>
        <w:left w:val="none" w:sz="0" w:space="0" w:color="auto"/>
        <w:bottom w:val="none" w:sz="0" w:space="0" w:color="auto"/>
        <w:right w:val="none" w:sz="0" w:space="0" w:color="auto"/>
      </w:divBdr>
    </w:div>
    <w:div w:id="456605150">
      <w:bodyDiv w:val="1"/>
      <w:marLeft w:val="0"/>
      <w:marRight w:val="0"/>
      <w:marTop w:val="0"/>
      <w:marBottom w:val="0"/>
      <w:divBdr>
        <w:top w:val="none" w:sz="0" w:space="0" w:color="auto"/>
        <w:left w:val="none" w:sz="0" w:space="0" w:color="auto"/>
        <w:bottom w:val="none" w:sz="0" w:space="0" w:color="auto"/>
        <w:right w:val="none" w:sz="0" w:space="0" w:color="auto"/>
      </w:divBdr>
    </w:div>
    <w:div w:id="458956217">
      <w:bodyDiv w:val="1"/>
      <w:marLeft w:val="0"/>
      <w:marRight w:val="0"/>
      <w:marTop w:val="0"/>
      <w:marBottom w:val="0"/>
      <w:divBdr>
        <w:top w:val="none" w:sz="0" w:space="0" w:color="auto"/>
        <w:left w:val="none" w:sz="0" w:space="0" w:color="auto"/>
        <w:bottom w:val="none" w:sz="0" w:space="0" w:color="auto"/>
        <w:right w:val="none" w:sz="0" w:space="0" w:color="auto"/>
      </w:divBdr>
    </w:div>
    <w:div w:id="461653856">
      <w:bodyDiv w:val="1"/>
      <w:marLeft w:val="0"/>
      <w:marRight w:val="0"/>
      <w:marTop w:val="0"/>
      <w:marBottom w:val="0"/>
      <w:divBdr>
        <w:top w:val="none" w:sz="0" w:space="0" w:color="auto"/>
        <w:left w:val="none" w:sz="0" w:space="0" w:color="auto"/>
        <w:bottom w:val="none" w:sz="0" w:space="0" w:color="auto"/>
        <w:right w:val="none" w:sz="0" w:space="0" w:color="auto"/>
      </w:divBdr>
    </w:div>
    <w:div w:id="466052418">
      <w:bodyDiv w:val="1"/>
      <w:marLeft w:val="0"/>
      <w:marRight w:val="0"/>
      <w:marTop w:val="0"/>
      <w:marBottom w:val="0"/>
      <w:divBdr>
        <w:top w:val="none" w:sz="0" w:space="0" w:color="auto"/>
        <w:left w:val="none" w:sz="0" w:space="0" w:color="auto"/>
        <w:bottom w:val="none" w:sz="0" w:space="0" w:color="auto"/>
        <w:right w:val="none" w:sz="0" w:space="0" w:color="auto"/>
      </w:divBdr>
    </w:div>
    <w:div w:id="466169375">
      <w:bodyDiv w:val="1"/>
      <w:marLeft w:val="0"/>
      <w:marRight w:val="0"/>
      <w:marTop w:val="0"/>
      <w:marBottom w:val="0"/>
      <w:divBdr>
        <w:top w:val="none" w:sz="0" w:space="0" w:color="auto"/>
        <w:left w:val="none" w:sz="0" w:space="0" w:color="auto"/>
        <w:bottom w:val="none" w:sz="0" w:space="0" w:color="auto"/>
        <w:right w:val="none" w:sz="0" w:space="0" w:color="auto"/>
      </w:divBdr>
    </w:div>
    <w:div w:id="533201559">
      <w:bodyDiv w:val="1"/>
      <w:marLeft w:val="0"/>
      <w:marRight w:val="0"/>
      <w:marTop w:val="0"/>
      <w:marBottom w:val="0"/>
      <w:divBdr>
        <w:top w:val="none" w:sz="0" w:space="0" w:color="auto"/>
        <w:left w:val="none" w:sz="0" w:space="0" w:color="auto"/>
        <w:bottom w:val="none" w:sz="0" w:space="0" w:color="auto"/>
        <w:right w:val="none" w:sz="0" w:space="0" w:color="auto"/>
      </w:divBdr>
    </w:div>
    <w:div w:id="533617504">
      <w:bodyDiv w:val="1"/>
      <w:marLeft w:val="0"/>
      <w:marRight w:val="0"/>
      <w:marTop w:val="0"/>
      <w:marBottom w:val="0"/>
      <w:divBdr>
        <w:top w:val="none" w:sz="0" w:space="0" w:color="auto"/>
        <w:left w:val="none" w:sz="0" w:space="0" w:color="auto"/>
        <w:bottom w:val="none" w:sz="0" w:space="0" w:color="auto"/>
        <w:right w:val="none" w:sz="0" w:space="0" w:color="auto"/>
      </w:divBdr>
    </w:div>
    <w:div w:id="540285923">
      <w:bodyDiv w:val="1"/>
      <w:marLeft w:val="0"/>
      <w:marRight w:val="0"/>
      <w:marTop w:val="0"/>
      <w:marBottom w:val="0"/>
      <w:divBdr>
        <w:top w:val="none" w:sz="0" w:space="0" w:color="auto"/>
        <w:left w:val="none" w:sz="0" w:space="0" w:color="auto"/>
        <w:bottom w:val="none" w:sz="0" w:space="0" w:color="auto"/>
        <w:right w:val="none" w:sz="0" w:space="0" w:color="auto"/>
      </w:divBdr>
    </w:div>
    <w:div w:id="572619477">
      <w:bodyDiv w:val="1"/>
      <w:marLeft w:val="0"/>
      <w:marRight w:val="0"/>
      <w:marTop w:val="0"/>
      <w:marBottom w:val="0"/>
      <w:divBdr>
        <w:top w:val="none" w:sz="0" w:space="0" w:color="auto"/>
        <w:left w:val="none" w:sz="0" w:space="0" w:color="auto"/>
        <w:bottom w:val="none" w:sz="0" w:space="0" w:color="auto"/>
        <w:right w:val="none" w:sz="0" w:space="0" w:color="auto"/>
      </w:divBdr>
    </w:div>
    <w:div w:id="573470855">
      <w:bodyDiv w:val="1"/>
      <w:marLeft w:val="0"/>
      <w:marRight w:val="0"/>
      <w:marTop w:val="0"/>
      <w:marBottom w:val="0"/>
      <w:divBdr>
        <w:top w:val="none" w:sz="0" w:space="0" w:color="auto"/>
        <w:left w:val="none" w:sz="0" w:space="0" w:color="auto"/>
        <w:bottom w:val="none" w:sz="0" w:space="0" w:color="auto"/>
        <w:right w:val="none" w:sz="0" w:space="0" w:color="auto"/>
      </w:divBdr>
    </w:div>
    <w:div w:id="607395880">
      <w:bodyDiv w:val="1"/>
      <w:marLeft w:val="0"/>
      <w:marRight w:val="0"/>
      <w:marTop w:val="0"/>
      <w:marBottom w:val="0"/>
      <w:divBdr>
        <w:top w:val="none" w:sz="0" w:space="0" w:color="auto"/>
        <w:left w:val="none" w:sz="0" w:space="0" w:color="auto"/>
        <w:bottom w:val="none" w:sz="0" w:space="0" w:color="auto"/>
        <w:right w:val="none" w:sz="0" w:space="0" w:color="auto"/>
      </w:divBdr>
    </w:div>
    <w:div w:id="612249451">
      <w:bodyDiv w:val="1"/>
      <w:marLeft w:val="0"/>
      <w:marRight w:val="0"/>
      <w:marTop w:val="0"/>
      <w:marBottom w:val="0"/>
      <w:divBdr>
        <w:top w:val="none" w:sz="0" w:space="0" w:color="auto"/>
        <w:left w:val="none" w:sz="0" w:space="0" w:color="auto"/>
        <w:bottom w:val="none" w:sz="0" w:space="0" w:color="auto"/>
        <w:right w:val="none" w:sz="0" w:space="0" w:color="auto"/>
      </w:divBdr>
    </w:div>
    <w:div w:id="619413387">
      <w:bodyDiv w:val="1"/>
      <w:marLeft w:val="0"/>
      <w:marRight w:val="0"/>
      <w:marTop w:val="0"/>
      <w:marBottom w:val="0"/>
      <w:divBdr>
        <w:top w:val="none" w:sz="0" w:space="0" w:color="auto"/>
        <w:left w:val="none" w:sz="0" w:space="0" w:color="auto"/>
        <w:bottom w:val="none" w:sz="0" w:space="0" w:color="auto"/>
        <w:right w:val="none" w:sz="0" w:space="0" w:color="auto"/>
      </w:divBdr>
    </w:div>
    <w:div w:id="658386034">
      <w:bodyDiv w:val="1"/>
      <w:marLeft w:val="0"/>
      <w:marRight w:val="0"/>
      <w:marTop w:val="0"/>
      <w:marBottom w:val="0"/>
      <w:divBdr>
        <w:top w:val="none" w:sz="0" w:space="0" w:color="auto"/>
        <w:left w:val="none" w:sz="0" w:space="0" w:color="auto"/>
        <w:bottom w:val="none" w:sz="0" w:space="0" w:color="auto"/>
        <w:right w:val="none" w:sz="0" w:space="0" w:color="auto"/>
      </w:divBdr>
    </w:div>
    <w:div w:id="678192266">
      <w:bodyDiv w:val="1"/>
      <w:marLeft w:val="0"/>
      <w:marRight w:val="0"/>
      <w:marTop w:val="0"/>
      <w:marBottom w:val="0"/>
      <w:divBdr>
        <w:top w:val="none" w:sz="0" w:space="0" w:color="auto"/>
        <w:left w:val="none" w:sz="0" w:space="0" w:color="auto"/>
        <w:bottom w:val="none" w:sz="0" w:space="0" w:color="auto"/>
        <w:right w:val="none" w:sz="0" w:space="0" w:color="auto"/>
      </w:divBdr>
    </w:div>
    <w:div w:id="750003638">
      <w:bodyDiv w:val="1"/>
      <w:marLeft w:val="0"/>
      <w:marRight w:val="0"/>
      <w:marTop w:val="0"/>
      <w:marBottom w:val="0"/>
      <w:divBdr>
        <w:top w:val="none" w:sz="0" w:space="0" w:color="auto"/>
        <w:left w:val="none" w:sz="0" w:space="0" w:color="auto"/>
        <w:bottom w:val="none" w:sz="0" w:space="0" w:color="auto"/>
        <w:right w:val="none" w:sz="0" w:space="0" w:color="auto"/>
      </w:divBdr>
    </w:div>
    <w:div w:id="791942882">
      <w:bodyDiv w:val="1"/>
      <w:marLeft w:val="0"/>
      <w:marRight w:val="0"/>
      <w:marTop w:val="0"/>
      <w:marBottom w:val="0"/>
      <w:divBdr>
        <w:top w:val="none" w:sz="0" w:space="0" w:color="auto"/>
        <w:left w:val="none" w:sz="0" w:space="0" w:color="auto"/>
        <w:bottom w:val="none" w:sz="0" w:space="0" w:color="auto"/>
        <w:right w:val="none" w:sz="0" w:space="0" w:color="auto"/>
      </w:divBdr>
    </w:div>
    <w:div w:id="812603469">
      <w:bodyDiv w:val="1"/>
      <w:marLeft w:val="0"/>
      <w:marRight w:val="0"/>
      <w:marTop w:val="0"/>
      <w:marBottom w:val="0"/>
      <w:divBdr>
        <w:top w:val="none" w:sz="0" w:space="0" w:color="auto"/>
        <w:left w:val="none" w:sz="0" w:space="0" w:color="auto"/>
        <w:bottom w:val="none" w:sz="0" w:space="0" w:color="auto"/>
        <w:right w:val="none" w:sz="0" w:space="0" w:color="auto"/>
      </w:divBdr>
    </w:div>
    <w:div w:id="832186361">
      <w:bodyDiv w:val="1"/>
      <w:marLeft w:val="0"/>
      <w:marRight w:val="0"/>
      <w:marTop w:val="0"/>
      <w:marBottom w:val="0"/>
      <w:divBdr>
        <w:top w:val="none" w:sz="0" w:space="0" w:color="auto"/>
        <w:left w:val="none" w:sz="0" w:space="0" w:color="auto"/>
        <w:bottom w:val="none" w:sz="0" w:space="0" w:color="auto"/>
        <w:right w:val="none" w:sz="0" w:space="0" w:color="auto"/>
      </w:divBdr>
    </w:div>
    <w:div w:id="842016822">
      <w:bodyDiv w:val="1"/>
      <w:marLeft w:val="0"/>
      <w:marRight w:val="0"/>
      <w:marTop w:val="0"/>
      <w:marBottom w:val="0"/>
      <w:divBdr>
        <w:top w:val="none" w:sz="0" w:space="0" w:color="auto"/>
        <w:left w:val="none" w:sz="0" w:space="0" w:color="auto"/>
        <w:bottom w:val="none" w:sz="0" w:space="0" w:color="auto"/>
        <w:right w:val="none" w:sz="0" w:space="0" w:color="auto"/>
      </w:divBdr>
      <w:divsChild>
        <w:div w:id="1543707157">
          <w:marLeft w:val="0"/>
          <w:marRight w:val="0"/>
          <w:marTop w:val="0"/>
          <w:marBottom w:val="0"/>
          <w:divBdr>
            <w:top w:val="none" w:sz="0" w:space="0" w:color="auto"/>
            <w:left w:val="none" w:sz="0" w:space="0" w:color="auto"/>
            <w:bottom w:val="none" w:sz="0" w:space="0" w:color="auto"/>
            <w:right w:val="none" w:sz="0" w:space="0" w:color="auto"/>
          </w:divBdr>
        </w:div>
      </w:divsChild>
    </w:div>
    <w:div w:id="895970069">
      <w:bodyDiv w:val="1"/>
      <w:marLeft w:val="0"/>
      <w:marRight w:val="0"/>
      <w:marTop w:val="0"/>
      <w:marBottom w:val="0"/>
      <w:divBdr>
        <w:top w:val="none" w:sz="0" w:space="0" w:color="auto"/>
        <w:left w:val="none" w:sz="0" w:space="0" w:color="auto"/>
        <w:bottom w:val="none" w:sz="0" w:space="0" w:color="auto"/>
        <w:right w:val="none" w:sz="0" w:space="0" w:color="auto"/>
      </w:divBdr>
    </w:div>
    <w:div w:id="906916719">
      <w:bodyDiv w:val="1"/>
      <w:marLeft w:val="0"/>
      <w:marRight w:val="0"/>
      <w:marTop w:val="0"/>
      <w:marBottom w:val="0"/>
      <w:divBdr>
        <w:top w:val="none" w:sz="0" w:space="0" w:color="auto"/>
        <w:left w:val="none" w:sz="0" w:space="0" w:color="auto"/>
        <w:bottom w:val="none" w:sz="0" w:space="0" w:color="auto"/>
        <w:right w:val="none" w:sz="0" w:space="0" w:color="auto"/>
      </w:divBdr>
    </w:div>
    <w:div w:id="915478424">
      <w:bodyDiv w:val="1"/>
      <w:marLeft w:val="0"/>
      <w:marRight w:val="0"/>
      <w:marTop w:val="0"/>
      <w:marBottom w:val="0"/>
      <w:divBdr>
        <w:top w:val="none" w:sz="0" w:space="0" w:color="auto"/>
        <w:left w:val="none" w:sz="0" w:space="0" w:color="auto"/>
        <w:bottom w:val="none" w:sz="0" w:space="0" w:color="auto"/>
        <w:right w:val="none" w:sz="0" w:space="0" w:color="auto"/>
      </w:divBdr>
    </w:div>
    <w:div w:id="939919394">
      <w:bodyDiv w:val="1"/>
      <w:marLeft w:val="0"/>
      <w:marRight w:val="0"/>
      <w:marTop w:val="0"/>
      <w:marBottom w:val="0"/>
      <w:divBdr>
        <w:top w:val="none" w:sz="0" w:space="0" w:color="auto"/>
        <w:left w:val="none" w:sz="0" w:space="0" w:color="auto"/>
        <w:bottom w:val="none" w:sz="0" w:space="0" w:color="auto"/>
        <w:right w:val="none" w:sz="0" w:space="0" w:color="auto"/>
      </w:divBdr>
    </w:div>
    <w:div w:id="949774811">
      <w:bodyDiv w:val="1"/>
      <w:marLeft w:val="0"/>
      <w:marRight w:val="0"/>
      <w:marTop w:val="0"/>
      <w:marBottom w:val="0"/>
      <w:divBdr>
        <w:top w:val="none" w:sz="0" w:space="0" w:color="auto"/>
        <w:left w:val="none" w:sz="0" w:space="0" w:color="auto"/>
        <w:bottom w:val="none" w:sz="0" w:space="0" w:color="auto"/>
        <w:right w:val="none" w:sz="0" w:space="0" w:color="auto"/>
      </w:divBdr>
    </w:div>
    <w:div w:id="965889656">
      <w:bodyDiv w:val="1"/>
      <w:marLeft w:val="0"/>
      <w:marRight w:val="0"/>
      <w:marTop w:val="0"/>
      <w:marBottom w:val="0"/>
      <w:divBdr>
        <w:top w:val="none" w:sz="0" w:space="0" w:color="auto"/>
        <w:left w:val="none" w:sz="0" w:space="0" w:color="auto"/>
        <w:bottom w:val="none" w:sz="0" w:space="0" w:color="auto"/>
        <w:right w:val="none" w:sz="0" w:space="0" w:color="auto"/>
      </w:divBdr>
    </w:div>
    <w:div w:id="1037662893">
      <w:bodyDiv w:val="1"/>
      <w:marLeft w:val="0"/>
      <w:marRight w:val="0"/>
      <w:marTop w:val="0"/>
      <w:marBottom w:val="0"/>
      <w:divBdr>
        <w:top w:val="none" w:sz="0" w:space="0" w:color="auto"/>
        <w:left w:val="none" w:sz="0" w:space="0" w:color="auto"/>
        <w:bottom w:val="none" w:sz="0" w:space="0" w:color="auto"/>
        <w:right w:val="none" w:sz="0" w:space="0" w:color="auto"/>
      </w:divBdr>
    </w:div>
    <w:div w:id="1046022750">
      <w:bodyDiv w:val="1"/>
      <w:marLeft w:val="0"/>
      <w:marRight w:val="0"/>
      <w:marTop w:val="0"/>
      <w:marBottom w:val="0"/>
      <w:divBdr>
        <w:top w:val="none" w:sz="0" w:space="0" w:color="auto"/>
        <w:left w:val="none" w:sz="0" w:space="0" w:color="auto"/>
        <w:bottom w:val="none" w:sz="0" w:space="0" w:color="auto"/>
        <w:right w:val="none" w:sz="0" w:space="0" w:color="auto"/>
      </w:divBdr>
      <w:divsChild>
        <w:div w:id="1933929344">
          <w:marLeft w:val="0"/>
          <w:marRight w:val="0"/>
          <w:marTop w:val="0"/>
          <w:marBottom w:val="0"/>
          <w:divBdr>
            <w:top w:val="none" w:sz="0" w:space="0" w:color="auto"/>
            <w:left w:val="none" w:sz="0" w:space="0" w:color="auto"/>
            <w:bottom w:val="none" w:sz="0" w:space="0" w:color="auto"/>
            <w:right w:val="none" w:sz="0" w:space="0" w:color="auto"/>
          </w:divBdr>
        </w:div>
      </w:divsChild>
    </w:div>
    <w:div w:id="1074738452">
      <w:bodyDiv w:val="1"/>
      <w:marLeft w:val="0"/>
      <w:marRight w:val="0"/>
      <w:marTop w:val="0"/>
      <w:marBottom w:val="0"/>
      <w:divBdr>
        <w:top w:val="none" w:sz="0" w:space="0" w:color="auto"/>
        <w:left w:val="none" w:sz="0" w:space="0" w:color="auto"/>
        <w:bottom w:val="none" w:sz="0" w:space="0" w:color="auto"/>
        <w:right w:val="none" w:sz="0" w:space="0" w:color="auto"/>
      </w:divBdr>
    </w:div>
    <w:div w:id="1104157247">
      <w:bodyDiv w:val="1"/>
      <w:marLeft w:val="0"/>
      <w:marRight w:val="0"/>
      <w:marTop w:val="0"/>
      <w:marBottom w:val="0"/>
      <w:divBdr>
        <w:top w:val="none" w:sz="0" w:space="0" w:color="auto"/>
        <w:left w:val="none" w:sz="0" w:space="0" w:color="auto"/>
        <w:bottom w:val="none" w:sz="0" w:space="0" w:color="auto"/>
        <w:right w:val="none" w:sz="0" w:space="0" w:color="auto"/>
      </w:divBdr>
    </w:div>
    <w:div w:id="1113209347">
      <w:bodyDiv w:val="1"/>
      <w:marLeft w:val="0"/>
      <w:marRight w:val="0"/>
      <w:marTop w:val="0"/>
      <w:marBottom w:val="0"/>
      <w:divBdr>
        <w:top w:val="none" w:sz="0" w:space="0" w:color="auto"/>
        <w:left w:val="none" w:sz="0" w:space="0" w:color="auto"/>
        <w:bottom w:val="none" w:sz="0" w:space="0" w:color="auto"/>
        <w:right w:val="none" w:sz="0" w:space="0" w:color="auto"/>
      </w:divBdr>
    </w:div>
    <w:div w:id="1133331729">
      <w:bodyDiv w:val="1"/>
      <w:marLeft w:val="0"/>
      <w:marRight w:val="0"/>
      <w:marTop w:val="0"/>
      <w:marBottom w:val="0"/>
      <w:divBdr>
        <w:top w:val="none" w:sz="0" w:space="0" w:color="auto"/>
        <w:left w:val="none" w:sz="0" w:space="0" w:color="auto"/>
        <w:bottom w:val="none" w:sz="0" w:space="0" w:color="auto"/>
        <w:right w:val="none" w:sz="0" w:space="0" w:color="auto"/>
      </w:divBdr>
    </w:div>
    <w:div w:id="1135026267">
      <w:bodyDiv w:val="1"/>
      <w:marLeft w:val="0"/>
      <w:marRight w:val="0"/>
      <w:marTop w:val="0"/>
      <w:marBottom w:val="0"/>
      <w:divBdr>
        <w:top w:val="none" w:sz="0" w:space="0" w:color="auto"/>
        <w:left w:val="none" w:sz="0" w:space="0" w:color="auto"/>
        <w:bottom w:val="none" w:sz="0" w:space="0" w:color="auto"/>
        <w:right w:val="none" w:sz="0" w:space="0" w:color="auto"/>
      </w:divBdr>
    </w:div>
    <w:div w:id="1145779456">
      <w:bodyDiv w:val="1"/>
      <w:marLeft w:val="0"/>
      <w:marRight w:val="0"/>
      <w:marTop w:val="0"/>
      <w:marBottom w:val="0"/>
      <w:divBdr>
        <w:top w:val="none" w:sz="0" w:space="0" w:color="auto"/>
        <w:left w:val="none" w:sz="0" w:space="0" w:color="auto"/>
        <w:bottom w:val="none" w:sz="0" w:space="0" w:color="auto"/>
        <w:right w:val="none" w:sz="0" w:space="0" w:color="auto"/>
      </w:divBdr>
    </w:div>
    <w:div w:id="1179388270">
      <w:bodyDiv w:val="1"/>
      <w:marLeft w:val="0"/>
      <w:marRight w:val="0"/>
      <w:marTop w:val="0"/>
      <w:marBottom w:val="0"/>
      <w:divBdr>
        <w:top w:val="none" w:sz="0" w:space="0" w:color="auto"/>
        <w:left w:val="none" w:sz="0" w:space="0" w:color="auto"/>
        <w:bottom w:val="none" w:sz="0" w:space="0" w:color="auto"/>
        <w:right w:val="none" w:sz="0" w:space="0" w:color="auto"/>
      </w:divBdr>
    </w:div>
    <w:div w:id="1204363441">
      <w:bodyDiv w:val="1"/>
      <w:marLeft w:val="0"/>
      <w:marRight w:val="0"/>
      <w:marTop w:val="0"/>
      <w:marBottom w:val="0"/>
      <w:divBdr>
        <w:top w:val="none" w:sz="0" w:space="0" w:color="auto"/>
        <w:left w:val="none" w:sz="0" w:space="0" w:color="auto"/>
        <w:bottom w:val="none" w:sz="0" w:space="0" w:color="auto"/>
        <w:right w:val="none" w:sz="0" w:space="0" w:color="auto"/>
      </w:divBdr>
    </w:div>
    <w:div w:id="1207450558">
      <w:bodyDiv w:val="1"/>
      <w:marLeft w:val="0"/>
      <w:marRight w:val="0"/>
      <w:marTop w:val="0"/>
      <w:marBottom w:val="0"/>
      <w:divBdr>
        <w:top w:val="none" w:sz="0" w:space="0" w:color="auto"/>
        <w:left w:val="none" w:sz="0" w:space="0" w:color="auto"/>
        <w:bottom w:val="none" w:sz="0" w:space="0" w:color="auto"/>
        <w:right w:val="none" w:sz="0" w:space="0" w:color="auto"/>
      </w:divBdr>
    </w:div>
    <w:div w:id="1211189131">
      <w:bodyDiv w:val="1"/>
      <w:marLeft w:val="0"/>
      <w:marRight w:val="0"/>
      <w:marTop w:val="0"/>
      <w:marBottom w:val="0"/>
      <w:divBdr>
        <w:top w:val="none" w:sz="0" w:space="0" w:color="auto"/>
        <w:left w:val="none" w:sz="0" w:space="0" w:color="auto"/>
        <w:bottom w:val="none" w:sz="0" w:space="0" w:color="auto"/>
        <w:right w:val="none" w:sz="0" w:space="0" w:color="auto"/>
      </w:divBdr>
      <w:divsChild>
        <w:div w:id="512886111">
          <w:marLeft w:val="0"/>
          <w:marRight w:val="0"/>
          <w:marTop w:val="0"/>
          <w:marBottom w:val="0"/>
          <w:divBdr>
            <w:top w:val="none" w:sz="0" w:space="0" w:color="auto"/>
            <w:left w:val="none" w:sz="0" w:space="0" w:color="auto"/>
            <w:bottom w:val="none" w:sz="0" w:space="0" w:color="auto"/>
            <w:right w:val="none" w:sz="0" w:space="0" w:color="auto"/>
          </w:divBdr>
        </w:div>
        <w:div w:id="517938023">
          <w:marLeft w:val="0"/>
          <w:marRight w:val="0"/>
          <w:marTop w:val="0"/>
          <w:marBottom w:val="0"/>
          <w:divBdr>
            <w:top w:val="none" w:sz="0" w:space="0" w:color="auto"/>
            <w:left w:val="none" w:sz="0" w:space="0" w:color="auto"/>
            <w:bottom w:val="none" w:sz="0" w:space="0" w:color="auto"/>
            <w:right w:val="none" w:sz="0" w:space="0" w:color="auto"/>
          </w:divBdr>
        </w:div>
        <w:div w:id="1615166491">
          <w:marLeft w:val="0"/>
          <w:marRight w:val="0"/>
          <w:marTop w:val="0"/>
          <w:marBottom w:val="0"/>
          <w:divBdr>
            <w:top w:val="none" w:sz="0" w:space="0" w:color="auto"/>
            <w:left w:val="none" w:sz="0" w:space="0" w:color="auto"/>
            <w:bottom w:val="none" w:sz="0" w:space="0" w:color="auto"/>
            <w:right w:val="none" w:sz="0" w:space="0" w:color="auto"/>
          </w:divBdr>
        </w:div>
        <w:div w:id="863517160">
          <w:marLeft w:val="0"/>
          <w:marRight w:val="0"/>
          <w:marTop w:val="0"/>
          <w:marBottom w:val="0"/>
          <w:divBdr>
            <w:top w:val="none" w:sz="0" w:space="0" w:color="auto"/>
            <w:left w:val="none" w:sz="0" w:space="0" w:color="auto"/>
            <w:bottom w:val="none" w:sz="0" w:space="0" w:color="auto"/>
            <w:right w:val="none" w:sz="0" w:space="0" w:color="auto"/>
          </w:divBdr>
        </w:div>
        <w:div w:id="396705501">
          <w:marLeft w:val="0"/>
          <w:marRight w:val="0"/>
          <w:marTop w:val="0"/>
          <w:marBottom w:val="0"/>
          <w:divBdr>
            <w:top w:val="none" w:sz="0" w:space="0" w:color="auto"/>
            <w:left w:val="none" w:sz="0" w:space="0" w:color="auto"/>
            <w:bottom w:val="none" w:sz="0" w:space="0" w:color="auto"/>
            <w:right w:val="none" w:sz="0" w:space="0" w:color="auto"/>
          </w:divBdr>
        </w:div>
        <w:div w:id="1335916730">
          <w:marLeft w:val="0"/>
          <w:marRight w:val="0"/>
          <w:marTop w:val="0"/>
          <w:marBottom w:val="0"/>
          <w:divBdr>
            <w:top w:val="none" w:sz="0" w:space="0" w:color="auto"/>
            <w:left w:val="none" w:sz="0" w:space="0" w:color="auto"/>
            <w:bottom w:val="none" w:sz="0" w:space="0" w:color="auto"/>
            <w:right w:val="none" w:sz="0" w:space="0" w:color="auto"/>
          </w:divBdr>
        </w:div>
        <w:div w:id="893540684">
          <w:marLeft w:val="0"/>
          <w:marRight w:val="0"/>
          <w:marTop w:val="0"/>
          <w:marBottom w:val="0"/>
          <w:divBdr>
            <w:top w:val="none" w:sz="0" w:space="0" w:color="auto"/>
            <w:left w:val="none" w:sz="0" w:space="0" w:color="auto"/>
            <w:bottom w:val="none" w:sz="0" w:space="0" w:color="auto"/>
            <w:right w:val="none" w:sz="0" w:space="0" w:color="auto"/>
          </w:divBdr>
        </w:div>
      </w:divsChild>
    </w:div>
    <w:div w:id="1216701713">
      <w:bodyDiv w:val="1"/>
      <w:marLeft w:val="0"/>
      <w:marRight w:val="0"/>
      <w:marTop w:val="0"/>
      <w:marBottom w:val="0"/>
      <w:divBdr>
        <w:top w:val="none" w:sz="0" w:space="0" w:color="auto"/>
        <w:left w:val="none" w:sz="0" w:space="0" w:color="auto"/>
        <w:bottom w:val="none" w:sz="0" w:space="0" w:color="auto"/>
        <w:right w:val="none" w:sz="0" w:space="0" w:color="auto"/>
      </w:divBdr>
    </w:div>
    <w:div w:id="1230651114">
      <w:bodyDiv w:val="1"/>
      <w:marLeft w:val="0"/>
      <w:marRight w:val="0"/>
      <w:marTop w:val="0"/>
      <w:marBottom w:val="0"/>
      <w:divBdr>
        <w:top w:val="none" w:sz="0" w:space="0" w:color="auto"/>
        <w:left w:val="none" w:sz="0" w:space="0" w:color="auto"/>
        <w:bottom w:val="none" w:sz="0" w:space="0" w:color="auto"/>
        <w:right w:val="none" w:sz="0" w:space="0" w:color="auto"/>
      </w:divBdr>
    </w:div>
    <w:div w:id="1249339859">
      <w:bodyDiv w:val="1"/>
      <w:marLeft w:val="0"/>
      <w:marRight w:val="0"/>
      <w:marTop w:val="0"/>
      <w:marBottom w:val="0"/>
      <w:divBdr>
        <w:top w:val="none" w:sz="0" w:space="0" w:color="auto"/>
        <w:left w:val="none" w:sz="0" w:space="0" w:color="auto"/>
        <w:bottom w:val="none" w:sz="0" w:space="0" w:color="auto"/>
        <w:right w:val="none" w:sz="0" w:space="0" w:color="auto"/>
      </w:divBdr>
    </w:div>
    <w:div w:id="1300454847">
      <w:bodyDiv w:val="1"/>
      <w:marLeft w:val="0"/>
      <w:marRight w:val="0"/>
      <w:marTop w:val="0"/>
      <w:marBottom w:val="0"/>
      <w:divBdr>
        <w:top w:val="none" w:sz="0" w:space="0" w:color="auto"/>
        <w:left w:val="none" w:sz="0" w:space="0" w:color="auto"/>
        <w:bottom w:val="none" w:sz="0" w:space="0" w:color="auto"/>
        <w:right w:val="none" w:sz="0" w:space="0" w:color="auto"/>
      </w:divBdr>
    </w:div>
    <w:div w:id="1302232765">
      <w:bodyDiv w:val="1"/>
      <w:marLeft w:val="0"/>
      <w:marRight w:val="0"/>
      <w:marTop w:val="0"/>
      <w:marBottom w:val="0"/>
      <w:divBdr>
        <w:top w:val="none" w:sz="0" w:space="0" w:color="auto"/>
        <w:left w:val="none" w:sz="0" w:space="0" w:color="auto"/>
        <w:bottom w:val="none" w:sz="0" w:space="0" w:color="auto"/>
        <w:right w:val="none" w:sz="0" w:space="0" w:color="auto"/>
      </w:divBdr>
    </w:div>
    <w:div w:id="1334455849">
      <w:bodyDiv w:val="1"/>
      <w:marLeft w:val="0"/>
      <w:marRight w:val="0"/>
      <w:marTop w:val="0"/>
      <w:marBottom w:val="0"/>
      <w:divBdr>
        <w:top w:val="none" w:sz="0" w:space="0" w:color="auto"/>
        <w:left w:val="none" w:sz="0" w:space="0" w:color="auto"/>
        <w:bottom w:val="none" w:sz="0" w:space="0" w:color="auto"/>
        <w:right w:val="none" w:sz="0" w:space="0" w:color="auto"/>
      </w:divBdr>
    </w:div>
    <w:div w:id="1363046364">
      <w:bodyDiv w:val="1"/>
      <w:marLeft w:val="0"/>
      <w:marRight w:val="0"/>
      <w:marTop w:val="0"/>
      <w:marBottom w:val="0"/>
      <w:divBdr>
        <w:top w:val="none" w:sz="0" w:space="0" w:color="auto"/>
        <w:left w:val="none" w:sz="0" w:space="0" w:color="auto"/>
        <w:bottom w:val="none" w:sz="0" w:space="0" w:color="auto"/>
        <w:right w:val="none" w:sz="0" w:space="0" w:color="auto"/>
      </w:divBdr>
    </w:div>
    <w:div w:id="1366979087">
      <w:bodyDiv w:val="1"/>
      <w:marLeft w:val="0"/>
      <w:marRight w:val="0"/>
      <w:marTop w:val="0"/>
      <w:marBottom w:val="0"/>
      <w:divBdr>
        <w:top w:val="none" w:sz="0" w:space="0" w:color="auto"/>
        <w:left w:val="none" w:sz="0" w:space="0" w:color="auto"/>
        <w:bottom w:val="none" w:sz="0" w:space="0" w:color="auto"/>
        <w:right w:val="none" w:sz="0" w:space="0" w:color="auto"/>
      </w:divBdr>
    </w:div>
    <w:div w:id="1367559074">
      <w:bodyDiv w:val="1"/>
      <w:marLeft w:val="0"/>
      <w:marRight w:val="0"/>
      <w:marTop w:val="0"/>
      <w:marBottom w:val="0"/>
      <w:divBdr>
        <w:top w:val="none" w:sz="0" w:space="0" w:color="auto"/>
        <w:left w:val="none" w:sz="0" w:space="0" w:color="auto"/>
        <w:bottom w:val="none" w:sz="0" w:space="0" w:color="auto"/>
        <w:right w:val="none" w:sz="0" w:space="0" w:color="auto"/>
      </w:divBdr>
    </w:div>
    <w:div w:id="1384406889">
      <w:bodyDiv w:val="1"/>
      <w:marLeft w:val="0"/>
      <w:marRight w:val="0"/>
      <w:marTop w:val="0"/>
      <w:marBottom w:val="0"/>
      <w:divBdr>
        <w:top w:val="none" w:sz="0" w:space="0" w:color="auto"/>
        <w:left w:val="none" w:sz="0" w:space="0" w:color="auto"/>
        <w:bottom w:val="none" w:sz="0" w:space="0" w:color="auto"/>
        <w:right w:val="none" w:sz="0" w:space="0" w:color="auto"/>
      </w:divBdr>
    </w:div>
    <w:div w:id="1384865399">
      <w:bodyDiv w:val="1"/>
      <w:marLeft w:val="0"/>
      <w:marRight w:val="0"/>
      <w:marTop w:val="0"/>
      <w:marBottom w:val="0"/>
      <w:divBdr>
        <w:top w:val="none" w:sz="0" w:space="0" w:color="auto"/>
        <w:left w:val="none" w:sz="0" w:space="0" w:color="auto"/>
        <w:bottom w:val="none" w:sz="0" w:space="0" w:color="auto"/>
        <w:right w:val="none" w:sz="0" w:space="0" w:color="auto"/>
      </w:divBdr>
    </w:div>
    <w:div w:id="1388609376">
      <w:bodyDiv w:val="1"/>
      <w:marLeft w:val="0"/>
      <w:marRight w:val="0"/>
      <w:marTop w:val="0"/>
      <w:marBottom w:val="0"/>
      <w:divBdr>
        <w:top w:val="none" w:sz="0" w:space="0" w:color="auto"/>
        <w:left w:val="none" w:sz="0" w:space="0" w:color="auto"/>
        <w:bottom w:val="none" w:sz="0" w:space="0" w:color="auto"/>
        <w:right w:val="none" w:sz="0" w:space="0" w:color="auto"/>
      </w:divBdr>
    </w:div>
    <w:div w:id="1394430426">
      <w:bodyDiv w:val="1"/>
      <w:marLeft w:val="0"/>
      <w:marRight w:val="0"/>
      <w:marTop w:val="0"/>
      <w:marBottom w:val="0"/>
      <w:divBdr>
        <w:top w:val="none" w:sz="0" w:space="0" w:color="auto"/>
        <w:left w:val="none" w:sz="0" w:space="0" w:color="auto"/>
        <w:bottom w:val="none" w:sz="0" w:space="0" w:color="auto"/>
        <w:right w:val="none" w:sz="0" w:space="0" w:color="auto"/>
      </w:divBdr>
    </w:div>
    <w:div w:id="1403720858">
      <w:bodyDiv w:val="1"/>
      <w:marLeft w:val="0"/>
      <w:marRight w:val="0"/>
      <w:marTop w:val="0"/>
      <w:marBottom w:val="0"/>
      <w:divBdr>
        <w:top w:val="none" w:sz="0" w:space="0" w:color="auto"/>
        <w:left w:val="none" w:sz="0" w:space="0" w:color="auto"/>
        <w:bottom w:val="none" w:sz="0" w:space="0" w:color="auto"/>
        <w:right w:val="none" w:sz="0" w:space="0" w:color="auto"/>
      </w:divBdr>
    </w:div>
    <w:div w:id="1404330559">
      <w:bodyDiv w:val="1"/>
      <w:marLeft w:val="0"/>
      <w:marRight w:val="0"/>
      <w:marTop w:val="0"/>
      <w:marBottom w:val="0"/>
      <w:divBdr>
        <w:top w:val="none" w:sz="0" w:space="0" w:color="auto"/>
        <w:left w:val="none" w:sz="0" w:space="0" w:color="auto"/>
        <w:bottom w:val="none" w:sz="0" w:space="0" w:color="auto"/>
        <w:right w:val="none" w:sz="0" w:space="0" w:color="auto"/>
      </w:divBdr>
    </w:div>
    <w:div w:id="1418209110">
      <w:bodyDiv w:val="1"/>
      <w:marLeft w:val="0"/>
      <w:marRight w:val="0"/>
      <w:marTop w:val="0"/>
      <w:marBottom w:val="0"/>
      <w:divBdr>
        <w:top w:val="none" w:sz="0" w:space="0" w:color="auto"/>
        <w:left w:val="none" w:sz="0" w:space="0" w:color="auto"/>
        <w:bottom w:val="none" w:sz="0" w:space="0" w:color="auto"/>
        <w:right w:val="none" w:sz="0" w:space="0" w:color="auto"/>
      </w:divBdr>
    </w:div>
    <w:div w:id="1424719281">
      <w:bodyDiv w:val="1"/>
      <w:marLeft w:val="0"/>
      <w:marRight w:val="0"/>
      <w:marTop w:val="0"/>
      <w:marBottom w:val="0"/>
      <w:divBdr>
        <w:top w:val="none" w:sz="0" w:space="0" w:color="auto"/>
        <w:left w:val="none" w:sz="0" w:space="0" w:color="auto"/>
        <w:bottom w:val="none" w:sz="0" w:space="0" w:color="auto"/>
        <w:right w:val="none" w:sz="0" w:space="0" w:color="auto"/>
      </w:divBdr>
    </w:div>
    <w:div w:id="1456288293">
      <w:bodyDiv w:val="1"/>
      <w:marLeft w:val="0"/>
      <w:marRight w:val="0"/>
      <w:marTop w:val="0"/>
      <w:marBottom w:val="0"/>
      <w:divBdr>
        <w:top w:val="none" w:sz="0" w:space="0" w:color="auto"/>
        <w:left w:val="none" w:sz="0" w:space="0" w:color="auto"/>
        <w:bottom w:val="none" w:sz="0" w:space="0" w:color="auto"/>
        <w:right w:val="none" w:sz="0" w:space="0" w:color="auto"/>
      </w:divBdr>
    </w:div>
    <w:div w:id="1526409996">
      <w:bodyDiv w:val="1"/>
      <w:marLeft w:val="0"/>
      <w:marRight w:val="0"/>
      <w:marTop w:val="0"/>
      <w:marBottom w:val="0"/>
      <w:divBdr>
        <w:top w:val="none" w:sz="0" w:space="0" w:color="auto"/>
        <w:left w:val="none" w:sz="0" w:space="0" w:color="auto"/>
        <w:bottom w:val="none" w:sz="0" w:space="0" w:color="auto"/>
        <w:right w:val="none" w:sz="0" w:space="0" w:color="auto"/>
      </w:divBdr>
    </w:div>
    <w:div w:id="1537503205">
      <w:bodyDiv w:val="1"/>
      <w:marLeft w:val="0"/>
      <w:marRight w:val="0"/>
      <w:marTop w:val="0"/>
      <w:marBottom w:val="0"/>
      <w:divBdr>
        <w:top w:val="none" w:sz="0" w:space="0" w:color="auto"/>
        <w:left w:val="none" w:sz="0" w:space="0" w:color="auto"/>
        <w:bottom w:val="none" w:sz="0" w:space="0" w:color="auto"/>
        <w:right w:val="none" w:sz="0" w:space="0" w:color="auto"/>
      </w:divBdr>
    </w:div>
    <w:div w:id="1539512148">
      <w:bodyDiv w:val="1"/>
      <w:marLeft w:val="0"/>
      <w:marRight w:val="0"/>
      <w:marTop w:val="0"/>
      <w:marBottom w:val="0"/>
      <w:divBdr>
        <w:top w:val="none" w:sz="0" w:space="0" w:color="auto"/>
        <w:left w:val="none" w:sz="0" w:space="0" w:color="auto"/>
        <w:bottom w:val="none" w:sz="0" w:space="0" w:color="auto"/>
        <w:right w:val="none" w:sz="0" w:space="0" w:color="auto"/>
      </w:divBdr>
    </w:div>
    <w:div w:id="1550217325">
      <w:bodyDiv w:val="1"/>
      <w:marLeft w:val="0"/>
      <w:marRight w:val="0"/>
      <w:marTop w:val="0"/>
      <w:marBottom w:val="0"/>
      <w:divBdr>
        <w:top w:val="none" w:sz="0" w:space="0" w:color="auto"/>
        <w:left w:val="none" w:sz="0" w:space="0" w:color="auto"/>
        <w:bottom w:val="none" w:sz="0" w:space="0" w:color="auto"/>
        <w:right w:val="none" w:sz="0" w:space="0" w:color="auto"/>
      </w:divBdr>
    </w:div>
    <w:div w:id="1561940095">
      <w:bodyDiv w:val="1"/>
      <w:marLeft w:val="0"/>
      <w:marRight w:val="0"/>
      <w:marTop w:val="0"/>
      <w:marBottom w:val="0"/>
      <w:divBdr>
        <w:top w:val="none" w:sz="0" w:space="0" w:color="auto"/>
        <w:left w:val="none" w:sz="0" w:space="0" w:color="auto"/>
        <w:bottom w:val="none" w:sz="0" w:space="0" w:color="auto"/>
        <w:right w:val="none" w:sz="0" w:space="0" w:color="auto"/>
      </w:divBdr>
    </w:div>
    <w:div w:id="1599870711">
      <w:bodyDiv w:val="1"/>
      <w:marLeft w:val="0"/>
      <w:marRight w:val="0"/>
      <w:marTop w:val="0"/>
      <w:marBottom w:val="0"/>
      <w:divBdr>
        <w:top w:val="none" w:sz="0" w:space="0" w:color="auto"/>
        <w:left w:val="none" w:sz="0" w:space="0" w:color="auto"/>
        <w:bottom w:val="none" w:sz="0" w:space="0" w:color="auto"/>
        <w:right w:val="none" w:sz="0" w:space="0" w:color="auto"/>
      </w:divBdr>
    </w:div>
    <w:div w:id="1612202851">
      <w:bodyDiv w:val="1"/>
      <w:marLeft w:val="0"/>
      <w:marRight w:val="0"/>
      <w:marTop w:val="0"/>
      <w:marBottom w:val="0"/>
      <w:divBdr>
        <w:top w:val="none" w:sz="0" w:space="0" w:color="auto"/>
        <w:left w:val="none" w:sz="0" w:space="0" w:color="auto"/>
        <w:bottom w:val="none" w:sz="0" w:space="0" w:color="auto"/>
        <w:right w:val="none" w:sz="0" w:space="0" w:color="auto"/>
      </w:divBdr>
    </w:div>
    <w:div w:id="1681345630">
      <w:bodyDiv w:val="1"/>
      <w:marLeft w:val="0"/>
      <w:marRight w:val="0"/>
      <w:marTop w:val="0"/>
      <w:marBottom w:val="0"/>
      <w:divBdr>
        <w:top w:val="none" w:sz="0" w:space="0" w:color="auto"/>
        <w:left w:val="none" w:sz="0" w:space="0" w:color="auto"/>
        <w:bottom w:val="none" w:sz="0" w:space="0" w:color="auto"/>
        <w:right w:val="none" w:sz="0" w:space="0" w:color="auto"/>
      </w:divBdr>
    </w:div>
    <w:div w:id="1711999299">
      <w:bodyDiv w:val="1"/>
      <w:marLeft w:val="0"/>
      <w:marRight w:val="0"/>
      <w:marTop w:val="0"/>
      <w:marBottom w:val="0"/>
      <w:divBdr>
        <w:top w:val="none" w:sz="0" w:space="0" w:color="auto"/>
        <w:left w:val="none" w:sz="0" w:space="0" w:color="auto"/>
        <w:bottom w:val="none" w:sz="0" w:space="0" w:color="auto"/>
        <w:right w:val="none" w:sz="0" w:space="0" w:color="auto"/>
      </w:divBdr>
    </w:div>
    <w:div w:id="1712221432">
      <w:bodyDiv w:val="1"/>
      <w:marLeft w:val="0"/>
      <w:marRight w:val="0"/>
      <w:marTop w:val="0"/>
      <w:marBottom w:val="0"/>
      <w:divBdr>
        <w:top w:val="none" w:sz="0" w:space="0" w:color="auto"/>
        <w:left w:val="none" w:sz="0" w:space="0" w:color="auto"/>
        <w:bottom w:val="none" w:sz="0" w:space="0" w:color="auto"/>
        <w:right w:val="none" w:sz="0" w:space="0" w:color="auto"/>
      </w:divBdr>
    </w:div>
    <w:div w:id="1718969878">
      <w:bodyDiv w:val="1"/>
      <w:marLeft w:val="0"/>
      <w:marRight w:val="0"/>
      <w:marTop w:val="0"/>
      <w:marBottom w:val="0"/>
      <w:divBdr>
        <w:top w:val="none" w:sz="0" w:space="0" w:color="auto"/>
        <w:left w:val="none" w:sz="0" w:space="0" w:color="auto"/>
        <w:bottom w:val="none" w:sz="0" w:space="0" w:color="auto"/>
        <w:right w:val="none" w:sz="0" w:space="0" w:color="auto"/>
      </w:divBdr>
    </w:div>
    <w:div w:id="1722745248">
      <w:bodyDiv w:val="1"/>
      <w:marLeft w:val="0"/>
      <w:marRight w:val="0"/>
      <w:marTop w:val="0"/>
      <w:marBottom w:val="0"/>
      <w:divBdr>
        <w:top w:val="none" w:sz="0" w:space="0" w:color="auto"/>
        <w:left w:val="none" w:sz="0" w:space="0" w:color="auto"/>
        <w:bottom w:val="none" w:sz="0" w:space="0" w:color="auto"/>
        <w:right w:val="none" w:sz="0" w:space="0" w:color="auto"/>
      </w:divBdr>
    </w:div>
    <w:div w:id="1740244352">
      <w:bodyDiv w:val="1"/>
      <w:marLeft w:val="0"/>
      <w:marRight w:val="0"/>
      <w:marTop w:val="0"/>
      <w:marBottom w:val="0"/>
      <w:divBdr>
        <w:top w:val="none" w:sz="0" w:space="0" w:color="auto"/>
        <w:left w:val="none" w:sz="0" w:space="0" w:color="auto"/>
        <w:bottom w:val="none" w:sz="0" w:space="0" w:color="auto"/>
        <w:right w:val="none" w:sz="0" w:space="0" w:color="auto"/>
      </w:divBdr>
    </w:div>
    <w:div w:id="1772702901">
      <w:bodyDiv w:val="1"/>
      <w:marLeft w:val="0"/>
      <w:marRight w:val="0"/>
      <w:marTop w:val="0"/>
      <w:marBottom w:val="0"/>
      <w:divBdr>
        <w:top w:val="none" w:sz="0" w:space="0" w:color="auto"/>
        <w:left w:val="none" w:sz="0" w:space="0" w:color="auto"/>
        <w:bottom w:val="none" w:sz="0" w:space="0" w:color="auto"/>
        <w:right w:val="none" w:sz="0" w:space="0" w:color="auto"/>
      </w:divBdr>
    </w:div>
    <w:div w:id="1784423662">
      <w:bodyDiv w:val="1"/>
      <w:marLeft w:val="0"/>
      <w:marRight w:val="0"/>
      <w:marTop w:val="0"/>
      <w:marBottom w:val="0"/>
      <w:divBdr>
        <w:top w:val="none" w:sz="0" w:space="0" w:color="auto"/>
        <w:left w:val="none" w:sz="0" w:space="0" w:color="auto"/>
        <w:bottom w:val="none" w:sz="0" w:space="0" w:color="auto"/>
        <w:right w:val="none" w:sz="0" w:space="0" w:color="auto"/>
      </w:divBdr>
    </w:div>
    <w:div w:id="1798837802">
      <w:bodyDiv w:val="1"/>
      <w:marLeft w:val="0"/>
      <w:marRight w:val="0"/>
      <w:marTop w:val="0"/>
      <w:marBottom w:val="0"/>
      <w:divBdr>
        <w:top w:val="none" w:sz="0" w:space="0" w:color="auto"/>
        <w:left w:val="none" w:sz="0" w:space="0" w:color="auto"/>
        <w:bottom w:val="none" w:sz="0" w:space="0" w:color="auto"/>
        <w:right w:val="none" w:sz="0" w:space="0" w:color="auto"/>
      </w:divBdr>
    </w:div>
    <w:div w:id="1800024691">
      <w:bodyDiv w:val="1"/>
      <w:marLeft w:val="0"/>
      <w:marRight w:val="0"/>
      <w:marTop w:val="0"/>
      <w:marBottom w:val="0"/>
      <w:divBdr>
        <w:top w:val="none" w:sz="0" w:space="0" w:color="auto"/>
        <w:left w:val="none" w:sz="0" w:space="0" w:color="auto"/>
        <w:bottom w:val="none" w:sz="0" w:space="0" w:color="auto"/>
        <w:right w:val="none" w:sz="0" w:space="0" w:color="auto"/>
      </w:divBdr>
    </w:div>
    <w:div w:id="1813981335">
      <w:bodyDiv w:val="1"/>
      <w:marLeft w:val="0"/>
      <w:marRight w:val="0"/>
      <w:marTop w:val="0"/>
      <w:marBottom w:val="0"/>
      <w:divBdr>
        <w:top w:val="none" w:sz="0" w:space="0" w:color="auto"/>
        <w:left w:val="none" w:sz="0" w:space="0" w:color="auto"/>
        <w:bottom w:val="none" w:sz="0" w:space="0" w:color="auto"/>
        <w:right w:val="none" w:sz="0" w:space="0" w:color="auto"/>
      </w:divBdr>
    </w:div>
    <w:div w:id="1827479990">
      <w:bodyDiv w:val="1"/>
      <w:marLeft w:val="0"/>
      <w:marRight w:val="0"/>
      <w:marTop w:val="0"/>
      <w:marBottom w:val="0"/>
      <w:divBdr>
        <w:top w:val="none" w:sz="0" w:space="0" w:color="auto"/>
        <w:left w:val="none" w:sz="0" w:space="0" w:color="auto"/>
        <w:bottom w:val="none" w:sz="0" w:space="0" w:color="auto"/>
        <w:right w:val="none" w:sz="0" w:space="0" w:color="auto"/>
      </w:divBdr>
    </w:div>
    <w:div w:id="1895240457">
      <w:bodyDiv w:val="1"/>
      <w:marLeft w:val="0"/>
      <w:marRight w:val="0"/>
      <w:marTop w:val="0"/>
      <w:marBottom w:val="0"/>
      <w:divBdr>
        <w:top w:val="none" w:sz="0" w:space="0" w:color="auto"/>
        <w:left w:val="none" w:sz="0" w:space="0" w:color="auto"/>
        <w:bottom w:val="none" w:sz="0" w:space="0" w:color="auto"/>
        <w:right w:val="none" w:sz="0" w:space="0" w:color="auto"/>
      </w:divBdr>
      <w:divsChild>
        <w:div w:id="2145809678">
          <w:marLeft w:val="0"/>
          <w:marRight w:val="0"/>
          <w:marTop w:val="0"/>
          <w:marBottom w:val="0"/>
          <w:divBdr>
            <w:top w:val="none" w:sz="0" w:space="0" w:color="auto"/>
            <w:left w:val="none" w:sz="0" w:space="0" w:color="auto"/>
            <w:bottom w:val="none" w:sz="0" w:space="0" w:color="auto"/>
            <w:right w:val="none" w:sz="0" w:space="0" w:color="auto"/>
          </w:divBdr>
        </w:div>
        <w:div w:id="1453018493">
          <w:marLeft w:val="0"/>
          <w:marRight w:val="0"/>
          <w:marTop w:val="0"/>
          <w:marBottom w:val="0"/>
          <w:divBdr>
            <w:top w:val="none" w:sz="0" w:space="0" w:color="auto"/>
            <w:left w:val="none" w:sz="0" w:space="0" w:color="auto"/>
            <w:bottom w:val="none" w:sz="0" w:space="0" w:color="auto"/>
            <w:right w:val="none" w:sz="0" w:space="0" w:color="auto"/>
          </w:divBdr>
        </w:div>
        <w:div w:id="1281644642">
          <w:marLeft w:val="0"/>
          <w:marRight w:val="0"/>
          <w:marTop w:val="0"/>
          <w:marBottom w:val="0"/>
          <w:divBdr>
            <w:top w:val="none" w:sz="0" w:space="0" w:color="auto"/>
            <w:left w:val="none" w:sz="0" w:space="0" w:color="auto"/>
            <w:bottom w:val="none" w:sz="0" w:space="0" w:color="auto"/>
            <w:right w:val="none" w:sz="0" w:space="0" w:color="auto"/>
          </w:divBdr>
        </w:div>
        <w:div w:id="1089499730">
          <w:marLeft w:val="0"/>
          <w:marRight w:val="0"/>
          <w:marTop w:val="0"/>
          <w:marBottom w:val="0"/>
          <w:divBdr>
            <w:top w:val="none" w:sz="0" w:space="0" w:color="auto"/>
            <w:left w:val="none" w:sz="0" w:space="0" w:color="auto"/>
            <w:bottom w:val="none" w:sz="0" w:space="0" w:color="auto"/>
            <w:right w:val="none" w:sz="0" w:space="0" w:color="auto"/>
          </w:divBdr>
        </w:div>
        <w:div w:id="1326785465">
          <w:marLeft w:val="0"/>
          <w:marRight w:val="0"/>
          <w:marTop w:val="0"/>
          <w:marBottom w:val="0"/>
          <w:divBdr>
            <w:top w:val="none" w:sz="0" w:space="0" w:color="auto"/>
            <w:left w:val="none" w:sz="0" w:space="0" w:color="auto"/>
            <w:bottom w:val="none" w:sz="0" w:space="0" w:color="auto"/>
            <w:right w:val="none" w:sz="0" w:space="0" w:color="auto"/>
          </w:divBdr>
        </w:div>
      </w:divsChild>
    </w:div>
    <w:div w:id="1896428997">
      <w:bodyDiv w:val="1"/>
      <w:marLeft w:val="0"/>
      <w:marRight w:val="0"/>
      <w:marTop w:val="0"/>
      <w:marBottom w:val="0"/>
      <w:divBdr>
        <w:top w:val="none" w:sz="0" w:space="0" w:color="auto"/>
        <w:left w:val="none" w:sz="0" w:space="0" w:color="auto"/>
        <w:bottom w:val="none" w:sz="0" w:space="0" w:color="auto"/>
        <w:right w:val="none" w:sz="0" w:space="0" w:color="auto"/>
      </w:divBdr>
    </w:div>
    <w:div w:id="1900435026">
      <w:bodyDiv w:val="1"/>
      <w:marLeft w:val="0"/>
      <w:marRight w:val="0"/>
      <w:marTop w:val="0"/>
      <w:marBottom w:val="0"/>
      <w:divBdr>
        <w:top w:val="none" w:sz="0" w:space="0" w:color="auto"/>
        <w:left w:val="none" w:sz="0" w:space="0" w:color="auto"/>
        <w:bottom w:val="none" w:sz="0" w:space="0" w:color="auto"/>
        <w:right w:val="none" w:sz="0" w:space="0" w:color="auto"/>
      </w:divBdr>
    </w:div>
    <w:div w:id="1914897142">
      <w:bodyDiv w:val="1"/>
      <w:marLeft w:val="0"/>
      <w:marRight w:val="0"/>
      <w:marTop w:val="0"/>
      <w:marBottom w:val="0"/>
      <w:divBdr>
        <w:top w:val="none" w:sz="0" w:space="0" w:color="auto"/>
        <w:left w:val="none" w:sz="0" w:space="0" w:color="auto"/>
        <w:bottom w:val="none" w:sz="0" w:space="0" w:color="auto"/>
        <w:right w:val="none" w:sz="0" w:space="0" w:color="auto"/>
      </w:divBdr>
    </w:div>
    <w:div w:id="1919440444">
      <w:bodyDiv w:val="1"/>
      <w:marLeft w:val="0"/>
      <w:marRight w:val="0"/>
      <w:marTop w:val="0"/>
      <w:marBottom w:val="0"/>
      <w:divBdr>
        <w:top w:val="none" w:sz="0" w:space="0" w:color="auto"/>
        <w:left w:val="none" w:sz="0" w:space="0" w:color="auto"/>
        <w:bottom w:val="none" w:sz="0" w:space="0" w:color="auto"/>
        <w:right w:val="none" w:sz="0" w:space="0" w:color="auto"/>
      </w:divBdr>
    </w:div>
    <w:div w:id="1919899757">
      <w:bodyDiv w:val="1"/>
      <w:marLeft w:val="0"/>
      <w:marRight w:val="0"/>
      <w:marTop w:val="0"/>
      <w:marBottom w:val="0"/>
      <w:divBdr>
        <w:top w:val="none" w:sz="0" w:space="0" w:color="auto"/>
        <w:left w:val="none" w:sz="0" w:space="0" w:color="auto"/>
        <w:bottom w:val="none" w:sz="0" w:space="0" w:color="auto"/>
        <w:right w:val="none" w:sz="0" w:space="0" w:color="auto"/>
      </w:divBdr>
    </w:div>
    <w:div w:id="1920627687">
      <w:bodyDiv w:val="1"/>
      <w:marLeft w:val="0"/>
      <w:marRight w:val="0"/>
      <w:marTop w:val="0"/>
      <w:marBottom w:val="0"/>
      <w:divBdr>
        <w:top w:val="none" w:sz="0" w:space="0" w:color="auto"/>
        <w:left w:val="none" w:sz="0" w:space="0" w:color="auto"/>
        <w:bottom w:val="none" w:sz="0" w:space="0" w:color="auto"/>
        <w:right w:val="none" w:sz="0" w:space="0" w:color="auto"/>
      </w:divBdr>
    </w:div>
    <w:div w:id="1920676548">
      <w:bodyDiv w:val="1"/>
      <w:marLeft w:val="0"/>
      <w:marRight w:val="0"/>
      <w:marTop w:val="0"/>
      <w:marBottom w:val="0"/>
      <w:divBdr>
        <w:top w:val="none" w:sz="0" w:space="0" w:color="auto"/>
        <w:left w:val="none" w:sz="0" w:space="0" w:color="auto"/>
        <w:bottom w:val="none" w:sz="0" w:space="0" w:color="auto"/>
        <w:right w:val="none" w:sz="0" w:space="0" w:color="auto"/>
      </w:divBdr>
    </w:div>
    <w:div w:id="2029527636">
      <w:bodyDiv w:val="1"/>
      <w:marLeft w:val="0"/>
      <w:marRight w:val="0"/>
      <w:marTop w:val="0"/>
      <w:marBottom w:val="0"/>
      <w:divBdr>
        <w:top w:val="none" w:sz="0" w:space="0" w:color="auto"/>
        <w:left w:val="none" w:sz="0" w:space="0" w:color="auto"/>
        <w:bottom w:val="none" w:sz="0" w:space="0" w:color="auto"/>
        <w:right w:val="none" w:sz="0" w:space="0" w:color="auto"/>
      </w:divBdr>
    </w:div>
    <w:div w:id="2029674395">
      <w:bodyDiv w:val="1"/>
      <w:marLeft w:val="0"/>
      <w:marRight w:val="0"/>
      <w:marTop w:val="0"/>
      <w:marBottom w:val="0"/>
      <w:divBdr>
        <w:top w:val="none" w:sz="0" w:space="0" w:color="auto"/>
        <w:left w:val="none" w:sz="0" w:space="0" w:color="auto"/>
        <w:bottom w:val="none" w:sz="0" w:space="0" w:color="auto"/>
        <w:right w:val="none" w:sz="0" w:space="0" w:color="auto"/>
      </w:divBdr>
    </w:div>
    <w:div w:id="2040007800">
      <w:bodyDiv w:val="1"/>
      <w:marLeft w:val="0"/>
      <w:marRight w:val="0"/>
      <w:marTop w:val="0"/>
      <w:marBottom w:val="0"/>
      <w:divBdr>
        <w:top w:val="none" w:sz="0" w:space="0" w:color="auto"/>
        <w:left w:val="none" w:sz="0" w:space="0" w:color="auto"/>
        <w:bottom w:val="none" w:sz="0" w:space="0" w:color="auto"/>
        <w:right w:val="none" w:sz="0" w:space="0" w:color="auto"/>
      </w:divBdr>
    </w:div>
    <w:div w:id="2064062617">
      <w:bodyDiv w:val="1"/>
      <w:marLeft w:val="0"/>
      <w:marRight w:val="0"/>
      <w:marTop w:val="0"/>
      <w:marBottom w:val="0"/>
      <w:divBdr>
        <w:top w:val="none" w:sz="0" w:space="0" w:color="auto"/>
        <w:left w:val="none" w:sz="0" w:space="0" w:color="auto"/>
        <w:bottom w:val="none" w:sz="0" w:space="0" w:color="auto"/>
        <w:right w:val="none" w:sz="0" w:space="0" w:color="auto"/>
      </w:divBdr>
    </w:div>
    <w:div w:id="2069183530">
      <w:bodyDiv w:val="1"/>
      <w:marLeft w:val="0"/>
      <w:marRight w:val="0"/>
      <w:marTop w:val="0"/>
      <w:marBottom w:val="0"/>
      <w:divBdr>
        <w:top w:val="none" w:sz="0" w:space="0" w:color="auto"/>
        <w:left w:val="none" w:sz="0" w:space="0" w:color="auto"/>
        <w:bottom w:val="none" w:sz="0" w:space="0" w:color="auto"/>
        <w:right w:val="none" w:sz="0" w:space="0" w:color="auto"/>
      </w:divBdr>
    </w:div>
    <w:div w:id="21200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8.wmf"/><Relationship Id="rId39" Type="http://schemas.openxmlformats.org/officeDocument/2006/relationships/customXml" Target="../customXml/item2.xml"/><Relationship Id="rId21" Type="http://schemas.openxmlformats.org/officeDocument/2006/relationships/oleObject" Target="embeddings/oleObject3.bin"/><Relationship Id="rId34" Type="http://schemas.openxmlformats.org/officeDocument/2006/relationships/header" Target="header2.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oleObject" Target="embeddings/oleObject5.bin"/><Relationship Id="rId32" Type="http://schemas.openxmlformats.org/officeDocument/2006/relationships/image" Target="media/image10.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oleObject" Target="embeddings/oleObject2.bin"/><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apps.leg.wa.gov/wac/default.aspx?cite=480-100-393"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chart" Target="charts/chart5.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header" Target="header1.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01u08\ttd7741$\My%20Documents\2014%20WUTC%20Reliability%20Reporting\2014%20WUTC%20Data%20Dornqua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u08\ttd7741$\My%20Documents\2014%20WUTC%20Reliability%20Reporting\2014%20SAIFI%20MAIFI%20SAIDI%20Tyler%20Rollup.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1u08\ttd7741$\My%20Documents\2014%20WUTC%20Reliability%20Reporting\2014%20WUTC%20Data%20Dornqua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u08\ttd7741$\My%20Documents\2014%20WUTC%20Reliability%20Reporting\2014%20WUTC%20Data%20Dornqua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M107\c01m107\BONFIELD\Washington\Electric%20Reliability%20Reports\2016\Reliability%20Plan\2014%20Attachment%201%20-%20SAIFI%20and%20SAIDI-AV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01M107\c01m107\BONFIELD\Washington\Electric%20Reliability%20Reports\2016\Reliability%20Plan\2014%20Attachment%201%20-%20SAIFI%20and%20SAIDI-AV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SAIFI</a:t>
            </a:r>
          </a:p>
        </c:rich>
      </c:tx>
      <c:layout>
        <c:manualLayout>
          <c:xMode val="edge"/>
          <c:yMode val="edge"/>
          <c:x val="5.4023728452862435E-2"/>
          <c:y val="4.3947612609029886E-2"/>
        </c:manualLayout>
      </c:layout>
    </c:title>
    <c:plotArea>
      <c:layout>
        <c:manualLayout>
          <c:layoutTarget val="inner"/>
          <c:xMode val="edge"/>
          <c:yMode val="edge"/>
          <c:x val="0.19921259323252283"/>
          <c:y val="0.37239896274746109"/>
          <c:w val="0.71919122641572475"/>
          <c:h val="0.53662459228204595"/>
        </c:manualLayout>
      </c:layout>
      <c:barChart>
        <c:barDir val="col"/>
        <c:grouping val="stacked"/>
        <c:ser>
          <c:idx val="0"/>
          <c:order val="0"/>
          <c:tx>
            <c:v>Excluding Major Events</c:v>
          </c:tx>
          <c:dPt>
            <c:idx val="0"/>
            <c:spPr>
              <a:solidFill>
                <a:srgbClr val="00B050"/>
              </a:solidFill>
            </c:spPr>
          </c:dPt>
          <c:dPt>
            <c:idx val="10"/>
            <c:spPr>
              <a:solidFill>
                <a:srgbClr val="FFFF00"/>
              </a:solidFill>
            </c:spPr>
          </c:dPt>
          <c:dLbls>
            <c:showVal val="1"/>
          </c:dLbls>
          <c:cat>
            <c:strRef>
              <c:f>'Yearly 14'!$B$6:$B$16</c:f>
              <c:strCache>
                <c:ptCount val="11"/>
                <c:pt idx="0">
                  <c:v>2005</c:v>
                </c:pt>
                <c:pt idx="1">
                  <c:v>2006</c:v>
                </c:pt>
                <c:pt idx="2">
                  <c:v>2007</c:v>
                </c:pt>
                <c:pt idx="3">
                  <c:v>2008</c:v>
                </c:pt>
                <c:pt idx="4">
                  <c:v>2009</c:v>
                </c:pt>
                <c:pt idx="5">
                  <c:v>2010</c:v>
                </c:pt>
                <c:pt idx="6">
                  <c:v>2011</c:v>
                </c:pt>
                <c:pt idx="7">
                  <c:v>2012</c:v>
                </c:pt>
                <c:pt idx="8">
                  <c:v>2013</c:v>
                </c:pt>
                <c:pt idx="9">
                  <c:v>2014</c:v>
                </c:pt>
                <c:pt idx="10">
                  <c:v>Target</c:v>
                </c:pt>
              </c:strCache>
            </c:strRef>
          </c:cat>
          <c:val>
            <c:numRef>
              <c:f>'Yearly 14'!$D$6:$D$16</c:f>
              <c:numCache>
                <c:formatCode>General</c:formatCode>
                <c:ptCount val="11"/>
                <c:pt idx="0" formatCode="0.00">
                  <c:v>0.97000000000000053</c:v>
                </c:pt>
                <c:pt idx="1">
                  <c:v>1.29</c:v>
                </c:pt>
                <c:pt idx="2" formatCode="0.00">
                  <c:v>1.1399999999999959</c:v>
                </c:pt>
                <c:pt idx="3" formatCode="0.00">
                  <c:v>1.4</c:v>
                </c:pt>
                <c:pt idx="4" formatCode="0.00">
                  <c:v>1.52</c:v>
                </c:pt>
                <c:pt idx="5" formatCode="0.00">
                  <c:v>1.23</c:v>
                </c:pt>
                <c:pt idx="6" formatCode="0.00">
                  <c:v>1.08</c:v>
                </c:pt>
                <c:pt idx="7">
                  <c:v>1.1399999999999959</c:v>
                </c:pt>
                <c:pt idx="8">
                  <c:v>1.05</c:v>
                </c:pt>
                <c:pt idx="9">
                  <c:v>1.1100000000000001</c:v>
                </c:pt>
                <c:pt idx="10" formatCode="0.00">
                  <c:v>1.6116155520719553</c:v>
                </c:pt>
              </c:numCache>
            </c:numRef>
          </c:val>
        </c:ser>
        <c:ser>
          <c:idx val="1"/>
          <c:order val="1"/>
          <c:tx>
            <c:v>Major Events</c:v>
          </c:tx>
          <c:cat>
            <c:strRef>
              <c:f>'Yearly 14'!$B$6:$B$16</c:f>
              <c:strCache>
                <c:ptCount val="11"/>
                <c:pt idx="0">
                  <c:v>2005</c:v>
                </c:pt>
                <c:pt idx="1">
                  <c:v>2006</c:v>
                </c:pt>
                <c:pt idx="2">
                  <c:v>2007</c:v>
                </c:pt>
                <c:pt idx="3">
                  <c:v>2008</c:v>
                </c:pt>
                <c:pt idx="4">
                  <c:v>2009</c:v>
                </c:pt>
                <c:pt idx="5">
                  <c:v>2010</c:v>
                </c:pt>
                <c:pt idx="6">
                  <c:v>2011</c:v>
                </c:pt>
                <c:pt idx="7">
                  <c:v>2012</c:v>
                </c:pt>
                <c:pt idx="8">
                  <c:v>2013</c:v>
                </c:pt>
                <c:pt idx="9">
                  <c:v>2014</c:v>
                </c:pt>
                <c:pt idx="10">
                  <c:v>Target</c:v>
                </c:pt>
              </c:strCache>
            </c:strRef>
          </c:cat>
          <c:val>
            <c:numRef>
              <c:f>'Yearly 14'!$E$6:$E$16</c:f>
              <c:numCache>
                <c:formatCode>General</c:formatCode>
                <c:ptCount val="11"/>
                <c:pt idx="0" formatCode="0.00">
                  <c:v>0.2</c:v>
                </c:pt>
                <c:pt idx="1">
                  <c:v>0.62000000000000166</c:v>
                </c:pt>
                <c:pt idx="2" formatCode="0.00">
                  <c:v>0.26</c:v>
                </c:pt>
                <c:pt idx="3" formatCode="0.00">
                  <c:v>0.20000000000000021</c:v>
                </c:pt>
                <c:pt idx="4" formatCode="0.00">
                  <c:v>0</c:v>
                </c:pt>
                <c:pt idx="5" formatCode="0.00">
                  <c:v>0.26</c:v>
                </c:pt>
                <c:pt idx="6" formatCode="0.00">
                  <c:v>0</c:v>
                </c:pt>
                <c:pt idx="7">
                  <c:v>0.11000000000000019</c:v>
                </c:pt>
                <c:pt idx="8">
                  <c:v>0.16000000000000028</c:v>
                </c:pt>
                <c:pt idx="9">
                  <c:v>0.45</c:v>
                </c:pt>
              </c:numCache>
            </c:numRef>
          </c:val>
        </c:ser>
        <c:gapWidth val="250"/>
        <c:overlap val="100"/>
        <c:axId val="91657728"/>
        <c:axId val="91659264"/>
      </c:barChart>
      <c:catAx>
        <c:axId val="91657728"/>
        <c:scaling>
          <c:orientation val="minMax"/>
        </c:scaling>
        <c:axPos val="b"/>
        <c:numFmt formatCode="General" sourceLinked="1"/>
        <c:tickLblPos val="nextTo"/>
        <c:txPr>
          <a:bodyPr rot="0" vert="horz"/>
          <a:lstStyle/>
          <a:p>
            <a:pPr>
              <a:defRPr/>
            </a:pPr>
            <a:endParaRPr lang="en-US"/>
          </a:p>
        </c:txPr>
        <c:crossAx val="91659264"/>
        <c:crosses val="autoZero"/>
        <c:auto val="1"/>
        <c:lblAlgn val="ctr"/>
        <c:lblOffset val="100"/>
        <c:tickLblSkip val="1"/>
        <c:tickMarkSkip val="1"/>
      </c:catAx>
      <c:valAx>
        <c:axId val="91659264"/>
        <c:scaling>
          <c:orientation val="minMax"/>
          <c:max val="2"/>
        </c:scaling>
        <c:axPos val="l"/>
        <c:majorGridlines/>
        <c:title>
          <c:tx>
            <c:rich>
              <a:bodyPr/>
              <a:lstStyle/>
              <a:p>
                <a:pPr>
                  <a:defRPr/>
                </a:pPr>
                <a:r>
                  <a:rPr lang="en-US"/>
                  <a:t>Sustained Interuptions / Customers</a:t>
                </a:r>
              </a:p>
            </c:rich>
          </c:tx>
          <c:layout>
            <c:manualLayout>
              <c:xMode val="edge"/>
              <c:yMode val="edge"/>
              <c:x val="9.9606299212598545E-2"/>
              <c:y val="0.36258066226570679"/>
            </c:manualLayout>
          </c:layout>
        </c:title>
        <c:numFmt formatCode="0.0" sourceLinked="0"/>
        <c:tickLblPos val="nextTo"/>
        <c:txPr>
          <a:bodyPr rot="0" vert="horz"/>
          <a:lstStyle/>
          <a:p>
            <a:pPr>
              <a:defRPr/>
            </a:pPr>
            <a:endParaRPr lang="en-US"/>
          </a:p>
        </c:txPr>
        <c:crossAx val="91657728"/>
        <c:crosses val="autoZero"/>
        <c:crossBetween val="between"/>
      </c:valAx>
    </c:plotArea>
    <c:legend>
      <c:legendPos val="t"/>
      <c:layout>
        <c:manualLayout>
          <c:xMode val="edge"/>
          <c:yMode val="edge"/>
          <c:x val="0.20596563098531742"/>
          <c:y val="7.4017073623373009E-2"/>
          <c:w val="0.26336578704689195"/>
          <c:h val="0.1387823113019975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25" b="1" i="0" u="none" strike="noStrike" baseline="0">
                <a:solidFill>
                  <a:srgbClr val="000000"/>
                </a:solidFill>
                <a:latin typeface="Arial"/>
                <a:ea typeface="Arial"/>
                <a:cs typeface="Arial"/>
              </a:defRPr>
            </a:pPr>
            <a:r>
              <a:rPr lang="en-US"/>
              <a:t>Sustained Outage 2014 vs 2008-2013 Average</a:t>
            </a:r>
          </a:p>
        </c:rich>
      </c:tx>
      <c:layout>
        <c:manualLayout>
          <c:xMode val="edge"/>
          <c:yMode val="edge"/>
          <c:x val="0.12978288459176646"/>
          <c:y val="3.2422939217030586E-2"/>
        </c:manualLayout>
      </c:layout>
      <c:spPr>
        <a:noFill/>
        <a:ln w="25400">
          <a:noFill/>
        </a:ln>
      </c:spPr>
    </c:title>
    <c:plotArea>
      <c:layout>
        <c:manualLayout>
          <c:layoutTarget val="inner"/>
          <c:xMode val="edge"/>
          <c:yMode val="edge"/>
          <c:x val="0.19034818870111841"/>
          <c:y val="0.1594120554663343"/>
          <c:w val="0.80119283062380098"/>
          <c:h val="0.748426090918206"/>
        </c:manualLayout>
      </c:layout>
      <c:barChart>
        <c:barDir val="col"/>
        <c:grouping val="clustered"/>
        <c:ser>
          <c:idx val="0"/>
          <c:order val="0"/>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cat>
            <c:strRef>
              <c:f>'Yearly Average calcs'!$S$26:$S$37</c:f>
              <c:strCache>
                <c:ptCount val="12"/>
                <c:pt idx="0">
                  <c:v>ANIMAL</c:v>
                </c:pt>
                <c:pt idx="1">
                  <c:v>PUBLIC</c:v>
                </c:pt>
                <c:pt idx="2">
                  <c:v>MISCELLANEOUS</c:v>
                </c:pt>
                <c:pt idx="3">
                  <c:v>POLE FIRE</c:v>
                </c:pt>
                <c:pt idx="4">
                  <c:v>PLANNED</c:v>
                </c:pt>
                <c:pt idx="5">
                  <c:v>TREE</c:v>
                </c:pt>
                <c:pt idx="6">
                  <c:v>UNDETERMINED</c:v>
                </c:pt>
                <c:pt idx="7">
                  <c:v>WEATHER</c:v>
                </c:pt>
                <c:pt idx="8">
                  <c:v>COMPANY</c:v>
                </c:pt>
                <c:pt idx="9">
                  <c:v>EQUIPMENT OH</c:v>
                </c:pt>
                <c:pt idx="10">
                  <c:v>EQUIPMENT SUB</c:v>
                </c:pt>
                <c:pt idx="11">
                  <c:v>EQUIPMENT UG</c:v>
                </c:pt>
              </c:strCache>
            </c:strRef>
          </c:cat>
          <c:val>
            <c:numRef>
              <c:f>'Yearly Average calcs'!$R$26:$R$37</c:f>
              <c:numCache>
                <c:formatCode>0</c:formatCode>
                <c:ptCount val="12"/>
                <c:pt idx="0">
                  <c:v>-12073</c:v>
                </c:pt>
                <c:pt idx="1">
                  <c:v>5113</c:v>
                </c:pt>
                <c:pt idx="2">
                  <c:v>-1634.6666666666667</c:v>
                </c:pt>
                <c:pt idx="3">
                  <c:v>5391</c:v>
                </c:pt>
                <c:pt idx="4">
                  <c:v>-9749.1666666666297</c:v>
                </c:pt>
                <c:pt idx="5">
                  <c:v>-12228.666666666661</c:v>
                </c:pt>
                <c:pt idx="6">
                  <c:v>-20042.166666666657</c:v>
                </c:pt>
                <c:pt idx="7">
                  <c:v>-13944</c:v>
                </c:pt>
                <c:pt idx="8">
                  <c:v>-2419.1666666666533</c:v>
                </c:pt>
                <c:pt idx="9">
                  <c:v>36702</c:v>
                </c:pt>
                <c:pt idx="10">
                  <c:v>-11915.166666666661</c:v>
                </c:pt>
                <c:pt idx="11">
                  <c:v>1778.6666666666681</c:v>
                </c:pt>
              </c:numCache>
            </c:numRef>
          </c:val>
        </c:ser>
        <c:axId val="91675648"/>
        <c:axId val="91718400"/>
      </c:barChart>
      <c:catAx>
        <c:axId val="91675648"/>
        <c:scaling>
          <c:orientation val="minMax"/>
        </c:scaling>
        <c:axPos val="b"/>
        <c:numFmt formatCode="General" sourceLinked="1"/>
        <c:tickLblPos val="nextTo"/>
        <c:spPr>
          <a:ln w="3175">
            <a:solidFill>
              <a:srgbClr val="000000"/>
            </a:solidFill>
            <a:prstDash val="solid"/>
          </a:ln>
        </c:spPr>
        <c:txPr>
          <a:bodyPr rot="-2700000" vert="horz"/>
          <a:lstStyle/>
          <a:p>
            <a:pPr>
              <a:defRPr sz="875" b="0" i="0" u="none" strike="noStrike" baseline="0">
                <a:solidFill>
                  <a:srgbClr val="000000"/>
                </a:solidFill>
                <a:latin typeface="Arial"/>
                <a:ea typeface="Arial"/>
                <a:cs typeface="Arial"/>
              </a:defRPr>
            </a:pPr>
            <a:endParaRPr lang="en-US"/>
          </a:p>
        </c:txPr>
        <c:crossAx val="91718400"/>
        <c:crosses val="autoZero"/>
        <c:auto val="1"/>
        <c:lblAlgn val="ctr"/>
        <c:lblOffset val="100"/>
        <c:tickLblSkip val="1"/>
        <c:tickMarkSkip val="1"/>
      </c:catAx>
      <c:valAx>
        <c:axId val="91718400"/>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 Customers Affected</a:t>
                </a:r>
              </a:p>
            </c:rich>
          </c:tx>
          <c:layout>
            <c:manualLayout>
              <c:xMode val="edge"/>
              <c:yMode val="edge"/>
              <c:x val="2.5956504137156163E-2"/>
              <c:y val="0.30261262197106792"/>
            </c:manualLayout>
          </c:layout>
          <c:spPr>
            <a:noFill/>
            <a:ln w="25400">
              <a:noFill/>
            </a:ln>
          </c:spPr>
        </c:title>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167564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266144814090188"/>
          <c:y val="0.14312493833656723"/>
          <c:w val="0.66340508806262233"/>
          <c:h val="0.5633060534724631"/>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Office!$B$41:$M$41</c:f>
              <c:numCache>
                <c:formatCode>0.00</c:formatCode>
                <c:ptCount val="12"/>
                <c:pt idx="0">
                  <c:v>1.0117913404395735</c:v>
                </c:pt>
                <c:pt idx="1">
                  <c:v>2.9411734615581357</c:v>
                </c:pt>
                <c:pt idx="2">
                  <c:v>4.9998339697825003</c:v>
                </c:pt>
                <c:pt idx="3">
                  <c:v>2.4578808067901798</c:v>
                </c:pt>
                <c:pt idx="4">
                  <c:v>1.2605408548996802</c:v>
                </c:pt>
                <c:pt idx="5">
                  <c:v>2.4097059229600988</c:v>
                </c:pt>
                <c:pt idx="6">
                  <c:v>0.62923572435080377</c:v>
                </c:pt>
                <c:pt idx="7">
                  <c:v>2.3508950662203465</c:v>
                </c:pt>
                <c:pt idx="8">
                  <c:v>1.2222808339613209</c:v>
                </c:pt>
                <c:pt idx="9">
                  <c:v>1.1877433212511745</c:v>
                </c:pt>
                <c:pt idx="10">
                  <c:v>0.57682101992831603</c:v>
                </c:pt>
                <c:pt idx="11">
                  <c:v>1.1121118639958028</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Office!$B$42:$M$42</c:f>
              <c:numCache>
                <c:formatCode>0.00</c:formatCode>
                <c:ptCount val="12"/>
                <c:pt idx="0">
                  <c:v>9.6745590038675777E-2</c:v>
                </c:pt>
                <c:pt idx="1">
                  <c:v>0.24170034272852894</c:v>
                </c:pt>
                <c:pt idx="2">
                  <c:v>0.78565498920803567</c:v>
                </c:pt>
                <c:pt idx="3">
                  <c:v>2.3193392351921149</c:v>
                </c:pt>
                <c:pt idx="4">
                  <c:v>9.2565668314433164E-2</c:v>
                </c:pt>
                <c:pt idx="5">
                  <c:v>0.34964793593814747</c:v>
                </c:pt>
                <c:pt idx="6">
                  <c:v>0.24599074011943997</c:v>
                </c:pt>
                <c:pt idx="7">
                  <c:v>0.26750109154417112</c:v>
                </c:pt>
                <c:pt idx="8">
                  <c:v>0.29922130118060913</c:v>
                </c:pt>
                <c:pt idx="9">
                  <c:v>2.081621694187139</c:v>
                </c:pt>
                <c:pt idx="10">
                  <c:v>0.40447163071269282</c:v>
                </c:pt>
                <c:pt idx="11">
                  <c:v>0.44462435843896925</c:v>
                </c:pt>
              </c:numCache>
            </c:numRef>
          </c:val>
        </c:ser>
        <c:overlap val="100"/>
        <c:axId val="92870528"/>
        <c:axId val="92872064"/>
      </c:barChart>
      <c:catAx>
        <c:axId val="92870528"/>
        <c:scaling>
          <c:orientation val="minMax"/>
        </c:scaling>
        <c:axPos val="b"/>
        <c:numFmt formatCode="General" sourceLinked="1"/>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92872064"/>
        <c:crosses val="autoZero"/>
        <c:auto val="1"/>
        <c:lblAlgn val="ctr"/>
        <c:lblOffset val="100"/>
        <c:tickLblSkip val="1"/>
        <c:tickMarkSkip val="1"/>
      </c:catAx>
      <c:valAx>
        <c:axId val="92872064"/>
        <c:scaling>
          <c:orientation val="minMax"/>
          <c:min val="0"/>
        </c:scaling>
        <c:axPos val="l"/>
        <c:title>
          <c:tx>
            <c:rich>
              <a:bodyPr/>
              <a:lstStyle/>
              <a:p>
                <a:pPr>
                  <a:defRPr sz="800" b="0" i="0" u="none" strike="noStrike" baseline="0">
                    <a:solidFill>
                      <a:srgbClr val="000000"/>
                    </a:solidFill>
                    <a:latin typeface="Arial"/>
                    <a:ea typeface="Arial"/>
                    <a:cs typeface="Arial"/>
                  </a:defRPr>
                </a:pPr>
                <a:r>
                  <a:rPr lang="en-US"/>
                  <a:t>Sustained Interruptions/Customer</a:t>
                </a:r>
              </a:p>
            </c:rich>
          </c:tx>
          <c:layout>
            <c:manualLayout>
              <c:xMode val="edge"/>
              <c:yMode val="edge"/>
              <c:x val="9.7848603914570328E-3"/>
              <c:y val="0.21328429934797041"/>
            </c:manualLayout>
          </c:layout>
          <c:spPr>
            <a:noFill/>
            <a:ln w="25400">
              <a:noFill/>
            </a:ln>
          </c:spPr>
        </c:title>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2870528"/>
        <c:crosses val="autoZero"/>
        <c:crossBetween val="between"/>
      </c:valAx>
      <c:spPr>
        <a:noFill/>
        <a:ln w="25400">
          <a:noFill/>
        </a:ln>
      </c:spPr>
    </c:plotArea>
    <c:legend>
      <c:legendPos val="r"/>
      <c:layout>
        <c:manualLayout>
          <c:xMode val="edge"/>
          <c:yMode val="edge"/>
          <c:x val="0.5048925345564409"/>
          <c:y val="1.4031842008287646E-2"/>
          <c:w val="0.29745599891465369"/>
          <c:h val="0.179607878528078"/>
        </c:manualLayout>
      </c:layout>
      <c:spPr>
        <a:noFill/>
        <a:ln w="25400">
          <a:noFill/>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248960793443321"/>
          <c:y val="0.15392120160183459"/>
          <c:w val="0.73240922018838228"/>
          <c:h val="0.65634323701914676"/>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numFmt formatCode="0.00" sourceLinked="0"/>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ct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Monthly!$B$51:$M$51</c:f>
              <c:numCache>
                <c:formatCode>0.000</c:formatCode>
                <c:ptCount val="12"/>
                <c:pt idx="0">
                  <c:v>0.13805719828108792</c:v>
                </c:pt>
                <c:pt idx="1">
                  <c:v>7.1860223889644914E-2</c:v>
                </c:pt>
                <c:pt idx="2">
                  <c:v>9.7918715396117614E-2</c:v>
                </c:pt>
                <c:pt idx="3">
                  <c:v>7.479692320127207E-2</c:v>
                </c:pt>
                <c:pt idx="4">
                  <c:v>4.3134455026740126E-2</c:v>
                </c:pt>
                <c:pt idx="5">
                  <c:v>0.12390985141379171</c:v>
                </c:pt>
                <c:pt idx="6">
                  <c:v>0.12619454959384638</c:v>
                </c:pt>
                <c:pt idx="7">
                  <c:v>0.16960650923443737</c:v>
                </c:pt>
                <c:pt idx="8">
                  <c:v>4.7536809774628527E-2</c:v>
                </c:pt>
                <c:pt idx="9">
                  <c:v>8.4964907790335845E-2</c:v>
                </c:pt>
                <c:pt idx="10">
                  <c:v>5.2461843115595493E-2</c:v>
                </c:pt>
                <c:pt idx="11">
                  <c:v>8.1669877278299843E-2</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dLbls>
            <c:dLbl>
              <c:idx val="0"/>
              <c:showVal val="1"/>
            </c:dLbl>
            <c:dLbl>
              <c:idx val="11"/>
              <c:showVal val="1"/>
            </c:dLbl>
            <c:delete val="1"/>
            <c:numFmt formatCode="#,##0.00" sourceLinked="0"/>
            <c:txPr>
              <a:bodyPr/>
              <a:lstStyle/>
              <a:p>
                <a:pPr>
                  <a:defRPr sz="1100" b="1"/>
                </a:pPr>
                <a:endParaRPr lang="en-US"/>
              </a:p>
            </c:txPr>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Monthly!$B$52:$M$52</c:f>
              <c:numCache>
                <c:formatCode>0.000</c:formatCode>
                <c:ptCount val="12"/>
                <c:pt idx="0">
                  <c:v>0</c:v>
                </c:pt>
                <c:pt idx="1">
                  <c:v>0</c:v>
                </c:pt>
                <c:pt idx="2">
                  <c:v>0</c:v>
                </c:pt>
                <c:pt idx="3">
                  <c:v>0</c:v>
                </c:pt>
                <c:pt idx="4">
                  <c:v>0</c:v>
                </c:pt>
                <c:pt idx="5">
                  <c:v>0</c:v>
                </c:pt>
                <c:pt idx="6">
                  <c:v>0.17845163202349426</c:v>
                </c:pt>
                <c:pt idx="7">
                  <c:v>0.26617272641547562</c:v>
                </c:pt>
                <c:pt idx="8">
                  <c:v>0</c:v>
                </c:pt>
                <c:pt idx="9">
                  <c:v>0</c:v>
                </c:pt>
                <c:pt idx="10">
                  <c:v>0</c:v>
                </c:pt>
                <c:pt idx="11">
                  <c:v>0</c:v>
                </c:pt>
              </c:numCache>
            </c:numRef>
          </c:val>
        </c:ser>
        <c:overlap val="100"/>
        <c:axId val="92925952"/>
        <c:axId val="92927488"/>
      </c:barChart>
      <c:catAx>
        <c:axId val="92925952"/>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92927488"/>
        <c:crosses val="autoZero"/>
        <c:auto val="1"/>
        <c:lblAlgn val="ctr"/>
        <c:lblOffset val="100"/>
        <c:tickLblSkip val="1"/>
        <c:tickMarkSkip val="1"/>
      </c:catAx>
      <c:valAx>
        <c:axId val="92927488"/>
        <c:scaling>
          <c:orientation val="minMax"/>
          <c:max val="0.25"/>
          <c:min val="0"/>
        </c:scaling>
        <c:axPos val="l"/>
        <c:title>
          <c:tx>
            <c:rich>
              <a:bodyPr/>
              <a:lstStyle/>
              <a:p>
                <a:pPr>
                  <a:defRPr sz="1050" b="0" i="0" u="none" strike="noStrike" baseline="0">
                    <a:solidFill>
                      <a:srgbClr val="000000"/>
                    </a:solidFill>
                    <a:latin typeface="Arial"/>
                    <a:ea typeface="Arial"/>
                    <a:cs typeface="Arial"/>
                  </a:defRPr>
                </a:pPr>
                <a:r>
                  <a:rPr lang="en-US"/>
                  <a:t>Sustained Interruptions/Customer</a:t>
                </a:r>
              </a:p>
            </c:rich>
          </c:tx>
          <c:layout>
            <c:manualLayout>
              <c:xMode val="edge"/>
              <c:yMode val="edge"/>
              <c:x val="2.0105424321959754E-2"/>
              <c:y val="0.20910052415554867"/>
            </c:manualLayout>
          </c:layout>
          <c:spPr>
            <a:noFill/>
            <a:ln w="25400">
              <a:noFill/>
            </a:ln>
          </c:spPr>
        </c:title>
        <c:numFmt formatCode="0.00" sourceLinked="0"/>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92925952"/>
        <c:crosses val="autoZero"/>
        <c:crossBetween val="between"/>
      </c:valAx>
      <c:spPr>
        <a:noFill/>
        <a:ln w="25400">
          <a:noFill/>
        </a:ln>
      </c:spPr>
    </c:plotArea>
    <c:legend>
      <c:legendPos val="r"/>
      <c:layout>
        <c:manualLayout>
          <c:xMode val="edge"/>
          <c:yMode val="edge"/>
          <c:x val="0.53997229512977563"/>
          <c:y val="1.4520900021028528E-2"/>
          <c:w val="0.20105351414406536"/>
          <c:h val="0.13359190635295221"/>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9390851544626437E-2"/>
          <c:y val="1.9704500865247623E-2"/>
          <c:w val="0.97240303818605689"/>
          <c:h val="0.91954115146695958"/>
        </c:manualLayout>
      </c:layout>
      <c:barChart>
        <c:barDir val="col"/>
        <c:grouping val="clustered"/>
        <c:ser>
          <c:idx val="1"/>
          <c:order val="0"/>
          <c:tx>
            <c:strRef>
              <c:f>'SAIFI PerformanceComparison'!$D$5</c:f>
              <c:strCache>
                <c:ptCount val="1"/>
                <c:pt idx="0">
                  <c:v>Annual IEEE SAIFI Excluding Daily Results over TMED</c:v>
                </c:pt>
              </c:strCache>
            </c:strRef>
          </c:tx>
          <c:spPr>
            <a:pattFill prst="ltVert">
              <a:fgClr>
                <a:srgbClr val="993366"/>
              </a:fgClr>
              <a:bgClr>
                <a:srgbClr val="FFFFFF"/>
              </a:bgClr>
            </a:pattFill>
            <a:ln w="25400">
              <a:noFill/>
            </a:ln>
          </c:spPr>
          <c:dLbls>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ctr"/>
            <c:showVal val="1"/>
          </c:dLbls>
          <c:cat>
            <c:numRef>
              <c:f>'SAIFI PerformanceComparison'!$C$6:$C$16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'SAIFI PerformanceComparison'!$D$6:$D$16</c:f>
              <c:numCache>
                <c:formatCode>0.00</c:formatCode>
                <c:ptCount val="11"/>
                <c:pt idx="0">
                  <c:v>1.01</c:v>
                </c:pt>
                <c:pt idx="1">
                  <c:v>0.97000000000000064</c:v>
                </c:pt>
                <c:pt idx="2" formatCode="General">
                  <c:v>1.29</c:v>
                </c:pt>
                <c:pt idx="3">
                  <c:v>1.1399999999999977</c:v>
                </c:pt>
                <c:pt idx="4">
                  <c:v>1.4</c:v>
                </c:pt>
                <c:pt idx="5">
                  <c:v>1.52</c:v>
                </c:pt>
                <c:pt idx="6">
                  <c:v>1.23</c:v>
                </c:pt>
                <c:pt idx="7">
                  <c:v>1.08</c:v>
                </c:pt>
                <c:pt idx="8">
                  <c:v>1.1399999999999977</c:v>
                </c:pt>
                <c:pt idx="9">
                  <c:v>1.05</c:v>
                </c:pt>
                <c:pt idx="10">
                  <c:v>1.1100000000000001</c:v>
                </c:pt>
              </c:numCache>
            </c:numRef>
          </c:val>
        </c:ser>
        <c:ser>
          <c:idx val="2"/>
          <c:order val="1"/>
          <c:tx>
            <c:strRef>
              <c:f>'SAIFI PerformanceComparison'!$E$5</c:f>
              <c:strCache>
                <c:ptCount val="1"/>
                <c:pt idx="0">
                  <c:v>Annual Total SAIFI Results: All Minutes w/o Exclusion</c:v>
                </c:pt>
              </c:strCache>
            </c:strRef>
          </c:tx>
          <c:spPr>
            <a:pattFill prst="divot">
              <a:fgClr>
                <a:srgbClr val="339966"/>
              </a:fgClr>
              <a:bgClr>
                <a:srgbClr val="FFFFFF"/>
              </a:bgClr>
            </a:pattFill>
            <a:ln w="25400">
              <a:noFill/>
            </a:ln>
          </c:spPr>
          <c:dLbls>
            <c:dLbl>
              <c:idx val="9"/>
              <c:spPr>
                <a:noFill/>
                <a:ln w="25400">
                  <a:noFill/>
                </a:ln>
              </c:spPr>
              <c:txPr>
                <a:bodyPr/>
                <a:lstStyle/>
                <a:p>
                  <a:pPr algn="ctr" rtl="0">
                    <a:defRPr sz="1000" b="0" i="0" u="none" strike="noStrike" baseline="0">
                      <a:solidFill>
                        <a:srgbClr val="000000"/>
                      </a:solidFill>
                      <a:latin typeface="Arial"/>
                      <a:ea typeface="Arial"/>
                      <a:cs typeface="Arial"/>
                    </a:defRPr>
                  </a:pPr>
                  <a:endParaRPr lang="en-US"/>
                </a:p>
              </c:txPr>
            </c:dLbl>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inEnd"/>
            <c:showVal val="1"/>
          </c:dLbls>
          <c:cat>
            <c:numRef>
              <c:f>'SAIFI PerformanceComparison'!$C$6:$C$16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'SAIFI PerformanceComparison'!$E$6:$E$16</c:f>
              <c:numCache>
                <c:formatCode>0.00</c:formatCode>
                <c:ptCount val="11"/>
                <c:pt idx="0">
                  <c:v>1.1299999999999977</c:v>
                </c:pt>
                <c:pt idx="1">
                  <c:v>1.1700000000000019</c:v>
                </c:pt>
                <c:pt idx="2" formatCode="General">
                  <c:v>1.9100000000000001</c:v>
                </c:pt>
                <c:pt idx="3">
                  <c:v>1.4</c:v>
                </c:pt>
                <c:pt idx="4">
                  <c:v>1.6</c:v>
                </c:pt>
                <c:pt idx="5">
                  <c:v>1.52</c:v>
                </c:pt>
                <c:pt idx="6">
                  <c:v>1.49</c:v>
                </c:pt>
                <c:pt idx="7">
                  <c:v>1.08</c:v>
                </c:pt>
                <c:pt idx="8">
                  <c:v>1.25</c:v>
                </c:pt>
                <c:pt idx="9">
                  <c:v>1.21</c:v>
                </c:pt>
                <c:pt idx="10">
                  <c:v>1.56</c:v>
                </c:pt>
              </c:numCache>
            </c:numRef>
          </c:val>
        </c:ser>
        <c:ser>
          <c:idx val="3"/>
          <c:order val="2"/>
          <c:tx>
            <c:strRef>
              <c:f>'SAIFI PerformanceComparison'!$G$5</c:f>
              <c:strCache>
                <c:ptCount val="1"/>
                <c:pt idx="0">
                  <c:v>Total SAIFI 5-Year Rolling Annual Average Excluding 2006</c:v>
                </c:pt>
              </c:strCache>
            </c:strRef>
          </c:tx>
          <c:spPr>
            <a:pattFill prst="ltHorz">
              <a:fgClr>
                <a:srgbClr val="00FFFF"/>
              </a:fgClr>
              <a:bgClr>
                <a:srgbClr val="CCFFFF"/>
              </a:bgClr>
            </a:pattFill>
            <a:ln w="25400">
              <a:noFill/>
            </a:ln>
          </c:spPr>
          <c:dLbls>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ctr"/>
            <c:showVal val="1"/>
          </c:dLbls>
          <c:cat>
            <c:numRef>
              <c:f>'SAIFI PerformanceComparison'!$C$6:$C$16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'SAIFI PerformanceComparison'!$G$6:$G$16</c:f>
              <c:numCache>
                <c:formatCode>0.00</c:formatCode>
                <c:ptCount val="11"/>
                <c:pt idx="0">
                  <c:v>1.1299999999999977</c:v>
                </c:pt>
                <c:pt idx="1">
                  <c:v>1.1499999999999977</c:v>
                </c:pt>
                <c:pt idx="3">
                  <c:v>1.2333333333333332</c:v>
                </c:pt>
                <c:pt idx="4">
                  <c:v>1.325</c:v>
                </c:pt>
                <c:pt idx="5">
                  <c:v>1.3639999999999974</c:v>
                </c:pt>
                <c:pt idx="6">
                  <c:v>1.4359999999999959</c:v>
                </c:pt>
                <c:pt idx="7">
                  <c:v>1.4179999999999959</c:v>
                </c:pt>
                <c:pt idx="8">
                  <c:v>1.3880000000000001</c:v>
                </c:pt>
                <c:pt idx="9">
                  <c:v>1.31</c:v>
                </c:pt>
                <c:pt idx="10">
                  <c:v>1.3180000000000001</c:v>
                </c:pt>
              </c:numCache>
            </c:numRef>
          </c:val>
        </c:ser>
        <c:axId val="93468544"/>
        <c:axId val="93470080"/>
      </c:barChart>
      <c:catAx>
        <c:axId val="9346854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3470080"/>
        <c:crosses val="autoZero"/>
        <c:auto val="1"/>
        <c:lblAlgn val="ctr"/>
        <c:lblOffset val="100"/>
        <c:tickLblSkip val="1"/>
        <c:tickMarkSkip val="1"/>
      </c:catAx>
      <c:valAx>
        <c:axId val="93470080"/>
        <c:scaling>
          <c:orientation val="minMax"/>
          <c:max val="3"/>
        </c:scaling>
        <c:axPos val="l"/>
        <c:numFmt formatCode="0.00" sourceLinked="1"/>
        <c:tickLblPos val="nextTo"/>
        <c:spPr>
          <a:ln w="3175">
            <a:solidFill>
              <a:srgbClr val="FFFFFF"/>
            </a:solidFill>
            <a:prstDash val="solid"/>
          </a:ln>
        </c:spPr>
        <c:txPr>
          <a:bodyPr rot="0" vert="horz"/>
          <a:lstStyle/>
          <a:p>
            <a:pPr>
              <a:defRPr sz="200" b="0" i="0" u="none" strike="noStrike" baseline="0">
                <a:solidFill>
                  <a:srgbClr val="FFFFFF"/>
                </a:solidFill>
                <a:latin typeface="Arial"/>
                <a:ea typeface="Arial"/>
                <a:cs typeface="Arial"/>
              </a:defRPr>
            </a:pPr>
            <a:endParaRPr lang="en-US"/>
          </a:p>
        </c:txPr>
        <c:crossAx val="93468544"/>
        <c:crosses val="autoZero"/>
        <c:crossBetween val="between"/>
        <c:majorUnit val="0.5"/>
      </c:valAx>
      <c:spPr>
        <a:noFill/>
        <a:ln w="25400">
          <a:noFill/>
        </a:ln>
      </c:spPr>
    </c:plotArea>
    <c:legend>
      <c:legendPos val="r"/>
      <c:layout>
        <c:manualLayout>
          <c:xMode val="edge"/>
          <c:yMode val="edge"/>
          <c:x val="9.3508038057743183E-3"/>
          <c:y val="1.7921196724156981E-2"/>
          <c:w val="0.49024838692038492"/>
          <c:h val="0.30665067668144763"/>
        </c:manualLayout>
      </c:layout>
      <c:spPr>
        <a:no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1.7628924060339481E-2"/>
          <c:y val="1.9724676392028007E-2"/>
          <c:w val="0.97429186973476134"/>
          <c:h val="0.9188411752619684"/>
        </c:manualLayout>
      </c:layout>
      <c:barChart>
        <c:barDir val="col"/>
        <c:grouping val="clustered"/>
        <c:ser>
          <c:idx val="1"/>
          <c:order val="0"/>
          <c:tx>
            <c:strRef>
              <c:f>' SAIDI PerformanceComparision'!$D$5</c:f>
              <c:strCache>
                <c:ptCount val="1"/>
                <c:pt idx="0">
                  <c:v>Annual IEEE SAIDI Excluding Daily Results over TMED</c:v>
                </c:pt>
              </c:strCache>
            </c:strRef>
          </c:tx>
          <c:spPr>
            <a:pattFill prst="ltVert">
              <a:fgClr>
                <a:srgbClr val="993366"/>
              </a:fgClr>
              <a:bgClr>
                <a:srgbClr val="FFFFFF"/>
              </a:bgClr>
            </a:pattFill>
            <a:ln w="25400">
              <a:noFill/>
            </a:ln>
          </c:spPr>
          <c:dLbls>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ctr"/>
            <c:showVal val="1"/>
          </c:dLbls>
          <c:cat>
            <c:numRef>
              <c:f>' SAIDI PerformanceComparision'!$C$6:$C$16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 SAIDI PerformanceComparision'!$D$6:$D$16</c:f>
              <c:numCache>
                <c:formatCode>0</c:formatCode>
                <c:ptCount val="11"/>
                <c:pt idx="0">
                  <c:v>126</c:v>
                </c:pt>
                <c:pt idx="1">
                  <c:v>108</c:v>
                </c:pt>
                <c:pt idx="2" formatCode="General">
                  <c:v>143</c:v>
                </c:pt>
                <c:pt idx="3">
                  <c:v>132</c:v>
                </c:pt>
                <c:pt idx="4">
                  <c:v>159</c:v>
                </c:pt>
                <c:pt idx="5">
                  <c:v>193</c:v>
                </c:pt>
                <c:pt idx="6">
                  <c:v>146</c:v>
                </c:pt>
                <c:pt idx="7">
                  <c:v>118</c:v>
                </c:pt>
                <c:pt idx="8">
                  <c:v>138</c:v>
                </c:pt>
                <c:pt idx="9">
                  <c:v>138</c:v>
                </c:pt>
                <c:pt idx="10">
                  <c:v>139</c:v>
                </c:pt>
              </c:numCache>
            </c:numRef>
          </c:val>
        </c:ser>
        <c:ser>
          <c:idx val="2"/>
          <c:order val="1"/>
          <c:tx>
            <c:strRef>
              <c:f>' SAIDI PerformanceComparision'!$E$5</c:f>
              <c:strCache>
                <c:ptCount val="1"/>
                <c:pt idx="0">
                  <c:v>Annual Total SAIDI Results: All Minutes w/o Exclusion</c:v>
                </c:pt>
              </c:strCache>
            </c:strRef>
          </c:tx>
          <c:spPr>
            <a:pattFill prst="divot">
              <a:fgClr>
                <a:srgbClr val="339966"/>
              </a:fgClr>
              <a:bgClr>
                <a:srgbClr val="FFFFFF"/>
              </a:bgClr>
            </a:pattFill>
            <a:ln w="25400">
              <a:noFill/>
            </a:ln>
          </c:spPr>
          <c:dLbls>
            <c:dLbl>
              <c:idx val="6"/>
              <c:layout>
                <c:manualLayout>
                  <c:x val="0"/>
                  <c:y val="6.9815195071868577E-2"/>
                </c:manualLayout>
              </c:layout>
              <c:dLblPos val="outEnd"/>
              <c:showVal val="1"/>
            </c:dLbl>
            <c:dLbl>
              <c:idx val="9"/>
              <c:spPr>
                <a:noFill/>
                <a:ln w="25400">
                  <a:noFill/>
                </a:ln>
              </c:spPr>
              <c:txPr>
                <a:bodyPr/>
                <a:lstStyle/>
                <a:p>
                  <a:pPr algn="ctr" rtl="0">
                    <a:defRPr sz="1000" b="0" i="0" u="none" strike="noStrike" baseline="0">
                      <a:solidFill>
                        <a:srgbClr val="000000"/>
                      </a:solidFill>
                      <a:latin typeface="Arial"/>
                      <a:ea typeface="Arial"/>
                      <a:cs typeface="Arial"/>
                    </a:defRPr>
                  </a:pPr>
                  <a:endParaRPr lang="en-US"/>
                </a:p>
              </c:txPr>
              <c:dLblPos val="inBase"/>
              <c:showVal val="1"/>
            </c:dLbl>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inEnd"/>
            <c:showVal val="1"/>
          </c:dLbls>
          <c:cat>
            <c:numRef>
              <c:f>' SAIDI PerformanceComparision'!$C$6:$C$16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 SAIDI PerformanceComparision'!$E$6:$E$16</c:f>
              <c:numCache>
                <c:formatCode>0</c:formatCode>
                <c:ptCount val="11"/>
                <c:pt idx="0">
                  <c:v>172</c:v>
                </c:pt>
                <c:pt idx="1">
                  <c:v>176</c:v>
                </c:pt>
                <c:pt idx="2" formatCode="General">
                  <c:v>374</c:v>
                </c:pt>
                <c:pt idx="3">
                  <c:v>209</c:v>
                </c:pt>
                <c:pt idx="4">
                  <c:v>227</c:v>
                </c:pt>
                <c:pt idx="5">
                  <c:v>193</c:v>
                </c:pt>
                <c:pt idx="6">
                  <c:v>236</c:v>
                </c:pt>
                <c:pt idx="7">
                  <c:v>118</c:v>
                </c:pt>
                <c:pt idx="8">
                  <c:v>163</c:v>
                </c:pt>
                <c:pt idx="9">
                  <c:v>199</c:v>
                </c:pt>
                <c:pt idx="10">
                  <c:v>437</c:v>
                </c:pt>
              </c:numCache>
            </c:numRef>
          </c:val>
        </c:ser>
        <c:ser>
          <c:idx val="3"/>
          <c:order val="2"/>
          <c:tx>
            <c:strRef>
              <c:f>' SAIDI PerformanceComparision'!$G$5</c:f>
              <c:strCache>
                <c:ptCount val="1"/>
                <c:pt idx="0">
                  <c:v>Total SAIDI 5-Year Rolling Annual Average Excluding 2006</c:v>
                </c:pt>
              </c:strCache>
            </c:strRef>
          </c:tx>
          <c:spPr>
            <a:pattFill prst="ltHorz">
              <a:fgClr>
                <a:srgbClr val="00FFFF"/>
              </a:fgClr>
              <a:bgClr>
                <a:srgbClr val="CCFFFF"/>
              </a:bgClr>
            </a:pattFill>
            <a:ln w="25400">
              <a:noFill/>
            </a:ln>
          </c:spPr>
          <c:dLbls>
            <c:dLbl>
              <c:idx val="4"/>
              <c:layout>
                <c:manualLayout>
                  <c:x val="5.0125313283208017E-3"/>
                  <c:y val="0"/>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Val val="1"/>
          </c:dLbls>
          <c:cat>
            <c:numRef>
              <c:f>' SAIDI PerformanceComparision'!$C$6:$C$16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 SAIDI PerformanceComparision'!$G$6:$G$16</c:f>
              <c:numCache>
                <c:formatCode>0</c:formatCode>
                <c:ptCount val="11"/>
                <c:pt idx="0">
                  <c:v>172</c:v>
                </c:pt>
                <c:pt idx="1">
                  <c:v>174</c:v>
                </c:pt>
                <c:pt idx="3">
                  <c:v>185.66666666666652</c:v>
                </c:pt>
                <c:pt idx="4">
                  <c:v>196</c:v>
                </c:pt>
                <c:pt idx="5">
                  <c:v>195.4</c:v>
                </c:pt>
                <c:pt idx="6">
                  <c:v>208.2</c:v>
                </c:pt>
                <c:pt idx="7">
                  <c:v>196.6</c:v>
                </c:pt>
                <c:pt idx="8">
                  <c:v>187.4</c:v>
                </c:pt>
                <c:pt idx="9">
                  <c:v>181.8</c:v>
                </c:pt>
                <c:pt idx="10">
                  <c:v>230.6</c:v>
                </c:pt>
              </c:numCache>
            </c:numRef>
          </c:val>
        </c:ser>
        <c:axId val="96343936"/>
        <c:axId val="96345472"/>
      </c:barChart>
      <c:catAx>
        <c:axId val="9634393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345472"/>
        <c:crosses val="autoZero"/>
        <c:auto val="1"/>
        <c:lblAlgn val="ctr"/>
        <c:lblOffset val="100"/>
        <c:tickLblSkip val="1"/>
        <c:tickMarkSkip val="1"/>
      </c:catAx>
      <c:valAx>
        <c:axId val="96345472"/>
        <c:scaling>
          <c:orientation val="minMax"/>
          <c:max val="600"/>
        </c:scaling>
        <c:axPos val="l"/>
        <c:numFmt formatCode="0" sourceLinked="1"/>
        <c:tickLblPos val="nextTo"/>
        <c:spPr>
          <a:ln w="3175">
            <a:solidFill>
              <a:srgbClr val="FFFFFF"/>
            </a:solidFill>
            <a:prstDash val="solid"/>
          </a:ln>
        </c:spPr>
        <c:txPr>
          <a:bodyPr rot="0" vert="horz"/>
          <a:lstStyle/>
          <a:p>
            <a:pPr>
              <a:defRPr sz="200" b="0" i="0" u="none" strike="noStrike" baseline="0">
                <a:solidFill>
                  <a:srgbClr val="FFFFFF"/>
                </a:solidFill>
                <a:latin typeface="Arial"/>
                <a:ea typeface="Arial"/>
                <a:cs typeface="Arial"/>
              </a:defRPr>
            </a:pPr>
            <a:endParaRPr lang="en-US"/>
          </a:p>
        </c:txPr>
        <c:crossAx val="96343936"/>
        <c:crosses val="autoZero"/>
        <c:crossBetween val="between"/>
      </c:valAx>
      <c:spPr>
        <a:noFill/>
        <a:ln w="25400">
          <a:noFill/>
        </a:ln>
      </c:spPr>
    </c:plotArea>
    <c:legend>
      <c:legendPos val="r"/>
      <c:layout>
        <c:manualLayout>
          <c:xMode val="edge"/>
          <c:yMode val="edge"/>
          <c:x val="1.0686690479479538E-2"/>
          <c:y val="1.7921065821597762E-2"/>
          <c:w val="0.49024858734763527"/>
          <c:h val="0.31063331662597621"/>
        </c:manualLayout>
      </c:layout>
      <c:spPr>
        <a:no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29DCE172EAD3241A293BEC6BCA6ACE9" ma:contentTypeVersion="119" ma:contentTypeDescription="" ma:contentTypeScope="" ma:versionID="88134fb9ad7c10b3076f103376f36b1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2015-12-23T08:00:00+00:00</OpenedDate>
    <Date1 xmlns="dc463f71-b30c-4ab2-9473-d307f9d35888">2015-12-23T08:00:00+00:00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152403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BE7C1BA-E63A-495F-B4F0-6F81E43FC703}"/>
</file>

<file path=customXml/itemProps2.xml><?xml version="1.0" encoding="utf-8"?>
<ds:datastoreItem xmlns:ds="http://schemas.openxmlformats.org/officeDocument/2006/customXml" ds:itemID="{606CD291-858C-4EF3-96C5-FAEB89AAD826}"/>
</file>

<file path=customXml/itemProps3.xml><?xml version="1.0" encoding="utf-8"?>
<ds:datastoreItem xmlns:ds="http://schemas.openxmlformats.org/officeDocument/2006/customXml" ds:itemID="{B6BBADFD-2600-41D2-900C-DF03F5FC5B10}"/>
</file>

<file path=customXml/itemProps4.xml><?xml version="1.0" encoding="utf-8"?>
<ds:datastoreItem xmlns:ds="http://schemas.openxmlformats.org/officeDocument/2006/customXml" ds:itemID="{05D7A678-1BC6-461D-B001-98DA8C18098F}"/>
</file>

<file path=customXml/itemProps5.xml><?xml version="1.0" encoding="utf-8"?>
<ds:datastoreItem xmlns:ds="http://schemas.openxmlformats.org/officeDocument/2006/customXml" ds:itemID="{92311BC2-48A3-417A-99D4-B7CF282D10A9}"/>
</file>

<file path=docProps/app.xml><?xml version="1.0" encoding="utf-8"?>
<Properties xmlns="http://schemas.openxmlformats.org/officeDocument/2006/extended-properties" xmlns:vt="http://schemas.openxmlformats.org/officeDocument/2006/docPropsVTypes">
  <Template>Normal</Template>
  <TotalTime>425</TotalTime>
  <Pages>29</Pages>
  <Words>6310</Words>
  <Characters>35970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2007 Electric Service Reliability Report Final</vt:lpstr>
    </vt:vector>
  </TitlesOfParts>
  <Manager>Heather Cummins</Manager>
  <Company>Avista Utilities</Company>
  <LinksUpToDate>false</LinksUpToDate>
  <CharactersWithSpaces>42196</CharactersWithSpaces>
  <SharedDoc>false</SharedDoc>
  <HLinks>
    <vt:vector size="504" baseType="variant">
      <vt:variant>
        <vt:i4>1048626</vt:i4>
      </vt:variant>
      <vt:variant>
        <vt:i4>503</vt:i4>
      </vt:variant>
      <vt:variant>
        <vt:i4>0</vt:i4>
      </vt:variant>
      <vt:variant>
        <vt:i4>5</vt:i4>
      </vt:variant>
      <vt:variant>
        <vt:lpwstr/>
      </vt:variant>
      <vt:variant>
        <vt:lpwstr>_Toc227727556</vt:lpwstr>
      </vt:variant>
      <vt:variant>
        <vt:i4>1048626</vt:i4>
      </vt:variant>
      <vt:variant>
        <vt:i4>497</vt:i4>
      </vt:variant>
      <vt:variant>
        <vt:i4>0</vt:i4>
      </vt:variant>
      <vt:variant>
        <vt:i4>5</vt:i4>
      </vt:variant>
      <vt:variant>
        <vt:lpwstr/>
      </vt:variant>
      <vt:variant>
        <vt:lpwstr>_Toc227727555</vt:lpwstr>
      </vt:variant>
      <vt:variant>
        <vt:i4>1048626</vt:i4>
      </vt:variant>
      <vt:variant>
        <vt:i4>491</vt:i4>
      </vt:variant>
      <vt:variant>
        <vt:i4>0</vt:i4>
      </vt:variant>
      <vt:variant>
        <vt:i4>5</vt:i4>
      </vt:variant>
      <vt:variant>
        <vt:lpwstr/>
      </vt:variant>
      <vt:variant>
        <vt:lpwstr>_Toc227727554</vt:lpwstr>
      </vt:variant>
      <vt:variant>
        <vt:i4>1048626</vt:i4>
      </vt:variant>
      <vt:variant>
        <vt:i4>485</vt:i4>
      </vt:variant>
      <vt:variant>
        <vt:i4>0</vt:i4>
      </vt:variant>
      <vt:variant>
        <vt:i4>5</vt:i4>
      </vt:variant>
      <vt:variant>
        <vt:lpwstr/>
      </vt:variant>
      <vt:variant>
        <vt:lpwstr>_Toc227727553</vt:lpwstr>
      </vt:variant>
      <vt:variant>
        <vt:i4>1048626</vt:i4>
      </vt:variant>
      <vt:variant>
        <vt:i4>479</vt:i4>
      </vt:variant>
      <vt:variant>
        <vt:i4>0</vt:i4>
      </vt:variant>
      <vt:variant>
        <vt:i4>5</vt:i4>
      </vt:variant>
      <vt:variant>
        <vt:lpwstr/>
      </vt:variant>
      <vt:variant>
        <vt:lpwstr>_Toc227727552</vt:lpwstr>
      </vt:variant>
      <vt:variant>
        <vt:i4>1048626</vt:i4>
      </vt:variant>
      <vt:variant>
        <vt:i4>473</vt:i4>
      </vt:variant>
      <vt:variant>
        <vt:i4>0</vt:i4>
      </vt:variant>
      <vt:variant>
        <vt:i4>5</vt:i4>
      </vt:variant>
      <vt:variant>
        <vt:lpwstr/>
      </vt:variant>
      <vt:variant>
        <vt:lpwstr>_Toc227727551</vt:lpwstr>
      </vt:variant>
      <vt:variant>
        <vt:i4>1048626</vt:i4>
      </vt:variant>
      <vt:variant>
        <vt:i4>467</vt:i4>
      </vt:variant>
      <vt:variant>
        <vt:i4>0</vt:i4>
      </vt:variant>
      <vt:variant>
        <vt:i4>5</vt:i4>
      </vt:variant>
      <vt:variant>
        <vt:lpwstr/>
      </vt:variant>
      <vt:variant>
        <vt:lpwstr>_Toc227727550</vt:lpwstr>
      </vt:variant>
      <vt:variant>
        <vt:i4>1114162</vt:i4>
      </vt:variant>
      <vt:variant>
        <vt:i4>461</vt:i4>
      </vt:variant>
      <vt:variant>
        <vt:i4>0</vt:i4>
      </vt:variant>
      <vt:variant>
        <vt:i4>5</vt:i4>
      </vt:variant>
      <vt:variant>
        <vt:lpwstr/>
      </vt:variant>
      <vt:variant>
        <vt:lpwstr>_Toc227727549</vt:lpwstr>
      </vt:variant>
      <vt:variant>
        <vt:i4>1114162</vt:i4>
      </vt:variant>
      <vt:variant>
        <vt:i4>455</vt:i4>
      </vt:variant>
      <vt:variant>
        <vt:i4>0</vt:i4>
      </vt:variant>
      <vt:variant>
        <vt:i4>5</vt:i4>
      </vt:variant>
      <vt:variant>
        <vt:lpwstr/>
      </vt:variant>
      <vt:variant>
        <vt:lpwstr>_Toc227727548</vt:lpwstr>
      </vt:variant>
      <vt:variant>
        <vt:i4>1114162</vt:i4>
      </vt:variant>
      <vt:variant>
        <vt:i4>449</vt:i4>
      </vt:variant>
      <vt:variant>
        <vt:i4>0</vt:i4>
      </vt:variant>
      <vt:variant>
        <vt:i4>5</vt:i4>
      </vt:variant>
      <vt:variant>
        <vt:lpwstr/>
      </vt:variant>
      <vt:variant>
        <vt:lpwstr>_Toc227727547</vt:lpwstr>
      </vt:variant>
      <vt:variant>
        <vt:i4>1114162</vt:i4>
      </vt:variant>
      <vt:variant>
        <vt:i4>443</vt:i4>
      </vt:variant>
      <vt:variant>
        <vt:i4>0</vt:i4>
      </vt:variant>
      <vt:variant>
        <vt:i4>5</vt:i4>
      </vt:variant>
      <vt:variant>
        <vt:lpwstr/>
      </vt:variant>
      <vt:variant>
        <vt:lpwstr>_Toc227727546</vt:lpwstr>
      </vt:variant>
      <vt:variant>
        <vt:i4>1114162</vt:i4>
      </vt:variant>
      <vt:variant>
        <vt:i4>437</vt:i4>
      </vt:variant>
      <vt:variant>
        <vt:i4>0</vt:i4>
      </vt:variant>
      <vt:variant>
        <vt:i4>5</vt:i4>
      </vt:variant>
      <vt:variant>
        <vt:lpwstr/>
      </vt:variant>
      <vt:variant>
        <vt:lpwstr>_Toc227727545</vt:lpwstr>
      </vt:variant>
      <vt:variant>
        <vt:i4>1114162</vt:i4>
      </vt:variant>
      <vt:variant>
        <vt:i4>431</vt:i4>
      </vt:variant>
      <vt:variant>
        <vt:i4>0</vt:i4>
      </vt:variant>
      <vt:variant>
        <vt:i4>5</vt:i4>
      </vt:variant>
      <vt:variant>
        <vt:lpwstr/>
      </vt:variant>
      <vt:variant>
        <vt:lpwstr>_Toc227727544</vt:lpwstr>
      </vt:variant>
      <vt:variant>
        <vt:i4>1114162</vt:i4>
      </vt:variant>
      <vt:variant>
        <vt:i4>425</vt:i4>
      </vt:variant>
      <vt:variant>
        <vt:i4>0</vt:i4>
      </vt:variant>
      <vt:variant>
        <vt:i4>5</vt:i4>
      </vt:variant>
      <vt:variant>
        <vt:lpwstr/>
      </vt:variant>
      <vt:variant>
        <vt:lpwstr>_Toc227727543</vt:lpwstr>
      </vt:variant>
      <vt:variant>
        <vt:i4>1114162</vt:i4>
      </vt:variant>
      <vt:variant>
        <vt:i4>419</vt:i4>
      </vt:variant>
      <vt:variant>
        <vt:i4>0</vt:i4>
      </vt:variant>
      <vt:variant>
        <vt:i4>5</vt:i4>
      </vt:variant>
      <vt:variant>
        <vt:lpwstr/>
      </vt:variant>
      <vt:variant>
        <vt:lpwstr>_Toc227727542</vt:lpwstr>
      </vt:variant>
      <vt:variant>
        <vt:i4>1114162</vt:i4>
      </vt:variant>
      <vt:variant>
        <vt:i4>413</vt:i4>
      </vt:variant>
      <vt:variant>
        <vt:i4>0</vt:i4>
      </vt:variant>
      <vt:variant>
        <vt:i4>5</vt:i4>
      </vt:variant>
      <vt:variant>
        <vt:lpwstr/>
      </vt:variant>
      <vt:variant>
        <vt:lpwstr>_Toc227727541</vt:lpwstr>
      </vt:variant>
      <vt:variant>
        <vt:i4>1114162</vt:i4>
      </vt:variant>
      <vt:variant>
        <vt:i4>407</vt:i4>
      </vt:variant>
      <vt:variant>
        <vt:i4>0</vt:i4>
      </vt:variant>
      <vt:variant>
        <vt:i4>5</vt:i4>
      </vt:variant>
      <vt:variant>
        <vt:lpwstr/>
      </vt:variant>
      <vt:variant>
        <vt:lpwstr>_Toc227727540</vt:lpwstr>
      </vt:variant>
      <vt:variant>
        <vt:i4>1441842</vt:i4>
      </vt:variant>
      <vt:variant>
        <vt:i4>401</vt:i4>
      </vt:variant>
      <vt:variant>
        <vt:i4>0</vt:i4>
      </vt:variant>
      <vt:variant>
        <vt:i4>5</vt:i4>
      </vt:variant>
      <vt:variant>
        <vt:lpwstr/>
      </vt:variant>
      <vt:variant>
        <vt:lpwstr>_Toc227727539</vt:lpwstr>
      </vt:variant>
      <vt:variant>
        <vt:i4>1441842</vt:i4>
      </vt:variant>
      <vt:variant>
        <vt:i4>395</vt:i4>
      </vt:variant>
      <vt:variant>
        <vt:i4>0</vt:i4>
      </vt:variant>
      <vt:variant>
        <vt:i4>5</vt:i4>
      </vt:variant>
      <vt:variant>
        <vt:lpwstr/>
      </vt:variant>
      <vt:variant>
        <vt:lpwstr>_Toc227727538</vt:lpwstr>
      </vt:variant>
      <vt:variant>
        <vt:i4>1441842</vt:i4>
      </vt:variant>
      <vt:variant>
        <vt:i4>389</vt:i4>
      </vt:variant>
      <vt:variant>
        <vt:i4>0</vt:i4>
      </vt:variant>
      <vt:variant>
        <vt:i4>5</vt:i4>
      </vt:variant>
      <vt:variant>
        <vt:lpwstr/>
      </vt:variant>
      <vt:variant>
        <vt:lpwstr>_Toc227727537</vt:lpwstr>
      </vt:variant>
      <vt:variant>
        <vt:i4>1441842</vt:i4>
      </vt:variant>
      <vt:variant>
        <vt:i4>383</vt:i4>
      </vt:variant>
      <vt:variant>
        <vt:i4>0</vt:i4>
      </vt:variant>
      <vt:variant>
        <vt:i4>5</vt:i4>
      </vt:variant>
      <vt:variant>
        <vt:lpwstr/>
      </vt:variant>
      <vt:variant>
        <vt:lpwstr>_Toc227727536</vt:lpwstr>
      </vt:variant>
      <vt:variant>
        <vt:i4>1441842</vt:i4>
      </vt:variant>
      <vt:variant>
        <vt:i4>377</vt:i4>
      </vt:variant>
      <vt:variant>
        <vt:i4>0</vt:i4>
      </vt:variant>
      <vt:variant>
        <vt:i4>5</vt:i4>
      </vt:variant>
      <vt:variant>
        <vt:lpwstr/>
      </vt:variant>
      <vt:variant>
        <vt:lpwstr>_Toc227727535</vt:lpwstr>
      </vt:variant>
      <vt:variant>
        <vt:i4>1441842</vt:i4>
      </vt:variant>
      <vt:variant>
        <vt:i4>371</vt:i4>
      </vt:variant>
      <vt:variant>
        <vt:i4>0</vt:i4>
      </vt:variant>
      <vt:variant>
        <vt:i4>5</vt:i4>
      </vt:variant>
      <vt:variant>
        <vt:lpwstr/>
      </vt:variant>
      <vt:variant>
        <vt:lpwstr>_Toc227727534</vt:lpwstr>
      </vt:variant>
      <vt:variant>
        <vt:i4>1441842</vt:i4>
      </vt:variant>
      <vt:variant>
        <vt:i4>365</vt:i4>
      </vt:variant>
      <vt:variant>
        <vt:i4>0</vt:i4>
      </vt:variant>
      <vt:variant>
        <vt:i4>5</vt:i4>
      </vt:variant>
      <vt:variant>
        <vt:lpwstr/>
      </vt:variant>
      <vt:variant>
        <vt:lpwstr>_Toc227727533</vt:lpwstr>
      </vt:variant>
      <vt:variant>
        <vt:i4>1441842</vt:i4>
      </vt:variant>
      <vt:variant>
        <vt:i4>359</vt:i4>
      </vt:variant>
      <vt:variant>
        <vt:i4>0</vt:i4>
      </vt:variant>
      <vt:variant>
        <vt:i4>5</vt:i4>
      </vt:variant>
      <vt:variant>
        <vt:lpwstr/>
      </vt:variant>
      <vt:variant>
        <vt:lpwstr>_Toc227727532</vt:lpwstr>
      </vt:variant>
      <vt:variant>
        <vt:i4>1441842</vt:i4>
      </vt:variant>
      <vt:variant>
        <vt:i4>353</vt:i4>
      </vt:variant>
      <vt:variant>
        <vt:i4>0</vt:i4>
      </vt:variant>
      <vt:variant>
        <vt:i4>5</vt:i4>
      </vt:variant>
      <vt:variant>
        <vt:lpwstr/>
      </vt:variant>
      <vt:variant>
        <vt:lpwstr>_Toc227727531</vt:lpwstr>
      </vt:variant>
      <vt:variant>
        <vt:i4>1441842</vt:i4>
      </vt:variant>
      <vt:variant>
        <vt:i4>347</vt:i4>
      </vt:variant>
      <vt:variant>
        <vt:i4>0</vt:i4>
      </vt:variant>
      <vt:variant>
        <vt:i4>5</vt:i4>
      </vt:variant>
      <vt:variant>
        <vt:lpwstr/>
      </vt:variant>
      <vt:variant>
        <vt:lpwstr>_Toc227727530</vt:lpwstr>
      </vt:variant>
      <vt:variant>
        <vt:i4>1507378</vt:i4>
      </vt:variant>
      <vt:variant>
        <vt:i4>341</vt:i4>
      </vt:variant>
      <vt:variant>
        <vt:i4>0</vt:i4>
      </vt:variant>
      <vt:variant>
        <vt:i4>5</vt:i4>
      </vt:variant>
      <vt:variant>
        <vt:lpwstr/>
      </vt:variant>
      <vt:variant>
        <vt:lpwstr>_Toc227727529</vt:lpwstr>
      </vt:variant>
      <vt:variant>
        <vt:i4>1507378</vt:i4>
      </vt:variant>
      <vt:variant>
        <vt:i4>335</vt:i4>
      </vt:variant>
      <vt:variant>
        <vt:i4>0</vt:i4>
      </vt:variant>
      <vt:variant>
        <vt:i4>5</vt:i4>
      </vt:variant>
      <vt:variant>
        <vt:lpwstr/>
      </vt:variant>
      <vt:variant>
        <vt:lpwstr>_Toc227727528</vt:lpwstr>
      </vt:variant>
      <vt:variant>
        <vt:i4>1507378</vt:i4>
      </vt:variant>
      <vt:variant>
        <vt:i4>329</vt:i4>
      </vt:variant>
      <vt:variant>
        <vt:i4>0</vt:i4>
      </vt:variant>
      <vt:variant>
        <vt:i4>5</vt:i4>
      </vt:variant>
      <vt:variant>
        <vt:lpwstr/>
      </vt:variant>
      <vt:variant>
        <vt:lpwstr>_Toc227727527</vt:lpwstr>
      </vt:variant>
      <vt:variant>
        <vt:i4>1507378</vt:i4>
      </vt:variant>
      <vt:variant>
        <vt:i4>323</vt:i4>
      </vt:variant>
      <vt:variant>
        <vt:i4>0</vt:i4>
      </vt:variant>
      <vt:variant>
        <vt:i4>5</vt:i4>
      </vt:variant>
      <vt:variant>
        <vt:lpwstr/>
      </vt:variant>
      <vt:variant>
        <vt:lpwstr>_Toc227727526</vt:lpwstr>
      </vt:variant>
      <vt:variant>
        <vt:i4>1507378</vt:i4>
      </vt:variant>
      <vt:variant>
        <vt:i4>317</vt:i4>
      </vt:variant>
      <vt:variant>
        <vt:i4>0</vt:i4>
      </vt:variant>
      <vt:variant>
        <vt:i4>5</vt:i4>
      </vt:variant>
      <vt:variant>
        <vt:lpwstr/>
      </vt:variant>
      <vt:variant>
        <vt:lpwstr>_Toc227727525</vt:lpwstr>
      </vt:variant>
      <vt:variant>
        <vt:i4>1507378</vt:i4>
      </vt:variant>
      <vt:variant>
        <vt:i4>311</vt:i4>
      </vt:variant>
      <vt:variant>
        <vt:i4>0</vt:i4>
      </vt:variant>
      <vt:variant>
        <vt:i4>5</vt:i4>
      </vt:variant>
      <vt:variant>
        <vt:lpwstr/>
      </vt:variant>
      <vt:variant>
        <vt:lpwstr>_Toc227727524</vt:lpwstr>
      </vt:variant>
      <vt:variant>
        <vt:i4>1507378</vt:i4>
      </vt:variant>
      <vt:variant>
        <vt:i4>305</vt:i4>
      </vt:variant>
      <vt:variant>
        <vt:i4>0</vt:i4>
      </vt:variant>
      <vt:variant>
        <vt:i4>5</vt:i4>
      </vt:variant>
      <vt:variant>
        <vt:lpwstr/>
      </vt:variant>
      <vt:variant>
        <vt:lpwstr>_Toc227727523</vt:lpwstr>
      </vt:variant>
      <vt:variant>
        <vt:i4>1507378</vt:i4>
      </vt:variant>
      <vt:variant>
        <vt:i4>299</vt:i4>
      </vt:variant>
      <vt:variant>
        <vt:i4>0</vt:i4>
      </vt:variant>
      <vt:variant>
        <vt:i4>5</vt:i4>
      </vt:variant>
      <vt:variant>
        <vt:lpwstr/>
      </vt:variant>
      <vt:variant>
        <vt:lpwstr>_Toc227727522</vt:lpwstr>
      </vt:variant>
      <vt:variant>
        <vt:i4>1507378</vt:i4>
      </vt:variant>
      <vt:variant>
        <vt:i4>293</vt:i4>
      </vt:variant>
      <vt:variant>
        <vt:i4>0</vt:i4>
      </vt:variant>
      <vt:variant>
        <vt:i4>5</vt:i4>
      </vt:variant>
      <vt:variant>
        <vt:lpwstr/>
      </vt:variant>
      <vt:variant>
        <vt:lpwstr>_Toc227727521</vt:lpwstr>
      </vt:variant>
      <vt:variant>
        <vt:i4>1507378</vt:i4>
      </vt:variant>
      <vt:variant>
        <vt:i4>287</vt:i4>
      </vt:variant>
      <vt:variant>
        <vt:i4>0</vt:i4>
      </vt:variant>
      <vt:variant>
        <vt:i4>5</vt:i4>
      </vt:variant>
      <vt:variant>
        <vt:lpwstr/>
      </vt:variant>
      <vt:variant>
        <vt:lpwstr>_Toc227727520</vt:lpwstr>
      </vt:variant>
      <vt:variant>
        <vt:i4>1310770</vt:i4>
      </vt:variant>
      <vt:variant>
        <vt:i4>281</vt:i4>
      </vt:variant>
      <vt:variant>
        <vt:i4>0</vt:i4>
      </vt:variant>
      <vt:variant>
        <vt:i4>5</vt:i4>
      </vt:variant>
      <vt:variant>
        <vt:lpwstr/>
      </vt:variant>
      <vt:variant>
        <vt:lpwstr>_Toc227727519</vt:lpwstr>
      </vt:variant>
      <vt:variant>
        <vt:i4>1310770</vt:i4>
      </vt:variant>
      <vt:variant>
        <vt:i4>275</vt:i4>
      </vt:variant>
      <vt:variant>
        <vt:i4>0</vt:i4>
      </vt:variant>
      <vt:variant>
        <vt:i4>5</vt:i4>
      </vt:variant>
      <vt:variant>
        <vt:lpwstr/>
      </vt:variant>
      <vt:variant>
        <vt:lpwstr>_Toc227727518</vt:lpwstr>
      </vt:variant>
      <vt:variant>
        <vt:i4>1310770</vt:i4>
      </vt:variant>
      <vt:variant>
        <vt:i4>269</vt:i4>
      </vt:variant>
      <vt:variant>
        <vt:i4>0</vt:i4>
      </vt:variant>
      <vt:variant>
        <vt:i4>5</vt:i4>
      </vt:variant>
      <vt:variant>
        <vt:lpwstr/>
      </vt:variant>
      <vt:variant>
        <vt:lpwstr>_Toc227727517</vt:lpwstr>
      </vt:variant>
      <vt:variant>
        <vt:i4>1310770</vt:i4>
      </vt:variant>
      <vt:variant>
        <vt:i4>263</vt:i4>
      </vt:variant>
      <vt:variant>
        <vt:i4>0</vt:i4>
      </vt:variant>
      <vt:variant>
        <vt:i4>5</vt:i4>
      </vt:variant>
      <vt:variant>
        <vt:lpwstr/>
      </vt:variant>
      <vt:variant>
        <vt:lpwstr>_Toc227727516</vt:lpwstr>
      </vt:variant>
      <vt:variant>
        <vt:i4>1310770</vt:i4>
      </vt:variant>
      <vt:variant>
        <vt:i4>257</vt:i4>
      </vt:variant>
      <vt:variant>
        <vt:i4>0</vt:i4>
      </vt:variant>
      <vt:variant>
        <vt:i4>5</vt:i4>
      </vt:variant>
      <vt:variant>
        <vt:lpwstr/>
      </vt:variant>
      <vt:variant>
        <vt:lpwstr>_Toc227727515</vt:lpwstr>
      </vt:variant>
      <vt:variant>
        <vt:i4>1310770</vt:i4>
      </vt:variant>
      <vt:variant>
        <vt:i4>251</vt:i4>
      </vt:variant>
      <vt:variant>
        <vt:i4>0</vt:i4>
      </vt:variant>
      <vt:variant>
        <vt:i4>5</vt:i4>
      </vt:variant>
      <vt:variant>
        <vt:lpwstr/>
      </vt:variant>
      <vt:variant>
        <vt:lpwstr>_Toc227727514</vt:lpwstr>
      </vt:variant>
      <vt:variant>
        <vt:i4>1310770</vt:i4>
      </vt:variant>
      <vt:variant>
        <vt:i4>245</vt:i4>
      </vt:variant>
      <vt:variant>
        <vt:i4>0</vt:i4>
      </vt:variant>
      <vt:variant>
        <vt:i4>5</vt:i4>
      </vt:variant>
      <vt:variant>
        <vt:lpwstr/>
      </vt:variant>
      <vt:variant>
        <vt:lpwstr>_Toc227727513</vt:lpwstr>
      </vt:variant>
      <vt:variant>
        <vt:i4>1310770</vt:i4>
      </vt:variant>
      <vt:variant>
        <vt:i4>239</vt:i4>
      </vt:variant>
      <vt:variant>
        <vt:i4>0</vt:i4>
      </vt:variant>
      <vt:variant>
        <vt:i4>5</vt:i4>
      </vt:variant>
      <vt:variant>
        <vt:lpwstr/>
      </vt:variant>
      <vt:variant>
        <vt:lpwstr>_Toc227727512</vt:lpwstr>
      </vt:variant>
      <vt:variant>
        <vt:i4>1310770</vt:i4>
      </vt:variant>
      <vt:variant>
        <vt:i4>233</vt:i4>
      </vt:variant>
      <vt:variant>
        <vt:i4>0</vt:i4>
      </vt:variant>
      <vt:variant>
        <vt:i4>5</vt:i4>
      </vt:variant>
      <vt:variant>
        <vt:lpwstr/>
      </vt:variant>
      <vt:variant>
        <vt:lpwstr>_Toc227727511</vt:lpwstr>
      </vt:variant>
      <vt:variant>
        <vt:i4>1310770</vt:i4>
      </vt:variant>
      <vt:variant>
        <vt:i4>227</vt:i4>
      </vt:variant>
      <vt:variant>
        <vt:i4>0</vt:i4>
      </vt:variant>
      <vt:variant>
        <vt:i4>5</vt:i4>
      </vt:variant>
      <vt:variant>
        <vt:lpwstr/>
      </vt:variant>
      <vt:variant>
        <vt:lpwstr>_Toc227727510</vt:lpwstr>
      </vt:variant>
      <vt:variant>
        <vt:i4>1376306</vt:i4>
      </vt:variant>
      <vt:variant>
        <vt:i4>221</vt:i4>
      </vt:variant>
      <vt:variant>
        <vt:i4>0</vt:i4>
      </vt:variant>
      <vt:variant>
        <vt:i4>5</vt:i4>
      </vt:variant>
      <vt:variant>
        <vt:lpwstr/>
      </vt:variant>
      <vt:variant>
        <vt:lpwstr>_Toc227727509</vt:lpwstr>
      </vt:variant>
      <vt:variant>
        <vt:i4>1376306</vt:i4>
      </vt:variant>
      <vt:variant>
        <vt:i4>215</vt:i4>
      </vt:variant>
      <vt:variant>
        <vt:i4>0</vt:i4>
      </vt:variant>
      <vt:variant>
        <vt:i4>5</vt:i4>
      </vt:variant>
      <vt:variant>
        <vt:lpwstr/>
      </vt:variant>
      <vt:variant>
        <vt:lpwstr>_Toc227727508</vt:lpwstr>
      </vt:variant>
      <vt:variant>
        <vt:i4>1376306</vt:i4>
      </vt:variant>
      <vt:variant>
        <vt:i4>209</vt:i4>
      </vt:variant>
      <vt:variant>
        <vt:i4>0</vt:i4>
      </vt:variant>
      <vt:variant>
        <vt:i4>5</vt:i4>
      </vt:variant>
      <vt:variant>
        <vt:lpwstr/>
      </vt:variant>
      <vt:variant>
        <vt:lpwstr>_Toc227727507</vt:lpwstr>
      </vt:variant>
      <vt:variant>
        <vt:i4>1376306</vt:i4>
      </vt:variant>
      <vt:variant>
        <vt:i4>203</vt:i4>
      </vt:variant>
      <vt:variant>
        <vt:i4>0</vt:i4>
      </vt:variant>
      <vt:variant>
        <vt:i4>5</vt:i4>
      </vt:variant>
      <vt:variant>
        <vt:lpwstr/>
      </vt:variant>
      <vt:variant>
        <vt:lpwstr>_Toc227727506</vt:lpwstr>
      </vt:variant>
      <vt:variant>
        <vt:i4>1376306</vt:i4>
      </vt:variant>
      <vt:variant>
        <vt:i4>197</vt:i4>
      </vt:variant>
      <vt:variant>
        <vt:i4>0</vt:i4>
      </vt:variant>
      <vt:variant>
        <vt:i4>5</vt:i4>
      </vt:variant>
      <vt:variant>
        <vt:lpwstr/>
      </vt:variant>
      <vt:variant>
        <vt:lpwstr>_Toc227727505</vt:lpwstr>
      </vt:variant>
      <vt:variant>
        <vt:i4>1376306</vt:i4>
      </vt:variant>
      <vt:variant>
        <vt:i4>191</vt:i4>
      </vt:variant>
      <vt:variant>
        <vt:i4>0</vt:i4>
      </vt:variant>
      <vt:variant>
        <vt:i4>5</vt:i4>
      </vt:variant>
      <vt:variant>
        <vt:lpwstr/>
      </vt:variant>
      <vt:variant>
        <vt:lpwstr>_Toc227727504</vt:lpwstr>
      </vt:variant>
      <vt:variant>
        <vt:i4>1376306</vt:i4>
      </vt:variant>
      <vt:variant>
        <vt:i4>185</vt:i4>
      </vt:variant>
      <vt:variant>
        <vt:i4>0</vt:i4>
      </vt:variant>
      <vt:variant>
        <vt:i4>5</vt:i4>
      </vt:variant>
      <vt:variant>
        <vt:lpwstr/>
      </vt:variant>
      <vt:variant>
        <vt:lpwstr>_Toc227727503</vt:lpwstr>
      </vt:variant>
      <vt:variant>
        <vt:i4>1376306</vt:i4>
      </vt:variant>
      <vt:variant>
        <vt:i4>179</vt:i4>
      </vt:variant>
      <vt:variant>
        <vt:i4>0</vt:i4>
      </vt:variant>
      <vt:variant>
        <vt:i4>5</vt:i4>
      </vt:variant>
      <vt:variant>
        <vt:lpwstr/>
      </vt:variant>
      <vt:variant>
        <vt:lpwstr>_Toc227727502</vt:lpwstr>
      </vt:variant>
      <vt:variant>
        <vt:i4>1376306</vt:i4>
      </vt:variant>
      <vt:variant>
        <vt:i4>173</vt:i4>
      </vt:variant>
      <vt:variant>
        <vt:i4>0</vt:i4>
      </vt:variant>
      <vt:variant>
        <vt:i4>5</vt:i4>
      </vt:variant>
      <vt:variant>
        <vt:lpwstr/>
      </vt:variant>
      <vt:variant>
        <vt:lpwstr>_Toc227727501</vt:lpwstr>
      </vt:variant>
      <vt:variant>
        <vt:i4>1376306</vt:i4>
      </vt:variant>
      <vt:variant>
        <vt:i4>167</vt:i4>
      </vt:variant>
      <vt:variant>
        <vt:i4>0</vt:i4>
      </vt:variant>
      <vt:variant>
        <vt:i4>5</vt:i4>
      </vt:variant>
      <vt:variant>
        <vt:lpwstr/>
      </vt:variant>
      <vt:variant>
        <vt:lpwstr>_Toc227727500</vt:lpwstr>
      </vt:variant>
      <vt:variant>
        <vt:i4>1835059</vt:i4>
      </vt:variant>
      <vt:variant>
        <vt:i4>161</vt:i4>
      </vt:variant>
      <vt:variant>
        <vt:i4>0</vt:i4>
      </vt:variant>
      <vt:variant>
        <vt:i4>5</vt:i4>
      </vt:variant>
      <vt:variant>
        <vt:lpwstr/>
      </vt:variant>
      <vt:variant>
        <vt:lpwstr>_Toc227727499</vt:lpwstr>
      </vt:variant>
      <vt:variant>
        <vt:i4>1835059</vt:i4>
      </vt:variant>
      <vt:variant>
        <vt:i4>155</vt:i4>
      </vt:variant>
      <vt:variant>
        <vt:i4>0</vt:i4>
      </vt:variant>
      <vt:variant>
        <vt:i4>5</vt:i4>
      </vt:variant>
      <vt:variant>
        <vt:lpwstr/>
      </vt:variant>
      <vt:variant>
        <vt:lpwstr>_Toc227727498</vt:lpwstr>
      </vt:variant>
      <vt:variant>
        <vt:i4>1835059</vt:i4>
      </vt:variant>
      <vt:variant>
        <vt:i4>149</vt:i4>
      </vt:variant>
      <vt:variant>
        <vt:i4>0</vt:i4>
      </vt:variant>
      <vt:variant>
        <vt:i4>5</vt:i4>
      </vt:variant>
      <vt:variant>
        <vt:lpwstr/>
      </vt:variant>
      <vt:variant>
        <vt:lpwstr>_Toc227727497</vt:lpwstr>
      </vt:variant>
      <vt:variant>
        <vt:i4>1835059</vt:i4>
      </vt:variant>
      <vt:variant>
        <vt:i4>143</vt:i4>
      </vt:variant>
      <vt:variant>
        <vt:i4>0</vt:i4>
      </vt:variant>
      <vt:variant>
        <vt:i4>5</vt:i4>
      </vt:variant>
      <vt:variant>
        <vt:lpwstr/>
      </vt:variant>
      <vt:variant>
        <vt:lpwstr>_Toc227727496</vt:lpwstr>
      </vt:variant>
      <vt:variant>
        <vt:i4>1835059</vt:i4>
      </vt:variant>
      <vt:variant>
        <vt:i4>137</vt:i4>
      </vt:variant>
      <vt:variant>
        <vt:i4>0</vt:i4>
      </vt:variant>
      <vt:variant>
        <vt:i4>5</vt:i4>
      </vt:variant>
      <vt:variant>
        <vt:lpwstr/>
      </vt:variant>
      <vt:variant>
        <vt:lpwstr>_Toc227727495</vt:lpwstr>
      </vt:variant>
      <vt:variant>
        <vt:i4>1835059</vt:i4>
      </vt:variant>
      <vt:variant>
        <vt:i4>131</vt:i4>
      </vt:variant>
      <vt:variant>
        <vt:i4>0</vt:i4>
      </vt:variant>
      <vt:variant>
        <vt:i4>5</vt:i4>
      </vt:variant>
      <vt:variant>
        <vt:lpwstr/>
      </vt:variant>
      <vt:variant>
        <vt:lpwstr>_Toc227727494</vt:lpwstr>
      </vt:variant>
      <vt:variant>
        <vt:i4>1835059</vt:i4>
      </vt:variant>
      <vt:variant>
        <vt:i4>125</vt:i4>
      </vt:variant>
      <vt:variant>
        <vt:i4>0</vt:i4>
      </vt:variant>
      <vt:variant>
        <vt:i4>5</vt:i4>
      </vt:variant>
      <vt:variant>
        <vt:lpwstr/>
      </vt:variant>
      <vt:variant>
        <vt:lpwstr>_Toc227727493</vt:lpwstr>
      </vt:variant>
      <vt:variant>
        <vt:i4>1835059</vt:i4>
      </vt:variant>
      <vt:variant>
        <vt:i4>119</vt:i4>
      </vt:variant>
      <vt:variant>
        <vt:i4>0</vt:i4>
      </vt:variant>
      <vt:variant>
        <vt:i4>5</vt:i4>
      </vt:variant>
      <vt:variant>
        <vt:lpwstr/>
      </vt:variant>
      <vt:variant>
        <vt:lpwstr>_Toc227727492</vt:lpwstr>
      </vt:variant>
      <vt:variant>
        <vt:i4>1835059</vt:i4>
      </vt:variant>
      <vt:variant>
        <vt:i4>113</vt:i4>
      </vt:variant>
      <vt:variant>
        <vt:i4>0</vt:i4>
      </vt:variant>
      <vt:variant>
        <vt:i4>5</vt:i4>
      </vt:variant>
      <vt:variant>
        <vt:lpwstr/>
      </vt:variant>
      <vt:variant>
        <vt:lpwstr>_Toc227727491</vt:lpwstr>
      </vt:variant>
      <vt:variant>
        <vt:i4>1835059</vt:i4>
      </vt:variant>
      <vt:variant>
        <vt:i4>107</vt:i4>
      </vt:variant>
      <vt:variant>
        <vt:i4>0</vt:i4>
      </vt:variant>
      <vt:variant>
        <vt:i4>5</vt:i4>
      </vt:variant>
      <vt:variant>
        <vt:lpwstr/>
      </vt:variant>
      <vt:variant>
        <vt:lpwstr>_Toc227727490</vt:lpwstr>
      </vt:variant>
      <vt:variant>
        <vt:i4>1900595</vt:i4>
      </vt:variant>
      <vt:variant>
        <vt:i4>101</vt:i4>
      </vt:variant>
      <vt:variant>
        <vt:i4>0</vt:i4>
      </vt:variant>
      <vt:variant>
        <vt:i4>5</vt:i4>
      </vt:variant>
      <vt:variant>
        <vt:lpwstr/>
      </vt:variant>
      <vt:variant>
        <vt:lpwstr>_Toc227727489</vt:lpwstr>
      </vt:variant>
      <vt:variant>
        <vt:i4>1900595</vt:i4>
      </vt:variant>
      <vt:variant>
        <vt:i4>95</vt:i4>
      </vt:variant>
      <vt:variant>
        <vt:i4>0</vt:i4>
      </vt:variant>
      <vt:variant>
        <vt:i4>5</vt:i4>
      </vt:variant>
      <vt:variant>
        <vt:lpwstr/>
      </vt:variant>
      <vt:variant>
        <vt:lpwstr>_Toc227727488</vt:lpwstr>
      </vt:variant>
      <vt:variant>
        <vt:i4>1900595</vt:i4>
      </vt:variant>
      <vt:variant>
        <vt:i4>89</vt:i4>
      </vt:variant>
      <vt:variant>
        <vt:i4>0</vt:i4>
      </vt:variant>
      <vt:variant>
        <vt:i4>5</vt:i4>
      </vt:variant>
      <vt:variant>
        <vt:lpwstr/>
      </vt:variant>
      <vt:variant>
        <vt:lpwstr>_Toc227727487</vt:lpwstr>
      </vt:variant>
      <vt:variant>
        <vt:i4>1900595</vt:i4>
      </vt:variant>
      <vt:variant>
        <vt:i4>83</vt:i4>
      </vt:variant>
      <vt:variant>
        <vt:i4>0</vt:i4>
      </vt:variant>
      <vt:variant>
        <vt:i4>5</vt:i4>
      </vt:variant>
      <vt:variant>
        <vt:lpwstr/>
      </vt:variant>
      <vt:variant>
        <vt:lpwstr>_Toc227727486</vt:lpwstr>
      </vt:variant>
      <vt:variant>
        <vt:i4>1900595</vt:i4>
      </vt:variant>
      <vt:variant>
        <vt:i4>77</vt:i4>
      </vt:variant>
      <vt:variant>
        <vt:i4>0</vt:i4>
      </vt:variant>
      <vt:variant>
        <vt:i4>5</vt:i4>
      </vt:variant>
      <vt:variant>
        <vt:lpwstr/>
      </vt:variant>
      <vt:variant>
        <vt:lpwstr>_Toc227727485</vt:lpwstr>
      </vt:variant>
      <vt:variant>
        <vt:i4>1900595</vt:i4>
      </vt:variant>
      <vt:variant>
        <vt:i4>71</vt:i4>
      </vt:variant>
      <vt:variant>
        <vt:i4>0</vt:i4>
      </vt:variant>
      <vt:variant>
        <vt:i4>5</vt:i4>
      </vt:variant>
      <vt:variant>
        <vt:lpwstr/>
      </vt:variant>
      <vt:variant>
        <vt:lpwstr>_Toc227727484</vt:lpwstr>
      </vt:variant>
      <vt:variant>
        <vt:i4>1900595</vt:i4>
      </vt:variant>
      <vt:variant>
        <vt:i4>65</vt:i4>
      </vt:variant>
      <vt:variant>
        <vt:i4>0</vt:i4>
      </vt:variant>
      <vt:variant>
        <vt:i4>5</vt:i4>
      </vt:variant>
      <vt:variant>
        <vt:lpwstr/>
      </vt:variant>
      <vt:variant>
        <vt:lpwstr>_Toc227727483</vt:lpwstr>
      </vt:variant>
      <vt:variant>
        <vt:i4>1900595</vt:i4>
      </vt:variant>
      <vt:variant>
        <vt:i4>59</vt:i4>
      </vt:variant>
      <vt:variant>
        <vt:i4>0</vt:i4>
      </vt:variant>
      <vt:variant>
        <vt:i4>5</vt:i4>
      </vt:variant>
      <vt:variant>
        <vt:lpwstr/>
      </vt:variant>
      <vt:variant>
        <vt:lpwstr>_Toc227727482</vt:lpwstr>
      </vt:variant>
      <vt:variant>
        <vt:i4>1900595</vt:i4>
      </vt:variant>
      <vt:variant>
        <vt:i4>53</vt:i4>
      </vt:variant>
      <vt:variant>
        <vt:i4>0</vt:i4>
      </vt:variant>
      <vt:variant>
        <vt:i4>5</vt:i4>
      </vt:variant>
      <vt:variant>
        <vt:lpwstr/>
      </vt:variant>
      <vt:variant>
        <vt:lpwstr>_Toc227727481</vt:lpwstr>
      </vt:variant>
      <vt:variant>
        <vt:i4>1900595</vt:i4>
      </vt:variant>
      <vt:variant>
        <vt:i4>47</vt:i4>
      </vt:variant>
      <vt:variant>
        <vt:i4>0</vt:i4>
      </vt:variant>
      <vt:variant>
        <vt:i4>5</vt:i4>
      </vt:variant>
      <vt:variant>
        <vt:lpwstr/>
      </vt:variant>
      <vt:variant>
        <vt:lpwstr>_Toc227727480</vt:lpwstr>
      </vt:variant>
      <vt:variant>
        <vt:i4>1179699</vt:i4>
      </vt:variant>
      <vt:variant>
        <vt:i4>41</vt:i4>
      </vt:variant>
      <vt:variant>
        <vt:i4>0</vt:i4>
      </vt:variant>
      <vt:variant>
        <vt:i4>5</vt:i4>
      </vt:variant>
      <vt:variant>
        <vt:lpwstr/>
      </vt:variant>
      <vt:variant>
        <vt:lpwstr>_Toc227727479</vt:lpwstr>
      </vt:variant>
      <vt:variant>
        <vt:i4>1179699</vt:i4>
      </vt:variant>
      <vt:variant>
        <vt:i4>35</vt:i4>
      </vt:variant>
      <vt:variant>
        <vt:i4>0</vt:i4>
      </vt:variant>
      <vt:variant>
        <vt:i4>5</vt:i4>
      </vt:variant>
      <vt:variant>
        <vt:lpwstr/>
      </vt:variant>
      <vt:variant>
        <vt:lpwstr>_Toc227727478</vt:lpwstr>
      </vt:variant>
      <vt:variant>
        <vt:i4>1179699</vt:i4>
      </vt:variant>
      <vt:variant>
        <vt:i4>29</vt:i4>
      </vt:variant>
      <vt:variant>
        <vt:i4>0</vt:i4>
      </vt:variant>
      <vt:variant>
        <vt:i4>5</vt:i4>
      </vt:variant>
      <vt:variant>
        <vt:lpwstr/>
      </vt:variant>
      <vt:variant>
        <vt:lpwstr>_Toc227727477</vt:lpwstr>
      </vt:variant>
      <vt:variant>
        <vt:i4>1179699</vt:i4>
      </vt:variant>
      <vt:variant>
        <vt:i4>23</vt:i4>
      </vt:variant>
      <vt:variant>
        <vt:i4>0</vt:i4>
      </vt:variant>
      <vt:variant>
        <vt:i4>5</vt:i4>
      </vt:variant>
      <vt:variant>
        <vt:lpwstr/>
      </vt:variant>
      <vt:variant>
        <vt:lpwstr>_Toc227727476</vt:lpwstr>
      </vt:variant>
      <vt:variant>
        <vt:i4>1179699</vt:i4>
      </vt:variant>
      <vt:variant>
        <vt:i4>17</vt:i4>
      </vt:variant>
      <vt:variant>
        <vt:i4>0</vt:i4>
      </vt:variant>
      <vt:variant>
        <vt:i4>5</vt:i4>
      </vt:variant>
      <vt:variant>
        <vt:lpwstr/>
      </vt:variant>
      <vt:variant>
        <vt:lpwstr>_Toc227727475</vt:lpwstr>
      </vt:variant>
      <vt:variant>
        <vt:i4>1179699</vt:i4>
      </vt:variant>
      <vt:variant>
        <vt:i4>11</vt:i4>
      </vt:variant>
      <vt:variant>
        <vt:i4>0</vt:i4>
      </vt:variant>
      <vt:variant>
        <vt:i4>5</vt:i4>
      </vt:variant>
      <vt:variant>
        <vt:lpwstr/>
      </vt:variant>
      <vt:variant>
        <vt:lpwstr>_Toc227727474</vt:lpwstr>
      </vt:variant>
      <vt:variant>
        <vt:i4>1179699</vt:i4>
      </vt:variant>
      <vt:variant>
        <vt:i4>5</vt:i4>
      </vt:variant>
      <vt:variant>
        <vt:i4>0</vt:i4>
      </vt:variant>
      <vt:variant>
        <vt:i4>5</vt:i4>
      </vt:variant>
      <vt:variant>
        <vt:lpwstr/>
      </vt:variant>
      <vt:variant>
        <vt:lpwstr>_Toc227727473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Electric Service Reliability Report Final</dc:title>
  <dc:subject>WUTC Annual 2007 Report</dc:subject>
  <dc:creator>Mark Weiss</dc:creator>
  <cp:keywords>WUTC report</cp:keywords>
  <dc:description>This is the draft version for the WUTC report that has not been reviewed by the WUTC staff and their comments included.</dc:description>
  <cp:lastModifiedBy>sbb5719</cp:lastModifiedBy>
  <cp:revision>110</cp:revision>
  <cp:lastPrinted>2015-04-29T17:23:00Z</cp:lastPrinted>
  <dcterms:created xsi:type="dcterms:W3CDTF">2015-08-20T21:51:00Z</dcterms:created>
  <dcterms:modified xsi:type="dcterms:W3CDTF">2015-12-23T17:02:00Z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0x0101006E56B4D1795A2E4DB2F0B01679ED314A00829DCE172EAD3241A293BEC6BCA6ACE9</vt:lpwstr>
  </property>
  <property fmtid="{D5CDD505-2E9C-101B-9397-08002B2CF9AE}" pid="3" name="_docset_NoMedatataSyncRequired">
    <vt:lpwstr>False</vt:lpwstr>
  </property>
</Properties>
</file>