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A6" w:rsidRPr="0068556F" w:rsidRDefault="00BD163D" w:rsidP="0068556F">
      <w:pPr>
        <w:spacing w:before="2" w:after="0"/>
        <w:ind w:left="720" w:right="180"/>
      </w:pPr>
      <w:r w:rsidRPr="0068556F">
        <w:rPr>
          <w:noProof/>
          <w:sz w:val="22"/>
          <w:szCs w:val="22"/>
        </w:rPr>
        <mc:AlternateContent>
          <mc:Choice Requires="wpg">
            <w:drawing>
              <wp:anchor distT="0" distB="0" distL="114300" distR="114300" simplePos="0" relativeHeight="251684351" behindDoc="1" locked="0" layoutInCell="1" allowOverlap="1" wp14:anchorId="5FB8671A" wp14:editId="40582EEE">
                <wp:simplePos x="0" y="0"/>
                <wp:positionH relativeFrom="page">
                  <wp:posOffset>474980</wp:posOffset>
                </wp:positionH>
                <wp:positionV relativeFrom="page">
                  <wp:posOffset>474980</wp:posOffset>
                </wp:positionV>
                <wp:extent cx="6863080" cy="9196705"/>
                <wp:effectExtent l="0" t="0" r="13970" b="4445"/>
                <wp:wrapNone/>
                <wp:docPr id="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9196705"/>
                          <a:chOff x="752" y="752"/>
                          <a:chExt cx="10808" cy="14483"/>
                        </a:xfrm>
                      </wpg:grpSpPr>
                      <wpg:grpSp>
                        <wpg:cNvPr id="456" name="Group 3"/>
                        <wpg:cNvGrpSpPr>
                          <a:grpSpLocks/>
                        </wpg:cNvGrpSpPr>
                        <wpg:grpSpPr bwMode="auto">
                          <a:xfrm>
                            <a:off x="936" y="936"/>
                            <a:ext cx="10434" cy="14124"/>
                            <a:chOff x="936" y="936"/>
                            <a:chExt cx="10434" cy="14124"/>
                          </a:xfrm>
                        </wpg:grpSpPr>
                        <wps:wsp>
                          <wps:cNvPr id="458" name="Freeform 4"/>
                          <wps:cNvSpPr>
                            <a:spLocks/>
                          </wps:cNvSpPr>
                          <wps:spPr bwMode="auto">
                            <a:xfrm>
                              <a:off x="936" y="936"/>
                              <a:ext cx="10434" cy="14124"/>
                            </a:xfrm>
                            <a:custGeom>
                              <a:avLst/>
                              <a:gdLst>
                                <a:gd name="T0" fmla="+- 0 936 936"/>
                                <a:gd name="T1" fmla="*/ T0 w 10434"/>
                                <a:gd name="T2" fmla="+- 0 15060 936"/>
                                <a:gd name="T3" fmla="*/ 15060 h 14124"/>
                                <a:gd name="T4" fmla="+- 0 11370 936"/>
                                <a:gd name="T5" fmla="*/ T4 w 10434"/>
                                <a:gd name="T6" fmla="+- 0 15060 936"/>
                                <a:gd name="T7" fmla="*/ 15060 h 14124"/>
                                <a:gd name="T8" fmla="+- 0 11370 936"/>
                                <a:gd name="T9" fmla="*/ T8 w 10434"/>
                                <a:gd name="T10" fmla="+- 0 936 936"/>
                                <a:gd name="T11" fmla="*/ 936 h 14124"/>
                                <a:gd name="T12" fmla="+- 0 936 936"/>
                                <a:gd name="T13" fmla="*/ T12 w 10434"/>
                                <a:gd name="T14" fmla="+- 0 936 936"/>
                                <a:gd name="T15" fmla="*/ 936 h 14124"/>
                                <a:gd name="T16" fmla="+- 0 936 936"/>
                                <a:gd name="T17" fmla="*/ T16 w 10434"/>
                                <a:gd name="T18" fmla="+- 0 15060 936"/>
                                <a:gd name="T19" fmla="*/ 15060 h 14124"/>
                              </a:gdLst>
                              <a:ahLst/>
                              <a:cxnLst>
                                <a:cxn ang="0">
                                  <a:pos x="T1" y="T3"/>
                                </a:cxn>
                                <a:cxn ang="0">
                                  <a:pos x="T5" y="T7"/>
                                </a:cxn>
                                <a:cxn ang="0">
                                  <a:pos x="T9" y="T11"/>
                                </a:cxn>
                                <a:cxn ang="0">
                                  <a:pos x="T13" y="T15"/>
                                </a:cxn>
                                <a:cxn ang="0">
                                  <a:pos x="T17" y="T19"/>
                                </a:cxn>
                              </a:cxnLst>
                              <a:rect l="0" t="0" r="r" b="b"/>
                              <a:pathLst>
                                <a:path w="10434" h="14124">
                                  <a:moveTo>
                                    <a:pt x="0" y="14124"/>
                                  </a:moveTo>
                                  <a:lnTo>
                                    <a:pt x="10434" y="14124"/>
                                  </a:lnTo>
                                  <a:lnTo>
                                    <a:pt x="10434" y="0"/>
                                  </a:lnTo>
                                  <a:lnTo>
                                    <a:pt x="0" y="0"/>
                                  </a:lnTo>
                                  <a:lnTo>
                                    <a:pt x="0" y="1412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
                        <wpg:cNvGrpSpPr>
                          <a:grpSpLocks/>
                        </wpg:cNvGrpSpPr>
                        <wpg:grpSpPr bwMode="auto">
                          <a:xfrm>
                            <a:off x="792" y="792"/>
                            <a:ext cx="10728" cy="14403"/>
                            <a:chOff x="792" y="792"/>
                            <a:chExt cx="10728" cy="14403"/>
                          </a:xfrm>
                        </wpg:grpSpPr>
                        <wps:wsp>
                          <wps:cNvPr id="460" name="Freeform 6"/>
                          <wps:cNvSpPr>
                            <a:spLocks/>
                          </wps:cNvSpPr>
                          <wps:spPr bwMode="auto">
                            <a:xfrm>
                              <a:off x="792" y="792"/>
                              <a:ext cx="10728" cy="14403"/>
                            </a:xfrm>
                            <a:custGeom>
                              <a:avLst/>
                              <a:gdLst>
                                <a:gd name="T0" fmla="+- 0 792 792"/>
                                <a:gd name="T1" fmla="*/ T0 w 10728"/>
                                <a:gd name="T2" fmla="+- 0 15195 792"/>
                                <a:gd name="T3" fmla="*/ 15195 h 14403"/>
                                <a:gd name="T4" fmla="+- 0 11520 792"/>
                                <a:gd name="T5" fmla="*/ T4 w 10728"/>
                                <a:gd name="T6" fmla="+- 0 15195 792"/>
                                <a:gd name="T7" fmla="*/ 15195 h 14403"/>
                                <a:gd name="T8" fmla="+- 0 11520 792"/>
                                <a:gd name="T9" fmla="*/ T8 w 10728"/>
                                <a:gd name="T10" fmla="+- 0 792 792"/>
                                <a:gd name="T11" fmla="*/ 792 h 14403"/>
                                <a:gd name="T12" fmla="+- 0 792 792"/>
                                <a:gd name="T13" fmla="*/ T12 w 10728"/>
                                <a:gd name="T14" fmla="+- 0 792 792"/>
                                <a:gd name="T15" fmla="*/ 792 h 14403"/>
                                <a:gd name="T16" fmla="+- 0 792 792"/>
                                <a:gd name="T17" fmla="*/ T16 w 10728"/>
                                <a:gd name="T18" fmla="+- 0 15195 792"/>
                                <a:gd name="T19" fmla="*/ 15195 h 14403"/>
                              </a:gdLst>
                              <a:ahLst/>
                              <a:cxnLst>
                                <a:cxn ang="0">
                                  <a:pos x="T1" y="T3"/>
                                </a:cxn>
                                <a:cxn ang="0">
                                  <a:pos x="T5" y="T7"/>
                                </a:cxn>
                                <a:cxn ang="0">
                                  <a:pos x="T9" y="T11"/>
                                </a:cxn>
                                <a:cxn ang="0">
                                  <a:pos x="T13" y="T15"/>
                                </a:cxn>
                                <a:cxn ang="0">
                                  <a:pos x="T17" y="T19"/>
                                </a:cxn>
                              </a:cxnLst>
                              <a:rect l="0" t="0" r="r" b="b"/>
                              <a:pathLst>
                                <a:path w="10728" h="14403">
                                  <a:moveTo>
                                    <a:pt x="0" y="14403"/>
                                  </a:moveTo>
                                  <a:lnTo>
                                    <a:pt x="10728" y="14403"/>
                                  </a:lnTo>
                                  <a:lnTo>
                                    <a:pt x="10728" y="0"/>
                                  </a:lnTo>
                                  <a:lnTo>
                                    <a:pt x="0" y="0"/>
                                  </a:lnTo>
                                  <a:lnTo>
                                    <a:pt x="0" y="14403"/>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1"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59" y="2138"/>
                              <a:ext cx="8355" cy="34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4pt;margin-top:37.4pt;width:540.4pt;height:724.15pt;z-index:-251632129;mso-position-horizontal-relative:page;mso-position-vertical-relative:page" coordorigin="752,752" coordsize="10808,14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C/jh+1NfwfHvTr3w9P52i+GJ3tvJVvkvGPyzk47EfKp/2c175+1n8ZP8A&#10;hVfw7ktLC48vxBrSvbWpX78UeP3k3/AQQB7sK/NmvpcqwamnWqLTZfqflHGWeTw84YLDStJNSk10&#10;trFfq/kfsL4X8R2Pi/w/Y61pk32jT7+BLiCTGNysMjI7H1FbNfEv7Cnxk+zzz/D3VLgiKVnudKaR&#10;vuv1khH1++P+Bf3q+2q8XFYd4aq6b+Xofe5PmUM1wcMTHfZrs1uv1XkFFFFch7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">
                <v:group id="Group 3" o:spid="_x0000_s1027" style="position:absolute;left:936;top:936;width:10434;height:14124" coordorigin="936,936" coordsize="10434,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 o:spid="_x0000_s1028" style="position:absolute;left:936;top:936;width:10434;height:14124;visibility:visible;mso-wrap-style:square;v-text-anchor:top" coordsize="10434,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QesMA&#10;AADcAAAADwAAAGRycy9kb3ducmV2LnhtbERPy2qDQBTdF/IPwy10E+poaEIxmUgaCHVRaF7g9uLc&#10;qNS5Y50x2r/vLApdHs57k02mFXfqXWNZQRLFIIhLqxuuFFwvh+dXEM4ja2wtk4IfcpBtZw8bTLUd&#10;+UT3s69ECGGXooLa+y6V0pU1GXSR7YgDd7O9QR9gX0nd4xjCTSsXcbySBhsODTV2tK+p/DoPRsH3&#10;x+fxmlxyVxTkFnN8G95PNCj19Djt1iA8Tf5f/OfOtYKXZVgb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QesMAAADcAAAADwAAAAAAAAAAAAAAAACYAgAAZHJzL2Rv&#10;d25yZXYueG1sUEsFBgAAAAAEAAQA9QAAAIgDAAAAAA==&#10;" path="m,14124r10434,l10434,,,,,14124xe" filled="f" strokeweight="2pt">
                    <v:path arrowok="t" o:connecttype="custom" o:connectlocs="0,15060;10434,15060;10434,936;0,936;0,15060" o:connectangles="0,0,0,0,0"/>
                  </v:shape>
                </v:group>
                <v:group id="Group 5" o:spid="_x0000_s1029" style="position:absolute;left:792;top:792;width:10728;height:14403" coordorigin="792,792" coordsize="10728,14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6" o:spid="_x0000_s1030" style="position:absolute;left:792;top:792;width:10728;height:14403;visibility:visible;mso-wrap-style:square;v-text-anchor:top" coordsize="10728,1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ocMA&#10;AADcAAAADwAAAGRycy9kb3ducmV2LnhtbERP3WrCMBS+F/YO4Qx2N9ONTWdtKmWguAvRVR/g0Bzb&#10;suSkNNHWPf1yMfDy4/vPVqM14kq9bx0reJkmIIgrp1uuFZyO6+cPED4gazSOScGNPKzyh0mGqXYD&#10;f9O1DLWIIexTVNCE0KVS+qohi37qOuLInV1vMUTY11L3OMRwa+RrksykxZZjQ4MdfTZU/ZQXq2B3&#10;MH5Xufmm2Ay/2uzL98Wp+FLq6XEsliACjeEu/ndvtYK3WZwfz8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uocMAAADcAAAADwAAAAAAAAAAAAAAAACYAgAAZHJzL2Rv&#10;d25yZXYueG1sUEsFBgAAAAAEAAQA9QAAAIgDAAAAAA==&#10;" path="m,14403r10728,l10728,,,,,14403xe" filled="f" strokeweight="4pt">
                    <v:path arrowok="t" o:connecttype="custom" o:connectlocs="0,15195;10728,15195;10728,792;0,792;0,151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2059;top:2138;width:8355;height:3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LLYXIAAAA3AAAAA8AAABkcnMvZG93bnJldi54bWxEj0FrwkAUhO9C/8PyCl6KbrRFJbqKiC0W&#10;C9W0CN6e2dckNPs2ZFcT/31XKHgcZuYbZrZoTSkuVLvCsoJBPwJBnFpdcKbg++u1NwHhPLLG0jIp&#10;uJKDxfyhM8NY24b3dEl8JgKEXYwKcu+rWEqX5mTQ9W1FHLwfWxv0QdaZ1DU2AW5KOYyikTRYcFjI&#10;saJVTulvcjYKPndPzWo7+Ri/ydN5eNisq+T5/ahU97FdTkF4av09/N/eaAUvowHczoQjIO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iy2FyAAAANwAAAAPAAAAAAAAAAAA&#10;AAAAAJ8CAABkcnMvZG93bnJldi54bWxQSwUGAAAAAAQABAD3AAAAlAMAAAAA&#10;">
                    <v:imagedata r:id="rId16" o:title=""/>
                  </v:shape>
                </v:group>
                <w10:wrap anchorx="page" anchory="page"/>
              </v:group>
            </w:pict>
          </mc:Fallback>
        </mc:AlternateContent>
      </w:r>
    </w:p>
    <w:p w:rsidR="005A43A6" w:rsidRPr="0068556F" w:rsidRDefault="005A43A6" w:rsidP="0068556F">
      <w:pPr>
        <w:spacing w:before="3" w:after="0"/>
        <w:ind w:right="180"/>
        <w:rPr>
          <w:sz w:val="19"/>
          <w:szCs w:val="19"/>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Pr="0068556F" w:rsidRDefault="005A43A6" w:rsidP="0068556F">
      <w:pPr>
        <w:spacing w:after="0"/>
        <w:ind w:right="180"/>
        <w:rPr>
          <w:sz w:val="20"/>
          <w:szCs w:val="20"/>
        </w:rPr>
      </w:pPr>
    </w:p>
    <w:p w:rsidR="005A43A6" w:rsidRDefault="005A43A6" w:rsidP="0068556F">
      <w:pPr>
        <w:spacing w:after="0"/>
        <w:ind w:right="180"/>
        <w:rPr>
          <w:sz w:val="20"/>
          <w:szCs w:val="20"/>
        </w:rPr>
      </w:pPr>
    </w:p>
    <w:p w:rsidR="0068556F" w:rsidRDefault="0068556F" w:rsidP="0068556F">
      <w:pPr>
        <w:spacing w:after="0"/>
        <w:ind w:right="180"/>
        <w:rPr>
          <w:sz w:val="20"/>
          <w:szCs w:val="20"/>
        </w:rPr>
      </w:pPr>
    </w:p>
    <w:p w:rsidR="005A43A6" w:rsidRPr="0068556F" w:rsidRDefault="00BD163D" w:rsidP="0068556F">
      <w:pPr>
        <w:spacing w:after="0"/>
        <w:ind w:right="-10"/>
        <w:jc w:val="center"/>
        <w:rPr>
          <w:rFonts w:eastAsia="Arial"/>
          <w:b/>
          <w:bCs/>
          <w:spacing w:val="1"/>
          <w:w w:val="99"/>
          <w:position w:val="-1"/>
          <w:sz w:val="72"/>
          <w:szCs w:val="52"/>
        </w:rPr>
      </w:pPr>
      <w:r w:rsidRPr="0068556F">
        <w:rPr>
          <w:noProof/>
          <w:sz w:val="20"/>
          <w:szCs w:val="20"/>
        </w:rPr>
        <w:drawing>
          <wp:anchor distT="0" distB="0" distL="114300" distR="114300" simplePos="0" relativeHeight="251686399" behindDoc="1" locked="0" layoutInCell="1" allowOverlap="1" wp14:anchorId="375927E7" wp14:editId="725CA77A">
            <wp:simplePos x="0" y="0"/>
            <wp:positionH relativeFrom="margin">
              <wp:posOffset>3786505</wp:posOffset>
            </wp:positionH>
            <wp:positionV relativeFrom="margin">
              <wp:posOffset>4219575</wp:posOffset>
            </wp:positionV>
            <wp:extent cx="2564765" cy="3585845"/>
            <wp:effectExtent l="0" t="0" r="6985" b="0"/>
            <wp:wrapTight wrapText="bothSides">
              <wp:wrapPolygon edited="1">
                <wp:start x="3899" y="1345"/>
                <wp:lineTo x="1580" y="19607"/>
                <wp:lineTo x="19784" y="20319"/>
                <wp:lineTo x="19152" y="1978"/>
                <wp:lineTo x="3899" y="1345"/>
              </wp:wrapPolygon>
            </wp:wrapTight>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7486422Medium[1].jpg"/>
                    <pic:cNvPicPr/>
                  </pic:nvPicPr>
                  <pic:blipFill rotWithShape="1">
                    <a:blip r:embed="rId17" cstate="print">
                      <a:extLst>
                        <a:ext uri="{28A0092B-C50C-407E-A947-70E740481C1C}">
                          <a14:useLocalDpi xmlns:a14="http://schemas.microsoft.com/office/drawing/2010/main" val="0"/>
                        </a:ext>
                      </a:extLst>
                    </a:blip>
                    <a:srcRect l="7730" t="6087" r="8787" b="6374"/>
                    <a:stretch/>
                  </pic:blipFill>
                  <pic:spPr bwMode="auto">
                    <a:xfrm>
                      <a:off x="0" y="0"/>
                      <a:ext cx="2564765" cy="358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163D" w:rsidRPr="0068556F" w:rsidRDefault="00BD163D" w:rsidP="0068556F">
      <w:pPr>
        <w:spacing w:after="0"/>
        <w:ind w:right="-10"/>
        <w:jc w:val="center"/>
        <w:rPr>
          <w:rFonts w:eastAsia="Arial"/>
          <w:b/>
          <w:bCs/>
          <w:spacing w:val="1"/>
          <w:w w:val="99"/>
          <w:position w:val="-1"/>
          <w:sz w:val="72"/>
          <w:szCs w:val="52"/>
        </w:rPr>
      </w:pPr>
    </w:p>
    <w:p w:rsidR="00BD163D" w:rsidRPr="0068556F" w:rsidRDefault="00BD163D" w:rsidP="0068556F">
      <w:pPr>
        <w:spacing w:after="0"/>
        <w:ind w:right="-10"/>
        <w:jc w:val="center"/>
        <w:rPr>
          <w:rFonts w:eastAsia="Arial"/>
          <w:b/>
          <w:bCs/>
          <w:spacing w:val="1"/>
          <w:w w:val="99"/>
          <w:position w:val="-1"/>
          <w:sz w:val="72"/>
          <w:szCs w:val="52"/>
        </w:rPr>
      </w:pPr>
    </w:p>
    <w:p w:rsidR="00BD163D" w:rsidRPr="0068556F" w:rsidRDefault="00BD163D" w:rsidP="0068556F">
      <w:pPr>
        <w:spacing w:after="0"/>
        <w:ind w:right="-10"/>
        <w:rPr>
          <w:rFonts w:eastAsia="Arial"/>
          <w:b/>
          <w:bCs/>
          <w:spacing w:val="1"/>
          <w:w w:val="99"/>
          <w:position w:val="-1"/>
          <w:sz w:val="72"/>
          <w:szCs w:val="52"/>
        </w:rPr>
      </w:pPr>
      <w:r w:rsidRPr="0068556F">
        <w:rPr>
          <w:rFonts w:eastAsia="Arial"/>
          <w:b/>
          <w:bCs/>
          <w:spacing w:val="1"/>
          <w:w w:val="99"/>
          <w:position w:val="-1"/>
          <w:sz w:val="72"/>
          <w:szCs w:val="52"/>
        </w:rPr>
        <w:t>2016</w:t>
      </w:r>
    </w:p>
    <w:p w:rsidR="005A43A6" w:rsidRPr="0068556F" w:rsidRDefault="00BC6D55" w:rsidP="0068556F">
      <w:pPr>
        <w:spacing w:after="0"/>
        <w:ind w:right="-10"/>
        <w:rPr>
          <w:rFonts w:eastAsia="Arial"/>
          <w:b/>
          <w:bCs/>
          <w:w w:val="99"/>
          <w:position w:val="-1"/>
          <w:sz w:val="64"/>
          <w:szCs w:val="64"/>
        </w:rPr>
      </w:pPr>
      <w:r w:rsidRPr="0068556F">
        <w:rPr>
          <w:rFonts w:eastAsia="Arial"/>
          <w:b/>
          <w:bCs/>
          <w:spacing w:val="-1"/>
          <w:position w:val="-1"/>
          <w:sz w:val="64"/>
          <w:szCs w:val="64"/>
        </w:rPr>
        <w:t xml:space="preserve">Washington </w:t>
      </w:r>
      <w:r w:rsidRPr="0068556F">
        <w:rPr>
          <w:rFonts w:eastAsia="Arial"/>
          <w:b/>
          <w:bCs/>
          <w:spacing w:val="-1"/>
          <w:position w:val="-1"/>
          <w:sz w:val="64"/>
          <w:szCs w:val="64"/>
        </w:rPr>
        <w:br/>
      </w:r>
      <w:r w:rsidR="00A813B9" w:rsidRPr="0068556F">
        <w:rPr>
          <w:rFonts w:eastAsia="Arial"/>
          <w:b/>
          <w:bCs/>
          <w:spacing w:val="-1"/>
          <w:position w:val="-1"/>
          <w:sz w:val="64"/>
          <w:szCs w:val="64"/>
        </w:rPr>
        <w:t>Conservation Plan</w:t>
      </w:r>
    </w:p>
    <w:p w:rsidR="00815C10" w:rsidRPr="0068556F" w:rsidRDefault="00815C10" w:rsidP="0068556F">
      <w:pPr>
        <w:spacing w:before="1" w:after="0"/>
        <w:ind w:right="-10"/>
        <w:rPr>
          <w:sz w:val="10"/>
          <w:szCs w:val="10"/>
        </w:rPr>
      </w:pPr>
    </w:p>
    <w:p w:rsidR="00815C10" w:rsidRPr="0068556F" w:rsidRDefault="00815C10" w:rsidP="0068556F">
      <w:pPr>
        <w:spacing w:after="0"/>
        <w:ind w:right="-10"/>
        <w:rPr>
          <w:sz w:val="20"/>
          <w:szCs w:val="20"/>
        </w:rPr>
      </w:pPr>
    </w:p>
    <w:p w:rsidR="00815C10" w:rsidRPr="0068556F" w:rsidRDefault="00815C10" w:rsidP="0068556F">
      <w:pPr>
        <w:spacing w:after="0"/>
        <w:ind w:right="180"/>
        <w:rPr>
          <w:sz w:val="20"/>
          <w:szCs w:val="20"/>
        </w:rPr>
      </w:pPr>
    </w:p>
    <w:p w:rsidR="00BC6D55" w:rsidRPr="0068556F" w:rsidRDefault="00BC6D55" w:rsidP="0068556F">
      <w:pPr>
        <w:widowControl/>
        <w:spacing w:after="0"/>
        <w:rPr>
          <w:sz w:val="20"/>
          <w:szCs w:val="20"/>
        </w:rPr>
      </w:pPr>
      <w:r w:rsidRPr="0068556F">
        <w:rPr>
          <w:sz w:val="20"/>
          <w:szCs w:val="20"/>
        </w:rPr>
        <w:br w:type="page"/>
      </w:r>
    </w:p>
    <w:p w:rsidR="00CD3911" w:rsidRPr="008F61E0" w:rsidRDefault="0003068E" w:rsidP="008F61E0">
      <w:pPr>
        <w:pStyle w:val="TOC1"/>
        <w:spacing w:line="276" w:lineRule="auto"/>
        <w:jc w:val="center"/>
        <w:rPr>
          <w:rFonts w:ascii="Arial" w:eastAsia="Arial" w:hAnsi="Arial" w:cs="Arial"/>
          <w:b/>
          <w:bCs/>
          <w:spacing w:val="-3"/>
          <w:sz w:val="28"/>
        </w:rPr>
      </w:pPr>
      <w:r w:rsidRPr="0068556F">
        <w:rPr>
          <w:rFonts w:ascii="Arial" w:eastAsia="Arial" w:hAnsi="Arial" w:cs="Arial"/>
          <w:b/>
          <w:bCs/>
          <w:spacing w:val="-3"/>
          <w:sz w:val="28"/>
        </w:rPr>
        <w:lastRenderedPageBreak/>
        <w:t>Table of Contents</w:t>
      </w:r>
    </w:p>
    <w:p w:rsidR="008F61E0" w:rsidRPr="008F61E0" w:rsidRDefault="000A4974" w:rsidP="008F61E0">
      <w:pPr>
        <w:pStyle w:val="TOC1"/>
        <w:tabs>
          <w:tab w:val="clear" w:pos="9360"/>
          <w:tab w:val="right" w:leader="dot" w:pos="9720"/>
        </w:tabs>
        <w:spacing w:before="0"/>
        <w:ind w:right="-14"/>
        <w:contextualSpacing/>
        <w:rPr>
          <w:rFonts w:ascii="Arial" w:eastAsiaTheme="minorEastAsia" w:hAnsi="Arial" w:cs="Arial"/>
          <w:noProof/>
          <w:sz w:val="22"/>
          <w:szCs w:val="22"/>
        </w:rPr>
      </w:pPr>
      <w:r w:rsidRPr="0068556F">
        <w:rPr>
          <w:rFonts w:ascii="Arial" w:eastAsia="Arial" w:hAnsi="Arial" w:cs="Arial"/>
          <w:b/>
          <w:bCs/>
          <w:spacing w:val="-3"/>
          <w:sz w:val="28"/>
        </w:rPr>
        <w:fldChar w:fldCharType="begin"/>
      </w:r>
      <w:r w:rsidRPr="0068556F">
        <w:rPr>
          <w:rFonts w:ascii="Arial" w:eastAsia="Arial" w:hAnsi="Arial" w:cs="Arial"/>
          <w:b/>
          <w:bCs/>
          <w:spacing w:val="-3"/>
          <w:sz w:val="28"/>
        </w:rPr>
        <w:instrText xml:space="preserve"> TOC \o "1-3" \h \z \u </w:instrText>
      </w:r>
      <w:r w:rsidRPr="0068556F">
        <w:rPr>
          <w:rFonts w:ascii="Arial" w:eastAsia="Arial" w:hAnsi="Arial" w:cs="Arial"/>
          <w:b/>
          <w:bCs/>
          <w:spacing w:val="-3"/>
          <w:sz w:val="28"/>
        </w:rPr>
        <w:fldChar w:fldCharType="separate"/>
      </w:r>
      <w:hyperlink w:anchor="_Toc437853968" w:history="1">
        <w:r w:rsidR="008F61E0" w:rsidRPr="008F61E0">
          <w:rPr>
            <w:rStyle w:val="Hyperlink"/>
            <w:rFonts w:ascii="Arial" w:hAnsi="Arial" w:cs="Arial"/>
            <w:b/>
            <w:noProof/>
          </w:rPr>
          <w:t>Introduction</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_Toc437853968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3</w:t>
        </w:r>
        <w:r w:rsidR="008F61E0" w:rsidRPr="008F61E0">
          <w:rPr>
            <w:rFonts w:ascii="Arial" w:hAnsi="Arial" w:cs="Arial"/>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69" w:history="1">
        <w:r w:rsidR="008F61E0" w:rsidRPr="008F61E0">
          <w:rPr>
            <w:rStyle w:val="Hyperlink"/>
            <w:rFonts w:ascii="Arial" w:hAnsi="Arial" w:cs="Arial"/>
            <w:b/>
            <w:noProof/>
          </w:rPr>
          <w:t>Overview</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_Toc437853969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3</w:t>
        </w:r>
        <w:r w:rsidR="008F61E0" w:rsidRPr="008F61E0">
          <w:rPr>
            <w:rFonts w:ascii="Arial" w:hAnsi="Arial" w:cs="Arial"/>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70" w:history="1">
        <w:r w:rsidR="008F61E0" w:rsidRPr="008F61E0">
          <w:rPr>
            <w:rStyle w:val="Hyperlink"/>
            <w:noProof/>
          </w:rPr>
          <w:t>Program Goals &amp; Budgets– at a glance 2016 &amp; 2017</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_Toc437853970 \h </w:instrText>
        </w:r>
        <w:r w:rsidR="008F61E0" w:rsidRPr="008F61E0">
          <w:rPr>
            <w:noProof/>
            <w:webHidden/>
          </w:rPr>
        </w:r>
        <w:r w:rsidR="008F61E0" w:rsidRPr="008F61E0">
          <w:rPr>
            <w:noProof/>
            <w:webHidden/>
          </w:rPr>
          <w:fldChar w:fldCharType="separate"/>
        </w:r>
        <w:r w:rsidR="00EF2E90">
          <w:rPr>
            <w:noProof/>
            <w:webHidden/>
          </w:rPr>
          <w:t>4</w:t>
        </w:r>
        <w:r w:rsidR="008F61E0" w:rsidRPr="008F61E0">
          <w:rPr>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71" w:history="1">
        <w:r w:rsidR="008F61E0" w:rsidRPr="008F61E0">
          <w:rPr>
            <w:rStyle w:val="Hyperlink"/>
            <w:rFonts w:ascii="Arial" w:hAnsi="Arial" w:cs="Arial"/>
            <w:b/>
            <w:noProof/>
          </w:rPr>
          <w:t>Program Cost Effectiveness</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_Toc437853971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5</w:t>
        </w:r>
        <w:r w:rsidR="008F61E0" w:rsidRPr="008F61E0">
          <w:rPr>
            <w:rFonts w:ascii="Arial" w:hAnsi="Arial" w:cs="Arial"/>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72" w:history="1">
        <w:r w:rsidR="008F61E0" w:rsidRPr="008F61E0">
          <w:rPr>
            <w:rStyle w:val="Hyperlink"/>
            <w:rFonts w:ascii="Arial" w:hAnsi="Arial" w:cs="Arial"/>
            <w:b/>
            <w:noProof/>
          </w:rPr>
          <w:t>Measure Updates</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_Toc437853972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6</w:t>
        </w:r>
        <w:r w:rsidR="008F61E0" w:rsidRPr="008F61E0">
          <w:rPr>
            <w:rFonts w:ascii="Arial" w:hAnsi="Arial" w:cs="Arial"/>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73" w:history="1">
        <w:r w:rsidR="008F61E0" w:rsidRPr="008F61E0">
          <w:rPr>
            <w:rStyle w:val="Hyperlink"/>
            <w:rFonts w:ascii="Arial" w:hAnsi="Arial" w:cs="Arial"/>
            <w:b/>
            <w:noProof/>
          </w:rPr>
          <w:t>Emerging Technologies</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_Toc437853973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6</w:t>
        </w:r>
        <w:r w:rsidR="008F61E0" w:rsidRPr="008F61E0">
          <w:rPr>
            <w:rFonts w:ascii="Arial" w:hAnsi="Arial" w:cs="Arial"/>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74" w:history="1">
        <w:r w:rsidR="008F61E0" w:rsidRPr="008F61E0">
          <w:rPr>
            <w:rStyle w:val="Hyperlink"/>
            <w:rFonts w:ascii="Arial" w:hAnsi="Arial" w:cs="Arial"/>
            <w:b/>
            <w:noProof/>
          </w:rPr>
          <w:t>Potential DSM Measures and Their Costs</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_Toc437853974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7</w:t>
        </w:r>
        <w:r w:rsidR="008F61E0" w:rsidRPr="008F61E0">
          <w:rPr>
            <w:rFonts w:ascii="Arial" w:hAnsi="Arial" w:cs="Arial"/>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75" w:history="1">
        <w:r w:rsidR="008F61E0" w:rsidRPr="008F61E0">
          <w:rPr>
            <w:rStyle w:val="Hyperlink"/>
            <w:rFonts w:ascii="Arial" w:hAnsi="Arial" w:cs="Arial"/>
            <w:b/>
            <w:noProof/>
          </w:rPr>
          <w:t>Reassessment of Cascade Conservation Potential and EM&amp;V Study</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_Toc437853975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8</w:t>
        </w:r>
        <w:r w:rsidR="008F61E0" w:rsidRPr="008F61E0">
          <w:rPr>
            <w:rFonts w:ascii="Arial" w:hAnsi="Arial" w:cs="Arial"/>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76" w:history="1">
        <w:r w:rsidR="008F61E0" w:rsidRPr="008F61E0">
          <w:rPr>
            <w:rStyle w:val="Hyperlink"/>
            <w:noProof/>
          </w:rPr>
          <w:t>Administrative costs &amp;TEAPOT modeling moving forward</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_Toc437853976 \h </w:instrText>
        </w:r>
        <w:r w:rsidR="008F61E0" w:rsidRPr="008F61E0">
          <w:rPr>
            <w:noProof/>
            <w:webHidden/>
          </w:rPr>
        </w:r>
        <w:r w:rsidR="008F61E0" w:rsidRPr="008F61E0">
          <w:rPr>
            <w:noProof/>
            <w:webHidden/>
          </w:rPr>
          <w:fldChar w:fldCharType="separate"/>
        </w:r>
        <w:r w:rsidR="00EF2E90">
          <w:rPr>
            <w:noProof/>
            <w:webHidden/>
          </w:rPr>
          <w:t>10</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77" w:history="1">
        <w:r w:rsidR="008F61E0" w:rsidRPr="008F61E0">
          <w:rPr>
            <w:rStyle w:val="Hyperlink"/>
            <w:noProof/>
          </w:rPr>
          <w:t>Total Resource Cost test (TRC)</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_Toc437853977 \h </w:instrText>
        </w:r>
        <w:r w:rsidR="008F61E0" w:rsidRPr="008F61E0">
          <w:rPr>
            <w:noProof/>
            <w:webHidden/>
          </w:rPr>
        </w:r>
        <w:r w:rsidR="008F61E0" w:rsidRPr="008F61E0">
          <w:rPr>
            <w:noProof/>
            <w:webHidden/>
          </w:rPr>
          <w:fldChar w:fldCharType="separate"/>
        </w:r>
        <w:r w:rsidR="00EF2E90">
          <w:rPr>
            <w:noProof/>
            <w:webHidden/>
          </w:rPr>
          <w:t>10</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78" w:history="1">
        <w:r w:rsidR="008F61E0" w:rsidRPr="008F61E0">
          <w:rPr>
            <w:rStyle w:val="Hyperlink"/>
            <w:noProof/>
          </w:rPr>
          <w:t>Utility Cost Test (UCT)</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_Toc437853978 \h </w:instrText>
        </w:r>
        <w:r w:rsidR="008F61E0" w:rsidRPr="008F61E0">
          <w:rPr>
            <w:noProof/>
            <w:webHidden/>
          </w:rPr>
        </w:r>
        <w:r w:rsidR="008F61E0" w:rsidRPr="008F61E0">
          <w:rPr>
            <w:noProof/>
            <w:webHidden/>
          </w:rPr>
          <w:fldChar w:fldCharType="separate"/>
        </w:r>
        <w:r w:rsidR="00EF2E90">
          <w:rPr>
            <w:noProof/>
            <w:webHidden/>
          </w:rPr>
          <w:t>10</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79" w:history="1">
        <w:r w:rsidR="008F61E0" w:rsidRPr="008F61E0">
          <w:rPr>
            <w:rStyle w:val="Hyperlink"/>
            <w:noProof/>
          </w:rPr>
          <w:t>Market Segmentation Findings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_Toc437853979 \h </w:instrText>
        </w:r>
        <w:r w:rsidR="008F61E0" w:rsidRPr="008F61E0">
          <w:rPr>
            <w:noProof/>
            <w:webHidden/>
          </w:rPr>
        </w:r>
        <w:r w:rsidR="008F61E0" w:rsidRPr="008F61E0">
          <w:rPr>
            <w:noProof/>
            <w:webHidden/>
          </w:rPr>
          <w:fldChar w:fldCharType="separate"/>
        </w:r>
        <w:r w:rsidR="00EF2E90">
          <w:rPr>
            <w:noProof/>
            <w:webHidden/>
          </w:rPr>
          <w:t>11</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0" w:history="1">
        <w:r w:rsidR="008F61E0" w:rsidRPr="008F61E0">
          <w:rPr>
            <w:rStyle w:val="Hyperlink"/>
            <w:noProof/>
          </w:rPr>
          <w:t>Energy Efficiency Portfolio Development</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_Toc437853980 \h </w:instrText>
        </w:r>
        <w:r w:rsidR="008F61E0" w:rsidRPr="008F61E0">
          <w:rPr>
            <w:noProof/>
            <w:webHidden/>
          </w:rPr>
        </w:r>
        <w:r w:rsidR="008F61E0" w:rsidRPr="008F61E0">
          <w:rPr>
            <w:noProof/>
            <w:webHidden/>
          </w:rPr>
          <w:fldChar w:fldCharType="separate"/>
        </w:r>
        <w:r w:rsidR="00EF2E90">
          <w:rPr>
            <w:noProof/>
            <w:webHidden/>
          </w:rPr>
          <w:t>11</w:t>
        </w:r>
        <w:r w:rsidR="008F61E0" w:rsidRPr="008F61E0">
          <w:rPr>
            <w:noProof/>
            <w:webHidden/>
          </w:rPr>
          <w:fldChar w:fldCharType="end"/>
        </w:r>
      </w:hyperlink>
    </w:p>
    <w:p w:rsidR="008F61E0" w:rsidRPr="008F61E0" w:rsidRDefault="00EE6266"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81" w:history="1">
        <w:r w:rsidR="008F61E0" w:rsidRPr="008F61E0">
          <w:rPr>
            <w:rStyle w:val="Hyperlink"/>
            <w:rFonts w:ascii="Arial" w:hAnsi="Arial" w:cs="Arial"/>
            <w:b/>
            <w:noProof/>
          </w:rPr>
          <w:t>DSM Portfolio Updates and Planning</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_Toc437853981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14</w:t>
        </w:r>
        <w:r w:rsidR="008F61E0" w:rsidRPr="008F61E0">
          <w:rPr>
            <w:rFonts w:ascii="Arial" w:hAnsi="Arial" w:cs="Arial"/>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2" w:history="1">
        <w:r w:rsidR="008F61E0" w:rsidRPr="008F61E0">
          <w:rPr>
            <w:rStyle w:val="Hyperlink"/>
            <w:noProof/>
          </w:rPr>
          <w:t>Budgeting Parameters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_Toc437853982 \h </w:instrText>
        </w:r>
        <w:r w:rsidR="008F61E0" w:rsidRPr="008F61E0">
          <w:rPr>
            <w:noProof/>
            <w:webHidden/>
          </w:rPr>
        </w:r>
        <w:r w:rsidR="008F61E0" w:rsidRPr="008F61E0">
          <w:rPr>
            <w:noProof/>
            <w:webHidden/>
          </w:rPr>
          <w:fldChar w:fldCharType="separate"/>
        </w:r>
        <w:r w:rsidR="00EF2E90">
          <w:rPr>
            <w:noProof/>
            <w:webHidden/>
          </w:rPr>
          <w:t>14</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3" w:history="1">
        <w:r w:rsidR="008F61E0" w:rsidRPr="008F61E0">
          <w:rPr>
            <w:rStyle w:val="Hyperlink"/>
            <w:noProof/>
          </w:rPr>
          <w:t>Incentive Level</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_Toc437853983 \h </w:instrText>
        </w:r>
        <w:r w:rsidR="008F61E0" w:rsidRPr="008F61E0">
          <w:rPr>
            <w:noProof/>
            <w:webHidden/>
          </w:rPr>
        </w:r>
        <w:r w:rsidR="008F61E0" w:rsidRPr="008F61E0">
          <w:rPr>
            <w:noProof/>
            <w:webHidden/>
          </w:rPr>
          <w:fldChar w:fldCharType="separate"/>
        </w:r>
        <w:r w:rsidR="00EF2E90">
          <w:rPr>
            <w:noProof/>
            <w:webHidden/>
          </w:rPr>
          <w:t>14</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4" w:history="1">
        <w:r w:rsidR="008F61E0" w:rsidRPr="008F61E0">
          <w:rPr>
            <w:rStyle w:val="Hyperlink"/>
            <w:noProof/>
          </w:rPr>
          <w:t>Targets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_Toc437853984 \h </w:instrText>
        </w:r>
        <w:r w:rsidR="008F61E0" w:rsidRPr="008F61E0">
          <w:rPr>
            <w:noProof/>
            <w:webHidden/>
          </w:rPr>
        </w:r>
        <w:r w:rsidR="008F61E0" w:rsidRPr="008F61E0">
          <w:rPr>
            <w:noProof/>
            <w:webHidden/>
          </w:rPr>
          <w:fldChar w:fldCharType="separate"/>
        </w:r>
        <w:r w:rsidR="00EF2E90">
          <w:rPr>
            <w:noProof/>
            <w:webHidden/>
          </w:rPr>
          <w:t>15</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5" w:history="1">
        <w:r w:rsidR="008F61E0" w:rsidRPr="008F61E0">
          <w:rPr>
            <w:rStyle w:val="Hyperlink"/>
            <w:noProof/>
          </w:rPr>
          <w:t>Commercial/Industrial Scenarios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_Toc437853985 \h </w:instrText>
        </w:r>
        <w:r w:rsidR="008F61E0" w:rsidRPr="008F61E0">
          <w:rPr>
            <w:noProof/>
            <w:webHidden/>
          </w:rPr>
        </w:r>
        <w:r w:rsidR="008F61E0" w:rsidRPr="008F61E0">
          <w:rPr>
            <w:noProof/>
            <w:webHidden/>
          </w:rPr>
          <w:fldChar w:fldCharType="separate"/>
        </w:r>
        <w:r w:rsidR="00EF2E90">
          <w:rPr>
            <w:noProof/>
            <w:webHidden/>
          </w:rPr>
          <w:t>15</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6" w:history="1">
        <w:r w:rsidR="008F61E0" w:rsidRPr="008F61E0">
          <w:rPr>
            <w:rStyle w:val="Hyperlink"/>
            <w:noProof/>
          </w:rPr>
          <w:t>Most Recent Program Update</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_Toc437853986 \h </w:instrText>
        </w:r>
        <w:r w:rsidR="008F61E0" w:rsidRPr="008F61E0">
          <w:rPr>
            <w:noProof/>
            <w:webHidden/>
          </w:rPr>
        </w:r>
        <w:r w:rsidR="008F61E0" w:rsidRPr="008F61E0">
          <w:rPr>
            <w:noProof/>
            <w:webHidden/>
          </w:rPr>
          <w:fldChar w:fldCharType="separate"/>
        </w:r>
        <w:r w:rsidR="00EF2E90">
          <w:rPr>
            <w:noProof/>
            <w:webHidden/>
          </w:rPr>
          <w:t>15</w:t>
        </w:r>
        <w:r w:rsidR="008F61E0" w:rsidRPr="008F61E0">
          <w:rPr>
            <w:noProof/>
            <w:webHidden/>
          </w:rPr>
          <w:fldChar w:fldCharType="end"/>
        </w:r>
      </w:hyperlink>
    </w:p>
    <w:p w:rsidR="008F61E0" w:rsidRPr="008F61E0" w:rsidRDefault="00EE6266"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87" w:history="1">
        <w:r w:rsidR="008F61E0" w:rsidRPr="008F61E0">
          <w:rPr>
            <w:rStyle w:val="Hyperlink"/>
            <w:rFonts w:ascii="Arial" w:hAnsi="Arial" w:cs="Arial"/>
            <w:b/>
            <w:noProof/>
          </w:rPr>
          <w:t>Residential Program Delivery Changes for 2016</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_Toc437853987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16</w:t>
        </w:r>
        <w:r w:rsidR="008F61E0" w:rsidRPr="008F61E0">
          <w:rPr>
            <w:rFonts w:ascii="Arial" w:hAnsi="Arial" w:cs="Arial"/>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8" w:history="1">
        <w:r w:rsidR="008F61E0" w:rsidRPr="008F61E0">
          <w:rPr>
            <w:rStyle w:val="Hyperlink"/>
            <w:noProof/>
          </w:rPr>
          <w:t>Program Offerings through 2016</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_Toc437853988 \h </w:instrText>
        </w:r>
        <w:r w:rsidR="008F61E0" w:rsidRPr="008F61E0">
          <w:rPr>
            <w:noProof/>
            <w:webHidden/>
          </w:rPr>
        </w:r>
        <w:r w:rsidR="008F61E0" w:rsidRPr="008F61E0">
          <w:rPr>
            <w:noProof/>
            <w:webHidden/>
          </w:rPr>
          <w:fldChar w:fldCharType="separate"/>
        </w:r>
        <w:r w:rsidR="00EF2E90">
          <w:rPr>
            <w:noProof/>
            <w:webHidden/>
          </w:rPr>
          <w:t>17</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89" w:history="1">
        <w:r w:rsidR="008F61E0" w:rsidRPr="008F61E0">
          <w:rPr>
            <w:rStyle w:val="Hyperlink"/>
            <w:noProof/>
          </w:rPr>
          <w:t>Washington Low Income Program</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_Toc437853989 \h </w:instrText>
        </w:r>
        <w:r w:rsidR="008F61E0" w:rsidRPr="008F61E0">
          <w:rPr>
            <w:noProof/>
            <w:webHidden/>
          </w:rPr>
        </w:r>
        <w:r w:rsidR="008F61E0" w:rsidRPr="008F61E0">
          <w:rPr>
            <w:noProof/>
            <w:webHidden/>
          </w:rPr>
          <w:fldChar w:fldCharType="separate"/>
        </w:r>
        <w:r w:rsidR="00EF2E90">
          <w:rPr>
            <w:noProof/>
            <w:webHidden/>
          </w:rPr>
          <w:t>25</w:t>
        </w:r>
        <w:r w:rsidR="008F61E0" w:rsidRPr="008F61E0">
          <w:rPr>
            <w:noProof/>
            <w:webHidden/>
          </w:rPr>
          <w:fldChar w:fldCharType="end"/>
        </w:r>
      </w:hyperlink>
    </w:p>
    <w:p w:rsidR="008F61E0" w:rsidRPr="008F61E0" w:rsidRDefault="00E74785"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90" w:history="1">
        <w:r w:rsidR="008F61E0" w:rsidRPr="008F61E0">
          <w:rPr>
            <w:rStyle w:val="Hyperlink"/>
            <w:rFonts w:ascii="Arial" w:hAnsi="Arial" w:cs="Arial"/>
            <w:b/>
            <w:noProof/>
          </w:rPr>
          <w:t>Conservation Programs in 2017</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_Toc437853990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27</w:t>
        </w:r>
        <w:r w:rsidR="008F61E0" w:rsidRPr="008F61E0">
          <w:rPr>
            <w:rFonts w:ascii="Arial" w:hAnsi="Arial" w:cs="Arial"/>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91" w:history="1">
        <w:r w:rsidR="008F61E0" w:rsidRPr="008F61E0">
          <w:rPr>
            <w:rStyle w:val="Hyperlink"/>
            <w:noProof/>
          </w:rPr>
          <w:t>Forward Looking Targets/ TEAPOT Forecasts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_Toc437853991 \h </w:instrText>
        </w:r>
        <w:r w:rsidR="008F61E0" w:rsidRPr="008F61E0">
          <w:rPr>
            <w:noProof/>
            <w:webHidden/>
          </w:rPr>
        </w:r>
        <w:r w:rsidR="008F61E0" w:rsidRPr="008F61E0">
          <w:rPr>
            <w:noProof/>
            <w:webHidden/>
          </w:rPr>
          <w:fldChar w:fldCharType="separate"/>
        </w:r>
        <w:r w:rsidR="00EF2E90">
          <w:rPr>
            <w:noProof/>
            <w:webHidden/>
          </w:rPr>
          <w:t>28</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92" w:history="1">
        <w:r w:rsidR="008F61E0" w:rsidRPr="008F61E0">
          <w:rPr>
            <w:rStyle w:val="Hyperlink"/>
            <w:noProof/>
          </w:rPr>
          <w:t>Residential Potential</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_Toc437853992 \h </w:instrText>
        </w:r>
        <w:r w:rsidR="008F61E0" w:rsidRPr="008F61E0">
          <w:rPr>
            <w:noProof/>
            <w:webHidden/>
          </w:rPr>
        </w:r>
        <w:r w:rsidR="008F61E0" w:rsidRPr="008F61E0">
          <w:rPr>
            <w:noProof/>
            <w:webHidden/>
          </w:rPr>
          <w:fldChar w:fldCharType="separate"/>
        </w:r>
        <w:r w:rsidR="00EF2E90">
          <w:rPr>
            <w:noProof/>
            <w:webHidden/>
          </w:rPr>
          <w:t>2</w:t>
        </w:r>
        <w:r w:rsidR="00EF2E90">
          <w:rPr>
            <w:noProof/>
            <w:webHidden/>
          </w:rPr>
          <w:t>8</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94" w:history="1">
        <w:r w:rsidR="008F61E0" w:rsidRPr="008F61E0">
          <w:rPr>
            <w:rStyle w:val="Hyperlink"/>
            <w:noProof/>
          </w:rPr>
          <w:t>Commercial/Industrial Potential</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_Toc437853994 \h </w:instrText>
        </w:r>
        <w:r w:rsidR="008F61E0" w:rsidRPr="008F61E0">
          <w:rPr>
            <w:noProof/>
            <w:webHidden/>
          </w:rPr>
        </w:r>
        <w:r w:rsidR="008F61E0" w:rsidRPr="008F61E0">
          <w:rPr>
            <w:noProof/>
            <w:webHidden/>
          </w:rPr>
          <w:fldChar w:fldCharType="separate"/>
        </w:r>
        <w:r w:rsidR="00EF2E90">
          <w:rPr>
            <w:noProof/>
            <w:webHidden/>
          </w:rPr>
          <w:t>32</w:t>
        </w:r>
        <w:r w:rsidR="008F61E0" w:rsidRPr="008F61E0">
          <w:rPr>
            <w:noProof/>
            <w:webHidden/>
          </w:rPr>
          <w:fldChar w:fldCharType="end"/>
        </w:r>
      </w:hyperlink>
    </w:p>
    <w:p w:rsidR="008F61E0" w:rsidRPr="008F61E0" w:rsidRDefault="00E74785" w:rsidP="008F61E0">
      <w:pPr>
        <w:pStyle w:val="TOC2"/>
        <w:tabs>
          <w:tab w:val="right" w:leader="dot" w:pos="9720"/>
        </w:tabs>
        <w:spacing w:after="0" w:line="240" w:lineRule="auto"/>
        <w:ind w:right="-14"/>
        <w:contextualSpacing/>
        <w:rPr>
          <w:rFonts w:eastAsiaTheme="minorEastAsia"/>
          <w:noProof/>
          <w:sz w:val="22"/>
          <w:szCs w:val="22"/>
        </w:rPr>
      </w:pPr>
      <w:hyperlink w:anchor="_Toc437853995" w:history="1">
        <w:r w:rsidR="008F61E0" w:rsidRPr="008F61E0">
          <w:rPr>
            <w:rStyle w:val="Hyperlink"/>
            <w:noProof/>
          </w:rPr>
          <w:t>CY 2016 &amp; 2017 Targets</w:t>
        </w:r>
        <w:r w:rsidR="008F61E0" w:rsidRPr="008F61E0">
          <w:rPr>
            <w:noProof/>
            <w:webHidden/>
          </w:rPr>
          <w:tab/>
        </w:r>
        <w:r w:rsidR="008F61E0" w:rsidRPr="008F61E0">
          <w:rPr>
            <w:noProof/>
            <w:webHidden/>
          </w:rPr>
          <w:fldChar w:fldCharType="begin"/>
        </w:r>
        <w:r w:rsidR="008F61E0" w:rsidRPr="008F61E0">
          <w:rPr>
            <w:noProof/>
            <w:webHidden/>
          </w:rPr>
          <w:instrText xml:space="preserve"> PAGEREF _Toc437853995 \h </w:instrText>
        </w:r>
        <w:r w:rsidR="008F61E0" w:rsidRPr="008F61E0">
          <w:rPr>
            <w:noProof/>
            <w:webHidden/>
          </w:rPr>
        </w:r>
        <w:r w:rsidR="008F61E0" w:rsidRPr="008F61E0">
          <w:rPr>
            <w:noProof/>
            <w:webHidden/>
          </w:rPr>
          <w:fldChar w:fldCharType="separate"/>
        </w:r>
        <w:r w:rsidR="00EF2E90">
          <w:rPr>
            <w:noProof/>
            <w:webHidden/>
          </w:rPr>
          <w:t>34</w:t>
        </w:r>
        <w:r w:rsidR="008F61E0" w:rsidRPr="008F61E0">
          <w:rPr>
            <w:noProof/>
            <w:webHidden/>
          </w:rPr>
          <w:fldChar w:fldCharType="end"/>
        </w:r>
      </w:hyperlink>
    </w:p>
    <w:p w:rsidR="008F61E0" w:rsidRPr="008F61E0" w:rsidRDefault="00EE6266"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96" w:history="1">
        <w:r w:rsidR="008F61E0" w:rsidRPr="008F61E0">
          <w:rPr>
            <w:rStyle w:val="Hyperlink"/>
            <w:rFonts w:ascii="Arial" w:hAnsi="Arial" w:cs="Arial"/>
            <w:b/>
            <w:noProof/>
          </w:rPr>
          <w:t>Long term Conservation Potential</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_Toc437853996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39</w:t>
        </w:r>
        <w:r w:rsidR="008F61E0" w:rsidRPr="008F61E0">
          <w:rPr>
            <w:rFonts w:ascii="Arial" w:hAnsi="Arial" w:cs="Arial"/>
            <w:noProof/>
            <w:webHidden/>
          </w:rPr>
          <w:fldChar w:fldCharType="end"/>
        </w:r>
      </w:hyperlink>
    </w:p>
    <w:p w:rsidR="008F61E0" w:rsidRPr="008F61E0" w:rsidRDefault="00EE6266" w:rsidP="008F61E0">
      <w:pPr>
        <w:pStyle w:val="TOC1"/>
        <w:tabs>
          <w:tab w:val="clear" w:pos="9360"/>
          <w:tab w:val="right" w:leader="dot" w:pos="9720"/>
        </w:tabs>
        <w:spacing w:before="0"/>
        <w:ind w:right="-14"/>
        <w:contextualSpacing/>
        <w:rPr>
          <w:rFonts w:ascii="Arial" w:eastAsiaTheme="minorEastAsia" w:hAnsi="Arial" w:cs="Arial"/>
          <w:noProof/>
          <w:sz w:val="22"/>
          <w:szCs w:val="22"/>
        </w:rPr>
      </w:pPr>
      <w:hyperlink w:anchor="_Toc437853997" w:history="1">
        <w:r w:rsidR="008F61E0" w:rsidRPr="008F61E0">
          <w:rPr>
            <w:rStyle w:val="Hyperlink"/>
            <w:rFonts w:ascii="Arial" w:hAnsi="Arial" w:cs="Arial"/>
            <w:b/>
            <w:noProof/>
          </w:rPr>
          <w:t>Planning and EM&amp;V</w:t>
        </w:r>
        <w:r w:rsidR="008F61E0" w:rsidRPr="008F61E0">
          <w:rPr>
            <w:rFonts w:ascii="Arial" w:hAnsi="Arial" w:cs="Arial"/>
            <w:noProof/>
            <w:webHidden/>
          </w:rPr>
          <w:tab/>
        </w:r>
        <w:r w:rsidR="008F61E0" w:rsidRPr="008F61E0">
          <w:rPr>
            <w:rFonts w:ascii="Arial" w:hAnsi="Arial" w:cs="Arial"/>
            <w:noProof/>
            <w:webHidden/>
          </w:rPr>
          <w:fldChar w:fldCharType="begin"/>
        </w:r>
        <w:r w:rsidR="008F61E0" w:rsidRPr="008F61E0">
          <w:rPr>
            <w:rFonts w:ascii="Arial" w:hAnsi="Arial" w:cs="Arial"/>
            <w:noProof/>
            <w:webHidden/>
          </w:rPr>
          <w:instrText xml:space="preserve"> PAGEREF _Toc437853997 \h </w:instrText>
        </w:r>
        <w:r w:rsidR="008F61E0" w:rsidRPr="008F61E0">
          <w:rPr>
            <w:rFonts w:ascii="Arial" w:hAnsi="Arial" w:cs="Arial"/>
            <w:noProof/>
            <w:webHidden/>
          </w:rPr>
        </w:r>
        <w:r w:rsidR="008F61E0" w:rsidRPr="008F61E0">
          <w:rPr>
            <w:rFonts w:ascii="Arial" w:hAnsi="Arial" w:cs="Arial"/>
            <w:noProof/>
            <w:webHidden/>
          </w:rPr>
          <w:fldChar w:fldCharType="separate"/>
        </w:r>
        <w:r w:rsidR="00EF2E90">
          <w:rPr>
            <w:rFonts w:ascii="Arial" w:hAnsi="Arial" w:cs="Arial"/>
            <w:noProof/>
            <w:webHidden/>
          </w:rPr>
          <w:t>41</w:t>
        </w:r>
        <w:r w:rsidR="008F61E0" w:rsidRPr="008F61E0">
          <w:rPr>
            <w:rFonts w:ascii="Arial" w:hAnsi="Arial" w:cs="Arial"/>
            <w:noProof/>
            <w:webHidden/>
          </w:rPr>
          <w:fldChar w:fldCharType="end"/>
        </w:r>
      </w:hyperlink>
    </w:p>
    <w:p w:rsidR="000A4974" w:rsidRPr="0068556F" w:rsidRDefault="000A4974" w:rsidP="008F61E0">
      <w:pPr>
        <w:tabs>
          <w:tab w:val="right" w:leader="dot" w:pos="9720"/>
        </w:tabs>
        <w:spacing w:before="29" w:after="120"/>
        <w:ind w:right="-14"/>
        <w:jc w:val="center"/>
        <w:rPr>
          <w:rFonts w:eastAsia="Arial"/>
          <w:b/>
          <w:bCs/>
          <w:spacing w:val="-3"/>
          <w:sz w:val="28"/>
        </w:rPr>
      </w:pPr>
      <w:r w:rsidRPr="0068556F">
        <w:rPr>
          <w:rFonts w:eastAsia="Arial"/>
          <w:b/>
          <w:bCs/>
          <w:spacing w:val="-3"/>
          <w:sz w:val="28"/>
        </w:rPr>
        <w:fldChar w:fldCharType="end"/>
      </w:r>
    </w:p>
    <w:p w:rsidR="008E3FDB" w:rsidRPr="0068556F" w:rsidRDefault="008E3FDB" w:rsidP="0068556F">
      <w:pPr>
        <w:widowControl/>
        <w:spacing w:after="0"/>
        <w:rPr>
          <w:b/>
          <w:spacing w:val="-3"/>
          <w:szCs w:val="20"/>
          <w:u w:val="single"/>
        </w:rPr>
      </w:pPr>
      <w:r w:rsidRPr="0068556F">
        <w:br w:type="page"/>
      </w:r>
    </w:p>
    <w:p w:rsidR="00525FE4" w:rsidRPr="0068556F" w:rsidRDefault="00525FE4" w:rsidP="0068556F">
      <w:pPr>
        <w:pStyle w:val="Heading1"/>
        <w:spacing w:line="276" w:lineRule="auto"/>
        <w:rPr>
          <w:rFonts w:ascii="Arial" w:eastAsia="Arial" w:hAnsi="Arial" w:cs="Arial"/>
          <w:bCs/>
        </w:rPr>
      </w:pPr>
      <w:bookmarkStart w:id="0" w:name="_Toc437853968"/>
      <w:r w:rsidRPr="0068556F">
        <w:rPr>
          <w:rFonts w:ascii="Arial" w:hAnsi="Arial" w:cs="Arial"/>
        </w:rPr>
        <w:lastRenderedPageBreak/>
        <w:t>Introduction</w:t>
      </w:r>
      <w:bookmarkEnd w:id="0"/>
      <w:r w:rsidRPr="0068556F">
        <w:rPr>
          <w:rFonts w:ascii="Arial" w:hAnsi="Arial" w:cs="Arial"/>
        </w:rPr>
        <w:t xml:space="preserve"> </w:t>
      </w:r>
    </w:p>
    <w:p w:rsidR="00E4435B" w:rsidRPr="0068556F" w:rsidRDefault="00F26226"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r w:rsidRPr="0068556F">
        <w:rPr>
          <w:spacing w:val="-3"/>
        </w:rPr>
        <w:t xml:space="preserve">Cascade Natural Gas </w:t>
      </w:r>
      <w:r w:rsidR="00474C74" w:rsidRPr="0068556F">
        <w:rPr>
          <w:spacing w:val="-3"/>
        </w:rPr>
        <w:t xml:space="preserve">Corporation </w:t>
      </w:r>
      <w:r w:rsidRPr="0068556F">
        <w:rPr>
          <w:spacing w:val="-3"/>
        </w:rPr>
        <w:t>has developed this Conservation Plan</w:t>
      </w:r>
      <w:r w:rsidR="00474C74" w:rsidRPr="0068556F">
        <w:rPr>
          <w:spacing w:val="-3"/>
        </w:rPr>
        <w:t xml:space="preserve"> in </w:t>
      </w:r>
      <w:r w:rsidR="001C1BE1" w:rsidRPr="0068556F">
        <w:rPr>
          <w:spacing w:val="-3"/>
        </w:rPr>
        <w:t>consultation</w:t>
      </w:r>
      <w:r w:rsidR="00474C74" w:rsidRPr="0068556F">
        <w:rPr>
          <w:spacing w:val="-3"/>
        </w:rPr>
        <w:t xml:space="preserve"> with its Conservation Advisory Group (CAG)</w:t>
      </w:r>
      <w:r w:rsidRPr="0068556F">
        <w:rPr>
          <w:spacing w:val="-3"/>
        </w:rPr>
        <w:t xml:space="preserve"> as a roadmap to the 2016 and 2017 short term </w:t>
      </w:r>
      <w:r w:rsidR="00474C74" w:rsidRPr="0068556F">
        <w:rPr>
          <w:spacing w:val="-3"/>
        </w:rPr>
        <w:t>conservation strategy</w:t>
      </w:r>
      <w:r w:rsidRPr="0068556F">
        <w:rPr>
          <w:spacing w:val="-3"/>
        </w:rPr>
        <w:t xml:space="preserve"> </w:t>
      </w:r>
      <w:r w:rsidR="00474C74" w:rsidRPr="0068556F">
        <w:rPr>
          <w:spacing w:val="-3"/>
        </w:rPr>
        <w:t>for</w:t>
      </w:r>
      <w:r w:rsidRPr="0068556F">
        <w:rPr>
          <w:spacing w:val="-3"/>
        </w:rPr>
        <w:t xml:space="preserve"> reducing consumption through </w:t>
      </w:r>
      <w:r w:rsidR="00474C74" w:rsidRPr="0068556F">
        <w:rPr>
          <w:spacing w:val="-3"/>
        </w:rPr>
        <w:t xml:space="preserve">its Conservation Incentive Programs. In this first rendition of the </w:t>
      </w:r>
      <w:r w:rsidR="001C1BE1" w:rsidRPr="0068556F">
        <w:rPr>
          <w:spacing w:val="-3"/>
        </w:rPr>
        <w:t>Conservation</w:t>
      </w:r>
      <w:r w:rsidR="00474C74" w:rsidRPr="0068556F">
        <w:rPr>
          <w:spacing w:val="-3"/>
        </w:rPr>
        <w:t xml:space="preserve"> Plan the Company is recapping the </w:t>
      </w:r>
      <w:r w:rsidR="00F513A3" w:rsidRPr="0068556F">
        <w:rPr>
          <w:spacing w:val="-3"/>
        </w:rPr>
        <w:t>process</w:t>
      </w:r>
      <w:r w:rsidR="00474C74" w:rsidRPr="0068556F">
        <w:rPr>
          <w:spacing w:val="-3"/>
        </w:rPr>
        <w:t xml:space="preserve"> that has traditionally taken place in the Integrated </w:t>
      </w:r>
      <w:r w:rsidR="001C1BE1" w:rsidRPr="0068556F">
        <w:rPr>
          <w:spacing w:val="-3"/>
        </w:rPr>
        <w:t>Resource</w:t>
      </w:r>
      <w:r w:rsidR="00474C74" w:rsidRPr="0068556F">
        <w:rPr>
          <w:spacing w:val="-3"/>
        </w:rPr>
        <w:t xml:space="preserve"> Plan document </w:t>
      </w:r>
      <w:r w:rsidR="00083B11" w:rsidRPr="0068556F">
        <w:rPr>
          <w:spacing w:val="-3"/>
        </w:rPr>
        <w:t>(IRP) and transitioning to this</w:t>
      </w:r>
      <w:r w:rsidR="00474C74" w:rsidRPr="0068556F">
        <w:rPr>
          <w:spacing w:val="-3"/>
        </w:rPr>
        <w:t xml:space="preserve"> standalone plan with an executive summary </w:t>
      </w:r>
      <w:r w:rsidR="00070F78" w:rsidRPr="0068556F">
        <w:rPr>
          <w:spacing w:val="-3"/>
        </w:rPr>
        <w:t xml:space="preserve">of the planning and savings forecasting </w:t>
      </w:r>
      <w:r w:rsidR="00083B11" w:rsidRPr="0068556F">
        <w:rPr>
          <w:spacing w:val="-3"/>
        </w:rPr>
        <w:t>replacing it</w:t>
      </w:r>
      <w:r w:rsidR="00474C74" w:rsidRPr="0068556F">
        <w:rPr>
          <w:spacing w:val="-3"/>
        </w:rPr>
        <w:t xml:space="preserve"> in </w:t>
      </w:r>
      <w:r w:rsidR="00083B11" w:rsidRPr="0068556F">
        <w:rPr>
          <w:spacing w:val="-3"/>
        </w:rPr>
        <w:t xml:space="preserve">future iterations of the </w:t>
      </w:r>
      <w:r w:rsidR="00474C74" w:rsidRPr="0068556F">
        <w:rPr>
          <w:spacing w:val="-3"/>
        </w:rPr>
        <w:t>IRP.</w:t>
      </w:r>
      <w:r w:rsidR="00070F78" w:rsidRPr="0068556F">
        <w:rPr>
          <w:spacing w:val="-3"/>
        </w:rPr>
        <w:t xml:space="preserve"> General discussion around </w:t>
      </w:r>
      <w:r w:rsidR="00D14BD1" w:rsidRPr="0068556F">
        <w:rPr>
          <w:spacing w:val="-3"/>
        </w:rPr>
        <w:t>Demand Side Management including environmental externalities, outside determinants of customer</w:t>
      </w:r>
      <w:r w:rsidR="001C1BE1" w:rsidRPr="0068556F">
        <w:rPr>
          <w:spacing w:val="-3"/>
        </w:rPr>
        <w:t xml:space="preserve"> usage, regional energy planning and</w:t>
      </w:r>
      <w:r w:rsidR="00B159C9" w:rsidRPr="0068556F">
        <w:rPr>
          <w:spacing w:val="-3"/>
        </w:rPr>
        <w:t xml:space="preserve"> legislative impacts </w:t>
      </w:r>
      <w:r w:rsidR="001C1BE1" w:rsidRPr="0068556F">
        <w:rPr>
          <w:spacing w:val="-3"/>
        </w:rPr>
        <w:t>will remain as part of the IRP with the focus of the Conservation Plan gearing toward potential and near-term conservation program planning vs the long term 20 year outlook inherent in the IRP.</w:t>
      </w:r>
    </w:p>
    <w:p w:rsidR="00E4435B" w:rsidRPr="0068556F" w:rsidRDefault="00E4435B"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p>
    <w:p w:rsidR="00F513A3" w:rsidRPr="0068556F" w:rsidRDefault="00E4435B"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r w:rsidRPr="0068556F">
        <w:rPr>
          <w:spacing w:val="-3"/>
        </w:rPr>
        <w:t>Throughout this document we will discuss the potential savings determined for the Cascade Natural Gas Corporation (CNGC) Washington</w:t>
      </w:r>
      <w:r w:rsidR="00D23E0D" w:rsidRPr="0068556F">
        <w:rPr>
          <w:spacing w:val="-3"/>
        </w:rPr>
        <w:t xml:space="preserve"> service territory through our</w:t>
      </w:r>
      <w:r w:rsidRPr="0068556F">
        <w:rPr>
          <w:spacing w:val="-3"/>
        </w:rPr>
        <w:t xml:space="preserve"> TEAPOT </w:t>
      </w:r>
      <w:r w:rsidR="00F513A3" w:rsidRPr="0068556F">
        <w:rPr>
          <w:spacing w:val="-3"/>
        </w:rPr>
        <w:t>(</w:t>
      </w:r>
      <w:r w:rsidR="001C1BE1" w:rsidRPr="0068556F">
        <w:rPr>
          <w:spacing w:val="-3"/>
        </w:rPr>
        <w:t>Technical</w:t>
      </w:r>
      <w:r w:rsidR="00F513A3" w:rsidRPr="0068556F">
        <w:rPr>
          <w:spacing w:val="-3"/>
        </w:rPr>
        <w:t xml:space="preserve"> Economic Achievable </w:t>
      </w:r>
      <w:r w:rsidR="009C2DE3" w:rsidRPr="0068556F">
        <w:rPr>
          <w:spacing w:val="-3"/>
        </w:rPr>
        <w:t>Potential)</w:t>
      </w:r>
      <w:r w:rsidR="00F513A3" w:rsidRPr="0068556F">
        <w:rPr>
          <w:spacing w:val="-3"/>
        </w:rPr>
        <w:t xml:space="preserve"> </w:t>
      </w:r>
      <w:r w:rsidRPr="0068556F">
        <w:rPr>
          <w:spacing w:val="-3"/>
        </w:rPr>
        <w:t xml:space="preserve">Modeling tool provided by Nexant Inc. </w:t>
      </w:r>
      <w:r w:rsidR="00D23E0D" w:rsidRPr="0068556F">
        <w:rPr>
          <w:spacing w:val="-3"/>
        </w:rPr>
        <w:t>We are also including</w:t>
      </w:r>
      <w:r w:rsidR="00F513A3" w:rsidRPr="0068556F">
        <w:rPr>
          <w:spacing w:val="-3"/>
        </w:rPr>
        <w:t xml:space="preserve"> an explanation of past modeling processes and </w:t>
      </w:r>
      <w:r w:rsidR="00D23E0D" w:rsidRPr="0068556F">
        <w:rPr>
          <w:spacing w:val="-3"/>
        </w:rPr>
        <w:t>a</w:t>
      </w:r>
      <w:r w:rsidR="00F513A3" w:rsidRPr="0068556F">
        <w:rPr>
          <w:spacing w:val="-3"/>
        </w:rPr>
        <w:t xml:space="preserve"> revised structure </w:t>
      </w:r>
      <w:r w:rsidR="00EC15E7" w:rsidRPr="0068556F">
        <w:rPr>
          <w:spacing w:val="-3"/>
        </w:rPr>
        <w:t xml:space="preserve">for modeling the Achievable potential </w:t>
      </w:r>
      <w:r w:rsidR="00F513A3" w:rsidRPr="0068556F">
        <w:rPr>
          <w:spacing w:val="-3"/>
        </w:rPr>
        <w:t xml:space="preserve">moving forward </w:t>
      </w:r>
      <w:r w:rsidR="00D23E0D" w:rsidRPr="0068556F">
        <w:rPr>
          <w:spacing w:val="-3"/>
        </w:rPr>
        <w:t xml:space="preserve">as per the CAG’s recommendations.  This </w:t>
      </w:r>
      <w:r w:rsidR="00EC15E7" w:rsidRPr="0068556F">
        <w:rPr>
          <w:spacing w:val="-3"/>
        </w:rPr>
        <w:t>document</w:t>
      </w:r>
      <w:r w:rsidR="00D23E0D" w:rsidRPr="0068556F">
        <w:rPr>
          <w:spacing w:val="-3"/>
        </w:rPr>
        <w:t xml:space="preserve"> demonstrates the immediate two year conservation goals as well as the 10 year forecast of savings to parallel the format of Conservation Plans provided by other utilities in the state.  </w:t>
      </w:r>
      <w:r w:rsidR="00F513A3" w:rsidRPr="0068556F">
        <w:rPr>
          <w:spacing w:val="-3"/>
        </w:rPr>
        <w:t xml:space="preserve"> </w:t>
      </w:r>
    </w:p>
    <w:p w:rsidR="00B159C9" w:rsidRPr="0068556F" w:rsidRDefault="00B159C9"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p>
    <w:p w:rsidR="00B159C9" w:rsidRPr="0068556F" w:rsidRDefault="00B159C9"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r w:rsidRPr="0068556F">
        <w:rPr>
          <w:spacing w:val="-3"/>
        </w:rPr>
        <w:t>The Company is approaching the 2016 Calendar Year as an opportunity to fine tune and update our program reporting</w:t>
      </w:r>
      <w:r w:rsidR="00F34C83" w:rsidRPr="0068556F">
        <w:rPr>
          <w:spacing w:val="-3"/>
        </w:rPr>
        <w:t xml:space="preserve"> and planning</w:t>
      </w:r>
      <w:r w:rsidRPr="0068556F">
        <w:rPr>
          <w:spacing w:val="-3"/>
        </w:rPr>
        <w:t xml:space="preserve">, implementation procedures and residential rebate processing.  We are transitioning from a third party residential program delivery vendor to </w:t>
      </w:r>
      <w:r w:rsidR="00F34C83" w:rsidRPr="0068556F">
        <w:rPr>
          <w:spacing w:val="-3"/>
        </w:rPr>
        <w:t xml:space="preserve">internal delivery of the programs with an associated software platform. This significant alteration in our approach to residential program delivery will allow us to directly control the customer’s experience throughout the CIP processing as well as tailor our reporting and tracking to better align with program needs. </w:t>
      </w:r>
      <w:r w:rsidR="00FB4ABD">
        <w:rPr>
          <w:spacing w:val="-3"/>
        </w:rPr>
        <w:t xml:space="preserve">This delivery alteration is further described under the </w:t>
      </w:r>
      <w:hyperlink w:anchor="_Residential_Program_Delivery" w:history="1">
        <w:r w:rsidR="00FB4ABD" w:rsidRPr="00EE6266">
          <w:rPr>
            <w:rStyle w:val="Hyperlink"/>
          </w:rPr>
          <w:t>Residential Program Delivery Changes for 2016</w:t>
        </w:r>
      </w:hyperlink>
      <w:r w:rsidR="00FB4ABD">
        <w:rPr>
          <w:spacing w:val="-3"/>
        </w:rPr>
        <w:t xml:space="preserve"> heading in this plan. </w:t>
      </w:r>
      <w:r w:rsidR="00F34C83" w:rsidRPr="0068556F">
        <w:rPr>
          <w:spacing w:val="-3"/>
        </w:rPr>
        <w:t xml:space="preserve"> We are also incorporating updates to include rebate tracking by paid date</w:t>
      </w:r>
      <w:r w:rsidR="00C81A00">
        <w:rPr>
          <w:spacing w:val="-3"/>
        </w:rPr>
        <w:t xml:space="preserve"> </w:t>
      </w:r>
      <w:r w:rsidR="00F34C83" w:rsidRPr="0068556F">
        <w:rPr>
          <w:spacing w:val="-3"/>
        </w:rPr>
        <w:t>vs install date</w:t>
      </w:r>
      <w:r w:rsidR="00C81A00">
        <w:rPr>
          <w:spacing w:val="-3"/>
        </w:rPr>
        <w:t xml:space="preserve"> (</w:t>
      </w:r>
      <w:hyperlink w:anchor="_CY_2016_&amp;" w:history="1">
        <w:r w:rsidR="00C81A00" w:rsidRPr="00C81A00">
          <w:rPr>
            <w:rStyle w:val="Hyperlink"/>
            <w:spacing w:val="-3"/>
          </w:rPr>
          <w:t>see CY</w:t>
        </w:r>
        <w:r w:rsidR="00C81A00">
          <w:rPr>
            <w:rStyle w:val="Hyperlink"/>
            <w:spacing w:val="-3"/>
          </w:rPr>
          <w:t xml:space="preserve"> </w:t>
        </w:r>
        <w:r w:rsidR="00C81A00" w:rsidRPr="00C81A00">
          <w:rPr>
            <w:rStyle w:val="Hyperlink"/>
            <w:spacing w:val="-3"/>
          </w:rPr>
          <w:t xml:space="preserve">2016 </w:t>
        </w:r>
        <w:r w:rsidR="00C81A00">
          <w:rPr>
            <w:rStyle w:val="Hyperlink"/>
            <w:spacing w:val="-3"/>
          </w:rPr>
          <w:t xml:space="preserve">&amp; </w:t>
        </w:r>
        <w:r w:rsidR="00C81A00" w:rsidRPr="00C81A00">
          <w:rPr>
            <w:rStyle w:val="Hyperlink"/>
            <w:spacing w:val="-3"/>
          </w:rPr>
          <w:t>2017 Targets</w:t>
        </w:r>
      </w:hyperlink>
      <w:r w:rsidR="00C81A00">
        <w:rPr>
          <w:spacing w:val="-3"/>
        </w:rPr>
        <w:t>)</w:t>
      </w:r>
      <w:r w:rsidR="00F34C83" w:rsidRPr="0068556F">
        <w:rPr>
          <w:spacing w:val="-3"/>
        </w:rPr>
        <w:t xml:space="preserve"> and discussing alterations to incentive levels with the CAG.  </w:t>
      </w:r>
      <w:r w:rsidRPr="0068556F">
        <w:rPr>
          <w:spacing w:val="-3"/>
        </w:rPr>
        <w:t xml:space="preserve"> </w:t>
      </w:r>
    </w:p>
    <w:p w:rsidR="00F513A3" w:rsidRPr="0068556F" w:rsidRDefault="00F513A3"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p>
    <w:p w:rsidR="00F34C83" w:rsidRPr="0068556F" w:rsidRDefault="00F34C83" w:rsidP="0068556F">
      <w:pPr>
        <w:pStyle w:val="Heading1"/>
        <w:spacing w:line="276" w:lineRule="auto"/>
        <w:rPr>
          <w:rFonts w:ascii="Arial" w:hAnsi="Arial" w:cs="Arial"/>
        </w:rPr>
      </w:pPr>
      <w:bookmarkStart w:id="1" w:name="_Toc437853969"/>
      <w:r w:rsidRPr="0068556F">
        <w:rPr>
          <w:rFonts w:ascii="Arial" w:hAnsi="Arial" w:cs="Arial"/>
        </w:rPr>
        <w:t>Overview</w:t>
      </w:r>
      <w:bookmarkEnd w:id="1"/>
    </w:p>
    <w:p w:rsidR="00525FE4" w:rsidRPr="0068556F" w:rsidRDefault="00070F78"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r w:rsidRPr="0068556F">
        <w:rPr>
          <w:spacing w:val="-3"/>
        </w:rPr>
        <w:t>U</w:t>
      </w:r>
      <w:r w:rsidR="00EC15E7" w:rsidRPr="0068556F">
        <w:rPr>
          <w:spacing w:val="-3"/>
        </w:rPr>
        <w:t>tilities engage in Demand Side Management (DSM) activities</w:t>
      </w:r>
      <w:r w:rsidRPr="0068556F">
        <w:rPr>
          <w:spacing w:val="-3"/>
        </w:rPr>
        <w:t xml:space="preserve"> for a variety of reasons including regulatory requirements, resource planning and environmental stewardship.</w:t>
      </w:r>
      <w:r w:rsidR="00EC15E7" w:rsidRPr="0068556F">
        <w:rPr>
          <w:spacing w:val="-3"/>
        </w:rPr>
        <w:t xml:space="preserve"> DSM</w:t>
      </w:r>
      <w:r w:rsidR="00525FE4" w:rsidRPr="0068556F">
        <w:rPr>
          <w:spacing w:val="-3"/>
        </w:rPr>
        <w:t xml:space="preserve"> resources are generally thought of as conservation measures or actions that result in the reduction of natural gas consumption due to increases in efficiency of energy use or load management. </w:t>
      </w:r>
      <w:r w:rsidR="00EC15E7" w:rsidRPr="0068556F">
        <w:rPr>
          <w:spacing w:val="-3"/>
        </w:rPr>
        <w:t xml:space="preserve">The </w:t>
      </w:r>
      <w:r w:rsidR="00525FE4" w:rsidRPr="0068556F">
        <w:rPr>
          <w:spacing w:val="-3"/>
        </w:rPr>
        <w:t>Washington Utility Commissions require</w:t>
      </w:r>
      <w:r w:rsidR="00EC15E7" w:rsidRPr="0068556F">
        <w:rPr>
          <w:spacing w:val="-3"/>
        </w:rPr>
        <w:t>s</w:t>
      </w:r>
      <w:r w:rsidR="00525FE4" w:rsidRPr="0068556F">
        <w:rPr>
          <w:spacing w:val="-3"/>
        </w:rPr>
        <w:t xml:space="preserve"> gas utilities to consider cost-effective DSM resources in their energy portfolio on an equal and comparable basis with </w:t>
      </w:r>
      <w:r w:rsidR="00525FE4" w:rsidRPr="0068556F">
        <w:rPr>
          <w:spacing w:val="-3"/>
        </w:rPr>
        <w:lastRenderedPageBreak/>
        <w:t xml:space="preserve">supply side resources. In the gas industry, DSM resources are conservation measures that include but are not limited to ceiling, wall and floor insulation, higher efficiency gas appliances, insulated windows and doors, ventilation heat recovery systems and weather stripping. By prompting customers to change their demand for gas, Cascade </w:t>
      </w:r>
      <w:r w:rsidR="00EC15E7" w:rsidRPr="0068556F">
        <w:rPr>
          <w:spacing w:val="-3"/>
        </w:rPr>
        <w:t>displaces</w:t>
      </w:r>
      <w:r w:rsidR="00525FE4" w:rsidRPr="0068556F">
        <w:rPr>
          <w:spacing w:val="-3"/>
        </w:rPr>
        <w:t xml:space="preserve"> the need to purchase additional gas supplies, displace</w:t>
      </w:r>
      <w:r w:rsidR="00EC15E7" w:rsidRPr="0068556F">
        <w:rPr>
          <w:spacing w:val="-3"/>
        </w:rPr>
        <w:t>s</w:t>
      </w:r>
      <w:r w:rsidR="00525FE4" w:rsidRPr="0068556F">
        <w:rPr>
          <w:spacing w:val="-3"/>
        </w:rPr>
        <w:t xml:space="preserve"> or delay</w:t>
      </w:r>
      <w:r w:rsidR="00EC15E7" w:rsidRPr="0068556F">
        <w:rPr>
          <w:spacing w:val="-3"/>
        </w:rPr>
        <w:t>s</w:t>
      </w:r>
      <w:r w:rsidR="00525FE4" w:rsidRPr="0068556F">
        <w:rPr>
          <w:spacing w:val="-3"/>
        </w:rPr>
        <w:t xml:space="preserve"> contracting for incremental pipeline capacity, and possibly displace</w:t>
      </w:r>
      <w:r w:rsidR="00EC15E7" w:rsidRPr="0068556F">
        <w:rPr>
          <w:spacing w:val="-3"/>
        </w:rPr>
        <w:t>s</w:t>
      </w:r>
      <w:r w:rsidR="00525FE4" w:rsidRPr="0068556F">
        <w:rPr>
          <w:spacing w:val="-3"/>
        </w:rPr>
        <w:t xml:space="preserve"> or delay</w:t>
      </w:r>
      <w:r w:rsidR="00EC15E7" w:rsidRPr="0068556F">
        <w:rPr>
          <w:spacing w:val="-3"/>
        </w:rPr>
        <w:t>s</w:t>
      </w:r>
      <w:r w:rsidR="00525FE4" w:rsidRPr="0068556F">
        <w:rPr>
          <w:spacing w:val="-3"/>
        </w:rPr>
        <w:t xml:space="preserve"> the need for reinforcements on the Company’s distribution system.</w:t>
      </w: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sz w:val="18"/>
        </w:rPr>
      </w:pP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180"/>
        <w:contextualSpacing/>
        <w:jc w:val="both"/>
        <w:rPr>
          <w:spacing w:val="-3"/>
        </w:rPr>
      </w:pPr>
      <w:r w:rsidRPr="0068556F">
        <w:rPr>
          <w:spacing w:val="-3"/>
        </w:rPr>
        <w:t>There are two basic types of demand side resources</w:t>
      </w:r>
      <w:r w:rsidR="00EC15E7" w:rsidRPr="0068556F">
        <w:rPr>
          <w:spacing w:val="-3"/>
        </w:rPr>
        <w:t xml:space="preserve"> </w:t>
      </w:r>
      <w:r w:rsidR="004076C4" w:rsidRPr="0068556F">
        <w:rPr>
          <w:spacing w:val="-3"/>
        </w:rPr>
        <w:t>- baseload</w:t>
      </w:r>
      <w:r w:rsidRPr="0068556F">
        <w:rPr>
          <w:spacing w:val="-3"/>
        </w:rPr>
        <w:t xml:space="preserve"> resources and heat sensitive resources. Baseload options are those that displace the need for baseload supply-side resources. They will offset gas supply requirements </w:t>
      </w:r>
      <w:r w:rsidR="00EC15E7" w:rsidRPr="0068556F">
        <w:rPr>
          <w:spacing w:val="-3"/>
        </w:rPr>
        <w:t>daily,</w:t>
      </w:r>
      <w:r w:rsidRPr="0068556F">
        <w:rPr>
          <w:spacing w:val="-3"/>
        </w:rPr>
        <w:t xml:space="preserve"> regardless of the weather. Baseload DSM resources include high efficiency water heaters, higher efficiency cooking equipment and horizontal axis washers. Heat sensitive DSM resources are measures whose therm savings increase during cold weather.  For example, a high efficiency furnace will lower therm usage in the winter months when the furnace is utilized the most and will provide little if any savings in the summer months when the furnace is rarely used or is turned off. Examples of heat sensitive DSM measures include ceiling, floor, or wall insulation measures, high efficiency gas furnaces, and improvements to duct work. These types of measures offset more of the peaking or seasonal gas supply resources, which are typically more expensive than baseload supplies.</w:t>
      </w:r>
    </w:p>
    <w:p w:rsidR="00525FE4" w:rsidRPr="0068556F" w:rsidRDefault="00525FE4" w:rsidP="0068556F">
      <w:pPr>
        <w:spacing w:after="0"/>
        <w:ind w:right="-7"/>
        <w:contextualSpacing/>
        <w:jc w:val="both"/>
      </w:pPr>
    </w:p>
    <w:p w:rsidR="00B0242A" w:rsidRDefault="008940DA" w:rsidP="004076C4">
      <w:pPr>
        <w:pStyle w:val="Heading2"/>
      </w:pPr>
      <w:bookmarkStart w:id="2" w:name="_Toc437853970"/>
      <w:r w:rsidRPr="00E37866">
        <w:t xml:space="preserve">Program Goals </w:t>
      </w:r>
      <w:r w:rsidR="00346294" w:rsidRPr="00E37866">
        <w:t>&amp; Budgets</w:t>
      </w:r>
      <w:r w:rsidRPr="00E37866">
        <w:t>–</w:t>
      </w:r>
      <w:r w:rsidR="009D1C00" w:rsidRPr="00E37866">
        <w:t xml:space="preserve"> at a glance</w:t>
      </w:r>
      <w:r w:rsidRPr="00E37866">
        <w:t xml:space="preserve"> 2016 &amp; 2017</w:t>
      </w:r>
      <w:bookmarkEnd w:id="2"/>
    </w:p>
    <w:p w:rsidR="008C0927" w:rsidRPr="008C0927" w:rsidRDefault="008C0927" w:rsidP="008C0927"/>
    <w:p w:rsidR="00B0242A" w:rsidRPr="0068556F" w:rsidRDefault="00B0242A" w:rsidP="0068556F">
      <w:pPr>
        <w:numPr>
          <w:ilvl w:val="12"/>
          <w:numId w:val="0"/>
        </w:numPr>
        <w:tabs>
          <w:tab w:val="left" w:pos="-1440"/>
          <w:tab w:val="left" w:pos="-720"/>
          <w:tab w:val="left" w:pos="0"/>
          <w:tab w:val="left" w:pos="1080"/>
          <w:tab w:val="left" w:pos="1440"/>
        </w:tabs>
        <w:suppressAutoHyphens/>
        <w:spacing w:after="0"/>
        <w:ind w:right="-7"/>
        <w:contextualSpacing/>
        <w:jc w:val="center"/>
        <w:rPr>
          <w:b/>
          <w:spacing w:val="-3"/>
        </w:rPr>
      </w:pPr>
      <w:r w:rsidRPr="0068556F">
        <w:rPr>
          <w:b/>
          <w:spacing w:val="-3"/>
        </w:rPr>
        <w:t>Table 1</w:t>
      </w:r>
    </w:p>
    <w:tbl>
      <w:tblPr>
        <w:tblW w:w="10185" w:type="dxa"/>
        <w:tblInd w:w="93" w:type="dxa"/>
        <w:tblLayout w:type="fixed"/>
        <w:tblLook w:val="04A0" w:firstRow="1" w:lastRow="0" w:firstColumn="1" w:lastColumn="0" w:noHBand="0" w:noVBand="1"/>
      </w:tblPr>
      <w:tblGrid>
        <w:gridCol w:w="1005"/>
        <w:gridCol w:w="1170"/>
        <w:gridCol w:w="1260"/>
        <w:gridCol w:w="900"/>
        <w:gridCol w:w="1170"/>
        <w:gridCol w:w="1170"/>
        <w:gridCol w:w="1260"/>
        <w:gridCol w:w="900"/>
        <w:gridCol w:w="1350"/>
      </w:tblGrid>
      <w:tr w:rsidR="009D1C00" w:rsidRPr="0068556F" w:rsidTr="008F1678">
        <w:trPr>
          <w:trHeight w:val="315"/>
        </w:trPr>
        <w:tc>
          <w:tcPr>
            <w:tcW w:w="1005" w:type="dxa"/>
            <w:tcBorders>
              <w:top w:val="single" w:sz="8" w:space="0" w:color="auto"/>
              <w:left w:val="single" w:sz="8" w:space="0" w:color="auto"/>
              <w:bottom w:val="nil"/>
              <w:right w:val="single" w:sz="8" w:space="0" w:color="auto"/>
            </w:tcBorders>
            <w:shd w:val="clear" w:color="auto" w:fill="auto"/>
            <w:vAlign w:val="center"/>
            <w:hideMark/>
          </w:tcPr>
          <w:p w:rsidR="009D1C00" w:rsidRPr="0068556F" w:rsidRDefault="009D1C00" w:rsidP="0068556F">
            <w:pPr>
              <w:widowControl/>
              <w:spacing w:after="0"/>
              <w:jc w:val="center"/>
              <w:rPr>
                <w:b/>
                <w:bCs/>
                <w:i/>
                <w:iCs/>
                <w:color w:val="000000"/>
                <w:sz w:val="20"/>
                <w:szCs w:val="20"/>
              </w:rPr>
            </w:pPr>
            <w:r w:rsidRPr="0068556F">
              <w:rPr>
                <w:b/>
                <w:bCs/>
                <w:i/>
                <w:iCs/>
                <w:color w:val="000000"/>
                <w:sz w:val="20"/>
                <w:szCs w:val="20"/>
              </w:rPr>
              <w:t> </w:t>
            </w:r>
          </w:p>
        </w:tc>
        <w:tc>
          <w:tcPr>
            <w:tcW w:w="4500" w:type="dxa"/>
            <w:gridSpan w:val="4"/>
            <w:tcBorders>
              <w:top w:val="single" w:sz="8" w:space="0" w:color="auto"/>
              <w:left w:val="nil"/>
              <w:bottom w:val="single" w:sz="8" w:space="0" w:color="auto"/>
              <w:right w:val="single" w:sz="8" w:space="0" w:color="000000"/>
            </w:tcBorders>
            <w:shd w:val="clear" w:color="000000" w:fill="31869B"/>
            <w:vAlign w:val="center"/>
            <w:hideMark/>
          </w:tcPr>
          <w:p w:rsidR="009D1C00" w:rsidRPr="0068556F" w:rsidRDefault="009D1C00" w:rsidP="0068556F">
            <w:pPr>
              <w:widowControl/>
              <w:spacing w:after="0"/>
              <w:jc w:val="center"/>
              <w:rPr>
                <w:b/>
                <w:bCs/>
                <w:color w:val="000000"/>
                <w:sz w:val="20"/>
                <w:szCs w:val="20"/>
              </w:rPr>
            </w:pPr>
            <w:r w:rsidRPr="0068556F">
              <w:rPr>
                <w:b/>
                <w:bCs/>
                <w:color w:val="000000"/>
                <w:sz w:val="20"/>
                <w:szCs w:val="20"/>
              </w:rPr>
              <w:t>Calendar Year 2016</w:t>
            </w:r>
          </w:p>
        </w:tc>
        <w:tc>
          <w:tcPr>
            <w:tcW w:w="4680" w:type="dxa"/>
            <w:gridSpan w:val="4"/>
            <w:tcBorders>
              <w:top w:val="single" w:sz="8" w:space="0" w:color="auto"/>
              <w:left w:val="nil"/>
              <w:bottom w:val="single" w:sz="8" w:space="0" w:color="auto"/>
              <w:right w:val="single" w:sz="8" w:space="0" w:color="000000"/>
            </w:tcBorders>
            <w:shd w:val="clear" w:color="000000" w:fill="31869B"/>
            <w:vAlign w:val="center"/>
            <w:hideMark/>
          </w:tcPr>
          <w:p w:rsidR="009D1C00" w:rsidRPr="0068556F" w:rsidRDefault="009D1C00" w:rsidP="0068556F">
            <w:pPr>
              <w:widowControl/>
              <w:spacing w:after="0"/>
              <w:jc w:val="center"/>
              <w:rPr>
                <w:b/>
                <w:bCs/>
                <w:color w:val="000000"/>
                <w:sz w:val="20"/>
                <w:szCs w:val="20"/>
              </w:rPr>
            </w:pPr>
            <w:r w:rsidRPr="0068556F">
              <w:rPr>
                <w:b/>
                <w:bCs/>
                <w:color w:val="000000"/>
                <w:sz w:val="20"/>
                <w:szCs w:val="20"/>
              </w:rPr>
              <w:t>Calendar Year 2017</w:t>
            </w:r>
          </w:p>
        </w:tc>
      </w:tr>
      <w:tr w:rsidR="000A4974" w:rsidRPr="0068556F" w:rsidTr="00E74785">
        <w:trPr>
          <w:trHeight w:val="300"/>
        </w:trPr>
        <w:tc>
          <w:tcPr>
            <w:tcW w:w="1005"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rPr>
                <w:color w:val="000000"/>
                <w:sz w:val="19"/>
                <w:szCs w:val="19"/>
              </w:rPr>
            </w:pPr>
            <w:r w:rsidRPr="0068556F">
              <w:rPr>
                <w:color w:val="000000"/>
                <w:sz w:val="19"/>
                <w:szCs w:val="19"/>
              </w:rPr>
              <w:t> </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Residential</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Commercial/ Industrial</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Low Income</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Total</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Residential</w:t>
            </w:r>
          </w:p>
        </w:tc>
        <w:tc>
          <w:tcPr>
            <w:tcW w:w="1260" w:type="dxa"/>
            <w:tcBorders>
              <w:top w:val="nil"/>
              <w:left w:val="nil"/>
              <w:bottom w:val="nil"/>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Commercial</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Low Income</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Total</w:t>
            </w:r>
          </w:p>
        </w:tc>
      </w:tr>
      <w:tr w:rsidR="009D1C00" w:rsidRPr="0068556F" w:rsidTr="00E74785">
        <w:trPr>
          <w:trHeight w:val="315"/>
        </w:trPr>
        <w:tc>
          <w:tcPr>
            <w:tcW w:w="1005"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17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26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90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17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17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26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Industrial</w:t>
            </w:r>
          </w:p>
        </w:tc>
        <w:tc>
          <w:tcPr>
            <w:tcW w:w="90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c>
          <w:tcPr>
            <w:tcW w:w="1350" w:type="dxa"/>
            <w:vMerge/>
            <w:tcBorders>
              <w:top w:val="nil"/>
              <w:left w:val="single" w:sz="8" w:space="0" w:color="auto"/>
              <w:bottom w:val="single" w:sz="8" w:space="0" w:color="000000"/>
              <w:right w:val="single" w:sz="8" w:space="0" w:color="auto"/>
            </w:tcBorders>
            <w:vAlign w:val="center"/>
            <w:hideMark/>
          </w:tcPr>
          <w:p w:rsidR="009D1C00" w:rsidRPr="0068556F" w:rsidRDefault="009D1C00" w:rsidP="0068556F">
            <w:pPr>
              <w:widowControl/>
              <w:spacing w:after="0"/>
              <w:rPr>
                <w:color w:val="000000"/>
                <w:sz w:val="19"/>
                <w:szCs w:val="19"/>
              </w:rPr>
            </w:pPr>
          </w:p>
        </w:tc>
      </w:tr>
      <w:tr w:rsidR="009D1C00" w:rsidRPr="0068556F" w:rsidTr="00E74785">
        <w:trPr>
          <w:trHeight w:val="525"/>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9D1C00" w:rsidRPr="008F1678" w:rsidRDefault="009D1C00" w:rsidP="008F1678">
            <w:pPr>
              <w:widowControl/>
              <w:spacing w:after="0"/>
              <w:jc w:val="center"/>
              <w:rPr>
                <w:b/>
                <w:bCs/>
                <w:color w:val="000000"/>
                <w:sz w:val="19"/>
                <w:szCs w:val="19"/>
                <w:vertAlign w:val="superscript"/>
              </w:rPr>
            </w:pPr>
            <w:r w:rsidRPr="0068556F">
              <w:rPr>
                <w:b/>
                <w:bCs/>
                <w:color w:val="000000"/>
                <w:sz w:val="19"/>
                <w:szCs w:val="19"/>
              </w:rPr>
              <w:t>Program Budget</w:t>
            </w:r>
            <w:r w:rsidR="008F1678">
              <w:rPr>
                <w:b/>
                <w:bCs/>
                <w:color w:val="000000"/>
                <w:sz w:val="19"/>
                <w:szCs w:val="19"/>
                <w:vertAlign w:val="superscript"/>
              </w:rPr>
              <w:t>1</w:t>
            </w:r>
          </w:p>
        </w:tc>
        <w:tc>
          <w:tcPr>
            <w:tcW w:w="117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xml:space="preserve">$507,199 </w:t>
            </w:r>
          </w:p>
        </w:tc>
        <w:tc>
          <w:tcPr>
            <w:tcW w:w="126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$983,301</w:t>
            </w:r>
          </w:p>
        </w:tc>
        <w:tc>
          <w:tcPr>
            <w:tcW w:w="900" w:type="dxa"/>
            <w:tcBorders>
              <w:top w:val="nil"/>
              <w:left w:val="nil"/>
              <w:bottom w:val="single" w:sz="8" w:space="0" w:color="auto"/>
              <w:right w:val="single" w:sz="8" w:space="0" w:color="auto"/>
            </w:tcBorders>
            <w:shd w:val="clear" w:color="000000" w:fill="D9D9D9"/>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w:t>
            </w:r>
          </w:p>
        </w:tc>
        <w:tc>
          <w:tcPr>
            <w:tcW w:w="117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xml:space="preserve">$1,490,500 </w:t>
            </w:r>
          </w:p>
        </w:tc>
        <w:tc>
          <w:tcPr>
            <w:tcW w:w="1170" w:type="dxa"/>
            <w:tcBorders>
              <w:top w:val="nil"/>
              <w:left w:val="nil"/>
              <w:bottom w:val="single" w:sz="8" w:space="0" w:color="auto"/>
              <w:right w:val="single" w:sz="8" w:space="0" w:color="auto"/>
            </w:tcBorders>
            <w:shd w:val="clear" w:color="auto" w:fill="auto"/>
            <w:vAlign w:val="center"/>
            <w:hideMark/>
          </w:tcPr>
          <w:p w:rsidR="009D1C00" w:rsidRPr="00844387" w:rsidRDefault="009D1C00" w:rsidP="0068556F">
            <w:pPr>
              <w:widowControl/>
              <w:spacing w:after="0"/>
              <w:jc w:val="center"/>
              <w:rPr>
                <w:color w:val="000000"/>
                <w:sz w:val="19"/>
                <w:szCs w:val="19"/>
              </w:rPr>
            </w:pPr>
            <w:r w:rsidRPr="00E74785">
              <w:rPr>
                <w:color w:val="000000"/>
                <w:sz w:val="19"/>
                <w:szCs w:val="19"/>
              </w:rPr>
              <w:t>$524,951</w:t>
            </w:r>
            <w:r w:rsidRPr="00844387">
              <w:rPr>
                <w:color w:val="000000"/>
                <w:sz w:val="19"/>
                <w:szCs w:val="19"/>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9D1C00" w:rsidRPr="00867B89" w:rsidRDefault="009D1C00" w:rsidP="0068556F">
            <w:pPr>
              <w:widowControl/>
              <w:spacing w:after="0"/>
              <w:jc w:val="center"/>
              <w:rPr>
                <w:color w:val="000000"/>
                <w:sz w:val="19"/>
                <w:szCs w:val="19"/>
              </w:rPr>
            </w:pPr>
            <w:r w:rsidRPr="00867B89">
              <w:rPr>
                <w:color w:val="000000"/>
                <w:sz w:val="19"/>
                <w:szCs w:val="19"/>
              </w:rPr>
              <w:t xml:space="preserve">$1,017,717 </w:t>
            </w:r>
          </w:p>
        </w:tc>
        <w:tc>
          <w:tcPr>
            <w:tcW w:w="900" w:type="dxa"/>
            <w:tcBorders>
              <w:top w:val="nil"/>
              <w:left w:val="nil"/>
              <w:bottom w:val="single" w:sz="8" w:space="0" w:color="auto"/>
              <w:right w:val="single" w:sz="8" w:space="0" w:color="auto"/>
            </w:tcBorders>
            <w:shd w:val="clear" w:color="000000" w:fill="D9D9D9"/>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w:t>
            </w:r>
          </w:p>
        </w:tc>
        <w:tc>
          <w:tcPr>
            <w:tcW w:w="135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xml:space="preserve">$1,542,668 </w:t>
            </w:r>
          </w:p>
        </w:tc>
      </w:tr>
      <w:tr w:rsidR="009D1C00" w:rsidRPr="0068556F" w:rsidTr="00E74785">
        <w:trPr>
          <w:trHeight w:val="525"/>
        </w:trPr>
        <w:tc>
          <w:tcPr>
            <w:tcW w:w="1005" w:type="dxa"/>
            <w:tcBorders>
              <w:top w:val="nil"/>
              <w:left w:val="single" w:sz="8" w:space="0" w:color="auto"/>
              <w:bottom w:val="single" w:sz="8" w:space="0" w:color="auto"/>
              <w:right w:val="single" w:sz="8" w:space="0" w:color="auto"/>
            </w:tcBorders>
            <w:shd w:val="clear" w:color="auto" w:fill="auto"/>
            <w:vAlign w:val="center"/>
            <w:hideMark/>
          </w:tcPr>
          <w:p w:rsidR="009D1C00" w:rsidRPr="0068556F" w:rsidRDefault="008F1678" w:rsidP="0068556F">
            <w:pPr>
              <w:widowControl/>
              <w:spacing w:after="0"/>
              <w:jc w:val="center"/>
              <w:rPr>
                <w:b/>
                <w:bCs/>
                <w:color w:val="000000"/>
                <w:sz w:val="19"/>
                <w:szCs w:val="19"/>
              </w:rPr>
            </w:pPr>
            <w:r>
              <w:rPr>
                <w:b/>
                <w:bCs/>
                <w:color w:val="000000"/>
                <w:sz w:val="19"/>
                <w:szCs w:val="19"/>
              </w:rPr>
              <w:t>Therm Targets</w:t>
            </w:r>
            <w:r w:rsidRPr="008F1678">
              <w:rPr>
                <w:b/>
                <w:bCs/>
                <w:color w:val="000000"/>
                <w:sz w:val="19"/>
                <w:szCs w:val="19"/>
                <w:vertAlign w:val="superscript"/>
              </w:rPr>
              <w:t>2</w:t>
            </w:r>
          </w:p>
        </w:tc>
        <w:tc>
          <w:tcPr>
            <w:tcW w:w="117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409,975</w:t>
            </w:r>
          </w:p>
        </w:tc>
        <w:tc>
          <w:tcPr>
            <w:tcW w:w="1260" w:type="dxa"/>
            <w:tcBorders>
              <w:top w:val="nil"/>
              <w:left w:val="nil"/>
              <w:bottom w:val="single" w:sz="8" w:space="0" w:color="auto"/>
              <w:right w:val="single" w:sz="8" w:space="0" w:color="auto"/>
            </w:tcBorders>
            <w:shd w:val="clear" w:color="auto" w:fill="auto"/>
            <w:vAlign w:val="center"/>
            <w:hideMark/>
          </w:tcPr>
          <w:p w:rsidR="009D1C00" w:rsidRPr="0068556F" w:rsidRDefault="00867B89" w:rsidP="0068556F">
            <w:pPr>
              <w:widowControl/>
              <w:spacing w:after="0"/>
              <w:jc w:val="center"/>
              <w:rPr>
                <w:color w:val="000000"/>
                <w:sz w:val="19"/>
                <w:szCs w:val="19"/>
              </w:rPr>
            </w:pPr>
            <w:r>
              <w:rPr>
                <w:color w:val="000000"/>
                <w:sz w:val="19"/>
                <w:szCs w:val="19"/>
              </w:rPr>
              <w:t>565,940</w:t>
            </w:r>
          </w:p>
        </w:tc>
        <w:tc>
          <w:tcPr>
            <w:tcW w:w="90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7,000</w:t>
            </w:r>
          </w:p>
        </w:tc>
        <w:tc>
          <w:tcPr>
            <w:tcW w:w="1170" w:type="dxa"/>
            <w:tcBorders>
              <w:top w:val="nil"/>
              <w:left w:val="nil"/>
              <w:bottom w:val="single" w:sz="8" w:space="0" w:color="auto"/>
              <w:right w:val="single" w:sz="8" w:space="0" w:color="auto"/>
            </w:tcBorders>
            <w:shd w:val="clear" w:color="auto" w:fill="auto"/>
            <w:vAlign w:val="center"/>
            <w:hideMark/>
          </w:tcPr>
          <w:p w:rsidR="009D1C00" w:rsidRPr="0068556F" w:rsidRDefault="00867B89" w:rsidP="0068556F">
            <w:pPr>
              <w:widowControl/>
              <w:spacing w:after="0"/>
              <w:jc w:val="center"/>
              <w:rPr>
                <w:b/>
                <w:bCs/>
                <w:color w:val="000000"/>
                <w:sz w:val="19"/>
                <w:szCs w:val="19"/>
              </w:rPr>
            </w:pPr>
            <w:r>
              <w:rPr>
                <w:b/>
                <w:bCs/>
                <w:color w:val="000000"/>
                <w:sz w:val="19"/>
                <w:szCs w:val="19"/>
              </w:rPr>
              <w:t>975,915</w:t>
            </w:r>
          </w:p>
        </w:tc>
        <w:tc>
          <w:tcPr>
            <w:tcW w:w="1170" w:type="dxa"/>
            <w:tcBorders>
              <w:top w:val="nil"/>
              <w:left w:val="nil"/>
              <w:bottom w:val="single" w:sz="8" w:space="0" w:color="auto"/>
              <w:right w:val="single" w:sz="8" w:space="0" w:color="auto"/>
            </w:tcBorders>
            <w:shd w:val="clear" w:color="auto" w:fill="auto"/>
            <w:vAlign w:val="center"/>
            <w:hideMark/>
          </w:tcPr>
          <w:p w:rsidR="009D1C00" w:rsidRPr="008F1678" w:rsidRDefault="00867B89" w:rsidP="0068556F">
            <w:pPr>
              <w:widowControl/>
              <w:spacing w:after="0"/>
              <w:jc w:val="center"/>
              <w:rPr>
                <w:color w:val="000000"/>
                <w:sz w:val="19"/>
                <w:szCs w:val="19"/>
                <w:vertAlign w:val="superscript"/>
              </w:rPr>
            </w:pPr>
            <w:r w:rsidRPr="00867B89">
              <w:rPr>
                <w:color w:val="000000"/>
                <w:sz w:val="19"/>
                <w:szCs w:val="19"/>
              </w:rPr>
              <w:t>419,773</w:t>
            </w:r>
            <w:r w:rsidR="008F1678">
              <w:rPr>
                <w:color w:val="000000"/>
                <w:sz w:val="19"/>
                <w:szCs w:val="19"/>
                <w:vertAlign w:val="superscript"/>
              </w:rPr>
              <w:t>3</w:t>
            </w:r>
          </w:p>
        </w:tc>
        <w:tc>
          <w:tcPr>
            <w:tcW w:w="1260" w:type="dxa"/>
            <w:tcBorders>
              <w:top w:val="nil"/>
              <w:left w:val="nil"/>
              <w:bottom w:val="single" w:sz="8" w:space="0" w:color="auto"/>
              <w:right w:val="single" w:sz="8" w:space="0" w:color="auto"/>
            </w:tcBorders>
            <w:shd w:val="clear" w:color="auto" w:fill="auto"/>
            <w:vAlign w:val="center"/>
            <w:hideMark/>
          </w:tcPr>
          <w:p w:rsidR="009D1C00" w:rsidRPr="00867B89" w:rsidRDefault="00867B89" w:rsidP="0068556F">
            <w:pPr>
              <w:widowControl/>
              <w:spacing w:after="0"/>
              <w:jc w:val="center"/>
              <w:rPr>
                <w:color w:val="000000"/>
                <w:sz w:val="19"/>
                <w:szCs w:val="19"/>
              </w:rPr>
            </w:pPr>
            <w:r w:rsidRPr="00867B89">
              <w:rPr>
                <w:color w:val="000000"/>
                <w:sz w:val="19"/>
                <w:szCs w:val="19"/>
              </w:rPr>
              <w:t>608,074</w:t>
            </w:r>
          </w:p>
        </w:tc>
        <w:tc>
          <w:tcPr>
            <w:tcW w:w="90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15,000</w:t>
            </w:r>
          </w:p>
        </w:tc>
        <w:tc>
          <w:tcPr>
            <w:tcW w:w="1350" w:type="dxa"/>
            <w:tcBorders>
              <w:top w:val="nil"/>
              <w:left w:val="nil"/>
              <w:bottom w:val="single" w:sz="8" w:space="0" w:color="auto"/>
              <w:right w:val="single" w:sz="8" w:space="0" w:color="auto"/>
            </w:tcBorders>
            <w:shd w:val="clear" w:color="auto" w:fill="auto"/>
            <w:vAlign w:val="center"/>
            <w:hideMark/>
          </w:tcPr>
          <w:p w:rsidR="009D1C00" w:rsidRPr="0068556F" w:rsidRDefault="00867B89" w:rsidP="0068556F">
            <w:pPr>
              <w:widowControl/>
              <w:spacing w:after="0"/>
              <w:jc w:val="center"/>
              <w:rPr>
                <w:b/>
                <w:bCs/>
                <w:color w:val="000000"/>
                <w:sz w:val="19"/>
                <w:szCs w:val="19"/>
              </w:rPr>
            </w:pPr>
            <w:r>
              <w:rPr>
                <w:b/>
                <w:bCs/>
                <w:color w:val="000000"/>
                <w:sz w:val="19"/>
                <w:szCs w:val="19"/>
              </w:rPr>
              <w:t>1,027,847</w:t>
            </w:r>
          </w:p>
        </w:tc>
      </w:tr>
      <w:tr w:rsidR="009D1C00" w:rsidRPr="0068556F" w:rsidTr="00EE6266">
        <w:trPr>
          <w:trHeight w:val="465"/>
        </w:trPr>
        <w:tc>
          <w:tcPr>
            <w:tcW w:w="433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NEEA Natural Gas Market Transformation efforts</w:t>
            </w:r>
          </w:p>
        </w:tc>
        <w:tc>
          <w:tcPr>
            <w:tcW w:w="117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$244,996</w:t>
            </w:r>
          </w:p>
        </w:tc>
        <w:tc>
          <w:tcPr>
            <w:tcW w:w="3330" w:type="dxa"/>
            <w:gridSpan w:val="3"/>
            <w:tcBorders>
              <w:top w:val="single" w:sz="8" w:space="0" w:color="auto"/>
              <w:left w:val="nil"/>
              <w:bottom w:val="single" w:sz="8" w:space="0" w:color="auto"/>
              <w:right w:val="single" w:sz="8" w:space="0" w:color="000000"/>
            </w:tcBorders>
            <w:shd w:val="clear" w:color="000000" w:fill="D9D9D9"/>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w:t>
            </w:r>
          </w:p>
        </w:tc>
        <w:tc>
          <w:tcPr>
            <w:tcW w:w="1350" w:type="dxa"/>
            <w:tcBorders>
              <w:top w:val="nil"/>
              <w:left w:val="nil"/>
              <w:bottom w:val="single" w:sz="8" w:space="0" w:color="auto"/>
              <w:right w:val="single" w:sz="8" w:space="0" w:color="auto"/>
            </w:tcBorders>
            <w:shd w:val="clear" w:color="auto" w:fill="auto"/>
            <w:vAlign w:val="center"/>
            <w:hideMark/>
          </w:tcPr>
          <w:p w:rsidR="009D1C00" w:rsidRPr="0068556F" w:rsidRDefault="009D1C00" w:rsidP="0068556F">
            <w:pPr>
              <w:widowControl/>
              <w:spacing w:after="0"/>
              <w:jc w:val="center"/>
              <w:rPr>
                <w:color w:val="000000"/>
                <w:sz w:val="19"/>
                <w:szCs w:val="19"/>
              </w:rPr>
            </w:pPr>
            <w:r w:rsidRPr="0068556F">
              <w:rPr>
                <w:color w:val="000000"/>
                <w:sz w:val="19"/>
                <w:szCs w:val="19"/>
              </w:rPr>
              <w:t xml:space="preserve">$313,174 </w:t>
            </w:r>
          </w:p>
        </w:tc>
      </w:tr>
    </w:tbl>
    <w:p w:rsidR="00E67752" w:rsidRPr="008C0927" w:rsidRDefault="004D74CF" w:rsidP="008C0927">
      <w:pPr>
        <w:numPr>
          <w:ilvl w:val="12"/>
          <w:numId w:val="0"/>
        </w:numPr>
        <w:tabs>
          <w:tab w:val="left" w:pos="-1440"/>
          <w:tab w:val="left" w:pos="-720"/>
          <w:tab w:val="left" w:pos="0"/>
          <w:tab w:val="left" w:pos="1080"/>
          <w:tab w:val="left" w:pos="1440"/>
        </w:tabs>
        <w:suppressAutoHyphens/>
        <w:spacing w:after="0"/>
        <w:ind w:left="720" w:right="-7"/>
        <w:contextualSpacing/>
        <w:rPr>
          <w:i/>
          <w:iCs/>
          <w:spacing w:val="-3"/>
          <w:sz w:val="20"/>
          <w:szCs w:val="20"/>
        </w:rPr>
      </w:pPr>
      <w:r w:rsidRPr="008C0927">
        <w:rPr>
          <w:spacing w:val="-3"/>
          <w:sz w:val="20"/>
          <w:szCs w:val="20"/>
          <w:vertAlign w:val="superscript"/>
        </w:rPr>
        <w:t>1</w:t>
      </w:r>
      <w:r w:rsidRPr="008C0927">
        <w:rPr>
          <w:i/>
          <w:iCs/>
          <w:spacing w:val="-3"/>
          <w:sz w:val="20"/>
          <w:szCs w:val="20"/>
          <w:vertAlign w:val="superscript"/>
        </w:rPr>
        <w:t>.</w:t>
      </w:r>
      <w:r w:rsidRPr="008C0927">
        <w:rPr>
          <w:i/>
          <w:iCs/>
          <w:spacing w:val="-3"/>
          <w:sz w:val="20"/>
          <w:szCs w:val="20"/>
        </w:rPr>
        <w:t xml:space="preserve"> Traditionally</w:t>
      </w:r>
      <w:r w:rsidR="00E67752" w:rsidRPr="008C0927">
        <w:rPr>
          <w:i/>
          <w:iCs/>
          <w:spacing w:val="-3"/>
          <w:sz w:val="20"/>
          <w:szCs w:val="20"/>
        </w:rPr>
        <w:t xml:space="preserve"> the Company provides a range for budgeting purposes. The budget noted here is a rough estimate of the higher end of the range (+10%), with expenses potentially falling below these numbers by up to 9.1%.</w:t>
      </w:r>
    </w:p>
    <w:p w:rsidR="00E67752" w:rsidRPr="008C0927" w:rsidRDefault="00E67752" w:rsidP="008C0927">
      <w:pPr>
        <w:numPr>
          <w:ilvl w:val="12"/>
          <w:numId w:val="0"/>
        </w:numPr>
        <w:tabs>
          <w:tab w:val="left" w:pos="-1440"/>
          <w:tab w:val="left" w:pos="-720"/>
          <w:tab w:val="left" w:pos="0"/>
          <w:tab w:val="left" w:pos="1080"/>
          <w:tab w:val="left" w:pos="1440"/>
        </w:tabs>
        <w:suppressAutoHyphens/>
        <w:spacing w:after="0"/>
        <w:ind w:left="720" w:right="-7"/>
        <w:contextualSpacing/>
        <w:rPr>
          <w:bCs/>
          <w:spacing w:val="-3"/>
          <w:sz w:val="20"/>
          <w:szCs w:val="20"/>
        </w:rPr>
      </w:pPr>
      <w:r w:rsidRPr="008C0927">
        <w:rPr>
          <w:i/>
          <w:iCs/>
          <w:spacing w:val="-3"/>
          <w:sz w:val="20"/>
          <w:szCs w:val="20"/>
          <w:vertAlign w:val="superscript"/>
        </w:rPr>
        <w:t>2.</w:t>
      </w:r>
      <w:r w:rsidRPr="008C0927">
        <w:rPr>
          <w:i/>
          <w:iCs/>
          <w:spacing w:val="-3"/>
          <w:sz w:val="20"/>
          <w:szCs w:val="20"/>
        </w:rPr>
        <w:t xml:space="preserve"> Therm targets from this graph have been developed through the TEAPOT modeling tool inclusive of administrative costs – as opposed to the programmatic potential scenario from the 2014 IRP.  These targets are aspirational targets. The Company will actively work toward achievement of these goals, but program cost-effectiveness is the primary metric of success.</w:t>
      </w:r>
      <w:r w:rsidRPr="008C0927">
        <w:rPr>
          <w:bCs/>
          <w:spacing w:val="-3"/>
          <w:sz w:val="20"/>
          <w:szCs w:val="20"/>
        </w:rPr>
        <w:t xml:space="preserve">  </w:t>
      </w:r>
    </w:p>
    <w:p w:rsidR="004D74CF" w:rsidRDefault="008F1678" w:rsidP="008C0927">
      <w:pPr>
        <w:numPr>
          <w:ilvl w:val="12"/>
          <w:numId w:val="0"/>
        </w:numPr>
        <w:tabs>
          <w:tab w:val="left" w:pos="-1440"/>
          <w:tab w:val="left" w:pos="-720"/>
          <w:tab w:val="left" w:pos="0"/>
          <w:tab w:val="left" w:pos="1080"/>
          <w:tab w:val="left" w:pos="1440"/>
        </w:tabs>
        <w:suppressAutoHyphens/>
        <w:spacing w:after="0"/>
        <w:ind w:left="720" w:right="-7"/>
        <w:contextualSpacing/>
        <w:rPr>
          <w:bCs/>
          <w:spacing w:val="-3"/>
          <w:sz w:val="20"/>
          <w:szCs w:val="20"/>
        </w:rPr>
      </w:pPr>
      <w:r w:rsidRPr="008C0927">
        <w:rPr>
          <w:bCs/>
          <w:spacing w:val="-3"/>
          <w:sz w:val="20"/>
          <w:szCs w:val="20"/>
          <w:vertAlign w:val="superscript"/>
        </w:rPr>
        <w:t>3.</w:t>
      </w:r>
      <w:r>
        <w:rPr>
          <w:bCs/>
          <w:i/>
          <w:spacing w:val="-3"/>
          <w:sz w:val="20"/>
          <w:szCs w:val="20"/>
        </w:rPr>
        <w:t xml:space="preserve"> The</w:t>
      </w:r>
      <w:r w:rsidR="004D74CF" w:rsidRPr="008C0927">
        <w:rPr>
          <w:bCs/>
          <w:i/>
          <w:spacing w:val="-3"/>
          <w:sz w:val="20"/>
          <w:szCs w:val="20"/>
        </w:rPr>
        <w:t xml:space="preserve"> Company forecast residential potential under an incentive of </w:t>
      </w:r>
      <w:r w:rsidR="00380BD2">
        <w:rPr>
          <w:bCs/>
          <w:i/>
          <w:spacing w:val="-3"/>
          <w:sz w:val="20"/>
          <w:szCs w:val="20"/>
        </w:rPr>
        <w:t>3</w:t>
      </w:r>
      <w:r w:rsidR="00380BD2" w:rsidRPr="008C0927">
        <w:rPr>
          <w:bCs/>
          <w:i/>
          <w:spacing w:val="-3"/>
          <w:sz w:val="20"/>
          <w:szCs w:val="20"/>
        </w:rPr>
        <w:t>0</w:t>
      </w:r>
      <w:r w:rsidR="004D74CF" w:rsidRPr="008C0927">
        <w:rPr>
          <w:bCs/>
          <w:i/>
          <w:spacing w:val="-3"/>
          <w:sz w:val="20"/>
          <w:szCs w:val="20"/>
        </w:rPr>
        <w:t xml:space="preserve">% incremental </w:t>
      </w:r>
      <w:proofErr w:type="gramStart"/>
      <w:r w:rsidR="004D74CF" w:rsidRPr="008C0927">
        <w:rPr>
          <w:bCs/>
          <w:i/>
          <w:spacing w:val="-3"/>
          <w:sz w:val="20"/>
          <w:szCs w:val="20"/>
        </w:rPr>
        <w:t>cost</w:t>
      </w:r>
      <w:proofErr w:type="gramEnd"/>
      <w:r w:rsidR="004D74CF" w:rsidRPr="008C0927">
        <w:rPr>
          <w:bCs/>
          <w:i/>
          <w:spacing w:val="-3"/>
          <w:sz w:val="20"/>
          <w:szCs w:val="20"/>
        </w:rPr>
        <w:t xml:space="preserve"> </w:t>
      </w:r>
      <w:r w:rsidR="00EE6266">
        <w:rPr>
          <w:bCs/>
          <w:i/>
          <w:spacing w:val="-3"/>
          <w:sz w:val="20"/>
          <w:szCs w:val="20"/>
        </w:rPr>
        <w:t xml:space="preserve">for this table to represent current levels.  The Company will discuss increasing incentive levels with its CAG for 2017, but </w:t>
      </w:r>
      <w:r w:rsidR="00EE6266">
        <w:rPr>
          <w:bCs/>
          <w:i/>
          <w:spacing w:val="-3"/>
          <w:sz w:val="20"/>
          <w:szCs w:val="20"/>
        </w:rPr>
        <w:lastRenderedPageBreak/>
        <w:t xml:space="preserve">will note TEAPOT models a therm target for the residential program of 162,798 as opposed to the level noted here as a proposed increase in incentive amounts results in a </w:t>
      </w:r>
      <w:r w:rsidR="004D74CF" w:rsidRPr="008C0927">
        <w:rPr>
          <w:bCs/>
          <w:i/>
          <w:spacing w:val="-3"/>
          <w:sz w:val="20"/>
          <w:szCs w:val="20"/>
        </w:rPr>
        <w:t xml:space="preserve">decreases </w:t>
      </w:r>
      <w:r w:rsidR="00EE6266">
        <w:rPr>
          <w:bCs/>
          <w:i/>
          <w:spacing w:val="-3"/>
          <w:sz w:val="20"/>
          <w:szCs w:val="20"/>
        </w:rPr>
        <w:t xml:space="preserve">in </w:t>
      </w:r>
      <w:r w:rsidR="004D74CF" w:rsidRPr="008C0927">
        <w:rPr>
          <w:bCs/>
          <w:i/>
          <w:spacing w:val="-3"/>
          <w:sz w:val="20"/>
          <w:szCs w:val="20"/>
        </w:rPr>
        <w:t xml:space="preserve">available measures.  See </w:t>
      </w:r>
      <w:hyperlink w:anchor="_Conservation_Programs_in" w:history="1">
        <w:r w:rsidR="00C4410D" w:rsidRPr="008C0927">
          <w:rPr>
            <w:rStyle w:val="Hyperlink"/>
            <w:bCs/>
            <w:i/>
            <w:spacing w:val="-3"/>
            <w:sz w:val="20"/>
            <w:szCs w:val="20"/>
          </w:rPr>
          <w:t>Conservation Programs in 2017</w:t>
        </w:r>
      </w:hyperlink>
      <w:r w:rsidR="00C4410D" w:rsidRPr="008C0927">
        <w:rPr>
          <w:bCs/>
          <w:i/>
          <w:spacing w:val="-3"/>
          <w:sz w:val="20"/>
          <w:szCs w:val="20"/>
        </w:rPr>
        <w:t xml:space="preserve"> </w:t>
      </w:r>
      <w:r w:rsidR="004D74CF" w:rsidRPr="008C0927">
        <w:rPr>
          <w:bCs/>
          <w:i/>
          <w:spacing w:val="-3"/>
          <w:sz w:val="20"/>
          <w:szCs w:val="20"/>
        </w:rPr>
        <w:t xml:space="preserve">for </w:t>
      </w:r>
      <w:r w:rsidR="008C0927">
        <w:rPr>
          <w:bCs/>
          <w:i/>
          <w:spacing w:val="-3"/>
          <w:sz w:val="20"/>
          <w:szCs w:val="20"/>
        </w:rPr>
        <w:t>elaboration</w:t>
      </w:r>
      <w:r w:rsidR="004D74CF" w:rsidRPr="008C0927">
        <w:rPr>
          <w:bCs/>
          <w:i/>
          <w:spacing w:val="-3"/>
          <w:sz w:val="20"/>
          <w:szCs w:val="20"/>
        </w:rPr>
        <w:t>.</w:t>
      </w:r>
      <w:r w:rsidR="004D74CF" w:rsidRPr="008C0927">
        <w:rPr>
          <w:bCs/>
          <w:spacing w:val="-3"/>
          <w:sz w:val="20"/>
          <w:szCs w:val="20"/>
        </w:rPr>
        <w:t xml:space="preserve">  </w:t>
      </w:r>
    </w:p>
    <w:p w:rsidR="008F1678" w:rsidRPr="008D41B2" w:rsidRDefault="008F1678" w:rsidP="008C0927">
      <w:pPr>
        <w:numPr>
          <w:ilvl w:val="12"/>
          <w:numId w:val="0"/>
        </w:numPr>
        <w:tabs>
          <w:tab w:val="left" w:pos="-1440"/>
          <w:tab w:val="left" w:pos="-720"/>
          <w:tab w:val="left" w:pos="0"/>
          <w:tab w:val="left" w:pos="1080"/>
          <w:tab w:val="left" w:pos="1440"/>
        </w:tabs>
        <w:suppressAutoHyphens/>
        <w:spacing w:after="0"/>
        <w:ind w:left="720" w:right="-7"/>
        <w:contextualSpacing/>
        <w:rPr>
          <w:bCs/>
          <w:spacing w:val="-3"/>
          <w:sz w:val="22"/>
        </w:rPr>
      </w:pPr>
    </w:p>
    <w:p w:rsidR="00525FE4" w:rsidRPr="0068556F" w:rsidRDefault="00525FE4" w:rsidP="0068556F">
      <w:pPr>
        <w:pStyle w:val="Heading1"/>
        <w:spacing w:line="276" w:lineRule="auto"/>
        <w:rPr>
          <w:rFonts w:ascii="Arial" w:hAnsi="Arial" w:cs="Arial"/>
        </w:rPr>
      </w:pPr>
      <w:bookmarkStart w:id="3" w:name="_Toc437853971"/>
      <w:r w:rsidRPr="0068556F">
        <w:rPr>
          <w:rFonts w:ascii="Arial" w:hAnsi="Arial" w:cs="Arial"/>
        </w:rPr>
        <w:t>Program Cost Effectiveness</w:t>
      </w:r>
      <w:bookmarkEnd w:id="3"/>
      <w:r w:rsidRPr="0068556F">
        <w:rPr>
          <w:rFonts w:ascii="Arial" w:hAnsi="Arial" w:cs="Arial"/>
        </w:rPr>
        <w:t xml:space="preserve"> </w:t>
      </w:r>
    </w:p>
    <w:p w:rsidR="00525FE4" w:rsidRPr="0068556F" w:rsidRDefault="00525FE4" w:rsidP="0068556F">
      <w:pPr>
        <w:suppressLineNumbers/>
        <w:spacing w:after="0"/>
        <w:ind w:right="-7"/>
        <w:contextualSpacing/>
        <w:jc w:val="both"/>
      </w:pPr>
      <w:r w:rsidRPr="0068556F">
        <w:t xml:space="preserve">The declining costs of natural gas in the marketplace have made it increasingly difficult to maintain robust conservation programs as a utility. Despite this </w:t>
      </w:r>
      <w:r w:rsidR="00D86F91">
        <w:t>hurdle</w:t>
      </w:r>
      <w:r w:rsidRPr="0068556F">
        <w:t>, the Company continues its commitment to offering meaningful conservation programs to help drive customer decisions toward higher-efficiency appliances and upgrades. In CY2013/2014 the Company had its Conservation Potential Assessment performed by Nexant which specifically included analysis on our potential from two perspectives - on the old method of establishing potential and a new version based on guidance from the UG-121207 Conservation Policy Statement from the WUTC</w:t>
      </w:r>
      <w:r w:rsidR="00D346F9" w:rsidRPr="0068556F">
        <w:t xml:space="preserve">. </w:t>
      </w:r>
      <w:r w:rsidRPr="0068556F">
        <w:t>The Company held multiple discussions with its Conservation Advisory Group related to the policy statement.</w:t>
      </w:r>
    </w:p>
    <w:p w:rsidR="00525FE4" w:rsidRPr="0068556F" w:rsidRDefault="00525FE4" w:rsidP="0068556F">
      <w:pPr>
        <w:suppressLineNumbers/>
        <w:spacing w:after="0"/>
        <w:ind w:right="-7"/>
        <w:contextualSpacing/>
        <w:jc w:val="both"/>
      </w:pPr>
    </w:p>
    <w:p w:rsidR="00525FE4" w:rsidRPr="0068556F" w:rsidRDefault="00525FE4" w:rsidP="0068556F">
      <w:pPr>
        <w:suppressLineNumbers/>
        <w:spacing w:after="0"/>
        <w:ind w:right="-7"/>
        <w:contextualSpacing/>
        <w:jc w:val="both"/>
      </w:pPr>
      <w:r w:rsidRPr="0068556F">
        <w:t xml:space="preserve">One of the primary actions the Company took in adherence to UG-121207 </w:t>
      </w:r>
      <w:r w:rsidR="00D346F9" w:rsidRPr="0068556F">
        <w:t xml:space="preserve">was </w:t>
      </w:r>
      <w:r w:rsidRPr="0068556F">
        <w:t xml:space="preserve">our migration to the Utility Cost Test from utilizing the Total Resource Cost (TRC) test. This alteration allowed us to maintain our Washington programs despite the </w:t>
      </w:r>
      <w:r w:rsidR="00D346F9" w:rsidRPr="0068556F">
        <w:t xml:space="preserve">low </w:t>
      </w:r>
      <w:r w:rsidRPr="0068556F">
        <w:t>cost of natural gas.</w:t>
      </w:r>
    </w:p>
    <w:p w:rsidR="00421A65" w:rsidRPr="0068556F" w:rsidRDefault="00421A65" w:rsidP="0068556F">
      <w:pPr>
        <w:suppressLineNumbers/>
        <w:spacing w:after="0"/>
        <w:ind w:right="-7"/>
        <w:contextualSpacing/>
        <w:jc w:val="both"/>
      </w:pPr>
    </w:p>
    <w:p w:rsidR="00421A65" w:rsidRPr="0068556F" w:rsidRDefault="00421A65" w:rsidP="0068556F">
      <w:pPr>
        <w:spacing w:after="0"/>
        <w:ind w:right="83"/>
        <w:contextualSpacing/>
        <w:jc w:val="both"/>
        <w:rPr>
          <w:b/>
        </w:rPr>
      </w:pPr>
      <w:r w:rsidRPr="0068556F">
        <w:rPr>
          <w:b/>
        </w:rPr>
        <w:t>Docket UG-121207 Policy Statement on the Evaluation of the Cost-Effectiveness of Natural Gas Conservation Programs</w:t>
      </w:r>
    </w:p>
    <w:p w:rsidR="00421A65" w:rsidRPr="0068556F" w:rsidRDefault="00421A65" w:rsidP="0068556F">
      <w:pPr>
        <w:spacing w:after="0"/>
        <w:ind w:right="83"/>
        <w:contextualSpacing/>
        <w:jc w:val="both"/>
      </w:pPr>
      <w:r w:rsidRPr="0068556F">
        <w:t>The Policy statement was released in October 2013 and has provided the Company with guidance on evaluating the cost effectiveness of its natural gas conservation programs. As per the policy’s guidelines the Company has elected to utilize the UCT in consultation with our Conservation Advisory Group (CAG). The use of the UCT, as opposed to the traditional TRC method, has allowed the Company to maintain a continued, robust conservation portfolio of measures that is cost-effective.</w:t>
      </w:r>
    </w:p>
    <w:p w:rsidR="00421A65" w:rsidRPr="0068556F" w:rsidRDefault="00421A65" w:rsidP="0068556F">
      <w:pPr>
        <w:spacing w:after="0"/>
        <w:ind w:right="83"/>
        <w:contextualSpacing/>
        <w:jc w:val="both"/>
      </w:pPr>
    </w:p>
    <w:p w:rsidR="00421A65" w:rsidRPr="0068556F" w:rsidRDefault="00421A65" w:rsidP="0068556F">
      <w:pPr>
        <w:spacing w:after="0"/>
        <w:ind w:right="83"/>
        <w:contextualSpacing/>
        <w:jc w:val="both"/>
      </w:pPr>
      <w:r w:rsidRPr="0068556F">
        <w:t xml:space="preserve">Washington Utilities and Transportation Commission Docket UG-121207 </w:t>
      </w:r>
      <w:proofErr w:type="gramStart"/>
      <w:r w:rsidRPr="0068556F">
        <w:t>offers</w:t>
      </w:r>
      <w:proofErr w:type="gramEnd"/>
      <w:r w:rsidRPr="0068556F">
        <w:t xml:space="preserve"> guidance regarding the optimal method for the valuation of natural gas conservation efforts in the State of Washington. This document thoroughly addresses best practices for measuring cost-effectiveness and has stated that: “[W]e </w:t>
      </w:r>
      <w:proofErr w:type="gramStart"/>
      <w:r w:rsidRPr="0068556F">
        <w:t>are</w:t>
      </w:r>
      <w:proofErr w:type="gramEnd"/>
      <w:r w:rsidRPr="0068556F">
        <w:t xml:space="preserve"> unwilling to allow utilities to end natural gas conservation programs as a result of an unbalanced or incomplete TRC analysis. Any TRC analysis without these values [conservation’s risk reduction value, the downward price pressure from reduced demand, and non-energy benefits] is potentially biased against conservation programs. Accordingly, the UCT is an acceptable option when a properly balanced TRC is not available.” </w:t>
      </w:r>
    </w:p>
    <w:p w:rsidR="00421A65" w:rsidRPr="0068556F" w:rsidRDefault="00421A65" w:rsidP="0068556F">
      <w:pPr>
        <w:spacing w:after="0"/>
        <w:ind w:left="90" w:right="83"/>
        <w:contextualSpacing/>
        <w:jc w:val="both"/>
      </w:pPr>
    </w:p>
    <w:p w:rsidR="00421A65" w:rsidRPr="0068556F" w:rsidRDefault="00421A65" w:rsidP="0068556F">
      <w:pPr>
        <w:spacing w:after="0"/>
        <w:ind w:right="83"/>
        <w:contextualSpacing/>
        <w:jc w:val="both"/>
      </w:pPr>
      <w:r w:rsidRPr="0068556F">
        <w:t xml:space="preserve">The Policy statement also addressed the use of discount rates in cost-effectiveness </w:t>
      </w:r>
      <w:r w:rsidRPr="0068556F">
        <w:lastRenderedPageBreak/>
        <w:t xml:space="preserve">calculations. The Company has worked closely with our CAG to determine the appropriate rate to use when calculating the net present value of its annual costs and benefits from the conservation programs. It was determined Cascade would continue to use the long-term discount rate as had previously been used to enable the programs to remain in place at their current levels and to prevent removal of measures due to a severe discounting scenario, as would have been the case had the Company utilized the Weighted Average Cost of Capital (WACC).  </w:t>
      </w:r>
    </w:p>
    <w:p w:rsidR="00533B91" w:rsidRPr="0068556F" w:rsidRDefault="00533B91" w:rsidP="0068556F">
      <w:pPr>
        <w:suppressLineNumbers/>
        <w:spacing w:after="0"/>
        <w:ind w:right="-7"/>
        <w:contextualSpacing/>
        <w:jc w:val="both"/>
        <w:rPr>
          <w:b/>
          <w:spacing w:val="-3"/>
        </w:rPr>
      </w:pPr>
    </w:p>
    <w:p w:rsidR="00D346F9" w:rsidRPr="0068556F" w:rsidRDefault="00601FCE" w:rsidP="0068556F">
      <w:pPr>
        <w:pStyle w:val="Heading1"/>
        <w:spacing w:line="276" w:lineRule="auto"/>
        <w:rPr>
          <w:rFonts w:ascii="Arial" w:hAnsi="Arial" w:cs="Arial"/>
        </w:rPr>
      </w:pPr>
      <w:bookmarkStart w:id="4" w:name="_Toc437853972"/>
      <w:r w:rsidRPr="0068556F">
        <w:rPr>
          <w:rFonts w:ascii="Arial" w:hAnsi="Arial" w:cs="Arial"/>
        </w:rPr>
        <w:t>Measure Updates</w:t>
      </w:r>
      <w:bookmarkEnd w:id="4"/>
    </w:p>
    <w:p w:rsidR="00525FE4" w:rsidRPr="0068556F" w:rsidRDefault="00525FE4" w:rsidP="0068556F">
      <w:pPr>
        <w:suppressLineNumbers/>
        <w:spacing w:after="0"/>
        <w:contextualSpacing/>
        <w:jc w:val="both"/>
        <w:rPr>
          <w:spacing w:val="-20"/>
        </w:rPr>
      </w:pPr>
      <w:r w:rsidRPr="0068556F">
        <w:t xml:space="preserve">As the energy efficiency market continues to develop and cost-effective conservation technologies become increasingly available, the equipment standards and accessibility to such measures may evolve over time. In order to ensure the Company’s DSM offerings stay current, Cascade engages in a regular review of the measure-mix within its conservation portfolio. Measures are added, removed, replaced, or modified when it is determined new technologies of equal or greater cost-effectiveness are available to the market. However, the emergence of a high-performance natural gas conservation technology will only have positive energy-savings impacts if customers are willing to pay the initial higher costs associated with the purchase and installation of cutting edge efficiency measures. By monitoring and updating the measures and incentive levels within Cascade’s Conservation Incentive Program (CIP), the Company is able to ensure ratepayers have access to an optimal level of behavior-motivating incentives needed to encourage the purchase of cutting-edge, cost effective, gas conservation technologies. </w:t>
      </w:r>
      <w:r w:rsidR="00D86F91">
        <w:t>In conjunction with</w:t>
      </w:r>
      <w:r w:rsidRPr="0068556F">
        <w:t xml:space="preserve"> monitoring the viability of more “traditional” natural gas conservation measures, the Company also engages in concurrent efforts to research and determine the feasibility of emerging high-efficiency gas technologies.  We continue to monitor cutting edge measures and have made tremendous progress on this front thanks to the reassessment of our conservation potential in CY 2013/2014 by Nexant. More details regarding both sets of efforts can be found below. Further discussion about the Nexant Conservation Potential study and Cascade’s approach to the UCT will be provided in detail later in this </w:t>
      </w:r>
      <w:r w:rsidR="00D346F9" w:rsidRPr="0068556F">
        <w:t>plan</w:t>
      </w:r>
      <w:r w:rsidRPr="0068556F">
        <w:t xml:space="preserve">. </w:t>
      </w:r>
    </w:p>
    <w:p w:rsidR="00525FE4" w:rsidRPr="0068556F" w:rsidRDefault="00525FE4" w:rsidP="0068556F">
      <w:pPr>
        <w:suppressLineNumbers/>
        <w:spacing w:after="0"/>
        <w:ind w:right="-7"/>
        <w:contextualSpacing/>
        <w:jc w:val="both"/>
      </w:pPr>
    </w:p>
    <w:p w:rsidR="00525FE4" w:rsidRPr="0068556F" w:rsidRDefault="00525FE4" w:rsidP="0068556F">
      <w:pPr>
        <w:pStyle w:val="Heading1"/>
        <w:spacing w:line="276" w:lineRule="auto"/>
        <w:rPr>
          <w:rFonts w:ascii="Arial" w:hAnsi="Arial" w:cs="Arial"/>
        </w:rPr>
      </w:pPr>
      <w:bookmarkStart w:id="5" w:name="_Toc437853973"/>
      <w:r w:rsidRPr="0068556F">
        <w:rPr>
          <w:rFonts w:ascii="Arial" w:hAnsi="Arial" w:cs="Arial"/>
        </w:rPr>
        <w:t>Emerging Technologies</w:t>
      </w:r>
      <w:bookmarkEnd w:id="5"/>
    </w:p>
    <w:p w:rsidR="00525FE4" w:rsidRPr="0068556F" w:rsidRDefault="00D86F91"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t>T</w:t>
      </w:r>
      <w:r w:rsidR="00525FE4" w:rsidRPr="0068556F">
        <w:rPr>
          <w:spacing w:val="-3"/>
        </w:rPr>
        <w:t xml:space="preserve">he Company has also begun to closely monitor emerging technologies with strong potential for deeper natural gas savings. Such high performance measures include energy-efficient Natural Gas Heat Pumps (GHP) which </w:t>
      </w:r>
      <w:proofErr w:type="gramStart"/>
      <w:r w:rsidR="00525FE4" w:rsidRPr="0068556F">
        <w:rPr>
          <w:spacing w:val="-3"/>
        </w:rPr>
        <w:t>have</w:t>
      </w:r>
      <w:proofErr w:type="gramEnd"/>
      <w:r w:rsidR="00525FE4" w:rsidRPr="0068556F">
        <w:rPr>
          <w:spacing w:val="-3"/>
        </w:rPr>
        <w:t xml:space="preserve"> been identified as a promising and high-impact conservation measure by Oakridge National Laboratories. </w:t>
      </w: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rsidR="00525FE4" w:rsidRPr="0068556F" w:rsidRDefault="00D86F91"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t>Along with the</w:t>
      </w:r>
      <w:r w:rsidR="00525FE4" w:rsidRPr="0068556F">
        <w:rPr>
          <w:spacing w:val="-3"/>
        </w:rPr>
        <w:t xml:space="preserve"> </w:t>
      </w:r>
      <w:r>
        <w:rPr>
          <w:spacing w:val="-3"/>
        </w:rPr>
        <w:t>n</w:t>
      </w:r>
      <w:r w:rsidR="00525FE4" w:rsidRPr="0068556F">
        <w:rPr>
          <w:spacing w:val="-3"/>
        </w:rPr>
        <w:t xml:space="preserve">atural </w:t>
      </w:r>
      <w:r>
        <w:rPr>
          <w:spacing w:val="-3"/>
        </w:rPr>
        <w:t>g</w:t>
      </w:r>
      <w:r w:rsidR="00525FE4" w:rsidRPr="0068556F">
        <w:rPr>
          <w:spacing w:val="-3"/>
        </w:rPr>
        <w:t xml:space="preserve">as </w:t>
      </w:r>
      <w:r>
        <w:rPr>
          <w:spacing w:val="-3"/>
        </w:rPr>
        <w:t>h</w:t>
      </w:r>
      <w:r w:rsidR="00525FE4" w:rsidRPr="0068556F">
        <w:rPr>
          <w:spacing w:val="-3"/>
        </w:rPr>
        <w:t xml:space="preserve">eat </w:t>
      </w:r>
      <w:r>
        <w:rPr>
          <w:spacing w:val="-3"/>
        </w:rPr>
        <w:t>p</w:t>
      </w:r>
      <w:r w:rsidR="00525FE4" w:rsidRPr="0068556F">
        <w:rPr>
          <w:spacing w:val="-3"/>
        </w:rPr>
        <w:t xml:space="preserve">umps for use in commercial space heating applications as noted above, the Company is also in the process of gathering more information regarding Gas-fired Heat Pump Water Heaters. This technology has been identified by the Northwest </w:t>
      </w:r>
      <w:r w:rsidR="00525FE4" w:rsidRPr="0068556F">
        <w:rPr>
          <w:spacing w:val="-3"/>
        </w:rPr>
        <w:lastRenderedPageBreak/>
        <w:t xml:space="preserve">Energy Efficiency Alliance </w:t>
      </w:r>
      <w:r w:rsidR="00601FCE" w:rsidRPr="0068556F">
        <w:rPr>
          <w:spacing w:val="-3"/>
        </w:rPr>
        <w:t xml:space="preserve">(NEEA) </w:t>
      </w:r>
      <w:r w:rsidR="00525FE4" w:rsidRPr="0068556F">
        <w:rPr>
          <w:spacing w:val="-3"/>
        </w:rPr>
        <w:t xml:space="preserve">as </w:t>
      </w:r>
      <w:r w:rsidR="008F1678">
        <w:rPr>
          <w:spacing w:val="-3"/>
        </w:rPr>
        <w:t xml:space="preserve">a </w:t>
      </w:r>
      <w:r w:rsidR="00525FE4" w:rsidRPr="0068556F">
        <w:rPr>
          <w:spacing w:val="-3"/>
        </w:rPr>
        <w:t>potentially viable technology with costs in a similar range to electric models currently available on the market.</w:t>
      </w:r>
      <w:r w:rsidR="00601FCE" w:rsidRPr="0068556F">
        <w:rPr>
          <w:spacing w:val="-3"/>
        </w:rPr>
        <w:t xml:space="preserve"> </w:t>
      </w:r>
    </w:p>
    <w:p w:rsidR="00421A65" w:rsidRPr="0068556F" w:rsidRDefault="00421A65"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68556F">
        <w:rPr>
          <w:spacing w:val="-3"/>
        </w:rPr>
        <w:t xml:space="preserve">Utility support for technology like </w:t>
      </w:r>
      <w:r w:rsidR="00421A65" w:rsidRPr="0068556F">
        <w:rPr>
          <w:spacing w:val="-3"/>
        </w:rPr>
        <w:t>those</w:t>
      </w:r>
      <w:r w:rsidRPr="0068556F">
        <w:rPr>
          <w:spacing w:val="-3"/>
        </w:rPr>
        <w:t xml:space="preserve"> noted above is important in the industry to demonstrate to manufacturers there is interest in supporting deployment through rate payer funded efficiency programs. The more interest displayed in emerging technologies, the more likely manufacturers are to increase production and market availability. </w:t>
      </w: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68556F">
        <w:rPr>
          <w:spacing w:val="-3"/>
        </w:rPr>
        <w:t xml:space="preserve"> </w:t>
      </w:r>
    </w:p>
    <w:p w:rsidR="00421A65" w:rsidRPr="0068556F" w:rsidRDefault="00525FE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68556F">
        <w:rPr>
          <w:spacing w:val="-3"/>
        </w:rPr>
        <w:t>As mentioned previously the Company has elected to partner through NEEA with other gas utilities in the region to engage in the first Regional Gas Market Transformation Collaborative in the nation. The goal is to increase market adoption of energy-efficient natural gas produc</w:t>
      </w:r>
      <w:r w:rsidR="00E67752" w:rsidRPr="0068556F">
        <w:rPr>
          <w:spacing w:val="-3"/>
        </w:rPr>
        <w:t>ts and practices in the future.</w:t>
      </w:r>
      <w:r w:rsidRPr="0068556F">
        <w:rPr>
          <w:spacing w:val="-3"/>
        </w:rPr>
        <w:t xml:space="preserve"> As part of the project the Collaborative plans to pilot five distinct technologies by increasing their uptake and availability in our joint service territory to improve cost effectiveness of these natural gas technologies. This five year effort </w:t>
      </w:r>
      <w:r w:rsidR="00421A65" w:rsidRPr="0068556F">
        <w:rPr>
          <w:spacing w:val="-3"/>
        </w:rPr>
        <w:t xml:space="preserve">started in </w:t>
      </w:r>
      <w:r w:rsidRPr="0068556F">
        <w:rPr>
          <w:spacing w:val="-3"/>
        </w:rPr>
        <w:t xml:space="preserve">2015 </w:t>
      </w:r>
      <w:r w:rsidR="00421A65" w:rsidRPr="0068556F">
        <w:rPr>
          <w:spacing w:val="-3"/>
        </w:rPr>
        <w:t>and</w:t>
      </w:r>
      <w:r w:rsidRPr="0068556F">
        <w:rPr>
          <w:spacing w:val="-3"/>
        </w:rPr>
        <w:t xml:space="preserve"> should result in increased savings as the technology is adapted and uptake increases in future years</w:t>
      </w:r>
      <w:r w:rsidR="00E67752" w:rsidRPr="0068556F">
        <w:rPr>
          <w:spacing w:val="-3"/>
        </w:rPr>
        <w:t xml:space="preserve"> for upgrades including </w:t>
      </w:r>
      <w:r w:rsidR="00421A65" w:rsidRPr="0068556F">
        <w:rPr>
          <w:spacing w:val="-3"/>
        </w:rPr>
        <w:t>residential natural gas ENERGY STAR</w:t>
      </w:r>
      <w:r w:rsidR="00421A65" w:rsidRPr="0068556F">
        <w:rPr>
          <w:spacing w:val="-3"/>
          <w:vertAlign w:val="superscript"/>
        </w:rPr>
        <w:t>®</w:t>
      </w:r>
      <w:r w:rsidR="00421A65" w:rsidRPr="0068556F">
        <w:rPr>
          <w:spacing w:val="-3"/>
        </w:rPr>
        <w:t xml:space="preserve"> dryers and commercial condensing natural gas rooftop units (RTUs). </w:t>
      </w:r>
    </w:p>
    <w:p w:rsidR="00421A65" w:rsidRPr="0068556F" w:rsidRDefault="00421A65"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rsidR="00525FE4" w:rsidRPr="0068556F" w:rsidRDefault="00525FE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68556F">
        <w:rPr>
          <w:spacing w:val="-3"/>
        </w:rPr>
        <w:t>The Company will continue to keep apprised of this and other equally cutting-edge efficiency options with significant future savings potential for our customers.</w:t>
      </w:r>
    </w:p>
    <w:p w:rsidR="000A4974" w:rsidRPr="0068556F" w:rsidRDefault="000A4974" w:rsidP="0068556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rsidR="00525FE4" w:rsidRPr="0068556F" w:rsidRDefault="00525FE4" w:rsidP="0068556F">
      <w:pPr>
        <w:pStyle w:val="Heading1"/>
        <w:spacing w:line="276" w:lineRule="auto"/>
        <w:rPr>
          <w:rFonts w:ascii="Arial" w:hAnsi="Arial" w:cs="Arial"/>
        </w:rPr>
      </w:pPr>
      <w:bookmarkStart w:id="6" w:name="_Toc437853974"/>
      <w:r w:rsidRPr="0068556F">
        <w:rPr>
          <w:rFonts w:ascii="Arial" w:hAnsi="Arial" w:cs="Arial"/>
        </w:rPr>
        <w:t>Potential DSM Measures and Their Costs</w:t>
      </w:r>
      <w:bookmarkEnd w:id="6"/>
    </w:p>
    <w:p w:rsidR="00525FE4" w:rsidRPr="0068556F" w:rsidRDefault="00525FE4" w:rsidP="0068556F">
      <w:pPr>
        <w:jc w:val="both"/>
        <w:rPr>
          <w:szCs w:val="23"/>
        </w:rPr>
      </w:pPr>
      <w:r w:rsidRPr="0068556F">
        <w:rPr>
          <w:szCs w:val="23"/>
        </w:rPr>
        <w:t>In order to understand the impact declining costs can have on the programmatic potential of natural gas conservation programs, it is important to understand how these programs work.  Utility-run energy efficiency programs are designed to encourage the use of high-efficiency natural gas equipment and measures.  The threshold used to verify if the amount paid by the utility is reasonable is the avoided cost of natural gas.  </w:t>
      </w:r>
    </w:p>
    <w:p w:rsidR="00525FE4" w:rsidRPr="0068556F" w:rsidRDefault="00807E51" w:rsidP="0068556F">
      <w:pPr>
        <w:jc w:val="both"/>
        <w:rPr>
          <w:szCs w:val="23"/>
        </w:rPr>
      </w:pPr>
      <w:r>
        <w:rPr>
          <w:szCs w:val="23"/>
        </w:rPr>
        <w:t>In short</w:t>
      </w:r>
      <w:r w:rsidR="00525FE4" w:rsidRPr="0068556F">
        <w:rPr>
          <w:szCs w:val="23"/>
        </w:rPr>
        <w:t>, a utility should not pay more than 100% of the avoided cost of a measure.  Likewise, it is considered general industry best practice that a rebate should be no lower than around 1/3 the incremental cost of the measure, nor higher than is necessary to achieve maximum anticipated participation.  This helps the utility avoid both the risk of free ridership and the hazards of skewing program cost effectiveness and triggering the law of diminishing returns by paying beyond the level of an appropriate market signal.</w:t>
      </w:r>
    </w:p>
    <w:p w:rsidR="00525FE4" w:rsidRPr="0068556F" w:rsidRDefault="002574A8" w:rsidP="0068556F">
      <w:pPr>
        <w:jc w:val="both"/>
        <w:rPr>
          <w:szCs w:val="23"/>
        </w:rPr>
      </w:pPr>
      <w:r w:rsidRPr="0068556F">
        <w:rPr>
          <w:szCs w:val="23"/>
        </w:rPr>
        <w:t>As of the latest IRP</w:t>
      </w:r>
      <w:r w:rsidR="00525FE4" w:rsidRPr="0068556F">
        <w:rPr>
          <w:szCs w:val="23"/>
        </w:rPr>
        <w:t xml:space="preserve"> Cascade is able to pursue a </w:t>
      </w:r>
      <w:r w:rsidRPr="0068556F">
        <w:rPr>
          <w:szCs w:val="23"/>
        </w:rPr>
        <w:t xml:space="preserve">combined </w:t>
      </w:r>
      <w:r w:rsidR="00525FE4" w:rsidRPr="0068556F">
        <w:rPr>
          <w:szCs w:val="23"/>
        </w:rPr>
        <w:t>Residential and Commercial/</w:t>
      </w:r>
      <w:r w:rsidR="00E67752" w:rsidRPr="0068556F">
        <w:rPr>
          <w:szCs w:val="23"/>
        </w:rPr>
        <w:t xml:space="preserve"> </w:t>
      </w:r>
      <w:r w:rsidR="00525FE4" w:rsidRPr="0068556F">
        <w:rPr>
          <w:szCs w:val="23"/>
        </w:rPr>
        <w:t xml:space="preserve">Industrial conservation portfolio with an average levelized cost </w:t>
      </w:r>
      <w:r w:rsidR="00E67752" w:rsidRPr="0068556F">
        <w:rPr>
          <w:szCs w:val="23"/>
        </w:rPr>
        <w:t xml:space="preserve">limited to </w:t>
      </w:r>
      <w:r w:rsidR="00D12F56" w:rsidRPr="0068556F">
        <w:rPr>
          <w:szCs w:val="23"/>
        </w:rPr>
        <w:t xml:space="preserve">below </w:t>
      </w:r>
      <w:r w:rsidR="00525FE4" w:rsidRPr="0068556F">
        <w:rPr>
          <w:szCs w:val="23"/>
        </w:rPr>
        <w:t xml:space="preserve">$0.4521, </w:t>
      </w:r>
      <w:r w:rsidR="00D12F56" w:rsidRPr="0068556F">
        <w:rPr>
          <w:szCs w:val="23"/>
        </w:rPr>
        <w:t xml:space="preserve">and </w:t>
      </w:r>
      <w:r w:rsidR="00525FE4" w:rsidRPr="0068556F">
        <w:rPr>
          <w:szCs w:val="23"/>
        </w:rPr>
        <w:t xml:space="preserve">a total avoided cost of $5.38 for a 20 year measure.  </w:t>
      </w:r>
    </w:p>
    <w:p w:rsidR="00525FE4" w:rsidRPr="0068556F" w:rsidRDefault="00525FE4" w:rsidP="0068556F">
      <w:pPr>
        <w:jc w:val="both"/>
        <w:rPr>
          <w:szCs w:val="23"/>
        </w:rPr>
      </w:pPr>
      <w:r w:rsidRPr="0068556F">
        <w:rPr>
          <w:szCs w:val="23"/>
        </w:rPr>
        <w:t xml:space="preserve">Utilizing the UCT, Company program management set the rebate thresholds to achieve a delicate balance between driving program participation and ensuring a broad breadth and </w:t>
      </w:r>
      <w:r w:rsidRPr="0068556F">
        <w:rPr>
          <w:szCs w:val="23"/>
        </w:rPr>
        <w:lastRenderedPageBreak/>
        <w:t xml:space="preserve">depth of measures. This balance was reviewed with the Conservation Advisory Group on June 6, 2014 and demonstrates our current program offerings </w:t>
      </w:r>
      <w:r w:rsidR="002574A8" w:rsidRPr="0068556F">
        <w:rPr>
          <w:szCs w:val="23"/>
        </w:rPr>
        <w:t>as of the time of writing for this Conservation Plan.</w:t>
      </w:r>
      <w:r w:rsidRPr="0068556F">
        <w:rPr>
          <w:szCs w:val="23"/>
        </w:rPr>
        <w:t xml:space="preserve"> </w:t>
      </w:r>
    </w:p>
    <w:p w:rsidR="00525FE4" w:rsidRPr="0068556F" w:rsidRDefault="002574A8" w:rsidP="0068556F">
      <w:pPr>
        <w:tabs>
          <w:tab w:val="num" w:pos="0"/>
        </w:tabs>
        <w:spacing w:after="0"/>
        <w:contextualSpacing/>
        <w:jc w:val="both"/>
      </w:pPr>
      <w:r w:rsidRPr="0068556F">
        <w:t>T</w:t>
      </w:r>
      <w:r w:rsidR="00525FE4" w:rsidRPr="0068556F">
        <w:t xml:space="preserve">he Utility Cost Test is the optimal vehicle for valuation of these measures since it is a straightforward and clean calculation of the utility’s investment in Demand Side Management and does not penalize customers for making independent determinations regarding the cost-benefit of an energy efficiency upgrade. The UCT instead treats the rebate from utility run natural gas efficiency programs as a leveraged partnership that drives positive market change and the installation of measures with the potential for long-lived and deeper energy savings. </w:t>
      </w:r>
    </w:p>
    <w:p w:rsidR="00525FE4" w:rsidRPr="0068556F" w:rsidRDefault="00525FE4" w:rsidP="0068556F">
      <w:pPr>
        <w:pStyle w:val="ListParagraph"/>
        <w:spacing w:line="276" w:lineRule="auto"/>
        <w:ind w:left="0"/>
        <w:jc w:val="both"/>
        <w:rPr>
          <w:rFonts w:ascii="Arial" w:hAnsi="Arial" w:cs="Arial"/>
        </w:rPr>
      </w:pPr>
    </w:p>
    <w:p w:rsidR="00525FE4" w:rsidRPr="0068556F" w:rsidRDefault="00525FE4" w:rsidP="0068556F">
      <w:pPr>
        <w:pStyle w:val="ListParagraph"/>
        <w:spacing w:line="276" w:lineRule="auto"/>
        <w:ind w:left="0"/>
        <w:jc w:val="both"/>
        <w:rPr>
          <w:rFonts w:ascii="Arial" w:hAnsi="Arial" w:cs="Arial"/>
        </w:rPr>
      </w:pPr>
      <w:r w:rsidRPr="0068556F">
        <w:rPr>
          <w:rFonts w:ascii="Arial" w:hAnsi="Arial" w:cs="Arial"/>
        </w:rPr>
        <w:t>In addition to the use of the Utility Cost Test, the Company also discussed with its Conservation Advisory Group and Staff regarding the continuation of its Long-Term Discount Rate of 4.17% so that longer-lived measures continue to thrive within its portfolio and that no reductions or slowed momentum was experienced as a result of migrating the programs to the Weighted Average Cost of Capital (WACC</w:t>
      </w:r>
      <w:r w:rsidR="002574A8" w:rsidRPr="0068556F">
        <w:rPr>
          <w:rFonts w:ascii="Arial" w:hAnsi="Arial" w:cs="Arial"/>
        </w:rPr>
        <w:t>)</w:t>
      </w:r>
      <w:r w:rsidRPr="0068556F">
        <w:rPr>
          <w:rFonts w:ascii="Arial" w:hAnsi="Arial" w:cs="Arial"/>
        </w:rPr>
        <w:t>.</w:t>
      </w:r>
    </w:p>
    <w:p w:rsidR="00525FE4" w:rsidRPr="0068556F" w:rsidRDefault="00525FE4" w:rsidP="0068556F">
      <w:pPr>
        <w:pStyle w:val="ListParagraph"/>
        <w:spacing w:line="276" w:lineRule="auto"/>
        <w:jc w:val="both"/>
        <w:rPr>
          <w:rFonts w:ascii="Arial" w:hAnsi="Arial" w:cs="Arial"/>
        </w:rPr>
      </w:pPr>
    </w:p>
    <w:p w:rsidR="00525FE4" w:rsidRPr="0068556F" w:rsidRDefault="00525FE4" w:rsidP="0068556F">
      <w:pPr>
        <w:spacing w:after="0"/>
        <w:ind w:right="83"/>
        <w:contextualSpacing/>
        <w:jc w:val="both"/>
      </w:pPr>
      <w:r w:rsidRPr="0068556F">
        <w:t>Based on the changes to avoided costs and the continued evolution of building codes and conservation technologies, and in light of the Policy Statement issued through UG 121207, the Company commissioned a study in 2013 to comprehensively reassess its conservation potential and perform evaluation, measurement and verification on previous conservation efforts performed through the Conservation Incentive Program (CIP). This study was noted as a commitment in the Company’s 2012 IRP Action Plan.  Cascade is pleased wi</w:t>
      </w:r>
      <w:r w:rsidR="0035107B" w:rsidRPr="0068556F">
        <w:t>th the outcomes of this effort.</w:t>
      </w:r>
      <w:r w:rsidRPr="0068556F">
        <w:t xml:space="preserve"> </w:t>
      </w:r>
    </w:p>
    <w:p w:rsidR="00525FE4" w:rsidRPr="0068556F" w:rsidRDefault="00525FE4" w:rsidP="0068556F">
      <w:pPr>
        <w:spacing w:after="0"/>
        <w:ind w:left="90" w:right="83"/>
        <w:contextualSpacing/>
        <w:jc w:val="both"/>
      </w:pPr>
    </w:p>
    <w:p w:rsidR="00525FE4" w:rsidRPr="0068556F" w:rsidRDefault="00525FE4" w:rsidP="0068556F">
      <w:pPr>
        <w:pStyle w:val="Heading1"/>
        <w:spacing w:line="276" w:lineRule="auto"/>
        <w:rPr>
          <w:rFonts w:ascii="Arial" w:hAnsi="Arial" w:cs="Arial"/>
        </w:rPr>
      </w:pPr>
      <w:bookmarkStart w:id="7" w:name="_Toc437853975"/>
      <w:r w:rsidRPr="0068556F">
        <w:rPr>
          <w:rFonts w:ascii="Arial" w:hAnsi="Arial" w:cs="Arial"/>
        </w:rPr>
        <w:t>Reassessment of Cascade Conservation Potential and EM&amp;V Study</w:t>
      </w:r>
      <w:bookmarkEnd w:id="7"/>
    </w:p>
    <w:p w:rsidR="00525FE4" w:rsidRPr="0068556F" w:rsidRDefault="002574A8" w:rsidP="0068556F">
      <w:pPr>
        <w:spacing w:after="0"/>
        <w:contextualSpacing/>
        <w:jc w:val="both"/>
      </w:pPr>
      <w:r w:rsidRPr="0068556F">
        <w:t>As of 2014 the Company discontinued use of its outdated potential assessment study by Stellar/Ecotope and adopted an updated and refined comprehensive reassessment of its potential performed by Nexant Inc.</w:t>
      </w:r>
      <w:r w:rsidR="00D67AF8" w:rsidRPr="0068556F">
        <w:t xml:space="preserve"> Because of the revised study performed by Nexant, the Company now has a much more nuanced understanding of its conservation potential and is able to further refine and more accurately develop conservation targets and portfolios to optimize energy savings in its Washington service territory</w:t>
      </w:r>
      <w:r w:rsidR="007E162F" w:rsidRPr="0068556F">
        <w:t>.</w:t>
      </w:r>
      <w:r w:rsidR="00525FE4" w:rsidRPr="0068556F">
        <w:t xml:space="preserve"> The study has provided new insights into the Company’s overall technical, economic, and achievable potential.  Program potential was excluded from this study</w:t>
      </w:r>
      <w:r w:rsidR="00D67AF8" w:rsidRPr="0068556F">
        <w:t>,</w:t>
      </w:r>
      <w:r w:rsidR="00525FE4" w:rsidRPr="0068556F">
        <w:t xml:space="preserve"> but the vendor did provide guidance to Cascade staff as to how this can be manually developed by their program implementation team.  In addition, Nexant provided the Company with a thorough planning tool for use by Cascade in drilling down to more precise conservation targets for IRP and program planning based on the actual measures included in the conservation portfolio.</w:t>
      </w:r>
    </w:p>
    <w:p w:rsidR="00525FE4" w:rsidRPr="0068556F" w:rsidRDefault="00525FE4" w:rsidP="0068556F">
      <w:pPr>
        <w:spacing w:after="0"/>
        <w:contextualSpacing/>
        <w:jc w:val="both"/>
      </w:pPr>
    </w:p>
    <w:p w:rsidR="00525FE4" w:rsidRPr="0068556F" w:rsidRDefault="00525FE4" w:rsidP="0068556F">
      <w:pPr>
        <w:spacing w:after="0"/>
        <w:contextualSpacing/>
        <w:jc w:val="both"/>
      </w:pPr>
      <w:r w:rsidRPr="0068556F">
        <w:lastRenderedPageBreak/>
        <w:t>The primary goal of the Nexant assessment was to develop a comprehensive analysis of technical</w:t>
      </w:r>
      <w:r w:rsidR="007E162F" w:rsidRPr="0068556F">
        <w:t>, economic</w:t>
      </w:r>
      <w:r w:rsidRPr="0068556F">
        <w:t xml:space="preserve"> and achievable potential for natural gas energy efficiency for customers on Rate Schedules 503, 504, 505, 511, 570 &amp; 577 (residential, commercial and non-transport sales industrial customers). This </w:t>
      </w:r>
      <w:r w:rsidR="00807E51">
        <w:t>third-party</w:t>
      </w:r>
      <w:r w:rsidRPr="0068556F">
        <w:t xml:space="preserve"> analysis illustrates the remaining savings potential by sector, segment and end use as a means to inform future program design given the </w:t>
      </w:r>
      <w:r w:rsidR="00D67AF8" w:rsidRPr="0068556F">
        <w:t xml:space="preserve">low </w:t>
      </w:r>
      <w:r w:rsidRPr="0068556F">
        <w:t xml:space="preserve">cost of natural gas. The study also integrated a detailed evaluation and measure savings review of Cascade’s conservation portfolio. Key objectives of this study include: </w:t>
      </w:r>
    </w:p>
    <w:p w:rsidR="00525FE4" w:rsidRPr="0068556F" w:rsidRDefault="00525FE4" w:rsidP="0068556F">
      <w:pPr>
        <w:spacing w:after="0"/>
        <w:contextualSpacing/>
        <w:jc w:val="both"/>
      </w:pPr>
    </w:p>
    <w:p w:rsidR="00525FE4" w:rsidRPr="0068556F" w:rsidRDefault="00525FE4" w:rsidP="0068556F">
      <w:pPr>
        <w:pStyle w:val="ListParagraph"/>
        <w:numPr>
          <w:ilvl w:val="0"/>
          <w:numId w:val="11"/>
        </w:numPr>
        <w:tabs>
          <w:tab w:val="left" w:pos="90"/>
        </w:tabs>
        <w:spacing w:line="276" w:lineRule="auto"/>
        <w:jc w:val="both"/>
        <w:rPr>
          <w:rFonts w:ascii="Arial" w:hAnsi="Arial" w:cs="Arial"/>
        </w:rPr>
      </w:pPr>
      <w:r w:rsidRPr="0068556F">
        <w:rPr>
          <w:rFonts w:ascii="Arial" w:hAnsi="Arial" w:cs="Arial"/>
        </w:rPr>
        <w:t>Provide credible and transparent estimation of the technical and achievable energy efficiency potential by year over the next 21 (2014-2034) years within Cascade’s Washington service territory;</w:t>
      </w:r>
    </w:p>
    <w:p w:rsidR="00525FE4" w:rsidRPr="0068556F" w:rsidRDefault="00525FE4" w:rsidP="0068556F">
      <w:pPr>
        <w:pStyle w:val="ListParagraph"/>
        <w:numPr>
          <w:ilvl w:val="0"/>
          <w:numId w:val="11"/>
        </w:numPr>
        <w:tabs>
          <w:tab w:val="left" w:pos="90"/>
        </w:tabs>
        <w:spacing w:line="276" w:lineRule="auto"/>
        <w:jc w:val="both"/>
        <w:rPr>
          <w:rFonts w:ascii="Arial" w:hAnsi="Arial" w:cs="Arial"/>
        </w:rPr>
      </w:pPr>
      <w:r w:rsidRPr="0068556F">
        <w:rPr>
          <w:rFonts w:ascii="Arial" w:hAnsi="Arial" w:cs="Arial"/>
        </w:rPr>
        <w:t xml:space="preserve">Assess and validate therm savings associated with key measures that qualified for, and received, a conservation incentive in the 2012 program year, and apply findings to determine realistic therm savings potential in Cascade’s Washington Service area; </w:t>
      </w:r>
    </w:p>
    <w:p w:rsidR="00525FE4" w:rsidRPr="0068556F" w:rsidRDefault="00525FE4" w:rsidP="0068556F">
      <w:pPr>
        <w:pStyle w:val="ListParagraph"/>
        <w:numPr>
          <w:ilvl w:val="0"/>
          <w:numId w:val="11"/>
        </w:numPr>
        <w:tabs>
          <w:tab w:val="left" w:pos="90"/>
        </w:tabs>
        <w:spacing w:line="276" w:lineRule="auto"/>
        <w:jc w:val="both"/>
        <w:rPr>
          <w:rFonts w:ascii="Arial" w:hAnsi="Arial" w:cs="Arial"/>
        </w:rPr>
      </w:pPr>
      <w:r w:rsidRPr="0068556F">
        <w:rPr>
          <w:rFonts w:ascii="Arial" w:hAnsi="Arial" w:cs="Arial"/>
        </w:rPr>
        <w:t xml:space="preserve">Provide a user friendly, executable dynamic model that will support the potential assessment and allow for testing of sensitivity of all model inputs and assumptions; </w:t>
      </w:r>
    </w:p>
    <w:p w:rsidR="00525FE4" w:rsidRPr="0068556F" w:rsidRDefault="00525FE4" w:rsidP="0068556F">
      <w:pPr>
        <w:pStyle w:val="ListParagraph"/>
        <w:numPr>
          <w:ilvl w:val="0"/>
          <w:numId w:val="11"/>
        </w:numPr>
        <w:spacing w:line="276" w:lineRule="auto"/>
        <w:jc w:val="both"/>
        <w:rPr>
          <w:rFonts w:ascii="Arial" w:hAnsi="Arial" w:cs="Arial"/>
        </w:rPr>
      </w:pPr>
      <w:r w:rsidRPr="0068556F">
        <w:rPr>
          <w:rFonts w:ascii="Arial" w:hAnsi="Arial" w:cs="Arial"/>
        </w:rPr>
        <w:t>Develop a final report including summary data tables and graphs reporting incremental and cumulative potential by year from 2014 through 2034.</w:t>
      </w:r>
    </w:p>
    <w:p w:rsidR="00525FE4" w:rsidRPr="0068556F" w:rsidRDefault="00525FE4" w:rsidP="0068556F">
      <w:pPr>
        <w:spacing w:after="0"/>
        <w:ind w:left="90" w:right="83"/>
        <w:contextualSpacing/>
        <w:jc w:val="both"/>
      </w:pPr>
    </w:p>
    <w:p w:rsidR="008A032B" w:rsidRPr="0068556F" w:rsidRDefault="00525FE4" w:rsidP="0068556F">
      <w:pPr>
        <w:pStyle w:val="ListParagraph"/>
        <w:tabs>
          <w:tab w:val="left" w:pos="90"/>
        </w:tabs>
        <w:spacing w:line="276" w:lineRule="auto"/>
        <w:ind w:left="0"/>
        <w:jc w:val="both"/>
        <w:rPr>
          <w:rFonts w:ascii="Arial" w:hAnsi="Arial" w:cs="Arial"/>
        </w:rPr>
      </w:pPr>
      <w:r w:rsidRPr="0068556F">
        <w:rPr>
          <w:rFonts w:ascii="Arial" w:hAnsi="Arial" w:cs="Arial"/>
        </w:rPr>
        <w:t>The Nexant study estimated energy efficiency savings developed into three types of potential: technical potential, economic potential, and achievable potential. Market penetration rates associated with each potential were estimated and included in this assessment. Nexant analyzed this potential via a customized modeling tool based from a Microsoft Excel-based modeling tool, TEA-POT (</w:t>
      </w:r>
      <w:r w:rsidRPr="0068556F">
        <w:rPr>
          <w:rFonts w:ascii="Arial" w:hAnsi="Arial" w:cs="Arial"/>
          <w:b/>
          <w:bCs/>
        </w:rPr>
        <w:t>T</w:t>
      </w:r>
      <w:r w:rsidRPr="0068556F">
        <w:rPr>
          <w:rFonts w:ascii="Arial" w:hAnsi="Arial" w:cs="Arial"/>
        </w:rPr>
        <w:t>echnical/</w:t>
      </w:r>
      <w:r w:rsidRPr="0068556F">
        <w:rPr>
          <w:rFonts w:ascii="Arial" w:hAnsi="Arial" w:cs="Arial"/>
          <w:b/>
          <w:bCs/>
        </w:rPr>
        <w:t>E</w:t>
      </w:r>
      <w:r w:rsidRPr="0068556F">
        <w:rPr>
          <w:rFonts w:ascii="Arial" w:hAnsi="Arial" w:cs="Arial"/>
        </w:rPr>
        <w:t>conomic/</w:t>
      </w:r>
      <w:r w:rsidRPr="0068556F">
        <w:rPr>
          <w:rFonts w:ascii="Arial" w:hAnsi="Arial" w:cs="Arial"/>
          <w:b/>
          <w:bCs/>
        </w:rPr>
        <w:t>A</w:t>
      </w:r>
      <w:r w:rsidRPr="0068556F">
        <w:rPr>
          <w:rFonts w:ascii="Arial" w:hAnsi="Arial" w:cs="Arial"/>
        </w:rPr>
        <w:t xml:space="preserve">chievable </w:t>
      </w:r>
      <w:r w:rsidRPr="0068556F">
        <w:rPr>
          <w:rFonts w:ascii="Arial" w:hAnsi="Arial" w:cs="Arial"/>
          <w:b/>
          <w:bCs/>
        </w:rPr>
        <w:t>Pot</w:t>
      </w:r>
      <w:r w:rsidRPr="0068556F">
        <w:rPr>
          <w:rFonts w:ascii="Arial" w:hAnsi="Arial" w:cs="Arial"/>
        </w:rPr>
        <w:t>ential) for the Cascade Conservation Potential Assessment.</w:t>
      </w:r>
      <w:r w:rsidR="00ED28DC" w:rsidRPr="0068556F">
        <w:rPr>
          <w:rStyle w:val="FootnoteReference"/>
          <w:rFonts w:ascii="Arial" w:hAnsi="Arial" w:cs="Arial"/>
        </w:rPr>
        <w:footnoteReference w:id="1"/>
      </w:r>
      <w:r w:rsidRPr="0068556F">
        <w:rPr>
          <w:rFonts w:ascii="Arial" w:hAnsi="Arial" w:cs="Arial"/>
        </w:rPr>
        <w:t xml:space="preserve"> This modeling tool was built on a platform that provides the ability to run multiple scenarios and re-calculate potential savings based on variable inputs such as sales/load forecasts, natural gas prices, discount rates, and actual program savings. This model provides Cascade with the utmost transparency into the assumptions and calculations f</w:t>
      </w:r>
      <w:r w:rsidR="008A032B" w:rsidRPr="0068556F">
        <w:rPr>
          <w:rFonts w:ascii="Arial" w:hAnsi="Arial" w:cs="Arial"/>
        </w:rPr>
        <w:t>or estimating market potential.</w:t>
      </w:r>
    </w:p>
    <w:p w:rsidR="00FA2580" w:rsidRDefault="00525FE4" w:rsidP="0068556F">
      <w:pPr>
        <w:pStyle w:val="ListParagraph"/>
        <w:tabs>
          <w:tab w:val="left" w:pos="90"/>
        </w:tabs>
        <w:spacing w:line="276" w:lineRule="auto"/>
        <w:ind w:left="0"/>
        <w:jc w:val="both"/>
        <w:rPr>
          <w:rFonts w:ascii="Arial" w:hAnsi="Arial" w:cs="Arial"/>
        </w:rPr>
      </w:pPr>
      <w:r w:rsidRPr="0068556F">
        <w:rPr>
          <w:rFonts w:ascii="Arial" w:hAnsi="Arial" w:cs="Arial"/>
        </w:rPr>
        <w:br/>
        <w:t xml:space="preserve">While technical and economic potential are both theoretical limits to efficiency savings, achievable potential embodies a set of assumptions about the decisions consumers make regarding the efficiency of the equipment they purchase. Relevant factors to Cascade’s </w:t>
      </w:r>
      <w:r w:rsidRPr="0068556F">
        <w:rPr>
          <w:rFonts w:ascii="Arial" w:hAnsi="Arial" w:cs="Arial"/>
        </w:rPr>
        <w:lastRenderedPageBreak/>
        <w:t>conservation program were included in the Achievable Potential to simulate a realistic estimate of real-life conditions.  Again, as stated earlier, program potential (i.e. the subset of achievable potential attainable given constraints on program budget and implemented measures) was no</w:t>
      </w:r>
      <w:r w:rsidR="00457834" w:rsidRPr="0068556F">
        <w:rPr>
          <w:rFonts w:ascii="Arial" w:hAnsi="Arial" w:cs="Arial"/>
        </w:rPr>
        <w:t>t presented in Nexant’s report.</w:t>
      </w:r>
      <w:r w:rsidR="00D67AF8" w:rsidRPr="0068556F">
        <w:rPr>
          <w:rFonts w:ascii="Arial" w:hAnsi="Arial" w:cs="Arial"/>
        </w:rPr>
        <w:t xml:space="preserve"> In the most recent iteration of the IRP the Company elaborated on its method of drilling down to the programmatic level using the TEAPOT potential provided through the model.  </w:t>
      </w:r>
    </w:p>
    <w:p w:rsidR="00FA2580" w:rsidRDefault="00FA2580" w:rsidP="0068556F">
      <w:pPr>
        <w:pStyle w:val="ListParagraph"/>
        <w:tabs>
          <w:tab w:val="left" w:pos="90"/>
        </w:tabs>
        <w:spacing w:line="276" w:lineRule="auto"/>
        <w:ind w:left="0"/>
        <w:jc w:val="both"/>
        <w:rPr>
          <w:rFonts w:ascii="Arial" w:hAnsi="Arial" w:cs="Arial"/>
        </w:rPr>
      </w:pPr>
    </w:p>
    <w:p w:rsidR="00FA2580" w:rsidRPr="0068556F" w:rsidRDefault="00FA2580" w:rsidP="00FA2580">
      <w:pPr>
        <w:pStyle w:val="Heading2"/>
      </w:pPr>
      <w:bookmarkStart w:id="8" w:name="_Toc437853976"/>
      <w:r w:rsidRPr="0068556F">
        <w:t>Administrative costs &amp;TEAPOT modeling moving forward</w:t>
      </w:r>
      <w:bookmarkEnd w:id="8"/>
      <w:r w:rsidRPr="0068556F">
        <w:t xml:space="preserve"> </w:t>
      </w:r>
    </w:p>
    <w:p w:rsidR="00FA2580" w:rsidRDefault="00FA2580" w:rsidP="00FA2580">
      <w:pPr>
        <w:pStyle w:val="ListParagraph"/>
        <w:tabs>
          <w:tab w:val="left" w:pos="90"/>
        </w:tabs>
        <w:spacing w:line="276" w:lineRule="auto"/>
        <w:ind w:left="0"/>
        <w:jc w:val="both"/>
        <w:rPr>
          <w:rFonts w:ascii="Arial" w:hAnsi="Arial" w:cs="Arial"/>
        </w:rPr>
      </w:pPr>
      <w:r w:rsidRPr="0068556F">
        <w:t xml:space="preserve">As per Stakeholder requests in subsequent Conservation Plans, as well as IRP iterations, the Company will move away from the Programmatic Planning method described </w:t>
      </w:r>
      <w:r>
        <w:t>below</w:t>
      </w:r>
      <w:r w:rsidRPr="0068556F">
        <w:t xml:space="preserve">, and instead include administrative costs associated with program implementation under the Achievable screen. The TEAPOT tool developed by Nexant has the capability of factoring the administrative costs into the modeling, but as this was not the initial intent when the model was activated for Cascade it was not represented in the most recent IRP.  The Company has since requested Nexant activate the ability to include administrative costs as an input in the model and is providing these </w:t>
      </w:r>
      <w:r>
        <w:t>initial</w:t>
      </w:r>
      <w:r w:rsidRPr="0068556F">
        <w:t xml:space="preserve"> forecasts here for reference in 2016 and 2017.  Please note, the Company maintains the Achievable potential (with admin included) will still be an </w:t>
      </w:r>
      <w:r w:rsidRPr="0068556F">
        <w:rPr>
          <w:i/>
        </w:rPr>
        <w:t>aspirational</w:t>
      </w:r>
      <w:r w:rsidRPr="0068556F">
        <w:t xml:space="preserve"> goal (especially as it relates to the residential program) and believes it does not provide the same level of refinement to goal setting as can be performed at a programmatic level (as seen in the </w:t>
      </w:r>
      <w:r w:rsidR="00F73BBA">
        <w:t xml:space="preserve">following </w:t>
      </w:r>
      <w:r w:rsidRPr="0068556F">
        <w:t>graph</w:t>
      </w:r>
      <w:r w:rsidR="00F73BBA">
        <w:t>s</w:t>
      </w:r>
      <w:r w:rsidRPr="0068556F">
        <w:t>).  Having said that, this altered method will allow the Company to set future goals commensurate with the Achievable level through the modeling tool</w:t>
      </w:r>
      <w:r>
        <w:t xml:space="preserve"> while</w:t>
      </w:r>
      <w:r w:rsidRPr="0068556F">
        <w:t xml:space="preserve"> increasing transparency.</w:t>
      </w:r>
    </w:p>
    <w:p w:rsidR="00FA2580" w:rsidRDefault="00FA2580" w:rsidP="0068556F">
      <w:pPr>
        <w:pStyle w:val="ListParagraph"/>
        <w:tabs>
          <w:tab w:val="left" w:pos="90"/>
        </w:tabs>
        <w:spacing w:line="276" w:lineRule="auto"/>
        <w:ind w:left="0"/>
        <w:jc w:val="both"/>
        <w:rPr>
          <w:rFonts w:ascii="Arial" w:hAnsi="Arial" w:cs="Arial"/>
        </w:rPr>
      </w:pPr>
    </w:p>
    <w:p w:rsidR="00525FE4" w:rsidRPr="0068556F" w:rsidRDefault="00D67AF8" w:rsidP="0068556F">
      <w:pPr>
        <w:pStyle w:val="ListParagraph"/>
        <w:tabs>
          <w:tab w:val="left" w:pos="90"/>
        </w:tabs>
        <w:spacing w:line="276" w:lineRule="auto"/>
        <w:ind w:left="0"/>
        <w:jc w:val="both"/>
        <w:rPr>
          <w:rFonts w:ascii="Arial" w:hAnsi="Arial" w:cs="Arial"/>
        </w:rPr>
      </w:pPr>
      <w:r w:rsidRPr="0068556F">
        <w:rPr>
          <w:rFonts w:ascii="Arial" w:hAnsi="Arial" w:cs="Arial"/>
        </w:rPr>
        <w:t xml:space="preserve">The following section elaborates on the methods used by the TEAPOT model to develop the three levels of Potential for the programs and subsequent creation of the Company’s 2-year short-term plan.  </w:t>
      </w:r>
    </w:p>
    <w:p w:rsidR="00785954" w:rsidRPr="0068556F" w:rsidRDefault="00785954" w:rsidP="0068556F">
      <w:pPr>
        <w:spacing w:after="0"/>
        <w:ind w:right="83"/>
        <w:contextualSpacing/>
        <w:jc w:val="both"/>
      </w:pPr>
    </w:p>
    <w:p w:rsidR="00525FE4" w:rsidRPr="0068556F" w:rsidRDefault="00525FE4" w:rsidP="0068556F">
      <w:pPr>
        <w:spacing w:after="0"/>
        <w:ind w:right="83"/>
        <w:contextualSpacing/>
        <w:jc w:val="both"/>
      </w:pPr>
      <w:r w:rsidRPr="0068556F">
        <w:t>Industry standard cost effectiveness tests were performed to gauge the economic merits of the portfolio. Each test compared the benefits of the energy efficiency metric to their costs defined in terms of net present value of future cash flows. The definitions for the two standard tests used in the Nexant analysis are described below.</w:t>
      </w:r>
    </w:p>
    <w:p w:rsidR="00525FE4" w:rsidRPr="0068556F" w:rsidRDefault="00525FE4" w:rsidP="0068556F">
      <w:pPr>
        <w:spacing w:after="0"/>
        <w:ind w:right="83"/>
        <w:contextualSpacing/>
        <w:jc w:val="both"/>
      </w:pPr>
    </w:p>
    <w:p w:rsidR="00525FE4" w:rsidRPr="0068556F" w:rsidRDefault="00525FE4" w:rsidP="0068556F">
      <w:pPr>
        <w:spacing w:after="0"/>
        <w:ind w:right="83"/>
        <w:contextualSpacing/>
        <w:jc w:val="both"/>
        <w:rPr>
          <w:b/>
        </w:rPr>
      </w:pPr>
      <w:bookmarkStart w:id="9" w:name="_Toc437853977"/>
      <w:r w:rsidRPr="0068556F">
        <w:rPr>
          <w:rStyle w:val="Heading2Char"/>
        </w:rPr>
        <w:t>Total Resource Cost test (TRC)</w:t>
      </w:r>
      <w:bookmarkEnd w:id="9"/>
      <w:r w:rsidRPr="0068556F">
        <w:rPr>
          <w:b/>
          <w:i/>
        </w:rPr>
        <w:t>.</w:t>
      </w:r>
      <w:r w:rsidRPr="0068556F">
        <w:t xml:space="preserve"> The benefit to this test lies in the holistic approach to looking at the total benefits and total costs of the measure, not just energy related costs.</w:t>
      </w:r>
      <w:r w:rsidRPr="0068556F">
        <w:br/>
      </w:r>
    </w:p>
    <w:p w:rsidR="00525FE4" w:rsidRPr="0068556F" w:rsidRDefault="00525FE4" w:rsidP="0068556F">
      <w:pPr>
        <w:spacing w:after="0"/>
        <w:ind w:right="83"/>
        <w:contextualSpacing/>
        <w:jc w:val="both"/>
      </w:pPr>
      <w:bookmarkStart w:id="10" w:name="_Toc437853978"/>
      <w:r w:rsidRPr="0068556F">
        <w:rPr>
          <w:rStyle w:val="Heading2Char"/>
        </w:rPr>
        <w:t>Utility Cost Test (UCT)</w:t>
      </w:r>
      <w:bookmarkEnd w:id="10"/>
      <w:r w:rsidRPr="0068556F">
        <w:rPr>
          <w:b/>
          <w:i/>
        </w:rPr>
        <w:t>.</w:t>
      </w:r>
      <w:r w:rsidRPr="0068556F">
        <w:t xml:space="preserve"> The benefits in this test are the lifetime avoided energy costs and avoided capacity costs, the same as the TRC benefits. The costs in this test are the program administrator’s incentive costs and administrative costs.</w:t>
      </w:r>
    </w:p>
    <w:p w:rsidR="00525FE4" w:rsidRPr="0068556F" w:rsidRDefault="00525FE4" w:rsidP="0068556F">
      <w:pPr>
        <w:spacing w:after="0"/>
        <w:ind w:right="83"/>
        <w:contextualSpacing/>
        <w:jc w:val="both"/>
      </w:pPr>
    </w:p>
    <w:p w:rsidR="00525FE4" w:rsidRPr="0068556F" w:rsidRDefault="00525FE4" w:rsidP="0068556F">
      <w:pPr>
        <w:pStyle w:val="ListParagraph"/>
        <w:tabs>
          <w:tab w:val="left" w:pos="90"/>
        </w:tabs>
        <w:spacing w:line="276" w:lineRule="auto"/>
        <w:ind w:left="0"/>
        <w:jc w:val="both"/>
        <w:rPr>
          <w:rFonts w:ascii="Arial" w:hAnsi="Arial" w:cs="Arial"/>
        </w:rPr>
      </w:pPr>
      <w:r w:rsidRPr="0068556F">
        <w:rPr>
          <w:rFonts w:ascii="Arial" w:hAnsi="Arial" w:cs="Arial"/>
        </w:rPr>
        <w:t>Cost effectiveness under both scenarios was measured under a base-case scenario of Cascade’s current avoided costs as of the acknowledged IRP</w:t>
      </w:r>
      <w:r w:rsidR="006C2E93" w:rsidRPr="0068556F">
        <w:rPr>
          <w:rFonts w:ascii="Arial" w:hAnsi="Arial" w:cs="Arial"/>
        </w:rPr>
        <w:t xml:space="preserve"> at the time (2012)</w:t>
      </w:r>
      <w:r w:rsidRPr="0068556F">
        <w:rPr>
          <w:rFonts w:ascii="Arial" w:hAnsi="Arial" w:cs="Arial"/>
        </w:rPr>
        <w:t xml:space="preserve">, and an </w:t>
      </w:r>
      <w:r w:rsidRPr="0068556F">
        <w:rPr>
          <w:rFonts w:ascii="Arial" w:hAnsi="Arial" w:cs="Arial"/>
        </w:rPr>
        <w:lastRenderedPageBreak/>
        <w:t xml:space="preserve">incentive rate of 30%.  These inputs can be altered within the TEAPOT model and updated by the Company on an ongoing basis as appropriate. </w:t>
      </w:r>
      <w:r w:rsidR="006C2E93" w:rsidRPr="0068556F">
        <w:rPr>
          <w:rFonts w:ascii="Arial" w:hAnsi="Arial" w:cs="Arial"/>
        </w:rPr>
        <w:t xml:space="preserve">Please note findings from the report were included in the 2014 IRP. </w:t>
      </w:r>
    </w:p>
    <w:p w:rsidR="006C2E93" w:rsidRPr="0068556F" w:rsidRDefault="006C2E93" w:rsidP="0068556F">
      <w:pPr>
        <w:pStyle w:val="ListParagraph"/>
        <w:tabs>
          <w:tab w:val="left" w:pos="90"/>
        </w:tabs>
        <w:spacing w:line="276" w:lineRule="auto"/>
        <w:ind w:left="0"/>
        <w:jc w:val="both"/>
        <w:rPr>
          <w:rFonts w:ascii="Arial" w:hAnsi="Arial" w:cs="Arial"/>
        </w:rPr>
      </w:pPr>
    </w:p>
    <w:p w:rsidR="0068556F" w:rsidRDefault="00525FE4" w:rsidP="0068556F">
      <w:pPr>
        <w:spacing w:after="0"/>
        <w:ind w:right="83"/>
        <w:contextualSpacing/>
        <w:jc w:val="both"/>
      </w:pPr>
      <w:bookmarkStart w:id="11" w:name="_Toc437853979"/>
      <w:r w:rsidRPr="0068556F">
        <w:rPr>
          <w:rStyle w:val="Heading2Char"/>
        </w:rPr>
        <w:t>Market Segmentation Findings</w:t>
      </w:r>
      <w:bookmarkEnd w:id="11"/>
      <w:r w:rsidRPr="0068556F">
        <w:rPr>
          <w:b/>
        </w:rPr>
        <w:t>:</w:t>
      </w:r>
      <w:r w:rsidRPr="0068556F">
        <w:t xml:space="preserve">  An important first step in calculating Cascade’s energy efficiency potential estimates is to establish baseline energy usage characteristics and disaggregate the market by sector, segment, and end use. In its final report to the Company Nexant offered the Company control totals to which all energy usage was calibrated in the base year of the study and then forecasted while using the same three climate zones the company has used in the past for calculating its potential. This resulted in a calculation of total natural gas consumption by eligible residential, commercial and industrial customers in Cascade’s Washington service territory</w:t>
      </w:r>
      <w:r w:rsidR="004076C4">
        <w:t>.</w:t>
      </w:r>
      <w:r w:rsidRPr="0068556F">
        <w:t xml:space="preserve"> </w:t>
      </w:r>
    </w:p>
    <w:p w:rsidR="008C0927" w:rsidRDefault="008C0927" w:rsidP="0068556F">
      <w:pPr>
        <w:spacing w:after="0"/>
        <w:ind w:right="83"/>
        <w:contextualSpacing/>
        <w:jc w:val="both"/>
      </w:pPr>
    </w:p>
    <w:p w:rsidR="00B0242A" w:rsidRDefault="00F4693C" w:rsidP="004076C4">
      <w:pPr>
        <w:widowControl/>
        <w:spacing w:after="0" w:line="240" w:lineRule="auto"/>
        <w:jc w:val="center"/>
        <w:rPr>
          <w:b/>
          <w:spacing w:val="-3"/>
        </w:rPr>
      </w:pPr>
      <w:r w:rsidRPr="0068556F">
        <w:rPr>
          <w:b/>
          <w:spacing w:val="-3"/>
        </w:rPr>
        <w:t>Table 2</w:t>
      </w:r>
    </w:p>
    <w:p w:rsidR="004076C4" w:rsidRPr="0068556F" w:rsidRDefault="004076C4" w:rsidP="004076C4">
      <w:pPr>
        <w:widowControl/>
        <w:spacing w:after="0" w:line="240" w:lineRule="auto"/>
        <w:jc w:val="center"/>
        <w:rPr>
          <w:b/>
          <w:spacing w:val="-3"/>
        </w:rPr>
      </w:pPr>
    </w:p>
    <w:tbl>
      <w:tblPr>
        <w:tblStyle w:val="TableGrid"/>
        <w:tblW w:w="0" w:type="auto"/>
        <w:jc w:val="center"/>
        <w:tblInd w:w="90" w:type="dxa"/>
        <w:tblLook w:val="04A0" w:firstRow="1" w:lastRow="0" w:firstColumn="1" w:lastColumn="0" w:noHBand="0" w:noVBand="1"/>
      </w:tblPr>
      <w:tblGrid>
        <w:gridCol w:w="2508"/>
        <w:gridCol w:w="2563"/>
        <w:gridCol w:w="2845"/>
      </w:tblGrid>
      <w:tr w:rsidR="00525FE4" w:rsidRPr="0068556F" w:rsidTr="004076C4">
        <w:trPr>
          <w:trHeight w:val="224"/>
          <w:jc w:val="center"/>
        </w:trPr>
        <w:tc>
          <w:tcPr>
            <w:tcW w:w="7916" w:type="dxa"/>
            <w:gridSpan w:val="3"/>
            <w:vAlign w:val="bottom"/>
          </w:tcPr>
          <w:p w:rsidR="00525FE4" w:rsidRPr="008C0927" w:rsidRDefault="00525FE4" w:rsidP="008C0927">
            <w:pPr>
              <w:pStyle w:val="ListParagraph"/>
              <w:ind w:right="83"/>
              <w:jc w:val="center"/>
              <w:rPr>
                <w:b/>
              </w:rPr>
            </w:pPr>
            <w:r w:rsidRPr="008C0927">
              <w:rPr>
                <w:b/>
                <w:sz w:val="22"/>
              </w:rPr>
              <w:t>Washington Conservation Climate Zones by District</w:t>
            </w:r>
          </w:p>
        </w:tc>
      </w:tr>
      <w:tr w:rsidR="00525FE4" w:rsidRPr="0068556F" w:rsidTr="008C0927">
        <w:trPr>
          <w:trHeight w:val="233"/>
          <w:jc w:val="center"/>
        </w:trPr>
        <w:tc>
          <w:tcPr>
            <w:tcW w:w="2508" w:type="dxa"/>
            <w:vAlign w:val="center"/>
          </w:tcPr>
          <w:p w:rsidR="00525FE4" w:rsidRPr="008C0927" w:rsidRDefault="00525FE4" w:rsidP="008C0927">
            <w:pPr>
              <w:pStyle w:val="ListParagraph"/>
              <w:ind w:right="83"/>
              <w:rPr>
                <w:b/>
                <w:sz w:val="20"/>
                <w:u w:val="single"/>
              </w:rPr>
            </w:pPr>
            <w:r w:rsidRPr="008C0927">
              <w:rPr>
                <w:b/>
                <w:sz w:val="20"/>
                <w:u w:val="single"/>
              </w:rPr>
              <w:t>Zone 1</w:t>
            </w:r>
          </w:p>
        </w:tc>
        <w:tc>
          <w:tcPr>
            <w:tcW w:w="2563" w:type="dxa"/>
            <w:vAlign w:val="center"/>
          </w:tcPr>
          <w:p w:rsidR="00525FE4" w:rsidRPr="008C0927" w:rsidRDefault="00525FE4" w:rsidP="008C0927">
            <w:pPr>
              <w:pStyle w:val="ListParagraph"/>
              <w:ind w:right="83"/>
              <w:rPr>
                <w:b/>
                <w:sz w:val="20"/>
                <w:u w:val="single"/>
              </w:rPr>
            </w:pPr>
            <w:r w:rsidRPr="008C0927">
              <w:rPr>
                <w:b/>
                <w:sz w:val="20"/>
                <w:u w:val="single"/>
              </w:rPr>
              <w:t>Zone 2</w:t>
            </w:r>
          </w:p>
        </w:tc>
        <w:tc>
          <w:tcPr>
            <w:tcW w:w="2845" w:type="dxa"/>
            <w:vAlign w:val="center"/>
          </w:tcPr>
          <w:p w:rsidR="00525FE4" w:rsidRPr="008C0927" w:rsidRDefault="00525FE4" w:rsidP="008C0927">
            <w:pPr>
              <w:pStyle w:val="ListParagraph"/>
              <w:ind w:right="83"/>
              <w:rPr>
                <w:b/>
                <w:sz w:val="20"/>
                <w:u w:val="single"/>
              </w:rPr>
            </w:pPr>
            <w:r w:rsidRPr="008C0927">
              <w:rPr>
                <w:b/>
                <w:sz w:val="20"/>
                <w:u w:val="single"/>
              </w:rPr>
              <w:t>Zone 3</w:t>
            </w:r>
          </w:p>
        </w:tc>
      </w:tr>
      <w:tr w:rsidR="00525FE4" w:rsidRPr="0068556F" w:rsidTr="004076C4">
        <w:trPr>
          <w:trHeight w:val="20"/>
          <w:jc w:val="center"/>
        </w:trPr>
        <w:tc>
          <w:tcPr>
            <w:tcW w:w="2508"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Bellingham</w:t>
            </w:r>
          </w:p>
        </w:tc>
        <w:tc>
          <w:tcPr>
            <w:tcW w:w="2563"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Aberdeen</w:t>
            </w:r>
          </w:p>
        </w:tc>
        <w:tc>
          <w:tcPr>
            <w:tcW w:w="2845"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Sunnyside</w:t>
            </w:r>
          </w:p>
        </w:tc>
      </w:tr>
      <w:tr w:rsidR="00525FE4" w:rsidRPr="0068556F" w:rsidTr="004076C4">
        <w:trPr>
          <w:trHeight w:val="20"/>
          <w:jc w:val="center"/>
        </w:trPr>
        <w:tc>
          <w:tcPr>
            <w:tcW w:w="2508"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Mount Vernon</w:t>
            </w:r>
          </w:p>
        </w:tc>
        <w:tc>
          <w:tcPr>
            <w:tcW w:w="2563"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Bremerton</w:t>
            </w:r>
          </w:p>
        </w:tc>
        <w:tc>
          <w:tcPr>
            <w:tcW w:w="2845" w:type="dxa"/>
            <w:vAlign w:val="center"/>
          </w:tcPr>
          <w:p w:rsidR="00525FE4" w:rsidRPr="004076C4" w:rsidRDefault="00525FE4" w:rsidP="004076C4">
            <w:pPr>
              <w:pStyle w:val="ListParagraph"/>
              <w:numPr>
                <w:ilvl w:val="0"/>
                <w:numId w:val="17"/>
              </w:numPr>
              <w:ind w:right="83"/>
              <w:rPr>
                <w:rFonts w:ascii="Arial" w:hAnsi="Arial" w:cs="Arial"/>
                <w:sz w:val="20"/>
              </w:rPr>
            </w:pPr>
            <w:r w:rsidRPr="004076C4">
              <w:rPr>
                <w:rFonts w:ascii="Arial" w:hAnsi="Arial" w:cs="Arial"/>
                <w:sz w:val="20"/>
              </w:rPr>
              <w:t>Tri-Cities</w:t>
            </w:r>
          </w:p>
        </w:tc>
      </w:tr>
      <w:tr w:rsidR="004076C4" w:rsidRPr="0068556F" w:rsidTr="004076C4">
        <w:trPr>
          <w:trHeight w:val="20"/>
          <w:jc w:val="center"/>
        </w:trPr>
        <w:tc>
          <w:tcPr>
            <w:tcW w:w="2508" w:type="dxa"/>
            <w:vAlign w:val="center"/>
          </w:tcPr>
          <w:p w:rsidR="004076C4" w:rsidRPr="004076C4" w:rsidRDefault="004076C4" w:rsidP="008713FB">
            <w:pPr>
              <w:pStyle w:val="ListParagraph"/>
              <w:ind w:right="83"/>
              <w:rPr>
                <w:rFonts w:ascii="Arial" w:hAnsi="Arial" w:cs="Arial"/>
                <w:sz w:val="20"/>
              </w:rPr>
            </w:pPr>
          </w:p>
        </w:tc>
        <w:tc>
          <w:tcPr>
            <w:tcW w:w="2563" w:type="dxa"/>
            <w:vAlign w:val="center"/>
          </w:tcPr>
          <w:p w:rsidR="004076C4" w:rsidRPr="004076C4" w:rsidRDefault="004076C4" w:rsidP="004076C4">
            <w:pPr>
              <w:pStyle w:val="ListParagraph"/>
              <w:numPr>
                <w:ilvl w:val="0"/>
                <w:numId w:val="17"/>
              </w:numPr>
              <w:ind w:right="83"/>
              <w:rPr>
                <w:rFonts w:ascii="Arial" w:hAnsi="Arial" w:cs="Arial"/>
                <w:sz w:val="20"/>
              </w:rPr>
            </w:pPr>
            <w:r>
              <w:rPr>
                <w:rFonts w:ascii="Arial" w:hAnsi="Arial" w:cs="Arial"/>
                <w:sz w:val="20"/>
              </w:rPr>
              <w:t>Longview</w:t>
            </w:r>
          </w:p>
        </w:tc>
        <w:tc>
          <w:tcPr>
            <w:tcW w:w="2845" w:type="dxa"/>
            <w:vAlign w:val="center"/>
          </w:tcPr>
          <w:p w:rsidR="004076C4" w:rsidRPr="004076C4" w:rsidRDefault="004076C4" w:rsidP="004076C4">
            <w:pPr>
              <w:pStyle w:val="ListParagraph"/>
              <w:numPr>
                <w:ilvl w:val="0"/>
                <w:numId w:val="17"/>
              </w:numPr>
              <w:ind w:right="83"/>
              <w:rPr>
                <w:rFonts w:ascii="Arial" w:hAnsi="Arial" w:cs="Arial"/>
                <w:sz w:val="20"/>
              </w:rPr>
            </w:pPr>
            <w:r>
              <w:rPr>
                <w:rFonts w:ascii="Arial" w:hAnsi="Arial" w:cs="Arial"/>
                <w:sz w:val="20"/>
              </w:rPr>
              <w:t>Walla Walla</w:t>
            </w:r>
          </w:p>
        </w:tc>
      </w:tr>
      <w:tr w:rsidR="004076C4" w:rsidRPr="0068556F" w:rsidTr="004076C4">
        <w:trPr>
          <w:trHeight w:val="20"/>
          <w:jc w:val="center"/>
        </w:trPr>
        <w:tc>
          <w:tcPr>
            <w:tcW w:w="2508" w:type="dxa"/>
            <w:vAlign w:val="center"/>
          </w:tcPr>
          <w:p w:rsidR="004076C4" w:rsidRPr="004076C4" w:rsidRDefault="004076C4" w:rsidP="004076C4">
            <w:pPr>
              <w:pStyle w:val="ListParagraph"/>
              <w:ind w:right="83"/>
              <w:rPr>
                <w:rFonts w:ascii="Arial" w:hAnsi="Arial" w:cs="Arial"/>
                <w:sz w:val="20"/>
              </w:rPr>
            </w:pPr>
          </w:p>
        </w:tc>
        <w:tc>
          <w:tcPr>
            <w:tcW w:w="2563" w:type="dxa"/>
            <w:vAlign w:val="center"/>
          </w:tcPr>
          <w:p w:rsidR="004076C4" w:rsidRDefault="004076C4" w:rsidP="004076C4">
            <w:pPr>
              <w:pStyle w:val="ListParagraph"/>
              <w:ind w:right="83"/>
              <w:rPr>
                <w:rFonts w:ascii="Arial" w:hAnsi="Arial" w:cs="Arial"/>
                <w:sz w:val="20"/>
              </w:rPr>
            </w:pPr>
          </w:p>
        </w:tc>
        <w:tc>
          <w:tcPr>
            <w:tcW w:w="2845" w:type="dxa"/>
            <w:vAlign w:val="center"/>
          </w:tcPr>
          <w:p w:rsidR="004076C4" w:rsidRDefault="004076C4" w:rsidP="004076C4">
            <w:pPr>
              <w:pStyle w:val="ListParagraph"/>
              <w:numPr>
                <w:ilvl w:val="0"/>
                <w:numId w:val="17"/>
              </w:numPr>
              <w:ind w:right="83"/>
              <w:rPr>
                <w:rFonts w:ascii="Arial" w:hAnsi="Arial" w:cs="Arial"/>
                <w:sz w:val="20"/>
              </w:rPr>
            </w:pPr>
            <w:r>
              <w:rPr>
                <w:rFonts w:ascii="Arial" w:hAnsi="Arial" w:cs="Arial"/>
                <w:sz w:val="20"/>
              </w:rPr>
              <w:t>Wenatchee</w:t>
            </w:r>
          </w:p>
        </w:tc>
      </w:tr>
      <w:tr w:rsidR="004076C4" w:rsidRPr="0068556F" w:rsidTr="004076C4">
        <w:trPr>
          <w:trHeight w:val="20"/>
          <w:jc w:val="center"/>
        </w:trPr>
        <w:tc>
          <w:tcPr>
            <w:tcW w:w="2508" w:type="dxa"/>
            <w:vAlign w:val="center"/>
          </w:tcPr>
          <w:p w:rsidR="004076C4" w:rsidRPr="004076C4" w:rsidRDefault="004076C4" w:rsidP="004076C4">
            <w:pPr>
              <w:pStyle w:val="ListParagraph"/>
              <w:ind w:right="83"/>
              <w:rPr>
                <w:rFonts w:ascii="Arial" w:hAnsi="Arial" w:cs="Arial"/>
                <w:sz w:val="20"/>
              </w:rPr>
            </w:pPr>
          </w:p>
        </w:tc>
        <w:tc>
          <w:tcPr>
            <w:tcW w:w="2563" w:type="dxa"/>
            <w:vAlign w:val="center"/>
          </w:tcPr>
          <w:p w:rsidR="004076C4" w:rsidRDefault="004076C4" w:rsidP="004076C4">
            <w:pPr>
              <w:pStyle w:val="ListParagraph"/>
              <w:ind w:right="83"/>
              <w:rPr>
                <w:rFonts w:ascii="Arial" w:hAnsi="Arial" w:cs="Arial"/>
                <w:sz w:val="20"/>
              </w:rPr>
            </w:pPr>
          </w:p>
        </w:tc>
        <w:tc>
          <w:tcPr>
            <w:tcW w:w="2845" w:type="dxa"/>
            <w:vAlign w:val="center"/>
          </w:tcPr>
          <w:p w:rsidR="004076C4" w:rsidRDefault="004076C4" w:rsidP="004076C4">
            <w:pPr>
              <w:pStyle w:val="ListParagraph"/>
              <w:numPr>
                <w:ilvl w:val="0"/>
                <w:numId w:val="17"/>
              </w:numPr>
              <w:ind w:right="83"/>
              <w:rPr>
                <w:rFonts w:ascii="Arial" w:hAnsi="Arial" w:cs="Arial"/>
                <w:sz w:val="20"/>
              </w:rPr>
            </w:pPr>
            <w:r>
              <w:rPr>
                <w:rFonts w:ascii="Arial" w:hAnsi="Arial" w:cs="Arial"/>
                <w:sz w:val="20"/>
              </w:rPr>
              <w:t>Yakima</w:t>
            </w:r>
          </w:p>
        </w:tc>
      </w:tr>
    </w:tbl>
    <w:p w:rsidR="000A4974" w:rsidRPr="0068556F" w:rsidRDefault="000A4974" w:rsidP="0068556F">
      <w:pPr>
        <w:tabs>
          <w:tab w:val="left" w:pos="180"/>
        </w:tabs>
        <w:ind w:right="83"/>
        <w:contextualSpacing/>
        <w:jc w:val="both"/>
        <w:rPr>
          <w:b/>
          <w:i/>
        </w:rPr>
      </w:pPr>
    </w:p>
    <w:p w:rsidR="00525FE4" w:rsidRPr="0068556F" w:rsidRDefault="00525FE4" w:rsidP="0068556F">
      <w:pPr>
        <w:tabs>
          <w:tab w:val="left" w:pos="180"/>
        </w:tabs>
        <w:ind w:right="83"/>
        <w:contextualSpacing/>
        <w:jc w:val="both"/>
      </w:pPr>
      <w:bookmarkStart w:id="12" w:name="_Toc437853980"/>
      <w:r w:rsidRPr="0068556F">
        <w:rPr>
          <w:rStyle w:val="Heading2Char"/>
        </w:rPr>
        <w:t>Energy Efficiency Portfolio Development</w:t>
      </w:r>
      <w:bookmarkEnd w:id="12"/>
      <w:r w:rsidRPr="0068556F">
        <w:rPr>
          <w:b/>
        </w:rPr>
        <w:t>:</w:t>
      </w:r>
      <w:r w:rsidRPr="0068556F">
        <w:t xml:space="preserve">  </w:t>
      </w:r>
      <w:r w:rsidR="00F4693C" w:rsidRPr="0068556F">
        <w:t>High-level</w:t>
      </w:r>
      <w:r w:rsidRPr="0068556F">
        <w:t xml:space="preserve"> energy efficiency potential was developed by Nexant based on measures as screened through the</w:t>
      </w:r>
      <w:r w:rsidR="00D12F56" w:rsidRPr="0068556F">
        <w:t xml:space="preserve"> initial run of the</w:t>
      </w:r>
      <w:r w:rsidRPr="0068556F">
        <w:t xml:space="preserve"> TEAPOT model </w:t>
      </w:r>
      <w:r w:rsidR="00D12F56" w:rsidRPr="0068556F">
        <w:t xml:space="preserve">for the study </w:t>
      </w:r>
      <w:r w:rsidRPr="0068556F">
        <w:t>under the following main</w:t>
      </w:r>
      <w:r w:rsidR="00F22B47" w:rsidRPr="0068556F">
        <w:t xml:space="preserve"> assumptions</w:t>
      </w:r>
      <w:r w:rsidR="00245867" w:rsidRPr="0068556F">
        <w:t>:</w:t>
      </w:r>
    </w:p>
    <w:p w:rsidR="00525FE4" w:rsidRPr="0068556F" w:rsidRDefault="00525FE4" w:rsidP="0068556F">
      <w:pPr>
        <w:pStyle w:val="ListParagraph"/>
        <w:numPr>
          <w:ilvl w:val="0"/>
          <w:numId w:val="12"/>
        </w:numPr>
        <w:spacing w:line="276" w:lineRule="auto"/>
        <w:ind w:right="83"/>
        <w:jc w:val="both"/>
        <w:rPr>
          <w:rFonts w:ascii="Arial" w:hAnsi="Arial" w:cs="Arial"/>
        </w:rPr>
      </w:pPr>
      <w:r w:rsidRPr="0068556F">
        <w:rPr>
          <w:rFonts w:ascii="Arial" w:hAnsi="Arial" w:cs="Arial"/>
        </w:rPr>
        <w:t>Measure cost effectiveness screen: Utility Cost Test (UCT)</w:t>
      </w:r>
    </w:p>
    <w:p w:rsidR="00525FE4" w:rsidRPr="0068556F" w:rsidRDefault="00525FE4" w:rsidP="0068556F">
      <w:pPr>
        <w:pStyle w:val="ListParagraph"/>
        <w:numPr>
          <w:ilvl w:val="0"/>
          <w:numId w:val="12"/>
        </w:numPr>
        <w:spacing w:line="276" w:lineRule="auto"/>
        <w:ind w:right="83"/>
        <w:jc w:val="both"/>
        <w:rPr>
          <w:rFonts w:ascii="Arial" w:hAnsi="Arial" w:cs="Arial"/>
        </w:rPr>
      </w:pPr>
      <w:r w:rsidRPr="0068556F">
        <w:rPr>
          <w:rFonts w:ascii="Arial" w:hAnsi="Arial" w:cs="Arial"/>
        </w:rPr>
        <w:t xml:space="preserve">Incentive </w:t>
      </w:r>
      <w:r w:rsidR="00EE0C01" w:rsidRPr="0068556F">
        <w:rPr>
          <w:rFonts w:ascii="Arial" w:hAnsi="Arial" w:cs="Arial"/>
        </w:rPr>
        <w:t xml:space="preserve">percent </w:t>
      </w:r>
      <w:r w:rsidRPr="0068556F">
        <w:rPr>
          <w:rFonts w:ascii="Arial" w:hAnsi="Arial" w:cs="Arial"/>
        </w:rPr>
        <w:t>of incremental cost (for achievable scenarios): 30%, 50% or 75%</w:t>
      </w:r>
    </w:p>
    <w:p w:rsidR="00525FE4" w:rsidRPr="0068556F" w:rsidRDefault="00525FE4" w:rsidP="0068556F">
      <w:pPr>
        <w:pStyle w:val="ListParagraph"/>
        <w:numPr>
          <w:ilvl w:val="0"/>
          <w:numId w:val="12"/>
        </w:numPr>
        <w:spacing w:line="276" w:lineRule="auto"/>
        <w:ind w:right="83"/>
        <w:jc w:val="both"/>
        <w:rPr>
          <w:rFonts w:ascii="Arial" w:hAnsi="Arial" w:cs="Arial"/>
        </w:rPr>
      </w:pPr>
      <w:r w:rsidRPr="0068556F">
        <w:rPr>
          <w:rFonts w:ascii="Arial" w:hAnsi="Arial" w:cs="Arial"/>
        </w:rPr>
        <w:t xml:space="preserve">Avoided Costs: Current avoided costs as provided in Appendix H of Cascade’s  </w:t>
      </w:r>
      <w:r w:rsidR="00CC571C">
        <w:rPr>
          <w:rFonts w:ascii="Arial" w:hAnsi="Arial" w:cs="Arial"/>
        </w:rPr>
        <w:t xml:space="preserve">2014 </w:t>
      </w:r>
      <w:r w:rsidRPr="0068556F">
        <w:rPr>
          <w:rFonts w:ascii="Arial" w:hAnsi="Arial" w:cs="Arial"/>
        </w:rPr>
        <w:t>IRP</w:t>
      </w:r>
    </w:p>
    <w:p w:rsidR="00525FE4" w:rsidRPr="0068556F" w:rsidRDefault="00525FE4" w:rsidP="0068556F">
      <w:pPr>
        <w:pStyle w:val="ListParagraph"/>
        <w:numPr>
          <w:ilvl w:val="0"/>
          <w:numId w:val="12"/>
        </w:numPr>
        <w:spacing w:line="276" w:lineRule="auto"/>
        <w:ind w:right="83"/>
        <w:jc w:val="both"/>
        <w:rPr>
          <w:rFonts w:ascii="Arial" w:hAnsi="Arial" w:cs="Arial"/>
        </w:rPr>
      </w:pPr>
      <w:r w:rsidRPr="0068556F">
        <w:rPr>
          <w:rFonts w:ascii="Arial" w:hAnsi="Arial" w:cs="Arial"/>
        </w:rPr>
        <w:t xml:space="preserve">Discount Rate: 8.55% (the WACC per the WUTC Policy Statement UG-121207). Additional scenarios </w:t>
      </w:r>
      <w:r w:rsidR="00F73BBA">
        <w:rPr>
          <w:rFonts w:ascii="Arial" w:hAnsi="Arial" w:cs="Arial"/>
        </w:rPr>
        <w:t>were</w:t>
      </w:r>
      <w:r w:rsidRPr="0068556F">
        <w:rPr>
          <w:rFonts w:ascii="Arial" w:hAnsi="Arial" w:cs="Arial"/>
        </w:rPr>
        <w:t xml:space="preserve"> run under the 4.17% discount rate and reflect more favorable results to continued, comprehensive conservation efforts as described later in this document).</w:t>
      </w:r>
      <w:r w:rsidR="00F73BBA">
        <w:rPr>
          <w:rFonts w:ascii="Arial" w:hAnsi="Arial" w:cs="Arial"/>
        </w:rPr>
        <w:t xml:space="preserve">Please note - the Company has run all subsequent scenarios under the 4.17% discount rate. </w:t>
      </w:r>
    </w:p>
    <w:p w:rsidR="00525FE4" w:rsidRPr="0068556F" w:rsidRDefault="00525FE4" w:rsidP="0068556F">
      <w:pPr>
        <w:pStyle w:val="ListParagraph"/>
        <w:spacing w:line="276" w:lineRule="auto"/>
        <w:ind w:left="810" w:right="83"/>
        <w:jc w:val="both"/>
        <w:rPr>
          <w:rFonts w:ascii="Arial" w:hAnsi="Arial" w:cs="Arial"/>
        </w:rPr>
      </w:pPr>
    </w:p>
    <w:p w:rsidR="00525FE4" w:rsidRPr="0068556F" w:rsidRDefault="00245867" w:rsidP="0068556F">
      <w:pPr>
        <w:tabs>
          <w:tab w:val="left" w:pos="180"/>
        </w:tabs>
        <w:ind w:right="83"/>
        <w:jc w:val="both"/>
      </w:pPr>
      <w:r w:rsidRPr="0068556F">
        <w:t>These h</w:t>
      </w:r>
      <w:r w:rsidR="00525FE4" w:rsidRPr="0068556F">
        <w:t xml:space="preserve">igh level screens performed under Nexant’s baseline conditions yielded total Achievable Potential for the Residential, Commercial and Industrial sectors. </w:t>
      </w:r>
    </w:p>
    <w:p w:rsidR="00525FE4" w:rsidRPr="0068556F" w:rsidRDefault="00525FE4" w:rsidP="0068556F">
      <w:pPr>
        <w:widowControl/>
        <w:jc w:val="both"/>
      </w:pPr>
      <w:r w:rsidRPr="0068556F">
        <w:t>It is important to recognize the screens only represent</w:t>
      </w:r>
      <w:r w:rsidR="00245867" w:rsidRPr="0068556F">
        <w:t>ed</w:t>
      </w:r>
      <w:r w:rsidRPr="0068556F">
        <w:t xml:space="preserve"> the Technical, Economic, and Achievable potential within Cascade’s Washington service territory </w:t>
      </w:r>
      <w:r w:rsidR="00245867" w:rsidRPr="0068556F">
        <w:t xml:space="preserve">and </w:t>
      </w:r>
      <w:r w:rsidR="00C2198B" w:rsidRPr="0068556F">
        <w:t xml:space="preserve">at their current </w:t>
      </w:r>
      <w:r w:rsidR="00C2198B" w:rsidRPr="0068556F">
        <w:lastRenderedPageBreak/>
        <w:t xml:space="preserve">levels </w:t>
      </w:r>
      <w:r w:rsidR="00245867" w:rsidRPr="0068556F">
        <w:t xml:space="preserve">did </w:t>
      </w:r>
      <w:r w:rsidRPr="0068556F">
        <w:t>not represent on-the-ground conservation potential.  Furthermore, the high-level screens provided in the Nexant report represent the savings potential available if every measure identified under the Achievable screen could be cost-effectively integrated into the Company’s c</w:t>
      </w:r>
      <w:r w:rsidR="00F4693C" w:rsidRPr="0068556F">
        <w:t xml:space="preserve">onservation program portfolio. </w:t>
      </w:r>
      <w:r w:rsidRPr="0068556F">
        <w:t xml:space="preserve">In other words, the summary pages of the study provide a high-level view into what would be </w:t>
      </w:r>
      <w:r w:rsidRPr="0068556F">
        <w:rPr>
          <w:i/>
        </w:rPr>
        <w:t>theoretically</w:t>
      </w:r>
      <w:r w:rsidRPr="0068556F">
        <w:t xml:space="preserve"> possible without concerns from program budgets</w:t>
      </w:r>
      <w:r w:rsidR="00245867" w:rsidRPr="0068556F">
        <w:t>, administrative costs</w:t>
      </w:r>
      <w:r w:rsidRPr="0068556F">
        <w:t xml:space="preserve"> or regulatory parameters.  But in reality, not all measures identified by Nexant remain cost effective under real-world conditions and within the cost-screen thresholds identified in Appendix H of the Company’s IRP.  </w:t>
      </w:r>
      <w:r w:rsidR="00245867" w:rsidRPr="0068556F">
        <w:t>When Nexant developed the TEAPOT model for the Company they did not enable the model to include administrative costs associated with program implementation</w:t>
      </w:r>
      <w:r w:rsidR="00D12F56" w:rsidRPr="0068556F">
        <w:t xml:space="preserve"> </w:t>
      </w:r>
      <w:r w:rsidR="00245867" w:rsidRPr="0068556F">
        <w:t>– as the intention was to include them at the programmati</w:t>
      </w:r>
      <w:r w:rsidR="00F4693C" w:rsidRPr="0068556F">
        <w:t>c potential development level.</w:t>
      </w:r>
    </w:p>
    <w:p w:rsidR="00525FE4" w:rsidRPr="0068556F" w:rsidRDefault="00245867" w:rsidP="0068556F">
      <w:pPr>
        <w:spacing w:after="0"/>
        <w:ind w:right="83"/>
        <w:jc w:val="both"/>
      </w:pPr>
      <w:r w:rsidRPr="0068556F">
        <w:t>I</w:t>
      </w:r>
      <w:r w:rsidR="00525FE4" w:rsidRPr="0068556F">
        <w:t xml:space="preserve">t is not uncommon for a utility to set programmatic goals below achievable potential findings. Many utilities utilize potential studies to inform the direction of goals and help design programs to capture untapped end use/technology potential. </w:t>
      </w:r>
      <w:r w:rsidRPr="0068556F">
        <w:t>In the most recent</w:t>
      </w:r>
      <w:r w:rsidR="00C2198B" w:rsidRPr="0068556F">
        <w:t xml:space="preserve"> IRP the Company established </w:t>
      </w:r>
      <w:r w:rsidR="00525FE4" w:rsidRPr="0068556F">
        <w:t xml:space="preserve"> a </w:t>
      </w:r>
      <w:r w:rsidR="00C2198B" w:rsidRPr="0068556F">
        <w:t xml:space="preserve">separate </w:t>
      </w:r>
      <w:r w:rsidR="00525FE4" w:rsidRPr="0068556F">
        <w:t xml:space="preserve">programmatic level </w:t>
      </w:r>
      <w:r w:rsidR="003E14DB" w:rsidRPr="0068556F">
        <w:t xml:space="preserve">of potential </w:t>
      </w:r>
      <w:r w:rsidR="00525FE4" w:rsidRPr="0068556F">
        <w:t xml:space="preserve">for a variety of reasons as noted above, but </w:t>
      </w:r>
      <w:r w:rsidR="003E14DB" w:rsidRPr="0068556F">
        <w:t xml:space="preserve">primarily </w:t>
      </w:r>
      <w:r w:rsidR="00525FE4" w:rsidRPr="0068556F">
        <w:t xml:space="preserve">because administrative costs </w:t>
      </w:r>
      <w:r w:rsidR="003E14DB" w:rsidRPr="0068556F">
        <w:t xml:space="preserve">were </w:t>
      </w:r>
      <w:r w:rsidR="00525FE4" w:rsidRPr="0068556F">
        <w:t>not calculated into the program at the Achievable level</w:t>
      </w:r>
      <w:r w:rsidR="00C2198B" w:rsidRPr="0068556F">
        <w:t xml:space="preserve"> through the TEAPOT model</w:t>
      </w:r>
      <w:r w:rsidR="003E14DB" w:rsidRPr="0068556F">
        <w:t>.</w:t>
      </w:r>
      <w:r w:rsidR="00525FE4" w:rsidRPr="0068556F">
        <w:t xml:space="preserve"> </w:t>
      </w:r>
      <w:r w:rsidR="004076C4" w:rsidRPr="0068556F">
        <w:t>The Achievable potential also assumes savings are captured in all end uses in all market segments</w:t>
      </w:r>
      <w:r w:rsidR="004076C4">
        <w:t>.</w:t>
      </w:r>
      <w:r w:rsidR="004076C4" w:rsidRPr="0068556F">
        <w:t xml:space="preserve"> It’s rare for utilities to develop DSM programs that address all segments simultaneously as they tend to be more strategic in where they focus their resources. </w:t>
      </w:r>
    </w:p>
    <w:p w:rsidR="00525FE4" w:rsidRPr="0068556F" w:rsidRDefault="00525FE4" w:rsidP="0068556F">
      <w:pPr>
        <w:spacing w:after="0"/>
        <w:ind w:right="83"/>
        <w:jc w:val="both"/>
      </w:pPr>
    </w:p>
    <w:p w:rsidR="00525FE4" w:rsidRPr="0068556F" w:rsidRDefault="00525FE4" w:rsidP="0068556F">
      <w:pPr>
        <w:spacing w:after="0"/>
        <w:ind w:right="83"/>
        <w:jc w:val="both"/>
      </w:pPr>
      <w:r w:rsidRPr="0068556F">
        <w:t xml:space="preserve">As recognized by Nexant, a more nuanced approach </w:t>
      </w:r>
      <w:r w:rsidR="003E14DB" w:rsidRPr="0068556F">
        <w:t xml:space="preserve">was </w:t>
      </w:r>
      <w:r w:rsidRPr="0068556F">
        <w:t>required in order for the Company to create a realistic portfolio of conservation measures that pass programmatic cost effectiveness screens and offer</w:t>
      </w:r>
      <w:r w:rsidR="003E14DB" w:rsidRPr="0068556F">
        <w:t>ed</w:t>
      </w:r>
      <w:r w:rsidRPr="0068556F">
        <w:t xml:space="preserve"> realistic conservation benefits to customers.  </w:t>
      </w:r>
    </w:p>
    <w:p w:rsidR="00525FE4" w:rsidRPr="0068556F" w:rsidRDefault="00525FE4" w:rsidP="0068556F">
      <w:pPr>
        <w:spacing w:after="0"/>
        <w:ind w:right="83"/>
        <w:jc w:val="both"/>
      </w:pPr>
    </w:p>
    <w:p w:rsidR="00807E51" w:rsidRDefault="00525FE4" w:rsidP="0068556F">
      <w:pPr>
        <w:spacing w:after="0"/>
        <w:ind w:right="83"/>
        <w:jc w:val="both"/>
      </w:pPr>
      <w:r w:rsidRPr="0068556F">
        <w:t>Therefore, the Company treat</w:t>
      </w:r>
      <w:r w:rsidR="003E14DB" w:rsidRPr="0068556F">
        <w:t>ed</w:t>
      </w:r>
      <w:r w:rsidRPr="0068556F">
        <w:t xml:space="preserve"> the Base Case </w:t>
      </w:r>
      <w:r w:rsidR="00807E51">
        <w:t>f</w:t>
      </w:r>
      <w:r w:rsidRPr="0068556F">
        <w:t xml:space="preserve">indings as a high-level assessment of potential, </w:t>
      </w:r>
      <w:r w:rsidR="003E14DB" w:rsidRPr="0068556F">
        <w:t>and then utilized</w:t>
      </w:r>
      <w:r w:rsidRPr="0068556F">
        <w:t xml:space="preserve"> the TEAPOT model to create dynamic, focused portfolios and subsequent targets for use in th</w:t>
      </w:r>
      <w:r w:rsidR="00F4693C" w:rsidRPr="0068556F">
        <w:t>e IRP and for program planning.</w:t>
      </w:r>
      <w:r w:rsidRPr="0068556F">
        <w:t xml:space="preserve"> </w:t>
      </w:r>
    </w:p>
    <w:p w:rsidR="00807E51" w:rsidRDefault="00807E51" w:rsidP="0068556F">
      <w:pPr>
        <w:spacing w:after="0"/>
        <w:ind w:right="83"/>
        <w:jc w:val="both"/>
      </w:pPr>
    </w:p>
    <w:p w:rsidR="00EF2E90" w:rsidRDefault="00525FE4" w:rsidP="0068556F">
      <w:pPr>
        <w:spacing w:after="0"/>
        <w:ind w:right="83"/>
        <w:jc w:val="both"/>
      </w:pPr>
      <w:r w:rsidRPr="0068556F">
        <w:t xml:space="preserve">A summary of the program planning and TEAPOT modeling scenarios used by the Company for its Conservation Incentive Program portfolio </w:t>
      </w:r>
      <w:r w:rsidR="00C2198B" w:rsidRPr="0068556F">
        <w:t>in th</w:t>
      </w:r>
      <w:r w:rsidR="003E14DB" w:rsidRPr="0068556F">
        <w:t>e 2014</w:t>
      </w:r>
      <w:r w:rsidR="00C2198B" w:rsidRPr="0068556F">
        <w:t xml:space="preserve"> IRP </w:t>
      </w:r>
      <w:r w:rsidR="003E14DB" w:rsidRPr="0068556F">
        <w:t xml:space="preserve">is </w:t>
      </w:r>
      <w:r w:rsidR="00B841F8">
        <w:t>included here</w:t>
      </w:r>
      <w:r w:rsidRPr="0068556F">
        <w:t>.</w:t>
      </w:r>
      <w:r w:rsidR="00F22B47" w:rsidRPr="0068556F">
        <w:t xml:space="preserve">  Following is a visual representation of the process of narrowing down potential from the Technical potential level to the programmatic level employed by the Company.</w:t>
      </w:r>
    </w:p>
    <w:p w:rsidR="00EF2E90" w:rsidRDefault="00EF2E90">
      <w:pPr>
        <w:widowControl/>
        <w:spacing w:after="0" w:line="240" w:lineRule="auto"/>
      </w:pPr>
      <w:r>
        <w:br w:type="page"/>
      </w:r>
    </w:p>
    <w:p w:rsidR="00525FE4" w:rsidRPr="0068556F" w:rsidRDefault="00525FE4" w:rsidP="0068556F">
      <w:pPr>
        <w:widowControl/>
        <w:jc w:val="center"/>
        <w:rPr>
          <w:b/>
        </w:rPr>
      </w:pPr>
      <w:r w:rsidRPr="0068556F">
        <w:rPr>
          <w:b/>
        </w:rPr>
        <w:lastRenderedPageBreak/>
        <w:t xml:space="preserve">Figure </w:t>
      </w:r>
      <w:r w:rsidR="00B0242A" w:rsidRPr="0068556F">
        <w:rPr>
          <w:b/>
        </w:rPr>
        <w:t>1</w:t>
      </w:r>
    </w:p>
    <w:tbl>
      <w:tblPr>
        <w:tblW w:w="8820" w:type="dxa"/>
        <w:jc w:val="center"/>
        <w:tblInd w:w="108" w:type="dxa"/>
        <w:tblLook w:val="04A0" w:firstRow="1" w:lastRow="0" w:firstColumn="1" w:lastColumn="0" w:noHBand="0" w:noVBand="1"/>
      </w:tblPr>
      <w:tblGrid>
        <w:gridCol w:w="4456"/>
        <w:gridCol w:w="4364"/>
      </w:tblGrid>
      <w:tr w:rsidR="00525FE4" w:rsidRPr="0068556F" w:rsidTr="00457834">
        <w:trPr>
          <w:trHeight w:val="390"/>
          <w:jc w:val="center"/>
        </w:trPr>
        <w:tc>
          <w:tcPr>
            <w:tcW w:w="8820" w:type="dxa"/>
            <w:gridSpan w:val="2"/>
            <w:tcBorders>
              <w:top w:val="nil"/>
              <w:left w:val="nil"/>
              <w:bottom w:val="nil"/>
              <w:right w:val="nil"/>
            </w:tcBorders>
            <w:shd w:val="clear" w:color="auto" w:fill="auto"/>
            <w:vAlign w:val="bottom"/>
            <w:hideMark/>
          </w:tcPr>
          <w:p w:rsidR="00525FE4" w:rsidRPr="0068556F" w:rsidRDefault="00525FE4" w:rsidP="0068556F">
            <w:pPr>
              <w:widowControl/>
              <w:spacing w:after="0"/>
              <w:jc w:val="center"/>
              <w:rPr>
                <w:b/>
                <w:bCs/>
                <w:color w:val="000000"/>
                <w:sz w:val="28"/>
                <w:szCs w:val="28"/>
              </w:rPr>
            </w:pPr>
            <w:r w:rsidRPr="0068556F">
              <w:rPr>
                <w:b/>
                <w:bCs/>
                <w:color w:val="000000"/>
                <w:sz w:val="28"/>
                <w:szCs w:val="28"/>
              </w:rPr>
              <w:t>Programmatic Potential  Processes</w:t>
            </w:r>
          </w:p>
        </w:tc>
      </w:tr>
      <w:tr w:rsidR="00525FE4" w:rsidRPr="0068556F" w:rsidTr="00457834">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EBF1DE"/>
            <w:noWrap/>
            <w:vAlign w:val="bottom"/>
            <w:hideMark/>
          </w:tcPr>
          <w:p w:rsidR="00525FE4" w:rsidRPr="0068556F" w:rsidRDefault="00525FE4" w:rsidP="0068556F">
            <w:pPr>
              <w:widowControl/>
              <w:spacing w:after="0"/>
              <w:jc w:val="center"/>
              <w:rPr>
                <w:b/>
                <w:bCs/>
                <w:color w:val="000000"/>
                <w:sz w:val="20"/>
                <w:szCs w:val="20"/>
              </w:rPr>
            </w:pPr>
            <w:r w:rsidRPr="0068556F">
              <w:rPr>
                <w:b/>
                <w:bCs/>
                <w:color w:val="000000"/>
                <w:sz w:val="20"/>
                <w:szCs w:val="20"/>
              </w:rPr>
              <w:t>Technical Potential</w:t>
            </w:r>
          </w:p>
        </w:tc>
      </w:tr>
      <w:tr w:rsidR="00525FE4" w:rsidRPr="0068556F" w:rsidTr="00457834">
        <w:trPr>
          <w:trHeight w:val="1035"/>
          <w:jc w:val="center"/>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 xml:space="preserve">This is calculated through TEAPOT and is reported as a combination of all Technical Potential for  Residential &amp;  Prescriptive Commercial and Industrial </w:t>
            </w:r>
          </w:p>
        </w:tc>
        <w:tc>
          <w:tcPr>
            <w:tcW w:w="4364" w:type="dxa"/>
            <w:tcBorders>
              <w:top w:val="nil"/>
              <w:left w:val="nil"/>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 xml:space="preserve">Technical Potential represents a substitution by the end user of all </w:t>
            </w:r>
            <w:r w:rsidRPr="0068556F">
              <w:rPr>
                <w:i/>
                <w:iCs/>
                <w:color w:val="000000"/>
                <w:sz w:val="20"/>
                <w:szCs w:val="20"/>
              </w:rPr>
              <w:t>technically</w:t>
            </w:r>
            <w:r w:rsidRPr="0068556F">
              <w:rPr>
                <w:color w:val="000000"/>
                <w:sz w:val="20"/>
                <w:szCs w:val="20"/>
              </w:rPr>
              <w:t xml:space="preserve"> feasible measures at the end use level</w:t>
            </w:r>
          </w:p>
        </w:tc>
      </w:tr>
      <w:tr w:rsidR="00525FE4" w:rsidRPr="0068556F" w:rsidTr="00457834">
        <w:trPr>
          <w:trHeight w:val="300"/>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rPr>
            </w:pPr>
            <w:r w:rsidRPr="0068556F">
              <w:rPr>
                <w:noProof/>
                <w:color w:val="000000"/>
                <w:sz w:val="22"/>
                <w:szCs w:val="22"/>
              </w:rPr>
              <mc:AlternateContent>
                <mc:Choice Requires="wps">
                  <w:drawing>
                    <wp:anchor distT="0" distB="0" distL="114300" distR="114300" simplePos="0" relativeHeight="251686912" behindDoc="0" locked="0" layoutInCell="1" allowOverlap="1" wp14:anchorId="2092E505" wp14:editId="3E68B646">
                      <wp:simplePos x="0" y="0"/>
                      <wp:positionH relativeFrom="column">
                        <wp:posOffset>2381250</wp:posOffset>
                      </wp:positionH>
                      <wp:positionV relativeFrom="paragraph">
                        <wp:posOffset>19050</wp:posOffset>
                      </wp:positionV>
                      <wp:extent cx="619125" cy="409575"/>
                      <wp:effectExtent l="57150" t="38100" r="28575" b="123825"/>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9575"/>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187.5pt;margin-top:1.5pt;width:48.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" adj="10800" fillcolor="black [3213]" stroked="f">
                      <v:shadow on="t" color="black" opacity="22937f" origin=",.5" offset="0,.63889mm"/>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525FE4" w:rsidRPr="0068556F" w:rsidTr="00525FE4">
              <w:trPr>
                <w:trHeight w:val="300"/>
                <w:tblCellSpacing w:w="0" w:type="dxa"/>
              </w:trPr>
              <w:tc>
                <w:tcPr>
                  <w:tcW w:w="4240"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bl>
          <w:p w:rsidR="00525FE4" w:rsidRPr="0068556F" w:rsidRDefault="00525FE4" w:rsidP="0068556F">
            <w:pPr>
              <w:widowControl/>
              <w:spacing w:after="0"/>
              <w:rPr>
                <w:color w:val="000000"/>
              </w:rPr>
            </w:pPr>
          </w:p>
        </w:tc>
        <w:tc>
          <w:tcPr>
            <w:tcW w:w="4364"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r w:rsidR="00525FE4" w:rsidRPr="0068556F" w:rsidTr="000A4974">
        <w:trPr>
          <w:trHeight w:val="180"/>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c>
          <w:tcPr>
            <w:tcW w:w="4364"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r w:rsidR="00525FE4" w:rsidRPr="0068556F" w:rsidTr="00457834">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C4D79B"/>
            <w:noWrap/>
            <w:vAlign w:val="bottom"/>
            <w:hideMark/>
          </w:tcPr>
          <w:p w:rsidR="00525FE4" w:rsidRPr="0068556F" w:rsidRDefault="00525FE4" w:rsidP="0068556F">
            <w:pPr>
              <w:widowControl/>
              <w:spacing w:after="0"/>
              <w:jc w:val="center"/>
              <w:rPr>
                <w:b/>
                <w:bCs/>
                <w:color w:val="000000"/>
                <w:sz w:val="20"/>
                <w:szCs w:val="20"/>
              </w:rPr>
            </w:pPr>
            <w:r w:rsidRPr="0068556F">
              <w:rPr>
                <w:b/>
                <w:bCs/>
                <w:color w:val="000000"/>
                <w:sz w:val="20"/>
                <w:szCs w:val="20"/>
              </w:rPr>
              <w:t>Economic Potential</w:t>
            </w:r>
          </w:p>
        </w:tc>
      </w:tr>
      <w:tr w:rsidR="00525FE4" w:rsidRPr="0068556F" w:rsidTr="00457834">
        <w:trPr>
          <w:trHeight w:val="1035"/>
          <w:jc w:val="center"/>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Calculated through the TEAPOT model and reported as a combination of all Economic Potential for Residential &amp; Prescriptive Commercial &amp; Industrial</w:t>
            </w:r>
          </w:p>
        </w:tc>
        <w:tc>
          <w:tcPr>
            <w:tcW w:w="4364" w:type="dxa"/>
            <w:tcBorders>
              <w:top w:val="nil"/>
              <w:left w:val="nil"/>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 xml:space="preserve">  Economic considers the most efficient measures that pass </w:t>
            </w:r>
            <w:r w:rsidRPr="0068556F">
              <w:rPr>
                <w:i/>
                <w:iCs/>
                <w:color w:val="000000"/>
                <w:sz w:val="20"/>
                <w:szCs w:val="20"/>
              </w:rPr>
              <w:t>economic</w:t>
            </w:r>
            <w:r w:rsidRPr="0068556F">
              <w:rPr>
                <w:color w:val="000000"/>
                <w:sz w:val="20"/>
                <w:szCs w:val="20"/>
              </w:rPr>
              <w:t xml:space="preserve"> screening tests and is a subset of Technical Potential</w:t>
            </w:r>
          </w:p>
        </w:tc>
      </w:tr>
      <w:tr w:rsidR="00525FE4" w:rsidRPr="0068556F" w:rsidTr="00457834">
        <w:trPr>
          <w:trHeight w:val="300"/>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rPr>
            </w:pPr>
            <w:r w:rsidRPr="0068556F">
              <w:rPr>
                <w:noProof/>
                <w:color w:val="000000"/>
                <w:sz w:val="22"/>
                <w:szCs w:val="22"/>
              </w:rPr>
              <mc:AlternateContent>
                <mc:Choice Requires="wps">
                  <w:drawing>
                    <wp:anchor distT="0" distB="0" distL="114300" distR="114300" simplePos="0" relativeHeight="251687936" behindDoc="0" locked="0" layoutInCell="1" allowOverlap="1" wp14:anchorId="522583E1" wp14:editId="04413086">
                      <wp:simplePos x="0" y="0"/>
                      <wp:positionH relativeFrom="column">
                        <wp:posOffset>2381250</wp:posOffset>
                      </wp:positionH>
                      <wp:positionV relativeFrom="paragraph">
                        <wp:posOffset>19050</wp:posOffset>
                      </wp:positionV>
                      <wp:extent cx="619125" cy="400050"/>
                      <wp:effectExtent l="57150" t="38100" r="9525" b="1143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0050"/>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2" o:spid="_x0000_s1026" type="#_x0000_t67" style="position:absolute;margin-left:187.5pt;margin-top:1.5pt;width:48.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" adj="10800" fillcolor="black [3213]" stroked="f">
                      <v:shadow on="t" color="black" opacity="22937f" origin=",.5" offset="0,.63889mm"/>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525FE4" w:rsidRPr="0068556F" w:rsidTr="00525FE4">
              <w:trPr>
                <w:trHeight w:val="300"/>
                <w:tblCellSpacing w:w="0" w:type="dxa"/>
              </w:trPr>
              <w:tc>
                <w:tcPr>
                  <w:tcW w:w="4240"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bl>
          <w:p w:rsidR="00525FE4" w:rsidRPr="0068556F" w:rsidRDefault="00525FE4" w:rsidP="0068556F">
            <w:pPr>
              <w:widowControl/>
              <w:spacing w:after="0"/>
              <w:rPr>
                <w:color w:val="000000"/>
              </w:rPr>
            </w:pPr>
          </w:p>
        </w:tc>
        <w:tc>
          <w:tcPr>
            <w:tcW w:w="4364"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r w:rsidR="00525FE4" w:rsidRPr="0068556F" w:rsidTr="000A4974">
        <w:trPr>
          <w:trHeight w:val="126"/>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c>
          <w:tcPr>
            <w:tcW w:w="4364"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r w:rsidR="00525FE4" w:rsidRPr="0068556F" w:rsidTr="00457834">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76933C"/>
            <w:noWrap/>
            <w:vAlign w:val="bottom"/>
            <w:hideMark/>
          </w:tcPr>
          <w:p w:rsidR="00525FE4" w:rsidRPr="0068556F" w:rsidRDefault="00525FE4" w:rsidP="0068556F">
            <w:pPr>
              <w:widowControl/>
              <w:spacing w:after="0"/>
              <w:jc w:val="center"/>
              <w:rPr>
                <w:b/>
                <w:bCs/>
                <w:color w:val="000000"/>
                <w:sz w:val="20"/>
                <w:szCs w:val="20"/>
              </w:rPr>
            </w:pPr>
            <w:r w:rsidRPr="0068556F">
              <w:rPr>
                <w:b/>
                <w:bCs/>
                <w:color w:val="000000"/>
                <w:sz w:val="20"/>
                <w:szCs w:val="20"/>
              </w:rPr>
              <w:t>Achievable Potential</w:t>
            </w:r>
          </w:p>
        </w:tc>
      </w:tr>
      <w:tr w:rsidR="00525FE4" w:rsidRPr="0068556F" w:rsidTr="00457834">
        <w:trPr>
          <w:trHeight w:val="585"/>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rsidR="00525FE4" w:rsidRPr="0068556F" w:rsidRDefault="00525FE4" w:rsidP="0068556F">
            <w:pPr>
              <w:widowControl/>
              <w:spacing w:after="0"/>
              <w:jc w:val="center"/>
              <w:rPr>
                <w:color w:val="000000"/>
                <w:sz w:val="20"/>
                <w:szCs w:val="20"/>
              </w:rPr>
            </w:pPr>
            <w:r w:rsidRPr="0068556F">
              <w:rPr>
                <w:color w:val="000000"/>
                <w:sz w:val="20"/>
                <w:szCs w:val="20"/>
              </w:rPr>
              <w:t>At this stage the Company elects whether to use a Base, Moderate, or High adoption curve - we have used a Base adoption curve.</w:t>
            </w:r>
          </w:p>
        </w:tc>
      </w:tr>
      <w:tr w:rsidR="00525FE4" w:rsidRPr="0068556F" w:rsidTr="00457834">
        <w:trPr>
          <w:trHeight w:val="1290"/>
          <w:jc w:val="center"/>
        </w:trPr>
        <w:tc>
          <w:tcPr>
            <w:tcW w:w="4456" w:type="dxa"/>
            <w:tcBorders>
              <w:top w:val="nil"/>
              <w:left w:val="single" w:sz="4" w:space="0" w:color="auto"/>
              <w:bottom w:val="single" w:sz="4" w:space="0" w:color="auto"/>
              <w:right w:val="single" w:sz="4" w:space="0" w:color="auto"/>
            </w:tcBorders>
            <w:shd w:val="clear" w:color="auto" w:fill="auto"/>
            <w:vAlign w:val="center"/>
            <w:hideMark/>
          </w:tcPr>
          <w:p w:rsidR="00525FE4" w:rsidRPr="0068556F" w:rsidRDefault="00525FE4" w:rsidP="0068556F">
            <w:pPr>
              <w:widowControl/>
              <w:spacing w:after="0"/>
              <w:jc w:val="center"/>
              <w:rPr>
                <w:color w:val="000000"/>
                <w:sz w:val="20"/>
                <w:szCs w:val="20"/>
              </w:rPr>
            </w:pPr>
            <w:r w:rsidRPr="0068556F">
              <w:rPr>
                <w:color w:val="000000"/>
                <w:sz w:val="20"/>
                <w:szCs w:val="20"/>
              </w:rPr>
              <w:t>Calculated through the TEAPOT model and reported as a combination of all Achievable Potential for Residential/Commercial/Industrial</w:t>
            </w:r>
          </w:p>
        </w:tc>
        <w:tc>
          <w:tcPr>
            <w:tcW w:w="4364" w:type="dxa"/>
            <w:tcBorders>
              <w:top w:val="nil"/>
              <w:left w:val="nil"/>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Achievable embodies a set of assumptions about the decisions consumers make regarding the efficiency of the equipment they purchase to simulate a realistic estimate of real-life conditions</w:t>
            </w:r>
          </w:p>
        </w:tc>
      </w:tr>
      <w:tr w:rsidR="00525FE4" w:rsidRPr="0068556F" w:rsidTr="00457834">
        <w:trPr>
          <w:trHeight w:val="300"/>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rPr>
            </w:pPr>
            <w:r w:rsidRPr="0068556F">
              <w:rPr>
                <w:noProof/>
                <w:color w:val="000000"/>
                <w:sz w:val="22"/>
                <w:szCs w:val="22"/>
              </w:rPr>
              <mc:AlternateContent>
                <mc:Choice Requires="wps">
                  <w:drawing>
                    <wp:anchor distT="0" distB="0" distL="114300" distR="114300" simplePos="0" relativeHeight="251688960" behindDoc="0" locked="0" layoutInCell="1" allowOverlap="1" wp14:anchorId="53EF39BA" wp14:editId="1B86857D">
                      <wp:simplePos x="0" y="0"/>
                      <wp:positionH relativeFrom="column">
                        <wp:posOffset>2362200</wp:posOffset>
                      </wp:positionH>
                      <wp:positionV relativeFrom="paragraph">
                        <wp:posOffset>19050</wp:posOffset>
                      </wp:positionV>
                      <wp:extent cx="619125" cy="400050"/>
                      <wp:effectExtent l="57150" t="38100" r="9525" b="11430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0050"/>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37" o:spid="_x0000_s1026" type="#_x0000_t67" style="position:absolute;margin-left:186pt;margin-top:1.5pt;width:48.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" adj="10800" fillcolor="black [3213]" stroked="f">
                      <v:shadow on="t" color="black" opacity="22937f" origin=",.5" offset="0,.63889mm"/>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525FE4" w:rsidRPr="0068556F" w:rsidTr="00525FE4">
              <w:trPr>
                <w:trHeight w:val="300"/>
                <w:tblCellSpacing w:w="0" w:type="dxa"/>
              </w:trPr>
              <w:tc>
                <w:tcPr>
                  <w:tcW w:w="4240" w:type="dxa"/>
                  <w:tcBorders>
                    <w:top w:val="nil"/>
                    <w:left w:val="nil"/>
                    <w:bottom w:val="nil"/>
                    <w:right w:val="nil"/>
                  </w:tcBorders>
                  <w:shd w:val="clear" w:color="auto" w:fill="auto"/>
                  <w:vAlign w:val="center"/>
                  <w:hideMark/>
                </w:tcPr>
                <w:p w:rsidR="00525FE4" w:rsidRPr="0068556F" w:rsidRDefault="00525FE4" w:rsidP="0068556F">
                  <w:pPr>
                    <w:widowControl/>
                    <w:spacing w:after="0"/>
                    <w:jc w:val="center"/>
                    <w:rPr>
                      <w:color w:val="000000"/>
                      <w:sz w:val="20"/>
                      <w:szCs w:val="20"/>
                    </w:rPr>
                  </w:pPr>
                </w:p>
              </w:tc>
            </w:tr>
          </w:tbl>
          <w:p w:rsidR="00525FE4" w:rsidRPr="0068556F" w:rsidRDefault="00525FE4" w:rsidP="0068556F">
            <w:pPr>
              <w:widowControl/>
              <w:spacing w:after="0"/>
              <w:rPr>
                <w:color w:val="000000"/>
              </w:rPr>
            </w:pPr>
          </w:p>
        </w:tc>
        <w:tc>
          <w:tcPr>
            <w:tcW w:w="4364" w:type="dxa"/>
            <w:tcBorders>
              <w:top w:val="nil"/>
              <w:left w:val="nil"/>
              <w:bottom w:val="nil"/>
              <w:right w:val="nil"/>
            </w:tcBorders>
            <w:shd w:val="clear" w:color="auto" w:fill="auto"/>
            <w:vAlign w:val="bottom"/>
            <w:hideMark/>
          </w:tcPr>
          <w:p w:rsidR="00525FE4" w:rsidRPr="0068556F" w:rsidRDefault="00525FE4" w:rsidP="0068556F">
            <w:pPr>
              <w:widowControl/>
              <w:spacing w:after="0"/>
              <w:jc w:val="center"/>
              <w:rPr>
                <w:color w:val="000000"/>
                <w:sz w:val="20"/>
                <w:szCs w:val="20"/>
              </w:rPr>
            </w:pPr>
          </w:p>
        </w:tc>
      </w:tr>
      <w:tr w:rsidR="00525FE4" w:rsidRPr="0068556F" w:rsidTr="000A4974">
        <w:trPr>
          <w:trHeight w:val="117"/>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c>
          <w:tcPr>
            <w:tcW w:w="4364"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20"/>
                <w:szCs w:val="20"/>
              </w:rPr>
            </w:pPr>
          </w:p>
        </w:tc>
      </w:tr>
      <w:tr w:rsidR="00525FE4" w:rsidRPr="0068556F" w:rsidTr="00457834">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4F6228"/>
            <w:noWrap/>
            <w:vAlign w:val="bottom"/>
            <w:hideMark/>
          </w:tcPr>
          <w:p w:rsidR="00525FE4" w:rsidRPr="0068556F" w:rsidRDefault="00525FE4" w:rsidP="0068556F">
            <w:pPr>
              <w:widowControl/>
              <w:spacing w:after="0"/>
              <w:jc w:val="center"/>
              <w:rPr>
                <w:b/>
                <w:bCs/>
                <w:sz w:val="20"/>
                <w:szCs w:val="20"/>
              </w:rPr>
            </w:pPr>
            <w:r w:rsidRPr="0068556F">
              <w:rPr>
                <w:b/>
                <w:bCs/>
                <w:sz w:val="20"/>
                <w:szCs w:val="20"/>
              </w:rPr>
              <w:t>Programmatic Potential</w:t>
            </w:r>
          </w:p>
        </w:tc>
      </w:tr>
      <w:tr w:rsidR="00525FE4" w:rsidRPr="0068556F" w:rsidTr="00457834">
        <w:trPr>
          <w:trHeight w:val="1305"/>
          <w:jc w:val="center"/>
        </w:trPr>
        <w:tc>
          <w:tcPr>
            <w:tcW w:w="4456" w:type="dxa"/>
            <w:tcBorders>
              <w:top w:val="nil"/>
              <w:left w:val="single" w:sz="4" w:space="0" w:color="auto"/>
              <w:bottom w:val="single" w:sz="4" w:space="0" w:color="auto"/>
              <w:right w:val="single" w:sz="4" w:space="0" w:color="auto"/>
            </w:tcBorders>
            <w:shd w:val="clear" w:color="auto" w:fill="auto"/>
            <w:vAlign w:val="center"/>
            <w:hideMark/>
          </w:tcPr>
          <w:p w:rsidR="00525FE4" w:rsidRPr="0068556F" w:rsidRDefault="00525FE4" w:rsidP="0068556F">
            <w:pPr>
              <w:widowControl/>
              <w:spacing w:after="0"/>
              <w:jc w:val="center"/>
              <w:rPr>
                <w:color w:val="000000"/>
                <w:sz w:val="20"/>
                <w:szCs w:val="20"/>
              </w:rPr>
            </w:pPr>
            <w:r w:rsidRPr="0068556F">
              <w:rPr>
                <w:color w:val="000000"/>
                <w:sz w:val="20"/>
                <w:szCs w:val="20"/>
              </w:rPr>
              <w:t xml:space="preserve">Calculated by the Company  as shown below: </w:t>
            </w:r>
          </w:p>
        </w:tc>
        <w:tc>
          <w:tcPr>
            <w:tcW w:w="4364" w:type="dxa"/>
            <w:tcBorders>
              <w:top w:val="nil"/>
              <w:left w:val="nil"/>
              <w:bottom w:val="single" w:sz="4" w:space="0" w:color="auto"/>
              <w:right w:val="single" w:sz="4" w:space="0" w:color="auto"/>
            </w:tcBorders>
            <w:shd w:val="clear" w:color="auto" w:fill="auto"/>
            <w:vAlign w:val="bottom"/>
            <w:hideMark/>
          </w:tcPr>
          <w:p w:rsidR="00525FE4" w:rsidRPr="0068556F" w:rsidRDefault="00525FE4" w:rsidP="0068556F">
            <w:pPr>
              <w:widowControl/>
              <w:spacing w:after="0"/>
              <w:jc w:val="center"/>
              <w:rPr>
                <w:color w:val="000000"/>
                <w:sz w:val="20"/>
                <w:szCs w:val="20"/>
              </w:rPr>
            </w:pPr>
            <w:r w:rsidRPr="0068556F">
              <w:rPr>
                <w:color w:val="000000"/>
                <w:sz w:val="20"/>
                <w:szCs w:val="20"/>
              </w:rPr>
              <w:t xml:space="preserve">Programmatic Potential is the subset of achievable potential attainable given the Company's strategic planning on segment implementation, current Portfolio offerings, and administrative cost thresholds </w:t>
            </w:r>
          </w:p>
        </w:tc>
      </w:tr>
      <w:tr w:rsidR="00525FE4" w:rsidRPr="0068556F" w:rsidTr="00457834">
        <w:trPr>
          <w:trHeight w:val="315"/>
          <w:jc w:val="center"/>
        </w:trPr>
        <w:tc>
          <w:tcPr>
            <w:tcW w:w="4456" w:type="dxa"/>
            <w:tcBorders>
              <w:top w:val="single" w:sz="8" w:space="0" w:color="auto"/>
              <w:left w:val="single" w:sz="8" w:space="0" w:color="auto"/>
              <w:bottom w:val="single" w:sz="8" w:space="0" w:color="auto"/>
              <w:right w:val="single" w:sz="8" w:space="0" w:color="auto"/>
            </w:tcBorders>
            <w:shd w:val="clear" w:color="000000" w:fill="003300"/>
            <w:noWrap/>
            <w:vAlign w:val="bottom"/>
            <w:hideMark/>
          </w:tcPr>
          <w:p w:rsidR="00525FE4" w:rsidRPr="0068556F" w:rsidRDefault="00525FE4" w:rsidP="0068556F">
            <w:pPr>
              <w:widowControl/>
              <w:spacing w:after="0"/>
              <w:jc w:val="center"/>
              <w:rPr>
                <w:b/>
                <w:bCs/>
                <w:color w:val="FFFFFF"/>
                <w:sz w:val="18"/>
                <w:szCs w:val="18"/>
              </w:rPr>
            </w:pPr>
            <w:r w:rsidRPr="0068556F">
              <w:rPr>
                <w:b/>
                <w:bCs/>
                <w:color w:val="FFFFFF"/>
                <w:sz w:val="18"/>
                <w:szCs w:val="18"/>
              </w:rPr>
              <w:t xml:space="preserve">25 % of Residential Achievable Potential </w:t>
            </w:r>
          </w:p>
        </w:tc>
        <w:tc>
          <w:tcPr>
            <w:tcW w:w="4364" w:type="dxa"/>
            <w:tcBorders>
              <w:top w:val="single" w:sz="8" w:space="0" w:color="auto"/>
              <w:left w:val="nil"/>
              <w:bottom w:val="single" w:sz="8" w:space="0" w:color="auto"/>
              <w:right w:val="single" w:sz="8" w:space="0" w:color="auto"/>
            </w:tcBorders>
            <w:shd w:val="clear" w:color="000000" w:fill="003300"/>
            <w:noWrap/>
            <w:vAlign w:val="bottom"/>
            <w:hideMark/>
          </w:tcPr>
          <w:p w:rsidR="00525FE4" w:rsidRPr="0068556F" w:rsidRDefault="00525FE4" w:rsidP="0068556F">
            <w:pPr>
              <w:widowControl/>
              <w:spacing w:after="0"/>
              <w:jc w:val="center"/>
              <w:rPr>
                <w:b/>
                <w:bCs/>
                <w:color w:val="FFFFFF"/>
                <w:sz w:val="18"/>
                <w:szCs w:val="18"/>
              </w:rPr>
            </w:pPr>
            <w:r w:rsidRPr="0068556F">
              <w:rPr>
                <w:b/>
                <w:bCs/>
                <w:color w:val="FFFFFF"/>
                <w:sz w:val="18"/>
                <w:szCs w:val="18"/>
              </w:rPr>
              <w:t xml:space="preserve">75 % of Commercial Achievable Potential </w:t>
            </w:r>
          </w:p>
        </w:tc>
      </w:tr>
      <w:tr w:rsidR="00525FE4" w:rsidRPr="0068556F" w:rsidTr="00457834">
        <w:trPr>
          <w:trHeight w:val="510"/>
          <w:jc w:val="center"/>
        </w:trPr>
        <w:tc>
          <w:tcPr>
            <w:tcW w:w="4456" w:type="dxa"/>
            <w:tcBorders>
              <w:top w:val="nil"/>
              <w:left w:val="nil"/>
              <w:bottom w:val="nil"/>
              <w:right w:val="nil"/>
            </w:tcBorders>
            <w:shd w:val="clear" w:color="auto" w:fill="auto"/>
            <w:noWrap/>
            <w:vAlign w:val="bottom"/>
            <w:hideMark/>
          </w:tcPr>
          <w:p w:rsidR="00525FE4" w:rsidRPr="0068556F" w:rsidRDefault="00525FE4" w:rsidP="0068556F">
            <w:pPr>
              <w:widowControl/>
              <w:spacing w:after="0"/>
              <w:rPr>
                <w:color w:val="000000"/>
                <w:sz w:val="18"/>
                <w:szCs w:val="18"/>
              </w:rPr>
            </w:pPr>
          </w:p>
        </w:tc>
        <w:tc>
          <w:tcPr>
            <w:tcW w:w="4364" w:type="dxa"/>
            <w:tcBorders>
              <w:top w:val="nil"/>
              <w:left w:val="single" w:sz="8" w:space="0" w:color="auto"/>
              <w:bottom w:val="single" w:sz="8" w:space="0" w:color="auto"/>
              <w:right w:val="single" w:sz="8" w:space="0" w:color="auto"/>
            </w:tcBorders>
            <w:shd w:val="clear" w:color="000000" w:fill="003300"/>
            <w:vAlign w:val="bottom"/>
            <w:hideMark/>
          </w:tcPr>
          <w:p w:rsidR="00525FE4" w:rsidRPr="0068556F" w:rsidRDefault="00525FE4" w:rsidP="0068556F">
            <w:pPr>
              <w:widowControl/>
              <w:spacing w:after="0"/>
              <w:jc w:val="center"/>
              <w:rPr>
                <w:b/>
                <w:bCs/>
                <w:color w:val="FFFFFF"/>
                <w:sz w:val="18"/>
                <w:szCs w:val="18"/>
              </w:rPr>
            </w:pPr>
            <w:r w:rsidRPr="0068556F">
              <w:rPr>
                <w:b/>
                <w:bCs/>
                <w:color w:val="FFFFFF"/>
                <w:sz w:val="18"/>
                <w:szCs w:val="18"/>
              </w:rPr>
              <w:t>Plus additional 65 % to accommodate custom commercial potential</w:t>
            </w:r>
          </w:p>
        </w:tc>
      </w:tr>
      <w:tr w:rsidR="00525FE4" w:rsidRPr="0068556F" w:rsidTr="000A4974">
        <w:trPr>
          <w:trHeight w:val="583"/>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25FE4" w:rsidRPr="0068556F" w:rsidRDefault="00525FE4" w:rsidP="0068556F">
            <w:pPr>
              <w:widowControl/>
              <w:spacing w:after="0"/>
              <w:jc w:val="center"/>
              <w:rPr>
                <w:b/>
                <w:bCs/>
                <w:sz w:val="18"/>
                <w:szCs w:val="18"/>
              </w:rPr>
            </w:pPr>
            <w:r w:rsidRPr="0068556F">
              <w:rPr>
                <w:b/>
                <w:bCs/>
                <w:sz w:val="18"/>
                <w:szCs w:val="18"/>
              </w:rPr>
              <w:t xml:space="preserve">Final Programmatic Potential is calculated based on the above inputs and cross-referenced with the Company's internal program planning tool. Additional information on the processes is available in this IRP. </w:t>
            </w:r>
          </w:p>
        </w:tc>
      </w:tr>
    </w:tbl>
    <w:p w:rsidR="000C114C" w:rsidRPr="0068556F" w:rsidRDefault="000C114C" w:rsidP="0068556F">
      <w:pPr>
        <w:spacing w:after="0"/>
        <w:ind w:right="83"/>
        <w:jc w:val="both"/>
        <w:rPr>
          <w:b/>
          <w:i/>
        </w:rPr>
      </w:pPr>
    </w:p>
    <w:p w:rsidR="00240834" w:rsidRPr="0068556F" w:rsidRDefault="00240834" w:rsidP="0068556F">
      <w:pPr>
        <w:spacing w:after="0"/>
        <w:ind w:right="83"/>
        <w:jc w:val="both"/>
      </w:pPr>
      <w:r w:rsidRPr="0068556F">
        <w:t xml:space="preserve">   </w:t>
      </w:r>
    </w:p>
    <w:p w:rsidR="00525FE4" w:rsidRPr="0068556F" w:rsidRDefault="00525FE4" w:rsidP="0068556F">
      <w:pPr>
        <w:spacing w:after="0"/>
        <w:ind w:left="90" w:right="83"/>
        <w:jc w:val="both"/>
      </w:pPr>
    </w:p>
    <w:p w:rsidR="00525FE4" w:rsidRPr="0068556F" w:rsidRDefault="00525FE4" w:rsidP="0068556F">
      <w:pPr>
        <w:pStyle w:val="Heading1"/>
        <w:spacing w:line="276" w:lineRule="auto"/>
        <w:rPr>
          <w:rFonts w:ascii="Arial" w:hAnsi="Arial" w:cs="Arial"/>
        </w:rPr>
      </w:pPr>
      <w:bookmarkStart w:id="13" w:name="_Toc437853981"/>
      <w:r w:rsidRPr="0068556F">
        <w:rPr>
          <w:rFonts w:ascii="Arial" w:hAnsi="Arial" w:cs="Arial"/>
        </w:rPr>
        <w:lastRenderedPageBreak/>
        <w:t>DSM Portfolio Updates and Planning</w:t>
      </w:r>
      <w:bookmarkEnd w:id="13"/>
    </w:p>
    <w:p w:rsidR="00714DE6" w:rsidRPr="0068556F" w:rsidRDefault="00525FE4" w:rsidP="0068556F">
      <w:pPr>
        <w:ind w:right="-7"/>
        <w:contextualSpacing/>
        <w:jc w:val="both"/>
      </w:pPr>
      <w:r w:rsidRPr="0068556F">
        <w:t xml:space="preserve">TEAPOT </w:t>
      </w:r>
      <w:r w:rsidR="00240834" w:rsidRPr="0068556F">
        <w:t xml:space="preserve">provides the Company with </w:t>
      </w:r>
      <w:r w:rsidRPr="0068556F">
        <w:t xml:space="preserve">a much more nuanced and </w:t>
      </w:r>
      <w:r w:rsidR="00807E51">
        <w:t>manageable</w:t>
      </w:r>
      <w:r w:rsidR="00807E51" w:rsidRPr="0068556F">
        <w:t xml:space="preserve"> </w:t>
      </w:r>
      <w:r w:rsidRPr="0068556F">
        <w:t>method to develop</w:t>
      </w:r>
      <w:r w:rsidR="00240834" w:rsidRPr="0068556F">
        <w:t>ing</w:t>
      </w:r>
      <w:r w:rsidRPr="0068556F">
        <w:t xml:space="preserve"> our portfolio than has been used in the past.  In the following section we identify the forecast models for the next 20 years utilizing all the measures identified by Nexant as potentially cost-effective </w:t>
      </w:r>
      <w:r w:rsidR="00240834" w:rsidRPr="0068556F">
        <w:t xml:space="preserve">(as demonstrated in the Company’s most recent IRP) </w:t>
      </w:r>
      <w:r w:rsidR="00CF2790" w:rsidRPr="0068556F">
        <w:t xml:space="preserve">for year 3-18 </w:t>
      </w:r>
      <w:r w:rsidRPr="0068556F">
        <w:t>and then include a snapshot of the expected forecast of conservation potential for the next two years</w:t>
      </w:r>
      <w:r w:rsidR="00CF2790" w:rsidRPr="0068556F">
        <w:t xml:space="preserve"> using our current offerings,</w:t>
      </w:r>
      <w:r w:rsidRPr="0068556F">
        <w:t xml:space="preserve"> taking into account our realistic savings goals.</w:t>
      </w:r>
      <w:r w:rsidR="00240834" w:rsidRPr="0068556F">
        <w:t xml:space="preserve"> </w:t>
      </w:r>
      <w:r w:rsidR="00240834" w:rsidRPr="0068556F">
        <w:rPr>
          <w:i/>
        </w:rPr>
        <w:t>As mentioned above</w:t>
      </w:r>
      <w:r w:rsidR="00447772" w:rsidRPr="0068556F">
        <w:rPr>
          <w:i/>
        </w:rPr>
        <w:t>,</w:t>
      </w:r>
      <w:r w:rsidR="00240834" w:rsidRPr="0068556F">
        <w:rPr>
          <w:i/>
        </w:rPr>
        <w:t xml:space="preserve"> we are</w:t>
      </w:r>
      <w:r w:rsidR="00E75CFF" w:rsidRPr="0068556F">
        <w:rPr>
          <w:i/>
        </w:rPr>
        <w:t xml:space="preserve"> also</w:t>
      </w:r>
      <w:r w:rsidR="00240834" w:rsidRPr="0068556F">
        <w:rPr>
          <w:i/>
        </w:rPr>
        <w:t xml:space="preserve"> providing an update to the</w:t>
      </w:r>
      <w:r w:rsidR="00714DE6" w:rsidRPr="0068556F">
        <w:rPr>
          <w:i/>
        </w:rPr>
        <w:t>se</w:t>
      </w:r>
      <w:r w:rsidR="00240834" w:rsidRPr="0068556F">
        <w:rPr>
          <w:i/>
        </w:rPr>
        <w:t xml:space="preserve"> goals </w:t>
      </w:r>
      <w:r w:rsidR="00714DE6" w:rsidRPr="0068556F">
        <w:rPr>
          <w:i/>
        </w:rPr>
        <w:t xml:space="preserve">to demonstrate the difference between our programmatic potential </w:t>
      </w:r>
      <w:r w:rsidR="00447772" w:rsidRPr="0068556F">
        <w:rPr>
          <w:i/>
        </w:rPr>
        <w:t xml:space="preserve">forecast </w:t>
      </w:r>
      <w:r w:rsidR="00714DE6" w:rsidRPr="0068556F">
        <w:rPr>
          <w:i/>
        </w:rPr>
        <w:t xml:space="preserve">and </w:t>
      </w:r>
      <w:r w:rsidR="004D0436" w:rsidRPr="0068556F">
        <w:rPr>
          <w:i/>
        </w:rPr>
        <w:t>TEAPOT forecast</w:t>
      </w:r>
      <w:r w:rsidR="00447772" w:rsidRPr="0068556F">
        <w:rPr>
          <w:i/>
        </w:rPr>
        <w:t xml:space="preserve"> </w:t>
      </w:r>
      <w:r w:rsidR="00714DE6" w:rsidRPr="0068556F">
        <w:rPr>
          <w:i/>
        </w:rPr>
        <w:t>inclusive of administrative costs</w:t>
      </w:r>
      <w:r w:rsidR="00714DE6" w:rsidRPr="0068556F">
        <w:t>.</w:t>
      </w:r>
      <w:r w:rsidR="00240834" w:rsidRPr="0068556F">
        <w:t xml:space="preserve"> </w:t>
      </w:r>
      <w:r w:rsidRPr="0068556F">
        <w:t xml:space="preserve"> </w:t>
      </w:r>
    </w:p>
    <w:p w:rsidR="00714DE6" w:rsidRPr="0068556F" w:rsidRDefault="00714DE6" w:rsidP="0068556F">
      <w:pPr>
        <w:ind w:right="-7"/>
        <w:contextualSpacing/>
        <w:jc w:val="both"/>
      </w:pPr>
    </w:p>
    <w:p w:rsidR="00714DE6" w:rsidRPr="0068556F" w:rsidRDefault="00714DE6" w:rsidP="0068556F">
      <w:pPr>
        <w:ind w:right="-7"/>
        <w:contextualSpacing/>
        <w:jc w:val="both"/>
      </w:pPr>
      <w:r w:rsidRPr="0068556F">
        <w:t xml:space="preserve">The Company’s </w:t>
      </w:r>
      <w:r w:rsidR="00B841F8" w:rsidRPr="0068556F">
        <w:t>objectives</w:t>
      </w:r>
      <w:r w:rsidRPr="0068556F">
        <w:t xml:space="preserve"> in developing our rebate offerings center</w:t>
      </w:r>
      <w:r w:rsidR="00E75CFF" w:rsidRPr="0068556F">
        <w:t>ed</w:t>
      </w:r>
      <w:r w:rsidRPr="0068556F">
        <w:t xml:space="preserve"> </w:t>
      </w:r>
      <w:r w:rsidR="00A22EA0" w:rsidRPr="0068556F">
        <w:t>on</w:t>
      </w:r>
      <w:r w:rsidRPr="0068556F">
        <w:t xml:space="preserve"> the desire to: </w:t>
      </w:r>
    </w:p>
    <w:p w:rsidR="00714DE6" w:rsidRPr="0068556F" w:rsidRDefault="00714DE6" w:rsidP="0068556F">
      <w:pPr>
        <w:pStyle w:val="ListParagraph"/>
        <w:numPr>
          <w:ilvl w:val="0"/>
          <w:numId w:val="14"/>
        </w:numPr>
        <w:spacing w:line="276" w:lineRule="auto"/>
        <w:ind w:right="-7"/>
        <w:jc w:val="both"/>
        <w:rPr>
          <w:rFonts w:ascii="Arial" w:hAnsi="Arial" w:cs="Arial"/>
        </w:rPr>
      </w:pPr>
      <w:r w:rsidRPr="0068556F">
        <w:rPr>
          <w:rFonts w:ascii="Arial" w:hAnsi="Arial" w:cs="Arial"/>
        </w:rPr>
        <w:t>Maximize the inclusiveness of viable, industry-acknowledged conservation measures</w:t>
      </w:r>
    </w:p>
    <w:p w:rsidR="00714DE6" w:rsidRPr="0068556F" w:rsidRDefault="00714DE6" w:rsidP="0068556F">
      <w:pPr>
        <w:pStyle w:val="ListParagraph"/>
        <w:numPr>
          <w:ilvl w:val="0"/>
          <w:numId w:val="14"/>
        </w:numPr>
        <w:spacing w:line="276" w:lineRule="auto"/>
        <w:ind w:right="-7"/>
        <w:jc w:val="both"/>
        <w:rPr>
          <w:rFonts w:ascii="Arial" w:hAnsi="Arial" w:cs="Arial"/>
        </w:rPr>
      </w:pPr>
      <w:r w:rsidRPr="0068556F">
        <w:rPr>
          <w:rFonts w:ascii="Arial" w:hAnsi="Arial" w:cs="Arial"/>
        </w:rPr>
        <w:t>Maintain incentive levels that send a meaningful market signal to consumers to upgrade to high-efficiency equipment and measures</w:t>
      </w:r>
    </w:p>
    <w:p w:rsidR="00714DE6" w:rsidRPr="0068556F" w:rsidRDefault="00714DE6" w:rsidP="0068556F">
      <w:pPr>
        <w:pStyle w:val="ListParagraph"/>
        <w:numPr>
          <w:ilvl w:val="0"/>
          <w:numId w:val="14"/>
        </w:numPr>
        <w:spacing w:line="276" w:lineRule="auto"/>
        <w:ind w:right="-7"/>
        <w:jc w:val="both"/>
        <w:rPr>
          <w:rFonts w:ascii="Arial" w:hAnsi="Arial" w:cs="Arial"/>
        </w:rPr>
      </w:pPr>
      <w:r w:rsidRPr="0068556F">
        <w:rPr>
          <w:rFonts w:ascii="Arial" w:hAnsi="Arial" w:cs="Arial"/>
        </w:rPr>
        <w:t xml:space="preserve">Remain cost effective at the Company’s most recently acknowledged avoided costs, even if participation levels remain on par with prior year’s achievements </w:t>
      </w:r>
    </w:p>
    <w:p w:rsidR="00714DE6" w:rsidRPr="0068556F" w:rsidRDefault="00714DE6" w:rsidP="0068556F">
      <w:pPr>
        <w:ind w:right="-7"/>
        <w:contextualSpacing/>
        <w:jc w:val="both"/>
      </w:pPr>
    </w:p>
    <w:p w:rsidR="00525FE4" w:rsidRPr="0068556F" w:rsidRDefault="00F22B47" w:rsidP="0068556F">
      <w:pPr>
        <w:ind w:right="-7"/>
        <w:contextualSpacing/>
        <w:jc w:val="both"/>
      </w:pPr>
      <w:r w:rsidRPr="0068556F">
        <w:t xml:space="preserve">For an </w:t>
      </w:r>
      <w:r w:rsidR="00714DE6" w:rsidRPr="0068556F">
        <w:t xml:space="preserve">explanation of the process by which the Company developed its most recent </w:t>
      </w:r>
      <w:r w:rsidR="00525FE4" w:rsidRPr="0068556F">
        <w:t xml:space="preserve">rebate offerings </w:t>
      </w:r>
      <w:r w:rsidR="00714DE6" w:rsidRPr="0068556F">
        <w:t xml:space="preserve">for </w:t>
      </w:r>
      <w:r w:rsidR="00525FE4" w:rsidRPr="0068556F">
        <w:rPr>
          <w:spacing w:val="-3"/>
        </w:rPr>
        <w:t xml:space="preserve">Tariffs 300 (Residential Conservation Incentive Program), and 302 (Commercial </w:t>
      </w:r>
      <w:r w:rsidRPr="0068556F">
        <w:rPr>
          <w:spacing w:val="-3"/>
        </w:rPr>
        <w:t>I</w:t>
      </w:r>
      <w:r w:rsidR="00525FE4" w:rsidRPr="0068556F">
        <w:rPr>
          <w:spacing w:val="-3"/>
        </w:rPr>
        <w:t>ndustrial Conservation Program)</w:t>
      </w:r>
      <w:r w:rsidR="00714DE6" w:rsidRPr="0068556F">
        <w:rPr>
          <w:spacing w:val="-3"/>
        </w:rPr>
        <w:t xml:space="preserve"> please see </w:t>
      </w:r>
      <w:r w:rsidR="006436E3">
        <w:rPr>
          <w:spacing w:val="-3"/>
        </w:rPr>
        <w:t>tariff filing Advice No. CNG/W14-08-01 filed on August 1, 2014 with an effective date of September 2, 2014</w:t>
      </w:r>
      <w:r w:rsidR="00525FE4" w:rsidRPr="0068556F">
        <w:rPr>
          <w:spacing w:val="-3"/>
        </w:rPr>
        <w:t xml:space="preserve">.  </w:t>
      </w:r>
      <w:r w:rsidR="00857381" w:rsidRPr="0068556F">
        <w:rPr>
          <w:spacing w:val="-3"/>
        </w:rPr>
        <w:t>In brief – here are a f</w:t>
      </w:r>
      <w:r w:rsidRPr="0068556F">
        <w:rPr>
          <w:spacing w:val="-3"/>
        </w:rPr>
        <w:t>e</w:t>
      </w:r>
      <w:r w:rsidR="00857381" w:rsidRPr="0068556F">
        <w:rPr>
          <w:spacing w:val="-3"/>
        </w:rPr>
        <w:t>w</w:t>
      </w:r>
      <w:r w:rsidRPr="0068556F">
        <w:rPr>
          <w:spacing w:val="-3"/>
        </w:rPr>
        <w:t xml:space="preserve"> ele</w:t>
      </w:r>
      <w:r w:rsidR="00857381" w:rsidRPr="0068556F">
        <w:rPr>
          <w:spacing w:val="-3"/>
        </w:rPr>
        <w:t xml:space="preserve">ments that </w:t>
      </w:r>
      <w:r w:rsidR="004D0436">
        <w:rPr>
          <w:spacing w:val="-3"/>
        </w:rPr>
        <w:t>went</w:t>
      </w:r>
      <w:r w:rsidR="004D0436" w:rsidRPr="0068556F">
        <w:rPr>
          <w:spacing w:val="-3"/>
        </w:rPr>
        <w:t xml:space="preserve"> </w:t>
      </w:r>
      <w:r w:rsidR="00857381" w:rsidRPr="0068556F">
        <w:rPr>
          <w:spacing w:val="-3"/>
        </w:rPr>
        <w:t>into the process by which the Company narrows down its portfolio.</w:t>
      </w:r>
    </w:p>
    <w:p w:rsidR="00857381" w:rsidRPr="0068556F" w:rsidRDefault="00857381" w:rsidP="00E37866">
      <w:pPr>
        <w:pStyle w:val="Heading2"/>
      </w:pPr>
      <w:bookmarkStart w:id="14" w:name="_Toc437853982"/>
      <w:r w:rsidRPr="0068556F">
        <w:t>Budget</w:t>
      </w:r>
      <w:r w:rsidR="00F22B47" w:rsidRPr="0068556F">
        <w:t>ing Parameters</w:t>
      </w:r>
      <w:bookmarkEnd w:id="14"/>
    </w:p>
    <w:p w:rsidR="000C114C" w:rsidRPr="0068556F" w:rsidRDefault="00525FE4" w:rsidP="0068556F">
      <w:pPr>
        <w:contextualSpacing/>
        <w:jc w:val="both"/>
      </w:pPr>
      <w:r w:rsidRPr="0068556F">
        <w:t>We set an administrative budget in order to plan and operate programs. This budget must ensure an acceptable ratio of costs balanced with therm savings achievements. Since therm savings offset the costs of administrative investment, the greater the achievement, the mo</w:t>
      </w:r>
      <w:r w:rsidR="00A22EA0" w:rsidRPr="0068556F">
        <w:t>re cost-effective our programs.</w:t>
      </w:r>
      <w:r w:rsidRPr="0068556F">
        <w:t xml:space="preserve"> If the budget or therm savings upon which the portfolio is built are unrealistic, we risk developing a scale-dependent portfolio </w:t>
      </w:r>
      <w:r w:rsidR="00714DE6" w:rsidRPr="0068556F">
        <w:t xml:space="preserve">unable to </w:t>
      </w:r>
      <w:r w:rsidR="00857381" w:rsidRPr="0068556F">
        <w:t>maintain cost effectiveness</w:t>
      </w:r>
      <w:r w:rsidR="000C114C" w:rsidRPr="0068556F">
        <w:t>.</w:t>
      </w:r>
    </w:p>
    <w:p w:rsidR="00525FE4" w:rsidRPr="0068556F" w:rsidRDefault="00857381" w:rsidP="00E37866">
      <w:pPr>
        <w:pStyle w:val="Heading2"/>
      </w:pPr>
      <w:bookmarkStart w:id="15" w:name="_Toc437853983"/>
      <w:r w:rsidRPr="0068556F">
        <w:t>Incentive Level</w:t>
      </w:r>
      <w:bookmarkEnd w:id="15"/>
    </w:p>
    <w:p w:rsidR="00857381" w:rsidRPr="0068556F" w:rsidRDefault="00857381" w:rsidP="0068556F">
      <w:pPr>
        <w:widowControl/>
        <w:spacing w:after="0"/>
        <w:contextualSpacing/>
        <w:jc w:val="both"/>
        <w:rPr>
          <w:highlight w:val="yellow"/>
        </w:rPr>
      </w:pPr>
      <w:r w:rsidRPr="0068556F">
        <w:t xml:space="preserve">Incentive levels had been set to one third of incremental costs as determined by Nexant and programmatic data.  Keeping all incentives in the 30-33% range allowed us to clearly synchronize program offerings with the TEAPOT model which begins a base scenario of Achievable 1 at an assumption of a minimal viable rebate level of </w:t>
      </w:r>
      <w:r w:rsidR="00DC5A66" w:rsidRPr="0068556F">
        <w:t>30</w:t>
      </w:r>
      <w:r w:rsidRPr="0068556F">
        <w:t>%</w:t>
      </w:r>
      <w:r w:rsidR="00B159C9" w:rsidRPr="0068556F">
        <w:t>.  Please note per discussions with our CAG</w:t>
      </w:r>
      <w:r w:rsidR="00DC5A66" w:rsidRPr="0068556F">
        <w:t>,</w:t>
      </w:r>
      <w:r w:rsidR="00B159C9" w:rsidRPr="0068556F">
        <w:t xml:space="preserve"> the Company is exploring increasing the incentive level to encourage additional uptake from th</w:t>
      </w:r>
      <w:r w:rsidR="00DC5A66" w:rsidRPr="0068556F">
        <w:t>is</w:t>
      </w:r>
      <w:r w:rsidR="00B159C9" w:rsidRPr="0068556F">
        <w:t xml:space="preserve"> base to 50% of incremental cost for the residential </w:t>
      </w:r>
      <w:r w:rsidR="00B159C9" w:rsidRPr="0068556F">
        <w:lastRenderedPageBreak/>
        <w:t>programs.  We have modeled this scenario in TEAPOT for 2017</w:t>
      </w:r>
      <w:r w:rsidR="006436E3">
        <w:t xml:space="preserve"> onward</w:t>
      </w:r>
      <w:r w:rsidR="00B159C9" w:rsidRPr="0068556F">
        <w:t xml:space="preserve"> under the (admin inclusive) Achievable potential later in this plan for reference. </w:t>
      </w:r>
      <w:r w:rsidR="000B12E2">
        <w:t>The Company also modeled the savings potential for 2017 onward at the 30-33% incentive level to provide an apples-to-apples comparison of impact to the program potential due to incentive increases and impacts to the rebate portfolio as a reflection of these increases.</w:t>
      </w:r>
    </w:p>
    <w:p w:rsidR="00A22EA0" w:rsidRPr="0068556F" w:rsidRDefault="00A22EA0" w:rsidP="0068556F">
      <w:pPr>
        <w:widowControl/>
        <w:spacing w:after="0"/>
        <w:contextualSpacing/>
        <w:jc w:val="both"/>
        <w:rPr>
          <w:highlight w:val="yellow"/>
        </w:rPr>
      </w:pPr>
    </w:p>
    <w:p w:rsidR="00857381" w:rsidRPr="0068556F" w:rsidRDefault="00857381" w:rsidP="00E37866">
      <w:pPr>
        <w:pStyle w:val="Heading2"/>
      </w:pPr>
      <w:bookmarkStart w:id="16" w:name="_Toc437853984"/>
      <w:r w:rsidRPr="0068556F">
        <w:t>Targets</w:t>
      </w:r>
      <w:bookmarkEnd w:id="16"/>
    </w:p>
    <w:p w:rsidR="00857381" w:rsidRPr="0068556F" w:rsidRDefault="00857381" w:rsidP="0068556F">
      <w:pPr>
        <w:jc w:val="both"/>
      </w:pPr>
      <w:r w:rsidRPr="0068556F">
        <w:t xml:space="preserve">TEAPOT generated targets will be acknowledged in the conservation plan as </w:t>
      </w:r>
      <w:r w:rsidRPr="0068556F">
        <w:rPr>
          <w:i/>
        </w:rPr>
        <w:t>aspirational</w:t>
      </w:r>
      <w:r w:rsidRPr="0068556F">
        <w:t xml:space="preserve"> targets and those we will aggressively strive towards throughout the year. However, the programs will be built in a way that ensures cost-effectiveness can be maintained even if we fall short of that target.</w:t>
      </w:r>
      <w:r w:rsidR="00F22B47" w:rsidRPr="0068556F">
        <w:t xml:space="preserve">  See Section 2016-2017 targets for additional details.</w:t>
      </w:r>
    </w:p>
    <w:p w:rsidR="00525FE4" w:rsidRPr="0068556F" w:rsidRDefault="00525FE4" w:rsidP="00E37866">
      <w:pPr>
        <w:pStyle w:val="Heading2"/>
      </w:pPr>
      <w:bookmarkStart w:id="17" w:name="_Toc437853985"/>
      <w:r w:rsidRPr="0068556F">
        <w:t>Commercial/Industrial Scenarios</w:t>
      </w:r>
      <w:bookmarkEnd w:id="17"/>
    </w:p>
    <w:p w:rsidR="00525FE4" w:rsidRPr="0068556F" w:rsidRDefault="00525FE4" w:rsidP="0068556F">
      <w:pPr>
        <w:jc w:val="both"/>
      </w:pPr>
      <w:r w:rsidRPr="0068556F">
        <w:t xml:space="preserve">It is important to note the screen conducted with the TEAPOT tool and internal valuation mechanism for the Commercial/Industrial sector was performed strictly to assess viable </w:t>
      </w:r>
      <w:r w:rsidRPr="0068556F">
        <w:rPr>
          <w:b/>
        </w:rPr>
        <w:t>prescriptive</w:t>
      </w:r>
      <w:r w:rsidRPr="0068556F">
        <w:t xml:space="preserve"> measures and potential.  TEAPOT can only provide estimated achievable pot</w:t>
      </w:r>
      <w:r w:rsidR="000F58E2" w:rsidRPr="0068556F">
        <w:t>ential based on known measures.</w:t>
      </w:r>
      <w:r w:rsidRPr="0068556F">
        <w:t xml:space="preserve"> However, program experience has clearly demonstrated the prescriptive portion of savings from the CNGC Conservation Program is fairly consistent, with an average of 65% of therm savings coming from custom projects.  Therefore the prescriptive portfolio is assumed to represent 35% of total program savings</w:t>
      </w:r>
      <w:r w:rsidR="000F58E2" w:rsidRPr="0068556F">
        <w:t xml:space="preserve"> and then the Company adds </w:t>
      </w:r>
      <w:r w:rsidR="00E47FA5" w:rsidRPr="0068556F">
        <w:t xml:space="preserve">the 65% portion for </w:t>
      </w:r>
      <w:r w:rsidR="000F58E2" w:rsidRPr="0068556F">
        <w:t xml:space="preserve">custom to arrive at the full program’s forecast for planning </w:t>
      </w:r>
      <w:r w:rsidR="004D0436">
        <w:t>purposes</w:t>
      </w:r>
      <w:r w:rsidRPr="0068556F">
        <w:t>.</w:t>
      </w:r>
    </w:p>
    <w:p w:rsidR="00EE0C01" w:rsidRPr="0068556F" w:rsidRDefault="00485926" w:rsidP="00E37866">
      <w:pPr>
        <w:pStyle w:val="Heading2"/>
      </w:pPr>
      <w:bookmarkStart w:id="18" w:name="_Toc437853986"/>
      <w:r w:rsidRPr="0068556F">
        <w:t xml:space="preserve">Most Recent </w:t>
      </w:r>
      <w:r w:rsidR="00525FE4" w:rsidRPr="0068556F">
        <w:t xml:space="preserve">Program </w:t>
      </w:r>
      <w:r w:rsidRPr="0068556F">
        <w:t>Update</w:t>
      </w:r>
      <w:bookmarkEnd w:id="18"/>
    </w:p>
    <w:p w:rsidR="00525FE4" w:rsidRPr="0068556F" w:rsidRDefault="00525FE4" w:rsidP="0068556F">
      <w:pPr>
        <w:spacing w:after="0"/>
        <w:jc w:val="both"/>
      </w:pPr>
      <w:r w:rsidRPr="0068556F">
        <w:t xml:space="preserve">Following the above program planning process in summer of 2014, the Company submitted several proposed program updates after consultation with its CAG to the WUTC which were approved with an effective date of September 2, 2014. </w:t>
      </w:r>
      <w:r w:rsidR="00FB4ABD">
        <w:t>See the 2014 IRP for details on these program alterations.</w:t>
      </w:r>
    </w:p>
    <w:p w:rsidR="00451759" w:rsidRPr="0068556F" w:rsidRDefault="00451759" w:rsidP="0068556F">
      <w:pPr>
        <w:ind w:right="-7"/>
        <w:contextualSpacing/>
        <w:rPr>
          <w:i/>
          <w:color w:val="000000"/>
        </w:rPr>
      </w:pPr>
    </w:p>
    <w:p w:rsidR="00525FE4" w:rsidRPr="0068556F" w:rsidRDefault="00525FE4" w:rsidP="0068556F">
      <w:pPr>
        <w:ind w:right="-7"/>
        <w:contextualSpacing/>
        <w:jc w:val="both"/>
      </w:pPr>
      <w:r w:rsidRPr="0068556F">
        <w:t xml:space="preserve">The Company will continue to monitor the state of natural gas conservation technologies within its service territory and make adjustments commensurate with evolving </w:t>
      </w:r>
      <w:r w:rsidR="009C2DE3" w:rsidRPr="0068556F">
        <w:t>ENERGY STAR</w:t>
      </w:r>
      <w:r w:rsidRPr="0068556F">
        <w:t xml:space="preserve"> standards and code requirements as well as monitor new and promising technologies available to optimize the use of natural gas in our customers’ homes. Such measures may include a natural gas heat pump as they become more widespread throughout the market place, or potentially Boiler Pipe Insulation and Demand Control Ventilation</w:t>
      </w:r>
      <w:r w:rsidR="00E47FA5" w:rsidRPr="0068556F">
        <w:t xml:space="preserve"> as both have been shown to be cost effective measure</w:t>
      </w:r>
      <w:r w:rsidR="004D0436">
        <w:t>s</w:t>
      </w:r>
      <w:r w:rsidR="00E47FA5" w:rsidRPr="0068556F">
        <w:t xml:space="preserve"> in our TEAPOT modeling</w:t>
      </w:r>
      <w:r w:rsidRPr="0068556F">
        <w:t xml:space="preserve">. </w:t>
      </w:r>
      <w:r w:rsidR="00485926" w:rsidRPr="0068556F">
        <w:t xml:space="preserve">The Company is also monitoring the residential natural gas furnace standards as well as water heater criteria and will alter the program offerings as standards and building codes </w:t>
      </w:r>
      <w:r w:rsidR="00CD10B5" w:rsidRPr="0068556F">
        <w:t xml:space="preserve">change in the next few years. </w:t>
      </w:r>
    </w:p>
    <w:p w:rsidR="00525FE4" w:rsidRPr="0068556F" w:rsidRDefault="00525FE4" w:rsidP="0068556F">
      <w:pPr>
        <w:ind w:right="-7"/>
        <w:contextualSpacing/>
        <w:jc w:val="both"/>
      </w:pPr>
    </w:p>
    <w:p w:rsidR="00FB4ABD" w:rsidRDefault="00FB4ABD" w:rsidP="008F61E0">
      <w:pPr>
        <w:pStyle w:val="Heading1"/>
      </w:pPr>
      <w:bookmarkStart w:id="19" w:name="_Residential_Program_Delivery"/>
      <w:bookmarkStart w:id="20" w:name="_Toc437853987"/>
      <w:bookmarkEnd w:id="19"/>
      <w:r>
        <w:lastRenderedPageBreak/>
        <w:t>Residential Program Delivery Changes for 2016</w:t>
      </w:r>
      <w:bookmarkEnd w:id="20"/>
    </w:p>
    <w:p w:rsidR="001B17C2" w:rsidRDefault="00C81A00" w:rsidP="00E74785">
      <w:pPr>
        <w:jc w:val="both"/>
      </w:pPr>
      <w:r>
        <w:t xml:space="preserve">The Company’s decision to switch to an internal delivery model for the residential conservation incentive program was initiated for a variety of reasons.  The primary motivator behind transitioning in </w:t>
      </w:r>
      <w:r w:rsidR="00143000">
        <w:t xml:space="preserve">CY </w:t>
      </w:r>
      <w:r>
        <w:t xml:space="preserve">2016 is the expiration of a 2-year contract with the current program </w:t>
      </w:r>
      <w:r w:rsidR="000B12E2">
        <w:t>implementer</w:t>
      </w:r>
      <w:r w:rsidR="005C3825">
        <w:t>,</w:t>
      </w:r>
      <w:r>
        <w:t xml:space="preserve"> Electric and Gas Industries Association (EGIA). Since 2008 the Company has worked through three separate residential program vendors with varying levels of support for program implementation.  The first transition </w:t>
      </w:r>
      <w:r w:rsidR="00143000">
        <w:t xml:space="preserve">from Conservation Services Group (now </w:t>
      </w:r>
      <w:proofErr w:type="spellStart"/>
      <w:r w:rsidR="00143000">
        <w:t>CLEAResult</w:t>
      </w:r>
      <w:proofErr w:type="spellEnd"/>
      <w:r w:rsidR="00143000">
        <w:t>) in 2010 to Lockheed Martin was put into place to help streamline delivery between the residential and commercial programs while taking advantage of the economies of scale inherent in bundling all the program delivery under a single vendor.  The Company, while pleased with program performance, found with the drop in natural gas prices in 2012-2013 that it needed to reduce administrative costs</w:t>
      </w:r>
      <w:r w:rsidR="001B17C2">
        <w:t xml:space="preserve"> primarily for the residential program</w:t>
      </w:r>
      <w:r w:rsidR="00143000">
        <w:t>.  In spring 2013 the residential re</w:t>
      </w:r>
      <w:r w:rsidR="001B17C2">
        <w:t>bate processing</w:t>
      </w:r>
      <w:r w:rsidR="005C3825">
        <w:t xml:space="preserve"> (Commercial program implementation remained with Lockheed Martin)</w:t>
      </w:r>
      <w:r w:rsidR="001B17C2">
        <w:t xml:space="preserve"> and Trade Ally m</w:t>
      </w:r>
      <w:r w:rsidR="00143000">
        <w:t xml:space="preserve">anagement tasks were assigned to EGIA while other aspects of the program were absorbed internally by the Company </w:t>
      </w:r>
      <w:r w:rsidR="001B17C2">
        <w:t>(quality c</w:t>
      </w:r>
      <w:r w:rsidR="00143000">
        <w:t xml:space="preserve">ontrol </w:t>
      </w:r>
      <w:r w:rsidR="001B17C2">
        <w:t xml:space="preserve">inspections for example) with </w:t>
      </w:r>
      <w:r w:rsidR="005C3825">
        <w:t>additional</w:t>
      </w:r>
      <w:r w:rsidR="001B17C2">
        <w:t xml:space="preserve"> staff joining the Conservation Department</w:t>
      </w:r>
      <w:r w:rsidR="005C3825">
        <w:t xml:space="preserve"> in support roles</w:t>
      </w:r>
      <w:r w:rsidR="00143000">
        <w:t>.</w:t>
      </w:r>
    </w:p>
    <w:p w:rsidR="005C3825" w:rsidRDefault="001B17C2" w:rsidP="00E74785">
      <w:pPr>
        <w:jc w:val="both"/>
      </w:pPr>
      <w:r>
        <w:t xml:space="preserve">For the past two years the residential programs have been delivered through a mix of third party implementation and internal program oversight.  In an attempt to pursue a long-term, sustainable, affordable and simplified delivery model the Company began exploring internal program implementation options for our residential program in </w:t>
      </w:r>
      <w:r w:rsidR="00B841F8">
        <w:t xml:space="preserve">the </w:t>
      </w:r>
      <w:r w:rsidR="005C3825">
        <w:t>summer</w:t>
      </w:r>
      <w:r>
        <w:t xml:space="preserve"> of 2015 knowing the existing vendor contract would expire by the end of the year.  Internal delivery will provide the Company with greater oversight and management of the customer rebate experience, smoother and shorter rebate processing from start to finish, and direct control over data quality and </w:t>
      </w:r>
      <w:r w:rsidR="00932A42">
        <w:t xml:space="preserve">data </w:t>
      </w:r>
      <w:r>
        <w:t>management</w:t>
      </w:r>
      <w:r w:rsidR="005C3825">
        <w:t xml:space="preserve"> – meaning tailored reporting and tracking ability</w:t>
      </w:r>
      <w:r>
        <w:t>.</w:t>
      </w:r>
    </w:p>
    <w:p w:rsidR="00932A42" w:rsidRDefault="00932A42" w:rsidP="00E74785">
      <w:pPr>
        <w:jc w:val="both"/>
      </w:pPr>
      <w:r>
        <w:t xml:space="preserve"> While discussing 2016 options with the current vendor the Company also understood the expenses for implementation would increase for 2016 as initial estimates of adm</w:t>
      </w:r>
      <w:r w:rsidR="005C3825">
        <w:t>inistrative costs for delivery of</w:t>
      </w:r>
      <w:r>
        <w:t xml:space="preserve"> the CNGC residential rebate programs </w:t>
      </w:r>
      <w:r w:rsidR="005C3825">
        <w:t>were not adequate to cover the vendor’s costs.  While transitioning to an internal delivery model is not a lower cost option (the move necessitates adding on two additional Company staff to support processing) it does provide continuity and independence in future years with the support of an internal software</w:t>
      </w:r>
      <w:r w:rsidR="00B841F8">
        <w:t xml:space="preserve"> solution</w:t>
      </w:r>
      <w:r w:rsidR="005C3825">
        <w:t>.</w:t>
      </w:r>
    </w:p>
    <w:p w:rsidR="00932A42" w:rsidRDefault="00932A42" w:rsidP="00E74785">
      <w:pPr>
        <w:jc w:val="both"/>
      </w:pPr>
      <w:r>
        <w:t>Upon moving to an internal delivery model the Company need</w:t>
      </w:r>
      <w:r w:rsidR="005C3825">
        <w:t>s</w:t>
      </w:r>
      <w:r>
        <w:t xml:space="preserve"> to have a software package in place to support the program processing and customer rebate portal. Throughout the summer Cascade contacted various software implementation companies to discuss cloud based software options to support internal residential program delivery. </w:t>
      </w:r>
    </w:p>
    <w:p w:rsidR="00FB4ABD" w:rsidRPr="00FB4ABD" w:rsidRDefault="005C3825" w:rsidP="00E74785">
      <w:pPr>
        <w:jc w:val="both"/>
      </w:pPr>
      <w:r>
        <w:t>In late summer</w:t>
      </w:r>
      <w:r w:rsidR="00932A42">
        <w:t xml:space="preserve"> the Company engaged in conversations with its Conservation Advisory </w:t>
      </w:r>
      <w:r w:rsidR="00932A42">
        <w:lastRenderedPageBreak/>
        <w:t>Group about proposed program delivery changes and advised it would send out an RFP for software</w:t>
      </w:r>
      <w:r>
        <w:t xml:space="preserve"> support</w:t>
      </w:r>
      <w:r w:rsidR="00932A42">
        <w:t>. The software package vendor has been chosen and is in contract discussions with the Company at this time.  The current</w:t>
      </w:r>
      <w:r>
        <w:t xml:space="preserve"> delivery</w:t>
      </w:r>
      <w:r w:rsidR="00932A42">
        <w:t xml:space="preserve"> vendor</w:t>
      </w:r>
      <w:r>
        <w:t xml:space="preserve"> (EGIA)</w:t>
      </w:r>
      <w:r w:rsidR="00932A42">
        <w:t xml:space="preserve"> has agreed to continue processing residential rebate</w:t>
      </w:r>
      <w:r>
        <w:t>s</w:t>
      </w:r>
      <w:r w:rsidR="00932A42">
        <w:t xml:space="preserve"> and working with the company through the first few months of CY 2016 </w:t>
      </w:r>
      <w:r>
        <w:t xml:space="preserve">as their program delivery ramps down and the software and internal delivery absorbs the existing tasks.  </w:t>
      </w:r>
      <w:r w:rsidR="00932A42">
        <w:t xml:space="preserve">   </w:t>
      </w:r>
      <w:r w:rsidR="001B17C2">
        <w:t xml:space="preserve">    </w:t>
      </w:r>
      <w:r w:rsidR="00143000">
        <w:t xml:space="preserve">     </w:t>
      </w:r>
    </w:p>
    <w:p w:rsidR="00FB4ABD" w:rsidRDefault="00FB4ABD" w:rsidP="0068556F">
      <w:pPr>
        <w:pStyle w:val="Heading1"/>
        <w:spacing w:line="276" w:lineRule="auto"/>
        <w:rPr>
          <w:rFonts w:ascii="Arial" w:hAnsi="Arial" w:cs="Arial"/>
        </w:rPr>
      </w:pPr>
    </w:p>
    <w:p w:rsidR="00525FE4" w:rsidRPr="0068556F" w:rsidRDefault="00525FE4" w:rsidP="008F61E0">
      <w:pPr>
        <w:pStyle w:val="Heading2"/>
      </w:pPr>
      <w:bookmarkStart w:id="21" w:name="_Toc437853988"/>
      <w:r w:rsidRPr="0068556F">
        <w:t xml:space="preserve">Program Offerings </w:t>
      </w:r>
      <w:r w:rsidR="00DB2C52" w:rsidRPr="0068556F">
        <w:t>through 2016</w:t>
      </w:r>
      <w:bookmarkEnd w:id="21"/>
    </w:p>
    <w:p w:rsidR="009C2DE3" w:rsidRPr="0068556F" w:rsidRDefault="00525FE4" w:rsidP="0068556F">
      <w:pPr>
        <w:ind w:right="-7"/>
        <w:contextualSpacing/>
        <w:jc w:val="both"/>
      </w:pPr>
      <w:r w:rsidRPr="0068556F">
        <w:t>As suggested above, all items offered at the time of the 201</w:t>
      </w:r>
      <w:r w:rsidR="00920B18" w:rsidRPr="0068556F">
        <w:t>4</w:t>
      </w:r>
      <w:r w:rsidRPr="0068556F">
        <w:t xml:space="preserve"> Integrated Resources Plan were developed based on the Company’s best understanding of avoided costs as outlined in Appendix H of the previous Integrated Resources Plan acknowledged by the WUTC and savings assumptions and targets were built from the Nexant Study, TEAPOT modeling tool, and on-the-ground knowledge of Cascade’s Washington service area. The Company’s conservation portfolios and programs are subject to modification following the acknowledgement of this more recent IRP, and/or following any and all changes to the underlying data or circumstances surrounding the assessment and measurement of program cost-effectiveness. Customer participation levels will be commensurate with a cost-effective natural gas conservation measure mix that Cascade will be able to maintain in its portfolio. </w:t>
      </w:r>
    </w:p>
    <w:p w:rsidR="00844F94" w:rsidRDefault="00844F94" w:rsidP="0068556F">
      <w:pPr>
        <w:ind w:right="-7"/>
        <w:contextualSpacing/>
        <w:jc w:val="both"/>
      </w:pPr>
    </w:p>
    <w:p w:rsidR="00FF4912" w:rsidRDefault="000B12E2" w:rsidP="0068556F">
      <w:pPr>
        <w:ind w:right="-7"/>
        <w:contextualSpacing/>
        <w:jc w:val="both"/>
      </w:pPr>
      <w:r>
        <w:t xml:space="preserve">Current program offerings for the residential and prescriptive commercial/industrial program can be found in </w:t>
      </w:r>
      <w:r w:rsidR="008D1C9A">
        <w:t xml:space="preserve">detail in </w:t>
      </w:r>
      <w:r w:rsidR="00FF4912" w:rsidRPr="004D66D7">
        <w:rPr>
          <w:b/>
        </w:rPr>
        <w:t>T</w:t>
      </w:r>
      <w:r w:rsidR="008D1C9A" w:rsidRPr="004D66D7">
        <w:rPr>
          <w:b/>
        </w:rPr>
        <w:t>ables 3</w:t>
      </w:r>
      <w:r w:rsidR="008D1C9A">
        <w:t xml:space="preserve"> and</w:t>
      </w:r>
      <w:r>
        <w:t xml:space="preserve"> </w:t>
      </w:r>
      <w:r w:rsidRPr="004D66D7">
        <w:rPr>
          <w:b/>
        </w:rPr>
        <w:t>4</w:t>
      </w:r>
      <w:r>
        <w:t xml:space="preserve"> as well as </w:t>
      </w:r>
      <w:r w:rsidR="008D1C9A">
        <w:t>a</w:t>
      </w:r>
      <w:r>
        <w:t xml:space="preserve"> brief </w:t>
      </w:r>
      <w:r w:rsidR="008D1C9A">
        <w:t>list of current offerings</w:t>
      </w:r>
      <w:r>
        <w:t xml:space="preserve"> below:</w:t>
      </w:r>
    </w:p>
    <w:p w:rsidR="00FF4912" w:rsidRDefault="00FF4912" w:rsidP="0068556F">
      <w:pPr>
        <w:ind w:right="-7"/>
        <w:contextualSpacing/>
        <w:jc w:val="both"/>
      </w:pPr>
    </w:p>
    <w:p w:rsidR="00FF4912" w:rsidRPr="00FF4912" w:rsidRDefault="00FF4912" w:rsidP="00FF4912">
      <w:pPr>
        <w:spacing w:after="0" w:line="240" w:lineRule="auto"/>
        <w:rPr>
          <w:b/>
        </w:rPr>
      </w:pPr>
      <w:r w:rsidRPr="00FF4912">
        <w:rPr>
          <w:b/>
        </w:rPr>
        <w:t>Residential Rebates:</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High-Efficiency Natural Gas Furnace</w:t>
      </w:r>
      <w:r w:rsidRPr="004D66D7">
        <w:rPr>
          <w:rFonts w:ascii="Arial" w:hAnsi="Arial" w:cs="Arial"/>
          <w:vertAlign w:val="superscript"/>
        </w:rPr>
        <w:t>1</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High-Efficiency Natural Gas Hearth (Fireplace)</w:t>
      </w:r>
    </w:p>
    <w:p w:rsidR="004D66D7" w:rsidRPr="004D66D7" w:rsidRDefault="00FF4912" w:rsidP="00FF4912">
      <w:pPr>
        <w:pStyle w:val="ListParagraph"/>
        <w:numPr>
          <w:ilvl w:val="0"/>
          <w:numId w:val="44"/>
        </w:numPr>
        <w:rPr>
          <w:rFonts w:ascii="Arial" w:hAnsi="Arial" w:cs="Arial"/>
        </w:rPr>
      </w:pPr>
      <w:r w:rsidRPr="004D66D7">
        <w:rPr>
          <w:rFonts w:ascii="Arial" w:hAnsi="Arial" w:cs="Arial"/>
        </w:rPr>
        <w:t>High-Efficiency Combination Domestic Hot Water and Hydronic Space Heating System using pre-approved Tankless Water Heater</w:t>
      </w:r>
      <w:r w:rsidRPr="004D66D7">
        <w:rPr>
          <w:rFonts w:ascii="Arial" w:hAnsi="Arial" w:cs="Arial"/>
          <w:vertAlign w:val="superscript"/>
        </w:rPr>
        <w:t>3</w:t>
      </w:r>
    </w:p>
    <w:p w:rsidR="004D66D7" w:rsidRPr="004D66D7" w:rsidRDefault="00FF4912" w:rsidP="004D66D7">
      <w:pPr>
        <w:pStyle w:val="ListParagraph"/>
        <w:numPr>
          <w:ilvl w:val="0"/>
          <w:numId w:val="44"/>
        </w:numPr>
      </w:pPr>
      <w:r w:rsidRPr="004D66D7">
        <w:rPr>
          <w:rFonts w:ascii="Arial" w:hAnsi="Arial" w:cs="Arial"/>
        </w:rPr>
        <w:t>Condensing High-Efficiency Natural Gas</w:t>
      </w:r>
      <w:r w:rsidR="004D66D7" w:rsidRPr="004D66D7">
        <w:rPr>
          <w:rFonts w:ascii="Arial" w:hAnsi="Arial" w:cs="Arial"/>
        </w:rPr>
        <w:t xml:space="preserve"> </w:t>
      </w:r>
      <w:r w:rsidRPr="004D66D7">
        <w:rPr>
          <w:rFonts w:ascii="Arial" w:hAnsi="Arial" w:cs="Arial"/>
        </w:rPr>
        <w:t>Tankless Water Heater</w:t>
      </w:r>
    </w:p>
    <w:p w:rsidR="004D66D7" w:rsidRDefault="00FF4912" w:rsidP="004D66D7">
      <w:pPr>
        <w:pStyle w:val="ListParagraph"/>
        <w:numPr>
          <w:ilvl w:val="0"/>
          <w:numId w:val="44"/>
        </w:numPr>
      </w:pPr>
      <w:r w:rsidRPr="004D66D7">
        <w:rPr>
          <w:rFonts w:ascii="Arial" w:hAnsi="Arial" w:cs="Arial"/>
        </w:rPr>
        <w:t>Conventional High-Efficiency Natural Gas</w:t>
      </w:r>
      <w:r w:rsidR="004D66D7" w:rsidRPr="004D66D7">
        <w:rPr>
          <w:rFonts w:ascii="Arial" w:hAnsi="Arial" w:cs="Arial"/>
        </w:rPr>
        <w:t xml:space="preserve"> Water Heater</w:t>
      </w:r>
    </w:p>
    <w:p w:rsidR="00FF4912" w:rsidRPr="004D66D7" w:rsidRDefault="00FF4912" w:rsidP="004D66D7">
      <w:pPr>
        <w:pStyle w:val="ListParagraph"/>
        <w:numPr>
          <w:ilvl w:val="0"/>
          <w:numId w:val="47"/>
        </w:numPr>
        <w:rPr>
          <w:rFonts w:ascii="Arial" w:hAnsi="Arial" w:cs="Arial"/>
        </w:rPr>
      </w:pPr>
      <w:r w:rsidRPr="004D66D7">
        <w:rPr>
          <w:rFonts w:ascii="Arial" w:hAnsi="Arial" w:cs="Arial"/>
        </w:rPr>
        <w:t>High-Efficiency Exterior Entry (not sliding) Door</w:t>
      </w:r>
      <w:r w:rsidRPr="004D66D7">
        <w:rPr>
          <w:rFonts w:ascii="Arial" w:hAnsi="Arial" w:cs="Arial"/>
          <w:vertAlign w:val="superscript"/>
        </w:rPr>
        <w:t>1</w:t>
      </w:r>
    </w:p>
    <w:p w:rsidR="00FF4912" w:rsidRPr="00FF4912" w:rsidRDefault="00FF4912" w:rsidP="00FF4912">
      <w:pPr>
        <w:spacing w:after="0" w:line="240" w:lineRule="auto"/>
        <w:contextualSpacing/>
      </w:pPr>
    </w:p>
    <w:p w:rsidR="00FF4912" w:rsidRPr="00FF4912" w:rsidRDefault="00FF4912" w:rsidP="00FF4912">
      <w:pPr>
        <w:spacing w:after="0" w:line="240" w:lineRule="auto"/>
        <w:contextualSpacing/>
        <w:rPr>
          <w:b/>
        </w:rPr>
      </w:pPr>
      <w:r w:rsidRPr="00FF4912">
        <w:rPr>
          <w:b/>
        </w:rPr>
        <w:t>Existing Homes Only:</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Floor Insulation</w:t>
      </w:r>
      <w:r w:rsidRPr="004D66D7">
        <w:rPr>
          <w:rFonts w:ascii="Arial" w:hAnsi="Arial" w:cs="Arial"/>
          <w:vertAlign w:val="superscript"/>
        </w:rPr>
        <w:t>4</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Wall Insulation</w:t>
      </w:r>
      <w:r w:rsidRPr="004D66D7">
        <w:rPr>
          <w:rFonts w:ascii="Arial" w:hAnsi="Arial" w:cs="Arial"/>
          <w:vertAlign w:val="superscript"/>
        </w:rPr>
        <w:t>4</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Ceiling or Attic Insulation</w:t>
      </w:r>
      <w:r w:rsidRPr="004D66D7">
        <w:rPr>
          <w:rFonts w:ascii="Arial" w:hAnsi="Arial" w:cs="Arial"/>
          <w:vertAlign w:val="superscript"/>
        </w:rPr>
        <w:t>4</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Whole House Residential Air Sealing</w:t>
      </w:r>
      <w:r w:rsidRPr="004D66D7">
        <w:rPr>
          <w:rFonts w:ascii="Arial" w:hAnsi="Arial" w:cs="Arial"/>
          <w:vertAlign w:val="superscript"/>
        </w:rPr>
        <w:t>4</w:t>
      </w:r>
    </w:p>
    <w:p w:rsidR="00FF4912" w:rsidRPr="00FF4912" w:rsidRDefault="00FF4912" w:rsidP="00FF4912">
      <w:pPr>
        <w:spacing w:after="0" w:line="240" w:lineRule="auto"/>
        <w:contextualSpacing/>
      </w:pPr>
    </w:p>
    <w:p w:rsidR="00FF4912" w:rsidRPr="00FF4912" w:rsidRDefault="00FF4912" w:rsidP="00FF4912">
      <w:pPr>
        <w:spacing w:after="0" w:line="240" w:lineRule="auto"/>
        <w:contextualSpacing/>
        <w:rPr>
          <w:b/>
        </w:rPr>
      </w:pPr>
      <w:r w:rsidRPr="00FF4912">
        <w:rPr>
          <w:b/>
        </w:rPr>
        <w:t>New Homes Only:</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ENERGY STAR</w:t>
      </w:r>
      <w:r w:rsidRPr="004D66D7">
        <w:rPr>
          <w:rFonts w:ascii="Arial" w:hAnsi="Arial" w:cs="Arial"/>
          <w:vertAlign w:val="superscript"/>
        </w:rPr>
        <w:t>®</w:t>
      </w:r>
      <w:r w:rsidRPr="004D66D7">
        <w:rPr>
          <w:rFonts w:ascii="Arial" w:hAnsi="Arial" w:cs="Arial"/>
        </w:rPr>
        <w:t xml:space="preserve"> Certified Home + U.30 Window Glazing</w:t>
      </w:r>
      <w:r w:rsidRPr="004D66D7">
        <w:rPr>
          <w:rFonts w:ascii="Arial" w:hAnsi="Arial" w:cs="Arial"/>
          <w:vertAlign w:val="superscript"/>
        </w:rPr>
        <w:t>7</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 xml:space="preserve">Upgrade to ENERGY STAR Premium High-Efficiency </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lastRenderedPageBreak/>
        <w:t>Natural Gas Furnace</w:t>
      </w:r>
      <w:r w:rsidRPr="004D66D7">
        <w:rPr>
          <w:rFonts w:ascii="Arial" w:hAnsi="Arial" w:cs="Arial"/>
          <w:vertAlign w:val="superscript"/>
        </w:rPr>
        <w:t>8</w:t>
      </w:r>
    </w:p>
    <w:p w:rsidR="00FF4912" w:rsidRPr="004D66D7" w:rsidRDefault="00FF4912" w:rsidP="00FF4912">
      <w:pPr>
        <w:pStyle w:val="ListParagraph"/>
        <w:numPr>
          <w:ilvl w:val="0"/>
          <w:numId w:val="44"/>
        </w:numPr>
        <w:rPr>
          <w:rFonts w:ascii="Arial" w:hAnsi="Arial" w:cs="Arial"/>
        </w:rPr>
      </w:pPr>
      <w:r w:rsidRPr="004D66D7">
        <w:rPr>
          <w:rFonts w:ascii="Arial" w:hAnsi="Arial" w:cs="Arial"/>
        </w:rPr>
        <w:t>Built Green Certified Home</w:t>
      </w:r>
      <w:r w:rsidRPr="004D66D7">
        <w:rPr>
          <w:rFonts w:ascii="Arial" w:hAnsi="Arial" w:cs="Arial"/>
          <w:vertAlign w:val="superscript"/>
        </w:rPr>
        <w:t>7</w:t>
      </w:r>
    </w:p>
    <w:p w:rsidR="00FF4912" w:rsidRPr="00FF4912" w:rsidRDefault="00FF4912" w:rsidP="00FF4912">
      <w:pPr>
        <w:spacing w:after="0" w:line="240" w:lineRule="auto"/>
        <w:contextualSpacing/>
      </w:pP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Home must be heated by natural gas.</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Must use intermittent ignition device.</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Water must be heated with a tankless system. Pre-approval from CNGC required. Boilers do not qualify.</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All insulation and air sealing must be performed by a CNGC qualified Trade Ally in order to be eligible for a rebate through the Conservation Incentive Program. Attic insulation cannot be filled to cavity.</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Minimum of R-19 or higher to fill cavity.</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Requires WA Department of Commerce Combustion Safety Test Report Exhibit 5.3.1A. Whole House Residential Air Sealing must comply with Washington State Energy Code section 502.4.5</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These incentives are only applicable to new homes, not available to existing homes.</w:t>
      </w:r>
    </w:p>
    <w:p w:rsidR="00FF4912" w:rsidRPr="004D66D7" w:rsidRDefault="00FF4912" w:rsidP="00FF4912">
      <w:pPr>
        <w:pStyle w:val="ListParagraph"/>
        <w:numPr>
          <w:ilvl w:val="0"/>
          <w:numId w:val="45"/>
        </w:numPr>
        <w:ind w:left="540" w:hanging="180"/>
        <w:rPr>
          <w:rFonts w:ascii="Arial" w:hAnsi="Arial" w:cs="Arial"/>
          <w:sz w:val="20"/>
        </w:rPr>
      </w:pPr>
      <w:r w:rsidRPr="004D66D7">
        <w:rPr>
          <w:rFonts w:ascii="Arial" w:hAnsi="Arial" w:cs="Arial"/>
          <w:sz w:val="20"/>
        </w:rPr>
        <w:t>Only eligible on ENERGY STAR Certified homes. These incentives are only applicable to new homes, not available to existing homes.</w:t>
      </w:r>
    </w:p>
    <w:p w:rsidR="000B12E2" w:rsidRPr="004D66D7" w:rsidRDefault="000B12E2" w:rsidP="0068556F">
      <w:pPr>
        <w:ind w:right="-7"/>
        <w:contextualSpacing/>
        <w:jc w:val="both"/>
        <w:rPr>
          <w:sz w:val="20"/>
        </w:rPr>
      </w:pPr>
      <w:r w:rsidRPr="00E74785">
        <w:rPr>
          <w:sz w:val="20"/>
        </w:rPr>
        <w:t xml:space="preserve"> </w:t>
      </w:r>
    </w:p>
    <w:p w:rsidR="008D1C9A" w:rsidRPr="008D1C9A" w:rsidRDefault="008D1C9A" w:rsidP="008D1C9A">
      <w:pPr>
        <w:spacing w:after="0" w:line="240" w:lineRule="auto"/>
        <w:contextualSpacing/>
        <w:rPr>
          <w:b/>
        </w:rPr>
      </w:pPr>
      <w:r w:rsidRPr="008D1C9A">
        <w:rPr>
          <w:b/>
        </w:rPr>
        <w:t>Commercial/Industrial Standard Incentives</w:t>
      </w:r>
    </w:p>
    <w:p w:rsidR="008D1C9A" w:rsidRPr="008D1C9A" w:rsidRDefault="008D1C9A" w:rsidP="008D1C9A">
      <w:pPr>
        <w:spacing w:after="0" w:line="240" w:lineRule="auto"/>
        <w:contextualSpacing/>
        <w:rPr>
          <w:b/>
        </w:rPr>
      </w:pPr>
    </w:p>
    <w:p w:rsidR="008D1C9A" w:rsidRPr="004D66D7" w:rsidRDefault="008D1C9A" w:rsidP="008D1C9A">
      <w:pPr>
        <w:pStyle w:val="ListParagraph"/>
        <w:numPr>
          <w:ilvl w:val="0"/>
          <w:numId w:val="46"/>
        </w:numPr>
        <w:rPr>
          <w:rFonts w:ascii="Arial" w:hAnsi="Arial" w:cs="Arial"/>
        </w:rPr>
      </w:pPr>
      <w:r w:rsidRPr="004D66D7">
        <w:rPr>
          <w:rFonts w:ascii="Arial" w:hAnsi="Arial" w:cs="Arial"/>
        </w:rPr>
        <w:t>Warm Air Furnaces - High Efficiency Condensing Furnace—Min 91% AFUE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HVAC Unit Heater - High Efficiency Non-Condensing Min—86% AFUE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HVAC Unit Heater - High Efficiency Condensing Min—92% AFUE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Radiant Heating - Direct fired radiant heating</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 xml:space="preserve">Boiler - High Efficiency Condensing Boiler, Min 90% Thermal Eff &amp; 300 kBtu input </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 xml:space="preserve">Boiler Vent Damper - Min 1,000 kBtu input </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Boiler Steam Trap</w:t>
      </w:r>
      <w:r w:rsidRPr="004D66D7">
        <w:rPr>
          <w:rFonts w:ascii="Arial" w:hAnsi="Arial" w:cs="Arial"/>
          <w:vertAlign w:val="superscript"/>
        </w:rPr>
        <w:t>1</w:t>
      </w:r>
      <w:r w:rsidRPr="004D66D7">
        <w:rPr>
          <w:rFonts w:ascii="Arial" w:hAnsi="Arial" w:cs="Arial"/>
        </w:rPr>
        <w:t xml:space="preserve"> - 300 kBtu in; steam pressure at 7psig or &gt;</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Domestic Hot Water Tanks3 - Condensing tank, Min 91% Thermal Eff</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Domestic Hot Water Tankless Water Heater</w:t>
      </w:r>
      <w:r w:rsidRPr="004D66D7">
        <w:rPr>
          <w:rFonts w:ascii="Arial" w:hAnsi="Arial" w:cs="Arial"/>
          <w:vertAlign w:val="superscript"/>
        </w:rPr>
        <w:t>3</w:t>
      </w:r>
      <w:r w:rsidRPr="004D66D7">
        <w:rPr>
          <w:rFonts w:ascii="Arial" w:hAnsi="Arial" w:cs="Arial"/>
        </w:rPr>
        <w:t xml:space="preserve"> - ENERGY STAR®  .82 EF</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Attic Insulation - (retrofit only)</w:t>
      </w:r>
    </w:p>
    <w:p w:rsidR="008D1C9A" w:rsidRPr="004D66D7" w:rsidRDefault="008D1C9A" w:rsidP="008D1C9A">
      <w:pPr>
        <w:spacing w:after="0" w:line="240" w:lineRule="auto"/>
        <w:ind w:left="720"/>
        <w:contextualSpacing/>
      </w:pPr>
      <w:r w:rsidRPr="004D66D7">
        <w:t>Tier 1: Min R-30 - $0.50/</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spacing w:after="0" w:line="240" w:lineRule="auto"/>
        <w:ind w:left="720"/>
        <w:contextualSpacing/>
      </w:pPr>
      <w:r w:rsidRPr="004D66D7">
        <w:t>Tier 2: Min R-45 - $0.65/</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pStyle w:val="ListParagraph"/>
        <w:numPr>
          <w:ilvl w:val="0"/>
          <w:numId w:val="46"/>
        </w:numPr>
        <w:rPr>
          <w:rFonts w:ascii="Arial" w:hAnsi="Arial" w:cs="Arial"/>
        </w:rPr>
      </w:pPr>
      <w:r w:rsidRPr="004D66D7">
        <w:rPr>
          <w:rFonts w:ascii="Arial" w:hAnsi="Arial" w:cs="Arial"/>
        </w:rPr>
        <w:t>Roof Insulation - (retrofit only)</w:t>
      </w:r>
    </w:p>
    <w:p w:rsidR="008D1C9A" w:rsidRPr="004D66D7" w:rsidRDefault="008D1C9A" w:rsidP="008D1C9A">
      <w:pPr>
        <w:spacing w:after="0" w:line="240" w:lineRule="auto"/>
        <w:ind w:left="720"/>
        <w:contextualSpacing/>
      </w:pPr>
      <w:r w:rsidRPr="004D66D7">
        <w:t>Tier 1: Min R-21 - $0.60/</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spacing w:after="0" w:line="240" w:lineRule="auto"/>
        <w:ind w:left="720"/>
        <w:contextualSpacing/>
      </w:pPr>
      <w:r w:rsidRPr="004D66D7">
        <w:t>Tier 2: Min R-30 - $0.80/</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pStyle w:val="ListParagraph"/>
        <w:numPr>
          <w:ilvl w:val="0"/>
          <w:numId w:val="46"/>
        </w:numPr>
        <w:rPr>
          <w:rFonts w:ascii="Arial" w:hAnsi="Arial" w:cs="Arial"/>
        </w:rPr>
      </w:pPr>
      <w:r w:rsidRPr="004D66D7">
        <w:rPr>
          <w:rFonts w:ascii="Arial" w:hAnsi="Arial" w:cs="Arial"/>
        </w:rPr>
        <w:t>Wall Insulation</w:t>
      </w:r>
      <w:r w:rsidRPr="004D66D7">
        <w:rPr>
          <w:rFonts w:ascii="Arial" w:hAnsi="Arial" w:cs="Arial"/>
          <w:vertAlign w:val="superscript"/>
        </w:rPr>
        <w:t>2</w:t>
      </w:r>
      <w:r w:rsidRPr="004D66D7">
        <w:rPr>
          <w:rFonts w:ascii="Arial" w:hAnsi="Arial" w:cs="Arial"/>
        </w:rPr>
        <w:t xml:space="preserve"> - (retrofit only) </w:t>
      </w:r>
    </w:p>
    <w:p w:rsidR="008D1C9A" w:rsidRPr="004D66D7" w:rsidRDefault="008D1C9A" w:rsidP="008D1C9A">
      <w:pPr>
        <w:spacing w:after="0" w:line="240" w:lineRule="auto"/>
        <w:ind w:left="720"/>
        <w:contextualSpacing/>
      </w:pPr>
      <w:r w:rsidRPr="004D66D7">
        <w:t>Tier 1: Min R-11 - $0.50/</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spacing w:after="0" w:line="240" w:lineRule="auto"/>
        <w:ind w:left="720"/>
        <w:contextualSpacing/>
      </w:pPr>
      <w:r w:rsidRPr="004D66D7">
        <w:t>Tier 2: Min R-19 - $0.56/</w:t>
      </w:r>
      <w:proofErr w:type="spellStart"/>
      <w:r w:rsidRPr="004D66D7">
        <w:t>sq</w:t>
      </w:r>
      <w:proofErr w:type="spellEnd"/>
      <w:r w:rsidRPr="004D66D7">
        <w:t xml:space="preserve"> </w:t>
      </w:r>
      <w:proofErr w:type="spellStart"/>
      <w:r w:rsidRPr="004D66D7">
        <w:t>ft</w:t>
      </w:r>
      <w:proofErr w:type="spellEnd"/>
    </w:p>
    <w:p w:rsidR="008D1C9A" w:rsidRPr="004D66D7" w:rsidRDefault="008D1C9A" w:rsidP="008D1C9A">
      <w:pPr>
        <w:pStyle w:val="ListParagraph"/>
        <w:numPr>
          <w:ilvl w:val="0"/>
          <w:numId w:val="46"/>
        </w:numPr>
        <w:rPr>
          <w:rFonts w:ascii="Arial" w:hAnsi="Arial" w:cs="Arial"/>
        </w:rPr>
      </w:pPr>
      <w:r w:rsidRPr="004D66D7">
        <w:rPr>
          <w:rFonts w:ascii="Arial" w:hAnsi="Arial" w:cs="Arial"/>
        </w:rPr>
        <w:t>Energy Savings Kits</w:t>
      </w:r>
      <w:r w:rsidRPr="004D66D7">
        <w:rPr>
          <w:rFonts w:ascii="Arial" w:hAnsi="Arial" w:cs="Arial"/>
          <w:vertAlign w:val="superscript"/>
        </w:rPr>
        <w:t>3</w:t>
      </w:r>
      <w:r w:rsidRPr="004D66D7">
        <w:rPr>
          <w:rFonts w:ascii="Arial" w:hAnsi="Arial" w:cs="Arial"/>
        </w:rPr>
        <w:t xml:space="preserve"> - FREE</w:t>
      </w:r>
    </w:p>
    <w:p w:rsidR="008D1C9A" w:rsidRPr="004D66D7" w:rsidRDefault="008D1C9A" w:rsidP="008D1C9A">
      <w:pPr>
        <w:spacing w:after="0" w:line="240" w:lineRule="auto"/>
        <w:ind w:left="720"/>
        <w:contextualSpacing/>
      </w:pPr>
      <w:r w:rsidRPr="004D66D7">
        <w:t>A: Kitchen Pre Rinse Spray Valve &amp; Bath Aerators</w:t>
      </w:r>
    </w:p>
    <w:p w:rsidR="008D1C9A" w:rsidRPr="008D1C9A" w:rsidRDefault="008D1C9A" w:rsidP="008D1C9A">
      <w:pPr>
        <w:spacing w:after="0" w:line="240" w:lineRule="auto"/>
        <w:ind w:left="720"/>
        <w:contextualSpacing/>
      </w:pPr>
      <w:r w:rsidRPr="004D66D7">
        <w:t>B: Low Flow Showerhead</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Ozone Injection Laundry</w:t>
      </w:r>
      <w:r w:rsidRPr="004D66D7">
        <w:rPr>
          <w:rFonts w:ascii="Arial" w:hAnsi="Arial" w:cs="Arial"/>
          <w:vertAlign w:val="superscript"/>
        </w:rPr>
        <w:t>3</w:t>
      </w:r>
      <w:r w:rsidRPr="004D66D7">
        <w:rPr>
          <w:rFonts w:ascii="Arial" w:hAnsi="Arial" w:cs="Arial"/>
        </w:rPr>
        <w:t xml:space="preserve"> - </w:t>
      </w:r>
      <w:proofErr w:type="spellStart"/>
      <w:r w:rsidRPr="004D66D7">
        <w:rPr>
          <w:rFonts w:ascii="Arial" w:hAnsi="Arial" w:cs="Arial"/>
        </w:rPr>
        <w:t>Venturi</w:t>
      </w:r>
      <w:proofErr w:type="spellEnd"/>
      <w:r w:rsidRPr="004D66D7">
        <w:rPr>
          <w:rFonts w:ascii="Arial" w:hAnsi="Arial" w:cs="Arial"/>
        </w:rPr>
        <w:t xml:space="preserve"> injection or bubble diffusion - Min 125 lb. total washer/extractor capacity. Pre-approval required.</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Motion Control Faucet</w:t>
      </w:r>
      <w:r w:rsidRPr="004D66D7">
        <w:rPr>
          <w:rFonts w:ascii="Arial" w:hAnsi="Arial" w:cs="Arial"/>
          <w:vertAlign w:val="superscript"/>
        </w:rPr>
        <w:t>3</w:t>
      </w:r>
      <w:r w:rsidRPr="004D66D7">
        <w:rPr>
          <w:rFonts w:ascii="Arial" w:hAnsi="Arial" w:cs="Arial"/>
        </w:rPr>
        <w:t xml:space="preserve"> -  Maximum flow rate of 1.8 </w:t>
      </w:r>
      <w:proofErr w:type="spellStart"/>
      <w:r w:rsidRPr="004D66D7">
        <w:rPr>
          <w:rFonts w:ascii="Arial" w:hAnsi="Arial" w:cs="Arial"/>
        </w:rPr>
        <w:t>gpm</w:t>
      </w:r>
      <w:proofErr w:type="spellEnd"/>
      <w:r w:rsidRPr="004D66D7">
        <w:rPr>
          <w:rFonts w:ascii="Arial" w:hAnsi="Arial" w:cs="Arial"/>
        </w:rPr>
        <w:t xml:space="preserve">, </w:t>
      </w:r>
      <w:proofErr w:type="spellStart"/>
      <w:r w:rsidRPr="004D66D7">
        <w:rPr>
          <w:rFonts w:ascii="Arial" w:hAnsi="Arial" w:cs="Arial"/>
        </w:rPr>
        <w:t>WaterSense</w:t>
      </w:r>
      <w:proofErr w:type="spellEnd"/>
      <w:r w:rsidRPr="004D66D7">
        <w:rPr>
          <w:rFonts w:ascii="Arial" w:hAnsi="Arial" w:cs="Arial"/>
        </w:rPr>
        <w:t>® Certified and Below Deck Mixing Valve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Clothes Washer</w:t>
      </w:r>
      <w:r w:rsidRPr="004D66D7">
        <w:rPr>
          <w:rFonts w:ascii="Arial" w:hAnsi="Arial" w:cs="Arial"/>
          <w:vertAlign w:val="superscript"/>
        </w:rPr>
        <w:t>3</w:t>
      </w:r>
      <w:r w:rsidRPr="004D66D7">
        <w:rPr>
          <w:rFonts w:ascii="Arial" w:hAnsi="Arial" w:cs="Arial"/>
        </w:rPr>
        <w:t xml:space="preserve"> - Commercial gas washer—1.8 MEF</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Gas Convection Oven -  ENERGY STAR®, ≥42% Cooking Eff/ ≤13,000 Btu/</w:t>
      </w:r>
      <w:proofErr w:type="spellStart"/>
      <w:r w:rsidRPr="004D66D7">
        <w:rPr>
          <w:rFonts w:ascii="Arial" w:hAnsi="Arial" w:cs="Arial"/>
        </w:rPr>
        <w:t>hr</w:t>
      </w:r>
      <w:proofErr w:type="spellEnd"/>
      <w:r w:rsidRPr="004D66D7">
        <w:rPr>
          <w:rFonts w:ascii="Arial" w:hAnsi="Arial" w:cs="Arial"/>
        </w:rPr>
        <w:t xml:space="preserve"> Idle Rate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Gas Griddle - ENERGY STAR®, ≥38% Cooking Eff/ ≤2650 Btu/</w:t>
      </w:r>
      <w:proofErr w:type="spellStart"/>
      <w:r w:rsidRPr="004D66D7">
        <w:rPr>
          <w:rFonts w:ascii="Arial" w:hAnsi="Arial" w:cs="Arial"/>
        </w:rPr>
        <w:t>hr</w:t>
      </w:r>
      <w:proofErr w:type="spellEnd"/>
      <w:r w:rsidRPr="004D66D7">
        <w:rPr>
          <w:rFonts w:ascii="Arial" w:hAnsi="Arial" w:cs="Arial"/>
        </w:rPr>
        <w:t xml:space="preserve"> </w:t>
      </w:r>
      <w:proofErr w:type="spellStart"/>
      <w:r w:rsidRPr="004D66D7">
        <w:rPr>
          <w:rFonts w:ascii="Arial" w:hAnsi="Arial" w:cs="Arial"/>
        </w:rPr>
        <w:t>sq</w:t>
      </w:r>
      <w:proofErr w:type="spellEnd"/>
      <w:r w:rsidRPr="004D66D7">
        <w:rPr>
          <w:rFonts w:ascii="Arial" w:hAnsi="Arial" w:cs="Arial"/>
        </w:rPr>
        <w:t xml:space="preserve"> </w:t>
      </w:r>
      <w:proofErr w:type="spellStart"/>
      <w:r w:rsidRPr="004D66D7">
        <w:rPr>
          <w:rFonts w:ascii="Arial" w:hAnsi="Arial" w:cs="Arial"/>
        </w:rPr>
        <w:t>ft</w:t>
      </w:r>
      <w:proofErr w:type="spellEnd"/>
      <w:r w:rsidRPr="004D66D7">
        <w:rPr>
          <w:rFonts w:ascii="Arial" w:hAnsi="Arial" w:cs="Arial"/>
        </w:rPr>
        <w:t xml:space="preserve"> Idle Rate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lastRenderedPageBreak/>
        <w:t>Gas Conveyor Oven - Greater than 42% tested baking efficiency</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Connectionless 3 Pan Gas Steamer - ENERGY STAR® or CEE/FSTC Qualified, ≥38% Cooking Eff / ≤2,083 Btu/</w:t>
      </w:r>
      <w:proofErr w:type="spellStart"/>
      <w:r w:rsidRPr="004D66D7">
        <w:rPr>
          <w:rFonts w:ascii="Arial" w:hAnsi="Arial" w:cs="Arial"/>
        </w:rPr>
        <w:t>hr</w:t>
      </w:r>
      <w:proofErr w:type="spellEnd"/>
      <w:r w:rsidRPr="004D66D7">
        <w:rPr>
          <w:rFonts w:ascii="Arial" w:hAnsi="Arial" w:cs="Arial"/>
        </w:rPr>
        <w:t>/pan Idle Rate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Connectionless 6 Pan Gas Steamer - $1,200 ENERGY STAR® or CEE/FSTC Qualified, ≥38% Cooking Eff / ≤2,083 Btu/</w:t>
      </w:r>
      <w:proofErr w:type="spellStart"/>
      <w:r w:rsidRPr="004D66D7">
        <w:rPr>
          <w:rFonts w:ascii="Arial" w:hAnsi="Arial" w:cs="Arial"/>
        </w:rPr>
        <w:t>hr</w:t>
      </w:r>
      <w:proofErr w:type="spellEnd"/>
      <w:r w:rsidRPr="004D66D7">
        <w:rPr>
          <w:rFonts w:ascii="Arial" w:hAnsi="Arial" w:cs="Arial"/>
        </w:rPr>
        <w:t>/pan Idle Rate</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Double Rack Oven - $2,000 FSTC Qualified, ≥50% Cooking Eff/ ≤3,500 Btu/</w:t>
      </w:r>
      <w:proofErr w:type="spellStart"/>
      <w:r w:rsidRPr="004D66D7">
        <w:rPr>
          <w:rFonts w:ascii="Arial" w:hAnsi="Arial" w:cs="Arial"/>
        </w:rPr>
        <w:t>hr</w:t>
      </w:r>
      <w:proofErr w:type="spellEnd"/>
      <w:r w:rsidRPr="004D66D7">
        <w:rPr>
          <w:rFonts w:ascii="Arial" w:hAnsi="Arial" w:cs="Arial"/>
        </w:rPr>
        <w:t>/Idle Rate D Rack</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 xml:space="preserve">ENERGY STAR® Gas Fryer - $600 </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Door Type Dishwasher Low Temp Gas3 - $650 ENERGY STAR®, ≤.6 kw Idle Rate/ ≤1.18 gallon/rack</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Multi-Tank Conveyor Low Temp Dishwasher</w:t>
      </w:r>
      <w:r w:rsidRPr="004D66D7">
        <w:rPr>
          <w:rFonts w:ascii="Arial" w:hAnsi="Arial" w:cs="Arial"/>
          <w:vertAlign w:val="superscript"/>
        </w:rPr>
        <w:t>3</w:t>
      </w:r>
      <w:r w:rsidRPr="004D66D7">
        <w:rPr>
          <w:rFonts w:ascii="Arial" w:hAnsi="Arial" w:cs="Arial"/>
        </w:rPr>
        <w:t xml:space="preserve"> - $1,000 Gas Main w/Electric Booster ENERGY STAR®, ≤2.0 kw Idle Rate; ≤ 0.50 gallons/rack</w:t>
      </w:r>
    </w:p>
    <w:p w:rsidR="008D1C9A" w:rsidRPr="004D66D7" w:rsidRDefault="008D1C9A" w:rsidP="008D1C9A">
      <w:pPr>
        <w:pStyle w:val="ListParagraph"/>
        <w:numPr>
          <w:ilvl w:val="0"/>
          <w:numId w:val="46"/>
        </w:numPr>
        <w:rPr>
          <w:rFonts w:ascii="Arial" w:hAnsi="Arial" w:cs="Arial"/>
        </w:rPr>
      </w:pPr>
      <w:r w:rsidRPr="004D66D7">
        <w:rPr>
          <w:rFonts w:ascii="Arial" w:hAnsi="Arial" w:cs="Arial"/>
        </w:rPr>
        <w:t>Recirculation Controls3 - $100 Continuous Operation DHW Pump, Pre-Approval required.</w:t>
      </w:r>
    </w:p>
    <w:p w:rsidR="008D1C9A" w:rsidRPr="008D1C9A" w:rsidRDefault="008D1C9A" w:rsidP="008D1C9A">
      <w:pPr>
        <w:spacing w:after="0" w:line="240" w:lineRule="auto"/>
      </w:pPr>
    </w:p>
    <w:p w:rsidR="008D1C9A" w:rsidRPr="004D66D7" w:rsidRDefault="008D1C9A" w:rsidP="008D1C9A">
      <w:pPr>
        <w:spacing w:after="0" w:line="240" w:lineRule="auto"/>
        <w:rPr>
          <w:sz w:val="20"/>
        </w:rPr>
      </w:pPr>
      <w:r w:rsidRPr="004D66D7">
        <w:rPr>
          <w:sz w:val="20"/>
          <w:vertAlign w:val="superscript"/>
        </w:rPr>
        <w:t>1</w:t>
      </w:r>
      <w:r w:rsidRPr="004D66D7">
        <w:rPr>
          <w:sz w:val="20"/>
        </w:rPr>
        <w:t xml:space="preserve"> This measure will only be allowed where the customer agrees to regular trap maintenance and replacement every</w:t>
      </w:r>
    </w:p>
    <w:p w:rsidR="008D1C9A" w:rsidRPr="004D66D7" w:rsidRDefault="008D1C9A" w:rsidP="008D1C9A">
      <w:pPr>
        <w:spacing w:after="0" w:line="240" w:lineRule="auto"/>
        <w:rPr>
          <w:sz w:val="20"/>
        </w:rPr>
      </w:pPr>
      <w:r w:rsidRPr="004D66D7">
        <w:rPr>
          <w:sz w:val="20"/>
        </w:rPr>
        <w:t xml:space="preserve">  </w:t>
      </w:r>
      <w:proofErr w:type="gramStart"/>
      <w:r w:rsidRPr="004D66D7">
        <w:rPr>
          <w:sz w:val="20"/>
        </w:rPr>
        <w:t>seven</w:t>
      </w:r>
      <w:proofErr w:type="gramEnd"/>
      <w:r w:rsidRPr="004D66D7">
        <w:rPr>
          <w:sz w:val="20"/>
        </w:rPr>
        <w:t xml:space="preserve"> (7) years.</w:t>
      </w:r>
    </w:p>
    <w:p w:rsidR="008D1C9A" w:rsidRPr="004D66D7" w:rsidRDefault="008D1C9A" w:rsidP="008D1C9A">
      <w:pPr>
        <w:spacing w:after="0" w:line="240" w:lineRule="auto"/>
        <w:rPr>
          <w:sz w:val="20"/>
        </w:rPr>
      </w:pPr>
      <w:r w:rsidRPr="004D66D7">
        <w:rPr>
          <w:sz w:val="20"/>
          <w:vertAlign w:val="superscript"/>
        </w:rPr>
        <w:t>2</w:t>
      </w:r>
      <w:r w:rsidRPr="004D66D7">
        <w:rPr>
          <w:sz w:val="20"/>
        </w:rPr>
        <w:t xml:space="preserve"> Minimum value of R-11 applies only where existing walls have no internal </w:t>
      </w:r>
    </w:p>
    <w:p w:rsidR="008D1C9A" w:rsidRPr="004D66D7" w:rsidRDefault="008D1C9A" w:rsidP="008D1C9A">
      <w:pPr>
        <w:spacing w:after="0" w:line="240" w:lineRule="auto"/>
        <w:rPr>
          <w:sz w:val="20"/>
        </w:rPr>
      </w:pPr>
      <w:r w:rsidRPr="004D66D7">
        <w:rPr>
          <w:sz w:val="20"/>
        </w:rPr>
        <w:t xml:space="preserve">  </w:t>
      </w:r>
      <w:proofErr w:type="gramStart"/>
      <w:r w:rsidRPr="004D66D7">
        <w:rPr>
          <w:sz w:val="20"/>
        </w:rPr>
        <w:t>insulation</w:t>
      </w:r>
      <w:proofErr w:type="gramEnd"/>
      <w:r w:rsidRPr="004D66D7">
        <w:rPr>
          <w:sz w:val="20"/>
        </w:rPr>
        <w:t xml:space="preserve"> cavities.</w:t>
      </w:r>
    </w:p>
    <w:p w:rsidR="008D1C9A" w:rsidRPr="004D66D7" w:rsidRDefault="008D1C9A" w:rsidP="008D1C9A">
      <w:pPr>
        <w:spacing w:after="0" w:line="240" w:lineRule="auto"/>
        <w:rPr>
          <w:sz w:val="20"/>
        </w:rPr>
      </w:pPr>
      <w:r w:rsidRPr="004D66D7">
        <w:rPr>
          <w:sz w:val="20"/>
          <w:vertAlign w:val="superscript"/>
        </w:rPr>
        <w:t>3</w:t>
      </w:r>
      <w:r w:rsidRPr="004D66D7">
        <w:rPr>
          <w:sz w:val="20"/>
        </w:rPr>
        <w:t xml:space="preserve"> Incentive eligibility dependent on use of gas fired domestic hot water </w:t>
      </w:r>
    </w:p>
    <w:p w:rsidR="008D1C9A" w:rsidRPr="004D66D7" w:rsidRDefault="008D1C9A" w:rsidP="008D1C9A">
      <w:pPr>
        <w:spacing w:after="0" w:line="240" w:lineRule="auto"/>
        <w:rPr>
          <w:sz w:val="20"/>
        </w:rPr>
      </w:pPr>
      <w:r w:rsidRPr="004D66D7">
        <w:rPr>
          <w:sz w:val="20"/>
        </w:rPr>
        <w:t xml:space="preserve">  </w:t>
      </w:r>
      <w:proofErr w:type="gramStart"/>
      <w:r w:rsidRPr="004D66D7">
        <w:rPr>
          <w:sz w:val="20"/>
        </w:rPr>
        <w:t>serving</w:t>
      </w:r>
      <w:proofErr w:type="gramEnd"/>
      <w:r w:rsidRPr="004D66D7">
        <w:rPr>
          <w:sz w:val="20"/>
        </w:rPr>
        <w:t xml:space="preserve"> the specified measure equipment or fixture.</w:t>
      </w:r>
    </w:p>
    <w:p w:rsidR="000B12E2" w:rsidRDefault="000B12E2" w:rsidP="0068556F">
      <w:pPr>
        <w:ind w:right="-7"/>
        <w:contextualSpacing/>
        <w:jc w:val="both"/>
      </w:pPr>
    </w:p>
    <w:p w:rsidR="00844F94" w:rsidRPr="0068556F" w:rsidRDefault="00525FE4" w:rsidP="0068556F">
      <w:pPr>
        <w:ind w:right="-7"/>
        <w:contextualSpacing/>
        <w:jc w:val="both"/>
      </w:pPr>
      <w:r w:rsidRPr="0068556F">
        <w:t>For the following tables please note</w:t>
      </w:r>
      <w:r w:rsidR="008D1381" w:rsidRPr="0068556F">
        <w:t xml:space="preserve"> </w:t>
      </w:r>
      <w:r w:rsidRPr="0068556F">
        <w:t xml:space="preserve">– levelized costs displayed include administrative costs.  </w:t>
      </w:r>
      <w:r w:rsidR="009C2DE3" w:rsidRPr="0068556F">
        <w:t>As mentioned previously t</w:t>
      </w:r>
      <w:r w:rsidRPr="0068556F">
        <w:t xml:space="preserve">he Company </w:t>
      </w:r>
      <w:r w:rsidR="009C2DE3" w:rsidRPr="0068556F">
        <w:t xml:space="preserve">will now </w:t>
      </w:r>
      <w:r w:rsidRPr="0068556F">
        <w:t xml:space="preserve">include the administrative costs at the </w:t>
      </w:r>
      <w:r w:rsidR="009C2DE3" w:rsidRPr="0068556F">
        <w:t>achievable</w:t>
      </w:r>
      <w:r w:rsidRPr="0068556F">
        <w:t xml:space="preserve"> level, </w:t>
      </w:r>
      <w:r w:rsidR="009C2DE3" w:rsidRPr="0068556F">
        <w:t>which</w:t>
      </w:r>
      <w:r w:rsidRPr="0068556F">
        <w:t xml:space="preserve"> are </w:t>
      </w:r>
      <w:r w:rsidR="009C2DE3" w:rsidRPr="0068556F">
        <w:t>used for</w:t>
      </w:r>
      <w:r w:rsidRPr="0068556F">
        <w:t xml:space="preserve"> programmatic planning in our annual report</w:t>
      </w:r>
      <w:r w:rsidR="009C2DE3" w:rsidRPr="0068556F">
        <w:t>ing</w:t>
      </w:r>
      <w:r w:rsidRPr="0068556F">
        <w:t xml:space="preserve">. Also, levelized costs are shown </w:t>
      </w:r>
      <w:r w:rsidR="009C2DE3" w:rsidRPr="0068556F">
        <w:t>differently for some measures depending on the Zone,</w:t>
      </w:r>
      <w:r w:rsidRPr="0068556F">
        <w:t xml:space="preserve"> since Cascade tracks therm savings dependent upon which of Washington’s three climate zones the measure is installed in.  The range below </w:t>
      </w:r>
      <w:r w:rsidR="009C2DE3" w:rsidRPr="0068556F">
        <w:t>is based on the 2014 Annual Conservation Incentive Program Report.</w:t>
      </w:r>
    </w:p>
    <w:p w:rsidR="00844F94" w:rsidRPr="0068556F" w:rsidRDefault="00844F94" w:rsidP="0068556F">
      <w:pPr>
        <w:widowControl/>
        <w:spacing w:after="0"/>
      </w:pPr>
    </w:p>
    <w:p w:rsidR="00525FE4" w:rsidRDefault="00525FE4" w:rsidP="0068556F">
      <w:pPr>
        <w:ind w:right="-7"/>
        <w:contextualSpacing/>
        <w:jc w:val="center"/>
        <w:rPr>
          <w:b/>
        </w:rPr>
      </w:pPr>
      <w:r w:rsidRPr="0068556F">
        <w:rPr>
          <w:b/>
        </w:rPr>
        <w:t xml:space="preserve">Table </w:t>
      </w:r>
      <w:r w:rsidR="00B0242A" w:rsidRPr="0068556F">
        <w:rPr>
          <w:b/>
        </w:rPr>
        <w:t>3</w:t>
      </w:r>
    </w:p>
    <w:p w:rsidR="00CA05C7" w:rsidRPr="0068556F" w:rsidRDefault="00CA05C7" w:rsidP="0068556F">
      <w:pPr>
        <w:ind w:right="-7"/>
        <w:contextualSpacing/>
        <w:jc w:val="center"/>
        <w:rPr>
          <w:b/>
        </w:rPr>
      </w:pPr>
      <w:r w:rsidRPr="00CA05C7">
        <w:rPr>
          <w:b/>
        </w:rPr>
        <w:t>Current Residential Program Offerings from Tariff 300</w:t>
      </w:r>
    </w:p>
    <w:tbl>
      <w:tblPr>
        <w:tblW w:w="10600" w:type="dxa"/>
        <w:jc w:val="center"/>
        <w:tblLook w:val="04A0" w:firstRow="1" w:lastRow="0" w:firstColumn="1" w:lastColumn="0" w:noHBand="0" w:noVBand="1"/>
      </w:tblPr>
      <w:tblGrid>
        <w:gridCol w:w="6034"/>
        <w:gridCol w:w="900"/>
        <w:gridCol w:w="1117"/>
        <w:gridCol w:w="1324"/>
        <w:gridCol w:w="1225"/>
      </w:tblGrid>
      <w:tr w:rsidR="00CA05C7" w:rsidRPr="0068556F" w:rsidTr="009F1697">
        <w:trPr>
          <w:cantSplit/>
          <w:trHeight w:val="804"/>
          <w:tblHeader/>
          <w:jc w:val="center"/>
        </w:trPr>
        <w:tc>
          <w:tcPr>
            <w:tcW w:w="6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05C7" w:rsidRPr="0068556F" w:rsidRDefault="00CA05C7" w:rsidP="009F1697">
            <w:pPr>
              <w:widowControl/>
              <w:spacing w:after="0"/>
              <w:jc w:val="center"/>
              <w:rPr>
                <w:b/>
                <w:bCs/>
                <w:sz w:val="20"/>
                <w:szCs w:val="20"/>
              </w:rPr>
            </w:pPr>
            <w:r w:rsidRPr="0068556F">
              <w:rPr>
                <w:b/>
                <w:bCs/>
                <w:sz w:val="20"/>
                <w:szCs w:val="20"/>
              </w:rPr>
              <w:t>MEASURE</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CA05C7" w:rsidRPr="0068556F" w:rsidRDefault="00CA05C7" w:rsidP="009F1697">
            <w:pPr>
              <w:widowControl/>
              <w:spacing w:after="0"/>
              <w:jc w:val="center"/>
              <w:rPr>
                <w:b/>
                <w:bCs/>
                <w:sz w:val="20"/>
                <w:szCs w:val="20"/>
              </w:rPr>
            </w:pPr>
            <w:r w:rsidRPr="0068556F">
              <w:rPr>
                <w:b/>
                <w:bCs/>
                <w:sz w:val="20"/>
                <w:szCs w:val="20"/>
              </w:rPr>
              <w:t>ZONE</w:t>
            </w:r>
          </w:p>
        </w:tc>
        <w:tc>
          <w:tcPr>
            <w:tcW w:w="1106" w:type="dxa"/>
            <w:tcBorders>
              <w:top w:val="single" w:sz="8" w:space="0" w:color="auto"/>
              <w:left w:val="nil"/>
              <w:bottom w:val="single" w:sz="8" w:space="0" w:color="auto"/>
              <w:right w:val="single" w:sz="8" w:space="0" w:color="auto"/>
            </w:tcBorders>
            <w:shd w:val="clear" w:color="auto" w:fill="auto"/>
            <w:vAlign w:val="center"/>
            <w:hideMark/>
          </w:tcPr>
          <w:p w:rsidR="00CA05C7" w:rsidRPr="0068556F" w:rsidRDefault="00CA05C7" w:rsidP="009F1697">
            <w:pPr>
              <w:widowControl/>
              <w:spacing w:after="0"/>
              <w:jc w:val="center"/>
              <w:rPr>
                <w:b/>
                <w:bCs/>
                <w:sz w:val="20"/>
                <w:szCs w:val="20"/>
              </w:rPr>
            </w:pPr>
            <w:r w:rsidRPr="0068556F">
              <w:rPr>
                <w:b/>
                <w:bCs/>
                <w:sz w:val="20"/>
                <w:szCs w:val="20"/>
              </w:rPr>
              <w:t>ANNUAL THERM SAVINGS</w:t>
            </w:r>
          </w:p>
        </w:tc>
        <w:tc>
          <w:tcPr>
            <w:tcW w:w="1324" w:type="dxa"/>
            <w:tcBorders>
              <w:top w:val="single" w:sz="8" w:space="0" w:color="auto"/>
              <w:left w:val="nil"/>
              <w:bottom w:val="single" w:sz="8" w:space="0" w:color="auto"/>
              <w:right w:val="single" w:sz="8" w:space="0" w:color="auto"/>
            </w:tcBorders>
            <w:shd w:val="clear" w:color="auto" w:fill="auto"/>
            <w:vAlign w:val="center"/>
            <w:hideMark/>
          </w:tcPr>
          <w:p w:rsidR="00CA05C7" w:rsidRPr="0068556F" w:rsidRDefault="00CA05C7" w:rsidP="009F1697">
            <w:pPr>
              <w:widowControl/>
              <w:spacing w:after="0"/>
              <w:jc w:val="center"/>
              <w:rPr>
                <w:b/>
                <w:bCs/>
                <w:sz w:val="20"/>
                <w:szCs w:val="20"/>
              </w:rPr>
            </w:pPr>
            <w:r w:rsidRPr="0068556F">
              <w:rPr>
                <w:b/>
                <w:bCs/>
                <w:sz w:val="20"/>
                <w:szCs w:val="20"/>
              </w:rPr>
              <w:t>PROGRAM REBATE</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rsidR="00CA05C7" w:rsidRPr="0068556F" w:rsidRDefault="00CA05C7" w:rsidP="009F1697">
            <w:pPr>
              <w:widowControl/>
              <w:spacing w:after="0"/>
              <w:jc w:val="center"/>
              <w:rPr>
                <w:b/>
                <w:bCs/>
                <w:sz w:val="20"/>
                <w:szCs w:val="20"/>
              </w:rPr>
            </w:pPr>
            <w:r w:rsidRPr="0068556F">
              <w:rPr>
                <w:b/>
                <w:bCs/>
                <w:sz w:val="20"/>
                <w:szCs w:val="20"/>
              </w:rPr>
              <w:t>UCT Levelized Cost/</w:t>
            </w:r>
            <w:proofErr w:type="spellStart"/>
            <w:r w:rsidRPr="0068556F">
              <w:rPr>
                <w:b/>
                <w:bCs/>
                <w:sz w:val="20"/>
                <w:szCs w:val="20"/>
              </w:rPr>
              <w:t>Thm</w:t>
            </w:r>
            <w:proofErr w:type="spellEnd"/>
          </w:p>
        </w:tc>
      </w:tr>
      <w:tr w:rsidR="00CA05C7" w:rsidRPr="0068556F" w:rsidTr="009F1697">
        <w:trPr>
          <w:trHeight w:val="300"/>
          <w:jc w:val="center"/>
        </w:trPr>
        <w:tc>
          <w:tcPr>
            <w:tcW w:w="10600" w:type="dxa"/>
            <w:gridSpan w:val="5"/>
            <w:tcBorders>
              <w:top w:val="single" w:sz="8" w:space="0" w:color="auto"/>
              <w:left w:val="single" w:sz="8" w:space="0" w:color="auto"/>
              <w:bottom w:val="single" w:sz="8" w:space="0" w:color="auto"/>
              <w:right w:val="nil"/>
            </w:tcBorders>
            <w:shd w:val="clear" w:color="auto" w:fill="auto"/>
            <w:noWrap/>
            <w:vAlign w:val="bottom"/>
            <w:hideMark/>
          </w:tcPr>
          <w:p w:rsidR="00CA05C7" w:rsidRPr="0068556F" w:rsidRDefault="00CA05C7" w:rsidP="009F1697">
            <w:pPr>
              <w:widowControl/>
              <w:spacing w:after="0"/>
              <w:jc w:val="right"/>
              <w:rPr>
                <w:sz w:val="20"/>
                <w:szCs w:val="20"/>
              </w:rPr>
            </w:pPr>
            <w:r w:rsidRPr="0068556F">
              <w:rPr>
                <w:sz w:val="20"/>
                <w:szCs w:val="20"/>
              </w:rPr>
              <w:t>*Blank "UC Levelized Cost/</w:t>
            </w:r>
            <w:proofErr w:type="spellStart"/>
            <w:r w:rsidRPr="0068556F">
              <w:rPr>
                <w:sz w:val="20"/>
                <w:szCs w:val="20"/>
              </w:rPr>
              <w:t>Thm</w:t>
            </w:r>
            <w:proofErr w:type="spellEnd"/>
            <w:r w:rsidRPr="0068556F">
              <w:rPr>
                <w:sz w:val="20"/>
                <w:szCs w:val="20"/>
              </w:rPr>
              <w:t>" cells indicate no measures were installed.</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 Certified Home (BOP 1) OLD,</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 Certified Home (BOP 1) OLD,</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200</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 Certified Home (BOP 1) OLD,</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$0.275</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rPr>
                <w:color w:val="000000"/>
                <w:sz w:val="22"/>
                <w:szCs w:val="22"/>
              </w:rPr>
            </w:pPr>
            <w:r w:rsidRPr="0068556F">
              <w:rPr>
                <w:color w:val="000000"/>
                <w:sz w:val="22"/>
                <w:szCs w:val="22"/>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rPr>
                <w:color w:val="000000"/>
                <w:sz w:val="22"/>
                <w:szCs w:val="22"/>
              </w:rPr>
            </w:pPr>
            <w:r w:rsidRPr="0068556F">
              <w:rPr>
                <w:color w:val="000000"/>
                <w:sz w:val="22"/>
                <w:szCs w:val="22"/>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color w:val="000000"/>
                <w:sz w:val="22"/>
                <w:szCs w:val="22"/>
              </w:rPr>
            </w:pPr>
            <w:r w:rsidRPr="0068556F">
              <w:rPr>
                <w:color w:val="000000"/>
                <w:sz w:val="22"/>
                <w:szCs w:val="22"/>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color w:val="000000"/>
                <w:sz w:val="22"/>
                <w:szCs w:val="22"/>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lastRenderedPageBreak/>
              <w:t>Energy * Certified Home (BOP 1) (Incentive Increase effective 09/02/2014),</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600.00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 Certified Home (BOP 1)  (Incentive Increase effective 09/02/2014),</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200</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600.00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 Certified Home (BOP 1)  (Incentive Increase effective 09/02/2014),</w:t>
            </w:r>
            <w:r w:rsidRPr="0068556F">
              <w:rPr>
                <w:sz w:val="20"/>
                <w:szCs w:val="20"/>
              </w:rPr>
              <w:br/>
              <w:t>HERS 75</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207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600.00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$0.289</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OLD,</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OLD,</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110</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OLD,</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$0.305</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(Incentive Increase effective 09/02/2014),</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(Incentive Increase effective 09/02/2014),</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110</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95% AFUE Gas </w:t>
            </w:r>
            <w:proofErr w:type="spellStart"/>
            <w:r w:rsidRPr="0068556F">
              <w:rPr>
                <w:sz w:val="20"/>
                <w:szCs w:val="20"/>
              </w:rPr>
              <w:t>Furn</w:t>
            </w:r>
            <w:proofErr w:type="spellEnd"/>
            <w:r w:rsidRPr="0068556F">
              <w:rPr>
                <w:sz w:val="20"/>
                <w:szCs w:val="20"/>
              </w:rPr>
              <w:t xml:space="preserve"> Upgrade E* (Incentive Increase effective 09/02/2014),</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$0.341</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Furnace &amp; PTCS Duct Sealing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122</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$0.395</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Furnace &amp; PTCS Duct Sealing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112</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$0.417</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Furnace &amp; PTCS Duct Sealing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143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$0.359</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AFUE New Gas Furnace (Existing)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81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$0.309</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AFUE New Gas Furnace (Existing)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90% AFUE New Gas Furnace (Existing) (Discontinued 09/02/2014),</w:t>
            </w:r>
            <w:r w:rsidRPr="0068556F">
              <w:rPr>
                <w:sz w:val="20"/>
                <w:szCs w:val="20"/>
              </w:rPr>
              <w:br/>
              <w:t>90%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99</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$0.282</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lastRenderedPageBreak/>
              <w:t>95% AFUE New Gas Furnace (New &amp; Existing),</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95% AFUE New Gas Furnace (New &amp; Existing),</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110</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95% AFUE New Gas Furnace (New &amp; Existing),</w:t>
            </w:r>
            <w:r w:rsidRPr="0068556F">
              <w:rPr>
                <w:sz w:val="20"/>
                <w:szCs w:val="20"/>
              </w:rPr>
              <w:br/>
              <w:t>95%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111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$0.341</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80% AFUE Hearth (Incentive decreased effective 09/02/2014),</w:t>
            </w:r>
            <w:r w:rsidRPr="0068556F">
              <w:rPr>
                <w:sz w:val="20"/>
                <w:szCs w:val="20"/>
              </w:rPr>
              <w:br/>
              <w:t>80%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$0.399</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80% AFUE Hearth (Incentive decreased effective 09/02/2014),</w:t>
            </w:r>
            <w:r w:rsidRPr="0068556F">
              <w:rPr>
                <w:sz w:val="20"/>
                <w:szCs w:val="20"/>
              </w:rPr>
              <w:br/>
              <w:t>80%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80% AFUE Hearth (Incentive decreased effective 09/02/2014),</w:t>
            </w:r>
            <w:r w:rsidRPr="0068556F">
              <w:rPr>
                <w:sz w:val="20"/>
                <w:szCs w:val="20"/>
              </w:rPr>
              <w:br/>
              <w:t>80% AFUE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OLD,</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$0.417</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OLD,</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$0.417</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OLD,</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200.00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$0.417</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(Incentive decreased effective 09/02/2014),</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$0.350</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(Incentive decreased effective 09/02/2014),</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$0.350</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70% FE Hearth (Incentive decreased effective 09/02/2014),</w:t>
            </w:r>
            <w:r w:rsidRPr="0068556F">
              <w:rPr>
                <w:sz w:val="20"/>
                <w:szCs w:val="20"/>
              </w:rPr>
              <w:br/>
              <w:t>70 % FE Rating</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$0.350</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High </w:t>
            </w:r>
            <w:r w:rsidR="00267304" w:rsidRPr="0068556F">
              <w:rPr>
                <w:sz w:val="20"/>
                <w:szCs w:val="20"/>
              </w:rPr>
              <w:t>Efficiency</w:t>
            </w:r>
            <w:r w:rsidRPr="0068556F">
              <w:rPr>
                <w:sz w:val="20"/>
                <w:szCs w:val="20"/>
              </w:rPr>
              <w:t xml:space="preserve"> Entryway Door,</w:t>
            </w:r>
            <w:r w:rsidRPr="0068556F">
              <w:rPr>
                <w:sz w:val="20"/>
                <w:szCs w:val="20"/>
              </w:rPr>
              <w:br/>
              <w:t>Door U-Factor &lt;0.21 ENERGY STAR Door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High </w:t>
            </w:r>
            <w:r w:rsidR="00267304" w:rsidRPr="0068556F">
              <w:rPr>
                <w:sz w:val="20"/>
                <w:szCs w:val="20"/>
              </w:rPr>
              <w:t>Efficiency</w:t>
            </w:r>
            <w:r w:rsidRPr="0068556F">
              <w:rPr>
                <w:sz w:val="20"/>
                <w:szCs w:val="20"/>
              </w:rPr>
              <w:t xml:space="preserve"> Entryway Door,</w:t>
            </w:r>
            <w:r w:rsidRPr="0068556F">
              <w:rPr>
                <w:sz w:val="20"/>
                <w:szCs w:val="20"/>
              </w:rPr>
              <w:br/>
              <w:t>Door U-Factor &lt;0.21 ENERGY STAR Door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xml:space="preserve">High </w:t>
            </w:r>
            <w:r w:rsidR="00267304" w:rsidRPr="0068556F">
              <w:rPr>
                <w:sz w:val="20"/>
                <w:szCs w:val="20"/>
              </w:rPr>
              <w:t>Efficiency</w:t>
            </w:r>
            <w:r w:rsidRPr="0068556F">
              <w:rPr>
                <w:sz w:val="20"/>
                <w:szCs w:val="20"/>
              </w:rPr>
              <w:t xml:space="preserve"> Entryway Door,</w:t>
            </w:r>
            <w:r w:rsidRPr="0068556F">
              <w:rPr>
                <w:sz w:val="20"/>
                <w:szCs w:val="20"/>
              </w:rPr>
              <w:br/>
              <w:t>Door U-Factor &lt;0.21 ENERGY STAR Door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$0.381</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Ceiling Insulation,</w:t>
            </w:r>
            <w:r w:rsidRPr="0068556F">
              <w:rPr>
                <w:sz w:val="20"/>
                <w:szCs w:val="20"/>
              </w:rPr>
              <w:br/>
              <w:t>Equal to or Greater than R-38</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0.062</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$0.339</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Ceiling Insulation,</w:t>
            </w:r>
            <w:r w:rsidRPr="0068556F">
              <w:rPr>
                <w:sz w:val="20"/>
                <w:szCs w:val="20"/>
              </w:rPr>
              <w:br/>
              <w:t>Equal to or Greater than R-38</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$0.360</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Ceiling Insulation,</w:t>
            </w:r>
            <w:r w:rsidRPr="0068556F">
              <w:rPr>
                <w:sz w:val="20"/>
                <w:szCs w:val="20"/>
              </w:rPr>
              <w:br/>
              <w:t>Equal to or Greater than R-38</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0.067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$0.321</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lastRenderedPageBreak/>
              <w:t>Floor Insulation OLD,</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$0.498</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Floor Insulation OLD,</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0.054</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$0.513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Floor Insulation OLD,</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0.059</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$0.478</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Floor Insulation (Incentive decreased effective 09/02/2014),</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$0.365</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Floor Insulation (Incentive decreased effective 09/02/2014),</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0.054</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$0.375</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Floor Insulation (Incentive decreased effective 09/02/2014),</w:t>
            </w:r>
            <w:r w:rsidRPr="0068556F">
              <w:rPr>
                <w:sz w:val="20"/>
                <w:szCs w:val="20"/>
              </w:rPr>
              <w:br/>
              <w:t>Equal to or Greater than R-30 or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0.059</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$0.352</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OLD,</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0.071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$0.379</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OLD,</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0.065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$0.405</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OLD,</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0.076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0.40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$0.360</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(Incentive decreased effective 09/02/2014),</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0.071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$0.344</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(Incentive decreased effective 09/02/2014),</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0.065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$0.366</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Wall Insulation  (Incentive decreased effective 09/02/2014),</w:t>
            </w:r>
            <w:r w:rsidRPr="0068556F">
              <w:rPr>
                <w:sz w:val="20"/>
                <w:szCs w:val="20"/>
              </w:rPr>
              <w:br/>
              <w:t>Equal to or Greater than R-11 to fill cavity</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0.076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0.35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$0.328</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OLD,</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$0.298</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OLD,</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468</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$0.300</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OLD,</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476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(Incentive decreased effective 09/02/2014),</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475</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825.00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$0.271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(Incentive decreased effective 09/02/2014),</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468</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825.00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$0.273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High Efficiency Combination Radiant Heat (Incentive decreased effective 09/02/2014),</w:t>
            </w:r>
            <w:r w:rsidRPr="0068556F">
              <w:rPr>
                <w:sz w:val="20"/>
                <w:szCs w:val="20"/>
              </w:rPr>
              <w:br/>
              <w:t>90% Eff Condensing Tankless Combo w/ WH</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476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825.00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lastRenderedPageBreak/>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.64 Water Heater (Discontinued 09/02/2014),</w:t>
            </w:r>
            <w:r w:rsidRPr="0068556F">
              <w:rPr>
                <w:sz w:val="20"/>
                <w:szCs w:val="20"/>
              </w:rPr>
              <w:br/>
              <w:t>0.64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.64 Water Heater (Discontinued 09/02/2014),</w:t>
            </w:r>
            <w:r w:rsidRPr="0068556F">
              <w:rPr>
                <w:sz w:val="20"/>
                <w:szCs w:val="20"/>
              </w:rPr>
              <w:br/>
              <w:t>0.64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$0.381</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.64 Water Heater (Discontinued 09/02/2014),</w:t>
            </w:r>
            <w:r w:rsidRPr="0068556F">
              <w:rPr>
                <w:sz w:val="20"/>
                <w:szCs w:val="20"/>
              </w:rPr>
              <w:br/>
              <w:t>0.64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26</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$0.381</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.67 Water Heater,</w:t>
            </w:r>
            <w:r w:rsidRPr="0068556F">
              <w:rPr>
                <w:sz w:val="20"/>
                <w:szCs w:val="20"/>
              </w:rPr>
              <w:br/>
              <w:t>0.67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$0.293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.67 Water Heater,</w:t>
            </w:r>
            <w:r w:rsidRPr="0068556F">
              <w:rPr>
                <w:sz w:val="20"/>
                <w:szCs w:val="20"/>
              </w:rPr>
              <w:br/>
              <w:t>0.67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.67 Water Heater,</w:t>
            </w:r>
            <w:r w:rsidRPr="0068556F">
              <w:rPr>
                <w:sz w:val="20"/>
                <w:szCs w:val="20"/>
              </w:rPr>
              <w:br/>
              <w:t>0.67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33</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45.00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$0.293</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.91 Tankless Hot Water Heater,</w:t>
            </w:r>
            <w:r w:rsidRPr="0068556F">
              <w:rPr>
                <w:sz w:val="20"/>
                <w:szCs w:val="20"/>
              </w:rPr>
              <w:br/>
              <w:t>0.91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54</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.91 Tankless Hot Water Heater,</w:t>
            </w:r>
            <w:r w:rsidRPr="0068556F">
              <w:rPr>
                <w:sz w:val="20"/>
                <w:szCs w:val="20"/>
              </w:rPr>
              <w:br/>
              <w:t>0.91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54</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.91 Tankless Hot Water Heater,</w:t>
            </w:r>
            <w:r w:rsidRPr="0068556F">
              <w:rPr>
                <w:sz w:val="20"/>
                <w:szCs w:val="20"/>
              </w:rPr>
              <w:br/>
              <w:t>0.91 Energy Factor or Greater</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54</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150.00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$0.383</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1),</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1),</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$0.323</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1),</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17</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10.00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$0.323</w:t>
            </w:r>
          </w:p>
        </w:tc>
      </w:tr>
      <w:tr w:rsidR="00CA05C7" w:rsidRPr="0068556F" w:rsidTr="009F1697">
        <w:trPr>
          <w:trHeight w:val="288"/>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 </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2),</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1</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16.00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$0.314</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2),</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2</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16.00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$0.314</w:t>
            </w:r>
          </w:p>
        </w:tc>
      </w:tr>
      <w:tr w:rsidR="00CA05C7" w:rsidRPr="0068556F" w:rsidTr="009F1697">
        <w:trPr>
          <w:trHeight w:val="540"/>
          <w:jc w:val="center"/>
        </w:trPr>
        <w:tc>
          <w:tcPr>
            <w:tcW w:w="6045" w:type="dxa"/>
            <w:tcBorders>
              <w:top w:val="nil"/>
              <w:left w:val="single" w:sz="8" w:space="0" w:color="auto"/>
              <w:bottom w:val="nil"/>
              <w:right w:val="nil"/>
            </w:tcBorders>
            <w:shd w:val="clear" w:color="auto" w:fill="auto"/>
            <w:vAlign w:val="bottom"/>
            <w:hideMark/>
          </w:tcPr>
          <w:p w:rsidR="00CA05C7" w:rsidRPr="0068556F" w:rsidRDefault="00CA05C7" w:rsidP="009F1697">
            <w:pPr>
              <w:widowControl/>
              <w:spacing w:after="0"/>
              <w:jc w:val="right"/>
              <w:rPr>
                <w:sz w:val="20"/>
                <w:szCs w:val="20"/>
              </w:rPr>
            </w:pPr>
            <w:r w:rsidRPr="0068556F">
              <w:rPr>
                <w:sz w:val="20"/>
                <w:szCs w:val="20"/>
              </w:rPr>
              <w:t>Energy Saver Kit (Kit 2),</w:t>
            </w:r>
            <w:r w:rsidRPr="0068556F">
              <w:rPr>
                <w:sz w:val="20"/>
                <w:szCs w:val="20"/>
              </w:rPr>
              <w:br/>
              <w:t>Low Flow Showerhead plus Aerators</w:t>
            </w:r>
          </w:p>
        </w:tc>
        <w:tc>
          <w:tcPr>
            <w:tcW w:w="900"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w:t>
            </w:r>
          </w:p>
        </w:tc>
        <w:tc>
          <w:tcPr>
            <w:tcW w:w="1106" w:type="dxa"/>
            <w:tcBorders>
              <w:top w:val="nil"/>
              <w:left w:val="single" w:sz="8" w:space="0" w:color="auto"/>
              <w:bottom w:val="nil"/>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31</w:t>
            </w:r>
          </w:p>
        </w:tc>
        <w:tc>
          <w:tcPr>
            <w:tcW w:w="1324"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xml:space="preserve"> $        16.00 </w:t>
            </w:r>
          </w:p>
        </w:tc>
        <w:tc>
          <w:tcPr>
            <w:tcW w:w="1225" w:type="dxa"/>
            <w:tcBorders>
              <w:top w:val="nil"/>
              <w:left w:val="nil"/>
              <w:bottom w:val="nil"/>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$0.314</w:t>
            </w:r>
          </w:p>
        </w:tc>
      </w:tr>
      <w:tr w:rsidR="00CA05C7" w:rsidRPr="0068556F" w:rsidTr="009F1697">
        <w:trPr>
          <w:trHeight w:val="300"/>
          <w:jc w:val="center"/>
        </w:trPr>
        <w:tc>
          <w:tcPr>
            <w:tcW w:w="6045" w:type="dxa"/>
            <w:tcBorders>
              <w:top w:val="nil"/>
              <w:left w:val="single" w:sz="8" w:space="0" w:color="auto"/>
              <w:bottom w:val="single" w:sz="4" w:space="0" w:color="auto"/>
              <w:right w:val="nil"/>
            </w:tcBorders>
            <w:shd w:val="clear" w:color="auto" w:fill="auto"/>
            <w:vAlign w:val="bottom"/>
            <w:hideMark/>
          </w:tcPr>
          <w:p w:rsidR="00CA05C7" w:rsidRPr="0068556F" w:rsidRDefault="00CA05C7" w:rsidP="009F1697">
            <w:pPr>
              <w:widowControl/>
              <w:spacing w:after="0"/>
              <w:rPr>
                <w:sz w:val="20"/>
                <w:szCs w:val="20"/>
              </w:rPr>
            </w:pPr>
            <w:r w:rsidRPr="0068556F">
              <w:rPr>
                <w:sz w:val="20"/>
                <w:szCs w:val="20"/>
              </w:rPr>
              <w:t> </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106" w:type="dxa"/>
            <w:tcBorders>
              <w:top w:val="nil"/>
              <w:left w:val="single" w:sz="8" w:space="0" w:color="auto"/>
              <w:bottom w:val="single" w:sz="8" w:space="0" w:color="auto"/>
              <w:right w:val="single" w:sz="8" w:space="0" w:color="auto"/>
            </w:tcBorders>
            <w:shd w:val="clear" w:color="auto" w:fill="auto"/>
            <w:noWrap/>
            <w:vAlign w:val="bottom"/>
            <w:hideMark/>
          </w:tcPr>
          <w:p w:rsidR="00CA05C7" w:rsidRPr="0068556F" w:rsidRDefault="00CA05C7" w:rsidP="009F1697">
            <w:pPr>
              <w:widowControl/>
              <w:spacing w:after="0"/>
              <w:jc w:val="center"/>
              <w:rPr>
                <w:sz w:val="20"/>
                <w:szCs w:val="20"/>
              </w:rPr>
            </w:pPr>
            <w:r w:rsidRPr="0068556F">
              <w:rPr>
                <w:sz w:val="20"/>
                <w:szCs w:val="20"/>
              </w:rPr>
              <w:t> </w:t>
            </w:r>
          </w:p>
        </w:tc>
        <w:tc>
          <w:tcPr>
            <w:tcW w:w="1324" w:type="dxa"/>
            <w:tcBorders>
              <w:top w:val="nil"/>
              <w:left w:val="nil"/>
              <w:bottom w:val="single" w:sz="8" w:space="0" w:color="auto"/>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r w:rsidRPr="0068556F">
              <w:rPr>
                <w:sz w:val="20"/>
                <w:szCs w:val="20"/>
              </w:rPr>
              <w:t> </w:t>
            </w:r>
          </w:p>
        </w:tc>
        <w:tc>
          <w:tcPr>
            <w:tcW w:w="1225" w:type="dxa"/>
            <w:tcBorders>
              <w:top w:val="nil"/>
              <w:left w:val="nil"/>
              <w:bottom w:val="single" w:sz="8" w:space="0" w:color="auto"/>
              <w:right w:val="single" w:sz="8" w:space="0" w:color="auto"/>
            </w:tcBorders>
            <w:shd w:val="clear" w:color="auto" w:fill="auto"/>
            <w:noWrap/>
            <w:vAlign w:val="bottom"/>
            <w:hideMark/>
          </w:tcPr>
          <w:p w:rsidR="00CA05C7" w:rsidRPr="0068556F" w:rsidRDefault="00CA05C7" w:rsidP="009F1697">
            <w:pPr>
              <w:widowControl/>
              <w:spacing w:after="0"/>
              <w:rPr>
                <w:sz w:val="20"/>
                <w:szCs w:val="20"/>
              </w:rPr>
            </w:pPr>
          </w:p>
        </w:tc>
      </w:tr>
      <w:tr w:rsidR="00CA05C7" w:rsidRPr="0068556F" w:rsidTr="009F1697">
        <w:trPr>
          <w:trHeight w:val="300"/>
          <w:jc w:val="center"/>
        </w:trPr>
        <w:tc>
          <w:tcPr>
            <w:tcW w:w="6045" w:type="dxa"/>
            <w:tcBorders>
              <w:top w:val="single" w:sz="8" w:space="0" w:color="auto"/>
              <w:left w:val="single" w:sz="8" w:space="0" w:color="auto"/>
              <w:bottom w:val="single" w:sz="8" w:space="0" w:color="auto"/>
              <w:right w:val="nil"/>
            </w:tcBorders>
            <w:shd w:val="clear" w:color="auto" w:fill="auto"/>
            <w:vAlign w:val="bottom"/>
            <w:hideMark/>
          </w:tcPr>
          <w:p w:rsidR="00CA05C7" w:rsidRPr="0068556F" w:rsidRDefault="00CA05C7" w:rsidP="009F1697">
            <w:pPr>
              <w:widowControl/>
              <w:spacing w:after="0"/>
              <w:jc w:val="center"/>
              <w:rPr>
                <w:b/>
                <w:bCs/>
                <w:sz w:val="20"/>
                <w:szCs w:val="20"/>
              </w:rPr>
            </w:pPr>
            <w:r w:rsidRPr="0068556F">
              <w:rPr>
                <w:b/>
                <w:bCs/>
                <w:sz w:val="20"/>
                <w:szCs w:val="20"/>
              </w:rPr>
              <w:t>TOTAL PROGRAM</w:t>
            </w:r>
          </w:p>
        </w:tc>
        <w:tc>
          <w:tcPr>
            <w:tcW w:w="900" w:type="dxa"/>
            <w:tcBorders>
              <w:top w:val="nil"/>
              <w:left w:val="single" w:sz="4" w:space="0" w:color="auto"/>
              <w:bottom w:val="single" w:sz="8" w:space="0" w:color="auto"/>
              <w:right w:val="nil"/>
            </w:tcBorders>
            <w:shd w:val="clear" w:color="auto" w:fill="auto"/>
            <w:noWrap/>
            <w:vAlign w:val="bottom"/>
            <w:hideMark/>
          </w:tcPr>
          <w:p w:rsidR="00CA05C7" w:rsidRPr="0068556F" w:rsidRDefault="00CA05C7" w:rsidP="009F1697">
            <w:pPr>
              <w:widowControl/>
              <w:spacing w:after="0"/>
              <w:jc w:val="center"/>
              <w:rPr>
                <w:b/>
                <w:bCs/>
                <w:sz w:val="20"/>
                <w:szCs w:val="20"/>
              </w:rPr>
            </w:pPr>
            <w:r w:rsidRPr="0068556F">
              <w:rPr>
                <w:b/>
                <w:bCs/>
                <w:sz w:val="20"/>
                <w:szCs w:val="20"/>
              </w:rPr>
              <w:t> </w:t>
            </w:r>
          </w:p>
        </w:tc>
        <w:tc>
          <w:tcPr>
            <w:tcW w:w="1106" w:type="dxa"/>
            <w:tcBorders>
              <w:top w:val="nil"/>
              <w:left w:val="single" w:sz="4" w:space="0" w:color="auto"/>
              <w:bottom w:val="single" w:sz="8" w:space="0" w:color="auto"/>
              <w:right w:val="nil"/>
            </w:tcBorders>
            <w:shd w:val="clear" w:color="auto" w:fill="auto"/>
            <w:noWrap/>
            <w:vAlign w:val="bottom"/>
            <w:hideMark/>
          </w:tcPr>
          <w:p w:rsidR="00CA05C7" w:rsidRPr="0068556F" w:rsidRDefault="00CA05C7" w:rsidP="009F1697">
            <w:pPr>
              <w:widowControl/>
              <w:spacing w:after="0"/>
              <w:jc w:val="center"/>
              <w:rPr>
                <w:b/>
                <w:bCs/>
                <w:sz w:val="20"/>
                <w:szCs w:val="20"/>
              </w:rPr>
            </w:pPr>
            <w:r w:rsidRPr="0068556F">
              <w:rPr>
                <w:b/>
                <w:bCs/>
                <w:sz w:val="20"/>
                <w:szCs w:val="20"/>
              </w:rPr>
              <w:t> </w:t>
            </w:r>
          </w:p>
        </w:tc>
        <w:tc>
          <w:tcPr>
            <w:tcW w:w="1324" w:type="dxa"/>
            <w:tcBorders>
              <w:top w:val="nil"/>
              <w:left w:val="nil"/>
              <w:bottom w:val="single" w:sz="8" w:space="0" w:color="auto"/>
              <w:right w:val="single" w:sz="4" w:space="0" w:color="auto"/>
            </w:tcBorders>
            <w:shd w:val="clear" w:color="auto" w:fill="auto"/>
            <w:noWrap/>
            <w:vAlign w:val="bottom"/>
            <w:hideMark/>
          </w:tcPr>
          <w:p w:rsidR="00CA05C7" w:rsidRPr="0068556F" w:rsidRDefault="00CA05C7" w:rsidP="009F1697">
            <w:pPr>
              <w:widowControl/>
              <w:spacing w:after="0"/>
              <w:rPr>
                <w:b/>
                <w:bCs/>
                <w:sz w:val="20"/>
                <w:szCs w:val="20"/>
              </w:rPr>
            </w:pPr>
            <w:r w:rsidRPr="0068556F">
              <w:rPr>
                <w:b/>
                <w:bCs/>
                <w:sz w:val="20"/>
                <w:szCs w:val="20"/>
              </w:rPr>
              <w:t> </w:t>
            </w:r>
          </w:p>
        </w:tc>
        <w:tc>
          <w:tcPr>
            <w:tcW w:w="1225" w:type="dxa"/>
            <w:tcBorders>
              <w:top w:val="nil"/>
              <w:left w:val="single" w:sz="8" w:space="0" w:color="auto"/>
              <w:bottom w:val="single" w:sz="8" w:space="0" w:color="auto"/>
              <w:right w:val="single" w:sz="8" w:space="0" w:color="auto"/>
            </w:tcBorders>
            <w:shd w:val="clear" w:color="auto" w:fill="auto"/>
            <w:noWrap/>
            <w:vAlign w:val="bottom"/>
            <w:hideMark/>
          </w:tcPr>
          <w:p w:rsidR="00CA05C7" w:rsidRPr="0068556F" w:rsidRDefault="00CA05C7" w:rsidP="009F1697">
            <w:pPr>
              <w:widowControl/>
              <w:spacing w:after="0"/>
              <w:rPr>
                <w:b/>
                <w:bCs/>
                <w:sz w:val="20"/>
                <w:szCs w:val="20"/>
              </w:rPr>
            </w:pPr>
            <w:r w:rsidRPr="0068556F">
              <w:rPr>
                <w:b/>
                <w:bCs/>
                <w:sz w:val="20"/>
                <w:szCs w:val="20"/>
              </w:rPr>
              <w:t>$0.349</w:t>
            </w:r>
          </w:p>
        </w:tc>
      </w:tr>
    </w:tbl>
    <w:p w:rsidR="00B829CC" w:rsidRPr="0068556F" w:rsidRDefault="00B829CC" w:rsidP="0068556F">
      <w:pPr>
        <w:widowControl/>
        <w:spacing w:after="0"/>
      </w:pPr>
    </w:p>
    <w:p w:rsidR="00525FE4" w:rsidRPr="0068556F" w:rsidRDefault="00525FE4" w:rsidP="0068556F">
      <w:pPr>
        <w:spacing w:after="0"/>
        <w:ind w:right="-7"/>
        <w:contextualSpacing/>
        <w:jc w:val="center"/>
        <w:rPr>
          <w:b/>
        </w:rPr>
      </w:pPr>
      <w:r w:rsidRPr="0068556F">
        <w:rPr>
          <w:b/>
        </w:rPr>
        <w:t xml:space="preserve">Table </w:t>
      </w:r>
      <w:r w:rsidR="00B0242A" w:rsidRPr="0068556F">
        <w:rPr>
          <w:b/>
        </w:rPr>
        <w:t>4</w:t>
      </w:r>
    </w:p>
    <w:p w:rsidR="00525FE4" w:rsidRPr="0068556F" w:rsidRDefault="00525FE4" w:rsidP="0068556F">
      <w:pPr>
        <w:spacing w:after="0"/>
        <w:ind w:right="-7"/>
        <w:contextualSpacing/>
        <w:jc w:val="center"/>
      </w:pPr>
      <w:r w:rsidRPr="0068556F">
        <w:t xml:space="preserve">Current Commercial </w:t>
      </w:r>
      <w:r w:rsidR="008528E6" w:rsidRPr="0068556F">
        <w:t xml:space="preserve">– Industrial </w:t>
      </w:r>
      <w:r w:rsidRPr="0068556F">
        <w:t>Program Offerings from Tariff 302</w:t>
      </w:r>
    </w:p>
    <w:tbl>
      <w:tblPr>
        <w:tblW w:w="9780" w:type="dxa"/>
        <w:jc w:val="center"/>
        <w:tblLook w:val="04A0" w:firstRow="1" w:lastRow="0" w:firstColumn="1" w:lastColumn="0" w:noHBand="0" w:noVBand="1"/>
      </w:tblPr>
      <w:tblGrid>
        <w:gridCol w:w="4443"/>
        <w:gridCol w:w="1599"/>
        <w:gridCol w:w="1561"/>
        <w:gridCol w:w="1060"/>
        <w:gridCol w:w="1117"/>
      </w:tblGrid>
      <w:tr w:rsidR="00CF330C" w:rsidRPr="0068556F" w:rsidTr="00CA05C7">
        <w:trPr>
          <w:cantSplit/>
          <w:trHeight w:val="288"/>
          <w:tblHeader/>
          <w:jc w:val="center"/>
        </w:trPr>
        <w:tc>
          <w:tcPr>
            <w:tcW w:w="444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CF330C" w:rsidRPr="0068556F" w:rsidRDefault="00CF330C" w:rsidP="0068556F">
            <w:pPr>
              <w:widowControl/>
              <w:spacing w:after="0"/>
              <w:jc w:val="center"/>
              <w:rPr>
                <w:b/>
                <w:bCs/>
                <w:sz w:val="18"/>
                <w:szCs w:val="18"/>
              </w:rPr>
            </w:pPr>
            <w:r w:rsidRPr="008713FB">
              <w:rPr>
                <w:b/>
                <w:bCs/>
                <w:sz w:val="20"/>
                <w:szCs w:val="18"/>
              </w:rPr>
              <w:t>Prescriptive Commercial Measures</w:t>
            </w:r>
          </w:p>
        </w:tc>
        <w:tc>
          <w:tcPr>
            <w:tcW w:w="1599" w:type="dxa"/>
            <w:tcBorders>
              <w:top w:val="single" w:sz="8" w:space="0" w:color="auto"/>
              <w:left w:val="nil"/>
              <w:bottom w:val="nil"/>
              <w:right w:val="single" w:sz="8" w:space="0" w:color="auto"/>
            </w:tcBorders>
            <w:shd w:val="clear" w:color="000000" w:fill="FFFFFF"/>
            <w:noWrap/>
            <w:vAlign w:val="bottom"/>
            <w:hideMark/>
          </w:tcPr>
          <w:p w:rsidR="00CF330C" w:rsidRPr="0068556F" w:rsidRDefault="00CF330C" w:rsidP="0068556F">
            <w:pPr>
              <w:widowControl/>
              <w:spacing w:after="0"/>
              <w:jc w:val="center"/>
              <w:rPr>
                <w:b/>
                <w:bCs/>
                <w:sz w:val="18"/>
                <w:szCs w:val="18"/>
              </w:rPr>
            </w:pPr>
            <w:r w:rsidRPr="0068556F">
              <w:rPr>
                <w:b/>
                <w:bCs/>
                <w:sz w:val="18"/>
                <w:szCs w:val="18"/>
              </w:rPr>
              <w:t>PROGRAM</w:t>
            </w:r>
            <w:r w:rsidR="00CA05C7">
              <w:rPr>
                <w:b/>
                <w:bCs/>
                <w:sz w:val="18"/>
                <w:szCs w:val="18"/>
              </w:rPr>
              <w:t xml:space="preserve"> REBATE</w:t>
            </w:r>
          </w:p>
        </w:tc>
        <w:tc>
          <w:tcPr>
            <w:tcW w:w="1561" w:type="dxa"/>
            <w:tcBorders>
              <w:top w:val="single" w:sz="8" w:space="0" w:color="auto"/>
              <w:left w:val="nil"/>
              <w:bottom w:val="nil"/>
              <w:right w:val="nil"/>
            </w:tcBorders>
            <w:shd w:val="clear" w:color="000000" w:fill="FFFFFF"/>
            <w:noWrap/>
            <w:vAlign w:val="bottom"/>
            <w:hideMark/>
          </w:tcPr>
          <w:p w:rsidR="00CF330C" w:rsidRPr="0068556F" w:rsidRDefault="00CF330C" w:rsidP="00CA05C7">
            <w:pPr>
              <w:widowControl/>
              <w:spacing w:after="0"/>
              <w:jc w:val="center"/>
              <w:rPr>
                <w:b/>
                <w:bCs/>
                <w:sz w:val="18"/>
                <w:szCs w:val="18"/>
              </w:rPr>
            </w:pPr>
            <w:r w:rsidRPr="0068556F">
              <w:rPr>
                <w:b/>
                <w:bCs/>
                <w:sz w:val="18"/>
                <w:szCs w:val="18"/>
              </w:rPr>
              <w:t>ANNUAL THERM</w:t>
            </w:r>
            <w:r w:rsidR="00CA05C7">
              <w:rPr>
                <w:b/>
                <w:bCs/>
                <w:sz w:val="18"/>
                <w:szCs w:val="18"/>
              </w:rPr>
              <w:t xml:space="preserve"> SAVINGS/ UNIT</w:t>
            </w:r>
          </w:p>
        </w:tc>
        <w:tc>
          <w:tcPr>
            <w:tcW w:w="1060"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CF330C" w:rsidRPr="0068556F" w:rsidRDefault="00CF330C" w:rsidP="0068556F">
            <w:pPr>
              <w:widowControl/>
              <w:spacing w:after="0"/>
              <w:jc w:val="center"/>
              <w:rPr>
                <w:b/>
                <w:bCs/>
                <w:sz w:val="18"/>
                <w:szCs w:val="18"/>
              </w:rPr>
            </w:pPr>
            <w:r w:rsidRPr="0068556F">
              <w:rPr>
                <w:b/>
                <w:bCs/>
                <w:sz w:val="18"/>
                <w:szCs w:val="18"/>
              </w:rPr>
              <w:t>UNITS</w:t>
            </w:r>
          </w:p>
        </w:tc>
        <w:tc>
          <w:tcPr>
            <w:tcW w:w="1117"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CF330C" w:rsidRPr="0068556F" w:rsidRDefault="00CF330C" w:rsidP="0068556F">
            <w:pPr>
              <w:widowControl/>
              <w:spacing w:after="0"/>
              <w:jc w:val="center"/>
              <w:rPr>
                <w:b/>
                <w:bCs/>
                <w:sz w:val="18"/>
                <w:szCs w:val="18"/>
              </w:rPr>
            </w:pPr>
            <w:r w:rsidRPr="0068556F">
              <w:rPr>
                <w:b/>
                <w:bCs/>
                <w:sz w:val="18"/>
                <w:szCs w:val="18"/>
              </w:rPr>
              <w:t>UC W/ DELIVERY</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lastRenderedPageBreak/>
              <w:t>HVAC Unit Heater, High-Eff Non-Condensing with Electronic Ignition , Minimum 86% AFUE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0.61</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HVAC Unit Heater, High Efficiency Condensing , Minimum 92% AFUE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$3.00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1.10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Warm Air Furnace , High Efficiency Condensing Furnace, Minimum 91% AFUE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$3.00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1.10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$0.426</w:t>
            </w:r>
          </w:p>
        </w:tc>
      </w:tr>
      <w:tr w:rsidR="00CF330C" w:rsidRPr="0068556F" w:rsidTr="00CA05C7">
        <w:trPr>
          <w:trHeight w:val="28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Radiant Heating, Direct Fired Radiant Heating, None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4.33</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$0.328</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Insulation-Attic , Attic Insulation (Tier 1 - Z1 &amp;Z3), Minimum R-30</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$0.227</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Insulation-Attic , Attic Insulation (Tier 1- Z2), Minimum R-30</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0.22</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Insulation-Attic , Attic Insulation (Tier 2 - Z1 &amp;Z3), Minimum R-45</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$0.65</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0.41</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$0.247</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Insulation-Attic , Attic Insulation (Tier 2 - Z2), Minimum R-45</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$0.65</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0.23</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Insulation-Roof , Roof Insulation (Tier 1 - Z1 &amp; Z3), Minimum R-21</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$0.60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0.45</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$0.232</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Insulation-Roof , Roof Insulation (Tier 1 Z2), Minimum R-30</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$0.60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0.25</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Insulation-Roof , Roof Insulation (Tier 2 - Z1 &amp; Z3), Minimum R-21</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$0.80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0.46</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$0.256</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Insulation-Roof , Roof Insulation (Tier 2- Z2), Minimum R-30</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$0.80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0.25</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Insulation-Wall , Wall Insulation (Tier 1- Z1 &amp; Z3), Minimum R-11</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$0.30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0.22</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$0.234</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Insulation-Wall , Wall Insulation (Tier 1- Z2), Minimum R-19</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$0.30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0.12</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Insulation-Wall , Wall Insulation (Tier 2- Z1 &amp; Z3), Minimum R-11</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0.24</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$0.250</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Insulation-Wall , Wall Insulation (Tier 2- Z2), Minimum R-19</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$0.40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0.14</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Domestic Hot Water Tanks, Condensing Tank, Minimum 91% AFUE or 91% Thermal Efficiency</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0.79</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$0.524</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Boiler Vent Damper, Boiler Vent Damper, Minimum 1,000 kBtu input</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$1,000.00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270.00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$0.678</w:t>
            </w:r>
          </w:p>
        </w:tc>
      </w:tr>
      <w:tr w:rsidR="00CF330C" w:rsidRPr="0068556F" w:rsidTr="00CA05C7">
        <w:trPr>
          <w:trHeight w:val="28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Gas Fryer, </w:t>
            </w:r>
            <w:r w:rsidR="009C2DE3" w:rsidRPr="0068556F">
              <w:rPr>
                <w:sz w:val="18"/>
                <w:szCs w:val="18"/>
              </w:rPr>
              <w:t>ENERGY STAR</w:t>
            </w:r>
            <w:r w:rsidRPr="0068556F">
              <w:rPr>
                <w:sz w:val="18"/>
                <w:szCs w:val="18"/>
              </w:rPr>
              <w:t>, None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548.00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$0.552</w:t>
            </w:r>
          </w:p>
        </w:tc>
      </w:tr>
      <w:tr w:rsidR="00CF330C" w:rsidRPr="0068556F" w:rsidTr="00CA05C7">
        <w:trPr>
          <w:trHeight w:val="28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Clothes Washer, Commercial Gas Washer, 1.8 MEF</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$180.00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90.00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1056"/>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Steam Trap , Steam Traps Line Size &lt;2", Minimum 300 </w:t>
            </w:r>
            <w:proofErr w:type="spellStart"/>
            <w:r w:rsidRPr="0068556F">
              <w:rPr>
                <w:sz w:val="18"/>
                <w:szCs w:val="18"/>
              </w:rPr>
              <w:t>kBtuh</w:t>
            </w:r>
            <w:proofErr w:type="spellEnd"/>
            <w:r w:rsidRPr="0068556F">
              <w:rPr>
                <w:sz w:val="18"/>
                <w:szCs w:val="18"/>
              </w:rPr>
              <w:t xml:space="preserve"> system size, steam pressures operating at 7 psig or greater, steam trap line size &lt; 2", Min 25 psig Trap Design Pressure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$80.00</w:t>
            </w:r>
          </w:p>
        </w:tc>
        <w:tc>
          <w:tcPr>
            <w:tcW w:w="1561" w:type="dxa"/>
            <w:tcBorders>
              <w:top w:val="nil"/>
              <w:left w:val="nil"/>
              <w:bottom w:val="nil"/>
              <w:right w:val="single" w:sz="4" w:space="0" w:color="auto"/>
            </w:tcBorders>
            <w:shd w:val="clear" w:color="000000" w:fill="FFFFFF"/>
            <w:noWrap/>
            <w:vAlign w:val="center"/>
            <w:hideMark/>
          </w:tcPr>
          <w:p w:rsidR="00CF330C" w:rsidRPr="0068556F" w:rsidRDefault="00CF330C" w:rsidP="0068556F">
            <w:pPr>
              <w:widowControl/>
              <w:spacing w:after="0"/>
              <w:jc w:val="center"/>
              <w:rPr>
                <w:sz w:val="18"/>
                <w:szCs w:val="18"/>
              </w:rPr>
            </w:pPr>
            <w:r w:rsidRPr="0068556F">
              <w:rPr>
                <w:sz w:val="18"/>
                <w:szCs w:val="18"/>
              </w:rPr>
              <w:t>136.90</w:t>
            </w:r>
          </w:p>
        </w:tc>
        <w:tc>
          <w:tcPr>
            <w:tcW w:w="1060" w:type="dxa"/>
            <w:tcBorders>
              <w:top w:val="nil"/>
              <w:left w:val="nil"/>
              <w:bottom w:val="nil"/>
              <w:right w:val="single" w:sz="4" w:space="0" w:color="auto"/>
            </w:tcBorders>
            <w:shd w:val="clear" w:color="000000" w:fill="FFFFFF"/>
            <w:noWrap/>
            <w:vAlign w:val="center"/>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$0.533</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Boiler, High Efficiency Condensing Boiler, Min 90% Thermal Eff &amp; 300 kBtu input</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1.50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$0.393</w:t>
            </w:r>
          </w:p>
        </w:tc>
      </w:tr>
      <w:tr w:rsidR="00CF330C" w:rsidRPr="0068556F" w:rsidTr="00CA05C7">
        <w:trPr>
          <w:trHeight w:val="28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DHW Tankless Water Heater, </w:t>
            </w:r>
            <w:r w:rsidR="009C2DE3" w:rsidRPr="0068556F">
              <w:rPr>
                <w:sz w:val="18"/>
                <w:szCs w:val="18"/>
              </w:rPr>
              <w:t>ENERGY STAR</w:t>
            </w:r>
            <w:r w:rsidRPr="0068556F">
              <w:rPr>
                <w:sz w:val="18"/>
                <w:szCs w:val="18"/>
              </w:rPr>
              <w:t>, .82 EF</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35.00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proofErr w:type="spellStart"/>
            <w:r w:rsidRPr="0068556F">
              <w:rPr>
                <w:sz w:val="18"/>
                <w:szCs w:val="18"/>
              </w:rPr>
              <w:t>gpm</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$0.345</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lastRenderedPageBreak/>
              <w:t xml:space="preserve">Gas Convection Oven, </w:t>
            </w:r>
            <w:r w:rsidR="009C2DE3" w:rsidRPr="0068556F">
              <w:rPr>
                <w:sz w:val="18"/>
                <w:szCs w:val="18"/>
              </w:rPr>
              <w:t>ENERGY STAR</w:t>
            </w:r>
            <w:r w:rsidRPr="0068556F">
              <w:rPr>
                <w:sz w:val="18"/>
                <w:szCs w:val="18"/>
              </w:rPr>
              <w:t>, ≥44% Cooking Eff/ ≤13,000 Btu/</w:t>
            </w:r>
            <w:proofErr w:type="spellStart"/>
            <w:r w:rsidRPr="0068556F">
              <w:rPr>
                <w:sz w:val="18"/>
                <w:szCs w:val="18"/>
              </w:rPr>
              <w:t>hr</w:t>
            </w:r>
            <w:proofErr w:type="spellEnd"/>
            <w:r w:rsidRPr="0068556F">
              <w:rPr>
                <w:sz w:val="18"/>
                <w:szCs w:val="18"/>
              </w:rPr>
              <w:t xml:space="preserve"> Idle Rate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261.00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$0.444</w:t>
            </w:r>
          </w:p>
        </w:tc>
      </w:tr>
      <w:tr w:rsidR="00CF330C" w:rsidRPr="0068556F" w:rsidTr="00CA05C7">
        <w:trPr>
          <w:trHeight w:val="792"/>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Conn 6 Pan Gas Steamer, </w:t>
            </w:r>
            <w:r w:rsidR="009C2DE3" w:rsidRPr="0068556F">
              <w:rPr>
                <w:sz w:val="18"/>
                <w:szCs w:val="18"/>
              </w:rPr>
              <w:t>ENERGY STAR</w:t>
            </w:r>
            <w:r w:rsidRPr="0068556F">
              <w:rPr>
                <w:sz w:val="18"/>
                <w:szCs w:val="18"/>
              </w:rPr>
              <w:t xml:space="preserve"> or CEE/FSTC Qualified, ≥38% Cooking Eff / ≤2,083 Btu/</w:t>
            </w:r>
            <w:proofErr w:type="spellStart"/>
            <w:r w:rsidRPr="0068556F">
              <w:rPr>
                <w:sz w:val="18"/>
                <w:szCs w:val="18"/>
              </w:rPr>
              <w:t>hr</w:t>
            </w:r>
            <w:proofErr w:type="spellEnd"/>
            <w:r w:rsidRPr="0068556F">
              <w:rPr>
                <w:sz w:val="18"/>
                <w:szCs w:val="18"/>
              </w:rPr>
              <w:t>/pan Idle Rate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$1,200.00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912.00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Door Type Dish LT Gas, </w:t>
            </w:r>
            <w:r w:rsidR="009C2DE3" w:rsidRPr="0068556F">
              <w:rPr>
                <w:sz w:val="18"/>
                <w:szCs w:val="18"/>
              </w:rPr>
              <w:t>ENERGY STAR</w:t>
            </w:r>
            <w:r w:rsidRPr="0068556F">
              <w:rPr>
                <w:sz w:val="18"/>
                <w:szCs w:val="18"/>
              </w:rPr>
              <w:t>, ≤.6 kw Idle Rate/ ≤1.18 gallon/rack</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448.00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$0.423</w:t>
            </w:r>
          </w:p>
        </w:tc>
      </w:tr>
      <w:tr w:rsidR="00CF330C" w:rsidRPr="0068556F" w:rsidTr="00CA05C7">
        <w:trPr>
          <w:trHeight w:val="792"/>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Double Rack Oven, Double Rack Oven, FSTC Qualified/≥50% Cooking Eff/ ≤3,500 Btu/</w:t>
            </w:r>
            <w:proofErr w:type="spellStart"/>
            <w:r w:rsidRPr="0068556F">
              <w:rPr>
                <w:sz w:val="18"/>
                <w:szCs w:val="18"/>
              </w:rPr>
              <w:t>hr</w:t>
            </w:r>
            <w:proofErr w:type="spellEnd"/>
            <w:r w:rsidRPr="0068556F">
              <w:rPr>
                <w:sz w:val="18"/>
                <w:szCs w:val="18"/>
              </w:rPr>
              <w:t>/Idle Rate D Rack</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$2,000.00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1,806.00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Gas Griddle, </w:t>
            </w:r>
            <w:r w:rsidR="009C2DE3" w:rsidRPr="0068556F">
              <w:rPr>
                <w:sz w:val="18"/>
                <w:szCs w:val="18"/>
              </w:rPr>
              <w:t>ENERGY STAR</w:t>
            </w:r>
            <w:r w:rsidRPr="0068556F">
              <w:rPr>
                <w:sz w:val="18"/>
                <w:szCs w:val="18"/>
              </w:rPr>
              <w:t>, ≥38% Cooking Eff/ ≤2650 Btu/</w:t>
            </w:r>
            <w:proofErr w:type="spellStart"/>
            <w:r w:rsidRPr="0068556F">
              <w:rPr>
                <w:sz w:val="18"/>
                <w:szCs w:val="18"/>
              </w:rPr>
              <w:t>hr</w:t>
            </w:r>
            <w:proofErr w:type="spellEnd"/>
            <w:r w:rsidRPr="0068556F">
              <w:rPr>
                <w:sz w:val="18"/>
                <w:szCs w:val="18"/>
              </w:rPr>
              <w:t xml:space="preserve"> </w:t>
            </w:r>
            <w:proofErr w:type="spellStart"/>
            <w:r w:rsidRPr="0068556F">
              <w:rPr>
                <w:sz w:val="18"/>
                <w:szCs w:val="18"/>
              </w:rPr>
              <w:t>sq</w:t>
            </w:r>
            <w:proofErr w:type="spellEnd"/>
            <w:r w:rsidRPr="0068556F">
              <w:rPr>
                <w:sz w:val="18"/>
                <w:szCs w:val="18"/>
              </w:rPr>
              <w:t xml:space="preserve"> </w:t>
            </w:r>
            <w:proofErr w:type="spellStart"/>
            <w:r w:rsidRPr="0068556F">
              <w:rPr>
                <w:sz w:val="18"/>
                <w:szCs w:val="18"/>
              </w:rPr>
              <w:t>ft</w:t>
            </w:r>
            <w:proofErr w:type="spellEnd"/>
            <w:r w:rsidRPr="0068556F">
              <w:rPr>
                <w:sz w:val="18"/>
                <w:szCs w:val="18"/>
              </w:rPr>
              <w:t xml:space="preserve"> Idle Rate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158.00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w:t>
            </w:r>
          </w:p>
        </w:tc>
      </w:tr>
      <w:tr w:rsidR="00CF330C" w:rsidRPr="0068556F" w:rsidTr="00CA05C7">
        <w:trPr>
          <w:trHeight w:val="28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Gas Fryer (New Tariff), </w:t>
            </w:r>
            <w:r w:rsidR="009C2DE3" w:rsidRPr="0068556F">
              <w:rPr>
                <w:sz w:val="18"/>
                <w:szCs w:val="18"/>
              </w:rPr>
              <w:t>ENERGY STAR</w:t>
            </w:r>
            <w:r w:rsidRPr="0068556F">
              <w:rPr>
                <w:sz w:val="18"/>
                <w:szCs w:val="18"/>
              </w:rPr>
              <w:t>, None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$600.00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272.00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$0.517</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Motion Control Faucet, Maximum flow rate of 1.8 </w:t>
            </w:r>
            <w:proofErr w:type="spellStart"/>
            <w:r w:rsidRPr="0068556F">
              <w:rPr>
                <w:sz w:val="18"/>
                <w:szCs w:val="18"/>
              </w:rPr>
              <w:t>gpm</w:t>
            </w:r>
            <w:proofErr w:type="spellEnd"/>
            <w:r w:rsidRPr="0068556F">
              <w:rPr>
                <w:sz w:val="18"/>
                <w:szCs w:val="18"/>
              </w:rPr>
              <w:t xml:space="preserve">, </w:t>
            </w:r>
            <w:proofErr w:type="spellStart"/>
            <w:r w:rsidRPr="0068556F">
              <w:rPr>
                <w:sz w:val="18"/>
                <w:szCs w:val="18"/>
              </w:rPr>
              <w:t>WaterSense</w:t>
            </w:r>
            <w:proofErr w:type="spellEnd"/>
            <w:r w:rsidRPr="0068556F">
              <w:rPr>
                <w:sz w:val="18"/>
                <w:szCs w:val="18"/>
              </w:rPr>
              <w:t>® Certified and Below Deck Mixing Valve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$105.00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136.00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$0.760</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 - Attic (New Tariff), Attic Insulation (Tier 1), Minimum R-30</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$0.50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0.31</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$0.248</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Insulation - Wall (New Tariff), Wall Insulation (Tier 2), Minimum R-19</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$0.56</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0.190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sq. ft.</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$0.327</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 xml:space="preserve">Gas Convection Oven (New Tariff), </w:t>
            </w:r>
            <w:r w:rsidR="009C2DE3" w:rsidRPr="0068556F">
              <w:rPr>
                <w:sz w:val="18"/>
                <w:szCs w:val="18"/>
              </w:rPr>
              <w:t>ENERGY STAR</w:t>
            </w:r>
            <w:r w:rsidRPr="0068556F">
              <w:rPr>
                <w:sz w:val="18"/>
                <w:szCs w:val="18"/>
              </w:rPr>
              <w:t>, ≥42% Cooking Eff/ ≤13,000 Btu/</w:t>
            </w:r>
            <w:proofErr w:type="spellStart"/>
            <w:r w:rsidRPr="0068556F">
              <w:rPr>
                <w:sz w:val="18"/>
                <w:szCs w:val="18"/>
              </w:rPr>
              <w:t>hr</w:t>
            </w:r>
            <w:proofErr w:type="spellEnd"/>
            <w:r w:rsidRPr="0068556F">
              <w:rPr>
                <w:sz w:val="18"/>
                <w:szCs w:val="18"/>
              </w:rPr>
              <w:t xml:space="preserve"> Idle Rate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$450.00</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213.000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$0.506</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Radiant Heating (New Tariff), Direct Fired Radiant Heating, None</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$6.95</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4.330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kBtu/</w:t>
            </w:r>
            <w:proofErr w:type="spellStart"/>
            <w:r w:rsidRPr="0068556F">
              <w:rPr>
                <w:sz w:val="18"/>
                <w:szCs w:val="18"/>
              </w:rPr>
              <w:t>hr</w:t>
            </w:r>
            <w:proofErr w:type="spellEnd"/>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$0.336</w:t>
            </w:r>
          </w:p>
        </w:tc>
      </w:tr>
      <w:tr w:rsidR="00CF330C" w:rsidRPr="0068556F" w:rsidTr="00CA05C7">
        <w:trPr>
          <w:trHeight w:val="528"/>
          <w:jc w:val="center"/>
        </w:trPr>
        <w:tc>
          <w:tcPr>
            <w:tcW w:w="4443" w:type="dxa"/>
            <w:tcBorders>
              <w:top w:val="nil"/>
              <w:left w:val="single" w:sz="8" w:space="0" w:color="auto"/>
              <w:bottom w:val="nil"/>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Energy Saver Kit A, Kitchen Pre Rinse Spray Valve &amp; Bath Aerators, Provided</w:t>
            </w:r>
          </w:p>
        </w:tc>
        <w:tc>
          <w:tcPr>
            <w:tcW w:w="1599"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$68.59</w:t>
            </w:r>
          </w:p>
        </w:tc>
        <w:tc>
          <w:tcPr>
            <w:tcW w:w="1561"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109.000</w:t>
            </w:r>
          </w:p>
        </w:tc>
        <w:tc>
          <w:tcPr>
            <w:tcW w:w="1060" w:type="dxa"/>
            <w:tcBorders>
              <w:top w:val="nil"/>
              <w:left w:val="nil"/>
              <w:bottom w:val="nil"/>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nil"/>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$0.728</w:t>
            </w:r>
          </w:p>
        </w:tc>
      </w:tr>
      <w:tr w:rsidR="00CF330C" w:rsidRPr="0068556F" w:rsidTr="00CA05C7">
        <w:trPr>
          <w:trHeight w:val="300"/>
          <w:jc w:val="center"/>
        </w:trPr>
        <w:tc>
          <w:tcPr>
            <w:tcW w:w="4443" w:type="dxa"/>
            <w:tcBorders>
              <w:top w:val="nil"/>
              <w:left w:val="single" w:sz="8" w:space="0" w:color="auto"/>
              <w:bottom w:val="single" w:sz="4" w:space="0" w:color="auto"/>
              <w:right w:val="single" w:sz="4" w:space="0" w:color="auto"/>
            </w:tcBorders>
            <w:shd w:val="clear" w:color="000000" w:fill="FFFFFF"/>
            <w:vAlign w:val="bottom"/>
            <w:hideMark/>
          </w:tcPr>
          <w:p w:rsidR="00CF330C" w:rsidRPr="0068556F" w:rsidRDefault="00CF330C" w:rsidP="0068556F">
            <w:pPr>
              <w:widowControl/>
              <w:spacing w:after="0"/>
              <w:jc w:val="center"/>
              <w:rPr>
                <w:sz w:val="18"/>
                <w:szCs w:val="18"/>
              </w:rPr>
            </w:pPr>
            <w:r w:rsidRPr="0068556F">
              <w:rPr>
                <w:sz w:val="18"/>
                <w:szCs w:val="18"/>
              </w:rPr>
              <w:t>Energy Saver Kit B, Low Flow Showerhead, Provided</w:t>
            </w:r>
          </w:p>
        </w:tc>
        <w:tc>
          <w:tcPr>
            <w:tcW w:w="1599" w:type="dxa"/>
            <w:tcBorders>
              <w:top w:val="nil"/>
              <w:left w:val="nil"/>
              <w:bottom w:val="single" w:sz="4" w:space="0" w:color="auto"/>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$26.49</w:t>
            </w:r>
          </w:p>
        </w:tc>
        <w:tc>
          <w:tcPr>
            <w:tcW w:w="1561" w:type="dxa"/>
            <w:tcBorders>
              <w:top w:val="nil"/>
              <w:left w:val="nil"/>
              <w:bottom w:val="single" w:sz="4" w:space="0" w:color="auto"/>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14.000</w:t>
            </w:r>
          </w:p>
        </w:tc>
        <w:tc>
          <w:tcPr>
            <w:tcW w:w="1060" w:type="dxa"/>
            <w:tcBorders>
              <w:top w:val="nil"/>
              <w:left w:val="nil"/>
              <w:bottom w:val="single" w:sz="4" w:space="0" w:color="auto"/>
              <w:right w:val="single" w:sz="4" w:space="0" w:color="auto"/>
            </w:tcBorders>
            <w:shd w:val="clear" w:color="000000" w:fill="FFFFFF"/>
            <w:noWrap/>
            <w:vAlign w:val="bottom"/>
            <w:hideMark/>
          </w:tcPr>
          <w:p w:rsidR="00CF330C" w:rsidRPr="0068556F" w:rsidRDefault="00CF330C" w:rsidP="0068556F">
            <w:pPr>
              <w:widowControl/>
              <w:spacing w:after="0"/>
              <w:jc w:val="center"/>
              <w:rPr>
                <w:sz w:val="18"/>
                <w:szCs w:val="18"/>
              </w:rPr>
            </w:pPr>
            <w:r w:rsidRPr="0068556F">
              <w:rPr>
                <w:sz w:val="18"/>
                <w:szCs w:val="18"/>
              </w:rPr>
              <w:t>each</w:t>
            </w:r>
          </w:p>
        </w:tc>
        <w:tc>
          <w:tcPr>
            <w:tcW w:w="1117" w:type="dxa"/>
            <w:tcBorders>
              <w:top w:val="nil"/>
              <w:left w:val="nil"/>
              <w:bottom w:val="single" w:sz="4" w:space="0" w:color="auto"/>
              <w:right w:val="single" w:sz="8" w:space="0" w:color="auto"/>
            </w:tcBorders>
            <w:shd w:val="clear" w:color="auto" w:fill="auto"/>
            <w:noWrap/>
            <w:vAlign w:val="bottom"/>
            <w:hideMark/>
          </w:tcPr>
          <w:p w:rsidR="00CF330C" w:rsidRPr="0068556F" w:rsidRDefault="00CF330C" w:rsidP="0068556F">
            <w:pPr>
              <w:widowControl/>
              <w:spacing w:after="0"/>
              <w:jc w:val="center"/>
              <w:rPr>
                <w:sz w:val="18"/>
                <w:szCs w:val="18"/>
              </w:rPr>
            </w:pPr>
            <w:r w:rsidRPr="0068556F">
              <w:rPr>
                <w:sz w:val="18"/>
                <w:szCs w:val="18"/>
              </w:rPr>
              <w:t>$0.558</w:t>
            </w:r>
          </w:p>
        </w:tc>
      </w:tr>
      <w:tr w:rsidR="00EE0C01" w:rsidRPr="0068556F" w:rsidTr="00CA05C7">
        <w:trPr>
          <w:trHeight w:val="300"/>
          <w:jc w:val="center"/>
        </w:trPr>
        <w:tc>
          <w:tcPr>
            <w:tcW w:w="4443" w:type="dxa"/>
            <w:tcBorders>
              <w:top w:val="single" w:sz="4" w:space="0" w:color="auto"/>
              <w:left w:val="single" w:sz="4" w:space="0" w:color="auto"/>
              <w:bottom w:val="single" w:sz="4" w:space="0" w:color="auto"/>
              <w:right w:val="single" w:sz="4" w:space="0" w:color="auto"/>
            </w:tcBorders>
            <w:shd w:val="clear" w:color="000000" w:fill="FFFFFF"/>
            <w:vAlign w:val="bottom"/>
          </w:tcPr>
          <w:p w:rsidR="00EE0C01" w:rsidRPr="0068556F" w:rsidRDefault="00EE0C01" w:rsidP="0068556F">
            <w:pPr>
              <w:widowControl/>
              <w:spacing w:after="0"/>
              <w:jc w:val="center"/>
              <w:rPr>
                <w:b/>
                <w:sz w:val="18"/>
                <w:szCs w:val="18"/>
              </w:rPr>
            </w:pPr>
            <w:r w:rsidRPr="0068556F">
              <w:rPr>
                <w:b/>
                <w:sz w:val="18"/>
                <w:szCs w:val="18"/>
              </w:rPr>
              <w:t>Total Program</w:t>
            </w:r>
          </w:p>
        </w:tc>
        <w:tc>
          <w:tcPr>
            <w:tcW w:w="1599" w:type="dxa"/>
            <w:tcBorders>
              <w:top w:val="single" w:sz="4" w:space="0" w:color="auto"/>
              <w:left w:val="nil"/>
              <w:bottom w:val="single" w:sz="4" w:space="0" w:color="auto"/>
              <w:right w:val="single" w:sz="4" w:space="0" w:color="auto"/>
            </w:tcBorders>
            <w:shd w:val="clear" w:color="000000" w:fill="FFFFFF"/>
            <w:noWrap/>
            <w:vAlign w:val="bottom"/>
          </w:tcPr>
          <w:p w:rsidR="00EE0C01" w:rsidRPr="0068556F" w:rsidRDefault="00EE0C01" w:rsidP="0068556F">
            <w:pPr>
              <w:widowControl/>
              <w:spacing w:after="0"/>
              <w:jc w:val="center"/>
              <w:rPr>
                <w:sz w:val="18"/>
                <w:szCs w:val="18"/>
              </w:rPr>
            </w:pPr>
          </w:p>
        </w:tc>
        <w:tc>
          <w:tcPr>
            <w:tcW w:w="1561" w:type="dxa"/>
            <w:tcBorders>
              <w:top w:val="single" w:sz="4" w:space="0" w:color="auto"/>
              <w:left w:val="nil"/>
              <w:bottom w:val="single" w:sz="4" w:space="0" w:color="auto"/>
              <w:right w:val="single" w:sz="4" w:space="0" w:color="auto"/>
            </w:tcBorders>
            <w:shd w:val="clear" w:color="000000" w:fill="FFFFFF"/>
            <w:noWrap/>
            <w:vAlign w:val="bottom"/>
          </w:tcPr>
          <w:p w:rsidR="00EE0C01" w:rsidRPr="0068556F" w:rsidRDefault="00EE0C01" w:rsidP="0068556F">
            <w:pPr>
              <w:widowControl/>
              <w:spacing w:after="0"/>
              <w:jc w:val="center"/>
              <w:rPr>
                <w:sz w:val="18"/>
                <w:szCs w:val="18"/>
              </w:rPr>
            </w:pP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EE0C01" w:rsidRPr="0068556F" w:rsidRDefault="00EE0C01" w:rsidP="0068556F">
            <w:pPr>
              <w:widowControl/>
              <w:spacing w:after="0"/>
              <w:jc w:val="center"/>
              <w:rPr>
                <w:sz w:val="18"/>
                <w:szCs w:val="18"/>
              </w:rPr>
            </w:pP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EE0C01" w:rsidRPr="0068556F" w:rsidRDefault="00EE0C01" w:rsidP="0068556F">
            <w:pPr>
              <w:widowControl/>
              <w:spacing w:after="0"/>
              <w:jc w:val="center"/>
              <w:rPr>
                <w:b/>
                <w:sz w:val="18"/>
                <w:szCs w:val="18"/>
              </w:rPr>
            </w:pPr>
            <w:r w:rsidRPr="0068556F">
              <w:rPr>
                <w:b/>
                <w:sz w:val="18"/>
                <w:szCs w:val="18"/>
              </w:rPr>
              <w:t>$0.251</w:t>
            </w:r>
          </w:p>
        </w:tc>
      </w:tr>
    </w:tbl>
    <w:p w:rsidR="008528E6" w:rsidRPr="0068556F" w:rsidRDefault="008528E6" w:rsidP="0068556F">
      <w:pPr>
        <w:spacing w:after="0"/>
        <w:ind w:right="83"/>
        <w:jc w:val="both"/>
        <w:rPr>
          <w:b/>
        </w:rPr>
      </w:pPr>
    </w:p>
    <w:p w:rsidR="00525FE4" w:rsidRPr="0068556F" w:rsidRDefault="00525FE4" w:rsidP="00E37866">
      <w:pPr>
        <w:pStyle w:val="Heading2"/>
      </w:pPr>
      <w:bookmarkStart w:id="22" w:name="_Toc437853989"/>
      <w:r w:rsidRPr="0068556F">
        <w:t>Washington Low Income Program</w:t>
      </w:r>
      <w:bookmarkEnd w:id="22"/>
      <w:r w:rsidRPr="0068556F">
        <w:t xml:space="preserve"> </w:t>
      </w:r>
    </w:p>
    <w:p w:rsidR="00525FE4" w:rsidRPr="0068556F" w:rsidRDefault="00525FE4" w:rsidP="0068556F">
      <w:pPr>
        <w:spacing w:after="0"/>
        <w:ind w:right="-7"/>
        <w:contextualSpacing/>
        <w:jc w:val="both"/>
      </w:pPr>
      <w:r w:rsidRPr="0068556F">
        <w:t>This program is available to income-eligible residential dwellings served by Cascade Natural Gas where the primary heating equipment in the residential dwelling is fueled by natural gas. The program is designed to increase energy efficiency in low-income households within Cascade service territory by providing rebates for the installation of certain energy efficiency measures in qualifying residential dwellings following the completion of a home energy evaluation performed by a qualifying Agency.  The customer must be a residential customer of the Company and must be certified as low-income by a Communi</w:t>
      </w:r>
      <w:r w:rsidR="009F1697">
        <w:t>ty</w:t>
      </w:r>
      <w:r w:rsidRPr="0068556F">
        <w:t xml:space="preserve"> Action Agency or Low Income Agency. The customer must also reside in a dwelling built prior to 1991 with natural gas as the primary heating source.</w:t>
      </w:r>
    </w:p>
    <w:p w:rsidR="00525FE4" w:rsidRPr="0068556F" w:rsidRDefault="00525FE4" w:rsidP="0068556F">
      <w:pPr>
        <w:spacing w:after="0"/>
        <w:ind w:right="-7"/>
        <w:contextualSpacing/>
        <w:jc w:val="both"/>
      </w:pPr>
    </w:p>
    <w:p w:rsidR="00D46E53" w:rsidRDefault="00525FE4">
      <w:pPr>
        <w:widowControl/>
        <w:spacing w:after="0" w:line="240" w:lineRule="auto"/>
        <w:rPr>
          <w:b/>
        </w:rPr>
      </w:pPr>
      <w:r w:rsidRPr="0068556F">
        <w:lastRenderedPageBreak/>
        <w:t xml:space="preserve">The following measures qualify for a rebate through the current Cascade Low-Income Washington Weatherization program. Calculations for rebates are based on projected annual therm savings of the measure(s) x 100% </w:t>
      </w:r>
      <w:r w:rsidR="00235A8B" w:rsidRPr="0068556F">
        <w:t xml:space="preserve">of the Avoided Cost per therm. </w:t>
      </w:r>
    </w:p>
    <w:p w:rsidR="005E57C6" w:rsidRDefault="005E57C6">
      <w:pPr>
        <w:widowControl/>
        <w:spacing w:after="0" w:line="240" w:lineRule="auto"/>
        <w:rPr>
          <w:b/>
        </w:rPr>
      </w:pPr>
    </w:p>
    <w:p w:rsidR="00525FE4" w:rsidRPr="0068556F" w:rsidRDefault="00B0242A" w:rsidP="0068556F">
      <w:pPr>
        <w:spacing w:after="0"/>
        <w:ind w:right="-7"/>
        <w:contextualSpacing/>
        <w:jc w:val="center"/>
        <w:rPr>
          <w:b/>
        </w:rPr>
      </w:pPr>
      <w:r w:rsidRPr="0068556F">
        <w:rPr>
          <w:b/>
        </w:rPr>
        <w:t>Table 5</w:t>
      </w:r>
    </w:p>
    <w:p w:rsidR="00525FE4" w:rsidRPr="0068556F" w:rsidRDefault="00525FE4" w:rsidP="0068556F">
      <w:pPr>
        <w:spacing w:after="0"/>
        <w:ind w:right="-7"/>
        <w:contextualSpacing/>
        <w:jc w:val="center"/>
      </w:pPr>
      <w:r w:rsidRPr="0068556F">
        <w:t>Current Low Income Weatherization rebate offerings from Tariff 301</w:t>
      </w:r>
    </w:p>
    <w:tbl>
      <w:tblPr>
        <w:tblStyle w:val="TableGrid"/>
        <w:tblW w:w="0" w:type="auto"/>
        <w:jc w:val="center"/>
        <w:tblLook w:val="04A0" w:firstRow="1" w:lastRow="0" w:firstColumn="1" w:lastColumn="0" w:noHBand="0" w:noVBand="1"/>
      </w:tblPr>
      <w:tblGrid>
        <w:gridCol w:w="3850"/>
        <w:gridCol w:w="3296"/>
      </w:tblGrid>
      <w:tr w:rsidR="00525FE4" w:rsidRPr="0068556F" w:rsidTr="000D7658">
        <w:trPr>
          <w:trHeight w:val="170"/>
          <w:jc w:val="center"/>
        </w:trPr>
        <w:tc>
          <w:tcPr>
            <w:tcW w:w="3850" w:type="dxa"/>
            <w:shd w:val="clear" w:color="auto" w:fill="A6A6A6" w:themeFill="background1" w:themeFillShade="A6"/>
          </w:tcPr>
          <w:p w:rsidR="00525FE4" w:rsidRPr="0068556F" w:rsidRDefault="00525FE4" w:rsidP="0068556F">
            <w:pPr>
              <w:jc w:val="center"/>
              <w:rPr>
                <w:b/>
              </w:rPr>
            </w:pPr>
            <w:r w:rsidRPr="0068556F">
              <w:rPr>
                <w:b/>
              </w:rPr>
              <w:t>Measure</w:t>
            </w:r>
          </w:p>
        </w:tc>
        <w:tc>
          <w:tcPr>
            <w:tcW w:w="3296" w:type="dxa"/>
            <w:shd w:val="clear" w:color="auto" w:fill="A6A6A6" w:themeFill="background1" w:themeFillShade="A6"/>
          </w:tcPr>
          <w:p w:rsidR="00525FE4" w:rsidRPr="0068556F" w:rsidRDefault="00525FE4" w:rsidP="0068556F">
            <w:pPr>
              <w:jc w:val="center"/>
              <w:rPr>
                <w:b/>
              </w:rPr>
            </w:pPr>
            <w:r w:rsidRPr="0068556F">
              <w:rPr>
                <w:b/>
              </w:rPr>
              <w:t>Avoided Cost per Therm</w:t>
            </w:r>
          </w:p>
        </w:tc>
      </w:tr>
      <w:tr w:rsidR="00525FE4" w:rsidRPr="0068556F" w:rsidTr="000D7658">
        <w:trPr>
          <w:trHeight w:val="161"/>
          <w:jc w:val="center"/>
        </w:trPr>
        <w:tc>
          <w:tcPr>
            <w:tcW w:w="3850" w:type="dxa"/>
          </w:tcPr>
          <w:p w:rsidR="00525FE4" w:rsidRPr="0068556F" w:rsidRDefault="00525FE4" w:rsidP="000D7658">
            <w:pPr>
              <w:pStyle w:val="ListParagraph"/>
            </w:pPr>
            <w:r w:rsidRPr="000D7658">
              <w:rPr>
                <w:b/>
              </w:rPr>
              <w:t>Ceiling Insulation</w:t>
            </w:r>
          </w:p>
        </w:tc>
        <w:tc>
          <w:tcPr>
            <w:tcW w:w="3296" w:type="dxa"/>
          </w:tcPr>
          <w:p w:rsidR="00525FE4" w:rsidRPr="0068556F" w:rsidRDefault="00525FE4" w:rsidP="000D7658">
            <w:pPr>
              <w:pStyle w:val="ListParagraph"/>
            </w:pPr>
            <w:r w:rsidRPr="0068556F">
              <w:t>$8.09</w:t>
            </w:r>
          </w:p>
        </w:tc>
      </w:tr>
      <w:tr w:rsidR="00525FE4" w:rsidRPr="0068556F" w:rsidTr="000D7658">
        <w:trPr>
          <w:trHeight w:val="170"/>
          <w:jc w:val="center"/>
        </w:trPr>
        <w:tc>
          <w:tcPr>
            <w:tcW w:w="3850" w:type="dxa"/>
          </w:tcPr>
          <w:p w:rsidR="00525FE4" w:rsidRPr="0068556F" w:rsidRDefault="00525FE4" w:rsidP="000D7658">
            <w:pPr>
              <w:pStyle w:val="ListParagraph"/>
            </w:pPr>
            <w:r w:rsidRPr="000D7658">
              <w:rPr>
                <w:b/>
              </w:rPr>
              <w:t>Wall Insulation</w:t>
            </w:r>
          </w:p>
        </w:tc>
        <w:tc>
          <w:tcPr>
            <w:tcW w:w="3296" w:type="dxa"/>
          </w:tcPr>
          <w:p w:rsidR="00525FE4" w:rsidRPr="0068556F" w:rsidRDefault="00525FE4" w:rsidP="000D7658">
            <w:pPr>
              <w:pStyle w:val="ListParagraph"/>
            </w:pPr>
            <w:r w:rsidRPr="0068556F">
              <w:t>$8.09</w:t>
            </w:r>
          </w:p>
        </w:tc>
      </w:tr>
      <w:tr w:rsidR="00525FE4" w:rsidRPr="0068556F" w:rsidTr="000D7658">
        <w:trPr>
          <w:trHeight w:val="161"/>
          <w:jc w:val="center"/>
        </w:trPr>
        <w:tc>
          <w:tcPr>
            <w:tcW w:w="3850" w:type="dxa"/>
          </w:tcPr>
          <w:p w:rsidR="00525FE4" w:rsidRPr="0068556F" w:rsidRDefault="00525FE4" w:rsidP="000D7658">
            <w:pPr>
              <w:pStyle w:val="ListParagraph"/>
            </w:pPr>
            <w:r w:rsidRPr="000D7658">
              <w:rPr>
                <w:b/>
              </w:rPr>
              <w:t>Floor Insulation</w:t>
            </w:r>
          </w:p>
        </w:tc>
        <w:tc>
          <w:tcPr>
            <w:tcW w:w="3296" w:type="dxa"/>
          </w:tcPr>
          <w:p w:rsidR="00525FE4" w:rsidRPr="0068556F" w:rsidRDefault="00525FE4" w:rsidP="000D7658">
            <w:pPr>
              <w:pStyle w:val="ListParagraph"/>
            </w:pPr>
            <w:r w:rsidRPr="0068556F">
              <w:t>$8.09</w:t>
            </w:r>
          </w:p>
        </w:tc>
      </w:tr>
      <w:tr w:rsidR="00525FE4" w:rsidRPr="0068556F" w:rsidTr="000D7658">
        <w:trPr>
          <w:trHeight w:val="170"/>
          <w:jc w:val="center"/>
        </w:trPr>
        <w:tc>
          <w:tcPr>
            <w:tcW w:w="3850" w:type="dxa"/>
          </w:tcPr>
          <w:p w:rsidR="00525FE4" w:rsidRPr="0068556F" w:rsidRDefault="00525FE4" w:rsidP="000D7658">
            <w:pPr>
              <w:pStyle w:val="ListParagraph"/>
            </w:pPr>
            <w:r w:rsidRPr="000D7658">
              <w:rPr>
                <w:b/>
              </w:rPr>
              <w:t xml:space="preserve">Duct Sealing </w:t>
            </w:r>
            <w:r w:rsidR="000D7658">
              <w:rPr>
                <w:b/>
              </w:rPr>
              <w:t xml:space="preserve">&amp; </w:t>
            </w:r>
            <w:r w:rsidRPr="000D7658">
              <w:rPr>
                <w:b/>
              </w:rPr>
              <w:t>Insulation</w:t>
            </w:r>
          </w:p>
        </w:tc>
        <w:tc>
          <w:tcPr>
            <w:tcW w:w="3296" w:type="dxa"/>
          </w:tcPr>
          <w:p w:rsidR="00525FE4" w:rsidRPr="0068556F" w:rsidRDefault="00525FE4" w:rsidP="000D7658">
            <w:pPr>
              <w:pStyle w:val="ListParagraph"/>
            </w:pPr>
            <w:r w:rsidRPr="0068556F">
              <w:t>$6.15</w:t>
            </w:r>
          </w:p>
        </w:tc>
      </w:tr>
      <w:tr w:rsidR="00525FE4" w:rsidRPr="0068556F" w:rsidTr="000D7658">
        <w:trPr>
          <w:trHeight w:val="170"/>
          <w:jc w:val="center"/>
        </w:trPr>
        <w:tc>
          <w:tcPr>
            <w:tcW w:w="3850" w:type="dxa"/>
          </w:tcPr>
          <w:p w:rsidR="00525FE4" w:rsidRPr="0068556F" w:rsidRDefault="00525FE4" w:rsidP="000D7658">
            <w:pPr>
              <w:pStyle w:val="ListParagraph"/>
            </w:pPr>
            <w:r w:rsidRPr="000D7658">
              <w:rPr>
                <w:b/>
              </w:rPr>
              <w:t>Infiltration Reduction</w:t>
            </w:r>
          </w:p>
        </w:tc>
        <w:tc>
          <w:tcPr>
            <w:tcW w:w="3296" w:type="dxa"/>
          </w:tcPr>
          <w:p w:rsidR="00525FE4" w:rsidRPr="0068556F" w:rsidRDefault="00525FE4" w:rsidP="000D7658">
            <w:pPr>
              <w:pStyle w:val="ListParagraph"/>
            </w:pPr>
            <w:r w:rsidRPr="0068556F">
              <w:t>$6.15</w:t>
            </w:r>
          </w:p>
        </w:tc>
      </w:tr>
    </w:tbl>
    <w:p w:rsidR="00525FE4" w:rsidRPr="0068556F" w:rsidRDefault="00525FE4" w:rsidP="0068556F">
      <w:pPr>
        <w:widowControl/>
        <w:spacing w:after="0"/>
      </w:pPr>
    </w:p>
    <w:p w:rsidR="00525FE4" w:rsidRPr="0068556F" w:rsidRDefault="00525FE4" w:rsidP="0068556F">
      <w:pPr>
        <w:tabs>
          <w:tab w:val="left" w:pos="-1440"/>
          <w:tab w:val="left" w:pos="-720"/>
          <w:tab w:val="left" w:pos="90"/>
          <w:tab w:val="left" w:pos="180"/>
          <w:tab w:val="left" w:pos="1080"/>
          <w:tab w:val="left" w:pos="1440"/>
        </w:tabs>
        <w:suppressAutoHyphens/>
        <w:ind w:right="83"/>
        <w:contextualSpacing/>
        <w:jc w:val="both"/>
      </w:pPr>
      <w:r w:rsidRPr="0068556F">
        <w:t xml:space="preserve">Table </w:t>
      </w:r>
      <w:r w:rsidR="005E57C6">
        <w:rPr>
          <w:u w:val="single"/>
        </w:rPr>
        <w:t>8</w:t>
      </w:r>
      <w:r w:rsidRPr="0068556F">
        <w:t xml:space="preserve"> offers adjustments to reflect more realistic annual achievements for the Company’s Low Income Weatherization program.  Note the decrease in expected savings from previous years’ projections under the Low Income Weatherization program. This decrease is a reflection of program achievements for 2014 and a more realistic goal based on new evidence related to current client prioritization performed by the Community Action Agencies for natural gas heated homes. The U.S. Department of Energy Weatherization Assistance Program (DOE-WAP) requires if the Community Action Agencies use DOE-WAP funds, all rules and guidelines for utilization of their funds be met – including their prioritization guidelines. </w:t>
      </w:r>
    </w:p>
    <w:p w:rsidR="00525FE4" w:rsidRPr="0068556F" w:rsidRDefault="00525FE4" w:rsidP="0068556F">
      <w:pPr>
        <w:tabs>
          <w:tab w:val="left" w:pos="-1440"/>
          <w:tab w:val="left" w:pos="-720"/>
          <w:tab w:val="left" w:pos="90"/>
          <w:tab w:val="left" w:pos="180"/>
          <w:tab w:val="left" w:pos="1080"/>
          <w:tab w:val="left" w:pos="1440"/>
        </w:tabs>
        <w:suppressAutoHyphens/>
        <w:ind w:right="83"/>
        <w:contextualSpacing/>
        <w:jc w:val="both"/>
      </w:pPr>
    </w:p>
    <w:p w:rsidR="00525FE4" w:rsidRPr="0068556F" w:rsidRDefault="00525FE4" w:rsidP="0068556F">
      <w:pPr>
        <w:tabs>
          <w:tab w:val="left" w:pos="-1440"/>
          <w:tab w:val="left" w:pos="-720"/>
          <w:tab w:val="left" w:pos="90"/>
          <w:tab w:val="left" w:pos="180"/>
          <w:tab w:val="left" w:pos="1080"/>
          <w:tab w:val="left" w:pos="1440"/>
        </w:tabs>
        <w:suppressAutoHyphens/>
        <w:ind w:right="83"/>
        <w:contextualSpacing/>
        <w:jc w:val="both"/>
      </w:pPr>
      <w:r w:rsidRPr="0068556F">
        <w:t>These guidelines instruct agencies to develop an “actual waiting list” to determine which households are served next for weatherization services. Priority is given by age, disabilities and homes with children age six or younger. Priority can also be given to high residential energy users and households with a high energy burden. Currently, agencies are serving those homes with the largest Heat Cost Burden (percentage of clients’ income dedicated to paying for heat) and by their large Energy Cost (total dollars being spent annually on baseload and space heat). Due to the low cost of natural gas and the commensurate higher electric heating bills, client homes heated with electricity are being served first. In the current energy-price environment, natural gas customers are at a distinct disadvantage for getting assistance with weatherization services regardless of their need. In fact, some agencies are planning on less than 10% of the homes they weatherize for 2015 to be customers with natural gas heated homes. This is why our 2015 therm savings projection is similar to our 2014 therm savings achieved and why the Company has elected to decrease expected savings for the 20 year forecast over the 2012 IRP estimates.  It is probable that the agencies will find a way to utilize utility funding for gas heating homes more regularly if gas prices increase causing a higher energy burden for natural gas homes.</w:t>
      </w:r>
    </w:p>
    <w:p w:rsidR="00525FE4" w:rsidRPr="0068556F" w:rsidRDefault="00525FE4" w:rsidP="0068556F">
      <w:pPr>
        <w:tabs>
          <w:tab w:val="left" w:pos="-1440"/>
          <w:tab w:val="left" w:pos="-720"/>
          <w:tab w:val="left" w:pos="90"/>
          <w:tab w:val="left" w:pos="180"/>
          <w:tab w:val="left" w:pos="1080"/>
          <w:tab w:val="left" w:pos="1440"/>
        </w:tabs>
        <w:suppressAutoHyphens/>
        <w:ind w:right="83"/>
        <w:contextualSpacing/>
        <w:jc w:val="both"/>
      </w:pPr>
    </w:p>
    <w:p w:rsidR="00030AE9" w:rsidRPr="0068556F" w:rsidRDefault="00525FE4" w:rsidP="0068556F">
      <w:pPr>
        <w:tabs>
          <w:tab w:val="left" w:pos="-1440"/>
          <w:tab w:val="left" w:pos="-720"/>
          <w:tab w:val="left" w:pos="90"/>
          <w:tab w:val="left" w:pos="180"/>
          <w:tab w:val="left" w:pos="1080"/>
          <w:tab w:val="left" w:pos="1440"/>
        </w:tabs>
        <w:suppressAutoHyphens/>
        <w:ind w:right="83"/>
        <w:contextualSpacing/>
        <w:jc w:val="both"/>
      </w:pPr>
      <w:r w:rsidRPr="0068556F">
        <w:t xml:space="preserve">The Company has identified the causes of the reductions in 2014 and is currently working with the Community Action Program Agencies to help move the Low-Income Weatherization therm savings back toward historic program performance levels. </w:t>
      </w:r>
      <w:r w:rsidR="00030AE9" w:rsidRPr="0068556F">
        <w:t xml:space="preserve">The Company contacted the following Community Action Program Agencies to discuss the impact of the DOE-WAP prioritization list in July, August and September of 2015: Opportunity Council, Housing Authority of Skagit Count, Northwest Community Action Center, Benton Franklin Community Action Committee, Blue Mountain Action Council, Kitsap Community Resources, Opportunities Industrialization Center of Washington and the Lower Columbia Community Action Program. At this point the Company learned the State of Washington Department of Commerce modified the Commerce </w:t>
      </w:r>
      <w:r w:rsidR="004D74CF" w:rsidRPr="0068556F">
        <w:t>Priority</w:t>
      </w:r>
      <w:r w:rsidR="00030AE9" w:rsidRPr="0068556F">
        <w:t xml:space="preserve"> List in July 2015, with the modification removing the “high residential energy users” allocation (as measured by total dollars spent annually on base-load and space heat). The Agencies believe the removal of the high residential energy </w:t>
      </w:r>
      <w:proofErr w:type="gramStart"/>
      <w:r w:rsidR="00030AE9" w:rsidRPr="0068556F">
        <w:t>users</w:t>
      </w:r>
      <w:proofErr w:type="gramEnd"/>
      <w:r w:rsidR="00030AE9" w:rsidRPr="0068556F">
        <w:t xml:space="preserve"> priority will shift the eligibility away from fuel source and back to income. The Company encourages the Agencies to bring forward all issues and potential barriers to implementation of weatherization services for low income natural gas customers to the Department of Energy through the Department of Commerce meetings with the Agencies twice a month via advisory group teleconferences or in</w:t>
      </w:r>
      <w:r w:rsidR="00157F79">
        <w:t>-</w:t>
      </w:r>
      <w:r w:rsidR="00030AE9" w:rsidRPr="0068556F">
        <w:t xml:space="preserve">person conferences three times a year.  </w:t>
      </w:r>
      <w:r w:rsidRPr="0068556F">
        <w:t xml:space="preserve">If additional funding becomes available, and modifications in administrative rules are made from the Department of Commerce, the Low-Income program will provide additional savings potential. </w:t>
      </w:r>
    </w:p>
    <w:p w:rsidR="00030AE9" w:rsidRPr="0068556F" w:rsidRDefault="00030AE9" w:rsidP="0068556F">
      <w:pPr>
        <w:tabs>
          <w:tab w:val="left" w:pos="-1440"/>
          <w:tab w:val="left" w:pos="-720"/>
          <w:tab w:val="left" w:pos="90"/>
          <w:tab w:val="left" w:pos="180"/>
          <w:tab w:val="left" w:pos="1080"/>
          <w:tab w:val="left" w:pos="1440"/>
        </w:tabs>
        <w:suppressAutoHyphens/>
        <w:ind w:right="83"/>
        <w:contextualSpacing/>
        <w:jc w:val="both"/>
      </w:pPr>
    </w:p>
    <w:p w:rsidR="00525FE4" w:rsidRPr="0068556F" w:rsidRDefault="00525FE4" w:rsidP="0068556F">
      <w:pPr>
        <w:tabs>
          <w:tab w:val="left" w:pos="-1440"/>
          <w:tab w:val="left" w:pos="-720"/>
          <w:tab w:val="left" w:pos="90"/>
          <w:tab w:val="left" w:pos="180"/>
          <w:tab w:val="left" w:pos="1080"/>
          <w:tab w:val="left" w:pos="1440"/>
        </w:tabs>
        <w:suppressAutoHyphens/>
        <w:ind w:right="83"/>
        <w:contextualSpacing/>
        <w:jc w:val="both"/>
      </w:pPr>
      <w:r w:rsidRPr="0068556F">
        <w:t xml:space="preserve">The Company represents the lowered savings potential in the near future through 2016 and has ratcheted up the savings in the following years to a level more commensurate with past achievements in years that  were not dependent on  American Recovery and Reinvestment Act funding. </w:t>
      </w:r>
    </w:p>
    <w:p w:rsidR="00525FE4" w:rsidRPr="0068556F" w:rsidRDefault="00525FE4" w:rsidP="0068556F">
      <w:pPr>
        <w:widowControl/>
        <w:spacing w:after="0"/>
      </w:pPr>
    </w:p>
    <w:p w:rsidR="008D1381" w:rsidRPr="0068556F" w:rsidRDefault="008D1381" w:rsidP="0068556F">
      <w:pPr>
        <w:pStyle w:val="Heading1"/>
        <w:spacing w:line="276" w:lineRule="auto"/>
        <w:rPr>
          <w:rFonts w:ascii="Arial" w:hAnsi="Arial" w:cs="Arial"/>
        </w:rPr>
      </w:pPr>
      <w:bookmarkStart w:id="23" w:name="_Conservation_Programs_in"/>
      <w:bookmarkStart w:id="24" w:name="_Toc437853990"/>
      <w:bookmarkEnd w:id="23"/>
      <w:r w:rsidRPr="0068556F">
        <w:rPr>
          <w:rFonts w:ascii="Arial" w:hAnsi="Arial" w:cs="Arial"/>
        </w:rPr>
        <w:t>Conservation Programs in 2017</w:t>
      </w:r>
      <w:bookmarkEnd w:id="24"/>
    </w:p>
    <w:p w:rsidR="008D1381" w:rsidRPr="0068556F" w:rsidRDefault="008D1381" w:rsidP="0068556F">
      <w:pPr>
        <w:widowControl/>
        <w:spacing w:after="0"/>
        <w:jc w:val="both"/>
      </w:pPr>
      <w:r w:rsidRPr="0068556F">
        <w:t xml:space="preserve">The Company expects in </w:t>
      </w:r>
      <w:r w:rsidR="005E0145" w:rsidRPr="0068556F">
        <w:t>the next year</w:t>
      </w:r>
      <w:r w:rsidRPr="0068556F">
        <w:t xml:space="preserve"> to engage the CAG in discussions around viable rebate levels and potential portfolios for the 2017 program year. The advisory group has shown interest in the company moving away from our traditional method of maintaining the most robust cost-effective portfolio as feasible with rebates set near 1/3 of the incremental cost of the measure. The idea is to increase the</w:t>
      </w:r>
      <w:r w:rsidR="006B7E6F" w:rsidRPr="0068556F">
        <w:t xml:space="preserve"> incentive</w:t>
      </w:r>
      <w:r w:rsidRPr="0068556F">
        <w:t xml:space="preserve"> levels to make them more enticing to consumers, without adversely affecting the programs or </w:t>
      </w:r>
      <w:r w:rsidR="005E0145" w:rsidRPr="0068556F">
        <w:t xml:space="preserve">inadvertently promoting free-ridership.  </w:t>
      </w:r>
      <w:r w:rsidR="000709E2">
        <w:t xml:space="preserve">The Company is including a graph of program potential at both the existing incentive levels for 2017 (30-33%) as well an increase to the 50% incentive level scenario for 2017 on to provide a quick visual of impact to the program. </w:t>
      </w:r>
      <w:r w:rsidR="005E0145" w:rsidRPr="0068556F">
        <w:t>We will be exploring the effects on potential and the portfolio options in the near future</w:t>
      </w:r>
      <w:r w:rsidR="000709E2">
        <w:t xml:space="preserve"> with the CAG, but did not model increased incentive levels for 2016 as we are not posed to make the change immediately and wish to have further discussions with the advisory group keeping in mind </w:t>
      </w:r>
      <w:r w:rsidR="005E0145" w:rsidRPr="0068556F">
        <w:lastRenderedPageBreak/>
        <w:t xml:space="preserve">the proposed </w:t>
      </w:r>
      <w:r w:rsidR="000709E2">
        <w:t xml:space="preserve">increased incentive </w:t>
      </w:r>
      <w:r w:rsidR="005E0145" w:rsidRPr="0068556F">
        <w:t xml:space="preserve">approach </w:t>
      </w:r>
      <w:r w:rsidR="000709E2">
        <w:t xml:space="preserve">would </w:t>
      </w:r>
      <w:r w:rsidR="005E0145" w:rsidRPr="0068556F">
        <w:t>reduce</w:t>
      </w:r>
      <w:r w:rsidR="000709E2">
        <w:t xml:space="preserve"> the portfolio of options</w:t>
      </w:r>
      <w:r w:rsidR="005E0145" w:rsidRPr="0068556F">
        <w:t xml:space="preserve"> with the increased rebate </w:t>
      </w:r>
      <w:r w:rsidR="006B7E6F" w:rsidRPr="0068556F">
        <w:t xml:space="preserve">amounts </w:t>
      </w:r>
      <w:r w:rsidR="005E0145" w:rsidRPr="0068556F">
        <w:t xml:space="preserve">– providing fewer options, but more hearty incentives. </w:t>
      </w:r>
    </w:p>
    <w:p w:rsidR="008D1381" w:rsidRPr="0068556F" w:rsidRDefault="008D1381" w:rsidP="0068556F">
      <w:pPr>
        <w:widowControl/>
        <w:spacing w:after="0"/>
        <w:jc w:val="both"/>
      </w:pPr>
    </w:p>
    <w:p w:rsidR="00525FE4" w:rsidRPr="0068556F" w:rsidRDefault="00525FE4" w:rsidP="00E37866">
      <w:pPr>
        <w:pStyle w:val="Heading2"/>
      </w:pPr>
      <w:bookmarkStart w:id="25" w:name="_Toc437853991"/>
      <w:r w:rsidRPr="0068556F">
        <w:t>Forward Looking Targets/ TEAPOT Forecasts</w:t>
      </w:r>
      <w:bookmarkEnd w:id="25"/>
    </w:p>
    <w:p w:rsidR="00525FE4" w:rsidRPr="0068556F" w:rsidRDefault="00525FE4" w:rsidP="0068556F">
      <w:pPr>
        <w:spacing w:after="0"/>
        <w:ind w:right="83"/>
        <w:jc w:val="both"/>
      </w:pPr>
      <w:r w:rsidRPr="0068556F">
        <w:t>The TEAPOT model was used in the following section to provide an illustration of the Company’s Conservation Potential for Residential and Commercial/Industrial program participation for a 20 year forecast</w:t>
      </w:r>
      <w:r w:rsidR="00FE27E8" w:rsidRPr="0068556F">
        <w:t xml:space="preserve"> as displayed in the 2014 IRP.</w:t>
      </w:r>
      <w:r w:rsidRPr="0068556F">
        <w:t xml:space="preserve"> It was also used to provide a foreshadow of the more immediate 2-year potential incorporating expected programmatic levels of participation </w:t>
      </w:r>
      <w:r w:rsidR="006B7E6F" w:rsidRPr="0068556F">
        <w:t xml:space="preserve">demonstrated in the IRP </w:t>
      </w:r>
      <w:r w:rsidRPr="0068556F">
        <w:t xml:space="preserve">alongside the </w:t>
      </w:r>
      <w:r w:rsidR="006B7E6F" w:rsidRPr="0068556F">
        <w:t xml:space="preserve">new </w:t>
      </w:r>
      <w:r w:rsidRPr="0068556F">
        <w:t>TEAPOT modeled base Achievable level</w:t>
      </w:r>
      <w:r w:rsidR="00FE27E8" w:rsidRPr="0068556F">
        <w:t>s.  As mentioned</w:t>
      </w:r>
      <w:r w:rsidR="006B7E6F" w:rsidRPr="0068556F">
        <w:t>,</w:t>
      </w:r>
      <w:r w:rsidR="00FE27E8" w:rsidRPr="0068556F">
        <w:t xml:space="preserve"> the Company is providing an iteration of the TEAPOT model</w:t>
      </w:r>
      <w:r w:rsidR="006B7E6F" w:rsidRPr="0068556F">
        <w:t>’s</w:t>
      </w:r>
      <w:r w:rsidR="00FE27E8" w:rsidRPr="0068556F">
        <w:t xml:space="preserve"> Achievable potential including the administrative costs in lieu of the programmatic screen.  </w:t>
      </w:r>
    </w:p>
    <w:p w:rsidR="00525FE4" w:rsidRPr="0068556F" w:rsidRDefault="00525FE4" w:rsidP="0068556F">
      <w:pPr>
        <w:spacing w:after="0"/>
        <w:ind w:right="83"/>
        <w:jc w:val="both"/>
      </w:pPr>
    </w:p>
    <w:p w:rsidR="00525FE4" w:rsidRPr="0068556F" w:rsidRDefault="00525FE4" w:rsidP="00E37866">
      <w:pPr>
        <w:pStyle w:val="Heading2"/>
      </w:pPr>
      <w:bookmarkStart w:id="26" w:name="_Toc437853992"/>
      <w:bookmarkStart w:id="27" w:name="_GoBack"/>
      <w:bookmarkEnd w:id="27"/>
      <w:r w:rsidRPr="0068556F">
        <w:t>Residential Potential</w:t>
      </w:r>
      <w:bookmarkEnd w:id="26"/>
    </w:p>
    <w:p w:rsidR="00525FE4" w:rsidRDefault="00525FE4" w:rsidP="0068556F">
      <w:pPr>
        <w:spacing w:after="0"/>
        <w:ind w:right="83"/>
        <w:jc w:val="both"/>
      </w:pPr>
      <w:r w:rsidRPr="0068556F">
        <w:t xml:space="preserve">The TEAPOT model </w:t>
      </w:r>
      <w:r w:rsidR="007865C2">
        <w:t xml:space="preserve">shown in Figure 3 </w:t>
      </w:r>
      <w:r w:rsidRPr="0068556F">
        <w:t xml:space="preserve">for the Residential program was run for the </w:t>
      </w:r>
      <w:r w:rsidR="00FE27E8" w:rsidRPr="0068556F">
        <w:t>long term</w:t>
      </w:r>
      <w:r w:rsidRPr="0068556F">
        <w:t xml:space="preserve"> forecast with an all-inclusive measure set</w:t>
      </w:r>
      <w:r w:rsidR="007917C9">
        <w:t>,</w:t>
      </w:r>
      <w:r w:rsidRPr="0068556F">
        <w:t xml:space="preserve"> meaning</w:t>
      </w:r>
      <w:r w:rsidR="00FE27E8" w:rsidRPr="0068556F">
        <w:t xml:space="preserve"> </w:t>
      </w:r>
      <w:r w:rsidRPr="0068556F">
        <w:t>all measures indicated by Nexant to potentially be cost-effective under the UCT were included in the forecast</w:t>
      </w:r>
      <w:r w:rsidR="006B7E6F" w:rsidRPr="0068556F">
        <w:t xml:space="preserve"> </w:t>
      </w:r>
      <w:r w:rsidRPr="0068556F">
        <w:t xml:space="preserve"> </w:t>
      </w:r>
      <w:r w:rsidR="00FE27E8" w:rsidRPr="0068556F">
        <w:t>through 20</w:t>
      </w:r>
      <w:r w:rsidR="007865C2">
        <w:t>34</w:t>
      </w:r>
      <w:r w:rsidRPr="0068556F">
        <w:t xml:space="preserve">. We then ran a subset of measures based on the current program portfolio for </w:t>
      </w:r>
      <w:r w:rsidR="00FE27E8" w:rsidRPr="0068556F">
        <w:t>short-term program planning</w:t>
      </w:r>
      <w:r w:rsidRPr="0068556F">
        <w:t xml:space="preserve"> to give a potential savings in-line with our programmatic expectations. </w:t>
      </w:r>
    </w:p>
    <w:p w:rsidR="008713FB" w:rsidRDefault="008713FB">
      <w:pPr>
        <w:widowControl/>
        <w:spacing w:after="0" w:line="240" w:lineRule="auto"/>
      </w:pPr>
    </w:p>
    <w:p w:rsidR="00525FE4" w:rsidRPr="0068556F" w:rsidRDefault="00B0242A" w:rsidP="000D7658">
      <w:pPr>
        <w:widowControl/>
        <w:spacing w:after="0" w:line="240" w:lineRule="auto"/>
        <w:jc w:val="center"/>
        <w:rPr>
          <w:b/>
        </w:rPr>
      </w:pPr>
      <w:r w:rsidRPr="0068556F">
        <w:rPr>
          <w:b/>
        </w:rPr>
        <w:t>Figure 2</w:t>
      </w:r>
    </w:p>
    <w:p w:rsidR="00525FE4" w:rsidRPr="0068556F" w:rsidRDefault="00525FE4" w:rsidP="0068556F">
      <w:pPr>
        <w:spacing w:after="0"/>
        <w:ind w:right="83"/>
        <w:jc w:val="center"/>
      </w:pPr>
      <w:r w:rsidRPr="0068556F">
        <w:t>Achievable Forecast Adoption Curve</w:t>
      </w:r>
      <w:r w:rsidR="003E4E10" w:rsidRPr="0068556F">
        <w:t>s</w:t>
      </w:r>
    </w:p>
    <w:p w:rsidR="003E4E10" w:rsidRPr="0068556F" w:rsidRDefault="007917C9" w:rsidP="0068556F">
      <w:pPr>
        <w:spacing w:after="0"/>
        <w:ind w:right="83"/>
        <w:jc w:val="center"/>
      </w:pPr>
      <w:r>
        <w:rPr>
          <w:noProof/>
        </w:rPr>
        <w:drawing>
          <wp:inline distT="0" distB="0" distL="0" distR="0" wp14:anchorId="12BBDBFD" wp14:editId="4BF328A4">
            <wp:extent cx="2944921" cy="1771721"/>
            <wp:effectExtent l="0" t="0" r="8255" b="0"/>
            <wp:docPr id="2" name="Picture 2" descr="cid:image023.png@01D122D9.7D58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3.png@01D122D9.7D5895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944912" cy="1771715"/>
                    </a:xfrm>
                    <a:prstGeom prst="rect">
                      <a:avLst/>
                    </a:prstGeom>
                    <a:noFill/>
                    <a:ln>
                      <a:noFill/>
                    </a:ln>
                  </pic:spPr>
                </pic:pic>
              </a:graphicData>
            </a:graphic>
          </wp:inline>
        </w:drawing>
      </w:r>
      <w:r w:rsidR="003E4E10" w:rsidRPr="0068556F">
        <w:t xml:space="preserve"> </w:t>
      </w:r>
      <w:r w:rsidR="003E4E10" w:rsidRPr="0068556F">
        <w:rPr>
          <w:noProof/>
        </w:rPr>
        <w:drawing>
          <wp:inline distT="0" distB="0" distL="0" distR="0" wp14:anchorId="4A6AEA1A" wp14:editId="02A3CF13">
            <wp:extent cx="2937057" cy="1766990"/>
            <wp:effectExtent l="0" t="0" r="0" b="5080"/>
            <wp:docPr id="3" name="Picture 3" descr="cid:image025.png@01D122D9.7D58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25.png@01D122D9.7D5895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952159" cy="1776076"/>
                    </a:xfrm>
                    <a:prstGeom prst="rect">
                      <a:avLst/>
                    </a:prstGeom>
                    <a:noFill/>
                    <a:ln>
                      <a:noFill/>
                    </a:ln>
                  </pic:spPr>
                </pic:pic>
              </a:graphicData>
            </a:graphic>
          </wp:inline>
        </w:drawing>
      </w:r>
    </w:p>
    <w:p w:rsidR="003E4E10" w:rsidRPr="0068556F" w:rsidRDefault="003E4E10" w:rsidP="0068556F">
      <w:pPr>
        <w:spacing w:after="0"/>
        <w:ind w:right="83"/>
        <w:jc w:val="center"/>
      </w:pPr>
    </w:p>
    <w:p w:rsidR="00525FE4" w:rsidRPr="0068556F" w:rsidRDefault="00525FE4" w:rsidP="0068556F">
      <w:pPr>
        <w:spacing w:after="0"/>
        <w:ind w:right="83"/>
        <w:jc w:val="center"/>
      </w:pPr>
    </w:p>
    <w:p w:rsidR="004D74CF" w:rsidRDefault="00525FE4" w:rsidP="0068556F">
      <w:pPr>
        <w:spacing w:after="0"/>
        <w:ind w:right="83"/>
        <w:jc w:val="both"/>
      </w:pPr>
      <w:r w:rsidRPr="0068556F">
        <w:t xml:space="preserve">TEAPOT has the ability to model additional adoption curves at a moderate or higher </w:t>
      </w:r>
      <w:r w:rsidR="006B7E6F" w:rsidRPr="0068556F">
        <w:t xml:space="preserve">incentive </w:t>
      </w:r>
      <w:r w:rsidRPr="0068556F">
        <w:t>level for the Achievable potential</w:t>
      </w:r>
      <w:r w:rsidR="006B7E6F" w:rsidRPr="0068556F">
        <w:t xml:space="preserve"> forecast</w:t>
      </w:r>
      <w:r w:rsidRPr="0068556F">
        <w:t xml:space="preserve">. </w:t>
      </w:r>
      <w:r w:rsidR="003E4E10" w:rsidRPr="0068556F">
        <w:t>Up to this point t</w:t>
      </w:r>
      <w:r w:rsidRPr="0068556F">
        <w:t>he Company</w:t>
      </w:r>
      <w:r w:rsidR="003E4E10" w:rsidRPr="0068556F">
        <w:t xml:space="preserve"> has</w:t>
      </w:r>
      <w:r w:rsidRPr="0068556F">
        <w:t xml:space="preserve"> elected to use the base adoption curve </w:t>
      </w:r>
      <w:r w:rsidR="006B7E6F" w:rsidRPr="0068556F">
        <w:t>that correlates with the</w:t>
      </w:r>
      <w:r w:rsidRPr="0068556F">
        <w:t xml:space="preserve"> </w:t>
      </w:r>
      <w:r w:rsidR="006B7E6F" w:rsidRPr="0068556F">
        <w:t>3</w:t>
      </w:r>
      <w:r w:rsidRPr="0068556F">
        <w:t>0%</w:t>
      </w:r>
      <w:r w:rsidR="006B7E6F" w:rsidRPr="0068556F">
        <w:t xml:space="preserve"> incentive level</w:t>
      </w:r>
      <w:r w:rsidRPr="0068556F">
        <w:t xml:space="preserve"> as opposed to the moderate and high option which </w:t>
      </w:r>
      <w:r w:rsidR="004076C4" w:rsidRPr="0068556F">
        <w:t>correlates</w:t>
      </w:r>
      <w:r w:rsidRPr="0068556F">
        <w:t xml:space="preserve"> with higher incentive level</w:t>
      </w:r>
      <w:r w:rsidR="006B7E6F" w:rsidRPr="0068556F">
        <w:t>s of 50% and 70%</w:t>
      </w:r>
      <w:r w:rsidRPr="0068556F">
        <w:t>. As a policy decision</w:t>
      </w:r>
      <w:r w:rsidR="006B7E6F" w:rsidRPr="0068556F">
        <w:t>,</w:t>
      </w:r>
      <w:r w:rsidRPr="0068556F">
        <w:t xml:space="preserve"> we use</w:t>
      </w:r>
      <w:r w:rsidR="007865C2">
        <w:t>d</w:t>
      </w:r>
      <w:r w:rsidRPr="0068556F">
        <w:t xml:space="preserve"> the base </w:t>
      </w:r>
      <w:r w:rsidR="007865C2">
        <w:t xml:space="preserve">level </w:t>
      </w:r>
      <w:r w:rsidRPr="0068556F">
        <w:t xml:space="preserve">at this </w:t>
      </w:r>
      <w:r w:rsidR="007865C2">
        <w:t>stage</w:t>
      </w:r>
      <w:r w:rsidRPr="0068556F">
        <w:t xml:space="preserve"> because the savings potential </w:t>
      </w:r>
      <w:r w:rsidR="007865C2">
        <w:t>could</w:t>
      </w:r>
      <w:r w:rsidR="007865C2" w:rsidRPr="0068556F">
        <w:t xml:space="preserve"> </w:t>
      </w:r>
      <w:r w:rsidRPr="0068556F">
        <w:t xml:space="preserve">be slightly greater than the achievable moderate savings potential, even though the moderate had a more aggressive adoption curve as was the case in </w:t>
      </w:r>
      <w:r w:rsidRPr="0068556F">
        <w:lastRenderedPageBreak/>
        <w:t>2014. Nexant address</w:t>
      </w:r>
      <w:r w:rsidR="00C06BF2">
        <w:t>es</w:t>
      </w:r>
      <w:r w:rsidRPr="0068556F">
        <w:t xml:space="preserve"> this in Volume II page 48 </w:t>
      </w:r>
      <w:r w:rsidR="001F71B9" w:rsidRPr="0068556F">
        <w:t xml:space="preserve">of </w:t>
      </w:r>
      <w:r w:rsidRPr="0068556F">
        <w:t xml:space="preserve">the Cascade Assessment of Achievable Potential &amp; Program Evaluation. This occurs because the measure cost used in the cost-effectiveness test under the achievable moderate scenario (50% of incremental cost) compared to the achievable base scenario (30% of incremental cost) </w:t>
      </w:r>
      <w:r w:rsidR="003E4E10" w:rsidRPr="0068556F">
        <w:t xml:space="preserve">can </w:t>
      </w:r>
      <w:r w:rsidRPr="0068556F">
        <w:t xml:space="preserve">cause more measures to fail cost effectiveness. </w:t>
      </w:r>
      <w:r w:rsidR="003E4E10" w:rsidRPr="0068556F">
        <w:t>F</w:t>
      </w:r>
      <w:r w:rsidRPr="0068556F">
        <w:t xml:space="preserve">ewer measures passing cost effectiveness can have a greater impact on potential than the increased adoption of the measures in the moderate scenario. By running the program at the base adoption curve we </w:t>
      </w:r>
      <w:r w:rsidR="007865C2">
        <w:t>were</w:t>
      </w:r>
      <w:r w:rsidR="007865C2" w:rsidRPr="0068556F">
        <w:t xml:space="preserve"> </w:t>
      </w:r>
      <w:r w:rsidRPr="0068556F">
        <w:t>able to maintain a more robust portfolio.</w:t>
      </w:r>
      <w:r w:rsidR="003E4E10" w:rsidRPr="0068556F">
        <w:t xml:space="preserve"> We will be revisiting incentive levels and adoption curves with the CAG in 2016. </w:t>
      </w:r>
      <w:r w:rsidR="007865C2">
        <w:t xml:space="preserve"> </w:t>
      </w:r>
    </w:p>
    <w:p w:rsidR="004D74CF" w:rsidRDefault="004D74CF" w:rsidP="0068556F">
      <w:pPr>
        <w:spacing w:after="0"/>
        <w:ind w:right="83"/>
        <w:jc w:val="both"/>
      </w:pPr>
    </w:p>
    <w:p w:rsidR="007865C2" w:rsidRDefault="00157F79" w:rsidP="0068556F">
      <w:pPr>
        <w:spacing w:after="0"/>
        <w:ind w:right="83"/>
        <w:jc w:val="both"/>
      </w:pPr>
      <w:r>
        <w:t>As per the request of stakeholders the Company also modeled an alternative to the current 30% incentive level for 2017 and set residential incentive levels at 50% incremental cost.  This</w:t>
      </w:r>
      <w:r w:rsidR="007865C2">
        <w:t xml:space="preserve"> increased incentive level for residential result</w:t>
      </w:r>
      <w:r>
        <w:t>s</w:t>
      </w:r>
      <w:r w:rsidR="007865C2">
        <w:t xml:space="preserve"> in fewer measures passing cost-effectiveness, and thus </w:t>
      </w:r>
      <w:r>
        <w:t xml:space="preserve">significantly </w:t>
      </w:r>
      <w:r w:rsidR="007865C2">
        <w:t xml:space="preserve">fewer measures being available </w:t>
      </w:r>
      <w:r w:rsidR="00404742">
        <w:t>for</w:t>
      </w:r>
      <w:r w:rsidR="007865C2">
        <w:t xml:space="preserve"> the Company’s potential savings.  </w:t>
      </w:r>
      <w:r>
        <w:t>Also note i</w:t>
      </w:r>
      <w:r w:rsidR="007865C2">
        <w:t>n 2018</w:t>
      </w:r>
      <w:r w:rsidR="00404742">
        <w:t>,</w:t>
      </w:r>
      <w:r w:rsidR="007865C2">
        <w:t xml:space="preserve"> </w:t>
      </w:r>
      <w:r w:rsidR="009F1697">
        <w:t>potential modeled by the Company through TEAPOT increases commensurate with inclusion of the full breadth of measures Nexant deemed viable for Cascade’s WA service territory, as opposed to simply modeling the current portfolio of options.</w:t>
      </w:r>
      <w:r w:rsidR="007865C2">
        <w:t xml:space="preserve">   </w:t>
      </w:r>
      <w:r w:rsidR="003E4E10" w:rsidRPr="0068556F">
        <w:t xml:space="preserve"> </w:t>
      </w:r>
    </w:p>
    <w:p w:rsidR="007865C2" w:rsidRDefault="007865C2" w:rsidP="0068556F">
      <w:pPr>
        <w:spacing w:after="0"/>
        <w:ind w:right="83"/>
        <w:jc w:val="both"/>
      </w:pPr>
    </w:p>
    <w:p w:rsidR="00525FE4" w:rsidRPr="0068556F" w:rsidRDefault="003E4E10" w:rsidP="0068556F">
      <w:pPr>
        <w:spacing w:after="0"/>
        <w:ind w:right="83"/>
        <w:jc w:val="both"/>
      </w:pPr>
      <w:r w:rsidRPr="0068556F">
        <w:t xml:space="preserve">Following is the breakdown of potential as demonstrated in the most recent IRP – which is why it represents 2015 in the graphs.  We are now including an iteration of the goals and potential for the next two years and forecast </w:t>
      </w:r>
      <w:r w:rsidR="001F71B9" w:rsidRPr="0068556F">
        <w:t>through year ten, 2026</w:t>
      </w:r>
      <w:r w:rsidRPr="0068556F">
        <w:t xml:space="preserve"> – moving away from the programmatic screening </w:t>
      </w:r>
      <w:r w:rsidR="008940DA" w:rsidRPr="0068556F">
        <w:t xml:space="preserve">toward an administrative cost </w:t>
      </w:r>
      <w:r w:rsidRPr="0068556F">
        <w:t>inclusive model run of the Achievable</w:t>
      </w:r>
      <w:r w:rsidR="008940DA" w:rsidRPr="0068556F">
        <w:t xml:space="preserve"> Potential without further reduction </w:t>
      </w:r>
      <w:r w:rsidR="00404742">
        <w:t>via</w:t>
      </w:r>
      <w:r w:rsidR="008940DA" w:rsidRPr="0068556F">
        <w:t xml:space="preserve"> a Programmatic level</w:t>
      </w:r>
      <w:r w:rsidR="00404742">
        <w:t xml:space="preserve"> scenario</w:t>
      </w:r>
      <w:r w:rsidR="008940DA" w:rsidRPr="0068556F">
        <w:t xml:space="preserve">.  </w:t>
      </w:r>
      <w:r w:rsidRPr="0068556F">
        <w:t xml:space="preserve">    </w:t>
      </w:r>
    </w:p>
    <w:p w:rsidR="00525FE4" w:rsidRPr="0068556F" w:rsidRDefault="00525FE4" w:rsidP="0068556F">
      <w:pPr>
        <w:spacing w:after="0"/>
        <w:ind w:right="83"/>
        <w:jc w:val="both"/>
      </w:pPr>
    </w:p>
    <w:p w:rsidR="00525FE4" w:rsidRPr="0068556F" w:rsidRDefault="00525FE4" w:rsidP="0068556F">
      <w:pPr>
        <w:spacing w:after="0"/>
        <w:ind w:right="83"/>
        <w:jc w:val="both"/>
      </w:pPr>
      <w:r w:rsidRPr="0068556F">
        <w:t>Based on the all-inclusive scenario of the residential program savings in an ideal setting, the following figure demonstrates what potential could look like if the Company included all residential measures represented by Nexant as cost-effective</w:t>
      </w:r>
      <w:r w:rsidR="003A4701" w:rsidRPr="0068556F">
        <w:t xml:space="preserve"> – with the inclusion of the programmatic screen </w:t>
      </w:r>
      <w:r w:rsidR="00404742">
        <w:t>labeled</w:t>
      </w:r>
      <w:r w:rsidR="00404742" w:rsidRPr="0068556F">
        <w:t xml:space="preserve"> </w:t>
      </w:r>
      <w:r w:rsidR="003A4701" w:rsidRPr="0068556F">
        <w:t>here as “Realistic” potential</w:t>
      </w:r>
      <w:r w:rsidR="00360348" w:rsidRPr="0068556F">
        <w:t>. Note, this graph is from the 2014 IRP and thus the Achievable Potential Forecast does NOT include Administrative Costs</w:t>
      </w:r>
      <w:r w:rsidRPr="0068556F">
        <w:t xml:space="preserve">: </w:t>
      </w:r>
    </w:p>
    <w:p w:rsidR="00525FE4" w:rsidRPr="0068556F" w:rsidRDefault="00525FE4" w:rsidP="0068556F">
      <w:pPr>
        <w:spacing w:after="0"/>
        <w:ind w:right="83"/>
      </w:pPr>
    </w:p>
    <w:p w:rsidR="00D46E53" w:rsidRDefault="00D46E53">
      <w:pPr>
        <w:widowControl/>
        <w:spacing w:after="0" w:line="240" w:lineRule="auto"/>
        <w:rPr>
          <w:b/>
        </w:rPr>
      </w:pPr>
      <w:r>
        <w:rPr>
          <w:b/>
        </w:rPr>
        <w:br w:type="page"/>
      </w:r>
    </w:p>
    <w:p w:rsidR="00964466" w:rsidRDefault="00B0242A" w:rsidP="0068556F">
      <w:pPr>
        <w:widowControl/>
        <w:jc w:val="center"/>
        <w:rPr>
          <w:b/>
        </w:rPr>
      </w:pPr>
      <w:r w:rsidRPr="0068556F">
        <w:rPr>
          <w:b/>
        </w:rPr>
        <w:lastRenderedPageBreak/>
        <w:t>Figure 3</w:t>
      </w:r>
    </w:p>
    <w:p w:rsidR="00525FE4" w:rsidRPr="0068556F" w:rsidRDefault="00525FE4" w:rsidP="0068556F">
      <w:pPr>
        <w:widowControl/>
        <w:jc w:val="center"/>
      </w:pPr>
      <w:r w:rsidRPr="0068556F">
        <w:rPr>
          <w:noProof/>
        </w:rPr>
        <w:t xml:space="preserve"> </w:t>
      </w:r>
      <w:r w:rsidRPr="0068556F">
        <w:rPr>
          <w:noProof/>
        </w:rPr>
        <w:drawing>
          <wp:inline distT="0" distB="0" distL="0" distR="0" wp14:anchorId="614BC765" wp14:editId="332D5013">
            <wp:extent cx="5149970" cy="2958860"/>
            <wp:effectExtent l="0" t="0" r="12700" b="1333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5FE4" w:rsidRPr="0068556F" w:rsidRDefault="00525FE4" w:rsidP="0068556F">
      <w:pPr>
        <w:spacing w:after="0"/>
        <w:ind w:right="83"/>
        <w:jc w:val="both"/>
      </w:pPr>
    </w:p>
    <w:p w:rsidR="003E4E10" w:rsidRPr="0068556F" w:rsidRDefault="00525FE4" w:rsidP="0068556F">
      <w:pPr>
        <w:spacing w:after="0"/>
        <w:ind w:right="83"/>
        <w:jc w:val="both"/>
      </w:pPr>
      <w:r w:rsidRPr="0068556F">
        <w:t xml:space="preserve">The line graph above provides </w:t>
      </w:r>
      <w:r w:rsidR="004D74CF">
        <w:t>four</w:t>
      </w:r>
      <w:r w:rsidR="004D74CF" w:rsidRPr="0068556F">
        <w:t xml:space="preserve"> </w:t>
      </w:r>
      <w:r w:rsidRPr="0068556F">
        <w:t xml:space="preserve">separate lines denoting the various savings potentials for Technical, Economic, Base Achievable, </w:t>
      </w:r>
      <w:r w:rsidR="00404742">
        <w:t xml:space="preserve">and </w:t>
      </w:r>
      <w:r w:rsidRPr="0068556F">
        <w:t>a reduction to 75% of Achievable to accommodate aspirational programmatic targets</w:t>
      </w:r>
      <w:r w:rsidR="00404742">
        <w:t>.</w:t>
      </w:r>
      <w:r w:rsidRPr="0068556F">
        <w:t xml:space="preserve"> For the purposes of program development, we narrowed the target closer to 25% of Achievable base to reflect a number within approximate range of our previous year’s achievements</w:t>
      </w:r>
      <w:r w:rsidR="00404742">
        <w:t>, although t</w:t>
      </w:r>
      <w:r w:rsidRPr="0068556F">
        <w:t>he Company will continue to seek higher savings goals</w:t>
      </w:r>
      <w:r w:rsidR="003E4E10" w:rsidRPr="0068556F">
        <w:t>.</w:t>
      </w:r>
    </w:p>
    <w:p w:rsidR="00525FE4" w:rsidRPr="0068556F" w:rsidRDefault="00525FE4" w:rsidP="0068556F">
      <w:pPr>
        <w:spacing w:after="0"/>
        <w:ind w:right="83"/>
      </w:pPr>
    </w:p>
    <w:p w:rsidR="00B0242A" w:rsidRDefault="00525FE4" w:rsidP="0068556F">
      <w:pPr>
        <w:spacing w:after="0"/>
        <w:ind w:right="83"/>
        <w:jc w:val="both"/>
      </w:pPr>
      <w:r w:rsidRPr="0068556F">
        <w:t xml:space="preserve">Below is the Residential combined annual incremental energy savings by scenario.  Note the sharp increase from year 2016 to 2017 when the company </w:t>
      </w:r>
      <w:r w:rsidR="00D819A5" w:rsidRPr="0068556F">
        <w:t xml:space="preserve">moves to </w:t>
      </w:r>
      <w:r w:rsidRPr="0068556F">
        <w:t>the all-inclusive</w:t>
      </w:r>
      <w:r w:rsidR="008713FB">
        <w:t xml:space="preserve"> potential</w:t>
      </w:r>
      <w:r w:rsidRPr="0068556F">
        <w:t xml:space="preserve"> scenario as opposed to the portfolio specific scenario utilized in 2015 and 2016. </w:t>
      </w:r>
    </w:p>
    <w:p w:rsidR="00D46E53" w:rsidRDefault="00D46E53" w:rsidP="00D46E53">
      <w:pPr>
        <w:widowControl/>
        <w:spacing w:after="0"/>
        <w:rPr>
          <w:b/>
        </w:rPr>
      </w:pPr>
      <w:r>
        <w:rPr>
          <w:b/>
        </w:rPr>
        <w:br/>
      </w:r>
    </w:p>
    <w:p w:rsidR="00D46E53" w:rsidRDefault="00D46E53">
      <w:pPr>
        <w:widowControl/>
        <w:spacing w:after="0" w:line="240" w:lineRule="auto"/>
        <w:rPr>
          <w:b/>
        </w:rPr>
      </w:pPr>
      <w:r>
        <w:rPr>
          <w:b/>
        </w:rPr>
        <w:br w:type="page"/>
      </w:r>
    </w:p>
    <w:p w:rsidR="00525FE4" w:rsidRPr="0068556F" w:rsidRDefault="00DF2D58" w:rsidP="0068556F">
      <w:pPr>
        <w:widowControl/>
        <w:spacing w:after="0"/>
        <w:jc w:val="center"/>
      </w:pPr>
      <w:r w:rsidRPr="0068556F">
        <w:rPr>
          <w:b/>
        </w:rPr>
        <w:lastRenderedPageBreak/>
        <w:t xml:space="preserve">Figure </w:t>
      </w:r>
      <w:r w:rsidR="005B49EA">
        <w:rPr>
          <w:b/>
        </w:rPr>
        <w:t>4</w:t>
      </w:r>
    </w:p>
    <w:p w:rsidR="00525FE4" w:rsidRPr="0068556F" w:rsidRDefault="00525FE4" w:rsidP="0068556F">
      <w:pPr>
        <w:widowControl/>
        <w:jc w:val="center"/>
        <w:rPr>
          <w:i/>
        </w:rPr>
      </w:pPr>
      <w:r w:rsidRPr="0068556F">
        <w:rPr>
          <w:noProof/>
        </w:rPr>
        <w:drawing>
          <wp:inline distT="0" distB="0" distL="0" distR="0" wp14:anchorId="6C65C656" wp14:editId="1776BE7E">
            <wp:extent cx="5784112" cy="3104707"/>
            <wp:effectExtent l="0" t="0" r="26670" b="1968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3448" w:rsidRDefault="000830FC" w:rsidP="00E33448">
      <w:pPr>
        <w:spacing w:after="0"/>
        <w:ind w:right="83"/>
        <w:jc w:val="both"/>
      </w:pPr>
      <w:r w:rsidRPr="0068556F">
        <w:t xml:space="preserve">The following graph shows a comparison for the Residential program potential between the </w:t>
      </w:r>
      <w:r w:rsidR="00D819A5" w:rsidRPr="0068556F">
        <w:t xml:space="preserve">2014 </w:t>
      </w:r>
      <w:r w:rsidRPr="0068556F">
        <w:t>IRP goals and</w:t>
      </w:r>
      <w:r w:rsidR="00D819A5" w:rsidRPr="0068556F">
        <w:t xml:space="preserve"> the</w:t>
      </w:r>
      <w:r w:rsidRPr="0068556F">
        <w:t xml:space="preserve"> re-run of TEAPOT in which</w:t>
      </w:r>
      <w:r w:rsidR="00D819A5" w:rsidRPr="0068556F">
        <w:t xml:space="preserve"> the</w:t>
      </w:r>
      <w:r w:rsidRPr="0068556F">
        <w:t xml:space="preserve"> Company included the administrative costs as an input in the model and did not further reduce the savings potential </w:t>
      </w:r>
      <w:r w:rsidR="00D819A5" w:rsidRPr="0068556F">
        <w:t xml:space="preserve">by </w:t>
      </w:r>
      <w:r w:rsidRPr="0068556F">
        <w:t xml:space="preserve">a programmatic scenario </w:t>
      </w:r>
      <w:r w:rsidR="00D819A5" w:rsidRPr="0068556F">
        <w:t>screen</w:t>
      </w:r>
      <w:r w:rsidRPr="0068556F">
        <w:t>.  As was the case in previous graphs</w:t>
      </w:r>
      <w:r w:rsidR="00D819A5" w:rsidRPr="0068556F">
        <w:t>,</w:t>
      </w:r>
      <w:r w:rsidRPr="0068556F">
        <w:t xml:space="preserve"> the Company ran the potential for the remaining years under the full breadth of </w:t>
      </w:r>
      <w:r w:rsidR="00D819A5" w:rsidRPr="0068556F">
        <w:t xml:space="preserve">all </w:t>
      </w:r>
      <w:r w:rsidRPr="0068556F">
        <w:t>cost-effective m</w:t>
      </w:r>
      <w:r w:rsidR="00D819A5" w:rsidRPr="0068556F">
        <w:t>easures as indicated by Nexant.</w:t>
      </w:r>
    </w:p>
    <w:p w:rsidR="00517AB6" w:rsidRPr="00E33448" w:rsidRDefault="00517AB6" w:rsidP="00E33448">
      <w:pPr>
        <w:spacing w:after="0"/>
        <w:ind w:right="83"/>
        <w:jc w:val="both"/>
      </w:pPr>
    </w:p>
    <w:p w:rsidR="00B0242A" w:rsidRPr="0068556F" w:rsidRDefault="000830FC" w:rsidP="008A5C39">
      <w:pPr>
        <w:widowControl/>
        <w:spacing w:after="0" w:line="240" w:lineRule="auto"/>
        <w:jc w:val="center"/>
        <w:rPr>
          <w:b/>
        </w:rPr>
      </w:pPr>
      <w:r w:rsidRPr="0068556F">
        <w:rPr>
          <w:b/>
        </w:rPr>
        <w:t xml:space="preserve">Figure </w:t>
      </w:r>
      <w:r w:rsidR="005B49EA">
        <w:rPr>
          <w:b/>
        </w:rPr>
        <w:t>5</w:t>
      </w:r>
    </w:p>
    <w:p w:rsidR="000830FC" w:rsidRPr="0068556F" w:rsidRDefault="00E33448" w:rsidP="0068556F">
      <w:pPr>
        <w:spacing w:after="0"/>
        <w:ind w:right="83"/>
        <w:jc w:val="center"/>
        <w:rPr>
          <w:i/>
        </w:rPr>
      </w:pPr>
      <w:r>
        <w:rPr>
          <w:noProof/>
        </w:rPr>
        <w:drawing>
          <wp:inline distT="0" distB="0" distL="0" distR="0" wp14:anchorId="417694CE" wp14:editId="7D37830A">
            <wp:extent cx="5007935" cy="2583712"/>
            <wp:effectExtent l="0" t="0" r="21590"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830FC" w:rsidRPr="0068556F" w:rsidRDefault="000830FC" w:rsidP="0068556F">
      <w:pPr>
        <w:widowControl/>
        <w:rPr>
          <w:i/>
        </w:rPr>
      </w:pPr>
    </w:p>
    <w:p w:rsidR="00E266A7" w:rsidRDefault="00E266A7" w:rsidP="00E37866">
      <w:pPr>
        <w:pStyle w:val="Heading2"/>
        <w:rPr>
          <w:b w:val="0"/>
          <w:i w:val="0"/>
        </w:rPr>
      </w:pPr>
      <w:bookmarkStart w:id="28" w:name="_Toc437853993"/>
      <w:r>
        <w:rPr>
          <w:b w:val="0"/>
          <w:i w:val="0"/>
        </w:rPr>
        <w:lastRenderedPageBreak/>
        <w:t xml:space="preserve">For comparison </w:t>
      </w:r>
      <w:r w:rsidRPr="00517AB6">
        <w:rPr>
          <w:i w:val="0"/>
        </w:rPr>
        <w:t>Figure 6</w:t>
      </w:r>
      <w:r>
        <w:rPr>
          <w:b w:val="0"/>
          <w:i w:val="0"/>
        </w:rPr>
        <w:t xml:space="preserve"> below shows a different iteration of the Residential potential through 2026, but this time the incentive levels are maintained at current levels as opposed to increasing to 50%</w:t>
      </w:r>
      <w:bookmarkEnd w:id="28"/>
    </w:p>
    <w:p w:rsidR="00E266A7" w:rsidRDefault="00E266A7" w:rsidP="00E74785">
      <w:pPr>
        <w:spacing w:after="0"/>
        <w:ind w:right="83"/>
        <w:jc w:val="center"/>
      </w:pPr>
      <w:r w:rsidRPr="0068556F">
        <w:rPr>
          <w:b/>
        </w:rPr>
        <w:t xml:space="preserve">Figure </w:t>
      </w:r>
      <w:r>
        <w:rPr>
          <w:b/>
        </w:rPr>
        <w:t>6</w:t>
      </w:r>
    </w:p>
    <w:p w:rsidR="00E33448" w:rsidRPr="00E33448" w:rsidRDefault="00E33448" w:rsidP="008A5C39">
      <w:pPr>
        <w:jc w:val="center"/>
      </w:pPr>
      <w:r>
        <w:rPr>
          <w:noProof/>
        </w:rPr>
        <w:drawing>
          <wp:inline distT="0" distB="0" distL="0" distR="0" wp14:anchorId="05EDDD36" wp14:editId="114C172B">
            <wp:extent cx="5943600" cy="2515870"/>
            <wp:effectExtent l="0" t="0" r="1905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5FE4" w:rsidRPr="0068556F" w:rsidRDefault="00525FE4" w:rsidP="00E37866">
      <w:pPr>
        <w:pStyle w:val="Heading2"/>
      </w:pPr>
      <w:bookmarkStart w:id="29" w:name="_Toc437853994"/>
      <w:r w:rsidRPr="0068556F">
        <w:t>Commercial/Industrial Potential</w:t>
      </w:r>
      <w:bookmarkEnd w:id="29"/>
    </w:p>
    <w:p w:rsidR="00525FE4" w:rsidRPr="0068556F" w:rsidRDefault="00525FE4" w:rsidP="00702383">
      <w:pPr>
        <w:spacing w:after="0"/>
        <w:ind w:right="83"/>
        <w:jc w:val="both"/>
      </w:pPr>
      <w:r w:rsidRPr="0068556F">
        <w:t>As noted previously</w:t>
      </w:r>
      <w:r w:rsidR="00D819A5" w:rsidRPr="0068556F">
        <w:t>,</w:t>
      </w:r>
      <w:r w:rsidRPr="0068556F">
        <w:t xml:space="preserve"> the model does not allocate savings associated with the Company’s Custom Commercial/Industrial program offerings</w:t>
      </w:r>
      <w:r w:rsidR="00D819A5" w:rsidRPr="0068556F">
        <w:t>,</w:t>
      </w:r>
      <w:r w:rsidRPr="0068556F">
        <w:t xml:space="preserve"> which characteristically account for 65% of the conservation savings for the Commercial/Industrial CIP. To display overall expected participation numbers we have added in the historic participation levels for custom projects which make the Program with custom </w:t>
      </w:r>
      <w:r w:rsidR="00865C76">
        <w:t xml:space="preserve">potential </w:t>
      </w:r>
      <w:r w:rsidRPr="0068556F">
        <w:t xml:space="preserve">exceed the savings potential alone for Economic prescriptive measures. </w:t>
      </w:r>
    </w:p>
    <w:p w:rsidR="00525FE4" w:rsidRPr="0068556F" w:rsidRDefault="00525FE4" w:rsidP="0068556F">
      <w:pPr>
        <w:spacing w:after="0"/>
        <w:ind w:right="83"/>
        <w:jc w:val="both"/>
      </w:pPr>
    </w:p>
    <w:p w:rsidR="00525FE4" w:rsidRPr="0068556F" w:rsidRDefault="00525FE4" w:rsidP="0068556F">
      <w:pPr>
        <w:spacing w:after="0"/>
        <w:ind w:right="83"/>
        <w:jc w:val="both"/>
      </w:pPr>
      <w:r w:rsidRPr="0068556F">
        <w:t>Once the Company had the combined Commercial/Industrial measures and was able to add in the custom component</w:t>
      </w:r>
      <w:r w:rsidR="004A2FB8" w:rsidRPr="0068556F">
        <w:t>, we arrived at</w:t>
      </w:r>
      <w:r w:rsidRPr="0068556F">
        <w:t xml:space="preserve"> the following Commercial/Industrial Annual Incremental Energy Savings by Scenario</w:t>
      </w:r>
      <w:r w:rsidR="00517AB6">
        <w:t xml:space="preserve"> for the IRP</w:t>
      </w:r>
      <w:r w:rsidRPr="0068556F">
        <w:t>. Note the uptake between years 2016 and 2017 indicating the transition from tracking savings potential by the current portfolio in effect to the all-inclusive portfolio for years 2017-2034.</w:t>
      </w:r>
    </w:p>
    <w:p w:rsidR="00525FE4" w:rsidRPr="0068556F" w:rsidRDefault="00525FE4" w:rsidP="0068556F">
      <w:pPr>
        <w:spacing w:after="0"/>
        <w:ind w:right="83"/>
        <w:jc w:val="both"/>
      </w:pPr>
    </w:p>
    <w:p w:rsidR="00525FE4" w:rsidRPr="0068556F" w:rsidRDefault="00DF2D58" w:rsidP="0068556F">
      <w:pPr>
        <w:widowControl/>
        <w:jc w:val="center"/>
      </w:pPr>
      <w:r w:rsidRPr="0068556F">
        <w:rPr>
          <w:b/>
        </w:rPr>
        <w:lastRenderedPageBreak/>
        <w:t xml:space="preserve">Figure </w:t>
      </w:r>
      <w:r w:rsidR="00880CCE" w:rsidRPr="00517AB6">
        <w:rPr>
          <w:b/>
          <w:noProof/>
        </w:rPr>
        <w:t>7</w:t>
      </w:r>
      <w:r w:rsidR="00467989" w:rsidRPr="0068556F">
        <w:rPr>
          <w:noProof/>
        </w:rPr>
        <w:drawing>
          <wp:inline distT="0" distB="0" distL="0" distR="0" wp14:anchorId="77A9FBD2" wp14:editId="4F2E9908">
            <wp:extent cx="5857336" cy="3140015"/>
            <wp:effectExtent l="0" t="0" r="10160" b="2286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5FE4" w:rsidRPr="0068556F" w:rsidRDefault="00525FE4" w:rsidP="0068556F">
      <w:pPr>
        <w:spacing w:after="0"/>
        <w:ind w:right="83"/>
        <w:jc w:val="both"/>
      </w:pPr>
    </w:p>
    <w:p w:rsidR="00487448" w:rsidRPr="0068556F" w:rsidRDefault="000830FC" w:rsidP="0068556F">
      <w:pPr>
        <w:spacing w:after="0"/>
        <w:ind w:right="83"/>
        <w:jc w:val="both"/>
      </w:pPr>
      <w:r w:rsidRPr="0068556F">
        <w:t xml:space="preserve">Similar to the residential program </w:t>
      </w:r>
      <w:r w:rsidR="00487448" w:rsidRPr="0068556F">
        <w:t xml:space="preserve">graphics </w:t>
      </w:r>
      <w:r w:rsidRPr="0068556F">
        <w:t xml:space="preserve">– </w:t>
      </w:r>
      <w:r w:rsidR="00487448" w:rsidRPr="0068556F">
        <w:t>the Company is providing the</w:t>
      </w:r>
      <w:r w:rsidRPr="0068556F">
        <w:t xml:space="preserve"> Commercial/Industrial potential comparison for the 10- year forecast b</w:t>
      </w:r>
      <w:r w:rsidR="00487448" w:rsidRPr="0068556F">
        <w:t>etween the initial detail f</w:t>
      </w:r>
      <w:r w:rsidRPr="0068556F">
        <w:t xml:space="preserve">rom the IRP </w:t>
      </w:r>
      <w:r w:rsidR="00487448" w:rsidRPr="0068556F">
        <w:t xml:space="preserve"> - </w:t>
      </w:r>
      <w:r w:rsidRPr="0068556F">
        <w:t>in which the company established the Programmatic Potential levels</w:t>
      </w:r>
      <w:r w:rsidR="00556E84">
        <w:t>,</w:t>
      </w:r>
      <w:r w:rsidRPr="0068556F">
        <w:t xml:space="preserve"> to the updated TEAPOT run </w:t>
      </w:r>
      <w:r w:rsidR="004A2FB8" w:rsidRPr="0068556F">
        <w:t xml:space="preserve">of </w:t>
      </w:r>
      <w:r w:rsidRPr="0068556F">
        <w:t xml:space="preserve">Achievable </w:t>
      </w:r>
      <w:r w:rsidR="004A2FB8" w:rsidRPr="0068556F">
        <w:t xml:space="preserve">potential </w:t>
      </w:r>
      <w:r w:rsidRPr="0068556F">
        <w:t>inclusive of administrative costs.</w:t>
      </w:r>
      <w:r w:rsidR="00865C76">
        <w:t xml:space="preserve">  One other item to note</w:t>
      </w:r>
      <w:r w:rsidR="00556E84">
        <w:t xml:space="preserve"> is that</w:t>
      </w:r>
      <w:r w:rsidR="00865C76">
        <w:t xml:space="preserve"> the Company did not model for an increase in incentive level for the commercial program </w:t>
      </w:r>
      <w:r w:rsidR="00556E84">
        <w:t xml:space="preserve">in 2017 </w:t>
      </w:r>
      <w:r w:rsidR="00865C76">
        <w:t>as we did for the residential program.  A significant portion of program participation</w:t>
      </w:r>
      <w:r w:rsidR="00556E84">
        <w:t xml:space="preserve"> for the Commercial/Industrial sector</w:t>
      </w:r>
      <w:r w:rsidR="00865C76">
        <w:t xml:space="preserve"> comes from custom project implementation, which TEAPOT doe</w:t>
      </w:r>
      <w:r w:rsidR="00556E84">
        <w:t>s not account for</w:t>
      </w:r>
      <w:r w:rsidR="00865C76">
        <w:t xml:space="preserve">. As custom projects </w:t>
      </w:r>
      <w:r w:rsidR="00556E84">
        <w:t xml:space="preserve">and incentive levels are based on calculated savings as opposed to average deemed savings an increase in the incentive levels is premature to model at this time. </w:t>
      </w:r>
      <w:r w:rsidR="00E266A7">
        <w:t xml:space="preserve"> As the majority of the program is custom based and savings and incentives are calculated individually we feel it appropriate to maintain the incentive levels at their current levels for the commercial program.  If the Company does proceed with increasing the incentive levels after further discussion with our CAG then it would prefer to start with the residential program and experience the impacts in real-time prior to transitioning the entire portfolio to higher incentive levels than may be necessary to drive uptake.  </w:t>
      </w:r>
    </w:p>
    <w:p w:rsidR="00487448" w:rsidRDefault="00487448" w:rsidP="0068556F">
      <w:pPr>
        <w:spacing w:after="0"/>
        <w:ind w:right="83"/>
        <w:jc w:val="both"/>
      </w:pPr>
    </w:p>
    <w:p w:rsidR="00517AB6" w:rsidRDefault="00517AB6" w:rsidP="0068556F">
      <w:pPr>
        <w:spacing w:after="0"/>
        <w:ind w:right="83"/>
        <w:jc w:val="both"/>
      </w:pPr>
    </w:p>
    <w:p w:rsidR="00517AB6" w:rsidRDefault="00517AB6" w:rsidP="0068556F">
      <w:pPr>
        <w:spacing w:after="0"/>
        <w:ind w:right="83"/>
        <w:jc w:val="both"/>
      </w:pPr>
    </w:p>
    <w:p w:rsidR="00517AB6" w:rsidRDefault="00517AB6" w:rsidP="0068556F">
      <w:pPr>
        <w:spacing w:after="0"/>
        <w:ind w:right="83"/>
        <w:jc w:val="both"/>
      </w:pPr>
    </w:p>
    <w:p w:rsidR="00517AB6" w:rsidRPr="0068556F" w:rsidRDefault="00517AB6" w:rsidP="0068556F">
      <w:pPr>
        <w:spacing w:after="0"/>
        <w:ind w:right="83"/>
        <w:jc w:val="both"/>
      </w:pPr>
    </w:p>
    <w:p w:rsidR="00487448" w:rsidRPr="0068556F" w:rsidRDefault="00487448" w:rsidP="0068556F">
      <w:pPr>
        <w:spacing w:after="0"/>
        <w:ind w:right="83"/>
        <w:jc w:val="center"/>
        <w:rPr>
          <w:b/>
        </w:rPr>
      </w:pPr>
      <w:r w:rsidRPr="0068556F">
        <w:rPr>
          <w:b/>
        </w:rPr>
        <w:lastRenderedPageBreak/>
        <w:t xml:space="preserve">Figure </w:t>
      </w:r>
      <w:r w:rsidR="00880CCE">
        <w:rPr>
          <w:b/>
        </w:rPr>
        <w:t>8</w:t>
      </w:r>
    </w:p>
    <w:p w:rsidR="00525FE4" w:rsidRPr="0068556F" w:rsidRDefault="00880CCE" w:rsidP="00964466">
      <w:pPr>
        <w:spacing w:after="0"/>
        <w:ind w:right="83"/>
        <w:jc w:val="center"/>
      </w:pPr>
      <w:r w:rsidRPr="00880CCE">
        <w:rPr>
          <w:noProof/>
        </w:rPr>
        <w:t xml:space="preserve"> </w:t>
      </w:r>
      <w:r>
        <w:rPr>
          <w:noProof/>
        </w:rPr>
        <w:drawing>
          <wp:inline distT="0" distB="0" distL="0" distR="0" wp14:anchorId="4FA6E226" wp14:editId="503EB35B">
            <wp:extent cx="5943600" cy="3259666"/>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5FE4" w:rsidRPr="0068556F" w:rsidRDefault="00525FE4" w:rsidP="0068556F">
      <w:pPr>
        <w:spacing w:after="0"/>
        <w:ind w:right="83"/>
        <w:jc w:val="both"/>
      </w:pPr>
    </w:p>
    <w:p w:rsidR="00525FE4" w:rsidRPr="0068556F" w:rsidRDefault="00525FE4" w:rsidP="00E37866">
      <w:pPr>
        <w:pStyle w:val="Heading2"/>
      </w:pPr>
      <w:bookmarkStart w:id="30" w:name="_CY_2016_&amp;"/>
      <w:bookmarkStart w:id="31" w:name="_Toc437853995"/>
      <w:bookmarkEnd w:id="30"/>
      <w:r w:rsidRPr="0068556F">
        <w:t>CY 201</w:t>
      </w:r>
      <w:r w:rsidR="00E90F67" w:rsidRPr="0068556F">
        <w:t>6</w:t>
      </w:r>
      <w:r w:rsidRPr="0068556F">
        <w:t xml:space="preserve"> &amp; 201</w:t>
      </w:r>
      <w:r w:rsidR="00E90F67" w:rsidRPr="0068556F">
        <w:t>7</w:t>
      </w:r>
      <w:r w:rsidRPr="0068556F">
        <w:t xml:space="preserve"> Targets</w:t>
      </w:r>
      <w:bookmarkEnd w:id="31"/>
      <w:r w:rsidRPr="0068556F">
        <w:t xml:space="preserve"> </w:t>
      </w:r>
    </w:p>
    <w:p w:rsidR="005C3825" w:rsidRDefault="00E90F67" w:rsidP="0068556F">
      <w:pPr>
        <w:spacing w:after="0"/>
        <w:ind w:right="83"/>
        <w:jc w:val="both"/>
      </w:pPr>
      <w:r w:rsidRPr="0068556F">
        <w:t>We are</w:t>
      </w:r>
      <w:r w:rsidR="00487448" w:rsidRPr="0068556F">
        <w:t xml:space="preserve"> once more</w:t>
      </w:r>
      <w:r w:rsidRPr="0068556F">
        <w:t xml:space="preserve"> providing the most recent IRP submission below as a reference point (with the understanding that it was developed under the Programmatic Screen potential level).  We have also included the updated Achievable goals as per the TEAPOT model </w:t>
      </w:r>
      <w:r w:rsidRPr="0068556F">
        <w:rPr>
          <w:i/>
        </w:rPr>
        <w:t>inclusive</w:t>
      </w:r>
      <w:r w:rsidRPr="0068556F">
        <w:t xml:space="preserve"> of administrative costs as our aspirational goal for 2016 and 2017.  These goals have been developed keeping in mind the alterations our program is currently undergoing for the residential program implementation and general reporting updates including rebate tracking per paid date vs install date. </w:t>
      </w:r>
      <w:r w:rsidR="004A0D19">
        <w:t xml:space="preserve"> </w:t>
      </w:r>
    </w:p>
    <w:p w:rsidR="005C3825" w:rsidRDefault="005C3825" w:rsidP="0068556F">
      <w:pPr>
        <w:spacing w:after="0"/>
        <w:ind w:right="83"/>
        <w:jc w:val="both"/>
      </w:pPr>
    </w:p>
    <w:p w:rsidR="005C3825" w:rsidRDefault="005C3825" w:rsidP="0068556F">
      <w:pPr>
        <w:spacing w:after="0"/>
        <w:ind w:right="83"/>
        <w:jc w:val="both"/>
      </w:pPr>
      <w:r>
        <w:t xml:space="preserve">Historically the Company tracks rebate submissions to the date the measure or upgrade </w:t>
      </w:r>
      <w:r w:rsidR="00C20297">
        <w:t>is</w:t>
      </w:r>
      <w:r>
        <w:t xml:space="preserve"> installed at the premise.  Conservation Advisory Group members requested the Company pursue tracking via the date a rebate is paid rather than the current install date</w:t>
      </w:r>
      <w:r w:rsidR="001F7029">
        <w:t xml:space="preserve"> method </w:t>
      </w:r>
      <w:r>
        <w:t xml:space="preserve">to help reduce lag-time in reporting </w:t>
      </w:r>
      <w:r w:rsidR="00C20297">
        <w:t>savings.  The Company has agreed to transition our program reporting model to track savings based on the date the rebate has been paid, which should make annual reporting more straightforward.  The Company is also altering the requirement for submission of rebates to require they be sent to the Utility within 90 days of install (as opposed to previous requirements to submit by March 1 of the following year after install).</w:t>
      </w:r>
      <w:r>
        <w:t xml:space="preserve"> </w:t>
      </w:r>
      <w:r w:rsidR="00C20297">
        <w:t xml:space="preserve"> The combination of these two changes should help the programs avoid the standard influx of rebate applications in the following year and enable us to have greater transparency into program accomplishments throughout the year.</w:t>
      </w:r>
    </w:p>
    <w:p w:rsidR="00C20297" w:rsidRDefault="00C20297" w:rsidP="0068556F">
      <w:pPr>
        <w:spacing w:after="0"/>
        <w:ind w:right="83"/>
        <w:jc w:val="both"/>
      </w:pPr>
    </w:p>
    <w:p w:rsidR="00C20297" w:rsidRDefault="00C20297" w:rsidP="0068556F">
      <w:pPr>
        <w:spacing w:after="0"/>
        <w:ind w:right="83"/>
        <w:jc w:val="both"/>
      </w:pPr>
      <w:r>
        <w:lastRenderedPageBreak/>
        <w:t xml:space="preserve">As the tracking method is changing for 2015 the Annual Report released in 2016 reporting 2015 savings will show a reflection of savings by paid date in the </w:t>
      </w:r>
      <w:r w:rsidR="001F7029">
        <w:t xml:space="preserve">CY </w:t>
      </w:r>
      <w:r>
        <w:t xml:space="preserve">2015.  We will also include a graph noting the variations for this first year of reporting in this manner and how it compares to the therm savings totals if tracked by install date for 2015.  </w:t>
      </w:r>
    </w:p>
    <w:p w:rsidR="005C3825" w:rsidRDefault="005C3825" w:rsidP="0068556F">
      <w:pPr>
        <w:spacing w:after="0"/>
        <w:ind w:right="83"/>
        <w:jc w:val="both"/>
      </w:pPr>
    </w:p>
    <w:p w:rsidR="004A0D19" w:rsidRDefault="004A0D19" w:rsidP="0068556F">
      <w:pPr>
        <w:spacing w:after="0"/>
        <w:ind w:right="83"/>
        <w:jc w:val="both"/>
      </w:pPr>
      <w:r>
        <w:t xml:space="preserve">All program updates and changes have an effect on the savings the Company is able to achieve. These proposed changes allow staff to put more time toward implementing the program and outreach to bring in additional savings.  </w:t>
      </w:r>
    </w:p>
    <w:p w:rsidR="004A0D19" w:rsidRDefault="004A0D19" w:rsidP="0068556F">
      <w:pPr>
        <w:spacing w:after="0"/>
        <w:ind w:right="83"/>
        <w:jc w:val="both"/>
      </w:pPr>
    </w:p>
    <w:p w:rsidR="00E90F67" w:rsidRPr="0068556F" w:rsidRDefault="00E90F67" w:rsidP="0068556F">
      <w:pPr>
        <w:spacing w:after="0"/>
        <w:ind w:right="83"/>
        <w:jc w:val="both"/>
      </w:pPr>
      <w:r w:rsidRPr="0068556F">
        <w:t>In CY 2016 we do not anticipate a significant alteration to the rebate structure or current offerings unless legislation or building code changes require it; however</w:t>
      </w:r>
      <w:r w:rsidR="00702383">
        <w:t>,</w:t>
      </w:r>
      <w:r w:rsidRPr="0068556F">
        <w:t xml:space="preserve"> in 2016 we are engaging in conversations with our CAG and plan on exploring the opportunity to increase the incentive levels in 2017 for the residential program which </w:t>
      </w:r>
      <w:r w:rsidR="00702383">
        <w:t>will have</w:t>
      </w:r>
      <w:r w:rsidR="00702383" w:rsidRPr="0068556F">
        <w:t xml:space="preserve"> </w:t>
      </w:r>
      <w:r w:rsidRPr="0068556F">
        <w:t>an impact on Achievable potential through the modeling software as noted below</w:t>
      </w:r>
      <w:r w:rsidR="00702383">
        <w:t>.  The Company will also</w:t>
      </w:r>
      <w:r w:rsidR="00814642" w:rsidRPr="0068556F">
        <w:t xml:space="preserve"> explore the cost-effectiveness of some of the measures included in the full Nexant review that are not currently being offered in our portfolio</w:t>
      </w:r>
      <w:r w:rsidRPr="0068556F">
        <w:t xml:space="preserve">. </w:t>
      </w:r>
    </w:p>
    <w:p w:rsidR="00394BD3" w:rsidRPr="0068556F" w:rsidRDefault="00394BD3" w:rsidP="0068556F">
      <w:pPr>
        <w:spacing w:after="0"/>
        <w:ind w:right="83"/>
        <w:jc w:val="both"/>
      </w:pPr>
    </w:p>
    <w:p w:rsidR="0007390D" w:rsidRDefault="00394BD3" w:rsidP="0068556F">
      <w:pPr>
        <w:spacing w:after="0"/>
        <w:ind w:right="83"/>
        <w:jc w:val="both"/>
      </w:pPr>
      <w:r w:rsidRPr="0068556F">
        <w:t xml:space="preserve">Note in </w:t>
      </w:r>
      <w:r w:rsidR="009462D2" w:rsidRPr="0068556F">
        <w:t xml:space="preserve">the 2014 </w:t>
      </w:r>
      <w:r w:rsidRPr="0068556F">
        <w:t>IRP</w:t>
      </w:r>
      <w:r w:rsidR="009462D2" w:rsidRPr="0068556F">
        <w:t>,</w:t>
      </w:r>
      <w:r w:rsidRPr="0068556F">
        <w:t xml:space="preserve"> the Company modeled only the current portfolio of offerings for </w:t>
      </w:r>
      <w:r w:rsidR="0007390D" w:rsidRPr="0068556F">
        <w:t>CY</w:t>
      </w:r>
      <w:r w:rsidRPr="0068556F">
        <w:t xml:space="preserve">2015 &amp; </w:t>
      </w:r>
      <w:r w:rsidR="0007390D" w:rsidRPr="0068556F">
        <w:t>CY</w:t>
      </w:r>
      <w:r w:rsidRPr="0068556F">
        <w:t>2016, and the full breadth of offerings from 2017 in</w:t>
      </w:r>
      <w:r w:rsidR="0007390D" w:rsidRPr="0068556F">
        <w:t>to</w:t>
      </w:r>
      <w:r w:rsidRPr="0068556F">
        <w:t xml:space="preserve"> the 20 year forecast (with the expectation that the portfolio would likely change </w:t>
      </w:r>
      <w:r w:rsidR="0007390D" w:rsidRPr="0068556F">
        <w:t xml:space="preserve">along with building codes and technology updates after the near-term </w:t>
      </w:r>
      <w:r w:rsidR="009462D2" w:rsidRPr="0068556F">
        <w:t>two</w:t>
      </w:r>
      <w:r w:rsidR="0007390D" w:rsidRPr="0068556F">
        <w:t xml:space="preserve"> years).  As this Conservation plan is intended for the next </w:t>
      </w:r>
      <w:r w:rsidR="009462D2" w:rsidRPr="0068556F">
        <w:t xml:space="preserve">two </w:t>
      </w:r>
      <w:r w:rsidR="0007390D" w:rsidRPr="0068556F">
        <w:t>years, the forecast for therm savings for 2017 has decreased from that shown in the IRP since we are using TEAPOT to model the specific current portfolio in the short term</w:t>
      </w:r>
      <w:r w:rsidR="009462D2" w:rsidRPr="0068556F">
        <w:t xml:space="preserve"> as well as incorporating the administrative costs</w:t>
      </w:r>
      <w:r w:rsidR="001F7029">
        <w:t xml:space="preserve"> into the model.</w:t>
      </w:r>
      <w:r w:rsidR="009462D2" w:rsidRPr="0068556F">
        <w:t xml:space="preserve"> </w:t>
      </w:r>
    </w:p>
    <w:p w:rsidR="00880CCE" w:rsidRDefault="00880CCE" w:rsidP="0068556F">
      <w:pPr>
        <w:spacing w:after="0"/>
        <w:ind w:right="83"/>
        <w:jc w:val="both"/>
      </w:pPr>
    </w:p>
    <w:p w:rsidR="00880CCE" w:rsidRDefault="00880CCE" w:rsidP="0068556F">
      <w:pPr>
        <w:spacing w:after="0"/>
        <w:ind w:right="83"/>
        <w:jc w:val="both"/>
      </w:pPr>
      <w:r>
        <w:t>We also wanted to include a snapshot of what the 10 year potential looks like if the incentive levels for the residential program change from their current levels</w:t>
      </w:r>
      <w:r w:rsidR="001F7029">
        <w:t xml:space="preserve"> to a 50% incentive level</w:t>
      </w:r>
      <w:r>
        <w:t xml:space="preserve">.  Please see </w:t>
      </w:r>
      <w:r w:rsidRPr="00E74785">
        <w:rPr>
          <w:b/>
        </w:rPr>
        <w:t>Figure 9</w:t>
      </w:r>
      <w:r>
        <w:t xml:space="preserve"> for the Achievable Forecast maintained at current incentive levels with the increase in potential in 2018 commensurate with tracking at the full breadth of measures deemed cost-effective by Nexant’ s.</w:t>
      </w:r>
      <w:r w:rsidR="001F7029">
        <w:t xml:space="preserve"> We have also represented the difference in the 30% and 50% incentive levels for years 2018-2026 in </w:t>
      </w:r>
      <w:r w:rsidR="001F7029" w:rsidRPr="00E74785">
        <w:rPr>
          <w:b/>
        </w:rPr>
        <w:t>Table 6</w:t>
      </w:r>
      <w:r w:rsidR="001F7029">
        <w:t>.</w:t>
      </w:r>
    </w:p>
    <w:p w:rsidR="00880CCE" w:rsidRDefault="00880CCE" w:rsidP="0068556F">
      <w:pPr>
        <w:spacing w:after="0"/>
        <w:ind w:right="83"/>
        <w:jc w:val="both"/>
      </w:pPr>
    </w:p>
    <w:p w:rsidR="00D46E53" w:rsidRDefault="00D46E53">
      <w:pPr>
        <w:spacing w:after="0"/>
        <w:ind w:right="83"/>
        <w:jc w:val="center"/>
        <w:rPr>
          <w:b/>
        </w:rPr>
      </w:pPr>
      <w:r>
        <w:rPr>
          <w:b/>
        </w:rPr>
        <w:br/>
      </w:r>
    </w:p>
    <w:p w:rsidR="00D46E53" w:rsidRDefault="00D46E53">
      <w:pPr>
        <w:widowControl/>
        <w:spacing w:after="0" w:line="240" w:lineRule="auto"/>
        <w:rPr>
          <w:b/>
        </w:rPr>
      </w:pPr>
      <w:r>
        <w:rPr>
          <w:b/>
        </w:rPr>
        <w:br w:type="page"/>
      </w:r>
    </w:p>
    <w:p w:rsidR="00880CCE" w:rsidRDefault="00880CCE" w:rsidP="00E74785">
      <w:pPr>
        <w:spacing w:after="0"/>
        <w:ind w:right="83"/>
        <w:jc w:val="center"/>
        <w:rPr>
          <w:b/>
        </w:rPr>
      </w:pPr>
      <w:r>
        <w:rPr>
          <w:b/>
        </w:rPr>
        <w:lastRenderedPageBreak/>
        <w:t>Figure 9</w:t>
      </w:r>
    </w:p>
    <w:p w:rsidR="00880CCE" w:rsidRPr="001F7029" w:rsidRDefault="00880CCE" w:rsidP="00E74785">
      <w:pPr>
        <w:spacing w:after="0"/>
        <w:ind w:right="83"/>
        <w:jc w:val="center"/>
        <w:rPr>
          <w:b/>
        </w:rPr>
      </w:pPr>
      <w:r>
        <w:rPr>
          <w:noProof/>
        </w:rPr>
        <w:drawing>
          <wp:inline distT="0" distB="0" distL="0" distR="0" wp14:anchorId="0F14A44D" wp14:editId="25EFC7EF">
            <wp:extent cx="6347638" cy="3987209"/>
            <wp:effectExtent l="0" t="0" r="1524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25FE4" w:rsidRPr="0068556F" w:rsidRDefault="00525FE4" w:rsidP="0068556F">
      <w:pPr>
        <w:spacing w:after="0"/>
        <w:ind w:right="83"/>
        <w:jc w:val="both"/>
      </w:pPr>
    </w:p>
    <w:p w:rsidR="001F7029" w:rsidRDefault="001F7029" w:rsidP="0068556F">
      <w:pPr>
        <w:spacing w:after="0"/>
        <w:ind w:right="83"/>
      </w:pPr>
    </w:p>
    <w:p w:rsidR="001F7029" w:rsidRDefault="001F7029" w:rsidP="001F7029">
      <w:pPr>
        <w:spacing w:after="0"/>
        <w:ind w:right="83"/>
        <w:jc w:val="center"/>
      </w:pPr>
      <w:r w:rsidRPr="00E03867">
        <w:rPr>
          <w:b/>
        </w:rPr>
        <w:t>Table 6</w:t>
      </w:r>
    </w:p>
    <w:tbl>
      <w:tblPr>
        <w:tblW w:w="6641" w:type="dxa"/>
        <w:jc w:val="center"/>
        <w:tblInd w:w="98" w:type="dxa"/>
        <w:tblLook w:val="04A0" w:firstRow="1" w:lastRow="0" w:firstColumn="1" w:lastColumn="0" w:noHBand="0" w:noVBand="1"/>
      </w:tblPr>
      <w:tblGrid>
        <w:gridCol w:w="622"/>
        <w:gridCol w:w="1010"/>
        <w:gridCol w:w="1010"/>
        <w:gridCol w:w="839"/>
        <w:gridCol w:w="1120"/>
        <w:gridCol w:w="880"/>
        <w:gridCol w:w="1160"/>
      </w:tblGrid>
      <w:tr w:rsidR="002B2889" w:rsidRPr="002B2889" w:rsidTr="00E74785">
        <w:trPr>
          <w:trHeight w:val="285"/>
          <w:jc w:val="center"/>
        </w:trPr>
        <w:tc>
          <w:tcPr>
            <w:tcW w:w="6641"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30% Incentive Level, Current Measures</w:t>
            </w:r>
          </w:p>
        </w:tc>
      </w:tr>
      <w:tr w:rsidR="002B2889" w:rsidRPr="002B2889" w:rsidTr="00E74785">
        <w:trPr>
          <w:trHeight w:val="600"/>
          <w:jc w:val="center"/>
        </w:trPr>
        <w:tc>
          <w:tcPr>
            <w:tcW w:w="622" w:type="dxa"/>
            <w:tcBorders>
              <w:top w:val="nil"/>
              <w:left w:val="single" w:sz="8" w:space="0" w:color="auto"/>
              <w:bottom w:val="single" w:sz="8" w:space="0" w:color="auto"/>
              <w:right w:val="single" w:sz="4" w:space="0" w:color="auto"/>
            </w:tcBorders>
            <w:shd w:val="clear" w:color="auto" w:fill="auto"/>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Year</w:t>
            </w:r>
          </w:p>
        </w:tc>
        <w:tc>
          <w:tcPr>
            <w:tcW w:w="1010" w:type="dxa"/>
            <w:tcBorders>
              <w:top w:val="nil"/>
              <w:left w:val="single" w:sz="8" w:space="0" w:color="auto"/>
              <w:bottom w:val="single" w:sz="8" w:space="0" w:color="auto"/>
              <w:right w:val="single" w:sz="8" w:space="0" w:color="auto"/>
            </w:tcBorders>
            <w:shd w:val="clear" w:color="000000" w:fill="B5C4D7"/>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Res</w:t>
            </w:r>
          </w:p>
        </w:tc>
        <w:tc>
          <w:tcPr>
            <w:tcW w:w="1010" w:type="dxa"/>
            <w:tcBorders>
              <w:top w:val="nil"/>
              <w:left w:val="single" w:sz="8" w:space="0" w:color="auto"/>
              <w:bottom w:val="single" w:sz="8" w:space="0" w:color="auto"/>
              <w:right w:val="single" w:sz="8" w:space="0" w:color="auto"/>
            </w:tcBorders>
            <w:shd w:val="clear" w:color="000000" w:fill="E6ECD9"/>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Com</w:t>
            </w:r>
          </w:p>
        </w:tc>
        <w:tc>
          <w:tcPr>
            <w:tcW w:w="839" w:type="dxa"/>
            <w:tcBorders>
              <w:top w:val="nil"/>
              <w:left w:val="single" w:sz="8" w:space="0" w:color="auto"/>
              <w:bottom w:val="single" w:sz="8" w:space="0" w:color="auto"/>
              <w:right w:val="single" w:sz="8" w:space="0" w:color="auto"/>
            </w:tcBorders>
            <w:shd w:val="clear" w:color="000000" w:fill="FFFFCC"/>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proofErr w:type="spellStart"/>
            <w:r w:rsidRPr="002B2889">
              <w:rPr>
                <w:rFonts w:ascii="Calibri" w:hAnsi="Calibri" w:cs="Times New Roman"/>
                <w:b/>
                <w:bCs/>
                <w:sz w:val="20"/>
                <w:szCs w:val="20"/>
              </w:rPr>
              <w:t>Ind</w:t>
            </w:r>
            <w:proofErr w:type="spellEnd"/>
          </w:p>
        </w:tc>
        <w:tc>
          <w:tcPr>
            <w:tcW w:w="1120" w:type="dxa"/>
            <w:tcBorders>
              <w:top w:val="nil"/>
              <w:left w:val="nil"/>
              <w:bottom w:val="single" w:sz="8" w:space="0" w:color="auto"/>
              <w:right w:val="single" w:sz="8" w:space="0" w:color="auto"/>
            </w:tcBorders>
            <w:shd w:val="clear" w:color="000000" w:fill="B6C4C7"/>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 xml:space="preserve">Com &amp; </w:t>
            </w:r>
            <w:proofErr w:type="spellStart"/>
            <w:r w:rsidRPr="002B2889">
              <w:rPr>
                <w:rFonts w:ascii="Calibri" w:hAnsi="Calibri" w:cs="Times New Roman"/>
                <w:b/>
                <w:bCs/>
                <w:color w:val="000000"/>
                <w:sz w:val="20"/>
                <w:szCs w:val="20"/>
              </w:rPr>
              <w:t>Ind</w:t>
            </w:r>
            <w:proofErr w:type="spellEnd"/>
            <w:r w:rsidRPr="002B2889">
              <w:rPr>
                <w:rFonts w:ascii="Calibri" w:hAnsi="Calibri" w:cs="Times New Roman"/>
                <w:b/>
                <w:bCs/>
                <w:color w:val="000000"/>
                <w:sz w:val="20"/>
                <w:szCs w:val="20"/>
              </w:rPr>
              <w:t xml:space="preserve"> w/ Custom</w:t>
            </w:r>
          </w:p>
        </w:tc>
        <w:tc>
          <w:tcPr>
            <w:tcW w:w="880" w:type="dxa"/>
            <w:tcBorders>
              <w:top w:val="nil"/>
              <w:left w:val="nil"/>
              <w:bottom w:val="single" w:sz="8" w:space="0" w:color="auto"/>
              <w:right w:val="single" w:sz="8" w:space="0" w:color="auto"/>
            </w:tcBorders>
            <w:shd w:val="clear" w:color="000000" w:fill="F2EEE8"/>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Low Income</w:t>
            </w:r>
          </w:p>
        </w:tc>
        <w:tc>
          <w:tcPr>
            <w:tcW w:w="1160" w:type="dxa"/>
            <w:tcBorders>
              <w:top w:val="nil"/>
              <w:left w:val="nil"/>
              <w:bottom w:val="single" w:sz="8" w:space="0" w:color="auto"/>
              <w:right w:val="single" w:sz="8" w:space="0" w:color="auto"/>
            </w:tcBorders>
            <w:shd w:val="clear" w:color="000000" w:fill="C8EEFD"/>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 xml:space="preserve">Total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2018</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434,126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227,798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4,939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664,963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1,114,089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2019</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451,557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251,472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6,566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737,251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1,213,808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2020</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474,710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281,869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8,660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830,084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1,329,794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2021</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497,194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315,585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11,182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933,620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1,455,814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2022</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525,361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355,631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14,167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1,056,568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1,606,929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2023</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556,239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399,192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17,500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1,190,548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1,771,787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2024</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591,351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446,313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21,075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1,335,393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1,951,744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2025</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620,932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488,888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24,545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1,466,951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2,112,883 </w:t>
            </w:r>
          </w:p>
        </w:tc>
      </w:tr>
      <w:tr w:rsidR="002B2889" w:rsidRPr="002B2889" w:rsidTr="00E74785">
        <w:trPr>
          <w:trHeight w:val="285"/>
          <w:jc w:val="center"/>
        </w:trPr>
        <w:tc>
          <w:tcPr>
            <w:tcW w:w="622" w:type="dxa"/>
            <w:tcBorders>
              <w:top w:val="nil"/>
              <w:left w:val="single" w:sz="8" w:space="0" w:color="auto"/>
              <w:bottom w:val="single" w:sz="8" w:space="0" w:color="auto"/>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sz w:val="20"/>
                <w:szCs w:val="20"/>
              </w:rPr>
            </w:pPr>
            <w:r w:rsidRPr="002B2889">
              <w:rPr>
                <w:rFonts w:ascii="Calibri" w:hAnsi="Calibri" w:cs="Times New Roman"/>
                <w:sz w:val="20"/>
                <w:szCs w:val="20"/>
              </w:rPr>
              <w:t>2026</w:t>
            </w:r>
          </w:p>
        </w:tc>
        <w:tc>
          <w:tcPr>
            <w:tcW w:w="1010" w:type="dxa"/>
            <w:tcBorders>
              <w:top w:val="nil"/>
              <w:left w:val="single" w:sz="8" w:space="0" w:color="auto"/>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651,853 </w:t>
            </w:r>
          </w:p>
        </w:tc>
        <w:tc>
          <w:tcPr>
            <w:tcW w:w="101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530,722 </w:t>
            </w:r>
          </w:p>
        </w:tc>
        <w:tc>
          <w:tcPr>
            <w:tcW w:w="839"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sz w:val="20"/>
                <w:szCs w:val="20"/>
              </w:rPr>
            </w:pPr>
            <w:r w:rsidRPr="002B2889">
              <w:rPr>
                <w:rFonts w:ascii="Calibri" w:hAnsi="Calibri" w:cs="Times New Roman"/>
                <w:sz w:val="20"/>
                <w:szCs w:val="20"/>
              </w:rPr>
              <w:t xml:space="preserve">27,894 </w:t>
            </w:r>
          </w:p>
        </w:tc>
        <w:tc>
          <w:tcPr>
            <w:tcW w:w="112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1,596,047 </w:t>
            </w:r>
          </w:p>
        </w:tc>
        <w:tc>
          <w:tcPr>
            <w:tcW w:w="88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25,000 </w:t>
            </w:r>
          </w:p>
        </w:tc>
        <w:tc>
          <w:tcPr>
            <w:tcW w:w="116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color w:val="000000"/>
                <w:sz w:val="20"/>
                <w:szCs w:val="20"/>
              </w:rPr>
            </w:pPr>
            <w:r w:rsidRPr="002B2889">
              <w:rPr>
                <w:rFonts w:ascii="Calibri" w:hAnsi="Calibri" w:cs="Times New Roman"/>
                <w:color w:val="000000"/>
                <w:sz w:val="20"/>
                <w:szCs w:val="20"/>
              </w:rPr>
              <w:t xml:space="preserve">2,272,900 </w:t>
            </w:r>
          </w:p>
        </w:tc>
      </w:tr>
      <w:tr w:rsidR="002B2889" w:rsidRPr="002B2889" w:rsidTr="00E74785">
        <w:trPr>
          <w:trHeight w:val="285"/>
          <w:jc w:val="center"/>
        </w:trPr>
        <w:tc>
          <w:tcPr>
            <w:tcW w:w="6641"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50% Incentive Level for Res, 30% for Com/</w:t>
            </w:r>
            <w:proofErr w:type="spellStart"/>
            <w:r w:rsidRPr="002B2889">
              <w:rPr>
                <w:rFonts w:ascii="Calibri" w:hAnsi="Calibri" w:cs="Times New Roman"/>
                <w:b/>
                <w:bCs/>
                <w:color w:val="000000"/>
                <w:sz w:val="20"/>
                <w:szCs w:val="20"/>
              </w:rPr>
              <w:t>Ind</w:t>
            </w:r>
            <w:proofErr w:type="spellEnd"/>
            <w:r w:rsidRPr="002B2889">
              <w:rPr>
                <w:rFonts w:ascii="Calibri" w:hAnsi="Calibri" w:cs="Times New Roman"/>
                <w:b/>
                <w:bCs/>
                <w:color w:val="000000"/>
                <w:sz w:val="20"/>
                <w:szCs w:val="20"/>
              </w:rPr>
              <w:t>, All Measures for All</w:t>
            </w:r>
          </w:p>
        </w:tc>
      </w:tr>
      <w:tr w:rsidR="002B2889" w:rsidRPr="002B2889" w:rsidTr="00E74785">
        <w:trPr>
          <w:trHeight w:val="525"/>
          <w:jc w:val="center"/>
        </w:trPr>
        <w:tc>
          <w:tcPr>
            <w:tcW w:w="622" w:type="dxa"/>
            <w:tcBorders>
              <w:top w:val="nil"/>
              <w:left w:val="single" w:sz="8" w:space="0" w:color="auto"/>
              <w:bottom w:val="single" w:sz="8" w:space="0" w:color="auto"/>
              <w:right w:val="single" w:sz="4" w:space="0" w:color="auto"/>
            </w:tcBorders>
            <w:shd w:val="clear" w:color="auto" w:fill="auto"/>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Year</w:t>
            </w:r>
          </w:p>
        </w:tc>
        <w:tc>
          <w:tcPr>
            <w:tcW w:w="1010" w:type="dxa"/>
            <w:tcBorders>
              <w:top w:val="nil"/>
              <w:left w:val="single" w:sz="8" w:space="0" w:color="auto"/>
              <w:bottom w:val="single" w:sz="8" w:space="0" w:color="auto"/>
              <w:right w:val="single" w:sz="8" w:space="0" w:color="auto"/>
            </w:tcBorders>
            <w:shd w:val="clear" w:color="000000" w:fill="B5C4D7"/>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Res</w:t>
            </w:r>
          </w:p>
        </w:tc>
        <w:tc>
          <w:tcPr>
            <w:tcW w:w="1010" w:type="dxa"/>
            <w:tcBorders>
              <w:top w:val="nil"/>
              <w:left w:val="single" w:sz="8" w:space="0" w:color="auto"/>
              <w:bottom w:val="single" w:sz="8" w:space="0" w:color="auto"/>
              <w:right w:val="single" w:sz="8" w:space="0" w:color="auto"/>
            </w:tcBorders>
            <w:shd w:val="clear" w:color="000000" w:fill="E6ECD9"/>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r w:rsidRPr="002B2889">
              <w:rPr>
                <w:rFonts w:ascii="Calibri" w:hAnsi="Calibri" w:cs="Times New Roman"/>
                <w:b/>
                <w:bCs/>
                <w:sz w:val="20"/>
                <w:szCs w:val="20"/>
              </w:rPr>
              <w:t>Com</w:t>
            </w:r>
          </w:p>
        </w:tc>
        <w:tc>
          <w:tcPr>
            <w:tcW w:w="839" w:type="dxa"/>
            <w:tcBorders>
              <w:top w:val="nil"/>
              <w:left w:val="single" w:sz="8" w:space="0" w:color="auto"/>
              <w:bottom w:val="single" w:sz="8" w:space="0" w:color="auto"/>
              <w:right w:val="single" w:sz="8" w:space="0" w:color="auto"/>
            </w:tcBorders>
            <w:shd w:val="clear" w:color="000000" w:fill="FFFFCC"/>
            <w:noWrap/>
            <w:vAlign w:val="center"/>
            <w:hideMark/>
          </w:tcPr>
          <w:p w:rsidR="002B2889" w:rsidRPr="002B2889" w:rsidRDefault="002B2889" w:rsidP="002B2889">
            <w:pPr>
              <w:widowControl/>
              <w:spacing w:after="0" w:line="240" w:lineRule="auto"/>
              <w:jc w:val="center"/>
              <w:rPr>
                <w:rFonts w:ascii="Calibri" w:hAnsi="Calibri" w:cs="Times New Roman"/>
                <w:b/>
                <w:bCs/>
                <w:sz w:val="20"/>
                <w:szCs w:val="20"/>
              </w:rPr>
            </w:pPr>
            <w:proofErr w:type="spellStart"/>
            <w:r w:rsidRPr="002B2889">
              <w:rPr>
                <w:rFonts w:ascii="Calibri" w:hAnsi="Calibri" w:cs="Times New Roman"/>
                <w:b/>
                <w:bCs/>
                <w:sz w:val="20"/>
                <w:szCs w:val="20"/>
              </w:rPr>
              <w:t>Ind</w:t>
            </w:r>
            <w:proofErr w:type="spellEnd"/>
          </w:p>
        </w:tc>
        <w:tc>
          <w:tcPr>
            <w:tcW w:w="1120" w:type="dxa"/>
            <w:tcBorders>
              <w:top w:val="nil"/>
              <w:left w:val="nil"/>
              <w:bottom w:val="single" w:sz="8" w:space="0" w:color="auto"/>
              <w:right w:val="single" w:sz="8" w:space="0" w:color="auto"/>
            </w:tcBorders>
            <w:shd w:val="clear" w:color="000000" w:fill="B6C4C7"/>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 xml:space="preserve">Com &amp; </w:t>
            </w:r>
            <w:proofErr w:type="spellStart"/>
            <w:r w:rsidRPr="002B2889">
              <w:rPr>
                <w:rFonts w:ascii="Calibri" w:hAnsi="Calibri" w:cs="Times New Roman"/>
                <w:b/>
                <w:bCs/>
                <w:color w:val="000000"/>
                <w:sz w:val="20"/>
                <w:szCs w:val="20"/>
              </w:rPr>
              <w:t>Ind</w:t>
            </w:r>
            <w:proofErr w:type="spellEnd"/>
            <w:r w:rsidRPr="002B2889">
              <w:rPr>
                <w:rFonts w:ascii="Calibri" w:hAnsi="Calibri" w:cs="Times New Roman"/>
                <w:b/>
                <w:bCs/>
                <w:color w:val="000000"/>
                <w:sz w:val="20"/>
                <w:szCs w:val="20"/>
              </w:rPr>
              <w:t xml:space="preserve"> w/ Custom</w:t>
            </w:r>
          </w:p>
        </w:tc>
        <w:tc>
          <w:tcPr>
            <w:tcW w:w="880" w:type="dxa"/>
            <w:tcBorders>
              <w:top w:val="nil"/>
              <w:left w:val="nil"/>
              <w:bottom w:val="single" w:sz="8" w:space="0" w:color="auto"/>
              <w:right w:val="single" w:sz="8" w:space="0" w:color="auto"/>
            </w:tcBorders>
            <w:shd w:val="clear" w:color="000000" w:fill="F2EEE8"/>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Low Income</w:t>
            </w:r>
          </w:p>
        </w:tc>
        <w:tc>
          <w:tcPr>
            <w:tcW w:w="1160" w:type="dxa"/>
            <w:tcBorders>
              <w:top w:val="nil"/>
              <w:left w:val="nil"/>
              <w:bottom w:val="single" w:sz="8" w:space="0" w:color="auto"/>
              <w:right w:val="single" w:sz="8" w:space="0" w:color="auto"/>
            </w:tcBorders>
            <w:shd w:val="clear" w:color="000000" w:fill="C8EEFD"/>
            <w:vAlign w:val="center"/>
            <w:hideMark/>
          </w:tcPr>
          <w:p w:rsidR="002B2889" w:rsidRPr="002B2889" w:rsidRDefault="002B2889" w:rsidP="002B2889">
            <w:pPr>
              <w:widowControl/>
              <w:spacing w:after="0" w:line="240" w:lineRule="auto"/>
              <w:jc w:val="center"/>
              <w:rPr>
                <w:rFonts w:ascii="Calibri" w:hAnsi="Calibri" w:cs="Times New Roman"/>
                <w:b/>
                <w:bCs/>
                <w:color w:val="000000"/>
                <w:sz w:val="20"/>
                <w:szCs w:val="20"/>
              </w:rPr>
            </w:pPr>
            <w:r w:rsidRPr="002B2889">
              <w:rPr>
                <w:rFonts w:ascii="Calibri" w:hAnsi="Calibri" w:cs="Times New Roman"/>
                <w:b/>
                <w:bCs/>
                <w:color w:val="000000"/>
                <w:sz w:val="20"/>
                <w:szCs w:val="20"/>
              </w:rPr>
              <w:t xml:space="preserve">Total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2018</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384,844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383,258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4,481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1,107,827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1,507,671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2019</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412,797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410,169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6,102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1,189,346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1,627,143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lastRenderedPageBreak/>
              <w:t>2020</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449,150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444,783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8,188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1,294,203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1,768,353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2021</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486,492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481,613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10,704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1,406,620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1,918,112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2022</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530,830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525,723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13,682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1,541,156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2,096,986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2023</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578,283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573,533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17,007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1,687,257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2,290,540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2024</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629,415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625,739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20,574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1,846,608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2,501,023 </w:t>
            </w:r>
          </w:p>
        </w:tc>
      </w:tr>
      <w:tr w:rsidR="002B2889" w:rsidRPr="002B2889" w:rsidTr="00E74785">
        <w:trPr>
          <w:trHeight w:val="270"/>
          <w:jc w:val="center"/>
        </w:trPr>
        <w:tc>
          <w:tcPr>
            <w:tcW w:w="622" w:type="dxa"/>
            <w:tcBorders>
              <w:top w:val="nil"/>
              <w:left w:val="single" w:sz="8" w:space="0" w:color="auto"/>
              <w:bottom w:val="nil"/>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2025</w:t>
            </w:r>
          </w:p>
        </w:tc>
        <w:tc>
          <w:tcPr>
            <w:tcW w:w="1010" w:type="dxa"/>
            <w:tcBorders>
              <w:top w:val="nil"/>
              <w:left w:val="single" w:sz="8" w:space="0" w:color="auto"/>
              <w:bottom w:val="nil"/>
              <w:right w:val="single" w:sz="8" w:space="0" w:color="auto"/>
            </w:tcBorders>
            <w:shd w:val="clear" w:color="auto" w:fill="auto"/>
            <w:noWrap/>
            <w:vAlign w:val="center"/>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672,965 </w:t>
            </w:r>
          </w:p>
        </w:tc>
        <w:tc>
          <w:tcPr>
            <w:tcW w:w="101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671,854 </w:t>
            </w:r>
          </w:p>
        </w:tc>
        <w:tc>
          <w:tcPr>
            <w:tcW w:w="839"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24,038 </w:t>
            </w:r>
          </w:p>
        </w:tc>
        <w:tc>
          <w:tcPr>
            <w:tcW w:w="112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1,988,264 </w:t>
            </w:r>
          </w:p>
        </w:tc>
        <w:tc>
          <w:tcPr>
            <w:tcW w:w="88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nil"/>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2,686,229 </w:t>
            </w:r>
          </w:p>
        </w:tc>
      </w:tr>
      <w:tr w:rsidR="002B2889" w:rsidRPr="002B2889" w:rsidTr="00E74785">
        <w:trPr>
          <w:trHeight w:val="285"/>
          <w:jc w:val="center"/>
        </w:trPr>
        <w:tc>
          <w:tcPr>
            <w:tcW w:w="622" w:type="dxa"/>
            <w:tcBorders>
              <w:top w:val="nil"/>
              <w:left w:val="single" w:sz="8" w:space="0" w:color="auto"/>
              <w:bottom w:val="single" w:sz="8" w:space="0" w:color="auto"/>
              <w:right w:val="nil"/>
            </w:tcBorders>
            <w:shd w:val="clear" w:color="auto" w:fill="auto"/>
            <w:noWrap/>
            <w:vAlign w:val="center"/>
            <w:hideMark/>
          </w:tcPr>
          <w:p w:rsidR="002B2889" w:rsidRPr="002B2889" w:rsidRDefault="002B2889" w:rsidP="002B2889">
            <w:pPr>
              <w:widowControl/>
              <w:spacing w:after="0" w:line="240" w:lineRule="auto"/>
              <w:jc w:val="right"/>
              <w:rPr>
                <w:rFonts w:ascii="Calibri" w:hAnsi="Calibri" w:cs="Times New Roman"/>
                <w:b/>
                <w:bCs/>
                <w:sz w:val="20"/>
                <w:szCs w:val="20"/>
              </w:rPr>
            </w:pPr>
            <w:r w:rsidRPr="002B2889">
              <w:rPr>
                <w:rFonts w:ascii="Calibri" w:hAnsi="Calibri" w:cs="Times New Roman"/>
                <w:b/>
                <w:bCs/>
                <w:sz w:val="20"/>
                <w:szCs w:val="20"/>
              </w:rPr>
              <w:t>2026</w:t>
            </w:r>
          </w:p>
        </w:tc>
        <w:tc>
          <w:tcPr>
            <w:tcW w:w="1010" w:type="dxa"/>
            <w:tcBorders>
              <w:top w:val="nil"/>
              <w:left w:val="single" w:sz="8" w:space="0" w:color="auto"/>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715,763 </w:t>
            </w:r>
          </w:p>
        </w:tc>
        <w:tc>
          <w:tcPr>
            <w:tcW w:w="101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717,888 </w:t>
            </w:r>
          </w:p>
        </w:tc>
        <w:tc>
          <w:tcPr>
            <w:tcW w:w="839"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sz w:val="20"/>
                <w:szCs w:val="20"/>
              </w:rPr>
            </w:pPr>
            <w:r w:rsidRPr="002B2889">
              <w:rPr>
                <w:rFonts w:ascii="Calibri" w:hAnsi="Calibri" w:cs="Times New Roman"/>
                <w:b/>
                <w:bCs/>
                <w:sz w:val="20"/>
                <w:szCs w:val="20"/>
              </w:rPr>
              <w:t xml:space="preserve">27,380 </w:t>
            </w:r>
          </w:p>
        </w:tc>
        <w:tc>
          <w:tcPr>
            <w:tcW w:w="112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2,129,337 </w:t>
            </w:r>
          </w:p>
        </w:tc>
        <w:tc>
          <w:tcPr>
            <w:tcW w:w="88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25,000 </w:t>
            </w:r>
          </w:p>
        </w:tc>
        <w:tc>
          <w:tcPr>
            <w:tcW w:w="1160" w:type="dxa"/>
            <w:tcBorders>
              <w:top w:val="nil"/>
              <w:left w:val="nil"/>
              <w:bottom w:val="single" w:sz="8" w:space="0" w:color="auto"/>
              <w:right w:val="single" w:sz="8" w:space="0" w:color="auto"/>
            </w:tcBorders>
            <w:shd w:val="clear" w:color="auto" w:fill="auto"/>
            <w:noWrap/>
            <w:vAlign w:val="bottom"/>
            <w:hideMark/>
          </w:tcPr>
          <w:p w:rsidR="002B2889" w:rsidRPr="002B2889" w:rsidRDefault="002B2889" w:rsidP="002B2889">
            <w:pPr>
              <w:widowControl/>
              <w:spacing w:after="0" w:line="240" w:lineRule="auto"/>
              <w:rPr>
                <w:rFonts w:ascii="Calibri" w:hAnsi="Calibri" w:cs="Times New Roman"/>
                <w:b/>
                <w:bCs/>
                <w:color w:val="000000"/>
                <w:sz w:val="20"/>
                <w:szCs w:val="20"/>
              </w:rPr>
            </w:pPr>
            <w:r w:rsidRPr="002B2889">
              <w:rPr>
                <w:rFonts w:ascii="Calibri" w:hAnsi="Calibri" w:cs="Times New Roman"/>
                <w:b/>
                <w:bCs/>
                <w:color w:val="000000"/>
                <w:sz w:val="20"/>
                <w:szCs w:val="20"/>
              </w:rPr>
              <w:t xml:space="preserve">2,870,100 </w:t>
            </w:r>
          </w:p>
        </w:tc>
      </w:tr>
    </w:tbl>
    <w:p w:rsidR="001F7029" w:rsidRDefault="001F7029" w:rsidP="0068556F">
      <w:pPr>
        <w:spacing w:after="0"/>
        <w:ind w:right="83"/>
      </w:pPr>
    </w:p>
    <w:p w:rsidR="001F7029" w:rsidRDefault="001F7029" w:rsidP="0068556F">
      <w:pPr>
        <w:spacing w:after="0"/>
        <w:ind w:right="83"/>
      </w:pPr>
    </w:p>
    <w:p w:rsidR="006F7A04" w:rsidRDefault="00525FE4" w:rsidP="0068556F">
      <w:pPr>
        <w:spacing w:after="0"/>
        <w:ind w:right="83"/>
      </w:pPr>
      <w:r w:rsidRPr="0068556F">
        <w:t xml:space="preserve">The Company </w:t>
      </w:r>
      <w:r w:rsidR="0007390D" w:rsidRPr="0068556F">
        <w:t xml:space="preserve">also </w:t>
      </w:r>
      <w:r w:rsidRPr="0068556F">
        <w:t xml:space="preserve">plans on keeping abreast of the savings potential in three of our service territories (Bellingham, Walla Walla and Anacortes) within Washington that may experience an uptake in program participation over </w:t>
      </w:r>
      <w:r w:rsidR="00E90F67" w:rsidRPr="0068556F">
        <w:t>CY</w:t>
      </w:r>
      <w:r w:rsidRPr="0068556F">
        <w:t xml:space="preserve"> </w:t>
      </w:r>
      <w:r w:rsidR="00556E84" w:rsidRPr="0068556F">
        <w:t>201</w:t>
      </w:r>
      <w:r w:rsidR="00556E84">
        <w:t>6</w:t>
      </w:r>
      <w:r w:rsidR="00556E84" w:rsidRPr="0068556F">
        <w:t xml:space="preserve"> </w:t>
      </w:r>
      <w:r w:rsidRPr="0068556F">
        <w:t xml:space="preserve">as they engage in the Georgetown University Energy Prize Competition. The prize competition goal is to raise awareness of energy-efficiency in communities by local governments, communities and utilities working together to develop and implement plans for innovative, replicable, scalable and continual reductions in the per capita energy consumption from both natural gas and electric providers. </w:t>
      </w:r>
    </w:p>
    <w:p w:rsidR="00F14D4B" w:rsidRDefault="00F14D4B" w:rsidP="00E74785">
      <w:pPr>
        <w:spacing w:after="0"/>
        <w:ind w:right="83"/>
        <w:jc w:val="center"/>
        <w:rPr>
          <w:b/>
        </w:rPr>
      </w:pPr>
    </w:p>
    <w:p w:rsidR="0072315A" w:rsidRDefault="006F7A04" w:rsidP="002B2889">
      <w:pPr>
        <w:spacing w:after="0"/>
        <w:ind w:right="83"/>
        <w:jc w:val="center"/>
      </w:pPr>
      <w:r w:rsidRPr="002B2889">
        <w:rPr>
          <w:b/>
        </w:rPr>
        <w:t xml:space="preserve">Table </w:t>
      </w:r>
      <w:r w:rsidR="002B2889">
        <w:rPr>
          <w:b/>
        </w:rPr>
        <w:t>7</w:t>
      </w:r>
    </w:p>
    <w:p w:rsidR="006F7A04" w:rsidRPr="002B2889" w:rsidRDefault="006F7A04" w:rsidP="006F7A04">
      <w:pPr>
        <w:spacing w:after="0"/>
        <w:ind w:right="83"/>
        <w:jc w:val="center"/>
        <w:rPr>
          <w:b/>
        </w:rPr>
      </w:pPr>
      <w:r w:rsidRPr="002B2889">
        <w:rPr>
          <w:b/>
        </w:rPr>
        <w:t xml:space="preserve">Comparison of Potential from Current IRP with Programmatic scenario vs admin inclusive Achievable at both current incentive levels &amp; 50% </w:t>
      </w:r>
      <w:r w:rsidR="0072315A" w:rsidRPr="002B2889">
        <w:rPr>
          <w:b/>
        </w:rPr>
        <w:t>incentive levels for</w:t>
      </w:r>
      <w:r w:rsidRPr="002B2889">
        <w:rPr>
          <w:b/>
        </w:rPr>
        <w:t xml:space="preserve"> residential program</w:t>
      </w:r>
    </w:p>
    <w:tbl>
      <w:tblPr>
        <w:tblW w:w="9095" w:type="dxa"/>
        <w:jc w:val="center"/>
        <w:tblInd w:w="98" w:type="dxa"/>
        <w:tblLook w:val="04A0" w:firstRow="1" w:lastRow="0" w:firstColumn="1" w:lastColumn="0" w:noHBand="0" w:noVBand="1"/>
      </w:tblPr>
      <w:tblGrid>
        <w:gridCol w:w="819"/>
        <w:gridCol w:w="4726"/>
        <w:gridCol w:w="1497"/>
        <w:gridCol w:w="2154"/>
      </w:tblGrid>
      <w:tr w:rsidR="006F7A04" w:rsidRPr="006F7A04" w:rsidTr="00E74785">
        <w:trPr>
          <w:trHeight w:val="408"/>
          <w:jc w:val="center"/>
        </w:trPr>
        <w:tc>
          <w:tcPr>
            <w:tcW w:w="819" w:type="dxa"/>
            <w:tcBorders>
              <w:top w:val="single" w:sz="8" w:space="0" w:color="auto"/>
              <w:left w:val="single" w:sz="8" w:space="0" w:color="auto"/>
              <w:bottom w:val="nil"/>
              <w:right w:val="nil"/>
            </w:tcBorders>
            <w:shd w:val="clear" w:color="auto" w:fill="auto"/>
            <w:noWrap/>
            <w:vAlign w:val="center"/>
            <w:hideMark/>
          </w:tcPr>
          <w:p w:rsidR="006F7A04" w:rsidRPr="002B2889" w:rsidRDefault="006F7A04" w:rsidP="006F7A04">
            <w:pPr>
              <w:widowControl/>
              <w:spacing w:after="0" w:line="240" w:lineRule="auto"/>
              <w:jc w:val="center"/>
              <w:rPr>
                <w:b/>
                <w:bCs/>
                <w:color w:val="000000"/>
                <w:szCs w:val="16"/>
              </w:rPr>
            </w:pPr>
            <w:r w:rsidRPr="002B2889">
              <w:rPr>
                <w:b/>
                <w:bCs/>
                <w:color w:val="000000"/>
                <w:szCs w:val="16"/>
              </w:rPr>
              <w:t>Year</w:t>
            </w:r>
          </w:p>
        </w:tc>
        <w:tc>
          <w:tcPr>
            <w:tcW w:w="4726" w:type="dxa"/>
            <w:tcBorders>
              <w:top w:val="single" w:sz="8" w:space="0" w:color="auto"/>
              <w:left w:val="nil"/>
              <w:bottom w:val="nil"/>
              <w:right w:val="nil"/>
            </w:tcBorders>
            <w:shd w:val="clear" w:color="auto" w:fill="auto"/>
            <w:noWrap/>
            <w:vAlign w:val="center"/>
            <w:hideMark/>
          </w:tcPr>
          <w:p w:rsidR="006F7A04" w:rsidRPr="002B2889" w:rsidRDefault="006F7A04" w:rsidP="006F7A04">
            <w:pPr>
              <w:widowControl/>
              <w:spacing w:after="0" w:line="240" w:lineRule="auto"/>
              <w:jc w:val="center"/>
              <w:rPr>
                <w:b/>
                <w:bCs/>
                <w:color w:val="000000"/>
                <w:szCs w:val="16"/>
              </w:rPr>
            </w:pPr>
            <w:r w:rsidRPr="002B2889">
              <w:rPr>
                <w:b/>
                <w:bCs/>
                <w:color w:val="000000"/>
                <w:szCs w:val="16"/>
              </w:rPr>
              <w:t>Program</w:t>
            </w:r>
          </w:p>
        </w:tc>
        <w:tc>
          <w:tcPr>
            <w:tcW w:w="1396" w:type="dxa"/>
            <w:tcBorders>
              <w:top w:val="single" w:sz="8" w:space="0" w:color="auto"/>
              <w:left w:val="nil"/>
              <w:bottom w:val="nil"/>
              <w:right w:val="nil"/>
            </w:tcBorders>
            <w:shd w:val="clear" w:color="auto" w:fill="auto"/>
            <w:noWrap/>
            <w:vAlign w:val="center"/>
            <w:hideMark/>
          </w:tcPr>
          <w:p w:rsidR="006F7A04" w:rsidRPr="002B2889" w:rsidRDefault="006F7A04" w:rsidP="006F7A04">
            <w:pPr>
              <w:widowControl/>
              <w:spacing w:after="0" w:line="240" w:lineRule="auto"/>
              <w:jc w:val="center"/>
              <w:rPr>
                <w:b/>
                <w:bCs/>
                <w:color w:val="000000"/>
                <w:szCs w:val="16"/>
              </w:rPr>
            </w:pPr>
            <w:r w:rsidRPr="002B2889">
              <w:rPr>
                <w:b/>
                <w:bCs/>
                <w:color w:val="000000"/>
                <w:szCs w:val="16"/>
              </w:rPr>
              <w:t>Res</w:t>
            </w:r>
            <w:r w:rsidR="00F14D4B">
              <w:rPr>
                <w:b/>
                <w:bCs/>
                <w:color w:val="000000"/>
                <w:szCs w:val="16"/>
              </w:rPr>
              <w:t>idential</w:t>
            </w:r>
          </w:p>
        </w:tc>
        <w:tc>
          <w:tcPr>
            <w:tcW w:w="2154" w:type="dxa"/>
            <w:tcBorders>
              <w:top w:val="single" w:sz="8" w:space="0" w:color="auto"/>
              <w:left w:val="nil"/>
              <w:bottom w:val="nil"/>
              <w:right w:val="single" w:sz="8" w:space="0" w:color="auto"/>
            </w:tcBorders>
            <w:shd w:val="clear" w:color="auto" w:fill="auto"/>
            <w:vAlign w:val="center"/>
            <w:hideMark/>
          </w:tcPr>
          <w:p w:rsidR="006F7A04" w:rsidRPr="002B2889" w:rsidRDefault="006F7A04" w:rsidP="006F7A04">
            <w:pPr>
              <w:widowControl/>
              <w:spacing w:after="0" w:line="240" w:lineRule="auto"/>
              <w:jc w:val="center"/>
              <w:rPr>
                <w:b/>
                <w:bCs/>
                <w:color w:val="000000"/>
                <w:szCs w:val="16"/>
              </w:rPr>
            </w:pPr>
            <w:r w:rsidRPr="002B2889">
              <w:rPr>
                <w:b/>
                <w:bCs/>
                <w:color w:val="000000"/>
                <w:szCs w:val="16"/>
              </w:rPr>
              <w:t>Com</w:t>
            </w:r>
            <w:r w:rsidR="00F14D4B">
              <w:rPr>
                <w:b/>
                <w:bCs/>
                <w:color w:val="000000"/>
                <w:szCs w:val="16"/>
              </w:rPr>
              <w:t xml:space="preserve">mercial </w:t>
            </w:r>
            <w:r w:rsidRPr="002B2889">
              <w:rPr>
                <w:b/>
                <w:bCs/>
                <w:color w:val="000000"/>
                <w:szCs w:val="16"/>
              </w:rPr>
              <w:t>/</w:t>
            </w:r>
            <w:r w:rsidR="00F14D4B">
              <w:rPr>
                <w:b/>
                <w:bCs/>
                <w:color w:val="000000"/>
                <w:szCs w:val="16"/>
              </w:rPr>
              <w:t xml:space="preserve"> </w:t>
            </w:r>
            <w:r w:rsidRPr="002B2889">
              <w:rPr>
                <w:b/>
                <w:bCs/>
                <w:color w:val="000000"/>
                <w:szCs w:val="16"/>
              </w:rPr>
              <w:t>Ind</w:t>
            </w:r>
            <w:r w:rsidR="00F14D4B">
              <w:rPr>
                <w:b/>
                <w:bCs/>
                <w:color w:val="000000"/>
                <w:szCs w:val="16"/>
              </w:rPr>
              <w:t>ustrial</w:t>
            </w:r>
          </w:p>
        </w:tc>
      </w:tr>
      <w:tr w:rsidR="006F7A04" w:rsidRPr="006F7A04" w:rsidTr="00E74785">
        <w:trPr>
          <w:trHeight w:val="389"/>
          <w:jc w:val="center"/>
        </w:trPr>
        <w:tc>
          <w:tcPr>
            <w:tcW w:w="819" w:type="dxa"/>
            <w:vMerge w:val="restart"/>
            <w:tcBorders>
              <w:top w:val="single" w:sz="8" w:space="0" w:color="auto"/>
              <w:left w:val="single" w:sz="8" w:space="0" w:color="auto"/>
              <w:bottom w:val="nil"/>
              <w:right w:val="nil"/>
            </w:tcBorders>
            <w:shd w:val="clear" w:color="auto" w:fill="auto"/>
            <w:noWrap/>
            <w:vAlign w:val="center"/>
            <w:hideMark/>
          </w:tcPr>
          <w:p w:rsidR="006F7A04" w:rsidRPr="00F97277" w:rsidRDefault="006F7A04" w:rsidP="006F7A04">
            <w:pPr>
              <w:widowControl/>
              <w:spacing w:after="0" w:line="240" w:lineRule="auto"/>
              <w:jc w:val="center"/>
              <w:rPr>
                <w:b/>
                <w:bCs/>
                <w:color w:val="000000"/>
                <w:szCs w:val="18"/>
              </w:rPr>
            </w:pPr>
            <w:r w:rsidRPr="00F97277">
              <w:rPr>
                <w:b/>
                <w:bCs/>
                <w:color w:val="000000"/>
                <w:szCs w:val="18"/>
              </w:rPr>
              <w:t>2016</w:t>
            </w:r>
          </w:p>
        </w:tc>
        <w:tc>
          <w:tcPr>
            <w:tcW w:w="4726" w:type="dxa"/>
            <w:tcBorders>
              <w:top w:val="single" w:sz="8" w:space="0" w:color="auto"/>
              <w:left w:val="nil"/>
              <w:bottom w:val="nil"/>
              <w:right w:val="nil"/>
            </w:tcBorders>
            <w:shd w:val="clear" w:color="auto" w:fill="auto"/>
            <w:noWrap/>
            <w:vAlign w:val="center"/>
            <w:hideMark/>
          </w:tcPr>
          <w:p w:rsidR="006F7A04" w:rsidRPr="00F97277" w:rsidRDefault="006F7A04" w:rsidP="00F97277">
            <w:pPr>
              <w:widowControl/>
              <w:spacing w:after="0" w:line="240" w:lineRule="auto"/>
              <w:jc w:val="center"/>
              <w:rPr>
                <w:b/>
                <w:bCs/>
                <w:color w:val="000000"/>
                <w:szCs w:val="18"/>
              </w:rPr>
            </w:pPr>
            <w:r w:rsidRPr="00F97277">
              <w:rPr>
                <w:b/>
                <w:bCs/>
                <w:color w:val="000000"/>
                <w:szCs w:val="18"/>
              </w:rPr>
              <w:t>IRP</w:t>
            </w:r>
          </w:p>
        </w:tc>
        <w:tc>
          <w:tcPr>
            <w:tcW w:w="1396" w:type="dxa"/>
            <w:tcBorders>
              <w:top w:val="single" w:sz="8" w:space="0" w:color="auto"/>
              <w:left w:val="nil"/>
              <w:bottom w:val="nil"/>
              <w:right w:val="nil"/>
            </w:tcBorders>
            <w:shd w:val="clear" w:color="auto" w:fill="auto"/>
            <w:noWrap/>
            <w:vAlign w:val="center"/>
            <w:hideMark/>
          </w:tcPr>
          <w:p w:rsidR="006F7A04" w:rsidRPr="00F97277" w:rsidRDefault="006F7A04" w:rsidP="00F14D4B">
            <w:pPr>
              <w:widowControl/>
              <w:spacing w:after="0" w:line="240" w:lineRule="auto"/>
              <w:jc w:val="center"/>
              <w:rPr>
                <w:color w:val="000000"/>
                <w:szCs w:val="18"/>
              </w:rPr>
            </w:pPr>
            <w:r w:rsidRPr="00F97277">
              <w:rPr>
                <w:color w:val="000000"/>
                <w:szCs w:val="18"/>
              </w:rPr>
              <w:t>138,074</w:t>
            </w:r>
          </w:p>
        </w:tc>
        <w:tc>
          <w:tcPr>
            <w:tcW w:w="2154" w:type="dxa"/>
            <w:tcBorders>
              <w:top w:val="single" w:sz="8" w:space="0" w:color="auto"/>
              <w:left w:val="nil"/>
              <w:bottom w:val="nil"/>
              <w:right w:val="single" w:sz="8" w:space="0" w:color="auto"/>
            </w:tcBorders>
            <w:shd w:val="clear" w:color="auto" w:fill="auto"/>
            <w:noWrap/>
            <w:vAlign w:val="center"/>
            <w:hideMark/>
          </w:tcPr>
          <w:p w:rsidR="006F7A04" w:rsidRPr="00F97277" w:rsidRDefault="006F7A04" w:rsidP="00F97277">
            <w:pPr>
              <w:widowControl/>
              <w:spacing w:after="0" w:line="240" w:lineRule="auto"/>
              <w:jc w:val="center"/>
              <w:rPr>
                <w:color w:val="000000"/>
                <w:szCs w:val="18"/>
              </w:rPr>
            </w:pPr>
            <w:r w:rsidRPr="00F97277">
              <w:rPr>
                <w:color w:val="000000"/>
                <w:szCs w:val="18"/>
              </w:rPr>
              <w:t>423,047</w:t>
            </w:r>
          </w:p>
        </w:tc>
      </w:tr>
      <w:tr w:rsidR="006F7A04" w:rsidRPr="006F7A04" w:rsidTr="00E74785">
        <w:trPr>
          <w:trHeight w:val="408"/>
          <w:jc w:val="center"/>
        </w:trPr>
        <w:tc>
          <w:tcPr>
            <w:tcW w:w="819" w:type="dxa"/>
            <w:vMerge/>
            <w:tcBorders>
              <w:top w:val="single" w:sz="8" w:space="0" w:color="auto"/>
              <w:left w:val="single" w:sz="8" w:space="0" w:color="auto"/>
              <w:bottom w:val="nil"/>
              <w:right w:val="nil"/>
            </w:tcBorders>
            <w:vAlign w:val="center"/>
            <w:hideMark/>
          </w:tcPr>
          <w:p w:rsidR="006F7A04" w:rsidRPr="00F97277" w:rsidRDefault="006F7A04" w:rsidP="006F7A04">
            <w:pPr>
              <w:widowControl/>
              <w:spacing w:after="0" w:line="240" w:lineRule="auto"/>
              <w:rPr>
                <w:b/>
                <w:bCs/>
                <w:color w:val="000000"/>
                <w:szCs w:val="18"/>
              </w:rPr>
            </w:pPr>
          </w:p>
        </w:tc>
        <w:tc>
          <w:tcPr>
            <w:tcW w:w="4726" w:type="dxa"/>
            <w:tcBorders>
              <w:top w:val="nil"/>
              <w:left w:val="nil"/>
              <w:bottom w:val="single" w:sz="8" w:space="0" w:color="auto"/>
              <w:right w:val="nil"/>
            </w:tcBorders>
            <w:shd w:val="clear" w:color="auto" w:fill="auto"/>
            <w:noWrap/>
            <w:vAlign w:val="center"/>
            <w:hideMark/>
          </w:tcPr>
          <w:p w:rsidR="006F7A04" w:rsidRPr="00F97277" w:rsidRDefault="006F7A04" w:rsidP="00F97277">
            <w:pPr>
              <w:widowControl/>
              <w:spacing w:after="0" w:line="240" w:lineRule="auto"/>
              <w:jc w:val="center"/>
              <w:rPr>
                <w:b/>
                <w:bCs/>
                <w:color w:val="000000"/>
                <w:szCs w:val="16"/>
              </w:rPr>
            </w:pPr>
            <w:r w:rsidRPr="00F97277">
              <w:rPr>
                <w:b/>
                <w:bCs/>
                <w:color w:val="000000"/>
                <w:szCs w:val="16"/>
              </w:rPr>
              <w:t>Conservation Plan</w:t>
            </w:r>
          </w:p>
        </w:tc>
        <w:tc>
          <w:tcPr>
            <w:tcW w:w="1396" w:type="dxa"/>
            <w:tcBorders>
              <w:top w:val="nil"/>
              <w:left w:val="nil"/>
              <w:bottom w:val="single" w:sz="8" w:space="0" w:color="auto"/>
              <w:right w:val="nil"/>
            </w:tcBorders>
            <w:shd w:val="clear" w:color="auto" w:fill="auto"/>
            <w:noWrap/>
            <w:vAlign w:val="center"/>
            <w:hideMark/>
          </w:tcPr>
          <w:p w:rsidR="006F7A04" w:rsidRPr="00F97277" w:rsidRDefault="006F7A04" w:rsidP="00F14D4B">
            <w:pPr>
              <w:widowControl/>
              <w:spacing w:after="0" w:line="240" w:lineRule="auto"/>
              <w:jc w:val="center"/>
              <w:rPr>
                <w:color w:val="000000"/>
                <w:szCs w:val="18"/>
              </w:rPr>
            </w:pPr>
            <w:r w:rsidRPr="00F97277">
              <w:rPr>
                <w:color w:val="000000"/>
                <w:szCs w:val="18"/>
              </w:rPr>
              <w:t>409,975</w:t>
            </w:r>
          </w:p>
        </w:tc>
        <w:tc>
          <w:tcPr>
            <w:tcW w:w="2154" w:type="dxa"/>
            <w:tcBorders>
              <w:top w:val="nil"/>
              <w:left w:val="nil"/>
              <w:bottom w:val="single" w:sz="8" w:space="0" w:color="auto"/>
              <w:right w:val="single" w:sz="8" w:space="0" w:color="auto"/>
            </w:tcBorders>
            <w:shd w:val="clear" w:color="auto" w:fill="auto"/>
            <w:noWrap/>
            <w:vAlign w:val="center"/>
            <w:hideMark/>
          </w:tcPr>
          <w:p w:rsidR="006F7A04" w:rsidRPr="00F97277" w:rsidRDefault="006F7A04" w:rsidP="00F97277">
            <w:pPr>
              <w:widowControl/>
              <w:spacing w:after="0" w:line="240" w:lineRule="auto"/>
              <w:jc w:val="center"/>
              <w:rPr>
                <w:color w:val="000000"/>
                <w:szCs w:val="18"/>
              </w:rPr>
            </w:pPr>
            <w:r w:rsidRPr="00F97277">
              <w:rPr>
                <w:color w:val="000000"/>
                <w:szCs w:val="18"/>
              </w:rPr>
              <w:t>565,940</w:t>
            </w:r>
          </w:p>
        </w:tc>
      </w:tr>
      <w:tr w:rsidR="006F7A04" w:rsidRPr="006F7A04" w:rsidTr="00E74785">
        <w:trPr>
          <w:trHeight w:val="408"/>
          <w:jc w:val="center"/>
        </w:trPr>
        <w:tc>
          <w:tcPr>
            <w:tcW w:w="819"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6F7A04" w:rsidRPr="00F97277" w:rsidRDefault="006F7A04" w:rsidP="006F7A04">
            <w:pPr>
              <w:widowControl/>
              <w:spacing w:after="0" w:line="240" w:lineRule="auto"/>
              <w:jc w:val="center"/>
              <w:rPr>
                <w:b/>
                <w:bCs/>
                <w:color w:val="000000"/>
                <w:szCs w:val="18"/>
              </w:rPr>
            </w:pPr>
            <w:r w:rsidRPr="00F97277">
              <w:rPr>
                <w:b/>
                <w:bCs/>
                <w:color w:val="000000"/>
                <w:szCs w:val="18"/>
              </w:rPr>
              <w:t>2017</w:t>
            </w:r>
          </w:p>
        </w:tc>
        <w:tc>
          <w:tcPr>
            <w:tcW w:w="4726" w:type="dxa"/>
            <w:tcBorders>
              <w:top w:val="nil"/>
              <w:left w:val="nil"/>
              <w:bottom w:val="nil"/>
              <w:right w:val="nil"/>
            </w:tcBorders>
            <w:shd w:val="clear" w:color="auto" w:fill="auto"/>
            <w:noWrap/>
            <w:vAlign w:val="center"/>
            <w:hideMark/>
          </w:tcPr>
          <w:p w:rsidR="006F7A04" w:rsidRPr="00F97277" w:rsidRDefault="006F7A04" w:rsidP="00F97277">
            <w:pPr>
              <w:widowControl/>
              <w:spacing w:after="0" w:line="240" w:lineRule="auto"/>
              <w:jc w:val="center"/>
              <w:rPr>
                <w:b/>
                <w:bCs/>
                <w:color w:val="000000"/>
                <w:szCs w:val="18"/>
              </w:rPr>
            </w:pPr>
            <w:r w:rsidRPr="00F97277">
              <w:rPr>
                <w:b/>
                <w:bCs/>
                <w:color w:val="000000"/>
                <w:szCs w:val="18"/>
              </w:rPr>
              <w:t>IRP</w:t>
            </w:r>
          </w:p>
        </w:tc>
        <w:tc>
          <w:tcPr>
            <w:tcW w:w="1396" w:type="dxa"/>
            <w:tcBorders>
              <w:top w:val="nil"/>
              <w:left w:val="nil"/>
              <w:bottom w:val="nil"/>
              <w:right w:val="nil"/>
            </w:tcBorders>
            <w:shd w:val="clear" w:color="auto" w:fill="auto"/>
            <w:noWrap/>
            <w:vAlign w:val="center"/>
            <w:hideMark/>
          </w:tcPr>
          <w:p w:rsidR="006F7A04" w:rsidRPr="00F97277" w:rsidRDefault="006F7A04" w:rsidP="00F14D4B">
            <w:pPr>
              <w:widowControl/>
              <w:spacing w:after="0" w:line="240" w:lineRule="auto"/>
              <w:jc w:val="center"/>
              <w:rPr>
                <w:color w:val="000000"/>
                <w:szCs w:val="18"/>
              </w:rPr>
            </w:pPr>
            <w:r w:rsidRPr="00F97277">
              <w:rPr>
                <w:color w:val="000000"/>
                <w:szCs w:val="18"/>
              </w:rPr>
              <w:t>284,585</w:t>
            </w:r>
          </w:p>
        </w:tc>
        <w:tc>
          <w:tcPr>
            <w:tcW w:w="2154" w:type="dxa"/>
            <w:tcBorders>
              <w:top w:val="nil"/>
              <w:left w:val="nil"/>
              <w:bottom w:val="nil"/>
              <w:right w:val="single" w:sz="8" w:space="0" w:color="auto"/>
            </w:tcBorders>
            <w:shd w:val="clear" w:color="auto" w:fill="auto"/>
            <w:noWrap/>
            <w:vAlign w:val="center"/>
            <w:hideMark/>
          </w:tcPr>
          <w:p w:rsidR="006F7A04" w:rsidRPr="00F97277" w:rsidRDefault="006F7A04" w:rsidP="00F97277">
            <w:pPr>
              <w:widowControl/>
              <w:spacing w:after="0" w:line="240" w:lineRule="auto"/>
              <w:jc w:val="center"/>
              <w:rPr>
                <w:color w:val="000000"/>
                <w:szCs w:val="18"/>
              </w:rPr>
            </w:pPr>
            <w:r w:rsidRPr="00F97277">
              <w:rPr>
                <w:color w:val="000000"/>
                <w:szCs w:val="18"/>
              </w:rPr>
              <w:t>1,025,511</w:t>
            </w:r>
          </w:p>
        </w:tc>
      </w:tr>
      <w:tr w:rsidR="006F7A04" w:rsidRPr="006F7A04" w:rsidTr="00E74785">
        <w:trPr>
          <w:trHeight w:val="669"/>
          <w:jc w:val="center"/>
        </w:trPr>
        <w:tc>
          <w:tcPr>
            <w:tcW w:w="819" w:type="dxa"/>
            <w:vMerge/>
            <w:tcBorders>
              <w:top w:val="single" w:sz="8" w:space="0" w:color="auto"/>
              <w:left w:val="single" w:sz="8" w:space="0" w:color="auto"/>
              <w:bottom w:val="nil"/>
              <w:right w:val="single" w:sz="8" w:space="0" w:color="auto"/>
            </w:tcBorders>
            <w:vAlign w:val="center"/>
            <w:hideMark/>
          </w:tcPr>
          <w:p w:rsidR="006F7A04" w:rsidRPr="00F97277" w:rsidRDefault="006F7A04" w:rsidP="006F7A04">
            <w:pPr>
              <w:widowControl/>
              <w:spacing w:after="0" w:line="240" w:lineRule="auto"/>
              <w:rPr>
                <w:b/>
                <w:bCs/>
                <w:color w:val="000000"/>
                <w:szCs w:val="18"/>
              </w:rPr>
            </w:pPr>
          </w:p>
        </w:tc>
        <w:tc>
          <w:tcPr>
            <w:tcW w:w="4726" w:type="dxa"/>
            <w:tcBorders>
              <w:top w:val="single" w:sz="8" w:space="0" w:color="auto"/>
              <w:left w:val="nil"/>
              <w:bottom w:val="single" w:sz="8" w:space="0" w:color="auto"/>
              <w:right w:val="nil"/>
            </w:tcBorders>
            <w:shd w:val="clear" w:color="auto" w:fill="auto"/>
            <w:vAlign w:val="center"/>
            <w:hideMark/>
          </w:tcPr>
          <w:p w:rsidR="006F7A04" w:rsidRPr="00F97277" w:rsidRDefault="006F7A04" w:rsidP="00E74785">
            <w:pPr>
              <w:widowControl/>
              <w:spacing w:after="0" w:line="240" w:lineRule="auto"/>
              <w:jc w:val="center"/>
              <w:rPr>
                <w:b/>
                <w:bCs/>
                <w:color w:val="000000"/>
                <w:szCs w:val="16"/>
              </w:rPr>
            </w:pPr>
            <w:r w:rsidRPr="00EF2E90">
              <w:rPr>
                <w:b/>
                <w:bCs/>
                <w:color w:val="000000"/>
                <w:szCs w:val="16"/>
              </w:rPr>
              <w:t xml:space="preserve">Conservation Plan </w:t>
            </w:r>
            <w:r w:rsidR="002B2889" w:rsidRPr="00EF2E90">
              <w:rPr>
                <w:b/>
                <w:bCs/>
                <w:color w:val="000000"/>
                <w:szCs w:val="16"/>
              </w:rPr>
              <w:br/>
            </w:r>
            <w:r w:rsidRPr="00EF2E90">
              <w:rPr>
                <w:b/>
                <w:bCs/>
                <w:color w:val="000000"/>
                <w:szCs w:val="16"/>
              </w:rPr>
              <w:t xml:space="preserve">Residential </w:t>
            </w:r>
            <w:r w:rsidR="00EF2E90">
              <w:rPr>
                <w:b/>
                <w:bCs/>
                <w:color w:val="000000"/>
                <w:szCs w:val="16"/>
              </w:rPr>
              <w:t xml:space="preserve">increased to </w:t>
            </w:r>
            <w:r w:rsidRPr="00F97277">
              <w:rPr>
                <w:b/>
                <w:bCs/>
                <w:color w:val="000000"/>
                <w:szCs w:val="16"/>
              </w:rPr>
              <w:t>50% incentive</w:t>
            </w:r>
          </w:p>
        </w:tc>
        <w:tc>
          <w:tcPr>
            <w:tcW w:w="1396" w:type="dxa"/>
            <w:tcBorders>
              <w:top w:val="single" w:sz="8" w:space="0" w:color="auto"/>
              <w:left w:val="nil"/>
              <w:bottom w:val="single" w:sz="8" w:space="0" w:color="auto"/>
              <w:right w:val="nil"/>
            </w:tcBorders>
            <w:shd w:val="clear" w:color="auto" w:fill="auto"/>
            <w:noWrap/>
            <w:vAlign w:val="center"/>
            <w:hideMark/>
          </w:tcPr>
          <w:p w:rsidR="006F7A04" w:rsidRPr="00F97277" w:rsidRDefault="006F7A04" w:rsidP="00F14D4B">
            <w:pPr>
              <w:widowControl/>
              <w:spacing w:after="0" w:line="240" w:lineRule="auto"/>
              <w:jc w:val="center"/>
              <w:rPr>
                <w:color w:val="000000"/>
                <w:szCs w:val="18"/>
              </w:rPr>
            </w:pPr>
            <w:r w:rsidRPr="00F97277">
              <w:rPr>
                <w:color w:val="000000"/>
                <w:szCs w:val="18"/>
              </w:rPr>
              <w:t>162,798</w:t>
            </w:r>
          </w:p>
        </w:tc>
        <w:tc>
          <w:tcPr>
            <w:tcW w:w="2154" w:type="dxa"/>
            <w:tcBorders>
              <w:top w:val="single" w:sz="8" w:space="0" w:color="auto"/>
              <w:left w:val="nil"/>
              <w:bottom w:val="single" w:sz="8" w:space="0" w:color="auto"/>
              <w:right w:val="single" w:sz="8" w:space="0" w:color="auto"/>
            </w:tcBorders>
            <w:shd w:val="clear" w:color="auto" w:fill="auto"/>
            <w:noWrap/>
            <w:vAlign w:val="center"/>
            <w:hideMark/>
          </w:tcPr>
          <w:p w:rsidR="006F7A04" w:rsidRPr="00EF2E90" w:rsidRDefault="00EF2E90" w:rsidP="00F97277">
            <w:pPr>
              <w:widowControl/>
              <w:spacing w:after="0" w:line="240" w:lineRule="auto"/>
              <w:jc w:val="center"/>
            </w:pPr>
            <w:r w:rsidRPr="00EF2E90">
              <w:t>608,074</w:t>
            </w:r>
          </w:p>
        </w:tc>
      </w:tr>
      <w:tr w:rsidR="006F7A04" w:rsidRPr="006F7A04" w:rsidTr="00E74785">
        <w:trPr>
          <w:trHeight w:val="669"/>
          <w:jc w:val="center"/>
        </w:trPr>
        <w:tc>
          <w:tcPr>
            <w:tcW w:w="819" w:type="dxa"/>
            <w:tcBorders>
              <w:top w:val="nil"/>
              <w:left w:val="single" w:sz="8" w:space="0" w:color="auto"/>
              <w:bottom w:val="single" w:sz="8" w:space="0" w:color="auto"/>
              <w:right w:val="single" w:sz="8" w:space="0" w:color="auto"/>
            </w:tcBorders>
            <w:shd w:val="clear" w:color="auto" w:fill="auto"/>
            <w:noWrap/>
            <w:vAlign w:val="bottom"/>
            <w:hideMark/>
          </w:tcPr>
          <w:p w:rsidR="006F7A04" w:rsidRPr="00F97277" w:rsidRDefault="006F7A04" w:rsidP="006F7A04">
            <w:pPr>
              <w:widowControl/>
              <w:spacing w:after="0" w:line="240" w:lineRule="auto"/>
              <w:rPr>
                <w:color w:val="000000"/>
                <w:szCs w:val="22"/>
              </w:rPr>
            </w:pPr>
            <w:r w:rsidRPr="00F97277">
              <w:rPr>
                <w:color w:val="000000"/>
                <w:szCs w:val="22"/>
              </w:rPr>
              <w:t> </w:t>
            </w:r>
          </w:p>
        </w:tc>
        <w:tc>
          <w:tcPr>
            <w:tcW w:w="4726" w:type="dxa"/>
            <w:tcBorders>
              <w:top w:val="nil"/>
              <w:left w:val="nil"/>
              <w:bottom w:val="single" w:sz="8" w:space="0" w:color="auto"/>
              <w:right w:val="nil"/>
            </w:tcBorders>
            <w:shd w:val="clear" w:color="auto" w:fill="auto"/>
            <w:vAlign w:val="center"/>
            <w:hideMark/>
          </w:tcPr>
          <w:p w:rsidR="006F7A04" w:rsidRPr="00F97277" w:rsidRDefault="006F7A04" w:rsidP="00EF2E90">
            <w:pPr>
              <w:widowControl/>
              <w:spacing w:after="0" w:line="240" w:lineRule="auto"/>
              <w:jc w:val="center"/>
              <w:rPr>
                <w:b/>
                <w:bCs/>
                <w:color w:val="000000"/>
                <w:szCs w:val="16"/>
              </w:rPr>
            </w:pPr>
            <w:r w:rsidRPr="00F97277">
              <w:rPr>
                <w:b/>
                <w:bCs/>
                <w:color w:val="000000"/>
                <w:szCs w:val="16"/>
              </w:rPr>
              <w:t xml:space="preserve">Conservation Plan </w:t>
            </w:r>
            <w:r w:rsidR="00F3325E">
              <w:rPr>
                <w:b/>
                <w:bCs/>
                <w:color w:val="000000"/>
                <w:szCs w:val="16"/>
              </w:rPr>
              <w:br/>
              <w:t xml:space="preserve">Maintained at </w:t>
            </w:r>
            <w:r w:rsidR="00F97277">
              <w:rPr>
                <w:b/>
                <w:bCs/>
                <w:color w:val="000000"/>
                <w:szCs w:val="16"/>
              </w:rPr>
              <w:t xml:space="preserve">30% </w:t>
            </w:r>
            <w:r w:rsidRPr="00F97277">
              <w:rPr>
                <w:b/>
                <w:bCs/>
                <w:color w:val="000000"/>
                <w:szCs w:val="16"/>
              </w:rPr>
              <w:t xml:space="preserve"> incentive levels</w:t>
            </w:r>
          </w:p>
        </w:tc>
        <w:tc>
          <w:tcPr>
            <w:tcW w:w="1396" w:type="dxa"/>
            <w:tcBorders>
              <w:top w:val="nil"/>
              <w:left w:val="nil"/>
              <w:bottom w:val="single" w:sz="8" w:space="0" w:color="auto"/>
              <w:right w:val="nil"/>
            </w:tcBorders>
            <w:shd w:val="clear" w:color="auto" w:fill="auto"/>
            <w:noWrap/>
            <w:vAlign w:val="center"/>
            <w:hideMark/>
          </w:tcPr>
          <w:p w:rsidR="006F7A04" w:rsidRPr="00F97277" w:rsidRDefault="006F7A04" w:rsidP="00F14D4B">
            <w:pPr>
              <w:widowControl/>
              <w:spacing w:after="0" w:line="240" w:lineRule="auto"/>
              <w:jc w:val="center"/>
              <w:rPr>
                <w:color w:val="000000"/>
                <w:szCs w:val="18"/>
              </w:rPr>
            </w:pPr>
            <w:r w:rsidRPr="00F97277">
              <w:rPr>
                <w:color w:val="000000"/>
                <w:szCs w:val="18"/>
              </w:rPr>
              <w:t>419,773</w:t>
            </w:r>
          </w:p>
        </w:tc>
        <w:tc>
          <w:tcPr>
            <w:tcW w:w="2154" w:type="dxa"/>
            <w:tcBorders>
              <w:top w:val="nil"/>
              <w:left w:val="nil"/>
              <w:bottom w:val="single" w:sz="8" w:space="0" w:color="auto"/>
              <w:right w:val="single" w:sz="8" w:space="0" w:color="auto"/>
            </w:tcBorders>
            <w:shd w:val="clear" w:color="auto" w:fill="auto"/>
            <w:noWrap/>
            <w:vAlign w:val="center"/>
            <w:hideMark/>
          </w:tcPr>
          <w:p w:rsidR="006F7A04" w:rsidRPr="00EF2E90" w:rsidRDefault="006F7A04" w:rsidP="00EF2E90">
            <w:pPr>
              <w:widowControl/>
              <w:spacing w:after="0" w:line="240" w:lineRule="auto"/>
              <w:jc w:val="center"/>
              <w:rPr>
                <w:color w:val="FF0000"/>
                <w:szCs w:val="18"/>
              </w:rPr>
            </w:pPr>
            <w:r w:rsidRPr="00EF2E90">
              <w:rPr>
                <w:szCs w:val="18"/>
              </w:rPr>
              <w:t>608,074</w:t>
            </w:r>
          </w:p>
        </w:tc>
      </w:tr>
    </w:tbl>
    <w:p w:rsidR="0072315A" w:rsidRDefault="0072315A" w:rsidP="00E74785">
      <w:pPr>
        <w:spacing w:after="0"/>
        <w:ind w:right="83"/>
        <w:jc w:val="center"/>
      </w:pPr>
    </w:p>
    <w:p w:rsidR="00EF2E90" w:rsidRDefault="00EF2E90">
      <w:pPr>
        <w:widowControl/>
        <w:spacing w:after="0" w:line="240" w:lineRule="auto"/>
      </w:pPr>
      <w:r>
        <w:br w:type="page"/>
      </w:r>
    </w:p>
    <w:p w:rsidR="00F3325E" w:rsidRDefault="00F3325E" w:rsidP="00F3325E">
      <w:pPr>
        <w:spacing w:after="0"/>
        <w:ind w:right="83"/>
        <w:jc w:val="center"/>
        <w:rPr>
          <w:b/>
        </w:rPr>
      </w:pPr>
      <w:r>
        <w:rPr>
          <w:b/>
        </w:rPr>
        <w:lastRenderedPageBreak/>
        <w:t>Figure 10</w:t>
      </w:r>
    </w:p>
    <w:p w:rsidR="00F3325E" w:rsidRDefault="00F3325E" w:rsidP="00F3325E">
      <w:pPr>
        <w:spacing w:after="0"/>
        <w:ind w:right="83"/>
        <w:jc w:val="center"/>
      </w:pPr>
      <w:r>
        <w:rPr>
          <w:noProof/>
        </w:rPr>
        <w:drawing>
          <wp:inline distT="0" distB="0" distL="0" distR="0" wp14:anchorId="4D81E5C8" wp14:editId="0B58FC61">
            <wp:extent cx="5943600" cy="3380105"/>
            <wp:effectExtent l="0" t="0" r="1905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325E" w:rsidRDefault="00F3325E" w:rsidP="0068556F">
      <w:pPr>
        <w:spacing w:after="0"/>
        <w:ind w:right="83"/>
        <w:jc w:val="both"/>
        <w:rPr>
          <w:b/>
          <w:u w:val="single"/>
        </w:rPr>
      </w:pPr>
    </w:p>
    <w:p w:rsidR="00F3325E" w:rsidRDefault="00F3325E" w:rsidP="0068556F">
      <w:pPr>
        <w:spacing w:after="0"/>
        <w:ind w:right="83"/>
        <w:jc w:val="both"/>
        <w:rPr>
          <w:b/>
          <w:u w:val="single"/>
        </w:rPr>
      </w:pPr>
    </w:p>
    <w:p w:rsidR="00525FE4" w:rsidRPr="0068556F" w:rsidRDefault="00525FE4" w:rsidP="0068556F">
      <w:pPr>
        <w:spacing w:after="0"/>
        <w:ind w:right="83"/>
        <w:jc w:val="both"/>
      </w:pPr>
      <w:r w:rsidRPr="0068556F">
        <w:t>These projected achievements are based on the Company’s current best estimates of its achievable potential, which are based on projected gas costs and the Nexant Potential study of viable natural gas measures and are subject to modification dependent upon updated forecasts, knowledge of evolving efficiency technologies, customer interest and program participation levels and updates based on external influences. Budgets for FY 201</w:t>
      </w:r>
      <w:r w:rsidR="00B17261" w:rsidRPr="0068556F">
        <w:t>6</w:t>
      </w:r>
      <w:r w:rsidRPr="0068556F">
        <w:t xml:space="preserve"> and 201</w:t>
      </w:r>
      <w:r w:rsidR="00B17261" w:rsidRPr="0068556F">
        <w:t>7</w:t>
      </w:r>
      <w:r w:rsidRPr="0068556F">
        <w:t xml:space="preserve"> will be based commensurately with these targets and adjusted to ensure maintenance of cost-effectiveness and appropriate levelized costs. The Company anticipates the budget</w:t>
      </w:r>
      <w:r w:rsidR="00BB0294" w:rsidRPr="0068556F">
        <w:t xml:space="preserve"> on a portfolio level</w:t>
      </w:r>
      <w:r w:rsidRPr="0068556F">
        <w:t xml:space="preserve"> for </w:t>
      </w:r>
      <w:r w:rsidR="00BB0294" w:rsidRPr="0068556F">
        <w:t xml:space="preserve">2016 to </w:t>
      </w:r>
      <w:r w:rsidRPr="0068556F">
        <w:t xml:space="preserve">be in the range of </w:t>
      </w:r>
      <w:r w:rsidRPr="0068556F">
        <w:rPr>
          <w:b/>
        </w:rPr>
        <w:t>$</w:t>
      </w:r>
      <w:r w:rsidR="00BB0294" w:rsidRPr="0068556F">
        <w:rPr>
          <w:b/>
        </w:rPr>
        <w:t>1.355 - $1.49 mil</w:t>
      </w:r>
      <w:r w:rsidR="00932445" w:rsidRPr="0068556F">
        <w:rPr>
          <w:b/>
        </w:rPr>
        <w:t>lion</w:t>
      </w:r>
      <w:r w:rsidRPr="0068556F">
        <w:t xml:space="preserve"> in administrative costs</w:t>
      </w:r>
      <w:r w:rsidR="00BB0294" w:rsidRPr="0068556F">
        <w:t xml:space="preserve"> to support the increased goals for the residential program</w:t>
      </w:r>
      <w:r w:rsidRPr="0068556F">
        <w:t xml:space="preserve">. </w:t>
      </w:r>
      <w:r w:rsidR="00BB0294" w:rsidRPr="0068556F">
        <w:t>FY 2017 is estimated to have a budget up to $</w:t>
      </w:r>
      <w:r w:rsidR="00BB0294" w:rsidRPr="0068556F">
        <w:rPr>
          <w:b/>
        </w:rPr>
        <w:t>1.54 mil</w:t>
      </w:r>
      <w:r w:rsidR="00BB0294" w:rsidRPr="0068556F">
        <w:t>.  A</w:t>
      </w:r>
      <w:r w:rsidRPr="0068556F">
        <w:t>dministrative costs for FY</w:t>
      </w:r>
      <w:r w:rsidR="00021C03">
        <w:t xml:space="preserve"> </w:t>
      </w:r>
      <w:r w:rsidRPr="0068556F">
        <w:t xml:space="preserve">2016 </w:t>
      </w:r>
      <w:r w:rsidR="00BB0294" w:rsidRPr="0068556F">
        <w:t>are</w:t>
      </w:r>
      <w:r w:rsidRPr="0068556F">
        <w:t xml:space="preserve"> slightly higher than those in </w:t>
      </w:r>
      <w:r w:rsidR="00932445" w:rsidRPr="0068556F">
        <w:t>2015</w:t>
      </w:r>
      <w:r w:rsidR="00BB0294" w:rsidRPr="0068556F">
        <w:t xml:space="preserve"> </w:t>
      </w:r>
      <w:r w:rsidRPr="0068556F">
        <w:t xml:space="preserve">due to the </w:t>
      </w:r>
      <w:r w:rsidR="00BB0294" w:rsidRPr="0068556F">
        <w:t xml:space="preserve">transition of the </w:t>
      </w:r>
      <w:r w:rsidRPr="0068556F">
        <w:t xml:space="preserve">Residential program </w:t>
      </w:r>
      <w:r w:rsidR="00BB0294" w:rsidRPr="0068556F">
        <w:t>processing to internal delivery, as well as the initial implementation fee for the new software platform</w:t>
      </w:r>
      <w:r w:rsidRPr="0068556F">
        <w:t xml:space="preserve">. The Company also includes expected participation level costs for the 5 year NEEA pilot (total </w:t>
      </w:r>
      <w:r w:rsidRPr="0068556F">
        <w:rPr>
          <w:b/>
        </w:rPr>
        <w:t>$1,70</w:t>
      </w:r>
      <w:r w:rsidR="008D41B2">
        <w:rPr>
          <w:b/>
        </w:rPr>
        <w:t>5</w:t>
      </w:r>
      <w:r w:rsidRPr="0068556F">
        <w:rPr>
          <w:b/>
        </w:rPr>
        <w:t>,</w:t>
      </w:r>
      <w:r w:rsidR="008D41B2">
        <w:rPr>
          <w:b/>
        </w:rPr>
        <w:t>130</w:t>
      </w:r>
      <w:r w:rsidRPr="0068556F">
        <w:t>) as agreed upon in January, 2015.  The Company list</w:t>
      </w:r>
      <w:r w:rsidR="00BB0294" w:rsidRPr="0068556F">
        <w:t>s</w:t>
      </w:r>
      <w:r w:rsidRPr="0068556F">
        <w:t xml:space="preserve"> these costs in the Annual Conservation Report and will </w:t>
      </w:r>
      <w:r w:rsidR="00BB0294" w:rsidRPr="0068556F">
        <w:t xml:space="preserve">represent </w:t>
      </w:r>
      <w:r w:rsidRPr="0068556F">
        <w:t xml:space="preserve">the program’s cost-effectiveness primarily without the costs but will also include the NEEA pilot efforts to demonstrate its effect on cost-effectiveness. </w:t>
      </w:r>
    </w:p>
    <w:p w:rsidR="00525FE4" w:rsidRPr="0068556F" w:rsidRDefault="00525FE4" w:rsidP="0068556F">
      <w:pPr>
        <w:spacing w:after="0"/>
        <w:ind w:right="83"/>
        <w:jc w:val="both"/>
      </w:pPr>
    </w:p>
    <w:p w:rsidR="00525FE4" w:rsidRPr="0068556F" w:rsidRDefault="00525FE4" w:rsidP="0068556F">
      <w:pPr>
        <w:widowControl/>
      </w:pPr>
      <w:r w:rsidRPr="0068556F">
        <w:t xml:space="preserve">Cascade Natural Gas NEEA </w:t>
      </w:r>
      <w:r w:rsidR="00932445" w:rsidRPr="0068556F">
        <w:t xml:space="preserve">Natural </w:t>
      </w:r>
      <w:r w:rsidRPr="0068556F">
        <w:t>Gas Market Tran</w:t>
      </w:r>
      <w:r w:rsidR="00844F94" w:rsidRPr="0068556F">
        <w:t xml:space="preserve">sformation Pilot Participation </w:t>
      </w:r>
    </w:p>
    <w:p w:rsidR="00525FE4" w:rsidRPr="0068556F" w:rsidRDefault="00525FE4" w:rsidP="0068556F">
      <w:pPr>
        <w:spacing w:after="0"/>
        <w:ind w:left="90" w:right="83"/>
        <w:jc w:val="center"/>
        <w:rPr>
          <w:b/>
        </w:rPr>
      </w:pPr>
      <w:r w:rsidRPr="0068556F">
        <w:rPr>
          <w:b/>
        </w:rPr>
        <w:lastRenderedPageBreak/>
        <w:t xml:space="preserve">Table </w:t>
      </w:r>
      <w:r w:rsidR="00F3325E">
        <w:rPr>
          <w:b/>
        </w:rPr>
        <w:t>8</w:t>
      </w:r>
    </w:p>
    <w:tbl>
      <w:tblPr>
        <w:tblStyle w:val="TableGrid"/>
        <w:tblW w:w="0" w:type="auto"/>
        <w:jc w:val="center"/>
        <w:tblInd w:w="2448" w:type="dxa"/>
        <w:tblLook w:val="04A0" w:firstRow="1" w:lastRow="0" w:firstColumn="1" w:lastColumn="0" w:noHBand="0" w:noVBand="1"/>
      </w:tblPr>
      <w:tblGrid>
        <w:gridCol w:w="869"/>
        <w:gridCol w:w="4294"/>
      </w:tblGrid>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Year</w:t>
            </w:r>
          </w:p>
        </w:tc>
        <w:tc>
          <w:tcPr>
            <w:tcW w:w="4294" w:type="dxa"/>
            <w:vAlign w:val="center"/>
          </w:tcPr>
          <w:p w:rsidR="00525FE4" w:rsidRPr="0068556F" w:rsidRDefault="00525FE4" w:rsidP="0068556F">
            <w:pPr>
              <w:ind w:right="83"/>
              <w:jc w:val="center"/>
            </w:pPr>
            <w:r w:rsidRPr="0068556F">
              <w:t>Cascade’s Washington Commitment at 9.3% of total budget for 5 year pilot</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2015</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$145,</w:t>
            </w:r>
            <w:r w:rsidR="00BB0294" w:rsidRPr="0068556F">
              <w:rPr>
                <w:rFonts w:ascii="Arial" w:hAnsi="Arial" w:cs="Arial"/>
              </w:rPr>
              <w:t>872</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2016</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$244,</w:t>
            </w:r>
            <w:r w:rsidR="00BB0294" w:rsidRPr="0068556F">
              <w:rPr>
                <w:rFonts w:ascii="Arial" w:hAnsi="Arial" w:cs="Arial"/>
              </w:rPr>
              <w:t>996</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2017</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$313,</w:t>
            </w:r>
            <w:r w:rsidR="00BB0294" w:rsidRPr="0068556F">
              <w:rPr>
                <w:rFonts w:ascii="Arial" w:hAnsi="Arial" w:cs="Arial"/>
              </w:rPr>
              <w:t>174</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2018</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$452,</w:t>
            </w:r>
            <w:r w:rsidR="00BB0294" w:rsidRPr="0068556F">
              <w:rPr>
                <w:rFonts w:ascii="Arial" w:hAnsi="Arial" w:cs="Arial"/>
              </w:rPr>
              <w:t>285</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2019</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$548,</w:t>
            </w:r>
            <w:r w:rsidR="00BB0294" w:rsidRPr="0068556F">
              <w:rPr>
                <w:rFonts w:ascii="Arial" w:hAnsi="Arial" w:cs="Arial"/>
              </w:rPr>
              <w:t>803</w:t>
            </w:r>
          </w:p>
        </w:tc>
      </w:tr>
      <w:tr w:rsidR="00525FE4" w:rsidRPr="0068556F" w:rsidTr="00844F94">
        <w:trPr>
          <w:jc w:val="center"/>
        </w:trPr>
        <w:tc>
          <w:tcPr>
            <w:tcW w:w="869"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Total</w:t>
            </w:r>
          </w:p>
        </w:tc>
        <w:tc>
          <w:tcPr>
            <w:tcW w:w="4294" w:type="dxa"/>
            <w:vAlign w:val="center"/>
          </w:tcPr>
          <w:p w:rsidR="00525FE4" w:rsidRPr="0068556F" w:rsidRDefault="00525FE4" w:rsidP="0068556F">
            <w:pPr>
              <w:pStyle w:val="ListParagraph"/>
              <w:spacing w:line="276" w:lineRule="auto"/>
              <w:ind w:left="0" w:right="83"/>
              <w:jc w:val="center"/>
              <w:rPr>
                <w:rFonts w:ascii="Arial" w:hAnsi="Arial" w:cs="Arial"/>
              </w:rPr>
            </w:pPr>
            <w:r w:rsidRPr="0068556F">
              <w:rPr>
                <w:rFonts w:ascii="Arial" w:hAnsi="Arial" w:cs="Arial"/>
              </w:rPr>
              <w:t>$1,70</w:t>
            </w:r>
            <w:r w:rsidR="00BB0294" w:rsidRPr="0068556F">
              <w:rPr>
                <w:rFonts w:ascii="Arial" w:hAnsi="Arial" w:cs="Arial"/>
              </w:rPr>
              <w:t>5,130</w:t>
            </w:r>
          </w:p>
        </w:tc>
      </w:tr>
    </w:tbl>
    <w:p w:rsidR="00525FE4" w:rsidRPr="0068556F" w:rsidRDefault="00525FE4" w:rsidP="0068556F">
      <w:pPr>
        <w:pStyle w:val="ListParagraph"/>
        <w:spacing w:line="276" w:lineRule="auto"/>
        <w:ind w:left="810" w:right="83"/>
        <w:jc w:val="both"/>
        <w:rPr>
          <w:rFonts w:ascii="Arial" w:hAnsi="Arial" w:cs="Arial"/>
        </w:rPr>
      </w:pPr>
    </w:p>
    <w:p w:rsidR="00EF2E90" w:rsidRDefault="00EF2E90" w:rsidP="0068556F">
      <w:pPr>
        <w:pStyle w:val="Heading1"/>
        <w:spacing w:line="276" w:lineRule="auto"/>
        <w:rPr>
          <w:rFonts w:ascii="Arial" w:hAnsi="Arial" w:cs="Arial"/>
        </w:rPr>
      </w:pPr>
      <w:bookmarkStart w:id="32" w:name="_Toc437853996"/>
    </w:p>
    <w:p w:rsidR="00EF2E90" w:rsidRDefault="00EF2E90" w:rsidP="0068556F">
      <w:pPr>
        <w:pStyle w:val="Heading1"/>
        <w:spacing w:line="276" w:lineRule="auto"/>
        <w:rPr>
          <w:rFonts w:ascii="Arial" w:hAnsi="Arial" w:cs="Arial"/>
        </w:rPr>
      </w:pPr>
    </w:p>
    <w:p w:rsidR="00EF2E90" w:rsidRDefault="00EF2E90" w:rsidP="0068556F">
      <w:pPr>
        <w:pStyle w:val="Heading1"/>
        <w:spacing w:line="276" w:lineRule="auto"/>
        <w:rPr>
          <w:rFonts w:ascii="Arial" w:hAnsi="Arial" w:cs="Arial"/>
        </w:rPr>
      </w:pPr>
    </w:p>
    <w:p w:rsidR="00525FE4" w:rsidRPr="0068556F" w:rsidRDefault="00B07BF3" w:rsidP="0068556F">
      <w:pPr>
        <w:pStyle w:val="Heading1"/>
        <w:spacing w:line="276" w:lineRule="auto"/>
        <w:rPr>
          <w:rFonts w:ascii="Arial" w:hAnsi="Arial" w:cs="Arial"/>
        </w:rPr>
      </w:pPr>
      <w:r w:rsidRPr="0068556F">
        <w:rPr>
          <w:rFonts w:ascii="Arial" w:hAnsi="Arial" w:cs="Arial"/>
        </w:rPr>
        <w:t>Long term</w:t>
      </w:r>
      <w:r w:rsidR="00525FE4" w:rsidRPr="0068556F">
        <w:rPr>
          <w:rFonts w:ascii="Arial" w:hAnsi="Arial" w:cs="Arial"/>
        </w:rPr>
        <w:t xml:space="preserve"> Conservation Potential</w:t>
      </w:r>
      <w:bookmarkEnd w:id="32"/>
    </w:p>
    <w:p w:rsidR="00EF2E90" w:rsidRDefault="00525FE4" w:rsidP="008713FB">
      <w:pPr>
        <w:spacing w:after="0"/>
        <w:ind w:right="86"/>
        <w:contextualSpacing/>
        <w:jc w:val="both"/>
      </w:pPr>
      <w:r w:rsidRPr="0068556F">
        <w:t>The Company provide</w:t>
      </w:r>
      <w:r w:rsidR="008940DA" w:rsidRPr="0068556F">
        <w:t>d</w:t>
      </w:r>
      <w:r w:rsidRPr="0068556F">
        <w:t xml:space="preserve"> </w:t>
      </w:r>
      <w:r w:rsidR="0072315A">
        <w:t xml:space="preserve">a </w:t>
      </w:r>
      <w:r w:rsidRPr="0068556F">
        <w:t xml:space="preserve">table </w:t>
      </w:r>
      <w:r w:rsidR="0072315A">
        <w:t xml:space="preserve">for </w:t>
      </w:r>
      <w:r w:rsidRPr="0068556F">
        <w:t>our total CIP Forecast for Residential, Commercial and Industrial efficiency gains from 2015-2034</w:t>
      </w:r>
      <w:r w:rsidR="008940DA" w:rsidRPr="0068556F">
        <w:t xml:space="preserve"> in the IRP</w:t>
      </w:r>
      <w:r w:rsidRPr="0068556F">
        <w:t xml:space="preserve">. We </w:t>
      </w:r>
      <w:r w:rsidR="0072315A">
        <w:t>are providing a clearer iteration of the incremental annual potential</w:t>
      </w:r>
      <w:r w:rsidRPr="0068556F">
        <w:t xml:space="preserve"> savings </w:t>
      </w:r>
      <w:r w:rsidR="0072315A">
        <w:t xml:space="preserve">for this Conservation Plan for years 2016-2026 below including a comparison of the Programmatic Potential as noted in the IRP to the admin inclusive potential as </w:t>
      </w:r>
      <w:r w:rsidR="005F3CBC">
        <w:t xml:space="preserve">per TEAPOT as </w:t>
      </w:r>
      <w:r w:rsidR="0072315A">
        <w:t xml:space="preserve">modeled in this Conservation Plan. </w:t>
      </w:r>
      <w:r w:rsidR="005F3CBC">
        <w:t>This Table and graph also show the residential incentive levels maintained at the current 30-33%</w:t>
      </w:r>
      <w:r w:rsidR="00410931">
        <w:t xml:space="preserve"> incremental cost</w:t>
      </w:r>
      <w:r w:rsidR="005F3CBC">
        <w:t xml:space="preserve"> as is currently offered through the program. </w:t>
      </w:r>
    </w:p>
    <w:p w:rsidR="00EF2E90" w:rsidRDefault="00EF2E90">
      <w:pPr>
        <w:widowControl/>
        <w:spacing w:after="0" w:line="240" w:lineRule="auto"/>
      </w:pPr>
      <w:r>
        <w:br w:type="page"/>
      </w:r>
    </w:p>
    <w:p w:rsidR="008713FB" w:rsidRDefault="008713FB" w:rsidP="008713FB">
      <w:pPr>
        <w:spacing w:after="0"/>
        <w:ind w:right="86"/>
        <w:contextualSpacing/>
        <w:jc w:val="both"/>
      </w:pPr>
    </w:p>
    <w:p w:rsidR="008713FB" w:rsidRDefault="008713FB" w:rsidP="008713FB">
      <w:pPr>
        <w:spacing w:after="0"/>
        <w:ind w:right="86"/>
        <w:contextualSpacing/>
        <w:jc w:val="both"/>
      </w:pPr>
    </w:p>
    <w:p w:rsidR="00525FE4" w:rsidRPr="0068556F" w:rsidRDefault="00525FE4" w:rsidP="008713FB">
      <w:pPr>
        <w:spacing w:after="0"/>
        <w:ind w:right="86"/>
        <w:contextualSpacing/>
        <w:jc w:val="center"/>
        <w:rPr>
          <w:b/>
        </w:rPr>
      </w:pPr>
      <w:r w:rsidRPr="0068556F">
        <w:rPr>
          <w:b/>
        </w:rPr>
        <w:t xml:space="preserve">Table </w:t>
      </w:r>
      <w:r w:rsidR="00021C03">
        <w:rPr>
          <w:b/>
        </w:rPr>
        <w:t>9</w:t>
      </w:r>
    </w:p>
    <w:tbl>
      <w:tblPr>
        <w:tblW w:w="9899" w:type="dxa"/>
        <w:tblInd w:w="98" w:type="dxa"/>
        <w:tblLayout w:type="fixed"/>
        <w:tblLook w:val="04A0" w:firstRow="1" w:lastRow="0" w:firstColumn="1" w:lastColumn="0" w:noHBand="0" w:noVBand="1"/>
      </w:tblPr>
      <w:tblGrid>
        <w:gridCol w:w="640"/>
        <w:gridCol w:w="1080"/>
        <w:gridCol w:w="1080"/>
        <w:gridCol w:w="1170"/>
        <w:gridCol w:w="1260"/>
        <w:gridCol w:w="1170"/>
        <w:gridCol w:w="900"/>
        <w:gridCol w:w="1260"/>
        <w:gridCol w:w="1339"/>
      </w:tblGrid>
      <w:tr w:rsidR="0072315A" w:rsidRPr="0072315A" w:rsidTr="00021C03">
        <w:trPr>
          <w:trHeight w:val="592"/>
        </w:trPr>
        <w:tc>
          <w:tcPr>
            <w:tcW w:w="9899" w:type="dxa"/>
            <w:gridSpan w:val="9"/>
            <w:tcBorders>
              <w:top w:val="single" w:sz="8" w:space="0" w:color="auto"/>
              <w:left w:val="single" w:sz="8" w:space="0" w:color="auto"/>
              <w:bottom w:val="nil"/>
              <w:right w:val="single" w:sz="8" w:space="0" w:color="000000"/>
            </w:tcBorders>
            <w:shd w:val="clear" w:color="000000" w:fill="4BACC6"/>
            <w:vAlign w:val="center"/>
            <w:hideMark/>
          </w:tcPr>
          <w:p w:rsidR="0072315A" w:rsidRPr="00021C03" w:rsidRDefault="005F3CBC" w:rsidP="0072315A">
            <w:pPr>
              <w:widowControl/>
              <w:spacing w:after="0" w:line="240" w:lineRule="auto"/>
              <w:jc w:val="center"/>
              <w:rPr>
                <w:rFonts w:ascii="Calibri" w:hAnsi="Calibri" w:cs="Times New Roman"/>
                <w:b/>
                <w:bCs/>
                <w:szCs w:val="20"/>
              </w:rPr>
            </w:pPr>
            <w:r>
              <w:rPr>
                <w:rFonts w:ascii="Calibri" w:hAnsi="Calibri" w:cs="Times New Roman"/>
                <w:b/>
                <w:bCs/>
                <w:szCs w:val="20"/>
              </w:rPr>
              <w:t>Total CIP Forecast 2016-2026</w:t>
            </w:r>
          </w:p>
        </w:tc>
      </w:tr>
      <w:tr w:rsidR="0072315A" w:rsidRPr="0072315A" w:rsidTr="00021C03">
        <w:trPr>
          <w:trHeight w:val="640"/>
        </w:trPr>
        <w:tc>
          <w:tcPr>
            <w:tcW w:w="9899" w:type="dxa"/>
            <w:gridSpan w:val="9"/>
            <w:tcBorders>
              <w:top w:val="nil"/>
              <w:left w:val="single" w:sz="8" w:space="0" w:color="auto"/>
              <w:bottom w:val="single" w:sz="8" w:space="0" w:color="auto"/>
              <w:right w:val="single" w:sz="8" w:space="0" w:color="000000"/>
            </w:tcBorders>
            <w:shd w:val="clear" w:color="000000" w:fill="4BACC6"/>
            <w:vAlign w:val="center"/>
            <w:hideMark/>
          </w:tcPr>
          <w:p w:rsidR="0072315A" w:rsidRPr="00410931" w:rsidRDefault="0072315A" w:rsidP="0072315A">
            <w:pPr>
              <w:widowControl/>
              <w:spacing w:after="0" w:line="240" w:lineRule="auto"/>
              <w:jc w:val="center"/>
              <w:rPr>
                <w:rFonts w:ascii="Calibri" w:hAnsi="Calibri" w:cs="Times New Roman"/>
                <w:b/>
                <w:bCs/>
                <w:szCs w:val="20"/>
              </w:rPr>
            </w:pPr>
            <w:r w:rsidRPr="00410931">
              <w:rPr>
                <w:rFonts w:ascii="Calibri" w:hAnsi="Calibri" w:cs="Times New Roman"/>
                <w:b/>
                <w:bCs/>
                <w:szCs w:val="20"/>
              </w:rPr>
              <w:t>Incremental Annual Energy Savings</w:t>
            </w:r>
          </w:p>
        </w:tc>
      </w:tr>
      <w:tr w:rsidR="005F3CBC" w:rsidRPr="0072315A" w:rsidTr="00021C03">
        <w:trPr>
          <w:trHeight w:val="1722"/>
        </w:trPr>
        <w:tc>
          <w:tcPr>
            <w:tcW w:w="640" w:type="dxa"/>
            <w:tcBorders>
              <w:top w:val="nil"/>
              <w:left w:val="single" w:sz="8" w:space="0" w:color="auto"/>
              <w:bottom w:val="single" w:sz="8" w:space="0" w:color="auto"/>
              <w:right w:val="nil"/>
            </w:tcBorders>
            <w:shd w:val="clear" w:color="auto" w:fill="auto"/>
            <w:noWrap/>
            <w:vAlign w:val="center"/>
            <w:hideMark/>
          </w:tcPr>
          <w:p w:rsidR="0072315A" w:rsidRPr="005F3CBC" w:rsidRDefault="0072315A"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Year</w:t>
            </w:r>
          </w:p>
        </w:tc>
        <w:tc>
          <w:tcPr>
            <w:tcW w:w="1080" w:type="dxa"/>
            <w:tcBorders>
              <w:top w:val="nil"/>
              <w:left w:val="single" w:sz="8" w:space="0" w:color="auto"/>
              <w:bottom w:val="single" w:sz="8" w:space="0" w:color="auto"/>
              <w:right w:val="nil"/>
            </w:tcBorders>
            <w:shd w:val="clear" w:color="auto" w:fill="auto"/>
            <w:noWrap/>
            <w:vAlign w:val="center"/>
            <w:hideMark/>
          </w:tcPr>
          <w:p w:rsidR="0072315A" w:rsidRPr="005F3CBC" w:rsidRDefault="0072315A"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Technical</w:t>
            </w:r>
          </w:p>
        </w:tc>
        <w:tc>
          <w:tcPr>
            <w:tcW w:w="1080" w:type="dxa"/>
            <w:tcBorders>
              <w:top w:val="nil"/>
              <w:left w:val="nil"/>
              <w:bottom w:val="single" w:sz="8" w:space="0" w:color="auto"/>
              <w:right w:val="nil"/>
            </w:tcBorders>
            <w:shd w:val="clear" w:color="auto" w:fill="auto"/>
            <w:noWrap/>
            <w:vAlign w:val="center"/>
            <w:hideMark/>
          </w:tcPr>
          <w:p w:rsidR="0072315A" w:rsidRPr="005F3CBC" w:rsidRDefault="0072315A"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Economic</w:t>
            </w:r>
          </w:p>
        </w:tc>
        <w:tc>
          <w:tcPr>
            <w:tcW w:w="1170" w:type="dxa"/>
            <w:tcBorders>
              <w:top w:val="nil"/>
              <w:left w:val="single" w:sz="8" w:space="0" w:color="auto"/>
              <w:bottom w:val="single" w:sz="8" w:space="0" w:color="auto"/>
              <w:right w:val="nil"/>
            </w:tcBorders>
            <w:shd w:val="clear" w:color="auto" w:fill="auto"/>
            <w:vAlign w:val="center"/>
            <w:hideMark/>
          </w:tcPr>
          <w:p w:rsidR="0072315A" w:rsidRPr="00410931" w:rsidRDefault="0072315A">
            <w:pPr>
              <w:widowControl/>
              <w:spacing w:after="0" w:line="240" w:lineRule="auto"/>
              <w:jc w:val="center"/>
              <w:rPr>
                <w:rFonts w:ascii="Calibri" w:hAnsi="Calibri" w:cs="Times New Roman"/>
                <w:b/>
                <w:bCs/>
                <w:color w:val="000000"/>
                <w:sz w:val="19"/>
                <w:szCs w:val="19"/>
              </w:rPr>
            </w:pPr>
            <w:r w:rsidRPr="00410931">
              <w:rPr>
                <w:rFonts w:ascii="Calibri" w:hAnsi="Calibri" w:cs="Times New Roman"/>
                <w:b/>
                <w:bCs/>
                <w:color w:val="000000"/>
                <w:sz w:val="19"/>
                <w:szCs w:val="19"/>
              </w:rPr>
              <w:t>Res Achievable</w:t>
            </w:r>
          </w:p>
        </w:tc>
        <w:tc>
          <w:tcPr>
            <w:tcW w:w="1260" w:type="dxa"/>
            <w:tcBorders>
              <w:top w:val="nil"/>
              <w:left w:val="nil"/>
              <w:bottom w:val="single" w:sz="8" w:space="0" w:color="auto"/>
              <w:right w:val="nil"/>
            </w:tcBorders>
            <w:shd w:val="clear" w:color="auto" w:fill="auto"/>
            <w:vAlign w:val="center"/>
            <w:hideMark/>
          </w:tcPr>
          <w:p w:rsidR="0072315A" w:rsidRPr="005F3CBC" w:rsidRDefault="0072315A"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Commercial/Industrial Achievable*</w:t>
            </w:r>
          </w:p>
        </w:tc>
        <w:tc>
          <w:tcPr>
            <w:tcW w:w="1170" w:type="dxa"/>
            <w:tcBorders>
              <w:top w:val="nil"/>
              <w:left w:val="nil"/>
              <w:bottom w:val="single" w:sz="8" w:space="0" w:color="auto"/>
              <w:right w:val="single" w:sz="8" w:space="0" w:color="auto"/>
            </w:tcBorders>
            <w:shd w:val="clear" w:color="auto" w:fill="auto"/>
            <w:vAlign w:val="center"/>
            <w:hideMark/>
          </w:tcPr>
          <w:p w:rsidR="0072315A" w:rsidRPr="005F3CBC" w:rsidRDefault="0072315A"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Total Achievable</w:t>
            </w:r>
          </w:p>
        </w:tc>
        <w:tc>
          <w:tcPr>
            <w:tcW w:w="900" w:type="dxa"/>
            <w:tcBorders>
              <w:top w:val="nil"/>
              <w:left w:val="nil"/>
              <w:bottom w:val="single" w:sz="8" w:space="0" w:color="auto"/>
              <w:right w:val="nil"/>
            </w:tcBorders>
            <w:shd w:val="clear" w:color="auto" w:fill="auto"/>
            <w:vAlign w:val="center"/>
            <w:hideMark/>
          </w:tcPr>
          <w:p w:rsidR="0072315A" w:rsidRPr="005F3CBC" w:rsidRDefault="0072315A" w:rsidP="0072315A">
            <w:pPr>
              <w:widowControl/>
              <w:spacing w:after="0" w:line="240" w:lineRule="auto"/>
              <w:jc w:val="center"/>
              <w:rPr>
                <w:rFonts w:ascii="Calibri" w:hAnsi="Calibri" w:cs="Times New Roman"/>
                <w:b/>
                <w:bCs/>
                <w:sz w:val="20"/>
                <w:szCs w:val="20"/>
              </w:rPr>
            </w:pPr>
            <w:r w:rsidRPr="005F3CBC">
              <w:rPr>
                <w:rFonts w:ascii="Calibri" w:hAnsi="Calibri" w:cs="Times New Roman"/>
                <w:b/>
                <w:bCs/>
                <w:sz w:val="20"/>
                <w:szCs w:val="20"/>
              </w:rPr>
              <w:t xml:space="preserve"> Low Income </w:t>
            </w:r>
          </w:p>
        </w:tc>
        <w:tc>
          <w:tcPr>
            <w:tcW w:w="1260" w:type="dxa"/>
            <w:tcBorders>
              <w:top w:val="nil"/>
              <w:left w:val="single" w:sz="8" w:space="0" w:color="auto"/>
              <w:bottom w:val="single" w:sz="8" w:space="0" w:color="auto"/>
              <w:right w:val="single" w:sz="8" w:space="0" w:color="auto"/>
            </w:tcBorders>
            <w:shd w:val="clear" w:color="000000" w:fill="506E94"/>
            <w:vAlign w:val="center"/>
            <w:hideMark/>
          </w:tcPr>
          <w:p w:rsidR="0072315A" w:rsidRPr="00410931" w:rsidRDefault="0072315A" w:rsidP="0072315A">
            <w:pPr>
              <w:widowControl/>
              <w:spacing w:after="0" w:line="240" w:lineRule="auto"/>
              <w:jc w:val="center"/>
              <w:rPr>
                <w:rFonts w:ascii="Calibri" w:hAnsi="Calibri" w:cs="Times New Roman"/>
                <w:b/>
                <w:bCs/>
                <w:sz w:val="19"/>
                <w:szCs w:val="19"/>
              </w:rPr>
            </w:pPr>
            <w:r w:rsidRPr="00410931">
              <w:rPr>
                <w:rFonts w:ascii="Calibri" w:hAnsi="Calibri" w:cs="Times New Roman"/>
                <w:b/>
                <w:bCs/>
                <w:sz w:val="19"/>
                <w:szCs w:val="19"/>
              </w:rPr>
              <w:t xml:space="preserve"> Conservation Plan </w:t>
            </w:r>
          </w:p>
        </w:tc>
        <w:tc>
          <w:tcPr>
            <w:tcW w:w="1339" w:type="dxa"/>
            <w:tcBorders>
              <w:top w:val="nil"/>
              <w:left w:val="nil"/>
              <w:bottom w:val="single" w:sz="8" w:space="0" w:color="auto"/>
              <w:right w:val="single" w:sz="8" w:space="0" w:color="auto"/>
            </w:tcBorders>
            <w:shd w:val="clear" w:color="000000" w:fill="5A7378"/>
            <w:vAlign w:val="center"/>
            <w:hideMark/>
          </w:tcPr>
          <w:p w:rsidR="0072315A" w:rsidRPr="00410931" w:rsidRDefault="0072315A" w:rsidP="00AF3220">
            <w:pPr>
              <w:widowControl/>
              <w:spacing w:after="0" w:line="240" w:lineRule="auto"/>
              <w:jc w:val="center"/>
              <w:rPr>
                <w:rFonts w:ascii="Calibri" w:hAnsi="Calibri" w:cs="Times New Roman"/>
                <w:b/>
                <w:bCs/>
                <w:i/>
                <w:iCs/>
                <w:sz w:val="20"/>
                <w:szCs w:val="20"/>
              </w:rPr>
            </w:pPr>
            <w:r w:rsidRPr="00410931">
              <w:rPr>
                <w:rFonts w:ascii="Calibri" w:hAnsi="Calibri" w:cs="Times New Roman"/>
                <w:b/>
                <w:bCs/>
                <w:i/>
                <w:iCs/>
                <w:sz w:val="20"/>
                <w:szCs w:val="20"/>
              </w:rPr>
              <w:t>IRP</w:t>
            </w:r>
            <w:r w:rsidR="00AF3220">
              <w:rPr>
                <w:rFonts w:ascii="Calibri" w:hAnsi="Calibri" w:cs="Times New Roman"/>
                <w:b/>
                <w:bCs/>
                <w:i/>
                <w:iCs/>
                <w:sz w:val="20"/>
                <w:szCs w:val="20"/>
              </w:rPr>
              <w:br/>
            </w:r>
            <w:r w:rsidRPr="00410931">
              <w:rPr>
                <w:rFonts w:ascii="Calibri" w:hAnsi="Calibri" w:cs="Times New Roman"/>
                <w:b/>
                <w:bCs/>
                <w:i/>
                <w:iCs/>
                <w:sz w:val="20"/>
                <w:szCs w:val="20"/>
              </w:rPr>
              <w:t>Program Goal</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2016</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3,215,393</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2,629,304</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409,975</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565,940</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975,915</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7,000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982,915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568,121</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2017</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3,259,974</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2,664,110</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419,773</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608,074</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1,027,847</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1,042,847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1,325,096</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2018</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5,478,964</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3,090,375</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384,844</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1,107,827</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1,492,671</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1,507,671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1,396,032</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2019</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5,554,052</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3,133,507</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412,797</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1,189,346</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1,602,143</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1,627,143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1,489,315</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2020</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5,654,533</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3,190,912</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449,150</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1,294,203</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1,743,353</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1,768,353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1,596,083</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2021</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5,705,696</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3,220,521</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486,492</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1,406,620</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1,893,112</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1,918,112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1,701,560</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2022</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5,782,310</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3,264,444</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530,830</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1,541,156</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2,071,986</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2,096,986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1,821,302</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2023</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5,859,326</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3,308,564</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578,283</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1,687,257</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2,265,540</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2,290,540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1,952,200</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2024</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5,963,212</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3,367,809</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629,415</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1,846,608</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2,476,023</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2,501,023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2,074,503</w:t>
            </w:r>
          </w:p>
        </w:tc>
      </w:tr>
      <w:tr w:rsidR="005F3CBC" w:rsidRPr="0072315A" w:rsidTr="00021C03">
        <w:trPr>
          <w:trHeight w:val="615"/>
        </w:trPr>
        <w:tc>
          <w:tcPr>
            <w:tcW w:w="64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2025</w:t>
            </w:r>
          </w:p>
        </w:tc>
        <w:tc>
          <w:tcPr>
            <w:tcW w:w="108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6,014,837</w:t>
            </w:r>
          </w:p>
        </w:tc>
        <w:tc>
          <w:tcPr>
            <w:tcW w:w="108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3,397,566</w:t>
            </w:r>
          </w:p>
        </w:tc>
        <w:tc>
          <w:tcPr>
            <w:tcW w:w="1170" w:type="dxa"/>
            <w:tcBorders>
              <w:top w:val="nil"/>
              <w:left w:val="single" w:sz="8" w:space="0" w:color="auto"/>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672,965</w:t>
            </w:r>
          </w:p>
        </w:tc>
        <w:tc>
          <w:tcPr>
            <w:tcW w:w="1260" w:type="dxa"/>
            <w:tcBorders>
              <w:top w:val="nil"/>
              <w:left w:val="nil"/>
              <w:bottom w:val="nil"/>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1,988,264</w:t>
            </w:r>
          </w:p>
        </w:tc>
        <w:tc>
          <w:tcPr>
            <w:tcW w:w="117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2,661,229</w:t>
            </w:r>
          </w:p>
        </w:tc>
        <w:tc>
          <w:tcPr>
            <w:tcW w:w="900" w:type="dxa"/>
            <w:tcBorders>
              <w:top w:val="nil"/>
              <w:left w:val="nil"/>
              <w:bottom w:val="nil"/>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nil"/>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2,686,229 </w:t>
            </w:r>
          </w:p>
        </w:tc>
        <w:tc>
          <w:tcPr>
            <w:tcW w:w="1339" w:type="dxa"/>
            <w:tcBorders>
              <w:top w:val="nil"/>
              <w:left w:val="nil"/>
              <w:bottom w:val="nil"/>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2,186,307</w:t>
            </w:r>
          </w:p>
        </w:tc>
      </w:tr>
      <w:tr w:rsidR="005F3CBC" w:rsidRPr="0072315A" w:rsidTr="00021C03">
        <w:trPr>
          <w:trHeight w:val="640"/>
        </w:trPr>
        <w:tc>
          <w:tcPr>
            <w:tcW w:w="640" w:type="dxa"/>
            <w:tcBorders>
              <w:top w:val="nil"/>
              <w:left w:val="single" w:sz="8" w:space="0" w:color="auto"/>
              <w:bottom w:val="single" w:sz="8" w:space="0" w:color="auto"/>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2026</w:t>
            </w:r>
          </w:p>
        </w:tc>
        <w:tc>
          <w:tcPr>
            <w:tcW w:w="1080" w:type="dxa"/>
            <w:tcBorders>
              <w:top w:val="nil"/>
              <w:left w:val="single" w:sz="8" w:space="0" w:color="auto"/>
              <w:bottom w:val="single" w:sz="8" w:space="0" w:color="auto"/>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6,093,233</w:t>
            </w:r>
          </w:p>
        </w:tc>
        <w:tc>
          <w:tcPr>
            <w:tcW w:w="1080" w:type="dxa"/>
            <w:tcBorders>
              <w:top w:val="nil"/>
              <w:left w:val="nil"/>
              <w:bottom w:val="single" w:sz="8" w:space="0" w:color="auto"/>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3,442,381</w:t>
            </w:r>
          </w:p>
        </w:tc>
        <w:tc>
          <w:tcPr>
            <w:tcW w:w="1170" w:type="dxa"/>
            <w:tcBorders>
              <w:top w:val="nil"/>
              <w:left w:val="single" w:sz="8" w:space="0" w:color="auto"/>
              <w:bottom w:val="single" w:sz="8" w:space="0" w:color="auto"/>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715,763</w:t>
            </w:r>
          </w:p>
        </w:tc>
        <w:tc>
          <w:tcPr>
            <w:tcW w:w="1260" w:type="dxa"/>
            <w:tcBorders>
              <w:top w:val="nil"/>
              <w:left w:val="nil"/>
              <w:bottom w:val="single" w:sz="8" w:space="0" w:color="auto"/>
              <w:right w:val="nil"/>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color w:val="000000"/>
                <w:sz w:val="20"/>
                <w:szCs w:val="20"/>
              </w:rPr>
            </w:pPr>
            <w:r w:rsidRPr="00410931">
              <w:rPr>
                <w:rFonts w:ascii="Calibri" w:hAnsi="Calibri" w:cs="Times New Roman"/>
                <w:color w:val="000000"/>
                <w:sz w:val="20"/>
                <w:szCs w:val="20"/>
              </w:rPr>
              <w:t>2,129,337</w:t>
            </w:r>
          </w:p>
        </w:tc>
        <w:tc>
          <w:tcPr>
            <w:tcW w:w="1170" w:type="dxa"/>
            <w:tcBorders>
              <w:top w:val="nil"/>
              <w:left w:val="nil"/>
              <w:bottom w:val="single" w:sz="8" w:space="0" w:color="auto"/>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b/>
                <w:bCs/>
                <w:color w:val="000000"/>
                <w:sz w:val="20"/>
                <w:szCs w:val="20"/>
              </w:rPr>
            </w:pPr>
            <w:r w:rsidRPr="00410931">
              <w:rPr>
                <w:rFonts w:ascii="Calibri" w:hAnsi="Calibri" w:cs="Times New Roman"/>
                <w:b/>
                <w:bCs/>
                <w:color w:val="000000"/>
                <w:sz w:val="20"/>
                <w:szCs w:val="20"/>
              </w:rPr>
              <w:t>2,845,100</w:t>
            </w:r>
          </w:p>
        </w:tc>
        <w:tc>
          <w:tcPr>
            <w:tcW w:w="900" w:type="dxa"/>
            <w:tcBorders>
              <w:top w:val="nil"/>
              <w:left w:val="nil"/>
              <w:bottom w:val="single" w:sz="8" w:space="0" w:color="auto"/>
              <w:right w:val="single" w:sz="8" w:space="0" w:color="auto"/>
            </w:tcBorders>
            <w:shd w:val="clear" w:color="auto" w:fill="auto"/>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25,000 </w:t>
            </w:r>
          </w:p>
        </w:tc>
        <w:tc>
          <w:tcPr>
            <w:tcW w:w="1260" w:type="dxa"/>
            <w:tcBorders>
              <w:top w:val="nil"/>
              <w:left w:val="nil"/>
              <w:bottom w:val="single" w:sz="8" w:space="0" w:color="auto"/>
              <w:right w:val="single" w:sz="8" w:space="0" w:color="auto"/>
            </w:tcBorders>
            <w:shd w:val="clear" w:color="000000" w:fill="91A8C4"/>
            <w:noWrap/>
            <w:vAlign w:val="center"/>
            <w:hideMark/>
          </w:tcPr>
          <w:p w:rsidR="0072315A" w:rsidRPr="00410931" w:rsidRDefault="0072315A" w:rsidP="0072315A">
            <w:pPr>
              <w:widowControl/>
              <w:spacing w:after="0" w:line="240" w:lineRule="auto"/>
              <w:jc w:val="center"/>
              <w:rPr>
                <w:rFonts w:ascii="Calibri" w:hAnsi="Calibri" w:cs="Times New Roman"/>
                <w:sz w:val="20"/>
                <w:szCs w:val="20"/>
              </w:rPr>
            </w:pPr>
            <w:r w:rsidRPr="00410931">
              <w:rPr>
                <w:rFonts w:ascii="Calibri" w:hAnsi="Calibri" w:cs="Times New Roman"/>
                <w:sz w:val="20"/>
                <w:szCs w:val="20"/>
              </w:rPr>
              <w:t xml:space="preserve">       2,870,100 </w:t>
            </w:r>
          </w:p>
        </w:tc>
        <w:tc>
          <w:tcPr>
            <w:tcW w:w="1339" w:type="dxa"/>
            <w:tcBorders>
              <w:top w:val="nil"/>
              <w:left w:val="nil"/>
              <w:bottom w:val="single" w:sz="8" w:space="0" w:color="auto"/>
              <w:right w:val="single" w:sz="8" w:space="0" w:color="auto"/>
            </w:tcBorders>
            <w:shd w:val="clear" w:color="000000" w:fill="CDD7D9"/>
            <w:noWrap/>
            <w:vAlign w:val="center"/>
            <w:hideMark/>
          </w:tcPr>
          <w:p w:rsidR="0072315A" w:rsidRPr="00410931" w:rsidRDefault="0072315A" w:rsidP="0072315A">
            <w:pPr>
              <w:widowControl/>
              <w:spacing w:after="0" w:line="240" w:lineRule="auto"/>
              <w:jc w:val="center"/>
              <w:rPr>
                <w:rFonts w:ascii="Calibri" w:hAnsi="Calibri" w:cs="Times New Roman"/>
                <w:b/>
                <w:bCs/>
                <w:sz w:val="20"/>
                <w:szCs w:val="20"/>
              </w:rPr>
            </w:pPr>
            <w:r w:rsidRPr="00410931">
              <w:rPr>
                <w:rFonts w:ascii="Calibri" w:hAnsi="Calibri" w:cs="Times New Roman"/>
                <w:b/>
                <w:bCs/>
                <w:sz w:val="20"/>
                <w:szCs w:val="20"/>
              </w:rPr>
              <w:t>2,279,276</w:t>
            </w:r>
          </w:p>
        </w:tc>
      </w:tr>
      <w:tr w:rsidR="0072315A" w:rsidRPr="0072315A" w:rsidTr="00E74785">
        <w:trPr>
          <w:trHeight w:val="367"/>
        </w:trPr>
        <w:tc>
          <w:tcPr>
            <w:tcW w:w="989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2315A" w:rsidRPr="00410931" w:rsidRDefault="0072315A" w:rsidP="0072315A">
            <w:pPr>
              <w:widowControl/>
              <w:spacing w:after="0" w:line="240" w:lineRule="auto"/>
              <w:jc w:val="center"/>
              <w:rPr>
                <w:rFonts w:ascii="Franklin Gothic Book" w:hAnsi="Franklin Gothic Book" w:cs="Times New Roman"/>
                <w:sz w:val="20"/>
                <w:szCs w:val="20"/>
              </w:rPr>
            </w:pPr>
            <w:r w:rsidRPr="00410931">
              <w:rPr>
                <w:rFonts w:ascii="Franklin Gothic Book" w:hAnsi="Franklin Gothic Book" w:cs="Times New Roman"/>
                <w:b/>
                <w:bCs/>
                <w:sz w:val="20"/>
                <w:szCs w:val="20"/>
              </w:rPr>
              <w:t>*</w:t>
            </w:r>
            <w:r w:rsidRPr="00410931">
              <w:rPr>
                <w:rFonts w:ascii="Franklin Gothic Book" w:hAnsi="Franklin Gothic Book" w:cs="Times New Roman"/>
                <w:sz w:val="20"/>
                <w:szCs w:val="20"/>
              </w:rPr>
              <w:t xml:space="preserve"> Achievable with added Custom measures to the Commercial/Industrial Forecast at 65%.</w:t>
            </w:r>
          </w:p>
        </w:tc>
      </w:tr>
    </w:tbl>
    <w:p w:rsidR="00525FE4" w:rsidRPr="0068556F" w:rsidRDefault="00525FE4" w:rsidP="00E74785">
      <w:pPr>
        <w:spacing w:after="0"/>
        <w:ind w:right="83"/>
      </w:pPr>
    </w:p>
    <w:p w:rsidR="003D2BEC" w:rsidRPr="0068556F" w:rsidRDefault="003D2BEC" w:rsidP="0068556F">
      <w:pPr>
        <w:spacing w:after="0"/>
        <w:ind w:right="83"/>
        <w:jc w:val="both"/>
      </w:pPr>
    </w:p>
    <w:p w:rsidR="00525FE4" w:rsidRPr="0068556F" w:rsidRDefault="00525FE4" w:rsidP="0068556F">
      <w:pPr>
        <w:spacing w:after="0"/>
        <w:ind w:right="83"/>
        <w:jc w:val="both"/>
      </w:pPr>
      <w:r w:rsidRPr="0068556F">
        <w:t xml:space="preserve">This forecast displays the first </w:t>
      </w:r>
      <w:r w:rsidR="00932445" w:rsidRPr="0068556F">
        <w:t xml:space="preserve">two </w:t>
      </w:r>
      <w:r w:rsidRPr="0068556F">
        <w:t xml:space="preserve">years under the </w:t>
      </w:r>
      <w:r w:rsidR="00932445" w:rsidRPr="0068556F">
        <w:t xml:space="preserve">current </w:t>
      </w:r>
      <w:r w:rsidRPr="0068556F">
        <w:t>program</w:t>
      </w:r>
      <w:r w:rsidR="00932445" w:rsidRPr="0068556F">
        <w:t>’s measure offerings for the</w:t>
      </w:r>
      <w:r w:rsidRPr="0068556F">
        <w:t xml:space="preserve"> Goal category and years three through </w:t>
      </w:r>
      <w:r w:rsidR="005F3CBC">
        <w:t>ten</w:t>
      </w:r>
      <w:r w:rsidR="005F3CBC" w:rsidRPr="0068556F">
        <w:t xml:space="preserve"> </w:t>
      </w:r>
      <w:r w:rsidR="008D41B2">
        <w:t>including</w:t>
      </w:r>
      <w:r w:rsidRPr="0068556F">
        <w:t xml:space="preserve"> all possible measures from Nexant’s study. </w:t>
      </w:r>
      <w:r w:rsidR="004E5C39" w:rsidRPr="0068556F">
        <w:t xml:space="preserve">Short-term </w:t>
      </w:r>
      <w:r w:rsidRPr="0068556F">
        <w:t xml:space="preserve">goals are more realistic when viewed in </w:t>
      </w:r>
      <w:r w:rsidR="009E6D24" w:rsidRPr="0068556F">
        <w:t>two</w:t>
      </w:r>
      <w:r w:rsidRPr="0068556F">
        <w:t xml:space="preserve">-year increments </w:t>
      </w:r>
      <w:r w:rsidRPr="0068556F">
        <w:lastRenderedPageBreak/>
        <w:t xml:space="preserve">since they allow flexibility in addressing current legislative, building code and budgeting criteria. Due to these external factors the Company has elected to display the savings forecast in this manner.  </w:t>
      </w:r>
    </w:p>
    <w:p w:rsidR="004E5C39" w:rsidRPr="0068556F" w:rsidRDefault="004E5C39" w:rsidP="0068556F">
      <w:pPr>
        <w:spacing w:after="0"/>
        <w:ind w:right="83"/>
        <w:jc w:val="both"/>
      </w:pPr>
    </w:p>
    <w:p w:rsidR="004E5C39" w:rsidRPr="0068556F" w:rsidRDefault="00FF4912" w:rsidP="0068556F">
      <w:pPr>
        <w:spacing w:after="0"/>
        <w:ind w:right="83"/>
        <w:jc w:val="both"/>
      </w:pPr>
      <w:r>
        <w:t>As noted w</w:t>
      </w:r>
      <w:r w:rsidR="004E5C39" w:rsidRPr="0068556F">
        <w:t>e also provid</w:t>
      </w:r>
      <w:r>
        <w:t>ed</w:t>
      </w:r>
      <w:r w:rsidR="004E5C39" w:rsidRPr="0068556F">
        <w:t xml:space="preserve"> a further comparison forecast under the TEAPOT model with the inclusion of the administrative costs in the Achievable screen in </w:t>
      </w:r>
      <w:r w:rsidRPr="00410931">
        <w:rPr>
          <w:b/>
        </w:rPr>
        <w:t>Figure 9</w:t>
      </w:r>
      <w:r>
        <w:t xml:space="preserve"> above</w:t>
      </w:r>
      <w:r w:rsidR="004E5C39" w:rsidRPr="0068556F">
        <w:t xml:space="preserve">.  </w:t>
      </w:r>
      <w:r w:rsidR="005F3CBC">
        <w:t xml:space="preserve">The Company initially modeled the proposed incentive level change for 2017 which showed a </w:t>
      </w:r>
      <w:r w:rsidR="00F53E1A" w:rsidRPr="0068556F">
        <w:t>reduction in 2017 –</w:t>
      </w:r>
      <w:r>
        <w:t xml:space="preserve"> </w:t>
      </w:r>
      <w:r w:rsidR="00F53E1A" w:rsidRPr="0068556F">
        <w:t xml:space="preserve">a representation of the incentive level moving up </w:t>
      </w:r>
      <w:r w:rsidR="009E6D24" w:rsidRPr="0068556F">
        <w:t xml:space="preserve">from </w:t>
      </w:r>
      <w:r w:rsidR="00F53E1A" w:rsidRPr="0068556F">
        <w:t xml:space="preserve">30% to 50% </w:t>
      </w:r>
      <w:r w:rsidR="009E6D24" w:rsidRPr="0068556F">
        <w:t xml:space="preserve">of incremental costs, </w:t>
      </w:r>
      <w:r w:rsidR="00F53E1A" w:rsidRPr="0068556F">
        <w:t>a</w:t>
      </w:r>
      <w:r w:rsidR="009E6D24" w:rsidRPr="0068556F">
        <w:t>s per discussions with the CAG.</w:t>
      </w:r>
      <w:r w:rsidR="00F53E1A" w:rsidRPr="0068556F">
        <w:t xml:space="preserve"> Because the administrative costs of performing the program are being incorporated at the Achievable level, as opposed to the programmatic level, the number of viable measures decrease</w:t>
      </w:r>
      <w:r>
        <w:t>d</w:t>
      </w:r>
      <w:r w:rsidR="00F53E1A" w:rsidRPr="0068556F">
        <w:t xml:space="preserve"> resulting from the </w:t>
      </w:r>
      <w:r w:rsidR="00D46E53">
        <w:t>inclusion of</w:t>
      </w:r>
      <w:r w:rsidR="00D46E53" w:rsidRPr="0068556F">
        <w:t xml:space="preserve"> </w:t>
      </w:r>
      <w:r w:rsidR="009E6D24" w:rsidRPr="0068556F">
        <w:t>administrative costs</w:t>
      </w:r>
      <w:r w:rsidR="00D46E53">
        <w:t>,</w:t>
      </w:r>
      <w:r w:rsidR="009E6D24" w:rsidRPr="0068556F">
        <w:t xml:space="preserve"> from $0 </w:t>
      </w:r>
      <w:r w:rsidR="00D46E53">
        <w:t xml:space="preserve">in the </w:t>
      </w:r>
      <w:r w:rsidR="00410931">
        <w:t>TEAPOT modeling</w:t>
      </w:r>
      <w:r w:rsidR="00D46E53">
        <w:t xml:space="preserve"> </w:t>
      </w:r>
      <w:r w:rsidR="009E6D24" w:rsidRPr="0068556F">
        <w:t>to $1.49 million</w:t>
      </w:r>
      <w:r w:rsidR="00D46E53">
        <w:t xml:space="preserve"> for this Conservation Plan</w:t>
      </w:r>
      <w:r w:rsidR="00F53E1A" w:rsidRPr="0068556F">
        <w:t xml:space="preserve">. The Company modeled the next </w:t>
      </w:r>
      <w:r w:rsidR="009E6D24" w:rsidRPr="0068556F">
        <w:t xml:space="preserve">two </w:t>
      </w:r>
      <w:r w:rsidR="00F53E1A" w:rsidRPr="0068556F">
        <w:t xml:space="preserve">years with the current program portfolio, and </w:t>
      </w:r>
      <w:r>
        <w:t>ran</w:t>
      </w:r>
      <w:r w:rsidR="00F53E1A" w:rsidRPr="0068556F">
        <w:t xml:space="preserve"> the model for the next </w:t>
      </w:r>
      <w:r w:rsidR="009E6D24" w:rsidRPr="0068556F">
        <w:t xml:space="preserve">eight </w:t>
      </w:r>
      <w:r w:rsidR="00F53E1A" w:rsidRPr="0068556F">
        <w:t>years under the full breadth of cost effective measures identified by Nexant to allow a greater transparency</w:t>
      </w:r>
      <w:r w:rsidR="00132456" w:rsidRPr="0068556F">
        <w:t xml:space="preserve"> into potential with the understanding that the portfolio will be altered by CY2018 and beyond to accommodate building code changes, technological advancements and variations in the market as higher-efficiency measures become more prevalent. </w:t>
      </w:r>
      <w:r w:rsidR="00F53E1A" w:rsidRPr="0068556F">
        <w:t xml:space="preserve">   </w:t>
      </w:r>
    </w:p>
    <w:p w:rsidR="00525FE4" w:rsidRPr="0068556F" w:rsidRDefault="00525FE4" w:rsidP="00E74785">
      <w:pPr>
        <w:spacing w:after="0"/>
        <w:ind w:right="83"/>
        <w:jc w:val="center"/>
      </w:pPr>
    </w:p>
    <w:p w:rsidR="00525FE4" w:rsidRPr="0068556F" w:rsidRDefault="00525FE4" w:rsidP="0068556F">
      <w:pPr>
        <w:spacing w:after="0"/>
        <w:ind w:right="83"/>
        <w:jc w:val="both"/>
      </w:pPr>
      <w:r w:rsidRPr="0068556F">
        <w:t>Many specific details are required to implement successful programs. As discussed above, the Program Potential</w:t>
      </w:r>
      <w:r w:rsidR="008D41B2">
        <w:t>,</w:t>
      </w:r>
      <w:r w:rsidRPr="0068556F">
        <w:t xml:space="preserve"> that which is based from actual implementation design, delivery, and market conditions</w:t>
      </w:r>
      <w:r w:rsidR="008D41B2">
        <w:t xml:space="preserve">, </w:t>
      </w:r>
      <w:r w:rsidRPr="0068556F">
        <w:t>reflect</w:t>
      </w:r>
      <w:r w:rsidR="00B07BF3" w:rsidRPr="0068556F">
        <w:t>s</w:t>
      </w:r>
      <w:r w:rsidRPr="0068556F">
        <w:t xml:space="preserve"> some variance in savings, costs, and overall achievements. Customer participation in a program is heavily influenced by the level of incentive paid by the utility versus the cost to the customer. </w:t>
      </w:r>
    </w:p>
    <w:p w:rsidR="00525FE4" w:rsidRPr="0068556F" w:rsidRDefault="00525FE4" w:rsidP="0068556F">
      <w:pPr>
        <w:spacing w:after="0"/>
        <w:ind w:right="83"/>
        <w:jc w:val="both"/>
      </w:pPr>
    </w:p>
    <w:p w:rsidR="00435680" w:rsidRPr="0068556F" w:rsidRDefault="00525FE4" w:rsidP="0068556F">
      <w:pPr>
        <w:spacing w:after="0"/>
        <w:ind w:right="83"/>
        <w:jc w:val="both"/>
      </w:pPr>
      <w:r w:rsidRPr="0068556F">
        <w:t xml:space="preserve">External infrastructure considerations must also be addressed, such as product availability to utility customers and an adequate network of contractors, retailers, and other trade allies to support a program. As new measures or expanded programs are developed and added to the current program mix, internal and external resources and capabilities need to grow accordingly and progress through a “learning curve.” Additionally, revised projections regarding the cost of natural gas and other external factors will likely lead to needed revisions to the company’s existing programs, and will result in additional impacts on the company’s projected participation levels. </w:t>
      </w:r>
    </w:p>
    <w:p w:rsidR="00435680" w:rsidRPr="0068556F" w:rsidRDefault="00435680" w:rsidP="0068556F">
      <w:pPr>
        <w:spacing w:after="0"/>
        <w:ind w:right="83"/>
        <w:jc w:val="center"/>
      </w:pPr>
    </w:p>
    <w:p w:rsidR="00EE0C01" w:rsidRPr="0068556F" w:rsidRDefault="00EE0C01" w:rsidP="0068556F">
      <w:pPr>
        <w:pStyle w:val="Heading1"/>
        <w:spacing w:line="276" w:lineRule="auto"/>
        <w:rPr>
          <w:rFonts w:ascii="Arial" w:hAnsi="Arial" w:cs="Arial"/>
        </w:rPr>
      </w:pPr>
      <w:bookmarkStart w:id="33" w:name="_Toc437853997"/>
      <w:r w:rsidRPr="0068556F">
        <w:rPr>
          <w:rFonts w:ascii="Arial" w:hAnsi="Arial" w:cs="Arial"/>
        </w:rPr>
        <w:t xml:space="preserve">Planning and </w:t>
      </w:r>
      <w:r w:rsidR="00F04233" w:rsidRPr="0068556F">
        <w:rPr>
          <w:rFonts w:ascii="Arial" w:hAnsi="Arial" w:cs="Arial"/>
        </w:rPr>
        <w:t>EM&amp;V</w:t>
      </w:r>
      <w:bookmarkEnd w:id="33"/>
    </w:p>
    <w:p w:rsidR="00435680" w:rsidRPr="0068556F" w:rsidRDefault="00EE0C01" w:rsidP="0068556F">
      <w:pPr>
        <w:widowControl/>
      </w:pPr>
      <w:r w:rsidRPr="0068556F">
        <w:t xml:space="preserve">The </w:t>
      </w:r>
      <w:r w:rsidR="0090127E" w:rsidRPr="0068556F">
        <w:t>Company</w:t>
      </w:r>
      <w:r w:rsidR="008D41B2">
        <w:t xml:space="preserve"> </w:t>
      </w:r>
      <w:r w:rsidRPr="0068556F">
        <w:t xml:space="preserve">is </w:t>
      </w:r>
      <w:r w:rsidR="0090127E" w:rsidRPr="0068556F">
        <w:t xml:space="preserve">in </w:t>
      </w:r>
      <w:r w:rsidRPr="0068556F">
        <w:t>the process of updating and transitioning to a</w:t>
      </w:r>
      <w:r w:rsidR="000C114C" w:rsidRPr="0068556F">
        <w:t>lternative delivery mechanisms</w:t>
      </w:r>
      <w:r w:rsidR="00E4216D">
        <w:t xml:space="preserve"> through a recent Request for Proposal from software vendors</w:t>
      </w:r>
      <w:r w:rsidR="008D41B2">
        <w:t>.</w:t>
      </w:r>
      <w:r w:rsidRPr="0068556F">
        <w:t xml:space="preserve"> As part of this transition – namely in the method used to deliver its residential program offerings, </w:t>
      </w:r>
      <w:r w:rsidR="00E4216D">
        <w:t>the Company is</w:t>
      </w:r>
      <w:r w:rsidRPr="0068556F">
        <w:t xml:space="preserve"> looking at ways to cost-effectively increase E</w:t>
      </w:r>
      <w:r w:rsidR="00F04233" w:rsidRPr="0068556F">
        <w:t>valuation</w:t>
      </w:r>
      <w:r w:rsidR="0090127E" w:rsidRPr="0068556F">
        <w:t>,</w:t>
      </w:r>
      <w:r w:rsidR="00F04233" w:rsidRPr="0068556F">
        <w:t xml:space="preserve"> </w:t>
      </w:r>
      <w:r w:rsidRPr="0068556F">
        <w:t>M</w:t>
      </w:r>
      <w:r w:rsidR="00F04233" w:rsidRPr="0068556F">
        <w:t>easurement and Verification</w:t>
      </w:r>
      <w:r w:rsidRPr="0068556F">
        <w:t xml:space="preserve"> opportunities within the program reporting software platform. The Company has </w:t>
      </w:r>
      <w:r w:rsidRPr="0068556F">
        <w:lastRenderedPageBreak/>
        <w:t xml:space="preserve">not yet implemented the </w:t>
      </w:r>
      <w:r w:rsidR="0090127E" w:rsidRPr="0068556F">
        <w:t xml:space="preserve">new </w:t>
      </w:r>
      <w:r w:rsidRPr="0068556F">
        <w:t xml:space="preserve">software but is actively reviewing </w:t>
      </w:r>
      <w:r w:rsidR="00F04233" w:rsidRPr="0068556F">
        <w:t>proposals from vendors</w:t>
      </w:r>
      <w:r w:rsidRPr="0068556F">
        <w:t xml:space="preserve"> and </w:t>
      </w:r>
      <w:r w:rsidR="00F04233" w:rsidRPr="0068556F">
        <w:t xml:space="preserve">available </w:t>
      </w:r>
      <w:r w:rsidRPr="0068556F">
        <w:t xml:space="preserve">options and will have a </w:t>
      </w:r>
      <w:r w:rsidR="0090127E" w:rsidRPr="0068556F">
        <w:t xml:space="preserve">plan </w:t>
      </w:r>
      <w:r w:rsidRPr="0068556F">
        <w:t>in place to increase EM&amp;V in the programs w</w:t>
      </w:r>
      <w:r w:rsidR="000C114C" w:rsidRPr="0068556F">
        <w:t>ithin the 2016 Calendar Year.</w:t>
      </w:r>
    </w:p>
    <w:sectPr w:rsidR="00435680" w:rsidRPr="0068556F" w:rsidSect="00BC6D55">
      <w:headerReference w:type="default" r:id="rId30"/>
      <w:footerReference w:type="default" r:id="rId31"/>
      <w:pgSz w:w="12240" w:h="15840"/>
      <w:pgMar w:top="1728" w:right="1267" w:bottom="1066" w:left="1267" w:header="1109"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266" w:rsidRDefault="00EE6266" w:rsidP="00D16AC2">
      <w:pPr>
        <w:spacing w:after="0" w:line="240" w:lineRule="auto"/>
      </w:pPr>
      <w:r>
        <w:separator/>
      </w:r>
    </w:p>
  </w:endnote>
  <w:endnote w:type="continuationSeparator" w:id="0">
    <w:p w:rsidR="00EE6266" w:rsidRDefault="00EE6266" w:rsidP="00D1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07466"/>
      <w:docPartObj>
        <w:docPartGallery w:val="Page Numbers (Bottom of Page)"/>
        <w:docPartUnique/>
      </w:docPartObj>
    </w:sdtPr>
    <w:sdtEndPr>
      <w:rPr>
        <w:noProof/>
      </w:rPr>
    </w:sdtEndPr>
    <w:sdtContent>
      <w:p w:rsidR="00EE6266" w:rsidRDefault="00EE6266">
        <w:pPr>
          <w:pStyle w:val="Footer"/>
          <w:jc w:val="center"/>
        </w:pPr>
        <w:r>
          <w:fldChar w:fldCharType="begin"/>
        </w:r>
        <w:r>
          <w:instrText xml:space="preserve"> PAGE   \* MERGEFORMAT </w:instrText>
        </w:r>
        <w:r>
          <w:fldChar w:fldCharType="separate"/>
        </w:r>
        <w:r w:rsidR="00E74785">
          <w:rPr>
            <w:noProof/>
          </w:rPr>
          <w:t>2</w:t>
        </w:r>
        <w:r>
          <w:rPr>
            <w:noProof/>
          </w:rPr>
          <w:fldChar w:fldCharType="end"/>
        </w:r>
      </w:p>
    </w:sdtContent>
  </w:sdt>
  <w:p w:rsidR="00EE6266" w:rsidRDefault="00EE6266">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266" w:rsidRDefault="00EE6266" w:rsidP="00D16AC2">
      <w:pPr>
        <w:spacing w:after="0" w:line="240" w:lineRule="auto"/>
      </w:pPr>
      <w:r>
        <w:separator/>
      </w:r>
    </w:p>
  </w:footnote>
  <w:footnote w:type="continuationSeparator" w:id="0">
    <w:p w:rsidR="00EE6266" w:rsidRDefault="00EE6266" w:rsidP="00D16AC2">
      <w:pPr>
        <w:spacing w:after="0" w:line="240" w:lineRule="auto"/>
      </w:pPr>
      <w:r>
        <w:continuationSeparator/>
      </w:r>
    </w:p>
  </w:footnote>
  <w:footnote w:id="1">
    <w:p w:rsidR="00EE6266" w:rsidRDefault="00EE6266">
      <w:pPr>
        <w:pStyle w:val="FootnoteText"/>
      </w:pPr>
      <w:r>
        <w:rPr>
          <w:rStyle w:val="FootnoteReference"/>
        </w:rPr>
        <w:footnoteRef/>
      </w:r>
      <w:r>
        <w:t xml:space="preserve"> To review the full study referenced in this section see: </w:t>
      </w:r>
    </w:p>
    <w:p w:rsidR="00EE6266" w:rsidRDefault="00EE6266">
      <w:pPr>
        <w:pStyle w:val="FootnoteText"/>
      </w:pPr>
      <w:r>
        <w:t xml:space="preserve"> </w:t>
      </w:r>
      <w:proofErr w:type="gramStart"/>
      <w:r>
        <w:t>Nexant, Inc. (February 25.2014).</w:t>
      </w:r>
      <w:proofErr w:type="gramEnd"/>
      <w:r>
        <w:t xml:space="preserve"> Cascade Natural Gas Corporation, Assessment of Achievable Potential &amp; Program Evaluation Volume 1: Executive Summary, Volume 2: Assessment of Achievable Potential &amp; Program Evaluation, Volume 3: Appendices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66" w:rsidRPr="001D233B" w:rsidRDefault="00EE6266" w:rsidP="00E74785">
    <w:pPr>
      <w:pStyle w:val="Header"/>
      <w:ind w:right="166"/>
      <w:jc w:val="right"/>
      <w:rPr>
        <w:i/>
        <w:sz w:val="20"/>
      </w:rPr>
    </w:pPr>
    <w:r>
      <w:rPr>
        <w:noProof/>
      </w:rPr>
      <mc:AlternateContent>
        <mc:Choice Requires="wps">
          <w:drawing>
            <wp:anchor distT="0" distB="0" distL="114300" distR="114300" simplePos="0" relativeHeight="251660288" behindDoc="0" locked="0" layoutInCell="1" allowOverlap="1" wp14:anchorId="48F97E25" wp14:editId="266931E0">
              <wp:simplePos x="0" y="0"/>
              <wp:positionH relativeFrom="column">
                <wp:posOffset>-67945</wp:posOffset>
              </wp:positionH>
              <wp:positionV relativeFrom="paragraph">
                <wp:posOffset>200025</wp:posOffset>
              </wp:positionV>
              <wp:extent cx="6101080" cy="0"/>
              <wp:effectExtent l="0" t="0" r="13970" b="19050"/>
              <wp:wrapNone/>
              <wp:docPr id="18" name="Straight Connector 18"/>
              <wp:cNvGraphicFramePr/>
              <a:graphic xmlns:a="http://schemas.openxmlformats.org/drawingml/2006/main">
                <a:graphicData uri="http://schemas.microsoft.com/office/word/2010/wordprocessingShape">
                  <wps:wsp>
                    <wps:cNvCnPr/>
                    <wps:spPr>
                      <a:xfrm flipH="1">
                        <a:off x="0" y="0"/>
                        <a:ext cx="6101080" cy="0"/>
                      </a:xfrm>
                      <a:prstGeom prst="line">
                        <a:avLst/>
                      </a:prstGeom>
                      <a:ln w="12700" cmpd="thinThick">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5.75pt" to="475.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" strokecolor="#31849b [2408]" strokeweight="1pt">
              <v:stroke linestyle="thinThick"/>
            </v:line>
          </w:pict>
        </mc:Fallback>
      </mc:AlternateContent>
    </w:r>
    <w:r>
      <w:rPr>
        <w:noProof/>
      </w:rPr>
      <w:drawing>
        <wp:anchor distT="0" distB="0" distL="114300" distR="114300" simplePos="0" relativeHeight="251659264" behindDoc="0" locked="0" layoutInCell="1" allowOverlap="1" wp14:anchorId="2CAB2F73" wp14:editId="3E4816C9">
          <wp:simplePos x="0" y="0"/>
          <wp:positionH relativeFrom="column">
            <wp:posOffset>-32633</wp:posOffset>
          </wp:positionH>
          <wp:positionV relativeFrom="paragraph">
            <wp:posOffset>-575310</wp:posOffset>
          </wp:positionV>
          <wp:extent cx="1710047" cy="703011"/>
          <wp:effectExtent l="0" t="0" r="5080" b="1905"/>
          <wp:wrapNone/>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47" cy="703011"/>
                  </a:xfrm>
                  <a:prstGeom prst="rect">
                    <a:avLst/>
                  </a:prstGeom>
                  <a:noFill/>
                  <a:extLst/>
                </pic:spPr>
              </pic:pic>
            </a:graphicData>
          </a:graphic>
          <wp14:sizeRelH relativeFrom="margin">
            <wp14:pctWidth>0</wp14:pctWidth>
          </wp14:sizeRelH>
          <wp14:sizeRelV relativeFrom="margin">
            <wp14:pctHeight>0</wp14:pctHeight>
          </wp14:sizeRelV>
        </wp:anchor>
      </w:drawing>
    </w:r>
    <w:r w:rsidRPr="001D233B">
      <w:rPr>
        <w:i/>
        <w:sz w:val="20"/>
      </w:rPr>
      <w:t xml:space="preserve">Cascade Natural Gas Corporation </w:t>
    </w:r>
    <w:r>
      <w:rPr>
        <w:i/>
        <w:sz w:val="20"/>
      </w:rPr>
      <w:t>2016 Conservation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E3516"/>
    <w:multiLevelType w:val="hybridMultilevel"/>
    <w:tmpl w:val="09AEBBF2"/>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41A4C"/>
    <w:multiLevelType w:val="hybridMultilevel"/>
    <w:tmpl w:val="145C9384"/>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D4926"/>
    <w:multiLevelType w:val="hybridMultilevel"/>
    <w:tmpl w:val="188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966E6"/>
    <w:multiLevelType w:val="hybridMultilevel"/>
    <w:tmpl w:val="2EF4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641B1"/>
    <w:multiLevelType w:val="hybridMultilevel"/>
    <w:tmpl w:val="DF30B824"/>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D318C"/>
    <w:multiLevelType w:val="hybridMultilevel"/>
    <w:tmpl w:val="C5B07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F96DB8"/>
    <w:multiLevelType w:val="hybridMultilevel"/>
    <w:tmpl w:val="3E465580"/>
    <w:lvl w:ilvl="0" w:tplc="8CC49D70">
      <w:start w:val="2016"/>
      <w:numFmt w:val="bullet"/>
      <w:lvlText w:val="-"/>
      <w:lvlJc w:val="left"/>
      <w:pPr>
        <w:ind w:left="2520" w:hanging="360"/>
      </w:pPr>
      <w:rPr>
        <w:rFonts w:ascii="Arial" w:eastAsia="Arial"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DEB7B93"/>
    <w:multiLevelType w:val="hybridMultilevel"/>
    <w:tmpl w:val="2442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775625"/>
    <w:multiLevelType w:val="hybridMultilevel"/>
    <w:tmpl w:val="28D61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2C46CBF"/>
    <w:multiLevelType w:val="hybridMultilevel"/>
    <w:tmpl w:val="3E22EB0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nsid w:val="24742781"/>
    <w:multiLevelType w:val="hybridMultilevel"/>
    <w:tmpl w:val="6A5C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A377C6"/>
    <w:multiLevelType w:val="hybridMultilevel"/>
    <w:tmpl w:val="4E5A4A20"/>
    <w:lvl w:ilvl="0" w:tplc="E85E15CA">
      <w:start w:val="1"/>
      <w:numFmt w:val="bullet"/>
      <w:lvlText w:val="•"/>
      <w:lvlJc w:val="left"/>
      <w:pPr>
        <w:ind w:left="580" w:hanging="360"/>
      </w:pPr>
      <w:rPr>
        <w:rFonts w:ascii="Arial" w:hAnsi="Aria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2">
    <w:nsid w:val="27D14501"/>
    <w:multiLevelType w:val="hybridMultilevel"/>
    <w:tmpl w:val="F2E49C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9637FF0"/>
    <w:multiLevelType w:val="hybridMultilevel"/>
    <w:tmpl w:val="F6DC04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A6638C3"/>
    <w:multiLevelType w:val="hybridMultilevel"/>
    <w:tmpl w:val="6610FF88"/>
    <w:lvl w:ilvl="0" w:tplc="D51AF4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2CB30AFD"/>
    <w:multiLevelType w:val="hybridMultilevel"/>
    <w:tmpl w:val="A398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2C05D8"/>
    <w:multiLevelType w:val="hybridMultilevel"/>
    <w:tmpl w:val="8E84D524"/>
    <w:lvl w:ilvl="0" w:tplc="04090001">
      <w:start w:val="1"/>
      <w:numFmt w:val="bullet"/>
      <w:lvlText w:val=""/>
      <w:lvlJc w:val="left"/>
      <w:pPr>
        <w:ind w:left="860" w:hanging="360"/>
      </w:pPr>
      <w:rPr>
        <w:rFonts w:ascii="Symbol" w:hAnsi="Symbol" w:hint="default"/>
      </w:rPr>
    </w:lvl>
    <w:lvl w:ilvl="1" w:tplc="4B183002">
      <w:numFmt w:val="bullet"/>
      <w:lvlText w:val="•"/>
      <w:lvlJc w:val="left"/>
      <w:pPr>
        <w:ind w:left="1580" w:hanging="360"/>
      </w:pPr>
      <w:rPr>
        <w:rFonts w:ascii="Arial" w:eastAsia="Symbol" w:hAnsi="Arial" w:cs="Arial" w:hint="default"/>
        <w:w w:val="76"/>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nsid w:val="363D12F0"/>
    <w:multiLevelType w:val="hybridMultilevel"/>
    <w:tmpl w:val="657007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7E33F92"/>
    <w:multiLevelType w:val="hybridMultilevel"/>
    <w:tmpl w:val="FED61D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C941F9"/>
    <w:multiLevelType w:val="hybridMultilevel"/>
    <w:tmpl w:val="5D3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B730DC"/>
    <w:multiLevelType w:val="multilevel"/>
    <w:tmpl w:val="4E42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9451BB"/>
    <w:multiLevelType w:val="hybridMultilevel"/>
    <w:tmpl w:val="6448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A16750"/>
    <w:multiLevelType w:val="hybridMultilevel"/>
    <w:tmpl w:val="56D46446"/>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6775F"/>
    <w:multiLevelType w:val="hybridMultilevel"/>
    <w:tmpl w:val="B5DA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73370A"/>
    <w:multiLevelType w:val="hybridMultilevel"/>
    <w:tmpl w:val="80687D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8205EB"/>
    <w:multiLevelType w:val="hybridMultilevel"/>
    <w:tmpl w:val="84786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C2167"/>
    <w:multiLevelType w:val="hybridMultilevel"/>
    <w:tmpl w:val="3DD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4021B"/>
    <w:multiLevelType w:val="hybridMultilevel"/>
    <w:tmpl w:val="ED5C6F3E"/>
    <w:lvl w:ilvl="0" w:tplc="D51AF4F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6E730777"/>
    <w:multiLevelType w:val="hybridMultilevel"/>
    <w:tmpl w:val="20ACE39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9">
    <w:nsid w:val="6F5012E2"/>
    <w:multiLevelType w:val="hybridMultilevel"/>
    <w:tmpl w:val="1B82CF2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40">
    <w:nsid w:val="70484BF7"/>
    <w:multiLevelType w:val="hybridMultilevel"/>
    <w:tmpl w:val="05DE80A0"/>
    <w:lvl w:ilvl="0" w:tplc="E85E15CA">
      <w:start w:val="1"/>
      <w:numFmt w:val="bullet"/>
      <w:lvlText w:val="•"/>
      <w:lvlJc w:val="left"/>
      <w:pPr>
        <w:tabs>
          <w:tab w:val="num" w:pos="720"/>
        </w:tabs>
        <w:ind w:left="720" w:hanging="360"/>
      </w:pPr>
      <w:rPr>
        <w:rFonts w:ascii="Arial" w:hAnsi="Arial" w:cs="Times New Roman" w:hint="default"/>
      </w:rPr>
    </w:lvl>
    <w:lvl w:ilvl="1" w:tplc="58CE489C">
      <w:start w:val="1475"/>
      <w:numFmt w:val="bullet"/>
      <w:lvlText w:val="–"/>
      <w:lvlJc w:val="left"/>
      <w:pPr>
        <w:tabs>
          <w:tab w:val="num" w:pos="1440"/>
        </w:tabs>
        <w:ind w:left="1440" w:hanging="360"/>
      </w:pPr>
      <w:rPr>
        <w:rFonts w:ascii="Arial" w:hAnsi="Arial" w:cs="Times New Roman" w:hint="default"/>
      </w:rPr>
    </w:lvl>
    <w:lvl w:ilvl="2" w:tplc="ED9C387A">
      <w:start w:val="1"/>
      <w:numFmt w:val="bullet"/>
      <w:lvlText w:val="•"/>
      <w:lvlJc w:val="left"/>
      <w:pPr>
        <w:tabs>
          <w:tab w:val="num" w:pos="2160"/>
        </w:tabs>
        <w:ind w:left="2160" w:hanging="360"/>
      </w:pPr>
      <w:rPr>
        <w:rFonts w:ascii="Arial" w:hAnsi="Arial" w:cs="Times New Roman" w:hint="default"/>
      </w:rPr>
    </w:lvl>
    <w:lvl w:ilvl="3" w:tplc="0BCCCCA8">
      <w:start w:val="1"/>
      <w:numFmt w:val="bullet"/>
      <w:lvlText w:val="•"/>
      <w:lvlJc w:val="left"/>
      <w:pPr>
        <w:tabs>
          <w:tab w:val="num" w:pos="2880"/>
        </w:tabs>
        <w:ind w:left="2880" w:hanging="360"/>
      </w:pPr>
      <w:rPr>
        <w:rFonts w:ascii="Arial" w:hAnsi="Arial" w:cs="Times New Roman" w:hint="default"/>
      </w:rPr>
    </w:lvl>
    <w:lvl w:ilvl="4" w:tplc="04A46168">
      <w:start w:val="1"/>
      <w:numFmt w:val="bullet"/>
      <w:lvlText w:val="•"/>
      <w:lvlJc w:val="left"/>
      <w:pPr>
        <w:tabs>
          <w:tab w:val="num" w:pos="3600"/>
        </w:tabs>
        <w:ind w:left="3600" w:hanging="360"/>
      </w:pPr>
      <w:rPr>
        <w:rFonts w:ascii="Arial" w:hAnsi="Arial" w:cs="Times New Roman" w:hint="default"/>
      </w:rPr>
    </w:lvl>
    <w:lvl w:ilvl="5" w:tplc="6AB402DE">
      <w:start w:val="1"/>
      <w:numFmt w:val="bullet"/>
      <w:lvlText w:val="•"/>
      <w:lvlJc w:val="left"/>
      <w:pPr>
        <w:tabs>
          <w:tab w:val="num" w:pos="4320"/>
        </w:tabs>
        <w:ind w:left="4320" w:hanging="360"/>
      </w:pPr>
      <w:rPr>
        <w:rFonts w:ascii="Arial" w:hAnsi="Arial" w:cs="Times New Roman" w:hint="default"/>
      </w:rPr>
    </w:lvl>
    <w:lvl w:ilvl="6" w:tplc="561A9E3A">
      <w:start w:val="1"/>
      <w:numFmt w:val="bullet"/>
      <w:lvlText w:val="•"/>
      <w:lvlJc w:val="left"/>
      <w:pPr>
        <w:tabs>
          <w:tab w:val="num" w:pos="5040"/>
        </w:tabs>
        <w:ind w:left="5040" w:hanging="360"/>
      </w:pPr>
      <w:rPr>
        <w:rFonts w:ascii="Arial" w:hAnsi="Arial" w:cs="Times New Roman" w:hint="default"/>
      </w:rPr>
    </w:lvl>
    <w:lvl w:ilvl="7" w:tplc="BA0499E4">
      <w:start w:val="1"/>
      <w:numFmt w:val="bullet"/>
      <w:lvlText w:val="•"/>
      <w:lvlJc w:val="left"/>
      <w:pPr>
        <w:tabs>
          <w:tab w:val="num" w:pos="5760"/>
        </w:tabs>
        <w:ind w:left="5760" w:hanging="360"/>
      </w:pPr>
      <w:rPr>
        <w:rFonts w:ascii="Arial" w:hAnsi="Arial" w:cs="Times New Roman" w:hint="default"/>
      </w:rPr>
    </w:lvl>
    <w:lvl w:ilvl="8" w:tplc="666CBAAE">
      <w:start w:val="1"/>
      <w:numFmt w:val="bullet"/>
      <w:lvlText w:val="•"/>
      <w:lvlJc w:val="left"/>
      <w:pPr>
        <w:tabs>
          <w:tab w:val="num" w:pos="6480"/>
        </w:tabs>
        <w:ind w:left="6480" w:hanging="360"/>
      </w:pPr>
      <w:rPr>
        <w:rFonts w:ascii="Arial" w:hAnsi="Arial" w:cs="Times New Roman" w:hint="default"/>
      </w:rPr>
    </w:lvl>
  </w:abstractNum>
  <w:abstractNum w:abstractNumId="41">
    <w:nsid w:val="742D26CC"/>
    <w:multiLevelType w:val="hybridMultilevel"/>
    <w:tmpl w:val="D49C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C4B0F"/>
    <w:multiLevelType w:val="hybridMultilevel"/>
    <w:tmpl w:val="8C5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9541D"/>
    <w:multiLevelType w:val="hybridMultilevel"/>
    <w:tmpl w:val="453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ED3E46"/>
    <w:multiLevelType w:val="hybridMultilevel"/>
    <w:tmpl w:val="735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D3A2C"/>
    <w:multiLevelType w:val="hybridMultilevel"/>
    <w:tmpl w:val="024C8510"/>
    <w:lvl w:ilvl="0" w:tplc="594AF37C">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5443CA"/>
    <w:multiLevelType w:val="hybridMultilevel"/>
    <w:tmpl w:val="BE8A34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30"/>
  </w:num>
  <w:num w:numId="3">
    <w:abstractNumId w:val="26"/>
  </w:num>
  <w:num w:numId="4">
    <w:abstractNumId w:val="38"/>
  </w:num>
  <w:num w:numId="5">
    <w:abstractNumId w:val="22"/>
  </w:num>
  <w:num w:numId="6">
    <w:abstractNumId w:val="27"/>
  </w:num>
  <w:num w:numId="7">
    <w:abstractNumId w:val="15"/>
  </w:num>
  <w:num w:numId="8">
    <w:abstractNumId w:val="34"/>
  </w:num>
  <w:num w:numId="9">
    <w:abstractNumId w:val="19"/>
  </w:num>
  <w:num w:numId="10">
    <w:abstractNumId w:val="46"/>
  </w:num>
  <w:num w:numId="11">
    <w:abstractNumId w:val="42"/>
  </w:num>
  <w:num w:numId="12">
    <w:abstractNumId w:val="18"/>
  </w:num>
  <w:num w:numId="13">
    <w:abstractNumId w:val="28"/>
  </w:num>
  <w:num w:numId="14">
    <w:abstractNumId w:val="39"/>
  </w:num>
  <w:num w:numId="15">
    <w:abstractNumId w:val="37"/>
  </w:num>
  <w:num w:numId="16">
    <w:abstractNumId w:val="24"/>
  </w:num>
  <w:num w:numId="17">
    <w:abstractNumId w:val="29"/>
  </w:num>
  <w:num w:numId="18">
    <w:abstractNumId w:val="25"/>
  </w:num>
  <w:num w:numId="19">
    <w:abstractNumId w:val="17"/>
  </w:num>
  <w:num w:numId="20">
    <w:abstractNumId w:val="20"/>
  </w:num>
  <w:num w:numId="21">
    <w:abstractNumId w:val="13"/>
  </w:num>
  <w:num w:numId="22">
    <w:abstractNumId w:val="23"/>
  </w:num>
  <w:num w:numId="23">
    <w:abstractNumId w:val="33"/>
  </w:num>
  <w:num w:numId="24">
    <w:abstractNumId w:val="35"/>
  </w:num>
  <w:num w:numId="25">
    <w:abstractNumId w:val="43"/>
  </w:num>
  <w:num w:numId="26">
    <w:abstractNumId w:val="44"/>
  </w:num>
  <w:num w:numId="27">
    <w:abstractNumId w:val="36"/>
  </w:num>
  <w:num w:numId="28">
    <w:abstractNumId w:val="40"/>
  </w:num>
  <w:num w:numId="29">
    <w:abstractNumId w:val="2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 w:numId="41">
    <w:abstractNumId w:val="10"/>
  </w:num>
  <w:num w:numId="42">
    <w:abstractNumId w:val="14"/>
  </w:num>
  <w:num w:numId="43">
    <w:abstractNumId w:val="32"/>
  </w:num>
  <w:num w:numId="44">
    <w:abstractNumId w:val="31"/>
  </w:num>
  <w:num w:numId="45">
    <w:abstractNumId w:val="45"/>
  </w:num>
  <w:num w:numId="46">
    <w:abstractNumId w:val="41"/>
  </w:num>
  <w:num w:numId="4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C2"/>
    <w:rsid w:val="00000026"/>
    <w:rsid w:val="00003744"/>
    <w:rsid w:val="00004A1B"/>
    <w:rsid w:val="00004AD8"/>
    <w:rsid w:val="000052F2"/>
    <w:rsid w:val="0001141D"/>
    <w:rsid w:val="00012569"/>
    <w:rsid w:val="000132F7"/>
    <w:rsid w:val="000143F7"/>
    <w:rsid w:val="00014C0E"/>
    <w:rsid w:val="00021C03"/>
    <w:rsid w:val="00022545"/>
    <w:rsid w:val="000256A3"/>
    <w:rsid w:val="00026077"/>
    <w:rsid w:val="00030349"/>
    <w:rsid w:val="0003068E"/>
    <w:rsid w:val="00030AE9"/>
    <w:rsid w:val="00033898"/>
    <w:rsid w:val="00033B66"/>
    <w:rsid w:val="00033D94"/>
    <w:rsid w:val="0003424B"/>
    <w:rsid w:val="000347E5"/>
    <w:rsid w:val="000356C4"/>
    <w:rsid w:val="00040FD7"/>
    <w:rsid w:val="00041565"/>
    <w:rsid w:val="000424B8"/>
    <w:rsid w:val="00044D09"/>
    <w:rsid w:val="00047548"/>
    <w:rsid w:val="00050D4E"/>
    <w:rsid w:val="000510D0"/>
    <w:rsid w:val="00051BCD"/>
    <w:rsid w:val="000525CE"/>
    <w:rsid w:val="000606A3"/>
    <w:rsid w:val="000627D1"/>
    <w:rsid w:val="00062AA8"/>
    <w:rsid w:val="00063807"/>
    <w:rsid w:val="00063E08"/>
    <w:rsid w:val="00065C33"/>
    <w:rsid w:val="00065C42"/>
    <w:rsid w:val="000663A2"/>
    <w:rsid w:val="000709E2"/>
    <w:rsid w:val="00070F78"/>
    <w:rsid w:val="00070FD0"/>
    <w:rsid w:val="0007390D"/>
    <w:rsid w:val="00073B79"/>
    <w:rsid w:val="0007434F"/>
    <w:rsid w:val="000757D7"/>
    <w:rsid w:val="000830FC"/>
    <w:rsid w:val="00083AB1"/>
    <w:rsid w:val="00083B11"/>
    <w:rsid w:val="00091587"/>
    <w:rsid w:val="000944C3"/>
    <w:rsid w:val="00094C2B"/>
    <w:rsid w:val="0009652A"/>
    <w:rsid w:val="000A3849"/>
    <w:rsid w:val="000A428E"/>
    <w:rsid w:val="000A4974"/>
    <w:rsid w:val="000A7DBA"/>
    <w:rsid w:val="000B00DE"/>
    <w:rsid w:val="000B12E2"/>
    <w:rsid w:val="000B27B0"/>
    <w:rsid w:val="000B47A9"/>
    <w:rsid w:val="000B4B88"/>
    <w:rsid w:val="000B54D2"/>
    <w:rsid w:val="000B5A20"/>
    <w:rsid w:val="000B7481"/>
    <w:rsid w:val="000C06E3"/>
    <w:rsid w:val="000C114C"/>
    <w:rsid w:val="000C1ABF"/>
    <w:rsid w:val="000C4A29"/>
    <w:rsid w:val="000C6779"/>
    <w:rsid w:val="000C7C2A"/>
    <w:rsid w:val="000D14B6"/>
    <w:rsid w:val="000D4B91"/>
    <w:rsid w:val="000D6CF9"/>
    <w:rsid w:val="000D7658"/>
    <w:rsid w:val="000E0CCC"/>
    <w:rsid w:val="000E0DB5"/>
    <w:rsid w:val="000E2506"/>
    <w:rsid w:val="000F1B28"/>
    <w:rsid w:val="000F58E2"/>
    <w:rsid w:val="00101D64"/>
    <w:rsid w:val="001060B0"/>
    <w:rsid w:val="00112BD7"/>
    <w:rsid w:val="00114DD1"/>
    <w:rsid w:val="00114E72"/>
    <w:rsid w:val="00115C36"/>
    <w:rsid w:val="00116FA0"/>
    <w:rsid w:val="00117922"/>
    <w:rsid w:val="001206C4"/>
    <w:rsid w:val="0012102F"/>
    <w:rsid w:val="001238B6"/>
    <w:rsid w:val="00126029"/>
    <w:rsid w:val="00127DBF"/>
    <w:rsid w:val="00127F68"/>
    <w:rsid w:val="00131599"/>
    <w:rsid w:val="00132456"/>
    <w:rsid w:val="001334F9"/>
    <w:rsid w:val="00133E4B"/>
    <w:rsid w:val="00135829"/>
    <w:rsid w:val="00136B30"/>
    <w:rsid w:val="001375D7"/>
    <w:rsid w:val="00143000"/>
    <w:rsid w:val="00145B5E"/>
    <w:rsid w:val="001466F9"/>
    <w:rsid w:val="00150BF2"/>
    <w:rsid w:val="00151BF0"/>
    <w:rsid w:val="001523EC"/>
    <w:rsid w:val="00152DF6"/>
    <w:rsid w:val="00157E0F"/>
    <w:rsid w:val="00157F79"/>
    <w:rsid w:val="00163726"/>
    <w:rsid w:val="001637BD"/>
    <w:rsid w:val="00164518"/>
    <w:rsid w:val="001666A3"/>
    <w:rsid w:val="001704E8"/>
    <w:rsid w:val="00171C7D"/>
    <w:rsid w:val="0017456A"/>
    <w:rsid w:val="00174B0A"/>
    <w:rsid w:val="00175156"/>
    <w:rsid w:val="00175B3B"/>
    <w:rsid w:val="0017617F"/>
    <w:rsid w:val="00177455"/>
    <w:rsid w:val="001776E2"/>
    <w:rsid w:val="00177C4D"/>
    <w:rsid w:val="00180BFD"/>
    <w:rsid w:val="0018231D"/>
    <w:rsid w:val="00186FF3"/>
    <w:rsid w:val="0019353E"/>
    <w:rsid w:val="00193671"/>
    <w:rsid w:val="001958FA"/>
    <w:rsid w:val="00197FA0"/>
    <w:rsid w:val="001A0067"/>
    <w:rsid w:val="001B17C2"/>
    <w:rsid w:val="001B3157"/>
    <w:rsid w:val="001B50DE"/>
    <w:rsid w:val="001B71CB"/>
    <w:rsid w:val="001B74DA"/>
    <w:rsid w:val="001C1BE1"/>
    <w:rsid w:val="001C39FF"/>
    <w:rsid w:val="001C3BC5"/>
    <w:rsid w:val="001C4DD2"/>
    <w:rsid w:val="001C7D7A"/>
    <w:rsid w:val="001D233B"/>
    <w:rsid w:val="001D3F8E"/>
    <w:rsid w:val="001D5163"/>
    <w:rsid w:val="001D65D0"/>
    <w:rsid w:val="001D7C5F"/>
    <w:rsid w:val="001F0959"/>
    <w:rsid w:val="001F2061"/>
    <w:rsid w:val="001F475B"/>
    <w:rsid w:val="001F7029"/>
    <w:rsid w:val="001F71B9"/>
    <w:rsid w:val="001F7BA8"/>
    <w:rsid w:val="00202112"/>
    <w:rsid w:val="002028F7"/>
    <w:rsid w:val="002052EC"/>
    <w:rsid w:val="002065D4"/>
    <w:rsid w:val="00210A03"/>
    <w:rsid w:val="00210B6C"/>
    <w:rsid w:val="00213416"/>
    <w:rsid w:val="00213734"/>
    <w:rsid w:val="00214C8D"/>
    <w:rsid w:val="00220248"/>
    <w:rsid w:val="00220BD2"/>
    <w:rsid w:val="00220F96"/>
    <w:rsid w:val="00221B6C"/>
    <w:rsid w:val="00221C7E"/>
    <w:rsid w:val="0022299D"/>
    <w:rsid w:val="00222D76"/>
    <w:rsid w:val="00225F97"/>
    <w:rsid w:val="00226E96"/>
    <w:rsid w:val="002271FA"/>
    <w:rsid w:val="002272A8"/>
    <w:rsid w:val="00227CA9"/>
    <w:rsid w:val="00230306"/>
    <w:rsid w:val="00232F2E"/>
    <w:rsid w:val="002335E3"/>
    <w:rsid w:val="00233CE5"/>
    <w:rsid w:val="0023450A"/>
    <w:rsid w:val="00235A8B"/>
    <w:rsid w:val="0023670E"/>
    <w:rsid w:val="00240834"/>
    <w:rsid w:val="002425FF"/>
    <w:rsid w:val="00244991"/>
    <w:rsid w:val="00245418"/>
    <w:rsid w:val="00245753"/>
    <w:rsid w:val="00245867"/>
    <w:rsid w:val="0024674E"/>
    <w:rsid w:val="00246AA5"/>
    <w:rsid w:val="00253024"/>
    <w:rsid w:val="00253275"/>
    <w:rsid w:val="00254A61"/>
    <w:rsid w:val="00255908"/>
    <w:rsid w:val="002574A8"/>
    <w:rsid w:val="002610AB"/>
    <w:rsid w:val="00262A65"/>
    <w:rsid w:val="00263652"/>
    <w:rsid w:val="00263B6C"/>
    <w:rsid w:val="00263C64"/>
    <w:rsid w:val="00264C48"/>
    <w:rsid w:val="002654EE"/>
    <w:rsid w:val="00265A78"/>
    <w:rsid w:val="00266184"/>
    <w:rsid w:val="00267304"/>
    <w:rsid w:val="00270213"/>
    <w:rsid w:val="0027114A"/>
    <w:rsid w:val="00272A24"/>
    <w:rsid w:val="0027385C"/>
    <w:rsid w:val="002738B3"/>
    <w:rsid w:val="00273CCD"/>
    <w:rsid w:val="00275D10"/>
    <w:rsid w:val="00276B9E"/>
    <w:rsid w:val="00277024"/>
    <w:rsid w:val="00283796"/>
    <w:rsid w:val="00284FF7"/>
    <w:rsid w:val="00294947"/>
    <w:rsid w:val="0029656D"/>
    <w:rsid w:val="00297358"/>
    <w:rsid w:val="002A148A"/>
    <w:rsid w:val="002A1CA8"/>
    <w:rsid w:val="002A1FAA"/>
    <w:rsid w:val="002A1FC8"/>
    <w:rsid w:val="002A3DA0"/>
    <w:rsid w:val="002A5174"/>
    <w:rsid w:val="002A53BA"/>
    <w:rsid w:val="002A72C2"/>
    <w:rsid w:val="002B2549"/>
    <w:rsid w:val="002B2889"/>
    <w:rsid w:val="002B3E61"/>
    <w:rsid w:val="002B618F"/>
    <w:rsid w:val="002C1C1D"/>
    <w:rsid w:val="002C49F2"/>
    <w:rsid w:val="002C7614"/>
    <w:rsid w:val="002D0FEA"/>
    <w:rsid w:val="002D16AD"/>
    <w:rsid w:val="002D24A7"/>
    <w:rsid w:val="002D2E2B"/>
    <w:rsid w:val="002D33F1"/>
    <w:rsid w:val="002D66F7"/>
    <w:rsid w:val="002E0A44"/>
    <w:rsid w:val="002E13D5"/>
    <w:rsid w:val="002E23F3"/>
    <w:rsid w:val="002E35C4"/>
    <w:rsid w:val="002E4A59"/>
    <w:rsid w:val="002E50D1"/>
    <w:rsid w:val="002E61A7"/>
    <w:rsid w:val="002E6B12"/>
    <w:rsid w:val="002F39FA"/>
    <w:rsid w:val="00300F6D"/>
    <w:rsid w:val="00301BFE"/>
    <w:rsid w:val="00302617"/>
    <w:rsid w:val="00305571"/>
    <w:rsid w:val="00305E5A"/>
    <w:rsid w:val="00310523"/>
    <w:rsid w:val="00311697"/>
    <w:rsid w:val="00313EF2"/>
    <w:rsid w:val="00316252"/>
    <w:rsid w:val="00316CBB"/>
    <w:rsid w:val="003176D7"/>
    <w:rsid w:val="00320157"/>
    <w:rsid w:val="00323F42"/>
    <w:rsid w:val="00325838"/>
    <w:rsid w:val="003258DF"/>
    <w:rsid w:val="0032646B"/>
    <w:rsid w:val="0033101B"/>
    <w:rsid w:val="0033176B"/>
    <w:rsid w:val="003318BC"/>
    <w:rsid w:val="00334C37"/>
    <w:rsid w:val="00337456"/>
    <w:rsid w:val="00337B9D"/>
    <w:rsid w:val="00342399"/>
    <w:rsid w:val="00343257"/>
    <w:rsid w:val="00343B56"/>
    <w:rsid w:val="00344C78"/>
    <w:rsid w:val="00346294"/>
    <w:rsid w:val="0034789C"/>
    <w:rsid w:val="00347BC8"/>
    <w:rsid w:val="00350F0A"/>
    <w:rsid w:val="0035107B"/>
    <w:rsid w:val="003530C0"/>
    <w:rsid w:val="00354A45"/>
    <w:rsid w:val="0035740E"/>
    <w:rsid w:val="00360348"/>
    <w:rsid w:val="00360D75"/>
    <w:rsid w:val="003614A4"/>
    <w:rsid w:val="00361950"/>
    <w:rsid w:val="00361F20"/>
    <w:rsid w:val="00362A80"/>
    <w:rsid w:val="003634D7"/>
    <w:rsid w:val="00363CF1"/>
    <w:rsid w:val="00364D48"/>
    <w:rsid w:val="003662A2"/>
    <w:rsid w:val="00367CB4"/>
    <w:rsid w:val="00371410"/>
    <w:rsid w:val="00371764"/>
    <w:rsid w:val="00373DF9"/>
    <w:rsid w:val="003751B5"/>
    <w:rsid w:val="00380BD2"/>
    <w:rsid w:val="00382D0B"/>
    <w:rsid w:val="00382E87"/>
    <w:rsid w:val="00383210"/>
    <w:rsid w:val="00384FD1"/>
    <w:rsid w:val="00384FF5"/>
    <w:rsid w:val="0038724C"/>
    <w:rsid w:val="00387511"/>
    <w:rsid w:val="00393D88"/>
    <w:rsid w:val="00394BD3"/>
    <w:rsid w:val="003A4701"/>
    <w:rsid w:val="003A594E"/>
    <w:rsid w:val="003A5FC2"/>
    <w:rsid w:val="003A6E82"/>
    <w:rsid w:val="003A7A14"/>
    <w:rsid w:val="003B058A"/>
    <w:rsid w:val="003B5800"/>
    <w:rsid w:val="003C0990"/>
    <w:rsid w:val="003C1C9C"/>
    <w:rsid w:val="003C3178"/>
    <w:rsid w:val="003C57B0"/>
    <w:rsid w:val="003C71F9"/>
    <w:rsid w:val="003C7316"/>
    <w:rsid w:val="003D2BEC"/>
    <w:rsid w:val="003D3931"/>
    <w:rsid w:val="003D3A43"/>
    <w:rsid w:val="003D4072"/>
    <w:rsid w:val="003D60D5"/>
    <w:rsid w:val="003D6F06"/>
    <w:rsid w:val="003E05C4"/>
    <w:rsid w:val="003E0B55"/>
    <w:rsid w:val="003E14DB"/>
    <w:rsid w:val="003E3900"/>
    <w:rsid w:val="003E3B4C"/>
    <w:rsid w:val="003E4BA6"/>
    <w:rsid w:val="003E4E10"/>
    <w:rsid w:val="003E6DBA"/>
    <w:rsid w:val="003E727E"/>
    <w:rsid w:val="003E7FC5"/>
    <w:rsid w:val="003F2EFF"/>
    <w:rsid w:val="003F389F"/>
    <w:rsid w:val="003F38C7"/>
    <w:rsid w:val="00400795"/>
    <w:rsid w:val="00402316"/>
    <w:rsid w:val="00402896"/>
    <w:rsid w:val="00403C6E"/>
    <w:rsid w:val="00404742"/>
    <w:rsid w:val="00405D41"/>
    <w:rsid w:val="00406AD9"/>
    <w:rsid w:val="00406BF2"/>
    <w:rsid w:val="004076C4"/>
    <w:rsid w:val="00410931"/>
    <w:rsid w:val="00411DD9"/>
    <w:rsid w:val="00414961"/>
    <w:rsid w:val="00421A65"/>
    <w:rsid w:val="004223BB"/>
    <w:rsid w:val="00422DE6"/>
    <w:rsid w:val="00425930"/>
    <w:rsid w:val="0042631C"/>
    <w:rsid w:val="00431232"/>
    <w:rsid w:val="00431BE6"/>
    <w:rsid w:val="0043224A"/>
    <w:rsid w:val="004326C7"/>
    <w:rsid w:val="00432845"/>
    <w:rsid w:val="00433301"/>
    <w:rsid w:val="004341E9"/>
    <w:rsid w:val="004344F9"/>
    <w:rsid w:val="0043489C"/>
    <w:rsid w:val="0043524F"/>
    <w:rsid w:val="00435680"/>
    <w:rsid w:val="004356DB"/>
    <w:rsid w:val="00435B46"/>
    <w:rsid w:val="0044071A"/>
    <w:rsid w:val="0044198B"/>
    <w:rsid w:val="00442AAA"/>
    <w:rsid w:val="00442C79"/>
    <w:rsid w:val="00447772"/>
    <w:rsid w:val="00447D7E"/>
    <w:rsid w:val="00450600"/>
    <w:rsid w:val="004513BE"/>
    <w:rsid w:val="00451759"/>
    <w:rsid w:val="00453290"/>
    <w:rsid w:val="004536C5"/>
    <w:rsid w:val="00454180"/>
    <w:rsid w:val="0045433B"/>
    <w:rsid w:val="00455BCB"/>
    <w:rsid w:val="00456D68"/>
    <w:rsid w:val="00457834"/>
    <w:rsid w:val="00457EE6"/>
    <w:rsid w:val="0046319A"/>
    <w:rsid w:val="00466D19"/>
    <w:rsid w:val="00466D60"/>
    <w:rsid w:val="00467386"/>
    <w:rsid w:val="00467989"/>
    <w:rsid w:val="00467DBB"/>
    <w:rsid w:val="00472207"/>
    <w:rsid w:val="004722CE"/>
    <w:rsid w:val="00474C74"/>
    <w:rsid w:val="00476750"/>
    <w:rsid w:val="004768E0"/>
    <w:rsid w:val="0048004B"/>
    <w:rsid w:val="004804AA"/>
    <w:rsid w:val="00482E1C"/>
    <w:rsid w:val="004851DD"/>
    <w:rsid w:val="00485926"/>
    <w:rsid w:val="00485CA3"/>
    <w:rsid w:val="00487448"/>
    <w:rsid w:val="00487513"/>
    <w:rsid w:val="00487711"/>
    <w:rsid w:val="00491582"/>
    <w:rsid w:val="004915A6"/>
    <w:rsid w:val="00492362"/>
    <w:rsid w:val="00492902"/>
    <w:rsid w:val="00494E17"/>
    <w:rsid w:val="004959BC"/>
    <w:rsid w:val="0049636D"/>
    <w:rsid w:val="004A04D6"/>
    <w:rsid w:val="004A0D19"/>
    <w:rsid w:val="004A2FB8"/>
    <w:rsid w:val="004A62F2"/>
    <w:rsid w:val="004A7920"/>
    <w:rsid w:val="004B0966"/>
    <w:rsid w:val="004B0B08"/>
    <w:rsid w:val="004B2EAD"/>
    <w:rsid w:val="004B5A18"/>
    <w:rsid w:val="004B5BCF"/>
    <w:rsid w:val="004B7A32"/>
    <w:rsid w:val="004C20FA"/>
    <w:rsid w:val="004C32D5"/>
    <w:rsid w:val="004C47AF"/>
    <w:rsid w:val="004C6D25"/>
    <w:rsid w:val="004C6D8C"/>
    <w:rsid w:val="004C7768"/>
    <w:rsid w:val="004D0436"/>
    <w:rsid w:val="004D079A"/>
    <w:rsid w:val="004D365A"/>
    <w:rsid w:val="004D37D2"/>
    <w:rsid w:val="004D3A28"/>
    <w:rsid w:val="004D48F1"/>
    <w:rsid w:val="004D4F0F"/>
    <w:rsid w:val="004D4F13"/>
    <w:rsid w:val="004D66D7"/>
    <w:rsid w:val="004D74CF"/>
    <w:rsid w:val="004E16BD"/>
    <w:rsid w:val="004E5C39"/>
    <w:rsid w:val="004F3173"/>
    <w:rsid w:val="004F323D"/>
    <w:rsid w:val="004F33E6"/>
    <w:rsid w:val="004F34C2"/>
    <w:rsid w:val="004F506E"/>
    <w:rsid w:val="00501DD0"/>
    <w:rsid w:val="005024EC"/>
    <w:rsid w:val="00504380"/>
    <w:rsid w:val="005108CB"/>
    <w:rsid w:val="00511B66"/>
    <w:rsid w:val="0051202C"/>
    <w:rsid w:val="00512E02"/>
    <w:rsid w:val="0051784F"/>
    <w:rsid w:val="00517AB6"/>
    <w:rsid w:val="0052144A"/>
    <w:rsid w:val="00521523"/>
    <w:rsid w:val="00521A03"/>
    <w:rsid w:val="00524887"/>
    <w:rsid w:val="00525FE4"/>
    <w:rsid w:val="0052643B"/>
    <w:rsid w:val="00527F8C"/>
    <w:rsid w:val="00531680"/>
    <w:rsid w:val="00532DF4"/>
    <w:rsid w:val="0053300B"/>
    <w:rsid w:val="00533451"/>
    <w:rsid w:val="00533B91"/>
    <w:rsid w:val="00534D5B"/>
    <w:rsid w:val="00534FD0"/>
    <w:rsid w:val="00537850"/>
    <w:rsid w:val="00541F6F"/>
    <w:rsid w:val="00542330"/>
    <w:rsid w:val="00545853"/>
    <w:rsid w:val="00550093"/>
    <w:rsid w:val="005506D3"/>
    <w:rsid w:val="00554C4F"/>
    <w:rsid w:val="00555C7B"/>
    <w:rsid w:val="00555E6F"/>
    <w:rsid w:val="00556E84"/>
    <w:rsid w:val="00557FAC"/>
    <w:rsid w:val="0056114E"/>
    <w:rsid w:val="00562DCF"/>
    <w:rsid w:val="00565F31"/>
    <w:rsid w:val="00566C80"/>
    <w:rsid w:val="0056755B"/>
    <w:rsid w:val="00571592"/>
    <w:rsid w:val="0057162C"/>
    <w:rsid w:val="00575E0A"/>
    <w:rsid w:val="0057641D"/>
    <w:rsid w:val="00580256"/>
    <w:rsid w:val="00580F1B"/>
    <w:rsid w:val="00581478"/>
    <w:rsid w:val="0058252A"/>
    <w:rsid w:val="00582826"/>
    <w:rsid w:val="00584514"/>
    <w:rsid w:val="005854FA"/>
    <w:rsid w:val="00587C47"/>
    <w:rsid w:val="00587D2D"/>
    <w:rsid w:val="005902FB"/>
    <w:rsid w:val="00591620"/>
    <w:rsid w:val="0059466B"/>
    <w:rsid w:val="00595C63"/>
    <w:rsid w:val="00596EEC"/>
    <w:rsid w:val="005A0434"/>
    <w:rsid w:val="005A0E12"/>
    <w:rsid w:val="005A0F47"/>
    <w:rsid w:val="005A17E8"/>
    <w:rsid w:val="005A1E09"/>
    <w:rsid w:val="005A293D"/>
    <w:rsid w:val="005A43A6"/>
    <w:rsid w:val="005A4EED"/>
    <w:rsid w:val="005A534C"/>
    <w:rsid w:val="005A5D2F"/>
    <w:rsid w:val="005A60FB"/>
    <w:rsid w:val="005A65E2"/>
    <w:rsid w:val="005A7E74"/>
    <w:rsid w:val="005B068E"/>
    <w:rsid w:val="005B2171"/>
    <w:rsid w:val="005B4702"/>
    <w:rsid w:val="005B49EA"/>
    <w:rsid w:val="005B6998"/>
    <w:rsid w:val="005B6F2F"/>
    <w:rsid w:val="005B704B"/>
    <w:rsid w:val="005C0802"/>
    <w:rsid w:val="005C10EB"/>
    <w:rsid w:val="005C3825"/>
    <w:rsid w:val="005C43C3"/>
    <w:rsid w:val="005D0AF2"/>
    <w:rsid w:val="005D0C6B"/>
    <w:rsid w:val="005D12C6"/>
    <w:rsid w:val="005D1A17"/>
    <w:rsid w:val="005D2CA3"/>
    <w:rsid w:val="005D371B"/>
    <w:rsid w:val="005D3AC9"/>
    <w:rsid w:val="005D3F4C"/>
    <w:rsid w:val="005D7153"/>
    <w:rsid w:val="005E0145"/>
    <w:rsid w:val="005E0CD0"/>
    <w:rsid w:val="005E2C06"/>
    <w:rsid w:val="005E4E9E"/>
    <w:rsid w:val="005E57C6"/>
    <w:rsid w:val="005E5E43"/>
    <w:rsid w:val="005E6720"/>
    <w:rsid w:val="005E6950"/>
    <w:rsid w:val="005E7B06"/>
    <w:rsid w:val="005F0BEC"/>
    <w:rsid w:val="005F27FA"/>
    <w:rsid w:val="005F3CBC"/>
    <w:rsid w:val="005F6B32"/>
    <w:rsid w:val="005F6E45"/>
    <w:rsid w:val="00601FCE"/>
    <w:rsid w:val="006040F0"/>
    <w:rsid w:val="00605119"/>
    <w:rsid w:val="00607E36"/>
    <w:rsid w:val="00610351"/>
    <w:rsid w:val="006108E6"/>
    <w:rsid w:val="0061135A"/>
    <w:rsid w:val="006131BC"/>
    <w:rsid w:val="00613AB2"/>
    <w:rsid w:val="006153FC"/>
    <w:rsid w:val="00616E15"/>
    <w:rsid w:val="006173F6"/>
    <w:rsid w:val="00621BD2"/>
    <w:rsid w:val="00621C7B"/>
    <w:rsid w:val="00622605"/>
    <w:rsid w:val="00622B38"/>
    <w:rsid w:val="006233D5"/>
    <w:rsid w:val="00623822"/>
    <w:rsid w:val="006248A3"/>
    <w:rsid w:val="00624B30"/>
    <w:rsid w:val="00625C77"/>
    <w:rsid w:val="00625D18"/>
    <w:rsid w:val="00626436"/>
    <w:rsid w:val="00626B5F"/>
    <w:rsid w:val="006279AA"/>
    <w:rsid w:val="0063579E"/>
    <w:rsid w:val="006358DF"/>
    <w:rsid w:val="0063594B"/>
    <w:rsid w:val="006359E1"/>
    <w:rsid w:val="00637DFD"/>
    <w:rsid w:val="006406BE"/>
    <w:rsid w:val="006421EA"/>
    <w:rsid w:val="00642B4C"/>
    <w:rsid w:val="006436E3"/>
    <w:rsid w:val="00646BD6"/>
    <w:rsid w:val="00651A69"/>
    <w:rsid w:val="006520DF"/>
    <w:rsid w:val="00653571"/>
    <w:rsid w:val="00654D4D"/>
    <w:rsid w:val="0065533F"/>
    <w:rsid w:val="00655820"/>
    <w:rsid w:val="00655EEC"/>
    <w:rsid w:val="00656045"/>
    <w:rsid w:val="006561D6"/>
    <w:rsid w:val="0066131A"/>
    <w:rsid w:val="00666677"/>
    <w:rsid w:val="00666DD6"/>
    <w:rsid w:val="00667190"/>
    <w:rsid w:val="00667C10"/>
    <w:rsid w:val="00674352"/>
    <w:rsid w:val="00676D86"/>
    <w:rsid w:val="00676FE3"/>
    <w:rsid w:val="00680195"/>
    <w:rsid w:val="006802BB"/>
    <w:rsid w:val="00680B49"/>
    <w:rsid w:val="00683E5E"/>
    <w:rsid w:val="0068556F"/>
    <w:rsid w:val="00686A88"/>
    <w:rsid w:val="00687BE9"/>
    <w:rsid w:val="0069002E"/>
    <w:rsid w:val="0069054F"/>
    <w:rsid w:val="006930ED"/>
    <w:rsid w:val="00693A31"/>
    <w:rsid w:val="00694A91"/>
    <w:rsid w:val="0069588C"/>
    <w:rsid w:val="00696B29"/>
    <w:rsid w:val="006A1180"/>
    <w:rsid w:val="006A2D5C"/>
    <w:rsid w:val="006A4994"/>
    <w:rsid w:val="006B2AD0"/>
    <w:rsid w:val="006B43F8"/>
    <w:rsid w:val="006B4870"/>
    <w:rsid w:val="006B54C0"/>
    <w:rsid w:val="006B72B8"/>
    <w:rsid w:val="006B76BE"/>
    <w:rsid w:val="006B7926"/>
    <w:rsid w:val="006B7946"/>
    <w:rsid w:val="006B7E6F"/>
    <w:rsid w:val="006C04AF"/>
    <w:rsid w:val="006C2E93"/>
    <w:rsid w:val="006C3EA4"/>
    <w:rsid w:val="006C42AE"/>
    <w:rsid w:val="006C4521"/>
    <w:rsid w:val="006C63DA"/>
    <w:rsid w:val="006C6A68"/>
    <w:rsid w:val="006C7763"/>
    <w:rsid w:val="006C7A22"/>
    <w:rsid w:val="006D3865"/>
    <w:rsid w:val="006D3F97"/>
    <w:rsid w:val="006D6B46"/>
    <w:rsid w:val="006E4ED6"/>
    <w:rsid w:val="006E597B"/>
    <w:rsid w:val="006E5F15"/>
    <w:rsid w:val="006E7E60"/>
    <w:rsid w:val="006F1E83"/>
    <w:rsid w:val="006F2887"/>
    <w:rsid w:val="006F3CD2"/>
    <w:rsid w:val="006F454B"/>
    <w:rsid w:val="006F7A04"/>
    <w:rsid w:val="006F7AD5"/>
    <w:rsid w:val="00701D88"/>
    <w:rsid w:val="0070208D"/>
    <w:rsid w:val="00702383"/>
    <w:rsid w:val="007029F4"/>
    <w:rsid w:val="00703F40"/>
    <w:rsid w:val="00704A03"/>
    <w:rsid w:val="00707309"/>
    <w:rsid w:val="00713806"/>
    <w:rsid w:val="0071496D"/>
    <w:rsid w:val="00714A4D"/>
    <w:rsid w:val="00714DE6"/>
    <w:rsid w:val="00715DF4"/>
    <w:rsid w:val="00715E23"/>
    <w:rsid w:val="0072068A"/>
    <w:rsid w:val="0072315A"/>
    <w:rsid w:val="007250C3"/>
    <w:rsid w:val="00726918"/>
    <w:rsid w:val="00727BF1"/>
    <w:rsid w:val="00730612"/>
    <w:rsid w:val="00732D5D"/>
    <w:rsid w:val="0073360A"/>
    <w:rsid w:val="00733FEA"/>
    <w:rsid w:val="00735BE0"/>
    <w:rsid w:val="00740172"/>
    <w:rsid w:val="0074244F"/>
    <w:rsid w:val="007424D4"/>
    <w:rsid w:val="00742A25"/>
    <w:rsid w:val="00742A87"/>
    <w:rsid w:val="00745463"/>
    <w:rsid w:val="00746367"/>
    <w:rsid w:val="00751F7A"/>
    <w:rsid w:val="0075206B"/>
    <w:rsid w:val="007521EA"/>
    <w:rsid w:val="00754170"/>
    <w:rsid w:val="0075433A"/>
    <w:rsid w:val="00754620"/>
    <w:rsid w:val="00755C8E"/>
    <w:rsid w:val="007620A8"/>
    <w:rsid w:val="0076387D"/>
    <w:rsid w:val="0076438E"/>
    <w:rsid w:val="00766170"/>
    <w:rsid w:val="00770C3F"/>
    <w:rsid w:val="00776EE3"/>
    <w:rsid w:val="007773C7"/>
    <w:rsid w:val="00780855"/>
    <w:rsid w:val="00781252"/>
    <w:rsid w:val="00781762"/>
    <w:rsid w:val="00782F8D"/>
    <w:rsid w:val="007830E2"/>
    <w:rsid w:val="00785954"/>
    <w:rsid w:val="007865C2"/>
    <w:rsid w:val="0078776A"/>
    <w:rsid w:val="007904D5"/>
    <w:rsid w:val="007912BA"/>
    <w:rsid w:val="007917C9"/>
    <w:rsid w:val="007926CA"/>
    <w:rsid w:val="00794756"/>
    <w:rsid w:val="0079788C"/>
    <w:rsid w:val="007A196B"/>
    <w:rsid w:val="007A234F"/>
    <w:rsid w:val="007A27B0"/>
    <w:rsid w:val="007A360E"/>
    <w:rsid w:val="007A36F8"/>
    <w:rsid w:val="007A37DA"/>
    <w:rsid w:val="007A38E9"/>
    <w:rsid w:val="007A3DA5"/>
    <w:rsid w:val="007A54C1"/>
    <w:rsid w:val="007A66C8"/>
    <w:rsid w:val="007B09B3"/>
    <w:rsid w:val="007B1756"/>
    <w:rsid w:val="007B3DFE"/>
    <w:rsid w:val="007B6351"/>
    <w:rsid w:val="007B6FA6"/>
    <w:rsid w:val="007B770D"/>
    <w:rsid w:val="007C08DF"/>
    <w:rsid w:val="007C1C0D"/>
    <w:rsid w:val="007C39B4"/>
    <w:rsid w:val="007C3F60"/>
    <w:rsid w:val="007C546C"/>
    <w:rsid w:val="007D068B"/>
    <w:rsid w:val="007D09A3"/>
    <w:rsid w:val="007D0A4B"/>
    <w:rsid w:val="007D14FD"/>
    <w:rsid w:val="007D1FD0"/>
    <w:rsid w:val="007D252D"/>
    <w:rsid w:val="007D2C30"/>
    <w:rsid w:val="007D5865"/>
    <w:rsid w:val="007D6670"/>
    <w:rsid w:val="007E162F"/>
    <w:rsid w:val="007E1989"/>
    <w:rsid w:val="007E3865"/>
    <w:rsid w:val="007E5840"/>
    <w:rsid w:val="007E5CFE"/>
    <w:rsid w:val="007E6CA0"/>
    <w:rsid w:val="007E7C44"/>
    <w:rsid w:val="007F046B"/>
    <w:rsid w:val="007F33D5"/>
    <w:rsid w:val="007F47C7"/>
    <w:rsid w:val="007F606A"/>
    <w:rsid w:val="007F6AC3"/>
    <w:rsid w:val="007F6D45"/>
    <w:rsid w:val="007F6F1D"/>
    <w:rsid w:val="007F706B"/>
    <w:rsid w:val="008002F4"/>
    <w:rsid w:val="0080091F"/>
    <w:rsid w:val="008016E3"/>
    <w:rsid w:val="00802AF3"/>
    <w:rsid w:val="00802DF6"/>
    <w:rsid w:val="00803D13"/>
    <w:rsid w:val="00804DDF"/>
    <w:rsid w:val="00804E1B"/>
    <w:rsid w:val="00804F66"/>
    <w:rsid w:val="00805A0A"/>
    <w:rsid w:val="00806A04"/>
    <w:rsid w:val="00807E51"/>
    <w:rsid w:val="00814642"/>
    <w:rsid w:val="0081575A"/>
    <w:rsid w:val="00815C10"/>
    <w:rsid w:val="00815CCA"/>
    <w:rsid w:val="008167F8"/>
    <w:rsid w:val="008172EE"/>
    <w:rsid w:val="00817BDD"/>
    <w:rsid w:val="00820B43"/>
    <w:rsid w:val="00820B57"/>
    <w:rsid w:val="00820BB6"/>
    <w:rsid w:val="0082247B"/>
    <w:rsid w:val="00824F51"/>
    <w:rsid w:val="0082587B"/>
    <w:rsid w:val="00827DD7"/>
    <w:rsid w:val="00827FA6"/>
    <w:rsid w:val="00830345"/>
    <w:rsid w:val="00830AEF"/>
    <w:rsid w:val="00831257"/>
    <w:rsid w:val="00833666"/>
    <w:rsid w:val="00833B8F"/>
    <w:rsid w:val="00833C30"/>
    <w:rsid w:val="0083499D"/>
    <w:rsid w:val="00834D61"/>
    <w:rsid w:val="0083580B"/>
    <w:rsid w:val="00837A03"/>
    <w:rsid w:val="00837D25"/>
    <w:rsid w:val="0084270D"/>
    <w:rsid w:val="00842A95"/>
    <w:rsid w:val="00844387"/>
    <w:rsid w:val="00844F94"/>
    <w:rsid w:val="008465D4"/>
    <w:rsid w:val="0084770E"/>
    <w:rsid w:val="00847770"/>
    <w:rsid w:val="00847809"/>
    <w:rsid w:val="00850C55"/>
    <w:rsid w:val="00851BF1"/>
    <w:rsid w:val="008521C9"/>
    <w:rsid w:val="008528E6"/>
    <w:rsid w:val="00854E99"/>
    <w:rsid w:val="00857381"/>
    <w:rsid w:val="00861B9E"/>
    <w:rsid w:val="008634E4"/>
    <w:rsid w:val="00865580"/>
    <w:rsid w:val="00865C76"/>
    <w:rsid w:val="00867B89"/>
    <w:rsid w:val="00867E30"/>
    <w:rsid w:val="008713FB"/>
    <w:rsid w:val="008725EC"/>
    <w:rsid w:val="008729CE"/>
    <w:rsid w:val="00875FDA"/>
    <w:rsid w:val="0087651C"/>
    <w:rsid w:val="00880C3A"/>
    <w:rsid w:val="00880CCE"/>
    <w:rsid w:val="00880F0C"/>
    <w:rsid w:val="00881151"/>
    <w:rsid w:val="008811CA"/>
    <w:rsid w:val="00882088"/>
    <w:rsid w:val="0088250C"/>
    <w:rsid w:val="008834F8"/>
    <w:rsid w:val="00883573"/>
    <w:rsid w:val="00885469"/>
    <w:rsid w:val="008855E4"/>
    <w:rsid w:val="00887F8F"/>
    <w:rsid w:val="008901B4"/>
    <w:rsid w:val="00890630"/>
    <w:rsid w:val="00891A5A"/>
    <w:rsid w:val="008940DA"/>
    <w:rsid w:val="00896F98"/>
    <w:rsid w:val="008978D3"/>
    <w:rsid w:val="008A032B"/>
    <w:rsid w:val="008A1F85"/>
    <w:rsid w:val="008A4C53"/>
    <w:rsid w:val="008A4E0E"/>
    <w:rsid w:val="008A5C39"/>
    <w:rsid w:val="008A6F63"/>
    <w:rsid w:val="008B1565"/>
    <w:rsid w:val="008B25FA"/>
    <w:rsid w:val="008B3904"/>
    <w:rsid w:val="008B4BCF"/>
    <w:rsid w:val="008B5AEF"/>
    <w:rsid w:val="008B763D"/>
    <w:rsid w:val="008C0927"/>
    <w:rsid w:val="008C0E09"/>
    <w:rsid w:val="008C68FD"/>
    <w:rsid w:val="008D0430"/>
    <w:rsid w:val="008D1381"/>
    <w:rsid w:val="008D1C9A"/>
    <w:rsid w:val="008D201D"/>
    <w:rsid w:val="008D30D3"/>
    <w:rsid w:val="008D41B2"/>
    <w:rsid w:val="008D4211"/>
    <w:rsid w:val="008D425B"/>
    <w:rsid w:val="008D4B65"/>
    <w:rsid w:val="008D65BB"/>
    <w:rsid w:val="008D777F"/>
    <w:rsid w:val="008E1E52"/>
    <w:rsid w:val="008E210F"/>
    <w:rsid w:val="008E28A9"/>
    <w:rsid w:val="008E3FDB"/>
    <w:rsid w:val="008E4E4A"/>
    <w:rsid w:val="008E7079"/>
    <w:rsid w:val="008F0630"/>
    <w:rsid w:val="008F10A8"/>
    <w:rsid w:val="008F1678"/>
    <w:rsid w:val="008F18A3"/>
    <w:rsid w:val="008F1967"/>
    <w:rsid w:val="008F2668"/>
    <w:rsid w:val="008F32B5"/>
    <w:rsid w:val="008F61E0"/>
    <w:rsid w:val="008F7988"/>
    <w:rsid w:val="008F7F60"/>
    <w:rsid w:val="00900291"/>
    <w:rsid w:val="00900A30"/>
    <w:rsid w:val="0090127E"/>
    <w:rsid w:val="00902011"/>
    <w:rsid w:val="00903037"/>
    <w:rsid w:val="00903BDC"/>
    <w:rsid w:val="0090449B"/>
    <w:rsid w:val="00904C9E"/>
    <w:rsid w:val="00907392"/>
    <w:rsid w:val="0091193C"/>
    <w:rsid w:val="009122D2"/>
    <w:rsid w:val="00912CC8"/>
    <w:rsid w:val="009156C0"/>
    <w:rsid w:val="00915C4D"/>
    <w:rsid w:val="00917359"/>
    <w:rsid w:val="00920B18"/>
    <w:rsid w:val="00920D24"/>
    <w:rsid w:val="0092223C"/>
    <w:rsid w:val="00922345"/>
    <w:rsid w:val="009251DE"/>
    <w:rsid w:val="00925F5F"/>
    <w:rsid w:val="009264ED"/>
    <w:rsid w:val="009269D4"/>
    <w:rsid w:val="00931814"/>
    <w:rsid w:val="00932445"/>
    <w:rsid w:val="00932A42"/>
    <w:rsid w:val="00935D12"/>
    <w:rsid w:val="00936FD2"/>
    <w:rsid w:val="00940DD8"/>
    <w:rsid w:val="00944D03"/>
    <w:rsid w:val="009462D2"/>
    <w:rsid w:val="009466FF"/>
    <w:rsid w:val="00947316"/>
    <w:rsid w:val="00947C0D"/>
    <w:rsid w:val="00950026"/>
    <w:rsid w:val="009502C9"/>
    <w:rsid w:val="00950AF3"/>
    <w:rsid w:val="00951A27"/>
    <w:rsid w:val="0095280B"/>
    <w:rsid w:val="00952DFE"/>
    <w:rsid w:val="00953B5B"/>
    <w:rsid w:val="00954BD3"/>
    <w:rsid w:val="00960FEA"/>
    <w:rsid w:val="0096180C"/>
    <w:rsid w:val="00961FA0"/>
    <w:rsid w:val="0096288C"/>
    <w:rsid w:val="00962959"/>
    <w:rsid w:val="009632CE"/>
    <w:rsid w:val="00963B5E"/>
    <w:rsid w:val="0096437B"/>
    <w:rsid w:val="00964466"/>
    <w:rsid w:val="00965E3A"/>
    <w:rsid w:val="00966E64"/>
    <w:rsid w:val="009675EF"/>
    <w:rsid w:val="009713D4"/>
    <w:rsid w:val="00971468"/>
    <w:rsid w:val="00971D55"/>
    <w:rsid w:val="00972ABF"/>
    <w:rsid w:val="00972B28"/>
    <w:rsid w:val="0097611F"/>
    <w:rsid w:val="00976991"/>
    <w:rsid w:val="009800E1"/>
    <w:rsid w:val="009812E9"/>
    <w:rsid w:val="00982985"/>
    <w:rsid w:val="00983410"/>
    <w:rsid w:val="00984582"/>
    <w:rsid w:val="009851ED"/>
    <w:rsid w:val="0098568F"/>
    <w:rsid w:val="00991A76"/>
    <w:rsid w:val="0099301A"/>
    <w:rsid w:val="00993D80"/>
    <w:rsid w:val="00994610"/>
    <w:rsid w:val="00997465"/>
    <w:rsid w:val="009978A9"/>
    <w:rsid w:val="00997990"/>
    <w:rsid w:val="009A262F"/>
    <w:rsid w:val="009A2EB5"/>
    <w:rsid w:val="009A3555"/>
    <w:rsid w:val="009A507A"/>
    <w:rsid w:val="009A732D"/>
    <w:rsid w:val="009A75EF"/>
    <w:rsid w:val="009A79A1"/>
    <w:rsid w:val="009B1352"/>
    <w:rsid w:val="009B1935"/>
    <w:rsid w:val="009B2403"/>
    <w:rsid w:val="009B329C"/>
    <w:rsid w:val="009B3BB0"/>
    <w:rsid w:val="009B42EF"/>
    <w:rsid w:val="009B465E"/>
    <w:rsid w:val="009B7AEB"/>
    <w:rsid w:val="009C25F2"/>
    <w:rsid w:val="009C2DE3"/>
    <w:rsid w:val="009C4DAE"/>
    <w:rsid w:val="009C531F"/>
    <w:rsid w:val="009D13EE"/>
    <w:rsid w:val="009D1C00"/>
    <w:rsid w:val="009D1C90"/>
    <w:rsid w:val="009D1CC1"/>
    <w:rsid w:val="009D2823"/>
    <w:rsid w:val="009D4666"/>
    <w:rsid w:val="009D4EC1"/>
    <w:rsid w:val="009D52DE"/>
    <w:rsid w:val="009D67A7"/>
    <w:rsid w:val="009D78E4"/>
    <w:rsid w:val="009E1E34"/>
    <w:rsid w:val="009E26A9"/>
    <w:rsid w:val="009E3E38"/>
    <w:rsid w:val="009E6542"/>
    <w:rsid w:val="009E6641"/>
    <w:rsid w:val="009E6808"/>
    <w:rsid w:val="009E6D24"/>
    <w:rsid w:val="009F1697"/>
    <w:rsid w:val="009F20F6"/>
    <w:rsid w:val="009F2DA7"/>
    <w:rsid w:val="009F3BC4"/>
    <w:rsid w:val="009F4BFD"/>
    <w:rsid w:val="009F5429"/>
    <w:rsid w:val="00A005C8"/>
    <w:rsid w:val="00A02585"/>
    <w:rsid w:val="00A02FE1"/>
    <w:rsid w:val="00A04D84"/>
    <w:rsid w:val="00A0788E"/>
    <w:rsid w:val="00A13060"/>
    <w:rsid w:val="00A132EA"/>
    <w:rsid w:val="00A14E77"/>
    <w:rsid w:val="00A21786"/>
    <w:rsid w:val="00A22EA0"/>
    <w:rsid w:val="00A24A34"/>
    <w:rsid w:val="00A27AB8"/>
    <w:rsid w:val="00A3243E"/>
    <w:rsid w:val="00A34AD5"/>
    <w:rsid w:val="00A36174"/>
    <w:rsid w:val="00A36777"/>
    <w:rsid w:val="00A36DC0"/>
    <w:rsid w:val="00A414CD"/>
    <w:rsid w:val="00A41E49"/>
    <w:rsid w:val="00A42429"/>
    <w:rsid w:val="00A4275D"/>
    <w:rsid w:val="00A4429F"/>
    <w:rsid w:val="00A4758C"/>
    <w:rsid w:val="00A5020F"/>
    <w:rsid w:val="00A5095D"/>
    <w:rsid w:val="00A513D8"/>
    <w:rsid w:val="00A51586"/>
    <w:rsid w:val="00A54309"/>
    <w:rsid w:val="00A543EB"/>
    <w:rsid w:val="00A5454D"/>
    <w:rsid w:val="00A557BA"/>
    <w:rsid w:val="00A56280"/>
    <w:rsid w:val="00A564BC"/>
    <w:rsid w:val="00A60071"/>
    <w:rsid w:val="00A61C97"/>
    <w:rsid w:val="00A65E52"/>
    <w:rsid w:val="00A66065"/>
    <w:rsid w:val="00A6691D"/>
    <w:rsid w:val="00A66AA4"/>
    <w:rsid w:val="00A66C44"/>
    <w:rsid w:val="00A670AD"/>
    <w:rsid w:val="00A673FF"/>
    <w:rsid w:val="00A67F7C"/>
    <w:rsid w:val="00A71030"/>
    <w:rsid w:val="00A71584"/>
    <w:rsid w:val="00A71FBD"/>
    <w:rsid w:val="00A734D4"/>
    <w:rsid w:val="00A75964"/>
    <w:rsid w:val="00A761F9"/>
    <w:rsid w:val="00A77524"/>
    <w:rsid w:val="00A77EE4"/>
    <w:rsid w:val="00A813B9"/>
    <w:rsid w:val="00A83FFC"/>
    <w:rsid w:val="00A863DA"/>
    <w:rsid w:val="00A902EE"/>
    <w:rsid w:val="00A94675"/>
    <w:rsid w:val="00A955CF"/>
    <w:rsid w:val="00A97BF0"/>
    <w:rsid w:val="00AA0ABB"/>
    <w:rsid w:val="00AA1581"/>
    <w:rsid w:val="00AA16A4"/>
    <w:rsid w:val="00AA4D2B"/>
    <w:rsid w:val="00AA6F01"/>
    <w:rsid w:val="00AA7D38"/>
    <w:rsid w:val="00AB020A"/>
    <w:rsid w:val="00AB257C"/>
    <w:rsid w:val="00AB28E3"/>
    <w:rsid w:val="00AB54E0"/>
    <w:rsid w:val="00AB7231"/>
    <w:rsid w:val="00AC148E"/>
    <w:rsid w:val="00AC50B2"/>
    <w:rsid w:val="00AC5F5A"/>
    <w:rsid w:val="00AD0A47"/>
    <w:rsid w:val="00AD0E3F"/>
    <w:rsid w:val="00AD19B0"/>
    <w:rsid w:val="00AD1BD7"/>
    <w:rsid w:val="00AD24A3"/>
    <w:rsid w:val="00AD42BB"/>
    <w:rsid w:val="00AD494A"/>
    <w:rsid w:val="00AD4C88"/>
    <w:rsid w:val="00AE219C"/>
    <w:rsid w:val="00AF24AD"/>
    <w:rsid w:val="00AF3220"/>
    <w:rsid w:val="00AF4D45"/>
    <w:rsid w:val="00AF4EA7"/>
    <w:rsid w:val="00B00035"/>
    <w:rsid w:val="00B00F0D"/>
    <w:rsid w:val="00B0242A"/>
    <w:rsid w:val="00B02540"/>
    <w:rsid w:val="00B02F46"/>
    <w:rsid w:val="00B056ED"/>
    <w:rsid w:val="00B07BF3"/>
    <w:rsid w:val="00B1019F"/>
    <w:rsid w:val="00B11688"/>
    <w:rsid w:val="00B120C3"/>
    <w:rsid w:val="00B129DE"/>
    <w:rsid w:val="00B12C82"/>
    <w:rsid w:val="00B12EB9"/>
    <w:rsid w:val="00B1374F"/>
    <w:rsid w:val="00B137B5"/>
    <w:rsid w:val="00B1560E"/>
    <w:rsid w:val="00B159C9"/>
    <w:rsid w:val="00B16225"/>
    <w:rsid w:val="00B16CF9"/>
    <w:rsid w:val="00B17261"/>
    <w:rsid w:val="00B20DAC"/>
    <w:rsid w:val="00B20E0A"/>
    <w:rsid w:val="00B2100B"/>
    <w:rsid w:val="00B2275E"/>
    <w:rsid w:val="00B228AE"/>
    <w:rsid w:val="00B23C6D"/>
    <w:rsid w:val="00B25027"/>
    <w:rsid w:val="00B304FE"/>
    <w:rsid w:val="00B311F5"/>
    <w:rsid w:val="00B31F74"/>
    <w:rsid w:val="00B34417"/>
    <w:rsid w:val="00B345ED"/>
    <w:rsid w:val="00B352F8"/>
    <w:rsid w:val="00B4029B"/>
    <w:rsid w:val="00B407CF"/>
    <w:rsid w:val="00B40DF5"/>
    <w:rsid w:val="00B43178"/>
    <w:rsid w:val="00B43CF2"/>
    <w:rsid w:val="00B44F01"/>
    <w:rsid w:val="00B45477"/>
    <w:rsid w:val="00B54DF6"/>
    <w:rsid w:val="00B55FBE"/>
    <w:rsid w:val="00B57904"/>
    <w:rsid w:val="00B60F04"/>
    <w:rsid w:val="00B61FC7"/>
    <w:rsid w:val="00B626FE"/>
    <w:rsid w:val="00B63839"/>
    <w:rsid w:val="00B65EB1"/>
    <w:rsid w:val="00B67BC3"/>
    <w:rsid w:val="00B71B49"/>
    <w:rsid w:val="00B734DD"/>
    <w:rsid w:val="00B7353C"/>
    <w:rsid w:val="00B75A09"/>
    <w:rsid w:val="00B75CCA"/>
    <w:rsid w:val="00B769B5"/>
    <w:rsid w:val="00B776AD"/>
    <w:rsid w:val="00B81185"/>
    <w:rsid w:val="00B81C87"/>
    <w:rsid w:val="00B829CC"/>
    <w:rsid w:val="00B8413D"/>
    <w:rsid w:val="00B841F8"/>
    <w:rsid w:val="00B84FBC"/>
    <w:rsid w:val="00B87275"/>
    <w:rsid w:val="00B87F41"/>
    <w:rsid w:val="00B902DE"/>
    <w:rsid w:val="00B91B04"/>
    <w:rsid w:val="00B92D88"/>
    <w:rsid w:val="00B92DDF"/>
    <w:rsid w:val="00B94718"/>
    <w:rsid w:val="00B94C47"/>
    <w:rsid w:val="00B977BC"/>
    <w:rsid w:val="00BA028E"/>
    <w:rsid w:val="00BA2269"/>
    <w:rsid w:val="00BA3768"/>
    <w:rsid w:val="00BA5BE0"/>
    <w:rsid w:val="00BA606C"/>
    <w:rsid w:val="00BB0294"/>
    <w:rsid w:val="00BB1976"/>
    <w:rsid w:val="00BB38E8"/>
    <w:rsid w:val="00BB52E1"/>
    <w:rsid w:val="00BB67F0"/>
    <w:rsid w:val="00BB7BA5"/>
    <w:rsid w:val="00BC04B3"/>
    <w:rsid w:val="00BC2635"/>
    <w:rsid w:val="00BC6D55"/>
    <w:rsid w:val="00BC722D"/>
    <w:rsid w:val="00BD163D"/>
    <w:rsid w:val="00BD1A45"/>
    <w:rsid w:val="00BD25C4"/>
    <w:rsid w:val="00BD44D3"/>
    <w:rsid w:val="00BD641C"/>
    <w:rsid w:val="00BE1CD5"/>
    <w:rsid w:val="00BE2C5E"/>
    <w:rsid w:val="00BE31DD"/>
    <w:rsid w:val="00BE6ACF"/>
    <w:rsid w:val="00BE7027"/>
    <w:rsid w:val="00BE7AA4"/>
    <w:rsid w:val="00BF041C"/>
    <w:rsid w:val="00BF0F09"/>
    <w:rsid w:val="00BF12D1"/>
    <w:rsid w:val="00BF1D25"/>
    <w:rsid w:val="00BF228B"/>
    <w:rsid w:val="00BF31CC"/>
    <w:rsid w:val="00BF56CA"/>
    <w:rsid w:val="00BF56D7"/>
    <w:rsid w:val="00BF7634"/>
    <w:rsid w:val="00BF78F9"/>
    <w:rsid w:val="00C00C8B"/>
    <w:rsid w:val="00C024A6"/>
    <w:rsid w:val="00C04AEA"/>
    <w:rsid w:val="00C057FB"/>
    <w:rsid w:val="00C06439"/>
    <w:rsid w:val="00C06BF2"/>
    <w:rsid w:val="00C06D5F"/>
    <w:rsid w:val="00C07DDB"/>
    <w:rsid w:val="00C1121C"/>
    <w:rsid w:val="00C117A9"/>
    <w:rsid w:val="00C124B4"/>
    <w:rsid w:val="00C12D0F"/>
    <w:rsid w:val="00C135C5"/>
    <w:rsid w:val="00C13875"/>
    <w:rsid w:val="00C1667C"/>
    <w:rsid w:val="00C20297"/>
    <w:rsid w:val="00C2198B"/>
    <w:rsid w:val="00C2381A"/>
    <w:rsid w:val="00C23AE7"/>
    <w:rsid w:val="00C2490C"/>
    <w:rsid w:val="00C24AC6"/>
    <w:rsid w:val="00C263E1"/>
    <w:rsid w:val="00C306F3"/>
    <w:rsid w:val="00C342C6"/>
    <w:rsid w:val="00C36811"/>
    <w:rsid w:val="00C4342A"/>
    <w:rsid w:val="00C43915"/>
    <w:rsid w:val="00C43CEE"/>
    <w:rsid w:val="00C4410D"/>
    <w:rsid w:val="00C46569"/>
    <w:rsid w:val="00C47E47"/>
    <w:rsid w:val="00C507DF"/>
    <w:rsid w:val="00C51B59"/>
    <w:rsid w:val="00C5306B"/>
    <w:rsid w:val="00C53B31"/>
    <w:rsid w:val="00C55FA0"/>
    <w:rsid w:val="00C56F90"/>
    <w:rsid w:val="00C6054F"/>
    <w:rsid w:val="00C60C30"/>
    <w:rsid w:val="00C64146"/>
    <w:rsid w:val="00C66604"/>
    <w:rsid w:val="00C674BF"/>
    <w:rsid w:val="00C67F30"/>
    <w:rsid w:val="00C7352D"/>
    <w:rsid w:val="00C74C88"/>
    <w:rsid w:val="00C75F5C"/>
    <w:rsid w:val="00C7647E"/>
    <w:rsid w:val="00C76C7D"/>
    <w:rsid w:val="00C802AD"/>
    <w:rsid w:val="00C807B2"/>
    <w:rsid w:val="00C81774"/>
    <w:rsid w:val="00C81A00"/>
    <w:rsid w:val="00C82B4A"/>
    <w:rsid w:val="00C8313A"/>
    <w:rsid w:val="00C845E4"/>
    <w:rsid w:val="00C85BA6"/>
    <w:rsid w:val="00C85F21"/>
    <w:rsid w:val="00C9009A"/>
    <w:rsid w:val="00C9112E"/>
    <w:rsid w:val="00C91405"/>
    <w:rsid w:val="00C947B8"/>
    <w:rsid w:val="00C95937"/>
    <w:rsid w:val="00C96CDF"/>
    <w:rsid w:val="00C97119"/>
    <w:rsid w:val="00CA05C7"/>
    <w:rsid w:val="00CA2BD0"/>
    <w:rsid w:val="00CA43B2"/>
    <w:rsid w:val="00CA57AD"/>
    <w:rsid w:val="00CA59A9"/>
    <w:rsid w:val="00CB2A01"/>
    <w:rsid w:val="00CB5085"/>
    <w:rsid w:val="00CB5EC2"/>
    <w:rsid w:val="00CB744E"/>
    <w:rsid w:val="00CB7E64"/>
    <w:rsid w:val="00CC2546"/>
    <w:rsid w:val="00CC3A0C"/>
    <w:rsid w:val="00CC3D5B"/>
    <w:rsid w:val="00CC3F3B"/>
    <w:rsid w:val="00CC4B85"/>
    <w:rsid w:val="00CC571C"/>
    <w:rsid w:val="00CC7BE6"/>
    <w:rsid w:val="00CD06FA"/>
    <w:rsid w:val="00CD07C7"/>
    <w:rsid w:val="00CD10B5"/>
    <w:rsid w:val="00CD305B"/>
    <w:rsid w:val="00CD3911"/>
    <w:rsid w:val="00CD4C21"/>
    <w:rsid w:val="00CE0C01"/>
    <w:rsid w:val="00CE1473"/>
    <w:rsid w:val="00CE7124"/>
    <w:rsid w:val="00CE7161"/>
    <w:rsid w:val="00CF2790"/>
    <w:rsid w:val="00CF2D01"/>
    <w:rsid w:val="00CF330C"/>
    <w:rsid w:val="00CF5D16"/>
    <w:rsid w:val="00CF5FC3"/>
    <w:rsid w:val="00D02303"/>
    <w:rsid w:val="00D04B64"/>
    <w:rsid w:val="00D05023"/>
    <w:rsid w:val="00D07AB8"/>
    <w:rsid w:val="00D07F25"/>
    <w:rsid w:val="00D11028"/>
    <w:rsid w:val="00D11B9F"/>
    <w:rsid w:val="00D11DF1"/>
    <w:rsid w:val="00D12F56"/>
    <w:rsid w:val="00D14BD1"/>
    <w:rsid w:val="00D157E4"/>
    <w:rsid w:val="00D16AC2"/>
    <w:rsid w:val="00D16ED3"/>
    <w:rsid w:val="00D17441"/>
    <w:rsid w:val="00D174A3"/>
    <w:rsid w:val="00D17695"/>
    <w:rsid w:val="00D20A56"/>
    <w:rsid w:val="00D21CE0"/>
    <w:rsid w:val="00D225C1"/>
    <w:rsid w:val="00D227A4"/>
    <w:rsid w:val="00D227E3"/>
    <w:rsid w:val="00D23E0D"/>
    <w:rsid w:val="00D25E4B"/>
    <w:rsid w:val="00D2647C"/>
    <w:rsid w:val="00D264D4"/>
    <w:rsid w:val="00D279EC"/>
    <w:rsid w:val="00D30840"/>
    <w:rsid w:val="00D31779"/>
    <w:rsid w:val="00D3415A"/>
    <w:rsid w:val="00D346F9"/>
    <w:rsid w:val="00D34704"/>
    <w:rsid w:val="00D3553C"/>
    <w:rsid w:val="00D36354"/>
    <w:rsid w:val="00D36A2B"/>
    <w:rsid w:val="00D36C0F"/>
    <w:rsid w:val="00D374CA"/>
    <w:rsid w:val="00D40709"/>
    <w:rsid w:val="00D42597"/>
    <w:rsid w:val="00D42AD4"/>
    <w:rsid w:val="00D42C7C"/>
    <w:rsid w:val="00D4417B"/>
    <w:rsid w:val="00D44538"/>
    <w:rsid w:val="00D4531C"/>
    <w:rsid w:val="00D46E53"/>
    <w:rsid w:val="00D50242"/>
    <w:rsid w:val="00D50D5B"/>
    <w:rsid w:val="00D5247A"/>
    <w:rsid w:val="00D54A4F"/>
    <w:rsid w:val="00D55AF7"/>
    <w:rsid w:val="00D55C14"/>
    <w:rsid w:val="00D579AC"/>
    <w:rsid w:val="00D57A3F"/>
    <w:rsid w:val="00D6511E"/>
    <w:rsid w:val="00D67AF8"/>
    <w:rsid w:val="00D7212B"/>
    <w:rsid w:val="00D737BF"/>
    <w:rsid w:val="00D73AD3"/>
    <w:rsid w:val="00D765D1"/>
    <w:rsid w:val="00D819A5"/>
    <w:rsid w:val="00D81C86"/>
    <w:rsid w:val="00D8423C"/>
    <w:rsid w:val="00D85362"/>
    <w:rsid w:val="00D8664A"/>
    <w:rsid w:val="00D86CA6"/>
    <w:rsid w:val="00D86F91"/>
    <w:rsid w:val="00D87C17"/>
    <w:rsid w:val="00D90DBF"/>
    <w:rsid w:val="00D90FF8"/>
    <w:rsid w:val="00D921AC"/>
    <w:rsid w:val="00D951A4"/>
    <w:rsid w:val="00D97E7F"/>
    <w:rsid w:val="00DA0A30"/>
    <w:rsid w:val="00DA2C03"/>
    <w:rsid w:val="00DA76F9"/>
    <w:rsid w:val="00DB12FF"/>
    <w:rsid w:val="00DB187E"/>
    <w:rsid w:val="00DB2406"/>
    <w:rsid w:val="00DB2C52"/>
    <w:rsid w:val="00DB53DA"/>
    <w:rsid w:val="00DB5AE5"/>
    <w:rsid w:val="00DB5D12"/>
    <w:rsid w:val="00DB66C2"/>
    <w:rsid w:val="00DB6A9E"/>
    <w:rsid w:val="00DB7D2E"/>
    <w:rsid w:val="00DC0F33"/>
    <w:rsid w:val="00DC1F43"/>
    <w:rsid w:val="00DC3ED6"/>
    <w:rsid w:val="00DC5A66"/>
    <w:rsid w:val="00DC7849"/>
    <w:rsid w:val="00DC79F5"/>
    <w:rsid w:val="00DD0700"/>
    <w:rsid w:val="00DD246C"/>
    <w:rsid w:val="00DD3899"/>
    <w:rsid w:val="00DD4C29"/>
    <w:rsid w:val="00DD6B44"/>
    <w:rsid w:val="00DD7626"/>
    <w:rsid w:val="00DE03EA"/>
    <w:rsid w:val="00DE075F"/>
    <w:rsid w:val="00DE2667"/>
    <w:rsid w:val="00DE33C0"/>
    <w:rsid w:val="00DE7033"/>
    <w:rsid w:val="00DF282D"/>
    <w:rsid w:val="00DF2D58"/>
    <w:rsid w:val="00DF4C0B"/>
    <w:rsid w:val="00DF7C1B"/>
    <w:rsid w:val="00E00482"/>
    <w:rsid w:val="00E010EA"/>
    <w:rsid w:val="00E02359"/>
    <w:rsid w:val="00E02416"/>
    <w:rsid w:val="00E053C1"/>
    <w:rsid w:val="00E07B8F"/>
    <w:rsid w:val="00E11DC9"/>
    <w:rsid w:val="00E12445"/>
    <w:rsid w:val="00E15959"/>
    <w:rsid w:val="00E1705A"/>
    <w:rsid w:val="00E21FBD"/>
    <w:rsid w:val="00E22906"/>
    <w:rsid w:val="00E2465F"/>
    <w:rsid w:val="00E24996"/>
    <w:rsid w:val="00E253D0"/>
    <w:rsid w:val="00E266A7"/>
    <w:rsid w:val="00E30C40"/>
    <w:rsid w:val="00E314DE"/>
    <w:rsid w:val="00E31A42"/>
    <w:rsid w:val="00E32274"/>
    <w:rsid w:val="00E33448"/>
    <w:rsid w:val="00E33DD3"/>
    <w:rsid w:val="00E36D73"/>
    <w:rsid w:val="00E371E1"/>
    <w:rsid w:val="00E37866"/>
    <w:rsid w:val="00E4216D"/>
    <w:rsid w:val="00E4435B"/>
    <w:rsid w:val="00E460E9"/>
    <w:rsid w:val="00E4703F"/>
    <w:rsid w:val="00E47FA5"/>
    <w:rsid w:val="00E5077A"/>
    <w:rsid w:val="00E50FCF"/>
    <w:rsid w:val="00E54FE0"/>
    <w:rsid w:val="00E55979"/>
    <w:rsid w:val="00E56A2D"/>
    <w:rsid w:val="00E57266"/>
    <w:rsid w:val="00E6131A"/>
    <w:rsid w:val="00E6274B"/>
    <w:rsid w:val="00E64973"/>
    <w:rsid w:val="00E67752"/>
    <w:rsid w:val="00E709E2"/>
    <w:rsid w:val="00E70EF8"/>
    <w:rsid w:val="00E7178F"/>
    <w:rsid w:val="00E73C10"/>
    <w:rsid w:val="00E73D27"/>
    <w:rsid w:val="00E74785"/>
    <w:rsid w:val="00E74E8D"/>
    <w:rsid w:val="00E75579"/>
    <w:rsid w:val="00E75CFF"/>
    <w:rsid w:val="00E75FDB"/>
    <w:rsid w:val="00E8002F"/>
    <w:rsid w:val="00E80238"/>
    <w:rsid w:val="00E8692C"/>
    <w:rsid w:val="00E87882"/>
    <w:rsid w:val="00E90F67"/>
    <w:rsid w:val="00E93424"/>
    <w:rsid w:val="00E940A2"/>
    <w:rsid w:val="00E958A1"/>
    <w:rsid w:val="00EA161D"/>
    <w:rsid w:val="00EA17CE"/>
    <w:rsid w:val="00EA1E79"/>
    <w:rsid w:val="00EA4EA9"/>
    <w:rsid w:val="00EB044D"/>
    <w:rsid w:val="00EB0D49"/>
    <w:rsid w:val="00EB156D"/>
    <w:rsid w:val="00EB1575"/>
    <w:rsid w:val="00EB3DEB"/>
    <w:rsid w:val="00EB40CE"/>
    <w:rsid w:val="00EB50C5"/>
    <w:rsid w:val="00EC15E7"/>
    <w:rsid w:val="00EC406E"/>
    <w:rsid w:val="00EC5092"/>
    <w:rsid w:val="00ED091E"/>
    <w:rsid w:val="00ED28DC"/>
    <w:rsid w:val="00ED29E5"/>
    <w:rsid w:val="00ED2DCF"/>
    <w:rsid w:val="00ED4179"/>
    <w:rsid w:val="00ED6ED7"/>
    <w:rsid w:val="00EE058E"/>
    <w:rsid w:val="00EE0C01"/>
    <w:rsid w:val="00EE1FEA"/>
    <w:rsid w:val="00EE204D"/>
    <w:rsid w:val="00EE2657"/>
    <w:rsid w:val="00EE305E"/>
    <w:rsid w:val="00EE6266"/>
    <w:rsid w:val="00EE629E"/>
    <w:rsid w:val="00EE6A5A"/>
    <w:rsid w:val="00EF2E90"/>
    <w:rsid w:val="00EF3267"/>
    <w:rsid w:val="00EF5D16"/>
    <w:rsid w:val="00EF5F21"/>
    <w:rsid w:val="00EF696B"/>
    <w:rsid w:val="00EF7450"/>
    <w:rsid w:val="00EF748A"/>
    <w:rsid w:val="00F01A28"/>
    <w:rsid w:val="00F04233"/>
    <w:rsid w:val="00F0635E"/>
    <w:rsid w:val="00F064B5"/>
    <w:rsid w:val="00F0660B"/>
    <w:rsid w:val="00F07205"/>
    <w:rsid w:val="00F078F1"/>
    <w:rsid w:val="00F103A9"/>
    <w:rsid w:val="00F10BE7"/>
    <w:rsid w:val="00F11B85"/>
    <w:rsid w:val="00F146AD"/>
    <w:rsid w:val="00F14BB5"/>
    <w:rsid w:val="00F14D4B"/>
    <w:rsid w:val="00F15F8B"/>
    <w:rsid w:val="00F177D0"/>
    <w:rsid w:val="00F20002"/>
    <w:rsid w:val="00F201FD"/>
    <w:rsid w:val="00F21021"/>
    <w:rsid w:val="00F216C0"/>
    <w:rsid w:val="00F22B47"/>
    <w:rsid w:val="00F26226"/>
    <w:rsid w:val="00F30750"/>
    <w:rsid w:val="00F3325E"/>
    <w:rsid w:val="00F34C83"/>
    <w:rsid w:val="00F36711"/>
    <w:rsid w:val="00F3703B"/>
    <w:rsid w:val="00F37BA2"/>
    <w:rsid w:val="00F4176D"/>
    <w:rsid w:val="00F42461"/>
    <w:rsid w:val="00F4514D"/>
    <w:rsid w:val="00F467FF"/>
    <w:rsid w:val="00F4693C"/>
    <w:rsid w:val="00F4701F"/>
    <w:rsid w:val="00F470A5"/>
    <w:rsid w:val="00F50491"/>
    <w:rsid w:val="00F513A3"/>
    <w:rsid w:val="00F52385"/>
    <w:rsid w:val="00F52688"/>
    <w:rsid w:val="00F53AAC"/>
    <w:rsid w:val="00F53E1A"/>
    <w:rsid w:val="00F557BA"/>
    <w:rsid w:val="00F57121"/>
    <w:rsid w:val="00F60C7A"/>
    <w:rsid w:val="00F63033"/>
    <w:rsid w:val="00F64EA5"/>
    <w:rsid w:val="00F65BA3"/>
    <w:rsid w:val="00F67F1B"/>
    <w:rsid w:val="00F708F0"/>
    <w:rsid w:val="00F7103A"/>
    <w:rsid w:val="00F72953"/>
    <w:rsid w:val="00F73060"/>
    <w:rsid w:val="00F738EE"/>
    <w:rsid w:val="00F73BBA"/>
    <w:rsid w:val="00F7447D"/>
    <w:rsid w:val="00F74E58"/>
    <w:rsid w:val="00F760DF"/>
    <w:rsid w:val="00F80F78"/>
    <w:rsid w:val="00F80FAC"/>
    <w:rsid w:val="00F816FD"/>
    <w:rsid w:val="00F85822"/>
    <w:rsid w:val="00F86D06"/>
    <w:rsid w:val="00F90225"/>
    <w:rsid w:val="00F9133D"/>
    <w:rsid w:val="00F91752"/>
    <w:rsid w:val="00F93767"/>
    <w:rsid w:val="00F939F8"/>
    <w:rsid w:val="00F965DA"/>
    <w:rsid w:val="00F97277"/>
    <w:rsid w:val="00F97829"/>
    <w:rsid w:val="00F97BC3"/>
    <w:rsid w:val="00FA028A"/>
    <w:rsid w:val="00FA0F3A"/>
    <w:rsid w:val="00FA1F36"/>
    <w:rsid w:val="00FA2580"/>
    <w:rsid w:val="00FA42C2"/>
    <w:rsid w:val="00FB2626"/>
    <w:rsid w:val="00FB300D"/>
    <w:rsid w:val="00FB4ABD"/>
    <w:rsid w:val="00FB50E3"/>
    <w:rsid w:val="00FB542E"/>
    <w:rsid w:val="00FB5CD6"/>
    <w:rsid w:val="00FC0ED1"/>
    <w:rsid w:val="00FC1187"/>
    <w:rsid w:val="00FC1B89"/>
    <w:rsid w:val="00FC24B9"/>
    <w:rsid w:val="00FC2980"/>
    <w:rsid w:val="00FC4403"/>
    <w:rsid w:val="00FC445D"/>
    <w:rsid w:val="00FC6430"/>
    <w:rsid w:val="00FC67BA"/>
    <w:rsid w:val="00FC6CEA"/>
    <w:rsid w:val="00FD1065"/>
    <w:rsid w:val="00FD406A"/>
    <w:rsid w:val="00FD61E6"/>
    <w:rsid w:val="00FE0ACF"/>
    <w:rsid w:val="00FE0EA6"/>
    <w:rsid w:val="00FE0EAE"/>
    <w:rsid w:val="00FE1BE0"/>
    <w:rsid w:val="00FE2536"/>
    <w:rsid w:val="00FE27E8"/>
    <w:rsid w:val="00FE6B41"/>
    <w:rsid w:val="00FE7FB8"/>
    <w:rsid w:val="00FF1DF2"/>
    <w:rsid w:val="00FF210F"/>
    <w:rsid w:val="00FF2AF9"/>
    <w:rsid w:val="00FF3134"/>
    <w:rsid w:val="00FF31BD"/>
    <w:rsid w:val="00FF46E7"/>
    <w:rsid w:val="00FF4912"/>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C1"/>
    <w:pPr>
      <w:widowControl w:val="0"/>
      <w:spacing w:after="200" w:line="276" w:lineRule="auto"/>
    </w:pPr>
    <w:rPr>
      <w:sz w:val="24"/>
      <w:szCs w:val="24"/>
    </w:rPr>
  </w:style>
  <w:style w:type="paragraph" w:styleId="Heading1">
    <w:name w:val="heading 1"/>
    <w:basedOn w:val="Normal"/>
    <w:next w:val="Normal"/>
    <w:link w:val="Heading1Char"/>
    <w:autoRedefine/>
    <w:qFormat/>
    <w:rsid w:val="00CD3911"/>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0"/>
    </w:pPr>
    <w:rPr>
      <w:rFonts w:ascii="Cambria Math" w:hAnsi="Cambria Math" w:cs="Times New Roman"/>
      <w:b/>
      <w:spacing w:val="-3"/>
      <w:sz w:val="28"/>
      <w:szCs w:val="20"/>
      <w:u w:val="single"/>
    </w:rPr>
  </w:style>
  <w:style w:type="paragraph" w:styleId="Heading2">
    <w:name w:val="heading 2"/>
    <w:basedOn w:val="Normal"/>
    <w:next w:val="Normal"/>
    <w:link w:val="Heading2Char"/>
    <w:autoRedefine/>
    <w:qFormat/>
    <w:rsid w:val="00E37866"/>
    <w:pPr>
      <w:keepNext/>
      <w:widowControl/>
      <w:tabs>
        <w:tab w:val="left" w:pos="-1440"/>
        <w:tab w:val="left" w:pos="-720"/>
        <w:tab w:val="left" w:pos="0"/>
        <w:tab w:val="left" w:pos="1080"/>
        <w:tab w:val="left" w:pos="1440"/>
      </w:tabs>
      <w:suppressAutoHyphens/>
      <w:overflowPunct w:val="0"/>
      <w:autoSpaceDE w:val="0"/>
      <w:autoSpaceDN w:val="0"/>
      <w:adjustRightInd w:val="0"/>
      <w:spacing w:after="0"/>
      <w:jc w:val="both"/>
      <w:textAlignment w:val="baseline"/>
      <w:outlineLvl w:val="1"/>
    </w:pPr>
    <w:rPr>
      <w:b/>
      <w:i/>
      <w:spacing w:val="-3"/>
      <w:szCs w:val="20"/>
    </w:rPr>
  </w:style>
  <w:style w:type="paragraph" w:styleId="Heading3">
    <w:name w:val="heading 3"/>
    <w:basedOn w:val="Normal"/>
    <w:next w:val="Normal"/>
    <w:link w:val="Heading3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2"/>
    </w:pPr>
    <w:rPr>
      <w:rFonts w:cs="Times New Roman"/>
      <w:spacing w:val="-3"/>
      <w:sz w:val="28"/>
      <w:szCs w:val="20"/>
    </w:rPr>
  </w:style>
  <w:style w:type="paragraph" w:styleId="Heading4">
    <w:name w:val="heading 4"/>
    <w:basedOn w:val="Normal"/>
    <w:next w:val="Normal"/>
    <w:link w:val="Heading4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3"/>
    </w:pPr>
    <w:rPr>
      <w:rFonts w:cs="Times New Roman"/>
      <w:spacing w:val="-3"/>
      <w:sz w:val="28"/>
      <w:szCs w:val="20"/>
    </w:rPr>
  </w:style>
  <w:style w:type="paragraph" w:styleId="Heading5">
    <w:name w:val="heading 5"/>
    <w:basedOn w:val="Normal"/>
    <w:next w:val="Normal"/>
    <w:link w:val="Heading5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4"/>
    </w:pPr>
    <w:rPr>
      <w:rFonts w:cs="Times New Roman"/>
      <w:b/>
      <w:spacing w:val="-3"/>
      <w:sz w:val="28"/>
      <w:szCs w:val="20"/>
      <w:u w:val="single"/>
    </w:rPr>
  </w:style>
  <w:style w:type="paragraph" w:styleId="Heading6">
    <w:name w:val="heading 6"/>
    <w:basedOn w:val="Normal"/>
    <w:next w:val="Normal"/>
    <w:link w:val="Heading6Char"/>
    <w:qFormat/>
    <w:rsid w:val="00595C63"/>
    <w:pPr>
      <w:keepNext/>
      <w:widowControl/>
      <w:tabs>
        <w:tab w:val="left" w:pos="-1440"/>
        <w:tab w:val="left" w:pos="-720"/>
        <w:tab w:val="left" w:pos="0"/>
        <w:tab w:val="left" w:pos="1080"/>
        <w:tab w:val="left" w:pos="1440"/>
        <w:tab w:val="left" w:pos="4320"/>
      </w:tabs>
      <w:suppressAutoHyphens/>
      <w:overflowPunct w:val="0"/>
      <w:autoSpaceDE w:val="0"/>
      <w:autoSpaceDN w:val="0"/>
      <w:adjustRightInd w:val="0"/>
      <w:spacing w:after="0" w:line="240" w:lineRule="auto"/>
      <w:jc w:val="both"/>
      <w:textAlignment w:val="baseline"/>
      <w:outlineLvl w:val="5"/>
    </w:pPr>
    <w:rPr>
      <w:rFonts w:cs="Times New Roman"/>
      <w:b/>
      <w:spacing w:val="-3"/>
      <w:szCs w:val="20"/>
    </w:rPr>
  </w:style>
  <w:style w:type="paragraph" w:styleId="Heading7">
    <w:name w:val="heading 7"/>
    <w:basedOn w:val="Normal"/>
    <w:next w:val="Normal"/>
    <w:link w:val="Heading7Char"/>
    <w:qFormat/>
    <w:rsid w:val="00595C63"/>
    <w:pPr>
      <w:keepNext/>
      <w:widowControl/>
      <w:tabs>
        <w:tab w:val="center" w:pos="4680"/>
      </w:tabs>
      <w:suppressAutoHyphens/>
      <w:overflowPunct w:val="0"/>
      <w:autoSpaceDE w:val="0"/>
      <w:autoSpaceDN w:val="0"/>
      <w:adjustRightInd w:val="0"/>
      <w:spacing w:after="0" w:line="240" w:lineRule="auto"/>
      <w:jc w:val="center"/>
      <w:textAlignment w:val="baseline"/>
      <w:outlineLvl w:val="6"/>
    </w:pPr>
    <w:rPr>
      <w:rFonts w:cs="Times New Roman"/>
      <w:b/>
      <w:spacing w:val="-3"/>
      <w:szCs w:val="20"/>
    </w:rPr>
  </w:style>
  <w:style w:type="paragraph" w:styleId="Heading8">
    <w:name w:val="heading 8"/>
    <w:basedOn w:val="Normal"/>
    <w:next w:val="Normal"/>
    <w:link w:val="Heading8Char"/>
    <w:qFormat/>
    <w:rsid w:val="00595C63"/>
    <w:pPr>
      <w:keepNext/>
      <w:widowControl/>
      <w:numPr>
        <w:ilvl w:val="12"/>
      </w:numPr>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7"/>
    </w:pPr>
    <w:rPr>
      <w:rFonts w:cs="Times New Roman"/>
      <w:bCs/>
      <w:i/>
      <w:iCs/>
      <w:spacing w:val="-3"/>
      <w:szCs w:val="20"/>
      <w:u w:val="single"/>
    </w:rPr>
  </w:style>
  <w:style w:type="paragraph" w:styleId="Heading9">
    <w:name w:val="heading 9"/>
    <w:basedOn w:val="Normal"/>
    <w:next w:val="Normal"/>
    <w:link w:val="Heading9Char"/>
    <w:qFormat/>
    <w:rsid w:val="00595C63"/>
    <w:pPr>
      <w:keepNext/>
      <w:keepLines/>
      <w:widowControl/>
      <w:spacing w:after="120" w:line="240" w:lineRule="auto"/>
      <w:jc w:val="center"/>
      <w:outlineLvl w:val="8"/>
    </w:pPr>
    <w:rPr>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911"/>
    <w:rPr>
      <w:rFonts w:ascii="Cambria Math" w:hAnsi="Cambria Math" w:cs="Times New Roman"/>
      <w:b/>
      <w:spacing w:val="-3"/>
      <w:sz w:val="28"/>
      <w:u w:val="single"/>
    </w:rPr>
  </w:style>
  <w:style w:type="character" w:customStyle="1" w:styleId="Heading2Char">
    <w:name w:val="Heading 2 Char"/>
    <w:basedOn w:val="DefaultParagraphFont"/>
    <w:link w:val="Heading2"/>
    <w:rsid w:val="00E37866"/>
    <w:rPr>
      <w:b/>
      <w:i/>
      <w:spacing w:val="-3"/>
      <w:sz w:val="24"/>
    </w:rPr>
  </w:style>
  <w:style w:type="character" w:customStyle="1" w:styleId="Heading3Char">
    <w:name w:val="Heading 3 Char"/>
    <w:basedOn w:val="DefaultParagraphFont"/>
    <w:link w:val="Heading3"/>
    <w:rsid w:val="00595C63"/>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595C63"/>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595C63"/>
    <w:rPr>
      <w:rFonts w:ascii="Arial" w:eastAsia="Times New Roman" w:hAnsi="Arial" w:cs="Times New Roman"/>
      <w:b/>
      <w:spacing w:val="-3"/>
      <w:sz w:val="28"/>
      <w:szCs w:val="20"/>
      <w:u w:val="single"/>
    </w:rPr>
  </w:style>
  <w:style w:type="character" w:customStyle="1" w:styleId="Heading6Char">
    <w:name w:val="Heading 6 Char"/>
    <w:basedOn w:val="DefaultParagraphFont"/>
    <w:link w:val="Heading6"/>
    <w:rsid w:val="00595C63"/>
    <w:rPr>
      <w:rFonts w:ascii="Arial" w:eastAsia="Times New Roman" w:hAnsi="Arial" w:cs="Times New Roman"/>
      <w:b/>
      <w:spacing w:val="-3"/>
      <w:sz w:val="24"/>
      <w:szCs w:val="20"/>
    </w:rPr>
  </w:style>
  <w:style w:type="character" w:customStyle="1" w:styleId="Heading7Char">
    <w:name w:val="Heading 7 Char"/>
    <w:basedOn w:val="DefaultParagraphFont"/>
    <w:link w:val="Heading7"/>
    <w:rsid w:val="00595C63"/>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595C63"/>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595C63"/>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FA028A"/>
    <w:rPr>
      <w:sz w:val="16"/>
      <w:szCs w:val="16"/>
    </w:rPr>
  </w:style>
  <w:style w:type="paragraph" w:styleId="CommentText">
    <w:name w:val="annotation text"/>
    <w:basedOn w:val="Normal"/>
    <w:link w:val="CommentTextChar"/>
    <w:uiPriority w:val="99"/>
    <w:semiHidden/>
    <w:unhideWhenUsed/>
    <w:rsid w:val="00FA028A"/>
    <w:pPr>
      <w:spacing w:line="240" w:lineRule="auto"/>
    </w:pPr>
    <w:rPr>
      <w:sz w:val="20"/>
      <w:szCs w:val="20"/>
    </w:rPr>
  </w:style>
  <w:style w:type="character" w:customStyle="1" w:styleId="CommentTextChar">
    <w:name w:val="Comment Text Char"/>
    <w:basedOn w:val="DefaultParagraphFont"/>
    <w:link w:val="CommentText"/>
    <w:uiPriority w:val="99"/>
    <w:semiHidden/>
    <w:rsid w:val="00FA028A"/>
    <w:rPr>
      <w:sz w:val="20"/>
      <w:szCs w:val="20"/>
    </w:rPr>
  </w:style>
  <w:style w:type="paragraph" w:styleId="CommentSubject">
    <w:name w:val="annotation subject"/>
    <w:basedOn w:val="CommentText"/>
    <w:next w:val="CommentText"/>
    <w:link w:val="CommentSubjectChar"/>
    <w:semiHidden/>
    <w:unhideWhenUsed/>
    <w:rsid w:val="00FA028A"/>
    <w:rPr>
      <w:b/>
      <w:bCs/>
    </w:rPr>
  </w:style>
  <w:style w:type="character" w:customStyle="1" w:styleId="CommentSubjectChar">
    <w:name w:val="Comment Subject Char"/>
    <w:basedOn w:val="CommentTextChar"/>
    <w:link w:val="CommentSubject"/>
    <w:semiHidden/>
    <w:rsid w:val="00FA028A"/>
    <w:rPr>
      <w:b/>
      <w:bCs/>
      <w:sz w:val="20"/>
      <w:szCs w:val="20"/>
    </w:rPr>
  </w:style>
  <w:style w:type="paragraph" w:styleId="BalloonText">
    <w:name w:val="Balloon Text"/>
    <w:basedOn w:val="Normal"/>
    <w:link w:val="BalloonTextChar"/>
    <w:uiPriority w:val="99"/>
    <w:semiHidden/>
    <w:unhideWhenUsed/>
    <w:rsid w:val="00FA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8A"/>
    <w:rPr>
      <w:rFonts w:ascii="Tahoma" w:hAnsi="Tahoma" w:cs="Tahoma"/>
      <w:sz w:val="16"/>
      <w:szCs w:val="16"/>
    </w:rPr>
  </w:style>
  <w:style w:type="paragraph" w:styleId="NoSpacing">
    <w:name w:val="No Spacing"/>
    <w:link w:val="NoSpacingChar"/>
    <w:uiPriority w:val="1"/>
    <w:qFormat/>
    <w:rsid w:val="00D90DBF"/>
    <w:rPr>
      <w:sz w:val="24"/>
      <w:szCs w:val="24"/>
    </w:rPr>
  </w:style>
  <w:style w:type="character" w:customStyle="1" w:styleId="NoSpacingChar">
    <w:name w:val="No Spacing Char"/>
    <w:basedOn w:val="DefaultParagraphFont"/>
    <w:link w:val="NoSpacing"/>
    <w:uiPriority w:val="1"/>
    <w:rsid w:val="00595C63"/>
    <w:rPr>
      <w:sz w:val="24"/>
      <w:szCs w:val="24"/>
      <w:lang w:val="en-US" w:eastAsia="en-US" w:bidi="ar-SA"/>
    </w:rPr>
  </w:style>
  <w:style w:type="table" w:styleId="TableGrid">
    <w:name w:val="Table Grid"/>
    <w:basedOn w:val="TableNormal"/>
    <w:uiPriority w:val="59"/>
    <w:rsid w:val="00D9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595C63"/>
    <w:rPr>
      <w:rFonts w:ascii="Times Roman" w:eastAsia="Times New Roman" w:hAnsi="Times Roman" w:cs="Times New Roman"/>
      <w:sz w:val="24"/>
      <w:szCs w:val="20"/>
    </w:rPr>
  </w:style>
  <w:style w:type="paragraph" w:styleId="EndnoteText">
    <w:name w:val="endnote text"/>
    <w:basedOn w:val="Normal"/>
    <w:link w:val="End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paragraph" w:styleId="FootnoteText">
    <w:name w:val="footnote text"/>
    <w:basedOn w:val="Normal"/>
    <w:link w:val="Foot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noteTextChar">
    <w:name w:val="Footnote Text Char"/>
    <w:basedOn w:val="DefaultParagraphFont"/>
    <w:link w:val="FootnoteText"/>
    <w:semiHidden/>
    <w:rsid w:val="00595C63"/>
    <w:rPr>
      <w:rFonts w:ascii="Times Roman" w:eastAsia="Times New Roman" w:hAnsi="Times Roman" w:cs="Times New Roman"/>
      <w:sz w:val="24"/>
      <w:szCs w:val="20"/>
    </w:rPr>
  </w:style>
  <w:style w:type="character" w:customStyle="1" w:styleId="Bibliogrphy">
    <w:name w:val="Bibliogrphy"/>
    <w:basedOn w:val="DefaultParagraphFont"/>
    <w:rsid w:val="00595C63"/>
  </w:style>
  <w:style w:type="character" w:customStyle="1" w:styleId="TechInit">
    <w:name w:val="Tech Init"/>
    <w:basedOn w:val="DefaultParagraphFont"/>
    <w:rsid w:val="00595C63"/>
    <w:rPr>
      <w:rFonts w:ascii="Times Roman" w:hAnsi="Times Roman"/>
      <w:noProof w:val="0"/>
      <w:sz w:val="24"/>
      <w:lang w:val="en-US"/>
    </w:rPr>
  </w:style>
  <w:style w:type="character" w:customStyle="1" w:styleId="Technical1">
    <w:name w:val="Technical 1"/>
    <w:basedOn w:val="DefaultParagraphFont"/>
    <w:rsid w:val="00595C63"/>
    <w:rPr>
      <w:rFonts w:ascii="Times Roman" w:hAnsi="Times Roman"/>
      <w:noProof w:val="0"/>
      <w:sz w:val="24"/>
      <w:lang w:val="en-US"/>
    </w:rPr>
  </w:style>
  <w:style w:type="character" w:customStyle="1" w:styleId="Technical2">
    <w:name w:val="Technical 2"/>
    <w:basedOn w:val="DefaultParagraphFont"/>
    <w:rsid w:val="00595C63"/>
    <w:rPr>
      <w:rFonts w:ascii="Times Roman" w:hAnsi="Times Roman"/>
      <w:noProof w:val="0"/>
      <w:sz w:val="24"/>
      <w:lang w:val="en-US"/>
    </w:rPr>
  </w:style>
  <w:style w:type="character" w:customStyle="1" w:styleId="Technical3">
    <w:name w:val="Technical 3"/>
    <w:basedOn w:val="DefaultParagraphFont"/>
    <w:rsid w:val="00595C63"/>
    <w:rPr>
      <w:rFonts w:ascii="Times Roman" w:hAnsi="Times Roman"/>
      <w:noProof w:val="0"/>
      <w:sz w:val="24"/>
      <w:lang w:val="en-US"/>
    </w:rPr>
  </w:style>
  <w:style w:type="paragraph" w:customStyle="1" w:styleId="Technical4">
    <w:name w:val="Technical 4"/>
    <w:rsid w:val="00595C63"/>
    <w:pPr>
      <w:tabs>
        <w:tab w:val="left" w:pos="-720"/>
      </w:tabs>
      <w:suppressAutoHyphens/>
      <w:overflowPunct w:val="0"/>
      <w:autoSpaceDE w:val="0"/>
      <w:autoSpaceDN w:val="0"/>
      <w:adjustRightInd w:val="0"/>
      <w:textAlignment w:val="baseline"/>
    </w:pPr>
    <w:rPr>
      <w:rFonts w:ascii="Times Roman" w:hAnsi="Times Roman" w:cs="Times New Roman"/>
      <w:b/>
      <w:sz w:val="24"/>
    </w:rPr>
  </w:style>
  <w:style w:type="paragraph" w:customStyle="1" w:styleId="Technical5">
    <w:name w:val="Technical 5"/>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6">
    <w:name w:val="Technical 6"/>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7">
    <w:name w:val="Technical 7"/>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8">
    <w:name w:val="Technical 8"/>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character" w:customStyle="1" w:styleId="DocInit">
    <w:name w:val="Doc Init"/>
    <w:basedOn w:val="DefaultParagraphFont"/>
    <w:rsid w:val="00595C63"/>
  </w:style>
  <w:style w:type="paragraph" w:customStyle="1" w:styleId="Document1">
    <w:name w:val="Document 1"/>
    <w:rsid w:val="00595C63"/>
    <w:pPr>
      <w:keepNext/>
      <w:keepLines/>
      <w:tabs>
        <w:tab w:val="left" w:pos="-720"/>
      </w:tabs>
      <w:suppressAutoHyphens/>
      <w:overflowPunct w:val="0"/>
      <w:autoSpaceDE w:val="0"/>
      <w:autoSpaceDN w:val="0"/>
      <w:adjustRightInd w:val="0"/>
      <w:textAlignment w:val="baseline"/>
    </w:pPr>
    <w:rPr>
      <w:rFonts w:ascii="Times Roman" w:hAnsi="Times Roman" w:cs="Times New Roman"/>
      <w:sz w:val="24"/>
    </w:rPr>
  </w:style>
  <w:style w:type="character" w:customStyle="1" w:styleId="Document2">
    <w:name w:val="Document 2"/>
    <w:basedOn w:val="DefaultParagraphFont"/>
    <w:rsid w:val="00595C63"/>
    <w:rPr>
      <w:rFonts w:ascii="Times Roman" w:hAnsi="Times Roman"/>
      <w:noProof w:val="0"/>
      <w:sz w:val="24"/>
      <w:lang w:val="en-US"/>
    </w:rPr>
  </w:style>
  <w:style w:type="character" w:customStyle="1" w:styleId="Document3">
    <w:name w:val="Document 3"/>
    <w:basedOn w:val="DefaultParagraphFont"/>
    <w:rsid w:val="00595C63"/>
    <w:rPr>
      <w:rFonts w:ascii="Times Roman" w:hAnsi="Times Roman"/>
      <w:noProof w:val="0"/>
      <w:sz w:val="24"/>
      <w:lang w:val="en-US"/>
    </w:rPr>
  </w:style>
  <w:style w:type="character" w:customStyle="1" w:styleId="Document4">
    <w:name w:val="Document 4"/>
    <w:basedOn w:val="DefaultParagraphFont"/>
    <w:rsid w:val="00595C63"/>
    <w:rPr>
      <w:b/>
      <w:i/>
      <w:sz w:val="24"/>
    </w:rPr>
  </w:style>
  <w:style w:type="character" w:customStyle="1" w:styleId="Document5">
    <w:name w:val="Document 5"/>
    <w:basedOn w:val="DefaultParagraphFont"/>
    <w:rsid w:val="00595C63"/>
  </w:style>
  <w:style w:type="character" w:customStyle="1" w:styleId="Document6">
    <w:name w:val="Document 6"/>
    <w:basedOn w:val="DefaultParagraphFont"/>
    <w:rsid w:val="00595C63"/>
  </w:style>
  <w:style w:type="character" w:customStyle="1" w:styleId="Document7">
    <w:name w:val="Document 7"/>
    <w:basedOn w:val="DefaultParagraphFont"/>
    <w:rsid w:val="00595C63"/>
  </w:style>
  <w:style w:type="character" w:customStyle="1" w:styleId="Document8">
    <w:name w:val="Document 8"/>
    <w:basedOn w:val="DefaultParagraphFont"/>
    <w:rsid w:val="00595C63"/>
  </w:style>
  <w:style w:type="character" w:customStyle="1" w:styleId="BulletList">
    <w:name w:val="Bullet List"/>
    <w:basedOn w:val="DefaultParagraphFont"/>
    <w:rsid w:val="00595C63"/>
  </w:style>
  <w:style w:type="paragraph" w:customStyle="1" w:styleId="RightPar1">
    <w:name w:val="Right Par 1"/>
    <w:rsid w:val="00595C63"/>
    <w:pPr>
      <w:tabs>
        <w:tab w:val="left" w:pos="-720"/>
        <w:tab w:val="left" w:pos="0"/>
        <w:tab w:val="decimal" w:pos="720"/>
      </w:tabs>
      <w:suppressAutoHyphens/>
      <w:overflowPunct w:val="0"/>
      <w:autoSpaceDE w:val="0"/>
      <w:autoSpaceDN w:val="0"/>
      <w:adjustRightInd w:val="0"/>
      <w:ind w:firstLine="720"/>
      <w:textAlignment w:val="baseline"/>
    </w:pPr>
    <w:rPr>
      <w:rFonts w:ascii="Times Roman" w:hAnsi="Times Roman" w:cs="Times New Roman"/>
      <w:sz w:val="24"/>
    </w:rPr>
  </w:style>
  <w:style w:type="paragraph" w:customStyle="1" w:styleId="RightPar2">
    <w:name w:val="Right Par 2"/>
    <w:rsid w:val="00595C6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Times Roman" w:hAnsi="Times Roman" w:cs="Times New Roman"/>
      <w:sz w:val="24"/>
    </w:rPr>
  </w:style>
  <w:style w:type="paragraph" w:customStyle="1" w:styleId="RightPar3">
    <w:name w:val="Right Par 3"/>
    <w:rsid w:val="00595C6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Times Roman" w:hAnsi="Times Roman" w:cs="Times New Roman"/>
      <w:sz w:val="24"/>
    </w:rPr>
  </w:style>
  <w:style w:type="paragraph" w:customStyle="1" w:styleId="RightPar4">
    <w:name w:val="Right Par 4"/>
    <w:rsid w:val="00595C63"/>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Times Roman" w:hAnsi="Times Roman" w:cs="Times New Roman"/>
      <w:sz w:val="24"/>
    </w:rPr>
  </w:style>
  <w:style w:type="paragraph" w:customStyle="1" w:styleId="RightPar5">
    <w:name w:val="Right Par 5"/>
    <w:rsid w:val="00595C6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Times Roman" w:hAnsi="Times Roman" w:cs="Times New Roman"/>
      <w:sz w:val="24"/>
    </w:rPr>
  </w:style>
  <w:style w:type="paragraph" w:customStyle="1" w:styleId="RightPar6">
    <w:name w:val="Right Par 6"/>
    <w:rsid w:val="00595C6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Times Roman" w:hAnsi="Times Roman" w:cs="Times New Roman"/>
      <w:sz w:val="24"/>
    </w:rPr>
  </w:style>
  <w:style w:type="paragraph" w:customStyle="1" w:styleId="RightPar7">
    <w:name w:val="Right Par 7"/>
    <w:rsid w:val="00595C6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Times Roman" w:hAnsi="Times Roman" w:cs="Times New Roman"/>
      <w:sz w:val="24"/>
    </w:rPr>
  </w:style>
  <w:style w:type="paragraph" w:customStyle="1" w:styleId="RightPar8">
    <w:name w:val="Right Par 8"/>
    <w:rsid w:val="00595C6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Times Roman" w:hAnsi="Times Roman" w:cs="Times New Roman"/>
      <w:sz w:val="24"/>
    </w:rPr>
  </w:style>
  <w:style w:type="paragraph" w:styleId="TOC1">
    <w:name w:val="toc 1"/>
    <w:basedOn w:val="Normal"/>
    <w:next w:val="Normal"/>
    <w:uiPriority w:val="39"/>
    <w:rsid w:val="00595C63"/>
    <w:pPr>
      <w:widowControl/>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Times Roman" w:hAnsi="Times Roman" w:cs="Times New Roman"/>
      <w:szCs w:val="20"/>
    </w:rPr>
  </w:style>
  <w:style w:type="paragraph" w:styleId="TOC3">
    <w:name w:val="toc 3"/>
    <w:basedOn w:val="Normal"/>
    <w:next w:val="Normal"/>
    <w:semiHidden/>
    <w:rsid w:val="00595C63"/>
    <w:pPr>
      <w:widowControl/>
      <w:tabs>
        <w:tab w:val="right" w:leader="dot" w:pos="9360"/>
      </w:tabs>
      <w:suppressAutoHyphens/>
      <w:overflowPunct w:val="0"/>
      <w:autoSpaceDE w:val="0"/>
      <w:autoSpaceDN w:val="0"/>
      <w:adjustRightInd w:val="0"/>
      <w:spacing w:after="0" w:line="240" w:lineRule="auto"/>
      <w:ind w:left="2160" w:right="720" w:hanging="720"/>
      <w:textAlignment w:val="baseline"/>
    </w:pPr>
    <w:rPr>
      <w:rFonts w:ascii="Times Roman" w:hAnsi="Times Roman" w:cs="Times New Roman"/>
      <w:szCs w:val="20"/>
    </w:rPr>
  </w:style>
  <w:style w:type="paragraph" w:styleId="Index1">
    <w:name w:val="index 1"/>
    <w:basedOn w:val="Normal"/>
    <w:next w:val="Normal"/>
    <w:semiHidden/>
    <w:rsid w:val="00595C63"/>
    <w:pPr>
      <w:widowControl/>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Roman" w:hAnsi="Times Roman" w:cs="Times New Roman"/>
      <w:szCs w:val="20"/>
    </w:rPr>
  </w:style>
  <w:style w:type="paragraph" w:styleId="Caption">
    <w:name w:val="caption"/>
    <w:basedOn w:val="Normal"/>
    <w:next w:val="Normal"/>
    <w:qFormat/>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EquationCaption">
    <w:name w:val="_Equation Caption"/>
    <w:rsid w:val="00595C63"/>
  </w:style>
  <w:style w:type="paragraph" w:styleId="Header">
    <w:name w:val="header"/>
    <w:basedOn w:val="Normal"/>
    <w:link w:val="Head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HeaderChar">
    <w:name w:val="Header Char"/>
    <w:basedOn w:val="DefaultParagraphFont"/>
    <w:link w:val="Header"/>
    <w:uiPriority w:val="99"/>
    <w:rsid w:val="00595C63"/>
    <w:rPr>
      <w:rFonts w:ascii="Times Roman" w:eastAsia="Times New Roman" w:hAnsi="Times Roman" w:cs="Times New Roman"/>
      <w:sz w:val="24"/>
      <w:szCs w:val="20"/>
    </w:rPr>
  </w:style>
  <w:style w:type="paragraph" w:styleId="Footer">
    <w:name w:val="footer"/>
    <w:basedOn w:val="Normal"/>
    <w:link w:val="Foot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erChar">
    <w:name w:val="Footer Char"/>
    <w:basedOn w:val="DefaultParagraphFont"/>
    <w:link w:val="Footer"/>
    <w:uiPriority w:val="99"/>
    <w:rsid w:val="00595C63"/>
    <w:rPr>
      <w:rFonts w:ascii="Times Roman" w:eastAsia="Times New Roman" w:hAnsi="Times Roman" w:cs="Times New Roman"/>
      <w:sz w:val="24"/>
      <w:szCs w:val="20"/>
    </w:rPr>
  </w:style>
  <w:style w:type="paragraph" w:styleId="BodyText">
    <w:name w:val="Body Text"/>
    <w:basedOn w:val="Normal"/>
    <w:link w:val="BodyText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 w:val="32"/>
      <w:szCs w:val="20"/>
    </w:rPr>
  </w:style>
  <w:style w:type="character" w:customStyle="1" w:styleId="BodyTextChar">
    <w:name w:val="Body Text Char"/>
    <w:basedOn w:val="DefaultParagraphFont"/>
    <w:link w:val="BodyText"/>
    <w:rsid w:val="00595C63"/>
    <w:rPr>
      <w:rFonts w:ascii="Arial" w:eastAsia="Times New Roman" w:hAnsi="Arial" w:cs="Times New Roman"/>
      <w:b/>
      <w:spacing w:val="-3"/>
      <w:sz w:val="32"/>
      <w:szCs w:val="20"/>
    </w:rPr>
  </w:style>
  <w:style w:type="paragraph" w:styleId="BodyText2">
    <w:name w:val="Body Text 2"/>
    <w:basedOn w:val="Normal"/>
    <w:link w:val="BodyText2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spacing w:val="-3"/>
      <w:szCs w:val="20"/>
    </w:rPr>
  </w:style>
  <w:style w:type="character" w:customStyle="1" w:styleId="BodyText2Char">
    <w:name w:val="Body Text 2 Char"/>
    <w:basedOn w:val="DefaultParagraphFont"/>
    <w:link w:val="BodyText2"/>
    <w:rsid w:val="00595C63"/>
    <w:rPr>
      <w:rFonts w:ascii="Arial" w:eastAsia="Times New Roman" w:hAnsi="Arial" w:cs="Times New Roman"/>
      <w:spacing w:val="-3"/>
      <w:sz w:val="24"/>
      <w:szCs w:val="20"/>
    </w:rPr>
  </w:style>
  <w:style w:type="paragraph" w:styleId="BodyText3">
    <w:name w:val="Body Text 3"/>
    <w:basedOn w:val="Normal"/>
    <w:link w:val="BodyText3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Cs w:val="20"/>
    </w:rPr>
  </w:style>
  <w:style w:type="character" w:customStyle="1" w:styleId="BodyText3Char">
    <w:name w:val="Body Text 3 Char"/>
    <w:basedOn w:val="DefaultParagraphFont"/>
    <w:link w:val="BodyText3"/>
    <w:rsid w:val="00595C63"/>
    <w:rPr>
      <w:rFonts w:ascii="Arial" w:eastAsia="Times New Roman" w:hAnsi="Arial" w:cs="Times New Roman"/>
      <w:b/>
      <w:spacing w:val="-3"/>
      <w:sz w:val="24"/>
      <w:szCs w:val="20"/>
    </w:rPr>
  </w:style>
  <w:style w:type="paragraph" w:styleId="BlockText">
    <w:name w:val="Block Text"/>
    <w:basedOn w:val="Normal"/>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720" w:right="720"/>
      <w:jc w:val="both"/>
      <w:textAlignment w:val="baseline"/>
    </w:pPr>
    <w:rPr>
      <w:rFonts w:cs="Times New Roman"/>
      <w:i/>
      <w:iCs/>
      <w:spacing w:val="-3"/>
      <w:szCs w:val="20"/>
    </w:rPr>
  </w:style>
  <w:style w:type="paragraph" w:styleId="BodyTextIndent">
    <w:name w:val="Body Text Indent"/>
    <w:basedOn w:val="Normal"/>
    <w:link w:val="BodyTextIndentChar"/>
    <w:rsid w:val="00595C63"/>
    <w:pPr>
      <w:widowControl/>
      <w:overflowPunct w:val="0"/>
      <w:autoSpaceDE w:val="0"/>
      <w:autoSpaceDN w:val="0"/>
      <w:adjustRightInd w:val="0"/>
      <w:spacing w:after="0" w:line="240" w:lineRule="auto"/>
      <w:ind w:left="720"/>
      <w:textAlignment w:val="baseline"/>
    </w:pPr>
    <w:rPr>
      <w:rFonts w:cs="Times New Roman"/>
      <w:spacing w:val="-3"/>
      <w:szCs w:val="20"/>
    </w:rPr>
  </w:style>
  <w:style w:type="character" w:customStyle="1" w:styleId="BodyTextIndentChar">
    <w:name w:val="Body Text Indent Char"/>
    <w:basedOn w:val="DefaultParagraphFont"/>
    <w:link w:val="BodyTextIndent"/>
    <w:rsid w:val="00595C63"/>
    <w:rPr>
      <w:rFonts w:ascii="Arial" w:eastAsia="Times New Roman" w:hAnsi="Arial" w:cs="Times New Roman"/>
      <w:spacing w:val="-3"/>
      <w:sz w:val="24"/>
      <w:szCs w:val="20"/>
    </w:rPr>
  </w:style>
  <w:style w:type="character" w:customStyle="1" w:styleId="apple-converted-space">
    <w:name w:val="apple-converted-space"/>
    <w:basedOn w:val="DefaultParagraphFont"/>
    <w:rsid w:val="00595C63"/>
  </w:style>
  <w:style w:type="character" w:styleId="Hyperlink">
    <w:name w:val="Hyperlink"/>
    <w:basedOn w:val="DefaultParagraphFont"/>
    <w:uiPriority w:val="99"/>
    <w:rsid w:val="00595C63"/>
    <w:rPr>
      <w:color w:val="0000FF"/>
      <w:u w:val="single"/>
    </w:rPr>
  </w:style>
  <w:style w:type="character" w:styleId="Emphasis">
    <w:name w:val="Emphasis"/>
    <w:basedOn w:val="DefaultParagraphFont"/>
    <w:qFormat/>
    <w:rsid w:val="00595C63"/>
    <w:rPr>
      <w:b/>
      <w:bCs/>
      <w:i w:val="0"/>
      <w:iCs w:val="0"/>
    </w:rPr>
  </w:style>
  <w:style w:type="paragraph" w:styleId="ListParagraph">
    <w:name w:val="List Paragraph"/>
    <w:basedOn w:val="Normal"/>
    <w:uiPriority w:val="34"/>
    <w:qFormat/>
    <w:rsid w:val="00595C63"/>
    <w:pPr>
      <w:widowControl/>
      <w:spacing w:after="0" w:line="240" w:lineRule="auto"/>
      <w:ind w:left="720"/>
      <w:contextualSpacing/>
    </w:pPr>
    <w:rPr>
      <w:rFonts w:ascii="Times New Roman" w:hAnsi="Times New Roman" w:cs="Times New Roman"/>
    </w:rPr>
  </w:style>
  <w:style w:type="paragraph" w:styleId="NormalWeb">
    <w:name w:val="Normal (Web)"/>
    <w:basedOn w:val="Normal"/>
    <w:uiPriority w:val="99"/>
    <w:unhideWhenUsed/>
    <w:rsid w:val="00595C63"/>
    <w:pPr>
      <w:widowControl/>
      <w:spacing w:before="100" w:beforeAutospacing="1" w:after="100" w:afterAutospacing="1" w:line="240" w:lineRule="auto"/>
    </w:pPr>
    <w:rPr>
      <w:rFonts w:ascii="Times New Roman" w:hAnsi="Times New Roman" w:cs="Times New Roman"/>
    </w:rPr>
  </w:style>
  <w:style w:type="paragraph" w:customStyle="1" w:styleId="IRPHeader3">
    <w:name w:val="IRP Header 3"/>
    <w:basedOn w:val="Normal"/>
    <w:next w:val="Heading2"/>
    <w:link w:val="IRPHeader3Char"/>
    <w:qFormat/>
    <w:rsid w:val="00595C63"/>
    <w:pPr>
      <w:widowControl/>
      <w:overflowPunct w:val="0"/>
      <w:autoSpaceDE w:val="0"/>
      <w:autoSpaceDN w:val="0"/>
      <w:adjustRightInd w:val="0"/>
      <w:spacing w:before="120" w:after="0" w:line="240" w:lineRule="auto"/>
      <w:textAlignment w:val="baseline"/>
    </w:pPr>
    <w:rPr>
      <w:rFonts w:cs="Times New Roman"/>
      <w:b/>
      <w:szCs w:val="20"/>
    </w:rPr>
  </w:style>
  <w:style w:type="character" w:customStyle="1" w:styleId="IRPHeader3Char">
    <w:name w:val="IRP Header 3 Char"/>
    <w:basedOn w:val="DefaultParagraphFont"/>
    <w:link w:val="IRPHeader3"/>
    <w:rsid w:val="00595C63"/>
    <w:rPr>
      <w:rFonts w:ascii="Arial" w:eastAsia="Times New Roman" w:hAnsi="Arial" w:cs="Times New Roman"/>
      <w:b/>
      <w:sz w:val="24"/>
      <w:szCs w:val="20"/>
    </w:rPr>
  </w:style>
  <w:style w:type="paragraph" w:customStyle="1" w:styleId="Normal-Unedited">
    <w:name w:val="Normal - Unedited"/>
    <w:basedOn w:val="Caption"/>
    <w:link w:val="Normal-UneditedChar"/>
    <w:qFormat/>
    <w:rsid w:val="00595C63"/>
    <w:rPr>
      <w:rFonts w:ascii="Arial" w:hAnsi="Arial"/>
      <w:color w:val="E36C0A"/>
    </w:rPr>
  </w:style>
  <w:style w:type="character" w:customStyle="1" w:styleId="Normal-UneditedChar">
    <w:name w:val="Normal - Unedited Char"/>
    <w:basedOn w:val="DefaultParagraphFont"/>
    <w:link w:val="Normal-Unedited"/>
    <w:rsid w:val="00595C63"/>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595C63"/>
    <w:pPr>
      <w:numPr>
        <w:ilvl w:val="1"/>
      </w:numPr>
      <w:jc w:val="left"/>
    </w:pPr>
  </w:style>
  <w:style w:type="character" w:customStyle="1" w:styleId="IRPHeader2Char">
    <w:name w:val="IRP Header 2 Char"/>
    <w:basedOn w:val="DefaultParagraphFont"/>
    <w:link w:val="IRPHeader2"/>
    <w:rsid w:val="00595C63"/>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595C63"/>
    <w:pPr>
      <w:jc w:val="center"/>
    </w:pPr>
    <w:rPr>
      <w:rFonts w:ascii="Arial" w:hAnsi="Arial"/>
      <w:sz w:val="20"/>
    </w:rPr>
  </w:style>
  <w:style w:type="character" w:customStyle="1" w:styleId="IRPCaptionChar">
    <w:name w:val="IRP Caption Char"/>
    <w:basedOn w:val="DefaultParagraphFont"/>
    <w:link w:val="IRPCaption"/>
    <w:rsid w:val="00595C63"/>
    <w:rPr>
      <w:rFonts w:ascii="Arial" w:eastAsia="Times New Roman" w:hAnsi="Arial" w:cs="Times New Roman"/>
      <w:sz w:val="20"/>
      <w:szCs w:val="20"/>
    </w:rPr>
  </w:style>
  <w:style w:type="paragraph" w:customStyle="1" w:styleId="Normal-Tables">
    <w:name w:val="Normal - Tables"/>
    <w:basedOn w:val="Normal"/>
    <w:link w:val="Normal-TablesChar"/>
    <w:qFormat/>
    <w:rsid w:val="00595C63"/>
    <w:pPr>
      <w:widowControl/>
      <w:overflowPunct w:val="0"/>
      <w:autoSpaceDE w:val="0"/>
      <w:autoSpaceDN w:val="0"/>
      <w:adjustRightInd w:val="0"/>
      <w:spacing w:after="120" w:line="240" w:lineRule="auto"/>
      <w:contextualSpacing/>
      <w:textAlignment w:val="baseline"/>
    </w:pPr>
    <w:rPr>
      <w:rFonts w:cs="Times New Roman"/>
      <w:b/>
      <w:szCs w:val="20"/>
    </w:rPr>
  </w:style>
  <w:style w:type="character" w:customStyle="1" w:styleId="Normal-TablesChar">
    <w:name w:val="Normal - Tables Char"/>
    <w:basedOn w:val="DefaultParagraphFont"/>
    <w:link w:val="Normal-Tables"/>
    <w:rsid w:val="00595C63"/>
    <w:rPr>
      <w:rFonts w:ascii="Arial" w:eastAsia="Times New Roman" w:hAnsi="Arial" w:cs="Times New Roman"/>
      <w:b/>
      <w:sz w:val="24"/>
      <w:szCs w:val="20"/>
    </w:rPr>
  </w:style>
  <w:style w:type="character" w:customStyle="1" w:styleId="IRPMath">
    <w:name w:val="IRP Math"/>
    <w:basedOn w:val="DefaultParagraphFont"/>
    <w:rsid w:val="00595C63"/>
    <w:rPr>
      <w:rFonts w:ascii="Cambria Math" w:hAnsi="Cambria Math"/>
      <w:i/>
      <w:iCs/>
    </w:rPr>
  </w:style>
  <w:style w:type="character" w:customStyle="1" w:styleId="normalchar1">
    <w:name w:val="normal__char1"/>
    <w:basedOn w:val="DefaultParagraphFont"/>
    <w:rsid w:val="00595C63"/>
    <w:rPr>
      <w:rFonts w:ascii="Calibri" w:hAnsi="Calibri" w:hint="default"/>
      <w:sz w:val="22"/>
      <w:szCs w:val="22"/>
    </w:rPr>
  </w:style>
  <w:style w:type="character" w:customStyle="1" w:styleId="googqs-tidbit">
    <w:name w:val="goog_qs-tidbit"/>
    <w:basedOn w:val="DefaultParagraphFont"/>
    <w:rsid w:val="00595C63"/>
  </w:style>
  <w:style w:type="paragraph" w:customStyle="1" w:styleId="msolistparagraph0">
    <w:name w:val="msolistparagraph"/>
    <w:basedOn w:val="Normal"/>
    <w:rsid w:val="00595C63"/>
    <w:pPr>
      <w:widowControl/>
      <w:spacing w:before="100" w:beforeAutospacing="1" w:after="100" w:afterAutospacing="1" w:line="240" w:lineRule="auto"/>
    </w:pPr>
    <w:rPr>
      <w:rFonts w:ascii="Times New Roman" w:hAnsi="Times New Roman" w:cs="Times New Roman"/>
    </w:rPr>
  </w:style>
  <w:style w:type="character" w:customStyle="1" w:styleId="EndnoteTextChar1">
    <w:name w:val="Endnote Text Char1"/>
    <w:basedOn w:val="DefaultParagraphFont"/>
    <w:uiPriority w:val="99"/>
    <w:semiHidden/>
    <w:rsid w:val="00815C10"/>
    <w:rPr>
      <w:sz w:val="20"/>
      <w:szCs w:val="20"/>
    </w:rPr>
  </w:style>
  <w:style w:type="paragraph" w:styleId="Revision">
    <w:name w:val="Revision"/>
    <w:hidden/>
    <w:uiPriority w:val="99"/>
    <w:semiHidden/>
    <w:rsid w:val="00815C10"/>
    <w:rPr>
      <w:sz w:val="24"/>
      <w:szCs w:val="24"/>
    </w:rPr>
  </w:style>
  <w:style w:type="character" w:styleId="Strong">
    <w:name w:val="Strong"/>
    <w:basedOn w:val="DefaultParagraphFont"/>
    <w:uiPriority w:val="22"/>
    <w:qFormat/>
    <w:rsid w:val="0027114A"/>
    <w:rPr>
      <w:b/>
      <w:bCs/>
    </w:rPr>
  </w:style>
  <w:style w:type="character" w:styleId="FootnoteReference">
    <w:name w:val="footnote reference"/>
    <w:basedOn w:val="DefaultParagraphFont"/>
    <w:uiPriority w:val="99"/>
    <w:semiHidden/>
    <w:unhideWhenUsed/>
    <w:rsid w:val="006802BB"/>
    <w:rPr>
      <w:vertAlign w:val="superscript"/>
    </w:rPr>
  </w:style>
  <w:style w:type="paragraph" w:styleId="Bibliography">
    <w:name w:val="Bibliography"/>
    <w:basedOn w:val="Normal"/>
    <w:next w:val="Normal"/>
    <w:uiPriority w:val="37"/>
    <w:semiHidden/>
    <w:unhideWhenUsed/>
    <w:rsid w:val="00E73D27"/>
  </w:style>
  <w:style w:type="paragraph" w:styleId="BodyTextFirstIndent">
    <w:name w:val="Body Text First Indent"/>
    <w:basedOn w:val="BodyText"/>
    <w:link w:val="BodyTextFirstIndentChar"/>
    <w:uiPriority w:val="99"/>
    <w:semiHidden/>
    <w:unhideWhenUsed/>
    <w:rsid w:val="00E73D27"/>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E73D27"/>
    <w:rPr>
      <w:rFonts w:ascii="Arial" w:eastAsia="Times New Roman" w:hAnsi="Arial" w:cs="Times New Roman"/>
      <w:b w:val="0"/>
      <w:spacing w:val="-3"/>
      <w:sz w:val="24"/>
      <w:szCs w:val="24"/>
    </w:rPr>
  </w:style>
  <w:style w:type="paragraph" w:styleId="BodyTextFirstIndent2">
    <w:name w:val="Body Text First Indent 2"/>
    <w:basedOn w:val="BodyTextIndent"/>
    <w:link w:val="BodyTextFirstIndent2Char"/>
    <w:uiPriority w:val="99"/>
    <w:semiHidden/>
    <w:unhideWhenUsed/>
    <w:rsid w:val="00E73D27"/>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E73D27"/>
    <w:rPr>
      <w:rFonts w:ascii="Arial" w:eastAsia="Times New Roman" w:hAnsi="Arial" w:cs="Times New Roman"/>
      <w:spacing w:val="-3"/>
      <w:sz w:val="24"/>
      <w:szCs w:val="24"/>
    </w:rPr>
  </w:style>
  <w:style w:type="paragraph" w:styleId="BodyTextIndent2">
    <w:name w:val="Body Text Indent 2"/>
    <w:basedOn w:val="Normal"/>
    <w:link w:val="BodyTextIndent2Char"/>
    <w:uiPriority w:val="99"/>
    <w:semiHidden/>
    <w:unhideWhenUsed/>
    <w:rsid w:val="00E73D27"/>
    <w:pPr>
      <w:spacing w:after="120" w:line="480" w:lineRule="auto"/>
      <w:ind w:left="360"/>
    </w:pPr>
  </w:style>
  <w:style w:type="character" w:customStyle="1" w:styleId="BodyTextIndent2Char">
    <w:name w:val="Body Text Indent 2 Char"/>
    <w:basedOn w:val="DefaultParagraphFont"/>
    <w:link w:val="BodyTextIndent2"/>
    <w:uiPriority w:val="99"/>
    <w:semiHidden/>
    <w:rsid w:val="00E73D27"/>
    <w:rPr>
      <w:sz w:val="24"/>
      <w:szCs w:val="24"/>
    </w:rPr>
  </w:style>
  <w:style w:type="paragraph" w:styleId="BodyTextIndent3">
    <w:name w:val="Body Text Indent 3"/>
    <w:basedOn w:val="Normal"/>
    <w:link w:val="BodyTextIndent3Char"/>
    <w:uiPriority w:val="99"/>
    <w:semiHidden/>
    <w:unhideWhenUsed/>
    <w:rsid w:val="00E73D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3D27"/>
    <w:rPr>
      <w:sz w:val="16"/>
      <w:szCs w:val="16"/>
    </w:rPr>
  </w:style>
  <w:style w:type="paragraph" w:styleId="Closing">
    <w:name w:val="Closing"/>
    <w:basedOn w:val="Normal"/>
    <w:link w:val="ClosingChar"/>
    <w:uiPriority w:val="99"/>
    <w:semiHidden/>
    <w:unhideWhenUsed/>
    <w:rsid w:val="00E73D27"/>
    <w:pPr>
      <w:spacing w:after="0" w:line="240" w:lineRule="auto"/>
      <w:ind w:left="4320"/>
    </w:pPr>
  </w:style>
  <w:style w:type="character" w:customStyle="1" w:styleId="ClosingChar">
    <w:name w:val="Closing Char"/>
    <w:basedOn w:val="DefaultParagraphFont"/>
    <w:link w:val="Closing"/>
    <w:uiPriority w:val="99"/>
    <w:semiHidden/>
    <w:rsid w:val="00E73D27"/>
    <w:rPr>
      <w:sz w:val="24"/>
      <w:szCs w:val="24"/>
    </w:rPr>
  </w:style>
  <w:style w:type="paragraph" w:styleId="Date">
    <w:name w:val="Date"/>
    <w:basedOn w:val="Normal"/>
    <w:next w:val="Normal"/>
    <w:link w:val="DateChar"/>
    <w:uiPriority w:val="99"/>
    <w:semiHidden/>
    <w:unhideWhenUsed/>
    <w:rsid w:val="00E73D27"/>
  </w:style>
  <w:style w:type="character" w:customStyle="1" w:styleId="DateChar">
    <w:name w:val="Date Char"/>
    <w:basedOn w:val="DefaultParagraphFont"/>
    <w:link w:val="Date"/>
    <w:uiPriority w:val="99"/>
    <w:semiHidden/>
    <w:rsid w:val="00E73D27"/>
    <w:rPr>
      <w:sz w:val="24"/>
      <w:szCs w:val="24"/>
    </w:rPr>
  </w:style>
  <w:style w:type="paragraph" w:styleId="DocumentMap">
    <w:name w:val="Document Map"/>
    <w:basedOn w:val="Normal"/>
    <w:link w:val="DocumentMapChar"/>
    <w:uiPriority w:val="99"/>
    <w:semiHidden/>
    <w:unhideWhenUsed/>
    <w:rsid w:val="00E73D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3D27"/>
    <w:rPr>
      <w:rFonts w:ascii="Tahoma" w:hAnsi="Tahoma" w:cs="Tahoma"/>
      <w:sz w:val="16"/>
      <w:szCs w:val="16"/>
    </w:rPr>
  </w:style>
  <w:style w:type="paragraph" w:styleId="E-mailSignature">
    <w:name w:val="E-mail Signature"/>
    <w:basedOn w:val="Normal"/>
    <w:link w:val="E-mailSignatureChar"/>
    <w:uiPriority w:val="99"/>
    <w:semiHidden/>
    <w:unhideWhenUsed/>
    <w:rsid w:val="00E73D27"/>
    <w:pPr>
      <w:spacing w:after="0" w:line="240" w:lineRule="auto"/>
    </w:pPr>
  </w:style>
  <w:style w:type="character" w:customStyle="1" w:styleId="E-mailSignatureChar">
    <w:name w:val="E-mail Signature Char"/>
    <w:basedOn w:val="DefaultParagraphFont"/>
    <w:link w:val="E-mailSignature"/>
    <w:uiPriority w:val="99"/>
    <w:semiHidden/>
    <w:rsid w:val="00E73D27"/>
    <w:rPr>
      <w:sz w:val="24"/>
      <w:szCs w:val="24"/>
    </w:rPr>
  </w:style>
  <w:style w:type="paragraph" w:styleId="EnvelopeAddress">
    <w:name w:val="envelope address"/>
    <w:basedOn w:val="Normal"/>
    <w:uiPriority w:val="99"/>
    <w:semiHidden/>
    <w:unhideWhenUsed/>
    <w:rsid w:val="00E73D2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73D2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73D27"/>
    <w:pPr>
      <w:spacing w:after="0" w:line="240" w:lineRule="auto"/>
    </w:pPr>
    <w:rPr>
      <w:i/>
      <w:iCs/>
    </w:rPr>
  </w:style>
  <w:style w:type="character" w:customStyle="1" w:styleId="HTMLAddressChar">
    <w:name w:val="HTML Address Char"/>
    <w:basedOn w:val="DefaultParagraphFont"/>
    <w:link w:val="HTMLAddress"/>
    <w:uiPriority w:val="99"/>
    <w:semiHidden/>
    <w:rsid w:val="00E73D27"/>
    <w:rPr>
      <w:i/>
      <w:iCs/>
      <w:sz w:val="24"/>
      <w:szCs w:val="24"/>
    </w:rPr>
  </w:style>
  <w:style w:type="paragraph" w:styleId="HTMLPreformatted">
    <w:name w:val="HTML Preformatted"/>
    <w:basedOn w:val="Normal"/>
    <w:link w:val="HTMLPreformattedChar"/>
    <w:uiPriority w:val="99"/>
    <w:semiHidden/>
    <w:unhideWhenUsed/>
    <w:rsid w:val="00E73D2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3D27"/>
    <w:rPr>
      <w:rFonts w:ascii="Consolas" w:hAnsi="Consolas" w:cs="Consolas"/>
    </w:rPr>
  </w:style>
  <w:style w:type="paragraph" w:styleId="Index2">
    <w:name w:val="index 2"/>
    <w:basedOn w:val="Normal"/>
    <w:next w:val="Normal"/>
    <w:autoRedefine/>
    <w:semiHidden/>
    <w:unhideWhenUsed/>
    <w:rsid w:val="00E73D27"/>
    <w:pPr>
      <w:spacing w:after="0" w:line="240" w:lineRule="auto"/>
      <w:ind w:left="480" w:hanging="240"/>
    </w:pPr>
  </w:style>
  <w:style w:type="paragraph" w:styleId="Index3">
    <w:name w:val="index 3"/>
    <w:basedOn w:val="Normal"/>
    <w:next w:val="Normal"/>
    <w:autoRedefine/>
    <w:uiPriority w:val="99"/>
    <w:semiHidden/>
    <w:unhideWhenUsed/>
    <w:rsid w:val="00E73D27"/>
    <w:pPr>
      <w:spacing w:after="0" w:line="240" w:lineRule="auto"/>
      <w:ind w:left="720" w:hanging="240"/>
    </w:pPr>
  </w:style>
  <w:style w:type="paragraph" w:styleId="Index4">
    <w:name w:val="index 4"/>
    <w:basedOn w:val="Normal"/>
    <w:next w:val="Normal"/>
    <w:autoRedefine/>
    <w:uiPriority w:val="99"/>
    <w:semiHidden/>
    <w:unhideWhenUsed/>
    <w:rsid w:val="00E73D27"/>
    <w:pPr>
      <w:spacing w:after="0" w:line="240" w:lineRule="auto"/>
      <w:ind w:left="960" w:hanging="240"/>
    </w:pPr>
  </w:style>
  <w:style w:type="paragraph" w:styleId="Index5">
    <w:name w:val="index 5"/>
    <w:basedOn w:val="Normal"/>
    <w:next w:val="Normal"/>
    <w:autoRedefine/>
    <w:uiPriority w:val="99"/>
    <w:semiHidden/>
    <w:unhideWhenUsed/>
    <w:rsid w:val="00E73D27"/>
    <w:pPr>
      <w:spacing w:after="0" w:line="240" w:lineRule="auto"/>
      <w:ind w:left="1200" w:hanging="240"/>
    </w:pPr>
  </w:style>
  <w:style w:type="paragraph" w:styleId="Index6">
    <w:name w:val="index 6"/>
    <w:basedOn w:val="Normal"/>
    <w:next w:val="Normal"/>
    <w:autoRedefine/>
    <w:uiPriority w:val="99"/>
    <w:semiHidden/>
    <w:unhideWhenUsed/>
    <w:rsid w:val="00E73D27"/>
    <w:pPr>
      <w:spacing w:after="0" w:line="240" w:lineRule="auto"/>
      <w:ind w:left="1440" w:hanging="240"/>
    </w:pPr>
  </w:style>
  <w:style w:type="paragraph" w:styleId="Index7">
    <w:name w:val="index 7"/>
    <w:basedOn w:val="Normal"/>
    <w:next w:val="Normal"/>
    <w:autoRedefine/>
    <w:uiPriority w:val="99"/>
    <w:semiHidden/>
    <w:unhideWhenUsed/>
    <w:rsid w:val="00E73D27"/>
    <w:pPr>
      <w:spacing w:after="0" w:line="240" w:lineRule="auto"/>
      <w:ind w:left="1680" w:hanging="240"/>
    </w:pPr>
  </w:style>
  <w:style w:type="paragraph" w:styleId="Index8">
    <w:name w:val="index 8"/>
    <w:basedOn w:val="Normal"/>
    <w:next w:val="Normal"/>
    <w:autoRedefine/>
    <w:uiPriority w:val="99"/>
    <w:semiHidden/>
    <w:unhideWhenUsed/>
    <w:rsid w:val="00E73D27"/>
    <w:pPr>
      <w:spacing w:after="0" w:line="240" w:lineRule="auto"/>
      <w:ind w:left="1920" w:hanging="240"/>
    </w:pPr>
  </w:style>
  <w:style w:type="paragraph" w:styleId="Index9">
    <w:name w:val="index 9"/>
    <w:basedOn w:val="Normal"/>
    <w:next w:val="Normal"/>
    <w:autoRedefine/>
    <w:uiPriority w:val="99"/>
    <w:semiHidden/>
    <w:unhideWhenUsed/>
    <w:rsid w:val="00E73D27"/>
    <w:pPr>
      <w:spacing w:after="0" w:line="240" w:lineRule="auto"/>
      <w:ind w:left="2160" w:hanging="240"/>
    </w:pPr>
  </w:style>
  <w:style w:type="paragraph" w:styleId="IndexHeading">
    <w:name w:val="index heading"/>
    <w:basedOn w:val="Normal"/>
    <w:next w:val="Index1"/>
    <w:uiPriority w:val="99"/>
    <w:semiHidden/>
    <w:unhideWhenUsed/>
    <w:rsid w:val="00E73D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3D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3D27"/>
    <w:rPr>
      <w:b/>
      <w:bCs/>
      <w:i/>
      <w:iCs/>
      <w:color w:val="4F81BD" w:themeColor="accent1"/>
      <w:sz w:val="24"/>
      <w:szCs w:val="24"/>
    </w:rPr>
  </w:style>
  <w:style w:type="paragraph" w:styleId="List">
    <w:name w:val="List"/>
    <w:basedOn w:val="Normal"/>
    <w:uiPriority w:val="99"/>
    <w:semiHidden/>
    <w:unhideWhenUsed/>
    <w:rsid w:val="00E73D27"/>
    <w:pPr>
      <w:ind w:left="360" w:hanging="360"/>
      <w:contextualSpacing/>
    </w:pPr>
  </w:style>
  <w:style w:type="paragraph" w:styleId="List2">
    <w:name w:val="List 2"/>
    <w:basedOn w:val="Normal"/>
    <w:uiPriority w:val="99"/>
    <w:semiHidden/>
    <w:unhideWhenUsed/>
    <w:rsid w:val="00E73D27"/>
    <w:pPr>
      <w:ind w:left="720" w:hanging="360"/>
      <w:contextualSpacing/>
    </w:pPr>
  </w:style>
  <w:style w:type="paragraph" w:styleId="List3">
    <w:name w:val="List 3"/>
    <w:basedOn w:val="Normal"/>
    <w:uiPriority w:val="99"/>
    <w:semiHidden/>
    <w:unhideWhenUsed/>
    <w:rsid w:val="00E73D27"/>
    <w:pPr>
      <w:ind w:left="1080" w:hanging="360"/>
      <w:contextualSpacing/>
    </w:pPr>
  </w:style>
  <w:style w:type="paragraph" w:styleId="List4">
    <w:name w:val="List 4"/>
    <w:basedOn w:val="Normal"/>
    <w:uiPriority w:val="99"/>
    <w:semiHidden/>
    <w:unhideWhenUsed/>
    <w:rsid w:val="00E73D27"/>
    <w:pPr>
      <w:ind w:left="1440" w:hanging="360"/>
      <w:contextualSpacing/>
    </w:pPr>
  </w:style>
  <w:style w:type="paragraph" w:styleId="List5">
    <w:name w:val="List 5"/>
    <w:basedOn w:val="Normal"/>
    <w:uiPriority w:val="99"/>
    <w:semiHidden/>
    <w:unhideWhenUsed/>
    <w:rsid w:val="00E73D27"/>
    <w:pPr>
      <w:ind w:left="1800" w:hanging="360"/>
      <w:contextualSpacing/>
    </w:pPr>
  </w:style>
  <w:style w:type="paragraph" w:styleId="ListBullet">
    <w:name w:val="List Bullet"/>
    <w:basedOn w:val="Normal"/>
    <w:uiPriority w:val="99"/>
    <w:semiHidden/>
    <w:unhideWhenUsed/>
    <w:rsid w:val="00E73D27"/>
    <w:pPr>
      <w:numPr>
        <w:numId w:val="30"/>
      </w:numPr>
      <w:contextualSpacing/>
    </w:pPr>
  </w:style>
  <w:style w:type="paragraph" w:styleId="ListBullet2">
    <w:name w:val="List Bullet 2"/>
    <w:basedOn w:val="Normal"/>
    <w:uiPriority w:val="99"/>
    <w:semiHidden/>
    <w:unhideWhenUsed/>
    <w:rsid w:val="00E73D27"/>
    <w:pPr>
      <w:numPr>
        <w:numId w:val="31"/>
      </w:numPr>
      <w:contextualSpacing/>
    </w:pPr>
  </w:style>
  <w:style w:type="paragraph" w:styleId="ListBullet3">
    <w:name w:val="List Bullet 3"/>
    <w:basedOn w:val="Normal"/>
    <w:uiPriority w:val="99"/>
    <w:semiHidden/>
    <w:unhideWhenUsed/>
    <w:rsid w:val="00E73D27"/>
    <w:pPr>
      <w:numPr>
        <w:numId w:val="32"/>
      </w:numPr>
      <w:contextualSpacing/>
    </w:pPr>
  </w:style>
  <w:style w:type="paragraph" w:styleId="ListBullet4">
    <w:name w:val="List Bullet 4"/>
    <w:basedOn w:val="Normal"/>
    <w:uiPriority w:val="99"/>
    <w:semiHidden/>
    <w:unhideWhenUsed/>
    <w:rsid w:val="00E73D27"/>
    <w:pPr>
      <w:numPr>
        <w:numId w:val="33"/>
      </w:numPr>
      <w:contextualSpacing/>
    </w:pPr>
  </w:style>
  <w:style w:type="paragraph" w:styleId="ListBullet5">
    <w:name w:val="List Bullet 5"/>
    <w:basedOn w:val="Normal"/>
    <w:uiPriority w:val="99"/>
    <w:semiHidden/>
    <w:unhideWhenUsed/>
    <w:rsid w:val="00E73D27"/>
    <w:pPr>
      <w:numPr>
        <w:numId w:val="34"/>
      </w:numPr>
      <w:contextualSpacing/>
    </w:pPr>
  </w:style>
  <w:style w:type="paragraph" w:styleId="ListContinue">
    <w:name w:val="List Continue"/>
    <w:basedOn w:val="Normal"/>
    <w:uiPriority w:val="99"/>
    <w:semiHidden/>
    <w:unhideWhenUsed/>
    <w:rsid w:val="00E73D27"/>
    <w:pPr>
      <w:spacing w:after="120"/>
      <w:ind w:left="360"/>
      <w:contextualSpacing/>
    </w:pPr>
  </w:style>
  <w:style w:type="paragraph" w:styleId="ListContinue2">
    <w:name w:val="List Continue 2"/>
    <w:basedOn w:val="Normal"/>
    <w:uiPriority w:val="99"/>
    <w:semiHidden/>
    <w:unhideWhenUsed/>
    <w:rsid w:val="00E73D27"/>
    <w:pPr>
      <w:spacing w:after="120"/>
      <w:ind w:left="720"/>
      <w:contextualSpacing/>
    </w:pPr>
  </w:style>
  <w:style w:type="paragraph" w:styleId="ListContinue3">
    <w:name w:val="List Continue 3"/>
    <w:basedOn w:val="Normal"/>
    <w:uiPriority w:val="99"/>
    <w:semiHidden/>
    <w:unhideWhenUsed/>
    <w:rsid w:val="00E73D27"/>
    <w:pPr>
      <w:spacing w:after="120"/>
      <w:ind w:left="1080"/>
      <w:contextualSpacing/>
    </w:pPr>
  </w:style>
  <w:style w:type="paragraph" w:styleId="ListContinue4">
    <w:name w:val="List Continue 4"/>
    <w:basedOn w:val="Normal"/>
    <w:uiPriority w:val="99"/>
    <w:semiHidden/>
    <w:unhideWhenUsed/>
    <w:rsid w:val="00E73D27"/>
    <w:pPr>
      <w:spacing w:after="120"/>
      <w:ind w:left="1440"/>
      <w:contextualSpacing/>
    </w:pPr>
  </w:style>
  <w:style w:type="paragraph" w:styleId="ListContinue5">
    <w:name w:val="List Continue 5"/>
    <w:basedOn w:val="Normal"/>
    <w:uiPriority w:val="99"/>
    <w:semiHidden/>
    <w:unhideWhenUsed/>
    <w:rsid w:val="00E73D27"/>
    <w:pPr>
      <w:spacing w:after="120"/>
      <w:ind w:left="1800"/>
      <w:contextualSpacing/>
    </w:pPr>
  </w:style>
  <w:style w:type="paragraph" w:styleId="ListNumber">
    <w:name w:val="List Number"/>
    <w:basedOn w:val="Normal"/>
    <w:uiPriority w:val="99"/>
    <w:semiHidden/>
    <w:unhideWhenUsed/>
    <w:rsid w:val="00E73D27"/>
    <w:pPr>
      <w:numPr>
        <w:numId w:val="35"/>
      </w:numPr>
      <w:contextualSpacing/>
    </w:pPr>
  </w:style>
  <w:style w:type="paragraph" w:styleId="ListNumber2">
    <w:name w:val="List Number 2"/>
    <w:basedOn w:val="Normal"/>
    <w:uiPriority w:val="99"/>
    <w:semiHidden/>
    <w:unhideWhenUsed/>
    <w:rsid w:val="00E73D27"/>
    <w:pPr>
      <w:numPr>
        <w:numId w:val="36"/>
      </w:numPr>
      <w:contextualSpacing/>
    </w:pPr>
  </w:style>
  <w:style w:type="paragraph" w:styleId="ListNumber3">
    <w:name w:val="List Number 3"/>
    <w:basedOn w:val="Normal"/>
    <w:uiPriority w:val="99"/>
    <w:semiHidden/>
    <w:unhideWhenUsed/>
    <w:rsid w:val="00E73D27"/>
    <w:pPr>
      <w:numPr>
        <w:numId w:val="37"/>
      </w:numPr>
      <w:contextualSpacing/>
    </w:pPr>
  </w:style>
  <w:style w:type="paragraph" w:styleId="ListNumber4">
    <w:name w:val="List Number 4"/>
    <w:basedOn w:val="Normal"/>
    <w:uiPriority w:val="99"/>
    <w:semiHidden/>
    <w:unhideWhenUsed/>
    <w:rsid w:val="00E73D27"/>
    <w:pPr>
      <w:numPr>
        <w:numId w:val="38"/>
      </w:numPr>
      <w:contextualSpacing/>
    </w:pPr>
  </w:style>
  <w:style w:type="paragraph" w:styleId="ListNumber5">
    <w:name w:val="List Number 5"/>
    <w:basedOn w:val="Normal"/>
    <w:uiPriority w:val="99"/>
    <w:semiHidden/>
    <w:unhideWhenUsed/>
    <w:rsid w:val="00E73D27"/>
    <w:pPr>
      <w:numPr>
        <w:numId w:val="39"/>
      </w:numPr>
      <w:contextualSpacing/>
    </w:pPr>
  </w:style>
  <w:style w:type="paragraph" w:styleId="MacroText">
    <w:name w:val="macro"/>
    <w:link w:val="MacroTextChar"/>
    <w:uiPriority w:val="99"/>
    <w:semiHidden/>
    <w:unhideWhenUsed/>
    <w:rsid w:val="00E73D27"/>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E73D27"/>
    <w:rPr>
      <w:rFonts w:ascii="Consolas" w:hAnsi="Consolas" w:cs="Consolas"/>
    </w:rPr>
  </w:style>
  <w:style w:type="paragraph" w:styleId="MessageHeader">
    <w:name w:val="Message Header"/>
    <w:basedOn w:val="Normal"/>
    <w:link w:val="MessageHeaderChar"/>
    <w:uiPriority w:val="99"/>
    <w:semiHidden/>
    <w:unhideWhenUsed/>
    <w:rsid w:val="00E73D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73D2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73D27"/>
    <w:pPr>
      <w:ind w:left="720"/>
    </w:pPr>
  </w:style>
  <w:style w:type="paragraph" w:styleId="NoteHeading">
    <w:name w:val="Note Heading"/>
    <w:basedOn w:val="Normal"/>
    <w:next w:val="Normal"/>
    <w:link w:val="NoteHeadingChar"/>
    <w:uiPriority w:val="99"/>
    <w:semiHidden/>
    <w:unhideWhenUsed/>
    <w:rsid w:val="00E73D27"/>
    <w:pPr>
      <w:spacing w:after="0" w:line="240" w:lineRule="auto"/>
    </w:pPr>
  </w:style>
  <w:style w:type="character" w:customStyle="1" w:styleId="NoteHeadingChar">
    <w:name w:val="Note Heading Char"/>
    <w:basedOn w:val="DefaultParagraphFont"/>
    <w:link w:val="NoteHeading"/>
    <w:uiPriority w:val="99"/>
    <w:semiHidden/>
    <w:rsid w:val="00E73D27"/>
    <w:rPr>
      <w:sz w:val="24"/>
      <w:szCs w:val="24"/>
    </w:rPr>
  </w:style>
  <w:style w:type="paragraph" w:styleId="PlainText">
    <w:name w:val="Plain Text"/>
    <w:basedOn w:val="Normal"/>
    <w:link w:val="PlainTextChar"/>
    <w:uiPriority w:val="99"/>
    <w:semiHidden/>
    <w:unhideWhenUsed/>
    <w:rsid w:val="00E73D2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73D27"/>
    <w:rPr>
      <w:rFonts w:ascii="Consolas" w:hAnsi="Consolas" w:cs="Consolas"/>
      <w:sz w:val="21"/>
      <w:szCs w:val="21"/>
    </w:rPr>
  </w:style>
  <w:style w:type="paragraph" w:styleId="Quote">
    <w:name w:val="Quote"/>
    <w:basedOn w:val="Normal"/>
    <w:next w:val="Normal"/>
    <w:link w:val="QuoteChar"/>
    <w:uiPriority w:val="29"/>
    <w:qFormat/>
    <w:rsid w:val="00E73D27"/>
    <w:rPr>
      <w:i/>
      <w:iCs/>
      <w:color w:val="000000" w:themeColor="text1"/>
    </w:rPr>
  </w:style>
  <w:style w:type="character" w:customStyle="1" w:styleId="QuoteChar">
    <w:name w:val="Quote Char"/>
    <w:basedOn w:val="DefaultParagraphFont"/>
    <w:link w:val="Quote"/>
    <w:uiPriority w:val="29"/>
    <w:rsid w:val="00E73D27"/>
    <w:rPr>
      <w:i/>
      <w:iCs/>
      <w:color w:val="000000" w:themeColor="text1"/>
      <w:sz w:val="24"/>
      <w:szCs w:val="24"/>
    </w:rPr>
  </w:style>
  <w:style w:type="paragraph" w:styleId="Salutation">
    <w:name w:val="Salutation"/>
    <w:basedOn w:val="Normal"/>
    <w:next w:val="Normal"/>
    <w:link w:val="SalutationChar"/>
    <w:uiPriority w:val="99"/>
    <w:semiHidden/>
    <w:unhideWhenUsed/>
    <w:rsid w:val="00E73D27"/>
  </w:style>
  <w:style w:type="character" w:customStyle="1" w:styleId="SalutationChar">
    <w:name w:val="Salutation Char"/>
    <w:basedOn w:val="DefaultParagraphFont"/>
    <w:link w:val="Salutation"/>
    <w:uiPriority w:val="99"/>
    <w:semiHidden/>
    <w:rsid w:val="00E73D27"/>
    <w:rPr>
      <w:sz w:val="24"/>
      <w:szCs w:val="24"/>
    </w:rPr>
  </w:style>
  <w:style w:type="paragraph" w:styleId="Signature">
    <w:name w:val="Signature"/>
    <w:basedOn w:val="Normal"/>
    <w:link w:val="SignatureChar"/>
    <w:uiPriority w:val="99"/>
    <w:semiHidden/>
    <w:unhideWhenUsed/>
    <w:rsid w:val="00E73D27"/>
    <w:pPr>
      <w:spacing w:after="0" w:line="240" w:lineRule="auto"/>
      <w:ind w:left="4320"/>
    </w:pPr>
  </w:style>
  <w:style w:type="character" w:customStyle="1" w:styleId="SignatureChar">
    <w:name w:val="Signature Char"/>
    <w:basedOn w:val="DefaultParagraphFont"/>
    <w:link w:val="Signature"/>
    <w:uiPriority w:val="99"/>
    <w:semiHidden/>
    <w:rsid w:val="00E73D27"/>
    <w:rPr>
      <w:sz w:val="24"/>
      <w:szCs w:val="24"/>
    </w:rPr>
  </w:style>
  <w:style w:type="paragraph" w:styleId="Subtitle">
    <w:name w:val="Subtitle"/>
    <w:basedOn w:val="Normal"/>
    <w:next w:val="Normal"/>
    <w:link w:val="SubtitleChar"/>
    <w:uiPriority w:val="11"/>
    <w:qFormat/>
    <w:rsid w:val="00E73D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73D2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73D27"/>
    <w:pPr>
      <w:spacing w:after="0"/>
      <w:ind w:left="240" w:hanging="240"/>
    </w:pPr>
  </w:style>
  <w:style w:type="paragraph" w:styleId="TableofFigures">
    <w:name w:val="table of figures"/>
    <w:basedOn w:val="Normal"/>
    <w:next w:val="Normal"/>
    <w:uiPriority w:val="99"/>
    <w:semiHidden/>
    <w:unhideWhenUsed/>
    <w:rsid w:val="00E73D27"/>
    <w:pPr>
      <w:spacing w:after="0"/>
    </w:pPr>
  </w:style>
  <w:style w:type="paragraph" w:styleId="Title">
    <w:name w:val="Title"/>
    <w:basedOn w:val="Normal"/>
    <w:next w:val="Normal"/>
    <w:link w:val="TitleChar"/>
    <w:uiPriority w:val="10"/>
    <w:qFormat/>
    <w:rsid w:val="00E73D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D2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E73D27"/>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E73D27"/>
    <w:pPr>
      <w:spacing w:after="100"/>
      <w:ind w:left="240"/>
    </w:pPr>
  </w:style>
  <w:style w:type="paragraph" w:styleId="TOC4">
    <w:name w:val="toc 4"/>
    <w:basedOn w:val="Normal"/>
    <w:next w:val="Normal"/>
    <w:autoRedefine/>
    <w:semiHidden/>
    <w:unhideWhenUsed/>
    <w:rsid w:val="00E73D27"/>
    <w:pPr>
      <w:spacing w:after="100"/>
      <w:ind w:left="720"/>
    </w:pPr>
  </w:style>
  <w:style w:type="paragraph" w:styleId="TOC5">
    <w:name w:val="toc 5"/>
    <w:basedOn w:val="Normal"/>
    <w:next w:val="Normal"/>
    <w:autoRedefine/>
    <w:semiHidden/>
    <w:unhideWhenUsed/>
    <w:rsid w:val="00E73D27"/>
    <w:pPr>
      <w:spacing w:after="100"/>
      <w:ind w:left="960"/>
    </w:pPr>
  </w:style>
  <w:style w:type="paragraph" w:styleId="TOC6">
    <w:name w:val="toc 6"/>
    <w:basedOn w:val="Normal"/>
    <w:next w:val="Normal"/>
    <w:autoRedefine/>
    <w:semiHidden/>
    <w:unhideWhenUsed/>
    <w:rsid w:val="00E73D27"/>
    <w:pPr>
      <w:spacing w:after="100"/>
      <w:ind w:left="1200"/>
    </w:pPr>
  </w:style>
  <w:style w:type="paragraph" w:styleId="TOC7">
    <w:name w:val="toc 7"/>
    <w:basedOn w:val="Normal"/>
    <w:next w:val="Normal"/>
    <w:autoRedefine/>
    <w:semiHidden/>
    <w:unhideWhenUsed/>
    <w:rsid w:val="00E73D27"/>
    <w:pPr>
      <w:spacing w:after="100"/>
      <w:ind w:left="1440"/>
    </w:pPr>
  </w:style>
  <w:style w:type="paragraph" w:styleId="TOC8">
    <w:name w:val="toc 8"/>
    <w:basedOn w:val="Normal"/>
    <w:next w:val="Normal"/>
    <w:autoRedefine/>
    <w:semiHidden/>
    <w:unhideWhenUsed/>
    <w:rsid w:val="00E73D27"/>
    <w:pPr>
      <w:spacing w:after="100"/>
      <w:ind w:left="1680"/>
    </w:pPr>
  </w:style>
  <w:style w:type="paragraph" w:styleId="TOC9">
    <w:name w:val="toc 9"/>
    <w:basedOn w:val="Normal"/>
    <w:next w:val="Normal"/>
    <w:autoRedefine/>
    <w:semiHidden/>
    <w:unhideWhenUsed/>
    <w:rsid w:val="00E73D27"/>
    <w:pPr>
      <w:spacing w:after="100"/>
      <w:ind w:left="1920"/>
    </w:pPr>
  </w:style>
  <w:style w:type="paragraph" w:styleId="TOCHeading">
    <w:name w:val="TOC Heading"/>
    <w:basedOn w:val="Heading1"/>
    <w:next w:val="Normal"/>
    <w:uiPriority w:val="39"/>
    <w:semiHidden/>
    <w:unhideWhenUsed/>
    <w:qFormat/>
    <w:rsid w:val="00E73D27"/>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pacing w:val="0"/>
      <w:szCs w:val="28"/>
      <w:u w:val="none"/>
    </w:rPr>
  </w:style>
  <w:style w:type="character" w:styleId="FollowedHyperlink">
    <w:name w:val="FollowedHyperlink"/>
    <w:basedOn w:val="DefaultParagraphFont"/>
    <w:uiPriority w:val="99"/>
    <w:semiHidden/>
    <w:unhideWhenUsed/>
    <w:rsid w:val="00C441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C1"/>
    <w:pPr>
      <w:widowControl w:val="0"/>
      <w:spacing w:after="200" w:line="276" w:lineRule="auto"/>
    </w:pPr>
    <w:rPr>
      <w:sz w:val="24"/>
      <w:szCs w:val="24"/>
    </w:rPr>
  </w:style>
  <w:style w:type="paragraph" w:styleId="Heading1">
    <w:name w:val="heading 1"/>
    <w:basedOn w:val="Normal"/>
    <w:next w:val="Normal"/>
    <w:link w:val="Heading1Char"/>
    <w:autoRedefine/>
    <w:qFormat/>
    <w:rsid w:val="00CD3911"/>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0"/>
    </w:pPr>
    <w:rPr>
      <w:rFonts w:ascii="Cambria Math" w:hAnsi="Cambria Math" w:cs="Times New Roman"/>
      <w:b/>
      <w:spacing w:val="-3"/>
      <w:sz w:val="28"/>
      <w:szCs w:val="20"/>
      <w:u w:val="single"/>
    </w:rPr>
  </w:style>
  <w:style w:type="paragraph" w:styleId="Heading2">
    <w:name w:val="heading 2"/>
    <w:basedOn w:val="Normal"/>
    <w:next w:val="Normal"/>
    <w:link w:val="Heading2Char"/>
    <w:autoRedefine/>
    <w:qFormat/>
    <w:rsid w:val="00E37866"/>
    <w:pPr>
      <w:keepNext/>
      <w:widowControl/>
      <w:tabs>
        <w:tab w:val="left" w:pos="-1440"/>
        <w:tab w:val="left" w:pos="-720"/>
        <w:tab w:val="left" w:pos="0"/>
        <w:tab w:val="left" w:pos="1080"/>
        <w:tab w:val="left" w:pos="1440"/>
      </w:tabs>
      <w:suppressAutoHyphens/>
      <w:overflowPunct w:val="0"/>
      <w:autoSpaceDE w:val="0"/>
      <w:autoSpaceDN w:val="0"/>
      <w:adjustRightInd w:val="0"/>
      <w:spacing w:after="0"/>
      <w:jc w:val="both"/>
      <w:textAlignment w:val="baseline"/>
      <w:outlineLvl w:val="1"/>
    </w:pPr>
    <w:rPr>
      <w:b/>
      <w:i/>
      <w:spacing w:val="-3"/>
      <w:szCs w:val="20"/>
    </w:rPr>
  </w:style>
  <w:style w:type="paragraph" w:styleId="Heading3">
    <w:name w:val="heading 3"/>
    <w:basedOn w:val="Normal"/>
    <w:next w:val="Normal"/>
    <w:link w:val="Heading3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2"/>
    </w:pPr>
    <w:rPr>
      <w:rFonts w:cs="Times New Roman"/>
      <w:spacing w:val="-3"/>
      <w:sz w:val="28"/>
      <w:szCs w:val="20"/>
    </w:rPr>
  </w:style>
  <w:style w:type="paragraph" w:styleId="Heading4">
    <w:name w:val="heading 4"/>
    <w:basedOn w:val="Normal"/>
    <w:next w:val="Normal"/>
    <w:link w:val="Heading4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3"/>
    </w:pPr>
    <w:rPr>
      <w:rFonts w:cs="Times New Roman"/>
      <w:spacing w:val="-3"/>
      <w:sz w:val="28"/>
      <w:szCs w:val="20"/>
    </w:rPr>
  </w:style>
  <w:style w:type="paragraph" w:styleId="Heading5">
    <w:name w:val="heading 5"/>
    <w:basedOn w:val="Normal"/>
    <w:next w:val="Normal"/>
    <w:link w:val="Heading5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4"/>
    </w:pPr>
    <w:rPr>
      <w:rFonts w:cs="Times New Roman"/>
      <w:b/>
      <w:spacing w:val="-3"/>
      <w:sz w:val="28"/>
      <w:szCs w:val="20"/>
      <w:u w:val="single"/>
    </w:rPr>
  </w:style>
  <w:style w:type="paragraph" w:styleId="Heading6">
    <w:name w:val="heading 6"/>
    <w:basedOn w:val="Normal"/>
    <w:next w:val="Normal"/>
    <w:link w:val="Heading6Char"/>
    <w:qFormat/>
    <w:rsid w:val="00595C63"/>
    <w:pPr>
      <w:keepNext/>
      <w:widowControl/>
      <w:tabs>
        <w:tab w:val="left" w:pos="-1440"/>
        <w:tab w:val="left" w:pos="-720"/>
        <w:tab w:val="left" w:pos="0"/>
        <w:tab w:val="left" w:pos="1080"/>
        <w:tab w:val="left" w:pos="1440"/>
        <w:tab w:val="left" w:pos="4320"/>
      </w:tabs>
      <w:suppressAutoHyphens/>
      <w:overflowPunct w:val="0"/>
      <w:autoSpaceDE w:val="0"/>
      <w:autoSpaceDN w:val="0"/>
      <w:adjustRightInd w:val="0"/>
      <w:spacing w:after="0" w:line="240" w:lineRule="auto"/>
      <w:jc w:val="both"/>
      <w:textAlignment w:val="baseline"/>
      <w:outlineLvl w:val="5"/>
    </w:pPr>
    <w:rPr>
      <w:rFonts w:cs="Times New Roman"/>
      <w:b/>
      <w:spacing w:val="-3"/>
      <w:szCs w:val="20"/>
    </w:rPr>
  </w:style>
  <w:style w:type="paragraph" w:styleId="Heading7">
    <w:name w:val="heading 7"/>
    <w:basedOn w:val="Normal"/>
    <w:next w:val="Normal"/>
    <w:link w:val="Heading7Char"/>
    <w:qFormat/>
    <w:rsid w:val="00595C63"/>
    <w:pPr>
      <w:keepNext/>
      <w:widowControl/>
      <w:tabs>
        <w:tab w:val="center" w:pos="4680"/>
      </w:tabs>
      <w:suppressAutoHyphens/>
      <w:overflowPunct w:val="0"/>
      <w:autoSpaceDE w:val="0"/>
      <w:autoSpaceDN w:val="0"/>
      <w:adjustRightInd w:val="0"/>
      <w:spacing w:after="0" w:line="240" w:lineRule="auto"/>
      <w:jc w:val="center"/>
      <w:textAlignment w:val="baseline"/>
      <w:outlineLvl w:val="6"/>
    </w:pPr>
    <w:rPr>
      <w:rFonts w:cs="Times New Roman"/>
      <w:b/>
      <w:spacing w:val="-3"/>
      <w:szCs w:val="20"/>
    </w:rPr>
  </w:style>
  <w:style w:type="paragraph" w:styleId="Heading8">
    <w:name w:val="heading 8"/>
    <w:basedOn w:val="Normal"/>
    <w:next w:val="Normal"/>
    <w:link w:val="Heading8Char"/>
    <w:qFormat/>
    <w:rsid w:val="00595C63"/>
    <w:pPr>
      <w:keepNext/>
      <w:widowControl/>
      <w:numPr>
        <w:ilvl w:val="12"/>
      </w:numPr>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7"/>
    </w:pPr>
    <w:rPr>
      <w:rFonts w:cs="Times New Roman"/>
      <w:bCs/>
      <w:i/>
      <w:iCs/>
      <w:spacing w:val="-3"/>
      <w:szCs w:val="20"/>
      <w:u w:val="single"/>
    </w:rPr>
  </w:style>
  <w:style w:type="paragraph" w:styleId="Heading9">
    <w:name w:val="heading 9"/>
    <w:basedOn w:val="Normal"/>
    <w:next w:val="Normal"/>
    <w:link w:val="Heading9Char"/>
    <w:qFormat/>
    <w:rsid w:val="00595C63"/>
    <w:pPr>
      <w:keepNext/>
      <w:keepLines/>
      <w:widowControl/>
      <w:spacing w:after="120" w:line="240" w:lineRule="auto"/>
      <w:jc w:val="center"/>
      <w:outlineLvl w:val="8"/>
    </w:pPr>
    <w:rPr>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911"/>
    <w:rPr>
      <w:rFonts w:ascii="Cambria Math" w:hAnsi="Cambria Math" w:cs="Times New Roman"/>
      <w:b/>
      <w:spacing w:val="-3"/>
      <w:sz w:val="28"/>
      <w:u w:val="single"/>
    </w:rPr>
  </w:style>
  <w:style w:type="character" w:customStyle="1" w:styleId="Heading2Char">
    <w:name w:val="Heading 2 Char"/>
    <w:basedOn w:val="DefaultParagraphFont"/>
    <w:link w:val="Heading2"/>
    <w:rsid w:val="00E37866"/>
    <w:rPr>
      <w:b/>
      <w:i/>
      <w:spacing w:val="-3"/>
      <w:sz w:val="24"/>
    </w:rPr>
  </w:style>
  <w:style w:type="character" w:customStyle="1" w:styleId="Heading3Char">
    <w:name w:val="Heading 3 Char"/>
    <w:basedOn w:val="DefaultParagraphFont"/>
    <w:link w:val="Heading3"/>
    <w:rsid w:val="00595C63"/>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595C63"/>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595C63"/>
    <w:rPr>
      <w:rFonts w:ascii="Arial" w:eastAsia="Times New Roman" w:hAnsi="Arial" w:cs="Times New Roman"/>
      <w:b/>
      <w:spacing w:val="-3"/>
      <w:sz w:val="28"/>
      <w:szCs w:val="20"/>
      <w:u w:val="single"/>
    </w:rPr>
  </w:style>
  <w:style w:type="character" w:customStyle="1" w:styleId="Heading6Char">
    <w:name w:val="Heading 6 Char"/>
    <w:basedOn w:val="DefaultParagraphFont"/>
    <w:link w:val="Heading6"/>
    <w:rsid w:val="00595C63"/>
    <w:rPr>
      <w:rFonts w:ascii="Arial" w:eastAsia="Times New Roman" w:hAnsi="Arial" w:cs="Times New Roman"/>
      <w:b/>
      <w:spacing w:val="-3"/>
      <w:sz w:val="24"/>
      <w:szCs w:val="20"/>
    </w:rPr>
  </w:style>
  <w:style w:type="character" w:customStyle="1" w:styleId="Heading7Char">
    <w:name w:val="Heading 7 Char"/>
    <w:basedOn w:val="DefaultParagraphFont"/>
    <w:link w:val="Heading7"/>
    <w:rsid w:val="00595C63"/>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595C63"/>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595C63"/>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FA028A"/>
    <w:rPr>
      <w:sz w:val="16"/>
      <w:szCs w:val="16"/>
    </w:rPr>
  </w:style>
  <w:style w:type="paragraph" w:styleId="CommentText">
    <w:name w:val="annotation text"/>
    <w:basedOn w:val="Normal"/>
    <w:link w:val="CommentTextChar"/>
    <w:uiPriority w:val="99"/>
    <w:semiHidden/>
    <w:unhideWhenUsed/>
    <w:rsid w:val="00FA028A"/>
    <w:pPr>
      <w:spacing w:line="240" w:lineRule="auto"/>
    </w:pPr>
    <w:rPr>
      <w:sz w:val="20"/>
      <w:szCs w:val="20"/>
    </w:rPr>
  </w:style>
  <w:style w:type="character" w:customStyle="1" w:styleId="CommentTextChar">
    <w:name w:val="Comment Text Char"/>
    <w:basedOn w:val="DefaultParagraphFont"/>
    <w:link w:val="CommentText"/>
    <w:uiPriority w:val="99"/>
    <w:semiHidden/>
    <w:rsid w:val="00FA028A"/>
    <w:rPr>
      <w:sz w:val="20"/>
      <w:szCs w:val="20"/>
    </w:rPr>
  </w:style>
  <w:style w:type="paragraph" w:styleId="CommentSubject">
    <w:name w:val="annotation subject"/>
    <w:basedOn w:val="CommentText"/>
    <w:next w:val="CommentText"/>
    <w:link w:val="CommentSubjectChar"/>
    <w:semiHidden/>
    <w:unhideWhenUsed/>
    <w:rsid w:val="00FA028A"/>
    <w:rPr>
      <w:b/>
      <w:bCs/>
    </w:rPr>
  </w:style>
  <w:style w:type="character" w:customStyle="1" w:styleId="CommentSubjectChar">
    <w:name w:val="Comment Subject Char"/>
    <w:basedOn w:val="CommentTextChar"/>
    <w:link w:val="CommentSubject"/>
    <w:semiHidden/>
    <w:rsid w:val="00FA028A"/>
    <w:rPr>
      <w:b/>
      <w:bCs/>
      <w:sz w:val="20"/>
      <w:szCs w:val="20"/>
    </w:rPr>
  </w:style>
  <w:style w:type="paragraph" w:styleId="BalloonText">
    <w:name w:val="Balloon Text"/>
    <w:basedOn w:val="Normal"/>
    <w:link w:val="BalloonTextChar"/>
    <w:uiPriority w:val="99"/>
    <w:semiHidden/>
    <w:unhideWhenUsed/>
    <w:rsid w:val="00FA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8A"/>
    <w:rPr>
      <w:rFonts w:ascii="Tahoma" w:hAnsi="Tahoma" w:cs="Tahoma"/>
      <w:sz w:val="16"/>
      <w:szCs w:val="16"/>
    </w:rPr>
  </w:style>
  <w:style w:type="paragraph" w:styleId="NoSpacing">
    <w:name w:val="No Spacing"/>
    <w:link w:val="NoSpacingChar"/>
    <w:uiPriority w:val="1"/>
    <w:qFormat/>
    <w:rsid w:val="00D90DBF"/>
    <w:rPr>
      <w:sz w:val="24"/>
      <w:szCs w:val="24"/>
    </w:rPr>
  </w:style>
  <w:style w:type="character" w:customStyle="1" w:styleId="NoSpacingChar">
    <w:name w:val="No Spacing Char"/>
    <w:basedOn w:val="DefaultParagraphFont"/>
    <w:link w:val="NoSpacing"/>
    <w:uiPriority w:val="1"/>
    <w:rsid w:val="00595C63"/>
    <w:rPr>
      <w:sz w:val="24"/>
      <w:szCs w:val="24"/>
      <w:lang w:val="en-US" w:eastAsia="en-US" w:bidi="ar-SA"/>
    </w:rPr>
  </w:style>
  <w:style w:type="table" w:styleId="TableGrid">
    <w:name w:val="Table Grid"/>
    <w:basedOn w:val="TableNormal"/>
    <w:uiPriority w:val="59"/>
    <w:rsid w:val="00D9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595C63"/>
    <w:rPr>
      <w:rFonts w:ascii="Times Roman" w:eastAsia="Times New Roman" w:hAnsi="Times Roman" w:cs="Times New Roman"/>
      <w:sz w:val="24"/>
      <w:szCs w:val="20"/>
    </w:rPr>
  </w:style>
  <w:style w:type="paragraph" w:styleId="EndnoteText">
    <w:name w:val="endnote text"/>
    <w:basedOn w:val="Normal"/>
    <w:link w:val="End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paragraph" w:styleId="FootnoteText">
    <w:name w:val="footnote text"/>
    <w:basedOn w:val="Normal"/>
    <w:link w:val="Foot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noteTextChar">
    <w:name w:val="Footnote Text Char"/>
    <w:basedOn w:val="DefaultParagraphFont"/>
    <w:link w:val="FootnoteText"/>
    <w:semiHidden/>
    <w:rsid w:val="00595C63"/>
    <w:rPr>
      <w:rFonts w:ascii="Times Roman" w:eastAsia="Times New Roman" w:hAnsi="Times Roman" w:cs="Times New Roman"/>
      <w:sz w:val="24"/>
      <w:szCs w:val="20"/>
    </w:rPr>
  </w:style>
  <w:style w:type="character" w:customStyle="1" w:styleId="Bibliogrphy">
    <w:name w:val="Bibliogrphy"/>
    <w:basedOn w:val="DefaultParagraphFont"/>
    <w:rsid w:val="00595C63"/>
  </w:style>
  <w:style w:type="character" w:customStyle="1" w:styleId="TechInit">
    <w:name w:val="Tech Init"/>
    <w:basedOn w:val="DefaultParagraphFont"/>
    <w:rsid w:val="00595C63"/>
    <w:rPr>
      <w:rFonts w:ascii="Times Roman" w:hAnsi="Times Roman"/>
      <w:noProof w:val="0"/>
      <w:sz w:val="24"/>
      <w:lang w:val="en-US"/>
    </w:rPr>
  </w:style>
  <w:style w:type="character" w:customStyle="1" w:styleId="Technical1">
    <w:name w:val="Technical 1"/>
    <w:basedOn w:val="DefaultParagraphFont"/>
    <w:rsid w:val="00595C63"/>
    <w:rPr>
      <w:rFonts w:ascii="Times Roman" w:hAnsi="Times Roman"/>
      <w:noProof w:val="0"/>
      <w:sz w:val="24"/>
      <w:lang w:val="en-US"/>
    </w:rPr>
  </w:style>
  <w:style w:type="character" w:customStyle="1" w:styleId="Technical2">
    <w:name w:val="Technical 2"/>
    <w:basedOn w:val="DefaultParagraphFont"/>
    <w:rsid w:val="00595C63"/>
    <w:rPr>
      <w:rFonts w:ascii="Times Roman" w:hAnsi="Times Roman"/>
      <w:noProof w:val="0"/>
      <w:sz w:val="24"/>
      <w:lang w:val="en-US"/>
    </w:rPr>
  </w:style>
  <w:style w:type="character" w:customStyle="1" w:styleId="Technical3">
    <w:name w:val="Technical 3"/>
    <w:basedOn w:val="DefaultParagraphFont"/>
    <w:rsid w:val="00595C63"/>
    <w:rPr>
      <w:rFonts w:ascii="Times Roman" w:hAnsi="Times Roman"/>
      <w:noProof w:val="0"/>
      <w:sz w:val="24"/>
      <w:lang w:val="en-US"/>
    </w:rPr>
  </w:style>
  <w:style w:type="paragraph" w:customStyle="1" w:styleId="Technical4">
    <w:name w:val="Technical 4"/>
    <w:rsid w:val="00595C63"/>
    <w:pPr>
      <w:tabs>
        <w:tab w:val="left" w:pos="-720"/>
      </w:tabs>
      <w:suppressAutoHyphens/>
      <w:overflowPunct w:val="0"/>
      <w:autoSpaceDE w:val="0"/>
      <w:autoSpaceDN w:val="0"/>
      <w:adjustRightInd w:val="0"/>
      <w:textAlignment w:val="baseline"/>
    </w:pPr>
    <w:rPr>
      <w:rFonts w:ascii="Times Roman" w:hAnsi="Times Roman" w:cs="Times New Roman"/>
      <w:b/>
      <w:sz w:val="24"/>
    </w:rPr>
  </w:style>
  <w:style w:type="paragraph" w:customStyle="1" w:styleId="Technical5">
    <w:name w:val="Technical 5"/>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6">
    <w:name w:val="Technical 6"/>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7">
    <w:name w:val="Technical 7"/>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8">
    <w:name w:val="Technical 8"/>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character" w:customStyle="1" w:styleId="DocInit">
    <w:name w:val="Doc Init"/>
    <w:basedOn w:val="DefaultParagraphFont"/>
    <w:rsid w:val="00595C63"/>
  </w:style>
  <w:style w:type="paragraph" w:customStyle="1" w:styleId="Document1">
    <w:name w:val="Document 1"/>
    <w:rsid w:val="00595C63"/>
    <w:pPr>
      <w:keepNext/>
      <w:keepLines/>
      <w:tabs>
        <w:tab w:val="left" w:pos="-720"/>
      </w:tabs>
      <w:suppressAutoHyphens/>
      <w:overflowPunct w:val="0"/>
      <w:autoSpaceDE w:val="0"/>
      <w:autoSpaceDN w:val="0"/>
      <w:adjustRightInd w:val="0"/>
      <w:textAlignment w:val="baseline"/>
    </w:pPr>
    <w:rPr>
      <w:rFonts w:ascii="Times Roman" w:hAnsi="Times Roman" w:cs="Times New Roman"/>
      <w:sz w:val="24"/>
    </w:rPr>
  </w:style>
  <w:style w:type="character" w:customStyle="1" w:styleId="Document2">
    <w:name w:val="Document 2"/>
    <w:basedOn w:val="DefaultParagraphFont"/>
    <w:rsid w:val="00595C63"/>
    <w:rPr>
      <w:rFonts w:ascii="Times Roman" w:hAnsi="Times Roman"/>
      <w:noProof w:val="0"/>
      <w:sz w:val="24"/>
      <w:lang w:val="en-US"/>
    </w:rPr>
  </w:style>
  <w:style w:type="character" w:customStyle="1" w:styleId="Document3">
    <w:name w:val="Document 3"/>
    <w:basedOn w:val="DefaultParagraphFont"/>
    <w:rsid w:val="00595C63"/>
    <w:rPr>
      <w:rFonts w:ascii="Times Roman" w:hAnsi="Times Roman"/>
      <w:noProof w:val="0"/>
      <w:sz w:val="24"/>
      <w:lang w:val="en-US"/>
    </w:rPr>
  </w:style>
  <w:style w:type="character" w:customStyle="1" w:styleId="Document4">
    <w:name w:val="Document 4"/>
    <w:basedOn w:val="DefaultParagraphFont"/>
    <w:rsid w:val="00595C63"/>
    <w:rPr>
      <w:b/>
      <w:i/>
      <w:sz w:val="24"/>
    </w:rPr>
  </w:style>
  <w:style w:type="character" w:customStyle="1" w:styleId="Document5">
    <w:name w:val="Document 5"/>
    <w:basedOn w:val="DefaultParagraphFont"/>
    <w:rsid w:val="00595C63"/>
  </w:style>
  <w:style w:type="character" w:customStyle="1" w:styleId="Document6">
    <w:name w:val="Document 6"/>
    <w:basedOn w:val="DefaultParagraphFont"/>
    <w:rsid w:val="00595C63"/>
  </w:style>
  <w:style w:type="character" w:customStyle="1" w:styleId="Document7">
    <w:name w:val="Document 7"/>
    <w:basedOn w:val="DefaultParagraphFont"/>
    <w:rsid w:val="00595C63"/>
  </w:style>
  <w:style w:type="character" w:customStyle="1" w:styleId="Document8">
    <w:name w:val="Document 8"/>
    <w:basedOn w:val="DefaultParagraphFont"/>
    <w:rsid w:val="00595C63"/>
  </w:style>
  <w:style w:type="character" w:customStyle="1" w:styleId="BulletList">
    <w:name w:val="Bullet List"/>
    <w:basedOn w:val="DefaultParagraphFont"/>
    <w:rsid w:val="00595C63"/>
  </w:style>
  <w:style w:type="paragraph" w:customStyle="1" w:styleId="RightPar1">
    <w:name w:val="Right Par 1"/>
    <w:rsid w:val="00595C63"/>
    <w:pPr>
      <w:tabs>
        <w:tab w:val="left" w:pos="-720"/>
        <w:tab w:val="left" w:pos="0"/>
        <w:tab w:val="decimal" w:pos="720"/>
      </w:tabs>
      <w:suppressAutoHyphens/>
      <w:overflowPunct w:val="0"/>
      <w:autoSpaceDE w:val="0"/>
      <w:autoSpaceDN w:val="0"/>
      <w:adjustRightInd w:val="0"/>
      <w:ind w:firstLine="720"/>
      <w:textAlignment w:val="baseline"/>
    </w:pPr>
    <w:rPr>
      <w:rFonts w:ascii="Times Roman" w:hAnsi="Times Roman" w:cs="Times New Roman"/>
      <w:sz w:val="24"/>
    </w:rPr>
  </w:style>
  <w:style w:type="paragraph" w:customStyle="1" w:styleId="RightPar2">
    <w:name w:val="Right Par 2"/>
    <w:rsid w:val="00595C6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Times Roman" w:hAnsi="Times Roman" w:cs="Times New Roman"/>
      <w:sz w:val="24"/>
    </w:rPr>
  </w:style>
  <w:style w:type="paragraph" w:customStyle="1" w:styleId="RightPar3">
    <w:name w:val="Right Par 3"/>
    <w:rsid w:val="00595C6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Times Roman" w:hAnsi="Times Roman" w:cs="Times New Roman"/>
      <w:sz w:val="24"/>
    </w:rPr>
  </w:style>
  <w:style w:type="paragraph" w:customStyle="1" w:styleId="RightPar4">
    <w:name w:val="Right Par 4"/>
    <w:rsid w:val="00595C63"/>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Times Roman" w:hAnsi="Times Roman" w:cs="Times New Roman"/>
      <w:sz w:val="24"/>
    </w:rPr>
  </w:style>
  <w:style w:type="paragraph" w:customStyle="1" w:styleId="RightPar5">
    <w:name w:val="Right Par 5"/>
    <w:rsid w:val="00595C6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Times Roman" w:hAnsi="Times Roman" w:cs="Times New Roman"/>
      <w:sz w:val="24"/>
    </w:rPr>
  </w:style>
  <w:style w:type="paragraph" w:customStyle="1" w:styleId="RightPar6">
    <w:name w:val="Right Par 6"/>
    <w:rsid w:val="00595C6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Times Roman" w:hAnsi="Times Roman" w:cs="Times New Roman"/>
      <w:sz w:val="24"/>
    </w:rPr>
  </w:style>
  <w:style w:type="paragraph" w:customStyle="1" w:styleId="RightPar7">
    <w:name w:val="Right Par 7"/>
    <w:rsid w:val="00595C6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Times Roman" w:hAnsi="Times Roman" w:cs="Times New Roman"/>
      <w:sz w:val="24"/>
    </w:rPr>
  </w:style>
  <w:style w:type="paragraph" w:customStyle="1" w:styleId="RightPar8">
    <w:name w:val="Right Par 8"/>
    <w:rsid w:val="00595C6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Times Roman" w:hAnsi="Times Roman" w:cs="Times New Roman"/>
      <w:sz w:val="24"/>
    </w:rPr>
  </w:style>
  <w:style w:type="paragraph" w:styleId="TOC1">
    <w:name w:val="toc 1"/>
    <w:basedOn w:val="Normal"/>
    <w:next w:val="Normal"/>
    <w:uiPriority w:val="39"/>
    <w:rsid w:val="00595C63"/>
    <w:pPr>
      <w:widowControl/>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Times Roman" w:hAnsi="Times Roman" w:cs="Times New Roman"/>
      <w:szCs w:val="20"/>
    </w:rPr>
  </w:style>
  <w:style w:type="paragraph" w:styleId="TOC3">
    <w:name w:val="toc 3"/>
    <w:basedOn w:val="Normal"/>
    <w:next w:val="Normal"/>
    <w:semiHidden/>
    <w:rsid w:val="00595C63"/>
    <w:pPr>
      <w:widowControl/>
      <w:tabs>
        <w:tab w:val="right" w:leader="dot" w:pos="9360"/>
      </w:tabs>
      <w:suppressAutoHyphens/>
      <w:overflowPunct w:val="0"/>
      <w:autoSpaceDE w:val="0"/>
      <w:autoSpaceDN w:val="0"/>
      <w:adjustRightInd w:val="0"/>
      <w:spacing w:after="0" w:line="240" w:lineRule="auto"/>
      <w:ind w:left="2160" w:right="720" w:hanging="720"/>
      <w:textAlignment w:val="baseline"/>
    </w:pPr>
    <w:rPr>
      <w:rFonts w:ascii="Times Roman" w:hAnsi="Times Roman" w:cs="Times New Roman"/>
      <w:szCs w:val="20"/>
    </w:rPr>
  </w:style>
  <w:style w:type="paragraph" w:styleId="Index1">
    <w:name w:val="index 1"/>
    <w:basedOn w:val="Normal"/>
    <w:next w:val="Normal"/>
    <w:semiHidden/>
    <w:rsid w:val="00595C63"/>
    <w:pPr>
      <w:widowControl/>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Roman" w:hAnsi="Times Roman" w:cs="Times New Roman"/>
      <w:szCs w:val="20"/>
    </w:rPr>
  </w:style>
  <w:style w:type="paragraph" w:styleId="Caption">
    <w:name w:val="caption"/>
    <w:basedOn w:val="Normal"/>
    <w:next w:val="Normal"/>
    <w:qFormat/>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EquationCaption">
    <w:name w:val="_Equation Caption"/>
    <w:rsid w:val="00595C63"/>
  </w:style>
  <w:style w:type="paragraph" w:styleId="Header">
    <w:name w:val="header"/>
    <w:basedOn w:val="Normal"/>
    <w:link w:val="Head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HeaderChar">
    <w:name w:val="Header Char"/>
    <w:basedOn w:val="DefaultParagraphFont"/>
    <w:link w:val="Header"/>
    <w:uiPriority w:val="99"/>
    <w:rsid w:val="00595C63"/>
    <w:rPr>
      <w:rFonts w:ascii="Times Roman" w:eastAsia="Times New Roman" w:hAnsi="Times Roman" w:cs="Times New Roman"/>
      <w:sz w:val="24"/>
      <w:szCs w:val="20"/>
    </w:rPr>
  </w:style>
  <w:style w:type="paragraph" w:styleId="Footer">
    <w:name w:val="footer"/>
    <w:basedOn w:val="Normal"/>
    <w:link w:val="Foot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erChar">
    <w:name w:val="Footer Char"/>
    <w:basedOn w:val="DefaultParagraphFont"/>
    <w:link w:val="Footer"/>
    <w:uiPriority w:val="99"/>
    <w:rsid w:val="00595C63"/>
    <w:rPr>
      <w:rFonts w:ascii="Times Roman" w:eastAsia="Times New Roman" w:hAnsi="Times Roman" w:cs="Times New Roman"/>
      <w:sz w:val="24"/>
      <w:szCs w:val="20"/>
    </w:rPr>
  </w:style>
  <w:style w:type="paragraph" w:styleId="BodyText">
    <w:name w:val="Body Text"/>
    <w:basedOn w:val="Normal"/>
    <w:link w:val="BodyText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 w:val="32"/>
      <w:szCs w:val="20"/>
    </w:rPr>
  </w:style>
  <w:style w:type="character" w:customStyle="1" w:styleId="BodyTextChar">
    <w:name w:val="Body Text Char"/>
    <w:basedOn w:val="DefaultParagraphFont"/>
    <w:link w:val="BodyText"/>
    <w:rsid w:val="00595C63"/>
    <w:rPr>
      <w:rFonts w:ascii="Arial" w:eastAsia="Times New Roman" w:hAnsi="Arial" w:cs="Times New Roman"/>
      <w:b/>
      <w:spacing w:val="-3"/>
      <w:sz w:val="32"/>
      <w:szCs w:val="20"/>
    </w:rPr>
  </w:style>
  <w:style w:type="paragraph" w:styleId="BodyText2">
    <w:name w:val="Body Text 2"/>
    <w:basedOn w:val="Normal"/>
    <w:link w:val="BodyText2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spacing w:val="-3"/>
      <w:szCs w:val="20"/>
    </w:rPr>
  </w:style>
  <w:style w:type="character" w:customStyle="1" w:styleId="BodyText2Char">
    <w:name w:val="Body Text 2 Char"/>
    <w:basedOn w:val="DefaultParagraphFont"/>
    <w:link w:val="BodyText2"/>
    <w:rsid w:val="00595C63"/>
    <w:rPr>
      <w:rFonts w:ascii="Arial" w:eastAsia="Times New Roman" w:hAnsi="Arial" w:cs="Times New Roman"/>
      <w:spacing w:val="-3"/>
      <w:sz w:val="24"/>
      <w:szCs w:val="20"/>
    </w:rPr>
  </w:style>
  <w:style w:type="paragraph" w:styleId="BodyText3">
    <w:name w:val="Body Text 3"/>
    <w:basedOn w:val="Normal"/>
    <w:link w:val="BodyText3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Cs w:val="20"/>
    </w:rPr>
  </w:style>
  <w:style w:type="character" w:customStyle="1" w:styleId="BodyText3Char">
    <w:name w:val="Body Text 3 Char"/>
    <w:basedOn w:val="DefaultParagraphFont"/>
    <w:link w:val="BodyText3"/>
    <w:rsid w:val="00595C63"/>
    <w:rPr>
      <w:rFonts w:ascii="Arial" w:eastAsia="Times New Roman" w:hAnsi="Arial" w:cs="Times New Roman"/>
      <w:b/>
      <w:spacing w:val="-3"/>
      <w:sz w:val="24"/>
      <w:szCs w:val="20"/>
    </w:rPr>
  </w:style>
  <w:style w:type="paragraph" w:styleId="BlockText">
    <w:name w:val="Block Text"/>
    <w:basedOn w:val="Normal"/>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720" w:right="720"/>
      <w:jc w:val="both"/>
      <w:textAlignment w:val="baseline"/>
    </w:pPr>
    <w:rPr>
      <w:rFonts w:cs="Times New Roman"/>
      <w:i/>
      <w:iCs/>
      <w:spacing w:val="-3"/>
      <w:szCs w:val="20"/>
    </w:rPr>
  </w:style>
  <w:style w:type="paragraph" w:styleId="BodyTextIndent">
    <w:name w:val="Body Text Indent"/>
    <w:basedOn w:val="Normal"/>
    <w:link w:val="BodyTextIndentChar"/>
    <w:rsid w:val="00595C63"/>
    <w:pPr>
      <w:widowControl/>
      <w:overflowPunct w:val="0"/>
      <w:autoSpaceDE w:val="0"/>
      <w:autoSpaceDN w:val="0"/>
      <w:adjustRightInd w:val="0"/>
      <w:spacing w:after="0" w:line="240" w:lineRule="auto"/>
      <w:ind w:left="720"/>
      <w:textAlignment w:val="baseline"/>
    </w:pPr>
    <w:rPr>
      <w:rFonts w:cs="Times New Roman"/>
      <w:spacing w:val="-3"/>
      <w:szCs w:val="20"/>
    </w:rPr>
  </w:style>
  <w:style w:type="character" w:customStyle="1" w:styleId="BodyTextIndentChar">
    <w:name w:val="Body Text Indent Char"/>
    <w:basedOn w:val="DefaultParagraphFont"/>
    <w:link w:val="BodyTextIndent"/>
    <w:rsid w:val="00595C63"/>
    <w:rPr>
      <w:rFonts w:ascii="Arial" w:eastAsia="Times New Roman" w:hAnsi="Arial" w:cs="Times New Roman"/>
      <w:spacing w:val="-3"/>
      <w:sz w:val="24"/>
      <w:szCs w:val="20"/>
    </w:rPr>
  </w:style>
  <w:style w:type="character" w:customStyle="1" w:styleId="apple-converted-space">
    <w:name w:val="apple-converted-space"/>
    <w:basedOn w:val="DefaultParagraphFont"/>
    <w:rsid w:val="00595C63"/>
  </w:style>
  <w:style w:type="character" w:styleId="Hyperlink">
    <w:name w:val="Hyperlink"/>
    <w:basedOn w:val="DefaultParagraphFont"/>
    <w:uiPriority w:val="99"/>
    <w:rsid w:val="00595C63"/>
    <w:rPr>
      <w:color w:val="0000FF"/>
      <w:u w:val="single"/>
    </w:rPr>
  </w:style>
  <w:style w:type="character" w:styleId="Emphasis">
    <w:name w:val="Emphasis"/>
    <w:basedOn w:val="DefaultParagraphFont"/>
    <w:qFormat/>
    <w:rsid w:val="00595C63"/>
    <w:rPr>
      <w:b/>
      <w:bCs/>
      <w:i w:val="0"/>
      <w:iCs w:val="0"/>
    </w:rPr>
  </w:style>
  <w:style w:type="paragraph" w:styleId="ListParagraph">
    <w:name w:val="List Paragraph"/>
    <w:basedOn w:val="Normal"/>
    <w:uiPriority w:val="34"/>
    <w:qFormat/>
    <w:rsid w:val="00595C63"/>
    <w:pPr>
      <w:widowControl/>
      <w:spacing w:after="0" w:line="240" w:lineRule="auto"/>
      <w:ind w:left="720"/>
      <w:contextualSpacing/>
    </w:pPr>
    <w:rPr>
      <w:rFonts w:ascii="Times New Roman" w:hAnsi="Times New Roman" w:cs="Times New Roman"/>
    </w:rPr>
  </w:style>
  <w:style w:type="paragraph" w:styleId="NormalWeb">
    <w:name w:val="Normal (Web)"/>
    <w:basedOn w:val="Normal"/>
    <w:uiPriority w:val="99"/>
    <w:unhideWhenUsed/>
    <w:rsid w:val="00595C63"/>
    <w:pPr>
      <w:widowControl/>
      <w:spacing w:before="100" w:beforeAutospacing="1" w:after="100" w:afterAutospacing="1" w:line="240" w:lineRule="auto"/>
    </w:pPr>
    <w:rPr>
      <w:rFonts w:ascii="Times New Roman" w:hAnsi="Times New Roman" w:cs="Times New Roman"/>
    </w:rPr>
  </w:style>
  <w:style w:type="paragraph" w:customStyle="1" w:styleId="IRPHeader3">
    <w:name w:val="IRP Header 3"/>
    <w:basedOn w:val="Normal"/>
    <w:next w:val="Heading2"/>
    <w:link w:val="IRPHeader3Char"/>
    <w:qFormat/>
    <w:rsid w:val="00595C63"/>
    <w:pPr>
      <w:widowControl/>
      <w:overflowPunct w:val="0"/>
      <w:autoSpaceDE w:val="0"/>
      <w:autoSpaceDN w:val="0"/>
      <w:adjustRightInd w:val="0"/>
      <w:spacing w:before="120" w:after="0" w:line="240" w:lineRule="auto"/>
      <w:textAlignment w:val="baseline"/>
    </w:pPr>
    <w:rPr>
      <w:rFonts w:cs="Times New Roman"/>
      <w:b/>
      <w:szCs w:val="20"/>
    </w:rPr>
  </w:style>
  <w:style w:type="character" w:customStyle="1" w:styleId="IRPHeader3Char">
    <w:name w:val="IRP Header 3 Char"/>
    <w:basedOn w:val="DefaultParagraphFont"/>
    <w:link w:val="IRPHeader3"/>
    <w:rsid w:val="00595C63"/>
    <w:rPr>
      <w:rFonts w:ascii="Arial" w:eastAsia="Times New Roman" w:hAnsi="Arial" w:cs="Times New Roman"/>
      <w:b/>
      <w:sz w:val="24"/>
      <w:szCs w:val="20"/>
    </w:rPr>
  </w:style>
  <w:style w:type="paragraph" w:customStyle="1" w:styleId="Normal-Unedited">
    <w:name w:val="Normal - Unedited"/>
    <w:basedOn w:val="Caption"/>
    <w:link w:val="Normal-UneditedChar"/>
    <w:qFormat/>
    <w:rsid w:val="00595C63"/>
    <w:rPr>
      <w:rFonts w:ascii="Arial" w:hAnsi="Arial"/>
      <w:color w:val="E36C0A"/>
    </w:rPr>
  </w:style>
  <w:style w:type="character" w:customStyle="1" w:styleId="Normal-UneditedChar">
    <w:name w:val="Normal - Unedited Char"/>
    <w:basedOn w:val="DefaultParagraphFont"/>
    <w:link w:val="Normal-Unedited"/>
    <w:rsid w:val="00595C63"/>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595C63"/>
    <w:pPr>
      <w:numPr>
        <w:ilvl w:val="1"/>
      </w:numPr>
      <w:jc w:val="left"/>
    </w:pPr>
  </w:style>
  <w:style w:type="character" w:customStyle="1" w:styleId="IRPHeader2Char">
    <w:name w:val="IRP Header 2 Char"/>
    <w:basedOn w:val="DefaultParagraphFont"/>
    <w:link w:val="IRPHeader2"/>
    <w:rsid w:val="00595C63"/>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595C63"/>
    <w:pPr>
      <w:jc w:val="center"/>
    </w:pPr>
    <w:rPr>
      <w:rFonts w:ascii="Arial" w:hAnsi="Arial"/>
      <w:sz w:val="20"/>
    </w:rPr>
  </w:style>
  <w:style w:type="character" w:customStyle="1" w:styleId="IRPCaptionChar">
    <w:name w:val="IRP Caption Char"/>
    <w:basedOn w:val="DefaultParagraphFont"/>
    <w:link w:val="IRPCaption"/>
    <w:rsid w:val="00595C63"/>
    <w:rPr>
      <w:rFonts w:ascii="Arial" w:eastAsia="Times New Roman" w:hAnsi="Arial" w:cs="Times New Roman"/>
      <w:sz w:val="20"/>
      <w:szCs w:val="20"/>
    </w:rPr>
  </w:style>
  <w:style w:type="paragraph" w:customStyle="1" w:styleId="Normal-Tables">
    <w:name w:val="Normal - Tables"/>
    <w:basedOn w:val="Normal"/>
    <w:link w:val="Normal-TablesChar"/>
    <w:qFormat/>
    <w:rsid w:val="00595C63"/>
    <w:pPr>
      <w:widowControl/>
      <w:overflowPunct w:val="0"/>
      <w:autoSpaceDE w:val="0"/>
      <w:autoSpaceDN w:val="0"/>
      <w:adjustRightInd w:val="0"/>
      <w:spacing w:after="120" w:line="240" w:lineRule="auto"/>
      <w:contextualSpacing/>
      <w:textAlignment w:val="baseline"/>
    </w:pPr>
    <w:rPr>
      <w:rFonts w:cs="Times New Roman"/>
      <w:b/>
      <w:szCs w:val="20"/>
    </w:rPr>
  </w:style>
  <w:style w:type="character" w:customStyle="1" w:styleId="Normal-TablesChar">
    <w:name w:val="Normal - Tables Char"/>
    <w:basedOn w:val="DefaultParagraphFont"/>
    <w:link w:val="Normal-Tables"/>
    <w:rsid w:val="00595C63"/>
    <w:rPr>
      <w:rFonts w:ascii="Arial" w:eastAsia="Times New Roman" w:hAnsi="Arial" w:cs="Times New Roman"/>
      <w:b/>
      <w:sz w:val="24"/>
      <w:szCs w:val="20"/>
    </w:rPr>
  </w:style>
  <w:style w:type="character" w:customStyle="1" w:styleId="IRPMath">
    <w:name w:val="IRP Math"/>
    <w:basedOn w:val="DefaultParagraphFont"/>
    <w:rsid w:val="00595C63"/>
    <w:rPr>
      <w:rFonts w:ascii="Cambria Math" w:hAnsi="Cambria Math"/>
      <w:i/>
      <w:iCs/>
    </w:rPr>
  </w:style>
  <w:style w:type="character" w:customStyle="1" w:styleId="normalchar1">
    <w:name w:val="normal__char1"/>
    <w:basedOn w:val="DefaultParagraphFont"/>
    <w:rsid w:val="00595C63"/>
    <w:rPr>
      <w:rFonts w:ascii="Calibri" w:hAnsi="Calibri" w:hint="default"/>
      <w:sz w:val="22"/>
      <w:szCs w:val="22"/>
    </w:rPr>
  </w:style>
  <w:style w:type="character" w:customStyle="1" w:styleId="googqs-tidbit">
    <w:name w:val="goog_qs-tidbit"/>
    <w:basedOn w:val="DefaultParagraphFont"/>
    <w:rsid w:val="00595C63"/>
  </w:style>
  <w:style w:type="paragraph" w:customStyle="1" w:styleId="msolistparagraph0">
    <w:name w:val="msolistparagraph"/>
    <w:basedOn w:val="Normal"/>
    <w:rsid w:val="00595C63"/>
    <w:pPr>
      <w:widowControl/>
      <w:spacing w:before="100" w:beforeAutospacing="1" w:after="100" w:afterAutospacing="1" w:line="240" w:lineRule="auto"/>
    </w:pPr>
    <w:rPr>
      <w:rFonts w:ascii="Times New Roman" w:hAnsi="Times New Roman" w:cs="Times New Roman"/>
    </w:rPr>
  </w:style>
  <w:style w:type="character" w:customStyle="1" w:styleId="EndnoteTextChar1">
    <w:name w:val="Endnote Text Char1"/>
    <w:basedOn w:val="DefaultParagraphFont"/>
    <w:uiPriority w:val="99"/>
    <w:semiHidden/>
    <w:rsid w:val="00815C10"/>
    <w:rPr>
      <w:sz w:val="20"/>
      <w:szCs w:val="20"/>
    </w:rPr>
  </w:style>
  <w:style w:type="paragraph" w:styleId="Revision">
    <w:name w:val="Revision"/>
    <w:hidden/>
    <w:uiPriority w:val="99"/>
    <w:semiHidden/>
    <w:rsid w:val="00815C10"/>
    <w:rPr>
      <w:sz w:val="24"/>
      <w:szCs w:val="24"/>
    </w:rPr>
  </w:style>
  <w:style w:type="character" w:styleId="Strong">
    <w:name w:val="Strong"/>
    <w:basedOn w:val="DefaultParagraphFont"/>
    <w:uiPriority w:val="22"/>
    <w:qFormat/>
    <w:rsid w:val="0027114A"/>
    <w:rPr>
      <w:b/>
      <w:bCs/>
    </w:rPr>
  </w:style>
  <w:style w:type="character" w:styleId="FootnoteReference">
    <w:name w:val="footnote reference"/>
    <w:basedOn w:val="DefaultParagraphFont"/>
    <w:uiPriority w:val="99"/>
    <w:semiHidden/>
    <w:unhideWhenUsed/>
    <w:rsid w:val="006802BB"/>
    <w:rPr>
      <w:vertAlign w:val="superscript"/>
    </w:rPr>
  </w:style>
  <w:style w:type="paragraph" w:styleId="Bibliography">
    <w:name w:val="Bibliography"/>
    <w:basedOn w:val="Normal"/>
    <w:next w:val="Normal"/>
    <w:uiPriority w:val="37"/>
    <w:semiHidden/>
    <w:unhideWhenUsed/>
    <w:rsid w:val="00E73D27"/>
  </w:style>
  <w:style w:type="paragraph" w:styleId="BodyTextFirstIndent">
    <w:name w:val="Body Text First Indent"/>
    <w:basedOn w:val="BodyText"/>
    <w:link w:val="BodyTextFirstIndentChar"/>
    <w:uiPriority w:val="99"/>
    <w:semiHidden/>
    <w:unhideWhenUsed/>
    <w:rsid w:val="00E73D27"/>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E73D27"/>
    <w:rPr>
      <w:rFonts w:ascii="Arial" w:eastAsia="Times New Roman" w:hAnsi="Arial" w:cs="Times New Roman"/>
      <w:b w:val="0"/>
      <w:spacing w:val="-3"/>
      <w:sz w:val="24"/>
      <w:szCs w:val="24"/>
    </w:rPr>
  </w:style>
  <w:style w:type="paragraph" w:styleId="BodyTextFirstIndent2">
    <w:name w:val="Body Text First Indent 2"/>
    <w:basedOn w:val="BodyTextIndent"/>
    <w:link w:val="BodyTextFirstIndent2Char"/>
    <w:uiPriority w:val="99"/>
    <w:semiHidden/>
    <w:unhideWhenUsed/>
    <w:rsid w:val="00E73D27"/>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E73D27"/>
    <w:rPr>
      <w:rFonts w:ascii="Arial" w:eastAsia="Times New Roman" w:hAnsi="Arial" w:cs="Times New Roman"/>
      <w:spacing w:val="-3"/>
      <w:sz w:val="24"/>
      <w:szCs w:val="24"/>
    </w:rPr>
  </w:style>
  <w:style w:type="paragraph" w:styleId="BodyTextIndent2">
    <w:name w:val="Body Text Indent 2"/>
    <w:basedOn w:val="Normal"/>
    <w:link w:val="BodyTextIndent2Char"/>
    <w:uiPriority w:val="99"/>
    <w:semiHidden/>
    <w:unhideWhenUsed/>
    <w:rsid w:val="00E73D27"/>
    <w:pPr>
      <w:spacing w:after="120" w:line="480" w:lineRule="auto"/>
      <w:ind w:left="360"/>
    </w:pPr>
  </w:style>
  <w:style w:type="character" w:customStyle="1" w:styleId="BodyTextIndent2Char">
    <w:name w:val="Body Text Indent 2 Char"/>
    <w:basedOn w:val="DefaultParagraphFont"/>
    <w:link w:val="BodyTextIndent2"/>
    <w:uiPriority w:val="99"/>
    <w:semiHidden/>
    <w:rsid w:val="00E73D27"/>
    <w:rPr>
      <w:sz w:val="24"/>
      <w:szCs w:val="24"/>
    </w:rPr>
  </w:style>
  <w:style w:type="paragraph" w:styleId="BodyTextIndent3">
    <w:name w:val="Body Text Indent 3"/>
    <w:basedOn w:val="Normal"/>
    <w:link w:val="BodyTextIndent3Char"/>
    <w:uiPriority w:val="99"/>
    <w:semiHidden/>
    <w:unhideWhenUsed/>
    <w:rsid w:val="00E73D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3D27"/>
    <w:rPr>
      <w:sz w:val="16"/>
      <w:szCs w:val="16"/>
    </w:rPr>
  </w:style>
  <w:style w:type="paragraph" w:styleId="Closing">
    <w:name w:val="Closing"/>
    <w:basedOn w:val="Normal"/>
    <w:link w:val="ClosingChar"/>
    <w:uiPriority w:val="99"/>
    <w:semiHidden/>
    <w:unhideWhenUsed/>
    <w:rsid w:val="00E73D27"/>
    <w:pPr>
      <w:spacing w:after="0" w:line="240" w:lineRule="auto"/>
      <w:ind w:left="4320"/>
    </w:pPr>
  </w:style>
  <w:style w:type="character" w:customStyle="1" w:styleId="ClosingChar">
    <w:name w:val="Closing Char"/>
    <w:basedOn w:val="DefaultParagraphFont"/>
    <w:link w:val="Closing"/>
    <w:uiPriority w:val="99"/>
    <w:semiHidden/>
    <w:rsid w:val="00E73D27"/>
    <w:rPr>
      <w:sz w:val="24"/>
      <w:szCs w:val="24"/>
    </w:rPr>
  </w:style>
  <w:style w:type="paragraph" w:styleId="Date">
    <w:name w:val="Date"/>
    <w:basedOn w:val="Normal"/>
    <w:next w:val="Normal"/>
    <w:link w:val="DateChar"/>
    <w:uiPriority w:val="99"/>
    <w:semiHidden/>
    <w:unhideWhenUsed/>
    <w:rsid w:val="00E73D27"/>
  </w:style>
  <w:style w:type="character" w:customStyle="1" w:styleId="DateChar">
    <w:name w:val="Date Char"/>
    <w:basedOn w:val="DefaultParagraphFont"/>
    <w:link w:val="Date"/>
    <w:uiPriority w:val="99"/>
    <w:semiHidden/>
    <w:rsid w:val="00E73D27"/>
    <w:rPr>
      <w:sz w:val="24"/>
      <w:szCs w:val="24"/>
    </w:rPr>
  </w:style>
  <w:style w:type="paragraph" w:styleId="DocumentMap">
    <w:name w:val="Document Map"/>
    <w:basedOn w:val="Normal"/>
    <w:link w:val="DocumentMapChar"/>
    <w:uiPriority w:val="99"/>
    <w:semiHidden/>
    <w:unhideWhenUsed/>
    <w:rsid w:val="00E73D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3D27"/>
    <w:rPr>
      <w:rFonts w:ascii="Tahoma" w:hAnsi="Tahoma" w:cs="Tahoma"/>
      <w:sz w:val="16"/>
      <w:szCs w:val="16"/>
    </w:rPr>
  </w:style>
  <w:style w:type="paragraph" w:styleId="E-mailSignature">
    <w:name w:val="E-mail Signature"/>
    <w:basedOn w:val="Normal"/>
    <w:link w:val="E-mailSignatureChar"/>
    <w:uiPriority w:val="99"/>
    <w:semiHidden/>
    <w:unhideWhenUsed/>
    <w:rsid w:val="00E73D27"/>
    <w:pPr>
      <w:spacing w:after="0" w:line="240" w:lineRule="auto"/>
    </w:pPr>
  </w:style>
  <w:style w:type="character" w:customStyle="1" w:styleId="E-mailSignatureChar">
    <w:name w:val="E-mail Signature Char"/>
    <w:basedOn w:val="DefaultParagraphFont"/>
    <w:link w:val="E-mailSignature"/>
    <w:uiPriority w:val="99"/>
    <w:semiHidden/>
    <w:rsid w:val="00E73D27"/>
    <w:rPr>
      <w:sz w:val="24"/>
      <w:szCs w:val="24"/>
    </w:rPr>
  </w:style>
  <w:style w:type="paragraph" w:styleId="EnvelopeAddress">
    <w:name w:val="envelope address"/>
    <w:basedOn w:val="Normal"/>
    <w:uiPriority w:val="99"/>
    <w:semiHidden/>
    <w:unhideWhenUsed/>
    <w:rsid w:val="00E73D2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73D2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73D27"/>
    <w:pPr>
      <w:spacing w:after="0" w:line="240" w:lineRule="auto"/>
    </w:pPr>
    <w:rPr>
      <w:i/>
      <w:iCs/>
    </w:rPr>
  </w:style>
  <w:style w:type="character" w:customStyle="1" w:styleId="HTMLAddressChar">
    <w:name w:val="HTML Address Char"/>
    <w:basedOn w:val="DefaultParagraphFont"/>
    <w:link w:val="HTMLAddress"/>
    <w:uiPriority w:val="99"/>
    <w:semiHidden/>
    <w:rsid w:val="00E73D27"/>
    <w:rPr>
      <w:i/>
      <w:iCs/>
      <w:sz w:val="24"/>
      <w:szCs w:val="24"/>
    </w:rPr>
  </w:style>
  <w:style w:type="paragraph" w:styleId="HTMLPreformatted">
    <w:name w:val="HTML Preformatted"/>
    <w:basedOn w:val="Normal"/>
    <w:link w:val="HTMLPreformattedChar"/>
    <w:uiPriority w:val="99"/>
    <w:semiHidden/>
    <w:unhideWhenUsed/>
    <w:rsid w:val="00E73D2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3D27"/>
    <w:rPr>
      <w:rFonts w:ascii="Consolas" w:hAnsi="Consolas" w:cs="Consolas"/>
    </w:rPr>
  </w:style>
  <w:style w:type="paragraph" w:styleId="Index2">
    <w:name w:val="index 2"/>
    <w:basedOn w:val="Normal"/>
    <w:next w:val="Normal"/>
    <w:autoRedefine/>
    <w:semiHidden/>
    <w:unhideWhenUsed/>
    <w:rsid w:val="00E73D27"/>
    <w:pPr>
      <w:spacing w:after="0" w:line="240" w:lineRule="auto"/>
      <w:ind w:left="480" w:hanging="240"/>
    </w:pPr>
  </w:style>
  <w:style w:type="paragraph" w:styleId="Index3">
    <w:name w:val="index 3"/>
    <w:basedOn w:val="Normal"/>
    <w:next w:val="Normal"/>
    <w:autoRedefine/>
    <w:uiPriority w:val="99"/>
    <w:semiHidden/>
    <w:unhideWhenUsed/>
    <w:rsid w:val="00E73D27"/>
    <w:pPr>
      <w:spacing w:after="0" w:line="240" w:lineRule="auto"/>
      <w:ind w:left="720" w:hanging="240"/>
    </w:pPr>
  </w:style>
  <w:style w:type="paragraph" w:styleId="Index4">
    <w:name w:val="index 4"/>
    <w:basedOn w:val="Normal"/>
    <w:next w:val="Normal"/>
    <w:autoRedefine/>
    <w:uiPriority w:val="99"/>
    <w:semiHidden/>
    <w:unhideWhenUsed/>
    <w:rsid w:val="00E73D27"/>
    <w:pPr>
      <w:spacing w:after="0" w:line="240" w:lineRule="auto"/>
      <w:ind w:left="960" w:hanging="240"/>
    </w:pPr>
  </w:style>
  <w:style w:type="paragraph" w:styleId="Index5">
    <w:name w:val="index 5"/>
    <w:basedOn w:val="Normal"/>
    <w:next w:val="Normal"/>
    <w:autoRedefine/>
    <w:uiPriority w:val="99"/>
    <w:semiHidden/>
    <w:unhideWhenUsed/>
    <w:rsid w:val="00E73D27"/>
    <w:pPr>
      <w:spacing w:after="0" w:line="240" w:lineRule="auto"/>
      <w:ind w:left="1200" w:hanging="240"/>
    </w:pPr>
  </w:style>
  <w:style w:type="paragraph" w:styleId="Index6">
    <w:name w:val="index 6"/>
    <w:basedOn w:val="Normal"/>
    <w:next w:val="Normal"/>
    <w:autoRedefine/>
    <w:uiPriority w:val="99"/>
    <w:semiHidden/>
    <w:unhideWhenUsed/>
    <w:rsid w:val="00E73D27"/>
    <w:pPr>
      <w:spacing w:after="0" w:line="240" w:lineRule="auto"/>
      <w:ind w:left="1440" w:hanging="240"/>
    </w:pPr>
  </w:style>
  <w:style w:type="paragraph" w:styleId="Index7">
    <w:name w:val="index 7"/>
    <w:basedOn w:val="Normal"/>
    <w:next w:val="Normal"/>
    <w:autoRedefine/>
    <w:uiPriority w:val="99"/>
    <w:semiHidden/>
    <w:unhideWhenUsed/>
    <w:rsid w:val="00E73D27"/>
    <w:pPr>
      <w:spacing w:after="0" w:line="240" w:lineRule="auto"/>
      <w:ind w:left="1680" w:hanging="240"/>
    </w:pPr>
  </w:style>
  <w:style w:type="paragraph" w:styleId="Index8">
    <w:name w:val="index 8"/>
    <w:basedOn w:val="Normal"/>
    <w:next w:val="Normal"/>
    <w:autoRedefine/>
    <w:uiPriority w:val="99"/>
    <w:semiHidden/>
    <w:unhideWhenUsed/>
    <w:rsid w:val="00E73D27"/>
    <w:pPr>
      <w:spacing w:after="0" w:line="240" w:lineRule="auto"/>
      <w:ind w:left="1920" w:hanging="240"/>
    </w:pPr>
  </w:style>
  <w:style w:type="paragraph" w:styleId="Index9">
    <w:name w:val="index 9"/>
    <w:basedOn w:val="Normal"/>
    <w:next w:val="Normal"/>
    <w:autoRedefine/>
    <w:uiPriority w:val="99"/>
    <w:semiHidden/>
    <w:unhideWhenUsed/>
    <w:rsid w:val="00E73D27"/>
    <w:pPr>
      <w:spacing w:after="0" w:line="240" w:lineRule="auto"/>
      <w:ind w:left="2160" w:hanging="240"/>
    </w:pPr>
  </w:style>
  <w:style w:type="paragraph" w:styleId="IndexHeading">
    <w:name w:val="index heading"/>
    <w:basedOn w:val="Normal"/>
    <w:next w:val="Index1"/>
    <w:uiPriority w:val="99"/>
    <w:semiHidden/>
    <w:unhideWhenUsed/>
    <w:rsid w:val="00E73D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3D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3D27"/>
    <w:rPr>
      <w:b/>
      <w:bCs/>
      <w:i/>
      <w:iCs/>
      <w:color w:val="4F81BD" w:themeColor="accent1"/>
      <w:sz w:val="24"/>
      <w:szCs w:val="24"/>
    </w:rPr>
  </w:style>
  <w:style w:type="paragraph" w:styleId="List">
    <w:name w:val="List"/>
    <w:basedOn w:val="Normal"/>
    <w:uiPriority w:val="99"/>
    <w:semiHidden/>
    <w:unhideWhenUsed/>
    <w:rsid w:val="00E73D27"/>
    <w:pPr>
      <w:ind w:left="360" w:hanging="360"/>
      <w:contextualSpacing/>
    </w:pPr>
  </w:style>
  <w:style w:type="paragraph" w:styleId="List2">
    <w:name w:val="List 2"/>
    <w:basedOn w:val="Normal"/>
    <w:uiPriority w:val="99"/>
    <w:semiHidden/>
    <w:unhideWhenUsed/>
    <w:rsid w:val="00E73D27"/>
    <w:pPr>
      <w:ind w:left="720" w:hanging="360"/>
      <w:contextualSpacing/>
    </w:pPr>
  </w:style>
  <w:style w:type="paragraph" w:styleId="List3">
    <w:name w:val="List 3"/>
    <w:basedOn w:val="Normal"/>
    <w:uiPriority w:val="99"/>
    <w:semiHidden/>
    <w:unhideWhenUsed/>
    <w:rsid w:val="00E73D27"/>
    <w:pPr>
      <w:ind w:left="1080" w:hanging="360"/>
      <w:contextualSpacing/>
    </w:pPr>
  </w:style>
  <w:style w:type="paragraph" w:styleId="List4">
    <w:name w:val="List 4"/>
    <w:basedOn w:val="Normal"/>
    <w:uiPriority w:val="99"/>
    <w:semiHidden/>
    <w:unhideWhenUsed/>
    <w:rsid w:val="00E73D27"/>
    <w:pPr>
      <w:ind w:left="1440" w:hanging="360"/>
      <w:contextualSpacing/>
    </w:pPr>
  </w:style>
  <w:style w:type="paragraph" w:styleId="List5">
    <w:name w:val="List 5"/>
    <w:basedOn w:val="Normal"/>
    <w:uiPriority w:val="99"/>
    <w:semiHidden/>
    <w:unhideWhenUsed/>
    <w:rsid w:val="00E73D27"/>
    <w:pPr>
      <w:ind w:left="1800" w:hanging="360"/>
      <w:contextualSpacing/>
    </w:pPr>
  </w:style>
  <w:style w:type="paragraph" w:styleId="ListBullet">
    <w:name w:val="List Bullet"/>
    <w:basedOn w:val="Normal"/>
    <w:uiPriority w:val="99"/>
    <w:semiHidden/>
    <w:unhideWhenUsed/>
    <w:rsid w:val="00E73D27"/>
    <w:pPr>
      <w:numPr>
        <w:numId w:val="30"/>
      </w:numPr>
      <w:contextualSpacing/>
    </w:pPr>
  </w:style>
  <w:style w:type="paragraph" w:styleId="ListBullet2">
    <w:name w:val="List Bullet 2"/>
    <w:basedOn w:val="Normal"/>
    <w:uiPriority w:val="99"/>
    <w:semiHidden/>
    <w:unhideWhenUsed/>
    <w:rsid w:val="00E73D27"/>
    <w:pPr>
      <w:numPr>
        <w:numId w:val="31"/>
      </w:numPr>
      <w:contextualSpacing/>
    </w:pPr>
  </w:style>
  <w:style w:type="paragraph" w:styleId="ListBullet3">
    <w:name w:val="List Bullet 3"/>
    <w:basedOn w:val="Normal"/>
    <w:uiPriority w:val="99"/>
    <w:semiHidden/>
    <w:unhideWhenUsed/>
    <w:rsid w:val="00E73D27"/>
    <w:pPr>
      <w:numPr>
        <w:numId w:val="32"/>
      </w:numPr>
      <w:contextualSpacing/>
    </w:pPr>
  </w:style>
  <w:style w:type="paragraph" w:styleId="ListBullet4">
    <w:name w:val="List Bullet 4"/>
    <w:basedOn w:val="Normal"/>
    <w:uiPriority w:val="99"/>
    <w:semiHidden/>
    <w:unhideWhenUsed/>
    <w:rsid w:val="00E73D27"/>
    <w:pPr>
      <w:numPr>
        <w:numId w:val="33"/>
      </w:numPr>
      <w:contextualSpacing/>
    </w:pPr>
  </w:style>
  <w:style w:type="paragraph" w:styleId="ListBullet5">
    <w:name w:val="List Bullet 5"/>
    <w:basedOn w:val="Normal"/>
    <w:uiPriority w:val="99"/>
    <w:semiHidden/>
    <w:unhideWhenUsed/>
    <w:rsid w:val="00E73D27"/>
    <w:pPr>
      <w:numPr>
        <w:numId w:val="34"/>
      </w:numPr>
      <w:contextualSpacing/>
    </w:pPr>
  </w:style>
  <w:style w:type="paragraph" w:styleId="ListContinue">
    <w:name w:val="List Continue"/>
    <w:basedOn w:val="Normal"/>
    <w:uiPriority w:val="99"/>
    <w:semiHidden/>
    <w:unhideWhenUsed/>
    <w:rsid w:val="00E73D27"/>
    <w:pPr>
      <w:spacing w:after="120"/>
      <w:ind w:left="360"/>
      <w:contextualSpacing/>
    </w:pPr>
  </w:style>
  <w:style w:type="paragraph" w:styleId="ListContinue2">
    <w:name w:val="List Continue 2"/>
    <w:basedOn w:val="Normal"/>
    <w:uiPriority w:val="99"/>
    <w:semiHidden/>
    <w:unhideWhenUsed/>
    <w:rsid w:val="00E73D27"/>
    <w:pPr>
      <w:spacing w:after="120"/>
      <w:ind w:left="720"/>
      <w:contextualSpacing/>
    </w:pPr>
  </w:style>
  <w:style w:type="paragraph" w:styleId="ListContinue3">
    <w:name w:val="List Continue 3"/>
    <w:basedOn w:val="Normal"/>
    <w:uiPriority w:val="99"/>
    <w:semiHidden/>
    <w:unhideWhenUsed/>
    <w:rsid w:val="00E73D27"/>
    <w:pPr>
      <w:spacing w:after="120"/>
      <w:ind w:left="1080"/>
      <w:contextualSpacing/>
    </w:pPr>
  </w:style>
  <w:style w:type="paragraph" w:styleId="ListContinue4">
    <w:name w:val="List Continue 4"/>
    <w:basedOn w:val="Normal"/>
    <w:uiPriority w:val="99"/>
    <w:semiHidden/>
    <w:unhideWhenUsed/>
    <w:rsid w:val="00E73D27"/>
    <w:pPr>
      <w:spacing w:after="120"/>
      <w:ind w:left="1440"/>
      <w:contextualSpacing/>
    </w:pPr>
  </w:style>
  <w:style w:type="paragraph" w:styleId="ListContinue5">
    <w:name w:val="List Continue 5"/>
    <w:basedOn w:val="Normal"/>
    <w:uiPriority w:val="99"/>
    <w:semiHidden/>
    <w:unhideWhenUsed/>
    <w:rsid w:val="00E73D27"/>
    <w:pPr>
      <w:spacing w:after="120"/>
      <w:ind w:left="1800"/>
      <w:contextualSpacing/>
    </w:pPr>
  </w:style>
  <w:style w:type="paragraph" w:styleId="ListNumber">
    <w:name w:val="List Number"/>
    <w:basedOn w:val="Normal"/>
    <w:uiPriority w:val="99"/>
    <w:semiHidden/>
    <w:unhideWhenUsed/>
    <w:rsid w:val="00E73D27"/>
    <w:pPr>
      <w:numPr>
        <w:numId w:val="35"/>
      </w:numPr>
      <w:contextualSpacing/>
    </w:pPr>
  </w:style>
  <w:style w:type="paragraph" w:styleId="ListNumber2">
    <w:name w:val="List Number 2"/>
    <w:basedOn w:val="Normal"/>
    <w:uiPriority w:val="99"/>
    <w:semiHidden/>
    <w:unhideWhenUsed/>
    <w:rsid w:val="00E73D27"/>
    <w:pPr>
      <w:numPr>
        <w:numId w:val="36"/>
      </w:numPr>
      <w:contextualSpacing/>
    </w:pPr>
  </w:style>
  <w:style w:type="paragraph" w:styleId="ListNumber3">
    <w:name w:val="List Number 3"/>
    <w:basedOn w:val="Normal"/>
    <w:uiPriority w:val="99"/>
    <w:semiHidden/>
    <w:unhideWhenUsed/>
    <w:rsid w:val="00E73D27"/>
    <w:pPr>
      <w:numPr>
        <w:numId w:val="37"/>
      </w:numPr>
      <w:contextualSpacing/>
    </w:pPr>
  </w:style>
  <w:style w:type="paragraph" w:styleId="ListNumber4">
    <w:name w:val="List Number 4"/>
    <w:basedOn w:val="Normal"/>
    <w:uiPriority w:val="99"/>
    <w:semiHidden/>
    <w:unhideWhenUsed/>
    <w:rsid w:val="00E73D27"/>
    <w:pPr>
      <w:numPr>
        <w:numId w:val="38"/>
      </w:numPr>
      <w:contextualSpacing/>
    </w:pPr>
  </w:style>
  <w:style w:type="paragraph" w:styleId="ListNumber5">
    <w:name w:val="List Number 5"/>
    <w:basedOn w:val="Normal"/>
    <w:uiPriority w:val="99"/>
    <w:semiHidden/>
    <w:unhideWhenUsed/>
    <w:rsid w:val="00E73D27"/>
    <w:pPr>
      <w:numPr>
        <w:numId w:val="39"/>
      </w:numPr>
      <w:contextualSpacing/>
    </w:pPr>
  </w:style>
  <w:style w:type="paragraph" w:styleId="MacroText">
    <w:name w:val="macro"/>
    <w:link w:val="MacroTextChar"/>
    <w:uiPriority w:val="99"/>
    <w:semiHidden/>
    <w:unhideWhenUsed/>
    <w:rsid w:val="00E73D27"/>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E73D27"/>
    <w:rPr>
      <w:rFonts w:ascii="Consolas" w:hAnsi="Consolas" w:cs="Consolas"/>
    </w:rPr>
  </w:style>
  <w:style w:type="paragraph" w:styleId="MessageHeader">
    <w:name w:val="Message Header"/>
    <w:basedOn w:val="Normal"/>
    <w:link w:val="MessageHeaderChar"/>
    <w:uiPriority w:val="99"/>
    <w:semiHidden/>
    <w:unhideWhenUsed/>
    <w:rsid w:val="00E73D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73D2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73D27"/>
    <w:pPr>
      <w:ind w:left="720"/>
    </w:pPr>
  </w:style>
  <w:style w:type="paragraph" w:styleId="NoteHeading">
    <w:name w:val="Note Heading"/>
    <w:basedOn w:val="Normal"/>
    <w:next w:val="Normal"/>
    <w:link w:val="NoteHeadingChar"/>
    <w:uiPriority w:val="99"/>
    <w:semiHidden/>
    <w:unhideWhenUsed/>
    <w:rsid w:val="00E73D27"/>
    <w:pPr>
      <w:spacing w:after="0" w:line="240" w:lineRule="auto"/>
    </w:pPr>
  </w:style>
  <w:style w:type="character" w:customStyle="1" w:styleId="NoteHeadingChar">
    <w:name w:val="Note Heading Char"/>
    <w:basedOn w:val="DefaultParagraphFont"/>
    <w:link w:val="NoteHeading"/>
    <w:uiPriority w:val="99"/>
    <w:semiHidden/>
    <w:rsid w:val="00E73D27"/>
    <w:rPr>
      <w:sz w:val="24"/>
      <w:szCs w:val="24"/>
    </w:rPr>
  </w:style>
  <w:style w:type="paragraph" w:styleId="PlainText">
    <w:name w:val="Plain Text"/>
    <w:basedOn w:val="Normal"/>
    <w:link w:val="PlainTextChar"/>
    <w:uiPriority w:val="99"/>
    <w:semiHidden/>
    <w:unhideWhenUsed/>
    <w:rsid w:val="00E73D2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73D27"/>
    <w:rPr>
      <w:rFonts w:ascii="Consolas" w:hAnsi="Consolas" w:cs="Consolas"/>
      <w:sz w:val="21"/>
      <w:szCs w:val="21"/>
    </w:rPr>
  </w:style>
  <w:style w:type="paragraph" w:styleId="Quote">
    <w:name w:val="Quote"/>
    <w:basedOn w:val="Normal"/>
    <w:next w:val="Normal"/>
    <w:link w:val="QuoteChar"/>
    <w:uiPriority w:val="29"/>
    <w:qFormat/>
    <w:rsid w:val="00E73D27"/>
    <w:rPr>
      <w:i/>
      <w:iCs/>
      <w:color w:val="000000" w:themeColor="text1"/>
    </w:rPr>
  </w:style>
  <w:style w:type="character" w:customStyle="1" w:styleId="QuoteChar">
    <w:name w:val="Quote Char"/>
    <w:basedOn w:val="DefaultParagraphFont"/>
    <w:link w:val="Quote"/>
    <w:uiPriority w:val="29"/>
    <w:rsid w:val="00E73D27"/>
    <w:rPr>
      <w:i/>
      <w:iCs/>
      <w:color w:val="000000" w:themeColor="text1"/>
      <w:sz w:val="24"/>
      <w:szCs w:val="24"/>
    </w:rPr>
  </w:style>
  <w:style w:type="paragraph" w:styleId="Salutation">
    <w:name w:val="Salutation"/>
    <w:basedOn w:val="Normal"/>
    <w:next w:val="Normal"/>
    <w:link w:val="SalutationChar"/>
    <w:uiPriority w:val="99"/>
    <w:semiHidden/>
    <w:unhideWhenUsed/>
    <w:rsid w:val="00E73D27"/>
  </w:style>
  <w:style w:type="character" w:customStyle="1" w:styleId="SalutationChar">
    <w:name w:val="Salutation Char"/>
    <w:basedOn w:val="DefaultParagraphFont"/>
    <w:link w:val="Salutation"/>
    <w:uiPriority w:val="99"/>
    <w:semiHidden/>
    <w:rsid w:val="00E73D27"/>
    <w:rPr>
      <w:sz w:val="24"/>
      <w:szCs w:val="24"/>
    </w:rPr>
  </w:style>
  <w:style w:type="paragraph" w:styleId="Signature">
    <w:name w:val="Signature"/>
    <w:basedOn w:val="Normal"/>
    <w:link w:val="SignatureChar"/>
    <w:uiPriority w:val="99"/>
    <w:semiHidden/>
    <w:unhideWhenUsed/>
    <w:rsid w:val="00E73D27"/>
    <w:pPr>
      <w:spacing w:after="0" w:line="240" w:lineRule="auto"/>
      <w:ind w:left="4320"/>
    </w:pPr>
  </w:style>
  <w:style w:type="character" w:customStyle="1" w:styleId="SignatureChar">
    <w:name w:val="Signature Char"/>
    <w:basedOn w:val="DefaultParagraphFont"/>
    <w:link w:val="Signature"/>
    <w:uiPriority w:val="99"/>
    <w:semiHidden/>
    <w:rsid w:val="00E73D27"/>
    <w:rPr>
      <w:sz w:val="24"/>
      <w:szCs w:val="24"/>
    </w:rPr>
  </w:style>
  <w:style w:type="paragraph" w:styleId="Subtitle">
    <w:name w:val="Subtitle"/>
    <w:basedOn w:val="Normal"/>
    <w:next w:val="Normal"/>
    <w:link w:val="SubtitleChar"/>
    <w:uiPriority w:val="11"/>
    <w:qFormat/>
    <w:rsid w:val="00E73D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73D2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73D27"/>
    <w:pPr>
      <w:spacing w:after="0"/>
      <w:ind w:left="240" w:hanging="240"/>
    </w:pPr>
  </w:style>
  <w:style w:type="paragraph" w:styleId="TableofFigures">
    <w:name w:val="table of figures"/>
    <w:basedOn w:val="Normal"/>
    <w:next w:val="Normal"/>
    <w:uiPriority w:val="99"/>
    <w:semiHidden/>
    <w:unhideWhenUsed/>
    <w:rsid w:val="00E73D27"/>
    <w:pPr>
      <w:spacing w:after="0"/>
    </w:pPr>
  </w:style>
  <w:style w:type="paragraph" w:styleId="Title">
    <w:name w:val="Title"/>
    <w:basedOn w:val="Normal"/>
    <w:next w:val="Normal"/>
    <w:link w:val="TitleChar"/>
    <w:uiPriority w:val="10"/>
    <w:qFormat/>
    <w:rsid w:val="00E73D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D2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E73D27"/>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E73D27"/>
    <w:pPr>
      <w:spacing w:after="100"/>
      <w:ind w:left="240"/>
    </w:pPr>
  </w:style>
  <w:style w:type="paragraph" w:styleId="TOC4">
    <w:name w:val="toc 4"/>
    <w:basedOn w:val="Normal"/>
    <w:next w:val="Normal"/>
    <w:autoRedefine/>
    <w:semiHidden/>
    <w:unhideWhenUsed/>
    <w:rsid w:val="00E73D27"/>
    <w:pPr>
      <w:spacing w:after="100"/>
      <w:ind w:left="720"/>
    </w:pPr>
  </w:style>
  <w:style w:type="paragraph" w:styleId="TOC5">
    <w:name w:val="toc 5"/>
    <w:basedOn w:val="Normal"/>
    <w:next w:val="Normal"/>
    <w:autoRedefine/>
    <w:semiHidden/>
    <w:unhideWhenUsed/>
    <w:rsid w:val="00E73D27"/>
    <w:pPr>
      <w:spacing w:after="100"/>
      <w:ind w:left="960"/>
    </w:pPr>
  </w:style>
  <w:style w:type="paragraph" w:styleId="TOC6">
    <w:name w:val="toc 6"/>
    <w:basedOn w:val="Normal"/>
    <w:next w:val="Normal"/>
    <w:autoRedefine/>
    <w:semiHidden/>
    <w:unhideWhenUsed/>
    <w:rsid w:val="00E73D27"/>
    <w:pPr>
      <w:spacing w:after="100"/>
      <w:ind w:left="1200"/>
    </w:pPr>
  </w:style>
  <w:style w:type="paragraph" w:styleId="TOC7">
    <w:name w:val="toc 7"/>
    <w:basedOn w:val="Normal"/>
    <w:next w:val="Normal"/>
    <w:autoRedefine/>
    <w:semiHidden/>
    <w:unhideWhenUsed/>
    <w:rsid w:val="00E73D27"/>
    <w:pPr>
      <w:spacing w:after="100"/>
      <w:ind w:left="1440"/>
    </w:pPr>
  </w:style>
  <w:style w:type="paragraph" w:styleId="TOC8">
    <w:name w:val="toc 8"/>
    <w:basedOn w:val="Normal"/>
    <w:next w:val="Normal"/>
    <w:autoRedefine/>
    <w:semiHidden/>
    <w:unhideWhenUsed/>
    <w:rsid w:val="00E73D27"/>
    <w:pPr>
      <w:spacing w:after="100"/>
      <w:ind w:left="1680"/>
    </w:pPr>
  </w:style>
  <w:style w:type="paragraph" w:styleId="TOC9">
    <w:name w:val="toc 9"/>
    <w:basedOn w:val="Normal"/>
    <w:next w:val="Normal"/>
    <w:autoRedefine/>
    <w:semiHidden/>
    <w:unhideWhenUsed/>
    <w:rsid w:val="00E73D27"/>
    <w:pPr>
      <w:spacing w:after="100"/>
      <w:ind w:left="1920"/>
    </w:pPr>
  </w:style>
  <w:style w:type="paragraph" w:styleId="TOCHeading">
    <w:name w:val="TOC Heading"/>
    <w:basedOn w:val="Heading1"/>
    <w:next w:val="Normal"/>
    <w:uiPriority w:val="39"/>
    <w:semiHidden/>
    <w:unhideWhenUsed/>
    <w:qFormat/>
    <w:rsid w:val="00E73D27"/>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pacing w:val="0"/>
      <w:szCs w:val="28"/>
      <w:u w:val="none"/>
    </w:rPr>
  </w:style>
  <w:style w:type="character" w:styleId="FollowedHyperlink">
    <w:name w:val="FollowedHyperlink"/>
    <w:basedOn w:val="DefaultParagraphFont"/>
    <w:uiPriority w:val="99"/>
    <w:semiHidden/>
    <w:unhideWhenUsed/>
    <w:rsid w:val="00C44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327">
      <w:bodyDiv w:val="1"/>
      <w:marLeft w:val="0"/>
      <w:marRight w:val="0"/>
      <w:marTop w:val="0"/>
      <w:marBottom w:val="0"/>
      <w:divBdr>
        <w:top w:val="none" w:sz="0" w:space="0" w:color="auto"/>
        <w:left w:val="none" w:sz="0" w:space="0" w:color="auto"/>
        <w:bottom w:val="none" w:sz="0" w:space="0" w:color="auto"/>
        <w:right w:val="none" w:sz="0" w:space="0" w:color="auto"/>
      </w:divBdr>
    </w:div>
    <w:div w:id="130558911">
      <w:bodyDiv w:val="1"/>
      <w:marLeft w:val="0"/>
      <w:marRight w:val="0"/>
      <w:marTop w:val="0"/>
      <w:marBottom w:val="0"/>
      <w:divBdr>
        <w:top w:val="none" w:sz="0" w:space="0" w:color="auto"/>
        <w:left w:val="none" w:sz="0" w:space="0" w:color="auto"/>
        <w:bottom w:val="none" w:sz="0" w:space="0" w:color="auto"/>
        <w:right w:val="none" w:sz="0" w:space="0" w:color="auto"/>
      </w:divBdr>
    </w:div>
    <w:div w:id="132135485">
      <w:bodyDiv w:val="1"/>
      <w:marLeft w:val="0"/>
      <w:marRight w:val="0"/>
      <w:marTop w:val="0"/>
      <w:marBottom w:val="0"/>
      <w:divBdr>
        <w:top w:val="none" w:sz="0" w:space="0" w:color="auto"/>
        <w:left w:val="none" w:sz="0" w:space="0" w:color="auto"/>
        <w:bottom w:val="none" w:sz="0" w:space="0" w:color="auto"/>
        <w:right w:val="none" w:sz="0" w:space="0" w:color="auto"/>
      </w:divBdr>
    </w:div>
    <w:div w:id="162204993">
      <w:bodyDiv w:val="1"/>
      <w:marLeft w:val="0"/>
      <w:marRight w:val="0"/>
      <w:marTop w:val="0"/>
      <w:marBottom w:val="0"/>
      <w:divBdr>
        <w:top w:val="none" w:sz="0" w:space="0" w:color="auto"/>
        <w:left w:val="none" w:sz="0" w:space="0" w:color="auto"/>
        <w:bottom w:val="none" w:sz="0" w:space="0" w:color="auto"/>
        <w:right w:val="none" w:sz="0" w:space="0" w:color="auto"/>
      </w:divBdr>
    </w:div>
    <w:div w:id="195393812">
      <w:bodyDiv w:val="1"/>
      <w:marLeft w:val="0"/>
      <w:marRight w:val="0"/>
      <w:marTop w:val="0"/>
      <w:marBottom w:val="0"/>
      <w:divBdr>
        <w:top w:val="none" w:sz="0" w:space="0" w:color="auto"/>
        <w:left w:val="none" w:sz="0" w:space="0" w:color="auto"/>
        <w:bottom w:val="none" w:sz="0" w:space="0" w:color="auto"/>
        <w:right w:val="none" w:sz="0" w:space="0" w:color="auto"/>
      </w:divBdr>
      <w:divsChild>
        <w:div w:id="925191854">
          <w:marLeft w:val="547"/>
          <w:marRight w:val="0"/>
          <w:marTop w:val="154"/>
          <w:marBottom w:val="0"/>
          <w:divBdr>
            <w:top w:val="none" w:sz="0" w:space="0" w:color="auto"/>
            <w:left w:val="none" w:sz="0" w:space="0" w:color="auto"/>
            <w:bottom w:val="none" w:sz="0" w:space="0" w:color="auto"/>
            <w:right w:val="none" w:sz="0" w:space="0" w:color="auto"/>
          </w:divBdr>
        </w:div>
      </w:divsChild>
    </w:div>
    <w:div w:id="225458983">
      <w:bodyDiv w:val="1"/>
      <w:marLeft w:val="0"/>
      <w:marRight w:val="0"/>
      <w:marTop w:val="0"/>
      <w:marBottom w:val="0"/>
      <w:divBdr>
        <w:top w:val="none" w:sz="0" w:space="0" w:color="auto"/>
        <w:left w:val="none" w:sz="0" w:space="0" w:color="auto"/>
        <w:bottom w:val="none" w:sz="0" w:space="0" w:color="auto"/>
        <w:right w:val="none" w:sz="0" w:space="0" w:color="auto"/>
      </w:divBdr>
    </w:div>
    <w:div w:id="288391076">
      <w:bodyDiv w:val="1"/>
      <w:marLeft w:val="0"/>
      <w:marRight w:val="0"/>
      <w:marTop w:val="0"/>
      <w:marBottom w:val="0"/>
      <w:divBdr>
        <w:top w:val="none" w:sz="0" w:space="0" w:color="auto"/>
        <w:left w:val="none" w:sz="0" w:space="0" w:color="auto"/>
        <w:bottom w:val="none" w:sz="0" w:space="0" w:color="auto"/>
        <w:right w:val="none" w:sz="0" w:space="0" w:color="auto"/>
      </w:divBdr>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355623326">
      <w:bodyDiv w:val="1"/>
      <w:marLeft w:val="0"/>
      <w:marRight w:val="0"/>
      <w:marTop w:val="0"/>
      <w:marBottom w:val="0"/>
      <w:divBdr>
        <w:top w:val="none" w:sz="0" w:space="0" w:color="auto"/>
        <w:left w:val="none" w:sz="0" w:space="0" w:color="auto"/>
        <w:bottom w:val="none" w:sz="0" w:space="0" w:color="auto"/>
        <w:right w:val="none" w:sz="0" w:space="0" w:color="auto"/>
      </w:divBdr>
    </w:div>
    <w:div w:id="369494987">
      <w:bodyDiv w:val="1"/>
      <w:marLeft w:val="0"/>
      <w:marRight w:val="0"/>
      <w:marTop w:val="0"/>
      <w:marBottom w:val="0"/>
      <w:divBdr>
        <w:top w:val="none" w:sz="0" w:space="0" w:color="auto"/>
        <w:left w:val="none" w:sz="0" w:space="0" w:color="auto"/>
        <w:bottom w:val="none" w:sz="0" w:space="0" w:color="auto"/>
        <w:right w:val="none" w:sz="0" w:space="0" w:color="auto"/>
      </w:divBdr>
    </w:div>
    <w:div w:id="497694066">
      <w:bodyDiv w:val="1"/>
      <w:marLeft w:val="0"/>
      <w:marRight w:val="0"/>
      <w:marTop w:val="0"/>
      <w:marBottom w:val="0"/>
      <w:divBdr>
        <w:top w:val="none" w:sz="0" w:space="0" w:color="auto"/>
        <w:left w:val="none" w:sz="0" w:space="0" w:color="auto"/>
        <w:bottom w:val="none" w:sz="0" w:space="0" w:color="auto"/>
        <w:right w:val="none" w:sz="0" w:space="0" w:color="auto"/>
      </w:divBdr>
    </w:div>
    <w:div w:id="539129412">
      <w:bodyDiv w:val="1"/>
      <w:marLeft w:val="0"/>
      <w:marRight w:val="0"/>
      <w:marTop w:val="0"/>
      <w:marBottom w:val="0"/>
      <w:divBdr>
        <w:top w:val="none" w:sz="0" w:space="0" w:color="auto"/>
        <w:left w:val="none" w:sz="0" w:space="0" w:color="auto"/>
        <w:bottom w:val="none" w:sz="0" w:space="0" w:color="auto"/>
        <w:right w:val="none" w:sz="0" w:space="0" w:color="auto"/>
      </w:divBdr>
    </w:div>
    <w:div w:id="592199768">
      <w:bodyDiv w:val="1"/>
      <w:marLeft w:val="0"/>
      <w:marRight w:val="0"/>
      <w:marTop w:val="0"/>
      <w:marBottom w:val="0"/>
      <w:divBdr>
        <w:top w:val="none" w:sz="0" w:space="0" w:color="auto"/>
        <w:left w:val="none" w:sz="0" w:space="0" w:color="auto"/>
        <w:bottom w:val="none" w:sz="0" w:space="0" w:color="auto"/>
        <w:right w:val="none" w:sz="0" w:space="0" w:color="auto"/>
      </w:divBdr>
    </w:div>
    <w:div w:id="612396478">
      <w:bodyDiv w:val="1"/>
      <w:marLeft w:val="0"/>
      <w:marRight w:val="0"/>
      <w:marTop w:val="0"/>
      <w:marBottom w:val="0"/>
      <w:divBdr>
        <w:top w:val="none" w:sz="0" w:space="0" w:color="auto"/>
        <w:left w:val="none" w:sz="0" w:space="0" w:color="auto"/>
        <w:bottom w:val="none" w:sz="0" w:space="0" w:color="auto"/>
        <w:right w:val="none" w:sz="0" w:space="0" w:color="auto"/>
      </w:divBdr>
    </w:div>
    <w:div w:id="659622016">
      <w:bodyDiv w:val="1"/>
      <w:marLeft w:val="0"/>
      <w:marRight w:val="0"/>
      <w:marTop w:val="0"/>
      <w:marBottom w:val="0"/>
      <w:divBdr>
        <w:top w:val="none" w:sz="0" w:space="0" w:color="auto"/>
        <w:left w:val="none" w:sz="0" w:space="0" w:color="auto"/>
        <w:bottom w:val="none" w:sz="0" w:space="0" w:color="auto"/>
        <w:right w:val="none" w:sz="0" w:space="0" w:color="auto"/>
      </w:divBdr>
    </w:div>
    <w:div w:id="680549049">
      <w:bodyDiv w:val="1"/>
      <w:marLeft w:val="0"/>
      <w:marRight w:val="0"/>
      <w:marTop w:val="0"/>
      <w:marBottom w:val="0"/>
      <w:divBdr>
        <w:top w:val="none" w:sz="0" w:space="0" w:color="auto"/>
        <w:left w:val="none" w:sz="0" w:space="0" w:color="auto"/>
        <w:bottom w:val="none" w:sz="0" w:space="0" w:color="auto"/>
        <w:right w:val="none" w:sz="0" w:space="0" w:color="auto"/>
      </w:divBdr>
    </w:div>
    <w:div w:id="728459521">
      <w:bodyDiv w:val="1"/>
      <w:marLeft w:val="0"/>
      <w:marRight w:val="0"/>
      <w:marTop w:val="0"/>
      <w:marBottom w:val="0"/>
      <w:divBdr>
        <w:top w:val="none" w:sz="0" w:space="0" w:color="auto"/>
        <w:left w:val="none" w:sz="0" w:space="0" w:color="auto"/>
        <w:bottom w:val="none" w:sz="0" w:space="0" w:color="auto"/>
        <w:right w:val="none" w:sz="0" w:space="0" w:color="auto"/>
      </w:divBdr>
    </w:div>
    <w:div w:id="737558948">
      <w:bodyDiv w:val="1"/>
      <w:marLeft w:val="0"/>
      <w:marRight w:val="0"/>
      <w:marTop w:val="0"/>
      <w:marBottom w:val="0"/>
      <w:divBdr>
        <w:top w:val="none" w:sz="0" w:space="0" w:color="auto"/>
        <w:left w:val="none" w:sz="0" w:space="0" w:color="auto"/>
        <w:bottom w:val="none" w:sz="0" w:space="0" w:color="auto"/>
        <w:right w:val="none" w:sz="0" w:space="0" w:color="auto"/>
      </w:divBdr>
    </w:div>
    <w:div w:id="742485006">
      <w:bodyDiv w:val="1"/>
      <w:marLeft w:val="0"/>
      <w:marRight w:val="0"/>
      <w:marTop w:val="0"/>
      <w:marBottom w:val="0"/>
      <w:divBdr>
        <w:top w:val="none" w:sz="0" w:space="0" w:color="auto"/>
        <w:left w:val="none" w:sz="0" w:space="0" w:color="auto"/>
        <w:bottom w:val="none" w:sz="0" w:space="0" w:color="auto"/>
        <w:right w:val="none" w:sz="0" w:space="0" w:color="auto"/>
      </w:divBdr>
    </w:div>
    <w:div w:id="760758132">
      <w:bodyDiv w:val="1"/>
      <w:marLeft w:val="0"/>
      <w:marRight w:val="0"/>
      <w:marTop w:val="0"/>
      <w:marBottom w:val="0"/>
      <w:divBdr>
        <w:top w:val="none" w:sz="0" w:space="0" w:color="auto"/>
        <w:left w:val="none" w:sz="0" w:space="0" w:color="auto"/>
        <w:bottom w:val="none" w:sz="0" w:space="0" w:color="auto"/>
        <w:right w:val="none" w:sz="0" w:space="0" w:color="auto"/>
      </w:divBdr>
    </w:div>
    <w:div w:id="819616655">
      <w:bodyDiv w:val="1"/>
      <w:marLeft w:val="0"/>
      <w:marRight w:val="0"/>
      <w:marTop w:val="0"/>
      <w:marBottom w:val="0"/>
      <w:divBdr>
        <w:top w:val="none" w:sz="0" w:space="0" w:color="auto"/>
        <w:left w:val="none" w:sz="0" w:space="0" w:color="auto"/>
        <w:bottom w:val="none" w:sz="0" w:space="0" w:color="auto"/>
        <w:right w:val="none" w:sz="0" w:space="0" w:color="auto"/>
      </w:divBdr>
    </w:div>
    <w:div w:id="872502746">
      <w:bodyDiv w:val="1"/>
      <w:marLeft w:val="0"/>
      <w:marRight w:val="0"/>
      <w:marTop w:val="0"/>
      <w:marBottom w:val="0"/>
      <w:divBdr>
        <w:top w:val="none" w:sz="0" w:space="0" w:color="auto"/>
        <w:left w:val="none" w:sz="0" w:space="0" w:color="auto"/>
        <w:bottom w:val="none" w:sz="0" w:space="0" w:color="auto"/>
        <w:right w:val="none" w:sz="0" w:space="0" w:color="auto"/>
      </w:divBdr>
    </w:div>
    <w:div w:id="877619728">
      <w:bodyDiv w:val="1"/>
      <w:marLeft w:val="0"/>
      <w:marRight w:val="0"/>
      <w:marTop w:val="0"/>
      <w:marBottom w:val="0"/>
      <w:divBdr>
        <w:top w:val="none" w:sz="0" w:space="0" w:color="auto"/>
        <w:left w:val="none" w:sz="0" w:space="0" w:color="auto"/>
        <w:bottom w:val="none" w:sz="0" w:space="0" w:color="auto"/>
        <w:right w:val="none" w:sz="0" w:space="0" w:color="auto"/>
      </w:divBdr>
    </w:div>
    <w:div w:id="883758365">
      <w:bodyDiv w:val="1"/>
      <w:marLeft w:val="0"/>
      <w:marRight w:val="0"/>
      <w:marTop w:val="0"/>
      <w:marBottom w:val="0"/>
      <w:divBdr>
        <w:top w:val="none" w:sz="0" w:space="0" w:color="auto"/>
        <w:left w:val="none" w:sz="0" w:space="0" w:color="auto"/>
        <w:bottom w:val="none" w:sz="0" w:space="0" w:color="auto"/>
        <w:right w:val="none" w:sz="0" w:space="0" w:color="auto"/>
      </w:divBdr>
    </w:div>
    <w:div w:id="899905790">
      <w:bodyDiv w:val="1"/>
      <w:marLeft w:val="0"/>
      <w:marRight w:val="0"/>
      <w:marTop w:val="0"/>
      <w:marBottom w:val="0"/>
      <w:divBdr>
        <w:top w:val="none" w:sz="0" w:space="0" w:color="auto"/>
        <w:left w:val="none" w:sz="0" w:space="0" w:color="auto"/>
        <w:bottom w:val="none" w:sz="0" w:space="0" w:color="auto"/>
        <w:right w:val="none" w:sz="0" w:space="0" w:color="auto"/>
      </w:divBdr>
      <w:divsChild>
        <w:div w:id="390814731">
          <w:marLeft w:val="547"/>
          <w:marRight w:val="0"/>
          <w:marTop w:val="72"/>
          <w:marBottom w:val="0"/>
          <w:divBdr>
            <w:top w:val="none" w:sz="0" w:space="0" w:color="auto"/>
            <w:left w:val="none" w:sz="0" w:space="0" w:color="auto"/>
            <w:bottom w:val="none" w:sz="0" w:space="0" w:color="auto"/>
            <w:right w:val="none" w:sz="0" w:space="0" w:color="auto"/>
          </w:divBdr>
        </w:div>
      </w:divsChild>
    </w:div>
    <w:div w:id="932514952">
      <w:bodyDiv w:val="1"/>
      <w:marLeft w:val="0"/>
      <w:marRight w:val="0"/>
      <w:marTop w:val="0"/>
      <w:marBottom w:val="0"/>
      <w:divBdr>
        <w:top w:val="none" w:sz="0" w:space="0" w:color="auto"/>
        <w:left w:val="none" w:sz="0" w:space="0" w:color="auto"/>
        <w:bottom w:val="none" w:sz="0" w:space="0" w:color="auto"/>
        <w:right w:val="none" w:sz="0" w:space="0" w:color="auto"/>
      </w:divBdr>
    </w:div>
    <w:div w:id="965233614">
      <w:bodyDiv w:val="1"/>
      <w:marLeft w:val="0"/>
      <w:marRight w:val="0"/>
      <w:marTop w:val="0"/>
      <w:marBottom w:val="0"/>
      <w:divBdr>
        <w:top w:val="none" w:sz="0" w:space="0" w:color="auto"/>
        <w:left w:val="none" w:sz="0" w:space="0" w:color="auto"/>
        <w:bottom w:val="none" w:sz="0" w:space="0" w:color="auto"/>
        <w:right w:val="none" w:sz="0" w:space="0" w:color="auto"/>
      </w:divBdr>
    </w:div>
    <w:div w:id="983855251">
      <w:bodyDiv w:val="1"/>
      <w:marLeft w:val="0"/>
      <w:marRight w:val="0"/>
      <w:marTop w:val="0"/>
      <w:marBottom w:val="0"/>
      <w:divBdr>
        <w:top w:val="none" w:sz="0" w:space="0" w:color="auto"/>
        <w:left w:val="none" w:sz="0" w:space="0" w:color="auto"/>
        <w:bottom w:val="none" w:sz="0" w:space="0" w:color="auto"/>
        <w:right w:val="none" w:sz="0" w:space="0" w:color="auto"/>
      </w:divBdr>
    </w:div>
    <w:div w:id="998969092">
      <w:bodyDiv w:val="1"/>
      <w:marLeft w:val="0"/>
      <w:marRight w:val="0"/>
      <w:marTop w:val="0"/>
      <w:marBottom w:val="0"/>
      <w:divBdr>
        <w:top w:val="none" w:sz="0" w:space="0" w:color="auto"/>
        <w:left w:val="none" w:sz="0" w:space="0" w:color="auto"/>
        <w:bottom w:val="none" w:sz="0" w:space="0" w:color="auto"/>
        <w:right w:val="none" w:sz="0" w:space="0" w:color="auto"/>
      </w:divBdr>
    </w:div>
    <w:div w:id="1025908597">
      <w:bodyDiv w:val="1"/>
      <w:marLeft w:val="0"/>
      <w:marRight w:val="0"/>
      <w:marTop w:val="0"/>
      <w:marBottom w:val="0"/>
      <w:divBdr>
        <w:top w:val="none" w:sz="0" w:space="0" w:color="auto"/>
        <w:left w:val="none" w:sz="0" w:space="0" w:color="auto"/>
        <w:bottom w:val="none" w:sz="0" w:space="0" w:color="auto"/>
        <w:right w:val="none" w:sz="0" w:space="0" w:color="auto"/>
      </w:divBdr>
    </w:div>
    <w:div w:id="1045563822">
      <w:bodyDiv w:val="1"/>
      <w:marLeft w:val="0"/>
      <w:marRight w:val="0"/>
      <w:marTop w:val="0"/>
      <w:marBottom w:val="0"/>
      <w:divBdr>
        <w:top w:val="none" w:sz="0" w:space="0" w:color="auto"/>
        <w:left w:val="none" w:sz="0" w:space="0" w:color="auto"/>
        <w:bottom w:val="none" w:sz="0" w:space="0" w:color="auto"/>
        <w:right w:val="none" w:sz="0" w:space="0" w:color="auto"/>
      </w:divBdr>
    </w:div>
    <w:div w:id="1066219907">
      <w:bodyDiv w:val="1"/>
      <w:marLeft w:val="0"/>
      <w:marRight w:val="0"/>
      <w:marTop w:val="0"/>
      <w:marBottom w:val="0"/>
      <w:divBdr>
        <w:top w:val="none" w:sz="0" w:space="0" w:color="auto"/>
        <w:left w:val="none" w:sz="0" w:space="0" w:color="auto"/>
        <w:bottom w:val="none" w:sz="0" w:space="0" w:color="auto"/>
        <w:right w:val="none" w:sz="0" w:space="0" w:color="auto"/>
      </w:divBdr>
    </w:div>
    <w:div w:id="1081829759">
      <w:bodyDiv w:val="1"/>
      <w:marLeft w:val="0"/>
      <w:marRight w:val="0"/>
      <w:marTop w:val="0"/>
      <w:marBottom w:val="0"/>
      <w:divBdr>
        <w:top w:val="none" w:sz="0" w:space="0" w:color="auto"/>
        <w:left w:val="none" w:sz="0" w:space="0" w:color="auto"/>
        <w:bottom w:val="none" w:sz="0" w:space="0" w:color="auto"/>
        <w:right w:val="none" w:sz="0" w:space="0" w:color="auto"/>
      </w:divBdr>
    </w:div>
    <w:div w:id="1091704426">
      <w:bodyDiv w:val="1"/>
      <w:marLeft w:val="0"/>
      <w:marRight w:val="0"/>
      <w:marTop w:val="0"/>
      <w:marBottom w:val="0"/>
      <w:divBdr>
        <w:top w:val="none" w:sz="0" w:space="0" w:color="auto"/>
        <w:left w:val="none" w:sz="0" w:space="0" w:color="auto"/>
        <w:bottom w:val="none" w:sz="0" w:space="0" w:color="auto"/>
        <w:right w:val="none" w:sz="0" w:space="0" w:color="auto"/>
      </w:divBdr>
    </w:div>
    <w:div w:id="1154180176">
      <w:bodyDiv w:val="1"/>
      <w:marLeft w:val="0"/>
      <w:marRight w:val="0"/>
      <w:marTop w:val="0"/>
      <w:marBottom w:val="0"/>
      <w:divBdr>
        <w:top w:val="none" w:sz="0" w:space="0" w:color="auto"/>
        <w:left w:val="none" w:sz="0" w:space="0" w:color="auto"/>
        <w:bottom w:val="none" w:sz="0" w:space="0" w:color="auto"/>
        <w:right w:val="none" w:sz="0" w:space="0" w:color="auto"/>
      </w:divBdr>
    </w:div>
    <w:div w:id="1278757934">
      <w:bodyDiv w:val="1"/>
      <w:marLeft w:val="0"/>
      <w:marRight w:val="0"/>
      <w:marTop w:val="0"/>
      <w:marBottom w:val="0"/>
      <w:divBdr>
        <w:top w:val="none" w:sz="0" w:space="0" w:color="auto"/>
        <w:left w:val="none" w:sz="0" w:space="0" w:color="auto"/>
        <w:bottom w:val="none" w:sz="0" w:space="0" w:color="auto"/>
        <w:right w:val="none" w:sz="0" w:space="0" w:color="auto"/>
      </w:divBdr>
    </w:div>
    <w:div w:id="1307205893">
      <w:bodyDiv w:val="1"/>
      <w:marLeft w:val="0"/>
      <w:marRight w:val="0"/>
      <w:marTop w:val="0"/>
      <w:marBottom w:val="0"/>
      <w:divBdr>
        <w:top w:val="none" w:sz="0" w:space="0" w:color="auto"/>
        <w:left w:val="none" w:sz="0" w:space="0" w:color="auto"/>
        <w:bottom w:val="none" w:sz="0" w:space="0" w:color="auto"/>
        <w:right w:val="none" w:sz="0" w:space="0" w:color="auto"/>
      </w:divBdr>
    </w:div>
    <w:div w:id="1328096001">
      <w:bodyDiv w:val="1"/>
      <w:marLeft w:val="0"/>
      <w:marRight w:val="0"/>
      <w:marTop w:val="0"/>
      <w:marBottom w:val="0"/>
      <w:divBdr>
        <w:top w:val="none" w:sz="0" w:space="0" w:color="auto"/>
        <w:left w:val="none" w:sz="0" w:space="0" w:color="auto"/>
        <w:bottom w:val="none" w:sz="0" w:space="0" w:color="auto"/>
        <w:right w:val="none" w:sz="0" w:space="0" w:color="auto"/>
      </w:divBdr>
    </w:div>
    <w:div w:id="1347517646">
      <w:bodyDiv w:val="1"/>
      <w:marLeft w:val="0"/>
      <w:marRight w:val="0"/>
      <w:marTop w:val="0"/>
      <w:marBottom w:val="0"/>
      <w:divBdr>
        <w:top w:val="none" w:sz="0" w:space="0" w:color="auto"/>
        <w:left w:val="none" w:sz="0" w:space="0" w:color="auto"/>
        <w:bottom w:val="none" w:sz="0" w:space="0" w:color="auto"/>
        <w:right w:val="none" w:sz="0" w:space="0" w:color="auto"/>
      </w:divBdr>
    </w:div>
    <w:div w:id="1380976624">
      <w:bodyDiv w:val="1"/>
      <w:marLeft w:val="0"/>
      <w:marRight w:val="0"/>
      <w:marTop w:val="0"/>
      <w:marBottom w:val="0"/>
      <w:divBdr>
        <w:top w:val="none" w:sz="0" w:space="0" w:color="auto"/>
        <w:left w:val="none" w:sz="0" w:space="0" w:color="auto"/>
        <w:bottom w:val="none" w:sz="0" w:space="0" w:color="auto"/>
        <w:right w:val="none" w:sz="0" w:space="0" w:color="auto"/>
      </w:divBdr>
    </w:div>
    <w:div w:id="1435899858">
      <w:bodyDiv w:val="1"/>
      <w:marLeft w:val="0"/>
      <w:marRight w:val="0"/>
      <w:marTop w:val="0"/>
      <w:marBottom w:val="0"/>
      <w:divBdr>
        <w:top w:val="none" w:sz="0" w:space="0" w:color="auto"/>
        <w:left w:val="none" w:sz="0" w:space="0" w:color="auto"/>
        <w:bottom w:val="none" w:sz="0" w:space="0" w:color="auto"/>
        <w:right w:val="none" w:sz="0" w:space="0" w:color="auto"/>
      </w:divBdr>
      <w:divsChild>
        <w:div w:id="101537364">
          <w:marLeft w:val="547"/>
          <w:marRight w:val="0"/>
          <w:marTop w:val="130"/>
          <w:marBottom w:val="0"/>
          <w:divBdr>
            <w:top w:val="none" w:sz="0" w:space="0" w:color="auto"/>
            <w:left w:val="none" w:sz="0" w:space="0" w:color="auto"/>
            <w:bottom w:val="none" w:sz="0" w:space="0" w:color="auto"/>
            <w:right w:val="none" w:sz="0" w:space="0" w:color="auto"/>
          </w:divBdr>
        </w:div>
        <w:div w:id="849686503">
          <w:marLeft w:val="547"/>
          <w:marRight w:val="0"/>
          <w:marTop w:val="130"/>
          <w:marBottom w:val="0"/>
          <w:divBdr>
            <w:top w:val="none" w:sz="0" w:space="0" w:color="auto"/>
            <w:left w:val="none" w:sz="0" w:space="0" w:color="auto"/>
            <w:bottom w:val="none" w:sz="0" w:space="0" w:color="auto"/>
            <w:right w:val="none" w:sz="0" w:space="0" w:color="auto"/>
          </w:divBdr>
        </w:div>
        <w:div w:id="1152674227">
          <w:marLeft w:val="547"/>
          <w:marRight w:val="0"/>
          <w:marTop w:val="130"/>
          <w:marBottom w:val="0"/>
          <w:divBdr>
            <w:top w:val="none" w:sz="0" w:space="0" w:color="auto"/>
            <w:left w:val="none" w:sz="0" w:space="0" w:color="auto"/>
            <w:bottom w:val="none" w:sz="0" w:space="0" w:color="auto"/>
            <w:right w:val="none" w:sz="0" w:space="0" w:color="auto"/>
          </w:divBdr>
        </w:div>
        <w:div w:id="1157696702">
          <w:marLeft w:val="547"/>
          <w:marRight w:val="0"/>
          <w:marTop w:val="130"/>
          <w:marBottom w:val="0"/>
          <w:divBdr>
            <w:top w:val="none" w:sz="0" w:space="0" w:color="auto"/>
            <w:left w:val="none" w:sz="0" w:space="0" w:color="auto"/>
            <w:bottom w:val="none" w:sz="0" w:space="0" w:color="auto"/>
            <w:right w:val="none" w:sz="0" w:space="0" w:color="auto"/>
          </w:divBdr>
        </w:div>
        <w:div w:id="1481070109">
          <w:marLeft w:val="547"/>
          <w:marRight w:val="0"/>
          <w:marTop w:val="130"/>
          <w:marBottom w:val="0"/>
          <w:divBdr>
            <w:top w:val="none" w:sz="0" w:space="0" w:color="auto"/>
            <w:left w:val="none" w:sz="0" w:space="0" w:color="auto"/>
            <w:bottom w:val="none" w:sz="0" w:space="0" w:color="auto"/>
            <w:right w:val="none" w:sz="0" w:space="0" w:color="auto"/>
          </w:divBdr>
        </w:div>
        <w:div w:id="2001346603">
          <w:marLeft w:val="547"/>
          <w:marRight w:val="0"/>
          <w:marTop w:val="130"/>
          <w:marBottom w:val="0"/>
          <w:divBdr>
            <w:top w:val="none" w:sz="0" w:space="0" w:color="auto"/>
            <w:left w:val="none" w:sz="0" w:space="0" w:color="auto"/>
            <w:bottom w:val="none" w:sz="0" w:space="0" w:color="auto"/>
            <w:right w:val="none" w:sz="0" w:space="0" w:color="auto"/>
          </w:divBdr>
        </w:div>
      </w:divsChild>
    </w:div>
    <w:div w:id="1458792431">
      <w:bodyDiv w:val="1"/>
      <w:marLeft w:val="0"/>
      <w:marRight w:val="0"/>
      <w:marTop w:val="0"/>
      <w:marBottom w:val="0"/>
      <w:divBdr>
        <w:top w:val="none" w:sz="0" w:space="0" w:color="auto"/>
        <w:left w:val="none" w:sz="0" w:space="0" w:color="auto"/>
        <w:bottom w:val="none" w:sz="0" w:space="0" w:color="auto"/>
        <w:right w:val="none" w:sz="0" w:space="0" w:color="auto"/>
      </w:divBdr>
    </w:div>
    <w:div w:id="1469738868">
      <w:bodyDiv w:val="1"/>
      <w:marLeft w:val="0"/>
      <w:marRight w:val="0"/>
      <w:marTop w:val="0"/>
      <w:marBottom w:val="0"/>
      <w:divBdr>
        <w:top w:val="none" w:sz="0" w:space="0" w:color="auto"/>
        <w:left w:val="none" w:sz="0" w:space="0" w:color="auto"/>
        <w:bottom w:val="none" w:sz="0" w:space="0" w:color="auto"/>
        <w:right w:val="none" w:sz="0" w:space="0" w:color="auto"/>
      </w:divBdr>
    </w:div>
    <w:div w:id="1477988989">
      <w:bodyDiv w:val="1"/>
      <w:marLeft w:val="0"/>
      <w:marRight w:val="0"/>
      <w:marTop w:val="0"/>
      <w:marBottom w:val="0"/>
      <w:divBdr>
        <w:top w:val="none" w:sz="0" w:space="0" w:color="auto"/>
        <w:left w:val="none" w:sz="0" w:space="0" w:color="auto"/>
        <w:bottom w:val="none" w:sz="0" w:space="0" w:color="auto"/>
        <w:right w:val="none" w:sz="0" w:space="0" w:color="auto"/>
      </w:divBdr>
    </w:div>
    <w:div w:id="1487744059">
      <w:bodyDiv w:val="1"/>
      <w:marLeft w:val="0"/>
      <w:marRight w:val="0"/>
      <w:marTop w:val="0"/>
      <w:marBottom w:val="0"/>
      <w:divBdr>
        <w:top w:val="none" w:sz="0" w:space="0" w:color="auto"/>
        <w:left w:val="none" w:sz="0" w:space="0" w:color="auto"/>
        <w:bottom w:val="none" w:sz="0" w:space="0" w:color="auto"/>
        <w:right w:val="none" w:sz="0" w:space="0" w:color="auto"/>
      </w:divBdr>
    </w:div>
    <w:div w:id="1498421003">
      <w:bodyDiv w:val="1"/>
      <w:marLeft w:val="0"/>
      <w:marRight w:val="0"/>
      <w:marTop w:val="0"/>
      <w:marBottom w:val="0"/>
      <w:divBdr>
        <w:top w:val="none" w:sz="0" w:space="0" w:color="auto"/>
        <w:left w:val="none" w:sz="0" w:space="0" w:color="auto"/>
        <w:bottom w:val="none" w:sz="0" w:space="0" w:color="auto"/>
        <w:right w:val="none" w:sz="0" w:space="0" w:color="auto"/>
      </w:divBdr>
      <w:divsChild>
        <w:div w:id="187723492">
          <w:marLeft w:val="547"/>
          <w:marRight w:val="0"/>
          <w:marTop w:val="72"/>
          <w:marBottom w:val="0"/>
          <w:divBdr>
            <w:top w:val="none" w:sz="0" w:space="0" w:color="auto"/>
            <w:left w:val="none" w:sz="0" w:space="0" w:color="auto"/>
            <w:bottom w:val="none" w:sz="0" w:space="0" w:color="auto"/>
            <w:right w:val="none" w:sz="0" w:space="0" w:color="auto"/>
          </w:divBdr>
        </w:div>
      </w:divsChild>
    </w:div>
    <w:div w:id="1500538544">
      <w:bodyDiv w:val="1"/>
      <w:marLeft w:val="0"/>
      <w:marRight w:val="0"/>
      <w:marTop w:val="0"/>
      <w:marBottom w:val="0"/>
      <w:divBdr>
        <w:top w:val="none" w:sz="0" w:space="0" w:color="auto"/>
        <w:left w:val="none" w:sz="0" w:space="0" w:color="auto"/>
        <w:bottom w:val="none" w:sz="0" w:space="0" w:color="auto"/>
        <w:right w:val="none" w:sz="0" w:space="0" w:color="auto"/>
      </w:divBdr>
    </w:div>
    <w:div w:id="1505439532">
      <w:bodyDiv w:val="1"/>
      <w:marLeft w:val="0"/>
      <w:marRight w:val="0"/>
      <w:marTop w:val="0"/>
      <w:marBottom w:val="0"/>
      <w:divBdr>
        <w:top w:val="none" w:sz="0" w:space="0" w:color="auto"/>
        <w:left w:val="none" w:sz="0" w:space="0" w:color="auto"/>
        <w:bottom w:val="none" w:sz="0" w:space="0" w:color="auto"/>
        <w:right w:val="none" w:sz="0" w:space="0" w:color="auto"/>
      </w:divBdr>
    </w:div>
    <w:div w:id="1508398499">
      <w:bodyDiv w:val="1"/>
      <w:marLeft w:val="0"/>
      <w:marRight w:val="0"/>
      <w:marTop w:val="0"/>
      <w:marBottom w:val="0"/>
      <w:divBdr>
        <w:top w:val="none" w:sz="0" w:space="0" w:color="auto"/>
        <w:left w:val="none" w:sz="0" w:space="0" w:color="auto"/>
        <w:bottom w:val="none" w:sz="0" w:space="0" w:color="auto"/>
        <w:right w:val="none" w:sz="0" w:space="0" w:color="auto"/>
      </w:divBdr>
    </w:div>
    <w:div w:id="1512716301">
      <w:bodyDiv w:val="1"/>
      <w:marLeft w:val="0"/>
      <w:marRight w:val="0"/>
      <w:marTop w:val="0"/>
      <w:marBottom w:val="0"/>
      <w:divBdr>
        <w:top w:val="none" w:sz="0" w:space="0" w:color="auto"/>
        <w:left w:val="none" w:sz="0" w:space="0" w:color="auto"/>
        <w:bottom w:val="none" w:sz="0" w:space="0" w:color="auto"/>
        <w:right w:val="none" w:sz="0" w:space="0" w:color="auto"/>
      </w:divBdr>
      <w:divsChild>
        <w:div w:id="1091044184">
          <w:marLeft w:val="547"/>
          <w:marRight w:val="0"/>
          <w:marTop w:val="154"/>
          <w:marBottom w:val="0"/>
          <w:divBdr>
            <w:top w:val="none" w:sz="0" w:space="0" w:color="auto"/>
            <w:left w:val="none" w:sz="0" w:space="0" w:color="auto"/>
            <w:bottom w:val="none" w:sz="0" w:space="0" w:color="auto"/>
            <w:right w:val="none" w:sz="0" w:space="0" w:color="auto"/>
          </w:divBdr>
        </w:div>
      </w:divsChild>
    </w:div>
    <w:div w:id="1517689302">
      <w:bodyDiv w:val="1"/>
      <w:marLeft w:val="0"/>
      <w:marRight w:val="0"/>
      <w:marTop w:val="0"/>
      <w:marBottom w:val="0"/>
      <w:divBdr>
        <w:top w:val="none" w:sz="0" w:space="0" w:color="auto"/>
        <w:left w:val="none" w:sz="0" w:space="0" w:color="auto"/>
        <w:bottom w:val="none" w:sz="0" w:space="0" w:color="auto"/>
        <w:right w:val="none" w:sz="0" w:space="0" w:color="auto"/>
      </w:divBdr>
    </w:div>
    <w:div w:id="1521822513">
      <w:bodyDiv w:val="1"/>
      <w:marLeft w:val="0"/>
      <w:marRight w:val="0"/>
      <w:marTop w:val="0"/>
      <w:marBottom w:val="0"/>
      <w:divBdr>
        <w:top w:val="none" w:sz="0" w:space="0" w:color="auto"/>
        <w:left w:val="none" w:sz="0" w:space="0" w:color="auto"/>
        <w:bottom w:val="none" w:sz="0" w:space="0" w:color="auto"/>
        <w:right w:val="none" w:sz="0" w:space="0" w:color="auto"/>
      </w:divBdr>
    </w:div>
    <w:div w:id="1528180040">
      <w:bodyDiv w:val="1"/>
      <w:marLeft w:val="0"/>
      <w:marRight w:val="0"/>
      <w:marTop w:val="0"/>
      <w:marBottom w:val="0"/>
      <w:divBdr>
        <w:top w:val="none" w:sz="0" w:space="0" w:color="auto"/>
        <w:left w:val="none" w:sz="0" w:space="0" w:color="auto"/>
        <w:bottom w:val="none" w:sz="0" w:space="0" w:color="auto"/>
        <w:right w:val="none" w:sz="0" w:space="0" w:color="auto"/>
      </w:divBdr>
    </w:div>
    <w:div w:id="1532650885">
      <w:bodyDiv w:val="1"/>
      <w:marLeft w:val="0"/>
      <w:marRight w:val="0"/>
      <w:marTop w:val="0"/>
      <w:marBottom w:val="0"/>
      <w:divBdr>
        <w:top w:val="none" w:sz="0" w:space="0" w:color="auto"/>
        <w:left w:val="none" w:sz="0" w:space="0" w:color="auto"/>
        <w:bottom w:val="none" w:sz="0" w:space="0" w:color="auto"/>
        <w:right w:val="none" w:sz="0" w:space="0" w:color="auto"/>
      </w:divBdr>
    </w:div>
    <w:div w:id="1545412301">
      <w:bodyDiv w:val="1"/>
      <w:marLeft w:val="0"/>
      <w:marRight w:val="0"/>
      <w:marTop w:val="0"/>
      <w:marBottom w:val="0"/>
      <w:divBdr>
        <w:top w:val="none" w:sz="0" w:space="0" w:color="auto"/>
        <w:left w:val="none" w:sz="0" w:space="0" w:color="auto"/>
        <w:bottom w:val="none" w:sz="0" w:space="0" w:color="auto"/>
        <w:right w:val="none" w:sz="0" w:space="0" w:color="auto"/>
      </w:divBdr>
    </w:div>
    <w:div w:id="1558276150">
      <w:bodyDiv w:val="1"/>
      <w:marLeft w:val="0"/>
      <w:marRight w:val="0"/>
      <w:marTop w:val="0"/>
      <w:marBottom w:val="0"/>
      <w:divBdr>
        <w:top w:val="none" w:sz="0" w:space="0" w:color="auto"/>
        <w:left w:val="none" w:sz="0" w:space="0" w:color="auto"/>
        <w:bottom w:val="none" w:sz="0" w:space="0" w:color="auto"/>
        <w:right w:val="none" w:sz="0" w:space="0" w:color="auto"/>
      </w:divBdr>
    </w:div>
    <w:div w:id="1561016382">
      <w:bodyDiv w:val="1"/>
      <w:marLeft w:val="0"/>
      <w:marRight w:val="0"/>
      <w:marTop w:val="0"/>
      <w:marBottom w:val="0"/>
      <w:divBdr>
        <w:top w:val="none" w:sz="0" w:space="0" w:color="auto"/>
        <w:left w:val="none" w:sz="0" w:space="0" w:color="auto"/>
        <w:bottom w:val="none" w:sz="0" w:space="0" w:color="auto"/>
        <w:right w:val="none" w:sz="0" w:space="0" w:color="auto"/>
      </w:divBdr>
    </w:div>
    <w:div w:id="1570385185">
      <w:bodyDiv w:val="1"/>
      <w:marLeft w:val="0"/>
      <w:marRight w:val="0"/>
      <w:marTop w:val="0"/>
      <w:marBottom w:val="0"/>
      <w:divBdr>
        <w:top w:val="none" w:sz="0" w:space="0" w:color="auto"/>
        <w:left w:val="none" w:sz="0" w:space="0" w:color="auto"/>
        <w:bottom w:val="none" w:sz="0" w:space="0" w:color="auto"/>
        <w:right w:val="none" w:sz="0" w:space="0" w:color="auto"/>
      </w:divBdr>
    </w:div>
    <w:div w:id="1603799556">
      <w:bodyDiv w:val="1"/>
      <w:marLeft w:val="0"/>
      <w:marRight w:val="0"/>
      <w:marTop w:val="0"/>
      <w:marBottom w:val="0"/>
      <w:divBdr>
        <w:top w:val="none" w:sz="0" w:space="0" w:color="auto"/>
        <w:left w:val="none" w:sz="0" w:space="0" w:color="auto"/>
        <w:bottom w:val="none" w:sz="0" w:space="0" w:color="auto"/>
        <w:right w:val="none" w:sz="0" w:space="0" w:color="auto"/>
      </w:divBdr>
      <w:divsChild>
        <w:div w:id="513036174">
          <w:marLeft w:val="547"/>
          <w:marRight w:val="0"/>
          <w:marTop w:val="106"/>
          <w:marBottom w:val="0"/>
          <w:divBdr>
            <w:top w:val="none" w:sz="0" w:space="0" w:color="auto"/>
            <w:left w:val="none" w:sz="0" w:space="0" w:color="auto"/>
            <w:bottom w:val="none" w:sz="0" w:space="0" w:color="auto"/>
            <w:right w:val="none" w:sz="0" w:space="0" w:color="auto"/>
          </w:divBdr>
        </w:div>
        <w:div w:id="659190322">
          <w:marLeft w:val="547"/>
          <w:marRight w:val="0"/>
          <w:marTop w:val="106"/>
          <w:marBottom w:val="0"/>
          <w:divBdr>
            <w:top w:val="none" w:sz="0" w:space="0" w:color="auto"/>
            <w:left w:val="none" w:sz="0" w:space="0" w:color="auto"/>
            <w:bottom w:val="none" w:sz="0" w:space="0" w:color="auto"/>
            <w:right w:val="none" w:sz="0" w:space="0" w:color="auto"/>
          </w:divBdr>
        </w:div>
        <w:div w:id="955870189">
          <w:marLeft w:val="547"/>
          <w:marRight w:val="0"/>
          <w:marTop w:val="106"/>
          <w:marBottom w:val="0"/>
          <w:divBdr>
            <w:top w:val="none" w:sz="0" w:space="0" w:color="auto"/>
            <w:left w:val="none" w:sz="0" w:space="0" w:color="auto"/>
            <w:bottom w:val="none" w:sz="0" w:space="0" w:color="auto"/>
            <w:right w:val="none" w:sz="0" w:space="0" w:color="auto"/>
          </w:divBdr>
        </w:div>
        <w:div w:id="1105996388">
          <w:marLeft w:val="547"/>
          <w:marRight w:val="0"/>
          <w:marTop w:val="106"/>
          <w:marBottom w:val="0"/>
          <w:divBdr>
            <w:top w:val="none" w:sz="0" w:space="0" w:color="auto"/>
            <w:left w:val="none" w:sz="0" w:space="0" w:color="auto"/>
            <w:bottom w:val="none" w:sz="0" w:space="0" w:color="auto"/>
            <w:right w:val="none" w:sz="0" w:space="0" w:color="auto"/>
          </w:divBdr>
        </w:div>
        <w:div w:id="1368407819">
          <w:marLeft w:val="547"/>
          <w:marRight w:val="0"/>
          <w:marTop w:val="106"/>
          <w:marBottom w:val="0"/>
          <w:divBdr>
            <w:top w:val="none" w:sz="0" w:space="0" w:color="auto"/>
            <w:left w:val="none" w:sz="0" w:space="0" w:color="auto"/>
            <w:bottom w:val="none" w:sz="0" w:space="0" w:color="auto"/>
            <w:right w:val="none" w:sz="0" w:space="0" w:color="auto"/>
          </w:divBdr>
        </w:div>
        <w:div w:id="1793282199">
          <w:marLeft w:val="547"/>
          <w:marRight w:val="0"/>
          <w:marTop w:val="106"/>
          <w:marBottom w:val="0"/>
          <w:divBdr>
            <w:top w:val="none" w:sz="0" w:space="0" w:color="auto"/>
            <w:left w:val="none" w:sz="0" w:space="0" w:color="auto"/>
            <w:bottom w:val="none" w:sz="0" w:space="0" w:color="auto"/>
            <w:right w:val="none" w:sz="0" w:space="0" w:color="auto"/>
          </w:divBdr>
        </w:div>
        <w:div w:id="1903251570">
          <w:marLeft w:val="547"/>
          <w:marRight w:val="0"/>
          <w:marTop w:val="106"/>
          <w:marBottom w:val="0"/>
          <w:divBdr>
            <w:top w:val="none" w:sz="0" w:space="0" w:color="auto"/>
            <w:left w:val="none" w:sz="0" w:space="0" w:color="auto"/>
            <w:bottom w:val="none" w:sz="0" w:space="0" w:color="auto"/>
            <w:right w:val="none" w:sz="0" w:space="0" w:color="auto"/>
          </w:divBdr>
        </w:div>
      </w:divsChild>
    </w:div>
    <w:div w:id="1607155271">
      <w:bodyDiv w:val="1"/>
      <w:marLeft w:val="0"/>
      <w:marRight w:val="0"/>
      <w:marTop w:val="0"/>
      <w:marBottom w:val="0"/>
      <w:divBdr>
        <w:top w:val="none" w:sz="0" w:space="0" w:color="auto"/>
        <w:left w:val="none" w:sz="0" w:space="0" w:color="auto"/>
        <w:bottom w:val="none" w:sz="0" w:space="0" w:color="auto"/>
        <w:right w:val="none" w:sz="0" w:space="0" w:color="auto"/>
      </w:divBdr>
    </w:div>
    <w:div w:id="1706446187">
      <w:bodyDiv w:val="1"/>
      <w:marLeft w:val="0"/>
      <w:marRight w:val="0"/>
      <w:marTop w:val="0"/>
      <w:marBottom w:val="0"/>
      <w:divBdr>
        <w:top w:val="none" w:sz="0" w:space="0" w:color="auto"/>
        <w:left w:val="none" w:sz="0" w:space="0" w:color="auto"/>
        <w:bottom w:val="none" w:sz="0" w:space="0" w:color="auto"/>
        <w:right w:val="none" w:sz="0" w:space="0" w:color="auto"/>
      </w:divBdr>
    </w:div>
    <w:div w:id="1708524947">
      <w:bodyDiv w:val="1"/>
      <w:marLeft w:val="0"/>
      <w:marRight w:val="0"/>
      <w:marTop w:val="0"/>
      <w:marBottom w:val="0"/>
      <w:divBdr>
        <w:top w:val="none" w:sz="0" w:space="0" w:color="auto"/>
        <w:left w:val="none" w:sz="0" w:space="0" w:color="auto"/>
        <w:bottom w:val="none" w:sz="0" w:space="0" w:color="auto"/>
        <w:right w:val="none" w:sz="0" w:space="0" w:color="auto"/>
      </w:divBdr>
    </w:div>
    <w:div w:id="1742094788">
      <w:bodyDiv w:val="1"/>
      <w:marLeft w:val="0"/>
      <w:marRight w:val="0"/>
      <w:marTop w:val="0"/>
      <w:marBottom w:val="0"/>
      <w:divBdr>
        <w:top w:val="none" w:sz="0" w:space="0" w:color="auto"/>
        <w:left w:val="none" w:sz="0" w:space="0" w:color="auto"/>
        <w:bottom w:val="none" w:sz="0" w:space="0" w:color="auto"/>
        <w:right w:val="none" w:sz="0" w:space="0" w:color="auto"/>
      </w:divBdr>
    </w:div>
    <w:div w:id="1792438110">
      <w:bodyDiv w:val="1"/>
      <w:marLeft w:val="0"/>
      <w:marRight w:val="0"/>
      <w:marTop w:val="0"/>
      <w:marBottom w:val="0"/>
      <w:divBdr>
        <w:top w:val="none" w:sz="0" w:space="0" w:color="auto"/>
        <w:left w:val="none" w:sz="0" w:space="0" w:color="auto"/>
        <w:bottom w:val="none" w:sz="0" w:space="0" w:color="auto"/>
        <w:right w:val="none" w:sz="0" w:space="0" w:color="auto"/>
      </w:divBdr>
    </w:div>
    <w:div w:id="1798402825">
      <w:bodyDiv w:val="1"/>
      <w:marLeft w:val="0"/>
      <w:marRight w:val="0"/>
      <w:marTop w:val="0"/>
      <w:marBottom w:val="0"/>
      <w:divBdr>
        <w:top w:val="none" w:sz="0" w:space="0" w:color="auto"/>
        <w:left w:val="none" w:sz="0" w:space="0" w:color="auto"/>
        <w:bottom w:val="none" w:sz="0" w:space="0" w:color="auto"/>
        <w:right w:val="none" w:sz="0" w:space="0" w:color="auto"/>
      </w:divBdr>
    </w:div>
    <w:div w:id="1818956486">
      <w:bodyDiv w:val="1"/>
      <w:marLeft w:val="0"/>
      <w:marRight w:val="0"/>
      <w:marTop w:val="0"/>
      <w:marBottom w:val="0"/>
      <w:divBdr>
        <w:top w:val="none" w:sz="0" w:space="0" w:color="auto"/>
        <w:left w:val="none" w:sz="0" w:space="0" w:color="auto"/>
        <w:bottom w:val="none" w:sz="0" w:space="0" w:color="auto"/>
        <w:right w:val="none" w:sz="0" w:space="0" w:color="auto"/>
      </w:divBdr>
    </w:div>
    <w:div w:id="1871214089">
      <w:bodyDiv w:val="1"/>
      <w:marLeft w:val="0"/>
      <w:marRight w:val="0"/>
      <w:marTop w:val="0"/>
      <w:marBottom w:val="0"/>
      <w:divBdr>
        <w:top w:val="none" w:sz="0" w:space="0" w:color="auto"/>
        <w:left w:val="none" w:sz="0" w:space="0" w:color="auto"/>
        <w:bottom w:val="none" w:sz="0" w:space="0" w:color="auto"/>
        <w:right w:val="none" w:sz="0" w:space="0" w:color="auto"/>
      </w:divBdr>
    </w:div>
    <w:div w:id="1902983579">
      <w:bodyDiv w:val="1"/>
      <w:marLeft w:val="0"/>
      <w:marRight w:val="0"/>
      <w:marTop w:val="0"/>
      <w:marBottom w:val="0"/>
      <w:divBdr>
        <w:top w:val="none" w:sz="0" w:space="0" w:color="auto"/>
        <w:left w:val="none" w:sz="0" w:space="0" w:color="auto"/>
        <w:bottom w:val="none" w:sz="0" w:space="0" w:color="auto"/>
        <w:right w:val="none" w:sz="0" w:space="0" w:color="auto"/>
      </w:divBdr>
    </w:div>
    <w:div w:id="1914731521">
      <w:bodyDiv w:val="1"/>
      <w:marLeft w:val="0"/>
      <w:marRight w:val="0"/>
      <w:marTop w:val="0"/>
      <w:marBottom w:val="0"/>
      <w:divBdr>
        <w:top w:val="none" w:sz="0" w:space="0" w:color="auto"/>
        <w:left w:val="none" w:sz="0" w:space="0" w:color="auto"/>
        <w:bottom w:val="none" w:sz="0" w:space="0" w:color="auto"/>
        <w:right w:val="none" w:sz="0" w:space="0" w:color="auto"/>
      </w:divBdr>
    </w:div>
    <w:div w:id="1971978266">
      <w:bodyDiv w:val="1"/>
      <w:marLeft w:val="0"/>
      <w:marRight w:val="0"/>
      <w:marTop w:val="0"/>
      <w:marBottom w:val="0"/>
      <w:divBdr>
        <w:top w:val="none" w:sz="0" w:space="0" w:color="auto"/>
        <w:left w:val="none" w:sz="0" w:space="0" w:color="auto"/>
        <w:bottom w:val="none" w:sz="0" w:space="0" w:color="auto"/>
        <w:right w:val="none" w:sz="0" w:space="0" w:color="auto"/>
      </w:divBdr>
    </w:div>
    <w:div w:id="2059551116">
      <w:bodyDiv w:val="1"/>
      <w:marLeft w:val="0"/>
      <w:marRight w:val="0"/>
      <w:marTop w:val="0"/>
      <w:marBottom w:val="0"/>
      <w:divBdr>
        <w:top w:val="none" w:sz="0" w:space="0" w:color="auto"/>
        <w:left w:val="none" w:sz="0" w:space="0" w:color="auto"/>
        <w:bottom w:val="none" w:sz="0" w:space="0" w:color="auto"/>
        <w:right w:val="none" w:sz="0" w:space="0" w:color="auto"/>
      </w:divBdr>
    </w:div>
    <w:div w:id="2077164342">
      <w:bodyDiv w:val="1"/>
      <w:marLeft w:val="0"/>
      <w:marRight w:val="0"/>
      <w:marTop w:val="0"/>
      <w:marBottom w:val="0"/>
      <w:divBdr>
        <w:top w:val="none" w:sz="0" w:space="0" w:color="auto"/>
        <w:left w:val="none" w:sz="0" w:space="0" w:color="auto"/>
        <w:bottom w:val="none" w:sz="0" w:space="0" w:color="auto"/>
        <w:right w:val="none" w:sz="0" w:space="0" w:color="auto"/>
      </w:divBdr>
    </w:div>
    <w:div w:id="210714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image" Target="cid:image025.png@01D122D9.7D589520" TargetMode="External"/><Relationship Id="rId34"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chart" Target="charts/chart2.xml"/><Relationship Id="rId28" Type="http://schemas.openxmlformats.org/officeDocument/2006/relationships/chart" Target="charts/chart7.xml"/><Relationship Id="rId10" Type="http://schemas.microsoft.com/office/2007/relationships/stylesWithEffects" Target="stylesWithEffects.xml"/><Relationship Id="rId19" Type="http://schemas.openxmlformats.org/officeDocument/2006/relationships/image" Target="cid:image023.png@01D122D9.7D58952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ngc-sea-fp1\Data\Dept\Rates\CONSERVATION\IRP%20Stuff\IRP%20Combined%20WA%20and%20OR%202015\TEAPot%20Forecast%20Docs\2014%20IRP%20DSM%20Forecasts%200706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ngc-sea-fp1\Data\Dept\Rates\CONSERVATION\IRP%20Stuff\IRP%20Combined%20WA%20and%20OR%202015\TEAPot%20Forecast%20Docs\2014%20IRP%20DSM%20Forecasts%200706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manda.Sargent\Desktop\DemandForecast%202016-2035%204%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manda.Sargent\Desktop\DemandForecast%202016-2035%204%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ngc-sea-fp1\Data\Dept\Rates\CONSERVATION\IRP%20Stuff\IRP%20Combined%20WA%20and%20OR%202015\TEAPot%20Forecast%20Docs\2014%20IRP%20DSM%20Forecasts%200706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nica.cowlishaw\AppData\Local\Microsoft\Windows\Temporary%20Internet%20Files\Content.Outlook\TBDLP6KX\DemandForecast%202016-2035%204.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nica.cowlishaw\AppData\Local\Microsoft\Windows\Temporary%20Internet%20Files\Content.Outlook\TBDLP6KX\DemandForecast%202016-2035%204.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onica.cowlishaw\AppData\Local\Microsoft\Windows\Temporary%20Internet%20Files\Content.Outlook\TBDLP6KX\DemandForecast%202016-2035%204%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Residential</a:t>
            </a:r>
            <a:r>
              <a:rPr lang="en-US" baseline="0"/>
              <a:t> Annual Incremental Savings Comparison under All Measures </a:t>
            </a:r>
            <a:endParaRPr lang="en-US"/>
          </a:p>
        </c:rich>
      </c:tx>
      <c:layout/>
      <c:overlay val="0"/>
    </c:title>
    <c:autoTitleDeleted val="0"/>
    <c:plotArea>
      <c:layout/>
      <c:lineChart>
        <c:grouping val="standard"/>
        <c:varyColors val="0"/>
        <c:ser>
          <c:idx val="1"/>
          <c:order val="0"/>
          <c:tx>
            <c:strRef>
              <c:f>'Residential AM'!$T$8</c:f>
              <c:strCache>
                <c:ptCount val="1"/>
                <c:pt idx="0">
                  <c:v>Technical</c:v>
                </c:pt>
              </c:strCache>
            </c:strRef>
          </c:tx>
          <c:marker>
            <c:symbol val="none"/>
          </c:marker>
          <c:cat>
            <c:numRef>
              <c:f>'Residential AM'!$S$9:$S$28</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'Residential AM'!$T$9:$T$28</c:f>
              <c:numCache>
                <c:formatCode>_(* #,##0_);_(* \(#,##0\);_(* "-"??_);_(@_)</c:formatCode>
                <c:ptCount val="20"/>
                <c:pt idx="0">
                  <c:v>4321333</c:v>
                </c:pt>
                <c:pt idx="1">
                  <c:v>4408034</c:v>
                </c:pt>
                <c:pt idx="2">
                  <c:v>4440612</c:v>
                </c:pt>
                <c:pt idx="3">
                  <c:v>4493958</c:v>
                </c:pt>
                <c:pt idx="4">
                  <c:v>4547524</c:v>
                </c:pt>
                <c:pt idx="5">
                  <c:v>4625906</c:v>
                </c:pt>
                <c:pt idx="6">
                  <c:v>4658610</c:v>
                </c:pt>
                <c:pt idx="7">
                  <c:v>4709076</c:v>
                </c:pt>
                <c:pt idx="8">
                  <c:v>4766326</c:v>
                </c:pt>
                <c:pt idx="9">
                  <c:v>4839261</c:v>
                </c:pt>
                <c:pt idx="10">
                  <c:v>4870402</c:v>
                </c:pt>
                <c:pt idx="11">
                  <c:v>4924122</c:v>
                </c:pt>
                <c:pt idx="12">
                  <c:v>4977702</c:v>
                </c:pt>
                <c:pt idx="13">
                  <c:v>5050513</c:v>
                </c:pt>
                <c:pt idx="14">
                  <c:v>5080000</c:v>
                </c:pt>
                <c:pt idx="15">
                  <c:v>5132821</c:v>
                </c:pt>
                <c:pt idx="16">
                  <c:v>5185640</c:v>
                </c:pt>
                <c:pt idx="17">
                  <c:v>5262570</c:v>
                </c:pt>
                <c:pt idx="18">
                  <c:v>5290756</c:v>
                </c:pt>
                <c:pt idx="19">
                  <c:v>5347655</c:v>
                </c:pt>
              </c:numCache>
            </c:numRef>
          </c:val>
          <c:smooth val="0"/>
        </c:ser>
        <c:ser>
          <c:idx val="2"/>
          <c:order val="1"/>
          <c:tx>
            <c:strRef>
              <c:f>'Residential AM'!$U$8</c:f>
              <c:strCache>
                <c:ptCount val="1"/>
                <c:pt idx="0">
                  <c:v>Economic</c:v>
                </c:pt>
              </c:strCache>
            </c:strRef>
          </c:tx>
          <c:spPr>
            <a:ln>
              <a:prstDash val="sysDash"/>
            </a:ln>
          </c:spPr>
          <c:marker>
            <c:symbol val="none"/>
          </c:marker>
          <c:cat>
            <c:numRef>
              <c:f>'Residential AM'!$S$9:$S$28</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'Residential AM'!$U$9:$U$28</c:f>
              <c:numCache>
                <c:formatCode>_(* #,##0_);_(* \(#,##0\);_(* "-"??_);_(@_)</c:formatCode>
                <c:ptCount val="20"/>
                <c:pt idx="0">
                  <c:v>3300468</c:v>
                </c:pt>
                <c:pt idx="1">
                  <c:v>3360004</c:v>
                </c:pt>
                <c:pt idx="2">
                  <c:v>3384785</c:v>
                </c:pt>
                <c:pt idx="3">
                  <c:v>3425380</c:v>
                </c:pt>
                <c:pt idx="4">
                  <c:v>3466146</c:v>
                </c:pt>
                <c:pt idx="5">
                  <c:v>3525650</c:v>
                </c:pt>
                <c:pt idx="6">
                  <c:v>3550453</c:v>
                </c:pt>
                <c:pt idx="7">
                  <c:v>3589046</c:v>
                </c:pt>
                <c:pt idx="8">
                  <c:v>3632506</c:v>
                </c:pt>
                <c:pt idx="9">
                  <c:v>3688173</c:v>
                </c:pt>
                <c:pt idx="10">
                  <c:v>3711937</c:v>
                </c:pt>
                <c:pt idx="11">
                  <c:v>3752847</c:v>
                </c:pt>
                <c:pt idx="12">
                  <c:v>3793655</c:v>
                </c:pt>
                <c:pt idx="13">
                  <c:v>3849338</c:v>
                </c:pt>
                <c:pt idx="14">
                  <c:v>3871876</c:v>
                </c:pt>
                <c:pt idx="15">
                  <c:v>3912130</c:v>
                </c:pt>
                <c:pt idx="16">
                  <c:v>3952390</c:v>
                </c:pt>
                <c:pt idx="17">
                  <c:v>4011031</c:v>
                </c:pt>
                <c:pt idx="18">
                  <c:v>4032528</c:v>
                </c:pt>
                <c:pt idx="19">
                  <c:v>4075676</c:v>
                </c:pt>
              </c:numCache>
            </c:numRef>
          </c:val>
          <c:smooth val="0"/>
        </c:ser>
        <c:ser>
          <c:idx val="3"/>
          <c:order val="2"/>
          <c:tx>
            <c:strRef>
              <c:f>'Residential AM'!$V$8</c:f>
              <c:strCache>
                <c:ptCount val="1"/>
                <c:pt idx="0">
                  <c:v>Achievable</c:v>
                </c:pt>
              </c:strCache>
            </c:strRef>
          </c:tx>
          <c:spPr>
            <a:ln>
              <a:solidFill>
                <a:schemeClr val="accent4"/>
              </a:solidFill>
              <a:prstDash val="lgDash"/>
            </a:ln>
          </c:spPr>
          <c:marker>
            <c:symbol val="none"/>
          </c:marker>
          <c:cat>
            <c:numRef>
              <c:f>'Residential AM'!$S$9:$S$28</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'Residential AM'!$V$9:$V$28</c:f>
              <c:numCache>
                <c:formatCode>_(* #,##0_);_(* \(#,##0\);_(* "-"??_);_(@_)</c:formatCode>
                <c:ptCount val="20"/>
                <c:pt idx="0">
                  <c:v>1074282</c:v>
                </c:pt>
                <c:pt idx="1">
                  <c:v>1108271</c:v>
                </c:pt>
                <c:pt idx="2">
                  <c:v>1138340</c:v>
                </c:pt>
                <c:pt idx="3">
                  <c:v>1180495</c:v>
                </c:pt>
                <c:pt idx="4">
                  <c:v>1230282</c:v>
                </c:pt>
                <c:pt idx="5">
                  <c:v>1293001</c:v>
                </c:pt>
                <c:pt idx="6">
                  <c:v>1349585</c:v>
                </c:pt>
                <c:pt idx="7">
                  <c:v>1415290</c:v>
                </c:pt>
                <c:pt idx="8">
                  <c:v>1483191</c:v>
                </c:pt>
                <c:pt idx="9">
                  <c:v>1554582</c:v>
                </c:pt>
                <c:pt idx="10">
                  <c:v>1607761</c:v>
                </c:pt>
                <c:pt idx="11">
                  <c:v>1662226</c:v>
                </c:pt>
                <c:pt idx="12">
                  <c:v>1710296</c:v>
                </c:pt>
                <c:pt idx="13">
                  <c:v>1758969</c:v>
                </c:pt>
                <c:pt idx="14">
                  <c:v>1787386</c:v>
                </c:pt>
                <c:pt idx="15">
                  <c:v>1819619</c:v>
                </c:pt>
                <c:pt idx="16">
                  <c:v>1848469</c:v>
                </c:pt>
                <c:pt idx="17">
                  <c:v>1888737</c:v>
                </c:pt>
                <c:pt idx="18">
                  <c:v>1905493</c:v>
                </c:pt>
                <c:pt idx="19">
                  <c:v>1928229</c:v>
                </c:pt>
              </c:numCache>
            </c:numRef>
          </c:val>
          <c:smooth val="0"/>
        </c:ser>
        <c:ser>
          <c:idx val="0"/>
          <c:order val="3"/>
          <c:tx>
            <c:v>Realistic @ 25%</c:v>
          </c:tx>
          <c:spPr>
            <a:ln>
              <a:solidFill>
                <a:schemeClr val="accent6"/>
              </a:solidFill>
              <a:prstDash val="lgDashDotDot"/>
            </a:ln>
          </c:spPr>
          <c:marker>
            <c:symbol val="none"/>
          </c:marker>
          <c:cat>
            <c:numRef>
              <c:f>'Residential AM'!$S$9:$S$28</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'Residential AM'!$X$9:$X$28</c:f>
              <c:numCache>
                <c:formatCode>_(* #,##0_);_(* \(#,##0\);_(* "-"??_);_(@_)</c:formatCode>
                <c:ptCount val="20"/>
                <c:pt idx="0">
                  <c:v>268570.5</c:v>
                </c:pt>
                <c:pt idx="1">
                  <c:v>277067.75</c:v>
                </c:pt>
                <c:pt idx="2">
                  <c:v>284585</c:v>
                </c:pt>
                <c:pt idx="3">
                  <c:v>295123.75</c:v>
                </c:pt>
                <c:pt idx="4">
                  <c:v>307570.5</c:v>
                </c:pt>
                <c:pt idx="5">
                  <c:v>323250.25</c:v>
                </c:pt>
                <c:pt idx="6">
                  <c:v>337396.25</c:v>
                </c:pt>
                <c:pt idx="7">
                  <c:v>353822.5</c:v>
                </c:pt>
                <c:pt idx="8">
                  <c:v>370797.75</c:v>
                </c:pt>
                <c:pt idx="9">
                  <c:v>388645.5</c:v>
                </c:pt>
                <c:pt idx="10">
                  <c:v>401940.25</c:v>
                </c:pt>
                <c:pt idx="11">
                  <c:v>415556.5</c:v>
                </c:pt>
                <c:pt idx="12">
                  <c:v>427574</c:v>
                </c:pt>
                <c:pt idx="13">
                  <c:v>439742.25</c:v>
                </c:pt>
                <c:pt idx="14">
                  <c:v>446846.5</c:v>
                </c:pt>
                <c:pt idx="15">
                  <c:v>454904.75</c:v>
                </c:pt>
                <c:pt idx="16">
                  <c:v>462117.25</c:v>
                </c:pt>
                <c:pt idx="17">
                  <c:v>472184.25</c:v>
                </c:pt>
                <c:pt idx="18">
                  <c:v>476373.25</c:v>
                </c:pt>
                <c:pt idx="19">
                  <c:v>482057.25</c:v>
                </c:pt>
              </c:numCache>
            </c:numRef>
          </c:val>
          <c:smooth val="0"/>
        </c:ser>
        <c:dLbls>
          <c:showLegendKey val="0"/>
          <c:showVal val="0"/>
          <c:showCatName val="0"/>
          <c:showSerName val="0"/>
          <c:showPercent val="0"/>
          <c:showBubbleSize val="0"/>
        </c:dLbls>
        <c:marker val="1"/>
        <c:smooth val="0"/>
        <c:axId val="84276352"/>
        <c:axId val="84277888"/>
      </c:lineChart>
      <c:catAx>
        <c:axId val="84276352"/>
        <c:scaling>
          <c:orientation val="minMax"/>
        </c:scaling>
        <c:delete val="0"/>
        <c:axPos val="b"/>
        <c:numFmt formatCode="General" sourceLinked="1"/>
        <c:majorTickMark val="none"/>
        <c:minorTickMark val="none"/>
        <c:tickLblPos val="nextTo"/>
        <c:crossAx val="84277888"/>
        <c:crosses val="autoZero"/>
        <c:auto val="1"/>
        <c:lblAlgn val="ctr"/>
        <c:lblOffset val="100"/>
        <c:noMultiLvlLbl val="0"/>
      </c:catAx>
      <c:valAx>
        <c:axId val="84277888"/>
        <c:scaling>
          <c:orientation val="minMax"/>
        </c:scaling>
        <c:delete val="0"/>
        <c:axPos val="l"/>
        <c:majorGridlines/>
        <c:title>
          <c:tx>
            <c:rich>
              <a:bodyPr rot="-5400000" vert="horz"/>
              <a:lstStyle/>
              <a:p>
                <a:pPr>
                  <a:defRPr/>
                </a:pPr>
                <a:r>
                  <a:rPr lang="en-US"/>
                  <a:t>Therms</a:t>
                </a:r>
              </a:p>
            </c:rich>
          </c:tx>
          <c:layout/>
          <c:overlay val="0"/>
        </c:title>
        <c:numFmt formatCode="_(* #,##0_);_(* \(#,##0\);_(* &quot;-&quot;??_);_(@_)" sourceLinked="1"/>
        <c:majorTickMark val="none"/>
        <c:minorTickMark val="none"/>
        <c:tickLblPos val="nextTo"/>
        <c:crossAx val="842763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Combined Residential Annual Incremental </a:t>
            </a:r>
            <a:br>
              <a:rPr lang="en-US" sz="1600"/>
            </a:br>
            <a:r>
              <a:rPr lang="en-US" sz="1600"/>
              <a:t>Savings Comparison</a:t>
            </a:r>
          </a:p>
        </c:rich>
      </c:tx>
      <c:layout/>
      <c:overlay val="0"/>
    </c:title>
    <c:autoTitleDeleted val="0"/>
    <c:plotArea>
      <c:layout/>
      <c:lineChart>
        <c:grouping val="standard"/>
        <c:varyColors val="0"/>
        <c:ser>
          <c:idx val="1"/>
          <c:order val="0"/>
          <c:tx>
            <c:strRef>
              <c:f>'Final CIP Forecast for Mark'!$J$6</c:f>
              <c:strCache>
                <c:ptCount val="1"/>
                <c:pt idx="0">
                  <c:v>Technical</c:v>
                </c:pt>
              </c:strCache>
            </c:strRef>
          </c:tx>
          <c:marker>
            <c:symbol val="none"/>
          </c:marker>
          <c:cat>
            <c:numRef>
              <c:f>'Final CIP Forecast for Mark'!$I$7:$I$26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Mark'!$J$7:$J$26</c:f>
              <c:numCache>
                <c:formatCode>_(* #,##0_);_(* \(#,##0\);_(* "-"??_);_(@_)</c:formatCode>
                <c:ptCount val="20"/>
                <c:pt idx="0">
                  <c:v>2396440</c:v>
                </c:pt>
                <c:pt idx="1">
                  <c:v>2447341</c:v>
                </c:pt>
                <c:pt idx="2">
                  <c:v>4440612</c:v>
                </c:pt>
                <c:pt idx="3">
                  <c:v>4493958</c:v>
                </c:pt>
                <c:pt idx="4">
                  <c:v>4547524</c:v>
                </c:pt>
                <c:pt idx="5">
                  <c:v>4625906</c:v>
                </c:pt>
                <c:pt idx="6">
                  <c:v>4658610</c:v>
                </c:pt>
                <c:pt idx="7">
                  <c:v>4709076</c:v>
                </c:pt>
                <c:pt idx="8">
                  <c:v>4766326</c:v>
                </c:pt>
                <c:pt idx="9">
                  <c:v>4839261</c:v>
                </c:pt>
                <c:pt idx="10">
                  <c:v>4870402</c:v>
                </c:pt>
                <c:pt idx="11">
                  <c:v>4924122</c:v>
                </c:pt>
                <c:pt idx="12">
                  <c:v>4977702</c:v>
                </c:pt>
                <c:pt idx="13">
                  <c:v>5050513</c:v>
                </c:pt>
                <c:pt idx="14">
                  <c:v>5080000</c:v>
                </c:pt>
                <c:pt idx="15">
                  <c:v>5132821</c:v>
                </c:pt>
                <c:pt idx="16">
                  <c:v>5185640</c:v>
                </c:pt>
                <c:pt idx="17">
                  <c:v>5262570</c:v>
                </c:pt>
                <c:pt idx="18">
                  <c:v>5290756</c:v>
                </c:pt>
                <c:pt idx="19">
                  <c:v>5347655</c:v>
                </c:pt>
              </c:numCache>
            </c:numRef>
          </c:val>
          <c:smooth val="0"/>
        </c:ser>
        <c:ser>
          <c:idx val="2"/>
          <c:order val="1"/>
          <c:tx>
            <c:strRef>
              <c:f>'Final CIP Forecast for Mark'!$K$6</c:f>
              <c:strCache>
                <c:ptCount val="1"/>
                <c:pt idx="0">
                  <c:v>Economic</c:v>
                </c:pt>
              </c:strCache>
            </c:strRef>
          </c:tx>
          <c:spPr>
            <a:ln>
              <a:prstDash val="sysDash"/>
            </a:ln>
          </c:spPr>
          <c:marker>
            <c:symbol val="none"/>
          </c:marker>
          <c:cat>
            <c:numRef>
              <c:f>'Final CIP Forecast for Mark'!$I$7:$I$26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Mark'!$K$7:$K$26</c:f>
              <c:numCache>
                <c:formatCode>_(* #,##0_);_(* \(#,##0\);_(* "-"??_);_(@_)</c:formatCode>
                <c:ptCount val="20"/>
                <c:pt idx="0">
                  <c:v>2169970</c:v>
                </c:pt>
                <c:pt idx="1">
                  <c:v>2214422</c:v>
                </c:pt>
                <c:pt idx="2">
                  <c:v>3384785</c:v>
                </c:pt>
                <c:pt idx="3">
                  <c:v>3425380</c:v>
                </c:pt>
                <c:pt idx="4">
                  <c:v>3466146</c:v>
                </c:pt>
                <c:pt idx="5">
                  <c:v>3525650</c:v>
                </c:pt>
                <c:pt idx="6">
                  <c:v>3550453</c:v>
                </c:pt>
                <c:pt idx="7">
                  <c:v>3589046</c:v>
                </c:pt>
                <c:pt idx="8">
                  <c:v>3632506</c:v>
                </c:pt>
                <c:pt idx="9">
                  <c:v>3688173</c:v>
                </c:pt>
                <c:pt idx="10">
                  <c:v>3711937</c:v>
                </c:pt>
                <c:pt idx="11">
                  <c:v>3752847</c:v>
                </c:pt>
                <c:pt idx="12">
                  <c:v>3793655</c:v>
                </c:pt>
                <c:pt idx="13">
                  <c:v>3849338</c:v>
                </c:pt>
                <c:pt idx="14">
                  <c:v>3871876</c:v>
                </c:pt>
                <c:pt idx="15">
                  <c:v>3912130</c:v>
                </c:pt>
                <c:pt idx="16">
                  <c:v>3952390</c:v>
                </c:pt>
                <c:pt idx="17">
                  <c:v>4011031</c:v>
                </c:pt>
                <c:pt idx="18">
                  <c:v>4032528</c:v>
                </c:pt>
                <c:pt idx="19">
                  <c:v>4075676</c:v>
                </c:pt>
              </c:numCache>
            </c:numRef>
          </c:val>
          <c:smooth val="0"/>
        </c:ser>
        <c:ser>
          <c:idx val="3"/>
          <c:order val="2"/>
          <c:tx>
            <c:strRef>
              <c:f>'Final CIP Forecast for Mark'!$L$6</c:f>
              <c:strCache>
                <c:ptCount val="1"/>
                <c:pt idx="0">
                  <c:v>Achievable</c:v>
                </c:pt>
              </c:strCache>
            </c:strRef>
          </c:tx>
          <c:spPr>
            <a:ln>
              <a:prstDash val="lgDash"/>
            </a:ln>
          </c:spPr>
          <c:marker>
            <c:symbol val="none"/>
          </c:marker>
          <c:cat>
            <c:numRef>
              <c:f>'Final CIP Forecast for Mark'!$I$7:$I$26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Mark'!$L$7:$L$26</c:f>
              <c:numCache>
                <c:formatCode>_(* #,##0_);_(* \(#,##0\);_(* "-"??_);_(@_)</c:formatCode>
                <c:ptCount val="20"/>
                <c:pt idx="0">
                  <c:v>528339</c:v>
                </c:pt>
                <c:pt idx="1">
                  <c:v>552295</c:v>
                </c:pt>
                <c:pt idx="2">
                  <c:v>1138340</c:v>
                </c:pt>
                <c:pt idx="3">
                  <c:v>1180495</c:v>
                </c:pt>
                <c:pt idx="4">
                  <c:v>1230282</c:v>
                </c:pt>
                <c:pt idx="5">
                  <c:v>1293001</c:v>
                </c:pt>
                <c:pt idx="6">
                  <c:v>1349585</c:v>
                </c:pt>
                <c:pt idx="7">
                  <c:v>1415290</c:v>
                </c:pt>
                <c:pt idx="8">
                  <c:v>1483191</c:v>
                </c:pt>
                <c:pt idx="9">
                  <c:v>1554582</c:v>
                </c:pt>
                <c:pt idx="10">
                  <c:v>1607761</c:v>
                </c:pt>
                <c:pt idx="11">
                  <c:v>1662226</c:v>
                </c:pt>
                <c:pt idx="12">
                  <c:v>1710296</c:v>
                </c:pt>
                <c:pt idx="13">
                  <c:v>1758969</c:v>
                </c:pt>
                <c:pt idx="14">
                  <c:v>1787386</c:v>
                </c:pt>
                <c:pt idx="15">
                  <c:v>1819619</c:v>
                </c:pt>
                <c:pt idx="16">
                  <c:v>1848469</c:v>
                </c:pt>
                <c:pt idx="17">
                  <c:v>1888737</c:v>
                </c:pt>
                <c:pt idx="18">
                  <c:v>1905493</c:v>
                </c:pt>
                <c:pt idx="19">
                  <c:v>1928229</c:v>
                </c:pt>
              </c:numCache>
            </c:numRef>
          </c:val>
          <c:smooth val="0"/>
        </c:ser>
        <c:ser>
          <c:idx val="5"/>
          <c:order val="3"/>
          <c:tx>
            <c:strRef>
              <c:f>'Final CIP Forecast for Mark'!$N$6</c:f>
              <c:strCache>
                <c:ptCount val="1"/>
                <c:pt idx="0">
                  <c:v>Realistic @ 25%</c:v>
                </c:pt>
              </c:strCache>
            </c:strRef>
          </c:tx>
          <c:spPr>
            <a:ln>
              <a:prstDash val="lgDashDotDot"/>
            </a:ln>
          </c:spPr>
          <c:marker>
            <c:symbol val="none"/>
          </c:marker>
          <c:cat>
            <c:numRef>
              <c:f>'Final CIP Forecast for Mark'!$I$7:$I$26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Mark'!$N$7:$N$26</c:f>
              <c:numCache>
                <c:formatCode>_(* #,##0_);_(* \(#,##0\);_(* "-"??_);_(@_)</c:formatCode>
                <c:ptCount val="20"/>
                <c:pt idx="0">
                  <c:v>132084.75</c:v>
                </c:pt>
                <c:pt idx="1">
                  <c:v>138073.75</c:v>
                </c:pt>
                <c:pt idx="2">
                  <c:v>284585</c:v>
                </c:pt>
                <c:pt idx="3">
                  <c:v>295123.75</c:v>
                </c:pt>
                <c:pt idx="4">
                  <c:v>307570.5</c:v>
                </c:pt>
                <c:pt idx="5">
                  <c:v>323250.25</c:v>
                </c:pt>
                <c:pt idx="6">
                  <c:v>337396.25</c:v>
                </c:pt>
                <c:pt idx="7">
                  <c:v>353822.5</c:v>
                </c:pt>
                <c:pt idx="8">
                  <c:v>370797.75</c:v>
                </c:pt>
                <c:pt idx="9">
                  <c:v>388645.5</c:v>
                </c:pt>
                <c:pt idx="10">
                  <c:v>401940.25</c:v>
                </c:pt>
                <c:pt idx="11">
                  <c:v>415556.5</c:v>
                </c:pt>
                <c:pt idx="12">
                  <c:v>427574</c:v>
                </c:pt>
                <c:pt idx="13">
                  <c:v>439742.25</c:v>
                </c:pt>
                <c:pt idx="14">
                  <c:v>446846.5</c:v>
                </c:pt>
                <c:pt idx="15">
                  <c:v>454904.75</c:v>
                </c:pt>
                <c:pt idx="16">
                  <c:v>462117.25</c:v>
                </c:pt>
                <c:pt idx="17">
                  <c:v>472184.25</c:v>
                </c:pt>
                <c:pt idx="18">
                  <c:v>476373.25</c:v>
                </c:pt>
                <c:pt idx="19">
                  <c:v>482057.25</c:v>
                </c:pt>
              </c:numCache>
            </c:numRef>
          </c:val>
          <c:smooth val="0"/>
        </c:ser>
        <c:dLbls>
          <c:showLegendKey val="0"/>
          <c:showVal val="0"/>
          <c:showCatName val="0"/>
          <c:showSerName val="0"/>
          <c:showPercent val="0"/>
          <c:showBubbleSize val="0"/>
        </c:dLbls>
        <c:marker val="1"/>
        <c:smooth val="0"/>
        <c:axId val="40613376"/>
        <c:axId val="40614912"/>
      </c:lineChart>
      <c:catAx>
        <c:axId val="40613376"/>
        <c:scaling>
          <c:orientation val="minMax"/>
        </c:scaling>
        <c:delete val="0"/>
        <c:axPos val="b"/>
        <c:numFmt formatCode="General" sourceLinked="1"/>
        <c:majorTickMark val="none"/>
        <c:minorTickMark val="none"/>
        <c:tickLblPos val="nextTo"/>
        <c:crossAx val="40614912"/>
        <c:crosses val="autoZero"/>
        <c:auto val="1"/>
        <c:lblAlgn val="ctr"/>
        <c:lblOffset val="100"/>
        <c:noMultiLvlLbl val="0"/>
      </c:catAx>
      <c:valAx>
        <c:axId val="40614912"/>
        <c:scaling>
          <c:orientation val="minMax"/>
        </c:scaling>
        <c:delete val="0"/>
        <c:axPos val="l"/>
        <c:majorGridlines/>
        <c:title>
          <c:tx>
            <c:rich>
              <a:bodyPr rot="-5400000" vert="horz"/>
              <a:lstStyle/>
              <a:p>
                <a:pPr>
                  <a:defRPr/>
                </a:pPr>
                <a:r>
                  <a:rPr lang="en-US"/>
                  <a:t>Therms</a:t>
                </a:r>
              </a:p>
            </c:rich>
          </c:tx>
          <c:layout/>
          <c:overlay val="0"/>
        </c:title>
        <c:numFmt formatCode="_(* #,##0_);_(* \(#,##0\);_(* &quot;-&quot;??_);_(@_)" sourceLinked="1"/>
        <c:majorTickMark val="none"/>
        <c:minorTickMark val="none"/>
        <c:tickLblPos val="nextTo"/>
        <c:spPr>
          <a:ln w="9525">
            <a:noFill/>
          </a:ln>
        </c:spPr>
        <c:crossAx val="406133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Cambria Math" panose="02040503050406030204" pitchFamily="18" charset="0"/>
                <a:ea typeface="Cambria Math" panose="02040503050406030204" pitchFamily="18" charset="0"/>
              </a:rPr>
              <a:t>Residential</a:t>
            </a:r>
          </a:p>
        </c:rich>
      </c:tx>
      <c:layout/>
      <c:overlay val="0"/>
    </c:title>
    <c:autoTitleDeleted val="0"/>
    <c:plotArea>
      <c:layout>
        <c:manualLayout>
          <c:layoutTarget val="inner"/>
          <c:xMode val="edge"/>
          <c:yMode val="edge"/>
          <c:x val="0.14147091599583572"/>
          <c:y val="0.16867413057742783"/>
          <c:w val="0.83292386985146405"/>
          <c:h val="0.53994320045931754"/>
        </c:manualLayout>
      </c:layout>
      <c:lineChart>
        <c:grouping val="standard"/>
        <c:varyColors val="0"/>
        <c:ser>
          <c:idx val="1"/>
          <c:order val="0"/>
          <c:tx>
            <c:strRef>
              <c:f>NewRes!$C$30</c:f>
              <c:strCache>
                <c:ptCount val="1"/>
                <c:pt idx="0">
                  <c:v>Technical</c:v>
                </c:pt>
              </c:strCache>
            </c:strRef>
          </c:tx>
          <c:spPr>
            <a:ln>
              <a:solidFill>
                <a:schemeClr val="accent3"/>
              </a:solidFill>
              <a:prstDash val="sysDot"/>
            </a:ln>
            <a:effectLst>
              <a:outerShdw blurRad="50800" dist="38100" dir="2700000" algn="tl" rotWithShape="0">
                <a:prstClr val="black">
                  <a:alpha val="40000"/>
                </a:prstClr>
              </a:outerShdw>
            </a:effectLst>
          </c:spPr>
          <c:marker>
            <c:symbol val="none"/>
          </c:marker>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(NewRes!$C$31:$C$32,NewRes!$M$33:$M$41)</c:f>
              <c:numCache>
                <c:formatCode>_(* #,##0_);_(* \(#,##0\);_(* "-"??_);_(@_)</c:formatCode>
                <c:ptCount val="11"/>
                <c:pt idx="0">
                  <c:v>1716126</c:v>
                </c:pt>
                <c:pt idx="1">
                  <c:v>1734772</c:v>
                </c:pt>
                <c:pt idx="2" formatCode="#,##0">
                  <c:v>2554142</c:v>
                </c:pt>
                <c:pt idx="3" formatCode="#,##0">
                  <c:v>2584073</c:v>
                </c:pt>
                <c:pt idx="4" formatCode="#,##0">
                  <c:v>2626188</c:v>
                </c:pt>
                <c:pt idx="5" formatCode="#,##0">
                  <c:v>2644086</c:v>
                </c:pt>
                <c:pt idx="6" formatCode="#,##0">
                  <c:v>2674205</c:v>
                </c:pt>
                <c:pt idx="7" formatCode="#,##0">
                  <c:v>2704323</c:v>
                </c:pt>
                <c:pt idx="8" formatCode="#,##0">
                  <c:v>2747302</c:v>
                </c:pt>
                <c:pt idx="9" formatCode="#,##0">
                  <c:v>2764671</c:v>
                </c:pt>
                <c:pt idx="10" formatCode="#,##0">
                  <c:v>2794850</c:v>
                </c:pt>
              </c:numCache>
            </c:numRef>
          </c:val>
          <c:smooth val="0"/>
        </c:ser>
        <c:ser>
          <c:idx val="2"/>
          <c:order val="1"/>
          <c:tx>
            <c:strRef>
              <c:f>NewRes!$D$30</c:f>
              <c:strCache>
                <c:ptCount val="1"/>
                <c:pt idx="0">
                  <c:v>Economic</c:v>
                </c:pt>
              </c:strCache>
            </c:strRef>
          </c:tx>
          <c:spPr>
            <a:ln>
              <a:solidFill>
                <a:schemeClr val="accent4"/>
              </a:solidFill>
              <a:prstDash val="dash"/>
            </a:ln>
            <a:effectLst>
              <a:outerShdw blurRad="50800" dist="38100" dir="2700000" algn="tl" rotWithShape="0">
                <a:prstClr val="black">
                  <a:alpha val="40000"/>
                </a:prstClr>
              </a:outerShdw>
            </a:effectLst>
          </c:spPr>
          <c:marker>
            <c:symbol val="none"/>
          </c:marker>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(NewRes!$D$31:$D$32,NewRes!$N$33:$N$41)</c:f>
              <c:numCache>
                <c:formatCode>_(* #,##0_);_(* \(#,##0\);_(* "-"??_);_(@_)</c:formatCode>
                <c:ptCount val="11"/>
                <c:pt idx="0">
                  <c:v>1459640</c:v>
                </c:pt>
                <c:pt idx="1">
                  <c:v>1473626</c:v>
                </c:pt>
                <c:pt idx="2">
                  <c:v>1485589</c:v>
                </c:pt>
                <c:pt idx="3">
                  <c:v>1503536</c:v>
                </c:pt>
                <c:pt idx="4">
                  <c:v>1528541</c:v>
                </c:pt>
                <c:pt idx="5">
                  <c:v>1539425</c:v>
                </c:pt>
                <c:pt idx="6">
                  <c:v>1557394</c:v>
                </c:pt>
                <c:pt idx="7">
                  <c:v>1575333</c:v>
                </c:pt>
                <c:pt idx="8">
                  <c:v>1600734</c:v>
                </c:pt>
                <c:pt idx="9">
                  <c:v>1611180</c:v>
                </c:pt>
                <c:pt idx="10">
                  <c:v>1629055</c:v>
                </c:pt>
              </c:numCache>
            </c:numRef>
          </c:val>
          <c:smooth val="0"/>
        </c:ser>
        <c:ser>
          <c:idx val="0"/>
          <c:order val="2"/>
          <c:tx>
            <c:strRef>
              <c:f>Combined!$C$29</c:f>
              <c:strCache>
                <c:ptCount val="1"/>
                <c:pt idx="0">
                  <c:v>Achievable Residential</c:v>
                </c:pt>
              </c:strCache>
            </c:strRef>
          </c:tx>
          <c:spPr>
            <a:ln>
              <a:solidFill>
                <a:schemeClr val="accent5">
                  <a:lumMod val="60000"/>
                  <a:lumOff val="40000"/>
                </a:schemeClr>
              </a:solidFill>
            </a:ln>
            <a:effectLst>
              <a:outerShdw blurRad="50800" dist="38100" dir="2700000" algn="tl" rotWithShape="0">
                <a:prstClr val="black">
                  <a:alpha val="40000"/>
                </a:prstClr>
              </a:outerShdw>
            </a:effectLst>
          </c:spPr>
          <c:marker>
            <c:symbol val="none"/>
          </c:marker>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Combined!$C$30:$C$40</c:f>
              <c:numCache>
                <c:formatCode>_(* #,##0_);_(* \(#,##0\);_(* "-"??_);_(@_)</c:formatCode>
                <c:ptCount val="11"/>
                <c:pt idx="0">
                  <c:v>409975</c:v>
                </c:pt>
                <c:pt idx="1">
                  <c:v>419773</c:v>
                </c:pt>
                <c:pt idx="2">
                  <c:v>384844</c:v>
                </c:pt>
                <c:pt idx="3">
                  <c:v>412797</c:v>
                </c:pt>
                <c:pt idx="4">
                  <c:v>449150</c:v>
                </c:pt>
                <c:pt idx="5">
                  <c:v>486492</c:v>
                </c:pt>
                <c:pt idx="6">
                  <c:v>530830</c:v>
                </c:pt>
                <c:pt idx="7">
                  <c:v>578283</c:v>
                </c:pt>
                <c:pt idx="8">
                  <c:v>629415</c:v>
                </c:pt>
                <c:pt idx="9">
                  <c:v>672965</c:v>
                </c:pt>
                <c:pt idx="10">
                  <c:v>715763</c:v>
                </c:pt>
              </c:numCache>
            </c:numRef>
          </c:val>
          <c:smooth val="0"/>
        </c:ser>
        <c:ser>
          <c:idx val="3"/>
          <c:order val="3"/>
          <c:tx>
            <c:strRef>
              <c:f>NewRes!$S$30</c:f>
              <c:strCache>
                <c:ptCount val="1"/>
                <c:pt idx="0">
                  <c:v>IRP Programmatic</c:v>
                </c:pt>
              </c:strCache>
            </c:strRef>
          </c:tx>
          <c:spPr>
            <a:ln>
              <a:solidFill>
                <a:schemeClr val="accent6"/>
              </a:solidFill>
              <a:prstDash val="lgDashDot"/>
            </a:ln>
            <a:effectLst>
              <a:outerShdw blurRad="50800" dist="38100" dir="2700000" algn="tl" rotWithShape="0">
                <a:prstClr val="black">
                  <a:alpha val="40000"/>
                </a:prstClr>
              </a:outerShdw>
            </a:effectLst>
          </c:spPr>
          <c:marker>
            <c:symbol val="none"/>
          </c:marker>
          <c:val>
            <c:numRef>
              <c:f>NewRes!$S$31:$S$41</c:f>
              <c:numCache>
                <c:formatCode>_(* #,##0_);_(* \(#,##0\);_(* "-"??_);_(@_)</c:formatCode>
                <c:ptCount val="11"/>
                <c:pt idx="0">
                  <c:v>138073.75</c:v>
                </c:pt>
                <c:pt idx="1">
                  <c:v>284585</c:v>
                </c:pt>
                <c:pt idx="2">
                  <c:v>295123.75</c:v>
                </c:pt>
                <c:pt idx="3">
                  <c:v>307570.5</c:v>
                </c:pt>
                <c:pt idx="4">
                  <c:v>323250.25</c:v>
                </c:pt>
                <c:pt idx="5">
                  <c:v>337396.25</c:v>
                </c:pt>
                <c:pt idx="6">
                  <c:v>353822.5</c:v>
                </c:pt>
                <c:pt idx="7">
                  <c:v>370797.75</c:v>
                </c:pt>
                <c:pt idx="8">
                  <c:v>388645.5</c:v>
                </c:pt>
                <c:pt idx="9">
                  <c:v>401940.25</c:v>
                </c:pt>
                <c:pt idx="10">
                  <c:v>415556.5</c:v>
                </c:pt>
              </c:numCache>
            </c:numRef>
          </c:val>
          <c:smooth val="0"/>
        </c:ser>
        <c:dLbls>
          <c:showLegendKey val="0"/>
          <c:showVal val="0"/>
          <c:showCatName val="0"/>
          <c:showSerName val="0"/>
          <c:showPercent val="0"/>
          <c:showBubbleSize val="0"/>
        </c:dLbls>
        <c:marker val="1"/>
        <c:smooth val="0"/>
        <c:axId val="84750336"/>
        <c:axId val="84751872"/>
      </c:lineChart>
      <c:catAx>
        <c:axId val="84750336"/>
        <c:scaling>
          <c:orientation val="minMax"/>
        </c:scaling>
        <c:delete val="0"/>
        <c:axPos val="b"/>
        <c:numFmt formatCode="General" sourceLinked="1"/>
        <c:majorTickMark val="out"/>
        <c:minorTickMark val="none"/>
        <c:tickLblPos val="nextTo"/>
        <c:crossAx val="84751872"/>
        <c:crosses val="autoZero"/>
        <c:auto val="1"/>
        <c:lblAlgn val="ctr"/>
        <c:lblOffset val="100"/>
        <c:noMultiLvlLbl val="0"/>
      </c:catAx>
      <c:valAx>
        <c:axId val="84751872"/>
        <c:scaling>
          <c:orientation val="minMax"/>
          <c:max val="3500000"/>
        </c:scaling>
        <c:delete val="0"/>
        <c:axPos val="l"/>
        <c:majorGridlines/>
        <c:title>
          <c:tx>
            <c:rich>
              <a:bodyPr rot="0" vert="horz"/>
              <a:lstStyle/>
              <a:p>
                <a:pPr>
                  <a:defRPr/>
                </a:pPr>
                <a:r>
                  <a:rPr lang="en-US"/>
                  <a:t>Therms</a:t>
                </a:r>
              </a:p>
            </c:rich>
          </c:tx>
          <c:layout>
            <c:manualLayout>
              <c:xMode val="edge"/>
              <c:yMode val="edge"/>
              <c:x val="2.5193852671969299E-2"/>
              <c:y val="0.78119655508628827"/>
            </c:manualLayout>
          </c:layout>
          <c:overlay val="0"/>
        </c:title>
        <c:numFmt formatCode="_(* #,##0_);_(* \(#,##0\);_(* &quot;-&quot;??_);_(@_)" sourceLinked="1"/>
        <c:majorTickMark val="out"/>
        <c:minorTickMark val="none"/>
        <c:tickLblPos val="nextTo"/>
        <c:crossAx val="84750336"/>
        <c:crosses val="autoZero"/>
        <c:crossBetween val="between"/>
      </c:valAx>
    </c:plotArea>
    <c:legend>
      <c:legendPos val="b"/>
      <c:layout>
        <c:manualLayout>
          <c:xMode val="edge"/>
          <c:yMode val="edge"/>
          <c:x val="0.1431098696461825"/>
          <c:y val="0.81300818842957134"/>
          <c:w val="0.83947858472998138"/>
          <c:h val="0.16095014490376203"/>
        </c:manualLayout>
      </c:layout>
      <c:overlay val="0"/>
    </c:legend>
    <c:plotVisOnly val="1"/>
    <c:dispBlanksAs val="zero"/>
    <c:showDLblsOverMax val="0"/>
  </c:chart>
  <c:spPr>
    <a:ln w="12700"/>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mn-lt"/>
              </a:rPr>
              <a:t>Residential Achievable Maintained</a:t>
            </a:r>
            <a:r>
              <a:rPr lang="en-US" sz="1400" baseline="0">
                <a:latin typeface="+mn-lt"/>
              </a:rPr>
              <a:t> </a:t>
            </a:r>
            <a:br>
              <a:rPr lang="en-US" sz="1400" baseline="0">
                <a:latin typeface="+mn-lt"/>
              </a:rPr>
            </a:br>
            <a:r>
              <a:rPr lang="en-US" sz="1400" baseline="0">
                <a:latin typeface="+mn-lt"/>
              </a:rPr>
              <a:t>at Current 30% Incentive Level</a:t>
            </a:r>
            <a:endParaRPr lang="en-US" sz="1400">
              <a:latin typeface="+mn-lt"/>
            </a:endParaRPr>
          </a:p>
        </c:rich>
      </c:tx>
      <c:layout>
        <c:manualLayout>
          <c:xMode val="edge"/>
          <c:yMode val="edge"/>
          <c:x val="0.28323709536307962"/>
          <c:y val="3.025752522984097E-2"/>
        </c:manualLayout>
      </c:layout>
      <c:overlay val="0"/>
    </c:title>
    <c:autoTitleDeleted val="0"/>
    <c:plotArea>
      <c:layout>
        <c:manualLayout>
          <c:layoutTarget val="inner"/>
          <c:xMode val="edge"/>
          <c:yMode val="edge"/>
          <c:x val="0.14061090921327141"/>
          <c:y val="0.18788252175191883"/>
          <c:w val="0.83588481728245512"/>
          <c:h val="0.6031647104182648"/>
        </c:manualLayout>
      </c:layout>
      <c:lineChart>
        <c:grouping val="standard"/>
        <c:varyColors val="0"/>
        <c:ser>
          <c:idx val="0"/>
          <c:order val="0"/>
          <c:tx>
            <c:strRef>
              <c:f>NewRes!$C$30</c:f>
              <c:strCache>
                <c:ptCount val="1"/>
                <c:pt idx="0">
                  <c:v>Technical</c:v>
                </c:pt>
              </c:strCache>
            </c:strRef>
          </c:tx>
          <c:spPr>
            <a:ln>
              <a:solidFill>
                <a:schemeClr val="accent3"/>
              </a:solidFill>
              <a:prstDash val="sysDot"/>
            </a:ln>
            <a:effectLst>
              <a:outerShdw blurRad="50800" dist="38100" dir="2700000" algn="tl" rotWithShape="0">
                <a:prstClr val="black">
                  <a:alpha val="40000"/>
                </a:prstClr>
              </a:outerShdw>
            </a:effectLst>
          </c:spPr>
          <c:marker>
            <c:symbol val="none"/>
          </c:marker>
          <c:cat>
            <c:numRef>
              <c:f>NewRes!$B$31:$B$41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NewRes!$C$31:$C$41</c:f>
              <c:numCache>
                <c:formatCode>_(* #,##0_);_(* \(#,##0\);_(* "-"??_);_(@_)</c:formatCode>
                <c:ptCount val="11"/>
                <c:pt idx="0">
                  <c:v>1716126</c:v>
                </c:pt>
                <c:pt idx="1">
                  <c:v>1734772</c:v>
                </c:pt>
                <c:pt idx="2">
                  <c:v>1756737</c:v>
                </c:pt>
                <c:pt idx="3">
                  <c:v>1778931</c:v>
                </c:pt>
                <c:pt idx="4">
                  <c:v>1809620</c:v>
                </c:pt>
                <c:pt idx="5">
                  <c:v>1823679</c:v>
                </c:pt>
                <c:pt idx="6">
                  <c:v>1846218</c:v>
                </c:pt>
                <c:pt idx="7">
                  <c:v>1868817</c:v>
                </c:pt>
                <c:pt idx="8">
                  <c:v>1900373</c:v>
                </c:pt>
                <c:pt idx="9">
                  <c:v>1914276</c:v>
                </c:pt>
                <c:pt idx="10">
                  <c:v>1937103</c:v>
                </c:pt>
              </c:numCache>
            </c:numRef>
          </c:val>
          <c:smooth val="0"/>
        </c:ser>
        <c:ser>
          <c:idx val="1"/>
          <c:order val="1"/>
          <c:tx>
            <c:strRef>
              <c:f>NewRes!$D$30</c:f>
              <c:strCache>
                <c:ptCount val="1"/>
                <c:pt idx="0">
                  <c:v>Economic</c:v>
                </c:pt>
              </c:strCache>
            </c:strRef>
          </c:tx>
          <c:spPr>
            <a:ln>
              <a:solidFill>
                <a:srgbClr val="7030A0"/>
              </a:solidFill>
              <a:prstDash val="dash"/>
            </a:ln>
            <a:effectLst>
              <a:outerShdw blurRad="50800" dist="38100" dir="2700000" algn="tl" rotWithShape="0">
                <a:prstClr val="black">
                  <a:alpha val="40000"/>
                </a:prstClr>
              </a:outerShdw>
            </a:effectLst>
          </c:spPr>
          <c:marker>
            <c:symbol val="none"/>
          </c:marker>
          <c:cat>
            <c:numRef>
              <c:f>NewRes!$B$31:$B$41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NewRes!$D$31:$D$41</c:f>
              <c:numCache>
                <c:formatCode>_(* #,##0_);_(* \(#,##0\);_(* "-"??_);_(@_)</c:formatCode>
                <c:ptCount val="11"/>
                <c:pt idx="0">
                  <c:v>1459640</c:v>
                </c:pt>
                <c:pt idx="1">
                  <c:v>1473626</c:v>
                </c:pt>
                <c:pt idx="2">
                  <c:v>1492507</c:v>
                </c:pt>
                <c:pt idx="3">
                  <c:v>1511568</c:v>
                </c:pt>
                <c:pt idx="4">
                  <c:v>1537856</c:v>
                </c:pt>
                <c:pt idx="5">
                  <c:v>1550019</c:v>
                </c:pt>
                <c:pt idx="6">
                  <c:v>1569395</c:v>
                </c:pt>
                <c:pt idx="7">
                  <c:v>1588830</c:v>
                </c:pt>
                <c:pt idx="8">
                  <c:v>1615888</c:v>
                </c:pt>
                <c:pt idx="9">
                  <c:v>1627944</c:v>
                </c:pt>
                <c:pt idx="10">
                  <c:v>1647595</c:v>
                </c:pt>
              </c:numCache>
            </c:numRef>
          </c:val>
          <c:smooth val="0"/>
        </c:ser>
        <c:ser>
          <c:idx val="2"/>
          <c:order val="2"/>
          <c:tx>
            <c:strRef>
              <c:f>NewRes!$E$30</c:f>
              <c:strCache>
                <c:ptCount val="1"/>
                <c:pt idx="0">
                  <c:v>Achievable</c:v>
                </c:pt>
              </c:strCache>
            </c:strRef>
          </c:tx>
          <c:spPr>
            <a:ln>
              <a:solidFill>
                <a:schemeClr val="accent5">
                  <a:lumMod val="60000"/>
                  <a:lumOff val="40000"/>
                </a:schemeClr>
              </a:solidFill>
            </a:ln>
            <a:effectLst>
              <a:outerShdw blurRad="50800" dist="38100" dir="2700000" algn="tl" rotWithShape="0">
                <a:prstClr val="black">
                  <a:alpha val="40000"/>
                </a:prstClr>
              </a:outerShdw>
            </a:effectLst>
          </c:spPr>
          <c:marker>
            <c:symbol val="none"/>
          </c:marker>
          <c:cat>
            <c:numRef>
              <c:f>NewRes!$B$31:$B$41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NewRes!$E$31:$E$41</c:f>
              <c:numCache>
                <c:formatCode>_(* #,##0_);_(* \(#,##0\);_(* "-"??_);_(@_)</c:formatCode>
                <c:ptCount val="11"/>
                <c:pt idx="0">
                  <c:v>409975</c:v>
                </c:pt>
                <c:pt idx="1">
                  <c:v>419773</c:v>
                </c:pt>
                <c:pt idx="2">
                  <c:v>434126</c:v>
                </c:pt>
                <c:pt idx="3">
                  <c:v>451557</c:v>
                </c:pt>
                <c:pt idx="4">
                  <c:v>474710</c:v>
                </c:pt>
                <c:pt idx="5">
                  <c:v>497194</c:v>
                </c:pt>
                <c:pt idx="6">
                  <c:v>525361</c:v>
                </c:pt>
                <c:pt idx="7">
                  <c:v>556239</c:v>
                </c:pt>
                <c:pt idx="8">
                  <c:v>591351</c:v>
                </c:pt>
                <c:pt idx="9">
                  <c:v>620932</c:v>
                </c:pt>
                <c:pt idx="10">
                  <c:v>651853</c:v>
                </c:pt>
              </c:numCache>
            </c:numRef>
          </c:val>
          <c:smooth val="0"/>
        </c:ser>
        <c:ser>
          <c:idx val="3"/>
          <c:order val="3"/>
          <c:tx>
            <c:strRef>
              <c:f>NewRes!$S$30</c:f>
              <c:strCache>
                <c:ptCount val="1"/>
                <c:pt idx="0">
                  <c:v>IRP Programmatic</c:v>
                </c:pt>
              </c:strCache>
            </c:strRef>
          </c:tx>
          <c:spPr>
            <a:ln>
              <a:solidFill>
                <a:schemeClr val="tx2"/>
              </a:solidFill>
              <a:prstDash val="dashDot"/>
            </a:ln>
            <a:effectLst>
              <a:outerShdw blurRad="50800" dist="38100" dir="2700000" algn="tl" rotWithShape="0">
                <a:prstClr val="black">
                  <a:alpha val="40000"/>
                </a:prstClr>
              </a:outerShdw>
            </a:effectLst>
          </c:spPr>
          <c:marker>
            <c:symbol val="none"/>
          </c:marker>
          <c:val>
            <c:numRef>
              <c:f>NewRes!$S$31:$S$41</c:f>
              <c:numCache>
                <c:formatCode>_(* #,##0_);_(* \(#,##0\);_(* "-"??_);_(@_)</c:formatCode>
                <c:ptCount val="11"/>
                <c:pt idx="0">
                  <c:v>138073.75</c:v>
                </c:pt>
                <c:pt idx="1">
                  <c:v>284585</c:v>
                </c:pt>
                <c:pt idx="2">
                  <c:v>295123.75</c:v>
                </c:pt>
                <c:pt idx="3">
                  <c:v>307570.5</c:v>
                </c:pt>
                <c:pt idx="4">
                  <c:v>323250.25</c:v>
                </c:pt>
                <c:pt idx="5">
                  <c:v>337396.25</c:v>
                </c:pt>
                <c:pt idx="6">
                  <c:v>353822.5</c:v>
                </c:pt>
                <c:pt idx="7">
                  <c:v>370797.75</c:v>
                </c:pt>
                <c:pt idx="8">
                  <c:v>388645.5</c:v>
                </c:pt>
                <c:pt idx="9">
                  <c:v>401940.25</c:v>
                </c:pt>
                <c:pt idx="10">
                  <c:v>415556.5</c:v>
                </c:pt>
              </c:numCache>
            </c:numRef>
          </c:val>
          <c:smooth val="0"/>
        </c:ser>
        <c:dLbls>
          <c:showLegendKey val="0"/>
          <c:showVal val="0"/>
          <c:showCatName val="0"/>
          <c:showSerName val="0"/>
          <c:showPercent val="0"/>
          <c:showBubbleSize val="0"/>
        </c:dLbls>
        <c:marker val="1"/>
        <c:smooth val="0"/>
        <c:axId val="84795776"/>
        <c:axId val="84797312"/>
      </c:lineChart>
      <c:catAx>
        <c:axId val="84795776"/>
        <c:scaling>
          <c:orientation val="minMax"/>
        </c:scaling>
        <c:delete val="0"/>
        <c:axPos val="b"/>
        <c:numFmt formatCode="General" sourceLinked="1"/>
        <c:majorTickMark val="out"/>
        <c:minorTickMark val="none"/>
        <c:tickLblPos val="nextTo"/>
        <c:crossAx val="84797312"/>
        <c:crosses val="autoZero"/>
        <c:auto val="1"/>
        <c:lblAlgn val="ctr"/>
        <c:lblOffset val="100"/>
        <c:noMultiLvlLbl val="0"/>
      </c:catAx>
      <c:valAx>
        <c:axId val="84797312"/>
        <c:scaling>
          <c:orientation val="minMax"/>
          <c:max val="3500000"/>
          <c:min val="0"/>
        </c:scaling>
        <c:delete val="0"/>
        <c:axPos val="l"/>
        <c:majorGridlines/>
        <c:title>
          <c:tx>
            <c:rich>
              <a:bodyPr rot="0" vert="horz"/>
              <a:lstStyle/>
              <a:p>
                <a:pPr>
                  <a:defRPr/>
                </a:pPr>
                <a:r>
                  <a:rPr lang="en-US"/>
                  <a:t>Therms</a:t>
                </a:r>
              </a:p>
            </c:rich>
          </c:tx>
          <c:layout>
            <c:manualLayout>
              <c:xMode val="edge"/>
              <c:yMode val="edge"/>
              <c:x val="3.8461538461538464E-2"/>
              <c:y val="0.7292531013128658"/>
            </c:manualLayout>
          </c:layout>
          <c:overlay val="0"/>
        </c:title>
        <c:numFmt formatCode="_(* #,##0_);_(* \(#,##0\);_(* &quot;-&quot;??_);_(@_)" sourceLinked="1"/>
        <c:majorTickMark val="out"/>
        <c:minorTickMark val="none"/>
        <c:tickLblPos val="nextTo"/>
        <c:crossAx val="84795776"/>
        <c:crosses val="autoZero"/>
        <c:crossBetween val="between"/>
      </c:valAx>
    </c:plotArea>
    <c:legend>
      <c:legendPos val="b"/>
      <c:layout>
        <c:manualLayout>
          <c:xMode val="edge"/>
          <c:yMode val="edge"/>
          <c:x val="0.10137054983511676"/>
          <c:y val="0.90821346094989008"/>
          <c:w val="0.82289992597079209"/>
          <c:h val="9.1327845382963499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Combined</a:t>
            </a:r>
            <a:r>
              <a:rPr lang="en-US" sz="1600" baseline="0"/>
              <a:t> </a:t>
            </a:r>
            <a:r>
              <a:rPr lang="en-US" sz="1600"/>
              <a:t>Commercial</a:t>
            </a:r>
            <a:r>
              <a:rPr lang="en-US" sz="1600" baseline="0"/>
              <a:t> &amp; </a:t>
            </a:r>
            <a:r>
              <a:rPr lang="en-US" sz="1600"/>
              <a:t>Industrial</a:t>
            </a:r>
            <a:r>
              <a:rPr lang="en-US" sz="1600" baseline="0"/>
              <a:t/>
            </a:r>
            <a:br>
              <a:rPr lang="en-US" sz="1600" baseline="0"/>
            </a:br>
            <a:r>
              <a:rPr lang="en-US" sz="1600" baseline="0"/>
              <a:t>Annual Incremental Savings Comparison</a:t>
            </a:r>
            <a:endParaRPr lang="en-US" sz="1600"/>
          </a:p>
        </c:rich>
      </c:tx>
      <c:layout/>
      <c:overlay val="0"/>
    </c:title>
    <c:autoTitleDeleted val="0"/>
    <c:plotArea>
      <c:layout/>
      <c:lineChart>
        <c:grouping val="standard"/>
        <c:varyColors val="0"/>
        <c:ser>
          <c:idx val="1"/>
          <c:order val="0"/>
          <c:tx>
            <c:strRef>
              <c:f>'Final CIP Forecast for Mark'!$C$6</c:f>
              <c:strCache>
                <c:ptCount val="1"/>
                <c:pt idx="0">
                  <c:v>Technical</c:v>
                </c:pt>
              </c:strCache>
            </c:strRef>
          </c:tx>
          <c:marker>
            <c:symbol val="none"/>
          </c:marker>
          <c:cat>
            <c:numRef>
              <c:f>'Final CIP Forecast for Mark'!$B$7:$B$26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Mark'!$C$7:$C$26</c:f>
              <c:numCache>
                <c:formatCode>_(* #,##0_);_(* \(#,##0\);_(* "-"??_);_(@_)</c:formatCode>
                <c:ptCount val="20"/>
                <c:pt idx="0">
                  <c:v>1376725</c:v>
                </c:pt>
                <c:pt idx="1">
                  <c:v>1403748</c:v>
                </c:pt>
                <c:pt idx="2">
                  <c:v>2863018</c:v>
                </c:pt>
                <c:pt idx="3">
                  <c:v>2895244</c:v>
                </c:pt>
                <c:pt idx="4">
                  <c:v>2919170</c:v>
                </c:pt>
                <c:pt idx="5">
                  <c:v>2963825</c:v>
                </c:pt>
                <c:pt idx="6">
                  <c:v>2981492</c:v>
                </c:pt>
                <c:pt idx="7">
                  <c:v>3010105</c:v>
                </c:pt>
                <c:pt idx="8">
                  <c:v>3051474</c:v>
                </c:pt>
                <c:pt idx="9">
                  <c:v>3085010</c:v>
                </c:pt>
                <c:pt idx="10">
                  <c:v>3113017</c:v>
                </c:pt>
                <c:pt idx="11">
                  <c:v>3134726</c:v>
                </c:pt>
                <c:pt idx="12">
                  <c:v>3162729</c:v>
                </c:pt>
                <c:pt idx="13">
                  <c:v>3206980</c:v>
                </c:pt>
                <c:pt idx="14">
                  <c:v>3228356</c:v>
                </c:pt>
                <c:pt idx="15">
                  <c:v>3248525</c:v>
                </c:pt>
                <c:pt idx="16">
                  <c:v>3288661</c:v>
                </c:pt>
                <c:pt idx="17">
                  <c:v>3323051</c:v>
                </c:pt>
                <c:pt idx="18">
                  <c:v>3340454</c:v>
                </c:pt>
                <c:pt idx="19">
                  <c:v>3372874</c:v>
                </c:pt>
              </c:numCache>
            </c:numRef>
          </c:val>
          <c:smooth val="0"/>
        </c:ser>
        <c:ser>
          <c:idx val="2"/>
          <c:order val="1"/>
          <c:tx>
            <c:strRef>
              <c:f>'Final CIP Forecast for Mark'!$D$6</c:f>
              <c:strCache>
                <c:ptCount val="1"/>
                <c:pt idx="0">
                  <c:v>Economic</c:v>
                </c:pt>
              </c:strCache>
            </c:strRef>
          </c:tx>
          <c:spPr>
            <a:ln>
              <a:prstDash val="sysDash"/>
            </a:ln>
          </c:spPr>
          <c:marker>
            <c:symbol val="none"/>
          </c:marker>
          <c:cat>
            <c:numRef>
              <c:f>'Final CIP Forecast for Mark'!$B$7:$B$26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Mark'!$D$7:$D$26</c:f>
              <c:numCache>
                <c:formatCode>_(* #,##0_);_(* \(#,##0\);_(* "-"??_);_(@_)</c:formatCode>
                <c:ptCount val="20"/>
                <c:pt idx="0">
                  <c:v>1033697</c:v>
                </c:pt>
                <c:pt idx="1">
                  <c:v>1054393</c:v>
                </c:pt>
                <c:pt idx="2">
                  <c:v>1825226</c:v>
                </c:pt>
                <c:pt idx="3">
                  <c:v>1846578</c:v>
                </c:pt>
                <c:pt idx="4">
                  <c:v>1860205</c:v>
                </c:pt>
                <c:pt idx="5">
                  <c:v>1888865</c:v>
                </c:pt>
                <c:pt idx="6">
                  <c:v>1900259</c:v>
                </c:pt>
                <c:pt idx="7">
                  <c:v>1918360</c:v>
                </c:pt>
                <c:pt idx="8">
                  <c:v>1947144</c:v>
                </c:pt>
                <c:pt idx="9">
                  <c:v>1966326</c:v>
                </c:pt>
                <c:pt idx="10">
                  <c:v>1986644</c:v>
                </c:pt>
                <c:pt idx="11">
                  <c:v>1998474</c:v>
                </c:pt>
                <c:pt idx="12">
                  <c:v>2016084</c:v>
                </c:pt>
                <c:pt idx="13">
                  <c:v>2044317</c:v>
                </c:pt>
                <c:pt idx="14">
                  <c:v>2059254</c:v>
                </c:pt>
                <c:pt idx="15">
                  <c:v>2069830</c:v>
                </c:pt>
                <c:pt idx="16">
                  <c:v>2097854</c:v>
                </c:pt>
                <c:pt idx="17">
                  <c:v>2117414</c:v>
                </c:pt>
                <c:pt idx="18">
                  <c:v>2128771</c:v>
                </c:pt>
                <c:pt idx="19">
                  <c:v>2149787</c:v>
                </c:pt>
              </c:numCache>
            </c:numRef>
          </c:val>
          <c:smooth val="0"/>
        </c:ser>
        <c:ser>
          <c:idx val="3"/>
          <c:order val="2"/>
          <c:tx>
            <c:strRef>
              <c:f>'Final CIP Forecast for Mark'!$E$6</c:f>
              <c:strCache>
                <c:ptCount val="1"/>
                <c:pt idx="0">
                  <c:v>Achievable</c:v>
                </c:pt>
              </c:strCache>
            </c:strRef>
          </c:tx>
          <c:spPr>
            <a:ln>
              <a:prstDash val="lgDash"/>
            </a:ln>
          </c:spPr>
          <c:marker>
            <c:symbol val="none"/>
          </c:marker>
          <c:cat>
            <c:numRef>
              <c:f>'Final CIP Forecast for Mark'!$B$7:$B$26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Mark'!$E$7:$E$26</c:f>
              <c:numCache>
                <c:formatCode>_(* #,##0_);_(* \(#,##0\);_(* "-"??_);_(@_)</c:formatCode>
                <c:ptCount val="20"/>
                <c:pt idx="0">
                  <c:v>184049</c:v>
                </c:pt>
                <c:pt idx="1">
                  <c:v>197422</c:v>
                </c:pt>
                <c:pt idx="2">
                  <c:v>478572</c:v>
                </c:pt>
                <c:pt idx="3">
                  <c:v>506757</c:v>
                </c:pt>
                <c:pt idx="4">
                  <c:v>539814</c:v>
                </c:pt>
                <c:pt idx="5">
                  <c:v>582322</c:v>
                </c:pt>
                <c:pt idx="6">
                  <c:v>624943</c:v>
                </c:pt>
                <c:pt idx="7">
                  <c:v>673157</c:v>
                </c:pt>
                <c:pt idx="8">
                  <c:v>726321</c:v>
                </c:pt>
                <c:pt idx="9">
                  <c:v>775067</c:v>
                </c:pt>
                <c:pt idx="10">
                  <c:v>821038</c:v>
                </c:pt>
                <c:pt idx="11">
                  <c:v>858069</c:v>
                </c:pt>
                <c:pt idx="12">
                  <c:v>892321</c:v>
                </c:pt>
                <c:pt idx="13">
                  <c:v>926274</c:v>
                </c:pt>
                <c:pt idx="14">
                  <c:v>950059</c:v>
                </c:pt>
                <c:pt idx="15">
                  <c:v>966641</c:v>
                </c:pt>
                <c:pt idx="16">
                  <c:v>990043</c:v>
                </c:pt>
                <c:pt idx="17">
                  <c:v>1010224</c:v>
                </c:pt>
                <c:pt idx="18">
                  <c:v>1022019</c:v>
                </c:pt>
                <c:pt idx="19">
                  <c:v>1034186</c:v>
                </c:pt>
              </c:numCache>
            </c:numRef>
          </c:val>
          <c:smooth val="0"/>
        </c:ser>
        <c:ser>
          <c:idx val="5"/>
          <c:order val="3"/>
          <c:tx>
            <c:v>Program with Custom</c:v>
          </c:tx>
          <c:spPr>
            <a:ln>
              <a:prstDash val="lgDashDotDot"/>
            </a:ln>
          </c:spPr>
          <c:marker>
            <c:symbol val="none"/>
          </c:marker>
          <c:cat>
            <c:numRef>
              <c:f>'Final CIP Forecast for Mark'!$B$7:$B$26</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'Final CIP Forecast for Mark'!$G$7:$G$26</c:f>
              <c:numCache>
                <c:formatCode>_(* #,##0_);_(* \(#,##0\);_(* "-"??_);_(@_)</c:formatCode>
                <c:ptCount val="20"/>
                <c:pt idx="0">
                  <c:v>394390.71428571426</c:v>
                </c:pt>
                <c:pt idx="1">
                  <c:v>423047.14285714284</c:v>
                </c:pt>
                <c:pt idx="2">
                  <c:v>1025511.4285714285</c:v>
                </c:pt>
                <c:pt idx="3">
                  <c:v>1085907.8571428573</c:v>
                </c:pt>
                <c:pt idx="4">
                  <c:v>1156744.2857142857</c:v>
                </c:pt>
                <c:pt idx="5">
                  <c:v>1247832.857142857</c:v>
                </c:pt>
                <c:pt idx="6">
                  <c:v>1339163.5714285716</c:v>
                </c:pt>
                <c:pt idx="7">
                  <c:v>1442479.2857142857</c:v>
                </c:pt>
                <c:pt idx="8">
                  <c:v>1556402.1428571427</c:v>
                </c:pt>
                <c:pt idx="9">
                  <c:v>1660857.8571428573</c:v>
                </c:pt>
                <c:pt idx="10">
                  <c:v>1759367.142857143</c:v>
                </c:pt>
                <c:pt idx="11">
                  <c:v>1838719.2857142857</c:v>
                </c:pt>
                <c:pt idx="12">
                  <c:v>1912116.4285714286</c:v>
                </c:pt>
                <c:pt idx="13">
                  <c:v>1984872.8571428573</c:v>
                </c:pt>
                <c:pt idx="14">
                  <c:v>2035840.7142857143</c:v>
                </c:pt>
                <c:pt idx="15">
                  <c:v>2071373.5714285714</c:v>
                </c:pt>
                <c:pt idx="16">
                  <c:v>2121520.7142857141</c:v>
                </c:pt>
                <c:pt idx="17">
                  <c:v>2164765.7142857141</c:v>
                </c:pt>
                <c:pt idx="18">
                  <c:v>2190040.7142857141</c:v>
                </c:pt>
                <c:pt idx="19">
                  <c:v>2216112.8571428573</c:v>
                </c:pt>
              </c:numCache>
            </c:numRef>
          </c:val>
          <c:smooth val="0"/>
        </c:ser>
        <c:dLbls>
          <c:showLegendKey val="0"/>
          <c:showVal val="0"/>
          <c:showCatName val="0"/>
          <c:showSerName val="0"/>
          <c:showPercent val="0"/>
          <c:showBubbleSize val="0"/>
        </c:dLbls>
        <c:marker val="1"/>
        <c:smooth val="0"/>
        <c:axId val="85157760"/>
        <c:axId val="85159296"/>
      </c:lineChart>
      <c:catAx>
        <c:axId val="85157760"/>
        <c:scaling>
          <c:orientation val="minMax"/>
        </c:scaling>
        <c:delete val="0"/>
        <c:axPos val="b"/>
        <c:numFmt formatCode="General" sourceLinked="1"/>
        <c:majorTickMark val="none"/>
        <c:minorTickMark val="none"/>
        <c:tickLblPos val="nextTo"/>
        <c:crossAx val="85159296"/>
        <c:crosses val="autoZero"/>
        <c:auto val="1"/>
        <c:lblAlgn val="ctr"/>
        <c:lblOffset val="100"/>
        <c:noMultiLvlLbl val="0"/>
      </c:catAx>
      <c:valAx>
        <c:axId val="85159296"/>
        <c:scaling>
          <c:orientation val="minMax"/>
          <c:max val="3500000"/>
        </c:scaling>
        <c:delete val="0"/>
        <c:axPos val="l"/>
        <c:majorGridlines/>
        <c:title>
          <c:tx>
            <c:rich>
              <a:bodyPr rot="-5400000" vert="horz"/>
              <a:lstStyle/>
              <a:p>
                <a:pPr>
                  <a:defRPr/>
                </a:pPr>
                <a:r>
                  <a:rPr lang="en-US"/>
                  <a:t>Therms</a:t>
                </a:r>
              </a:p>
            </c:rich>
          </c:tx>
          <c:layout/>
          <c:overlay val="0"/>
        </c:title>
        <c:numFmt formatCode="_(* #,##0_);_(* \(#,##0\);_(* &quot;-&quot;??_);_(@_)" sourceLinked="1"/>
        <c:majorTickMark val="none"/>
        <c:minorTickMark val="none"/>
        <c:tickLblPos val="nextTo"/>
        <c:spPr>
          <a:ln w="9525">
            <a:noFill/>
          </a:ln>
        </c:spPr>
        <c:crossAx val="8515776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Cambria Math" panose="02040503050406030204" pitchFamily="18" charset="0"/>
                <a:ea typeface="Cambria Math" panose="02040503050406030204" pitchFamily="18" charset="0"/>
              </a:rPr>
              <a:t>Commercial/Industrial</a:t>
            </a:r>
          </a:p>
        </c:rich>
      </c:tx>
      <c:layout/>
      <c:overlay val="0"/>
    </c:title>
    <c:autoTitleDeleted val="0"/>
    <c:plotArea>
      <c:layout>
        <c:manualLayout>
          <c:layoutTarget val="inner"/>
          <c:xMode val="edge"/>
          <c:yMode val="edge"/>
          <c:x val="0.12515007739417189"/>
          <c:y val="0.15308056872037915"/>
          <c:w val="0.8477182179150683"/>
          <c:h val="0.55958864288661747"/>
        </c:manualLayout>
      </c:layout>
      <c:lineChart>
        <c:grouping val="standard"/>
        <c:varyColors val="0"/>
        <c:ser>
          <c:idx val="2"/>
          <c:order val="0"/>
          <c:tx>
            <c:strRef>
              <c:f>NewCom!$Z$29</c:f>
              <c:strCache>
                <c:ptCount val="1"/>
                <c:pt idx="0">
                  <c:v>Technical</c:v>
                </c:pt>
              </c:strCache>
            </c:strRef>
          </c:tx>
          <c:spPr>
            <a:ln>
              <a:prstDash val="sysDot"/>
            </a:ln>
            <a:effectLst>
              <a:outerShdw blurRad="50800" dist="38100" dir="2700000" algn="tl" rotWithShape="0">
                <a:prstClr val="black">
                  <a:alpha val="40000"/>
                </a:prstClr>
              </a:outerShdw>
            </a:effectLst>
          </c:spPr>
          <c:marker>
            <c:symbol val="none"/>
          </c:marker>
          <c:val>
            <c:numRef>
              <c:f>NewCom!$Z$30:$Z$40</c:f>
              <c:numCache>
                <c:formatCode>_(* #,##0_);_(* \(#,##0\);_(* "-"??_);_(@_)</c:formatCode>
                <c:ptCount val="11"/>
                <c:pt idx="0">
                  <c:v>1499267.1757672522</c:v>
                </c:pt>
                <c:pt idx="1">
                  <c:v>1525202.2660810901</c:v>
                </c:pt>
                <c:pt idx="2">
                  <c:v>2924821.8252033684</c:v>
                </c:pt>
                <c:pt idx="3">
                  <c:v>2969979.1432078397</c:v>
                </c:pt>
                <c:pt idx="4">
                  <c:v>3028344.6238533892</c:v>
                </c:pt>
                <c:pt idx="5">
                  <c:v>3061610.3489773888</c:v>
                </c:pt>
                <c:pt idx="6">
                  <c:v>3108104.9028319102</c:v>
                </c:pt>
                <c:pt idx="7">
                  <c:v>3155002.9844097518</c:v>
                </c:pt>
                <c:pt idx="8">
                  <c:v>3215910.400559756</c:v>
                </c:pt>
                <c:pt idx="9">
                  <c:v>3250166.0498770745</c:v>
                </c:pt>
                <c:pt idx="10">
                  <c:v>3298382.8849579021</c:v>
                </c:pt>
              </c:numCache>
            </c:numRef>
          </c:val>
          <c:smooth val="0"/>
        </c:ser>
        <c:ser>
          <c:idx val="1"/>
          <c:order val="1"/>
          <c:tx>
            <c:strRef>
              <c:f>NewCom!$AA$29</c:f>
              <c:strCache>
                <c:ptCount val="1"/>
                <c:pt idx="0">
                  <c:v>Economic</c:v>
                </c:pt>
              </c:strCache>
            </c:strRef>
          </c:tx>
          <c:spPr>
            <a:ln>
              <a:solidFill>
                <a:schemeClr val="accent4"/>
              </a:solidFill>
              <a:prstDash val="dash"/>
            </a:ln>
            <a:effectLst>
              <a:outerShdw blurRad="50800" dist="38100" dir="2700000" algn="tl" rotWithShape="0">
                <a:prstClr val="black">
                  <a:alpha val="40000"/>
                </a:prstClr>
              </a:outerShdw>
            </a:effectLst>
          </c:spPr>
          <c:marker>
            <c:symbol val="none"/>
          </c:marker>
          <c:val>
            <c:numRef>
              <c:f>NewCom!$AA$30:$AA$40</c:f>
              <c:numCache>
                <c:formatCode>_(* #,##0_);_(* \(#,##0\);_(* "-"??_);_(@_)</c:formatCode>
                <c:ptCount val="11"/>
                <c:pt idx="0">
                  <c:v>1169664.1475508357</c:v>
                </c:pt>
                <c:pt idx="1">
                  <c:v>1190483.8441412407</c:v>
                </c:pt>
                <c:pt idx="2">
                  <c:v>1604785.6207579565</c:v>
                </c:pt>
                <c:pt idx="3">
                  <c:v>1629970.8468267797</c:v>
                </c:pt>
                <c:pt idx="4">
                  <c:v>1662370.708358038</c:v>
                </c:pt>
                <c:pt idx="5">
                  <c:v>1681095.6214630224</c:v>
                </c:pt>
                <c:pt idx="6">
                  <c:v>1707049.5816734317</c:v>
                </c:pt>
                <c:pt idx="7">
                  <c:v>1733231.4566126468</c:v>
                </c:pt>
                <c:pt idx="8">
                  <c:v>1767075.2926545849</c:v>
                </c:pt>
                <c:pt idx="9">
                  <c:v>1786385.6428134572</c:v>
                </c:pt>
                <c:pt idx="10">
                  <c:v>1813325.7951599837</c:v>
                </c:pt>
              </c:numCache>
            </c:numRef>
          </c:val>
          <c:smooth val="0"/>
        </c:ser>
        <c:ser>
          <c:idx val="0"/>
          <c:order val="2"/>
          <c:tx>
            <c:strRef>
              <c:f>Combined!$L$29</c:f>
              <c:strCache>
                <c:ptCount val="1"/>
                <c:pt idx="0">
                  <c:v>Achievable Commercial/Industrial w/ Custom</c:v>
                </c:pt>
              </c:strCache>
            </c:strRef>
          </c:tx>
          <c:spPr>
            <a:ln>
              <a:solidFill>
                <a:schemeClr val="accent6"/>
              </a:solidFill>
            </a:ln>
            <a:effectLst>
              <a:outerShdw blurRad="50800" dist="38100" dir="2700000" algn="tl" rotWithShape="0">
                <a:prstClr val="black">
                  <a:alpha val="40000"/>
                </a:prstClr>
              </a:outerShdw>
            </a:effectLst>
          </c:spPr>
          <c:marker>
            <c:symbol val="none"/>
          </c:marker>
          <c:cat>
            <c:numRef>
              <c:f>Combined!$K$30:$K$48</c:f>
              <c:numCache>
                <c:formatCode>General</c:formatCode>
                <c:ptCount val="19"/>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numCache>
            </c:numRef>
          </c:cat>
          <c:val>
            <c:numRef>
              <c:f>Combined!$L$30:$L$40</c:f>
              <c:numCache>
                <c:formatCode>_(* #,##0_);_(* \(#,##0\);_(* "-"??_);_(@_)</c:formatCode>
                <c:ptCount val="11"/>
                <c:pt idx="0">
                  <c:v>565940.06957637274</c:v>
                </c:pt>
                <c:pt idx="1">
                  <c:v>608073.71146996599</c:v>
                </c:pt>
                <c:pt idx="2">
                  <c:v>1107827.4622533671</c:v>
                </c:pt>
                <c:pt idx="3">
                  <c:v>1189345.7115188609</c:v>
                </c:pt>
                <c:pt idx="4">
                  <c:v>1294202.5331808717</c:v>
                </c:pt>
                <c:pt idx="5">
                  <c:v>1406619.9465626455</c:v>
                </c:pt>
                <c:pt idx="6">
                  <c:v>1541156.4125402474</c:v>
                </c:pt>
                <c:pt idx="7">
                  <c:v>1687256.9278225233</c:v>
                </c:pt>
                <c:pt idx="8">
                  <c:v>1846608.0917606144</c:v>
                </c:pt>
                <c:pt idx="9">
                  <c:v>1988264.0737945326</c:v>
                </c:pt>
                <c:pt idx="10">
                  <c:v>2129336.6733577042</c:v>
                </c:pt>
              </c:numCache>
            </c:numRef>
          </c:val>
          <c:smooth val="0"/>
        </c:ser>
        <c:ser>
          <c:idx val="3"/>
          <c:order val="3"/>
          <c:tx>
            <c:strRef>
              <c:f>Combined!$AN$29</c:f>
              <c:strCache>
                <c:ptCount val="1"/>
                <c:pt idx="0">
                  <c:v>IRP Programmatic</c:v>
                </c:pt>
              </c:strCache>
            </c:strRef>
          </c:tx>
          <c:spPr>
            <a:ln>
              <a:solidFill>
                <a:schemeClr val="tx2"/>
              </a:solidFill>
              <a:prstDash val="lgDashDot"/>
            </a:ln>
            <a:effectLst>
              <a:outerShdw blurRad="50800" dist="38100" dir="2700000" algn="tl" rotWithShape="0">
                <a:prstClr val="black">
                  <a:alpha val="40000"/>
                </a:prstClr>
              </a:outerShdw>
            </a:effectLst>
          </c:spPr>
          <c:marker>
            <c:symbol val="none"/>
          </c:marker>
          <c:val>
            <c:numRef>
              <c:f>Combined!$AN$31:$AN$41</c:f>
              <c:numCache>
                <c:formatCode>_(* #,##0_);_(* \(#,##0\);_(* "-"??_);_(@_)</c:formatCode>
                <c:ptCount val="11"/>
                <c:pt idx="0">
                  <c:v>982311.42857142864</c:v>
                </c:pt>
                <c:pt idx="1">
                  <c:v>1025511.4285714285</c:v>
                </c:pt>
                <c:pt idx="2">
                  <c:v>1085907.8571428573</c:v>
                </c:pt>
                <c:pt idx="3">
                  <c:v>1156744.2857142857</c:v>
                </c:pt>
                <c:pt idx="4">
                  <c:v>1247832.857142857</c:v>
                </c:pt>
                <c:pt idx="5">
                  <c:v>1339163.5714285716</c:v>
                </c:pt>
                <c:pt idx="6">
                  <c:v>1442479.2857142857</c:v>
                </c:pt>
                <c:pt idx="7">
                  <c:v>1556402.1428571427</c:v>
                </c:pt>
                <c:pt idx="8">
                  <c:v>1660857.8571428573</c:v>
                </c:pt>
                <c:pt idx="9">
                  <c:v>1759367.142857143</c:v>
                </c:pt>
                <c:pt idx="10">
                  <c:v>1838719.2857142857</c:v>
                </c:pt>
              </c:numCache>
            </c:numRef>
          </c:val>
          <c:smooth val="0"/>
        </c:ser>
        <c:dLbls>
          <c:showLegendKey val="0"/>
          <c:showVal val="0"/>
          <c:showCatName val="0"/>
          <c:showSerName val="0"/>
          <c:showPercent val="0"/>
          <c:showBubbleSize val="0"/>
        </c:dLbls>
        <c:marker val="1"/>
        <c:smooth val="0"/>
        <c:axId val="86857216"/>
        <c:axId val="86858752"/>
      </c:lineChart>
      <c:catAx>
        <c:axId val="86857216"/>
        <c:scaling>
          <c:orientation val="minMax"/>
        </c:scaling>
        <c:delete val="0"/>
        <c:axPos val="b"/>
        <c:numFmt formatCode="General" sourceLinked="1"/>
        <c:majorTickMark val="out"/>
        <c:minorTickMark val="none"/>
        <c:tickLblPos val="nextTo"/>
        <c:crossAx val="86858752"/>
        <c:crosses val="autoZero"/>
        <c:auto val="1"/>
        <c:lblAlgn val="ctr"/>
        <c:lblOffset val="100"/>
        <c:noMultiLvlLbl val="0"/>
      </c:catAx>
      <c:valAx>
        <c:axId val="86858752"/>
        <c:scaling>
          <c:orientation val="minMax"/>
          <c:max val="3500000"/>
        </c:scaling>
        <c:delete val="0"/>
        <c:axPos val="l"/>
        <c:majorGridlines/>
        <c:title>
          <c:tx>
            <c:rich>
              <a:bodyPr rot="0" vert="horz"/>
              <a:lstStyle/>
              <a:p>
                <a:pPr>
                  <a:defRPr/>
                </a:pPr>
                <a:r>
                  <a:rPr lang="en-US"/>
                  <a:t>Therms</a:t>
                </a:r>
              </a:p>
            </c:rich>
          </c:tx>
          <c:layout>
            <c:manualLayout>
              <c:xMode val="edge"/>
              <c:yMode val="edge"/>
              <c:x val="1.1975738609596878E-2"/>
              <c:y val="0.67794309171318523"/>
            </c:manualLayout>
          </c:layout>
          <c:overlay val="0"/>
        </c:title>
        <c:numFmt formatCode="_(* #,##0_);_(* \(#,##0\);_(* &quot;-&quot;??_);_(@_)" sourceLinked="1"/>
        <c:majorTickMark val="out"/>
        <c:minorTickMark val="none"/>
        <c:tickLblPos val="nextTo"/>
        <c:crossAx val="86857216"/>
        <c:crosses val="autoZero"/>
        <c:crossBetween val="between"/>
      </c:valAx>
    </c:plotArea>
    <c:legend>
      <c:legendPos val="b"/>
      <c:layout>
        <c:manualLayout>
          <c:xMode val="edge"/>
          <c:yMode val="edge"/>
          <c:x val="6.2290699239518139E-2"/>
          <c:y val="0.79969994983823978"/>
          <c:w val="0.93524749310182376"/>
          <c:h val="0.17301065224953241"/>
        </c:manualLayout>
      </c:layout>
      <c:overlay val="0"/>
    </c:legend>
    <c:plotVisOnly val="1"/>
    <c:dispBlanksAs val="zero"/>
    <c:showDLblsOverMax val="0"/>
  </c:chart>
  <c:spPr>
    <a:ln w="12700"/>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Cambria" panose="02040503050406030204" pitchFamily="18" charset="0"/>
              </a:rPr>
              <a:t>Conservation Incentive Program</a:t>
            </a:r>
          </a:p>
          <a:p>
            <a:pPr>
              <a:defRPr/>
            </a:pPr>
            <a:r>
              <a:rPr lang="en-US" sz="1600">
                <a:latin typeface="Cambria" panose="02040503050406030204" pitchFamily="18" charset="0"/>
              </a:rPr>
              <a:t>Achievable Forecast</a:t>
            </a:r>
          </a:p>
        </c:rich>
      </c:tx>
      <c:layout>
        <c:manualLayout>
          <c:xMode val="edge"/>
          <c:yMode val="edge"/>
          <c:x val="0.2660733814523184"/>
          <c:y val="1.1312217194570135E-2"/>
        </c:manualLayout>
      </c:layout>
      <c:overlay val="0"/>
    </c:title>
    <c:autoTitleDeleted val="0"/>
    <c:plotArea>
      <c:layout>
        <c:manualLayout>
          <c:layoutTarget val="inner"/>
          <c:xMode val="edge"/>
          <c:yMode val="edge"/>
          <c:x val="0.12206835690677556"/>
          <c:y val="0.17778292419329936"/>
          <c:w val="0.8614095764071158"/>
          <c:h val="0.6006249925772853"/>
        </c:manualLayout>
      </c:layout>
      <c:barChart>
        <c:barDir val="col"/>
        <c:grouping val="stacked"/>
        <c:varyColors val="0"/>
        <c:ser>
          <c:idx val="0"/>
          <c:order val="0"/>
          <c:tx>
            <c:strRef>
              <c:f>Combined!$C$29</c:f>
              <c:strCache>
                <c:ptCount val="1"/>
                <c:pt idx="0">
                  <c:v>Achievable Residential</c:v>
                </c:pt>
              </c:strCache>
            </c:strRef>
          </c:tx>
          <c:spPr>
            <a:pattFill prst="pct70">
              <a:fgClr>
                <a:schemeClr val="accent5">
                  <a:lumMod val="60000"/>
                  <a:lumOff val="40000"/>
                </a:schemeClr>
              </a:fgClr>
              <a:bgClr>
                <a:schemeClr val="bg1"/>
              </a:bgClr>
            </a:pattFill>
            <a:ln>
              <a:solidFill>
                <a:schemeClr val="accent5">
                  <a:lumMod val="60000"/>
                  <a:lumOff val="40000"/>
                </a:schemeClr>
              </a:solidFill>
            </a:ln>
          </c:spPr>
          <c:invertIfNegative val="0"/>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Combined!$C$30:$C$40</c:f>
              <c:numCache>
                <c:formatCode>_(* #,##0_);_(* \(#,##0\);_(* "-"??_);_(@_)</c:formatCode>
                <c:ptCount val="11"/>
                <c:pt idx="0">
                  <c:v>409975</c:v>
                </c:pt>
                <c:pt idx="1">
                  <c:v>419773</c:v>
                </c:pt>
                <c:pt idx="2">
                  <c:v>384844</c:v>
                </c:pt>
                <c:pt idx="3">
                  <c:v>412797</c:v>
                </c:pt>
                <c:pt idx="4">
                  <c:v>449150</c:v>
                </c:pt>
                <c:pt idx="5">
                  <c:v>486492</c:v>
                </c:pt>
                <c:pt idx="6">
                  <c:v>530830</c:v>
                </c:pt>
                <c:pt idx="7">
                  <c:v>578283</c:v>
                </c:pt>
                <c:pt idx="8">
                  <c:v>629415</c:v>
                </c:pt>
                <c:pt idx="9">
                  <c:v>672965</c:v>
                </c:pt>
                <c:pt idx="10">
                  <c:v>715763</c:v>
                </c:pt>
              </c:numCache>
            </c:numRef>
          </c:val>
        </c:ser>
        <c:ser>
          <c:idx val="9"/>
          <c:order val="1"/>
          <c:tx>
            <c:strRef>
              <c:f>Combined!$L$29</c:f>
              <c:strCache>
                <c:ptCount val="1"/>
                <c:pt idx="0">
                  <c:v>Achievable Commercial/Industrial w/ Custom</c:v>
                </c:pt>
              </c:strCache>
            </c:strRef>
          </c:tx>
          <c:spPr>
            <a:solidFill>
              <a:schemeClr val="accent6"/>
            </a:solidFill>
            <a:ln>
              <a:solidFill>
                <a:schemeClr val="accent6"/>
              </a:solidFill>
            </a:ln>
          </c:spPr>
          <c:invertIfNegative val="0"/>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Combined!$L$30:$L$40</c:f>
              <c:numCache>
                <c:formatCode>_(* #,##0_);_(* \(#,##0\);_(* "-"??_);_(@_)</c:formatCode>
                <c:ptCount val="11"/>
                <c:pt idx="0">
                  <c:v>565940.06957637274</c:v>
                </c:pt>
                <c:pt idx="1">
                  <c:v>608073.71146996599</c:v>
                </c:pt>
                <c:pt idx="2">
                  <c:v>1107827.4622533671</c:v>
                </c:pt>
                <c:pt idx="3">
                  <c:v>1189345.7115188609</c:v>
                </c:pt>
                <c:pt idx="4">
                  <c:v>1294202.5331808717</c:v>
                </c:pt>
                <c:pt idx="5">
                  <c:v>1406619.9465626455</c:v>
                </c:pt>
                <c:pt idx="6">
                  <c:v>1541156.4125402474</c:v>
                </c:pt>
                <c:pt idx="7">
                  <c:v>1687256.9278225233</c:v>
                </c:pt>
                <c:pt idx="8">
                  <c:v>1846608.0917606144</c:v>
                </c:pt>
                <c:pt idx="9">
                  <c:v>1988264.0737945326</c:v>
                </c:pt>
                <c:pt idx="10">
                  <c:v>2129336.6733577042</c:v>
                </c:pt>
              </c:numCache>
            </c:numRef>
          </c:val>
        </c:ser>
        <c:ser>
          <c:idx val="1"/>
          <c:order val="2"/>
          <c:tx>
            <c:strRef>
              <c:f>Combined!$P$27</c:f>
              <c:strCache>
                <c:ptCount val="1"/>
                <c:pt idx="0">
                  <c:v>Low Income</c:v>
                </c:pt>
              </c:strCache>
            </c:strRef>
          </c:tx>
          <c:spPr>
            <a:solidFill>
              <a:srgbClr val="FFFF00"/>
            </a:solidFill>
            <a:effectLst>
              <a:glow rad="63500">
                <a:schemeClr val="accent6">
                  <a:satMod val="175000"/>
                  <a:alpha val="40000"/>
                </a:schemeClr>
              </a:glow>
            </a:effectLst>
          </c:spPr>
          <c:invertIfNegative val="0"/>
          <c:cat>
            <c:numRef>
              <c:f>Combined!$B$30:$B$40</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Combined!$P$30:$P$40</c:f>
              <c:numCache>
                <c:formatCode>General</c:formatCode>
                <c:ptCount val="11"/>
                <c:pt idx="0">
                  <c:v>7000</c:v>
                </c:pt>
                <c:pt idx="1">
                  <c:v>15000</c:v>
                </c:pt>
                <c:pt idx="2">
                  <c:v>15000</c:v>
                </c:pt>
                <c:pt idx="3">
                  <c:v>25000</c:v>
                </c:pt>
                <c:pt idx="4">
                  <c:v>25000</c:v>
                </c:pt>
                <c:pt idx="5">
                  <c:v>25000</c:v>
                </c:pt>
                <c:pt idx="6">
                  <c:v>25000</c:v>
                </c:pt>
                <c:pt idx="7">
                  <c:v>25000</c:v>
                </c:pt>
                <c:pt idx="8">
                  <c:v>25000</c:v>
                </c:pt>
                <c:pt idx="9">
                  <c:v>25000</c:v>
                </c:pt>
                <c:pt idx="10">
                  <c:v>25000</c:v>
                </c:pt>
              </c:numCache>
            </c:numRef>
          </c:val>
        </c:ser>
        <c:dLbls>
          <c:showLegendKey val="0"/>
          <c:showVal val="0"/>
          <c:showCatName val="0"/>
          <c:showSerName val="0"/>
          <c:showPercent val="0"/>
          <c:showBubbleSize val="0"/>
        </c:dLbls>
        <c:gapWidth val="150"/>
        <c:overlap val="100"/>
        <c:axId val="86894464"/>
        <c:axId val="86900736"/>
      </c:barChart>
      <c:lineChart>
        <c:grouping val="standard"/>
        <c:varyColors val="0"/>
        <c:ser>
          <c:idx val="2"/>
          <c:order val="3"/>
          <c:tx>
            <c:strRef>
              <c:f>Combined!$T$29</c:f>
              <c:strCache>
                <c:ptCount val="1"/>
                <c:pt idx="0">
                  <c:v>IRP Programmatic</c:v>
                </c:pt>
              </c:strCache>
            </c:strRef>
          </c:tx>
          <c:spPr>
            <a:ln w="12700">
              <a:solidFill>
                <a:srgbClr val="0070C0"/>
              </a:solidFill>
            </a:ln>
            <a:effectLst>
              <a:outerShdw blurRad="50800" dist="38100" dir="2700000" algn="tl" rotWithShape="0">
                <a:prstClr val="black">
                  <a:alpha val="40000"/>
                </a:prstClr>
              </a:outerShdw>
            </a:effectLst>
          </c:spPr>
          <c:marker>
            <c:spPr>
              <a:solidFill>
                <a:srgbClr val="0070C0"/>
              </a:solidFill>
              <a:ln w="12700">
                <a:solidFill>
                  <a:srgbClr val="0070C0"/>
                </a:solidFill>
              </a:ln>
              <a:effectLst>
                <a:outerShdw blurRad="50800" dist="38100" dir="2700000" algn="tl" rotWithShape="0">
                  <a:prstClr val="black">
                    <a:alpha val="40000"/>
                  </a:prstClr>
                </a:outerShdw>
              </a:effectLst>
            </c:spPr>
          </c:marker>
          <c:val>
            <c:numRef>
              <c:f>Combined!$T$30:$T$40</c:f>
              <c:numCache>
                <c:formatCode>_(* #,##0_);_(* \(#,##0\);_(* "-"??_);_(@_)</c:formatCode>
                <c:ptCount val="11"/>
                <c:pt idx="0">
                  <c:v>533475.46428571432</c:v>
                </c:pt>
                <c:pt idx="1">
                  <c:v>568120.89285714284</c:v>
                </c:pt>
                <c:pt idx="2">
                  <c:v>1325096.4285714286</c:v>
                </c:pt>
                <c:pt idx="3">
                  <c:v>1396031.6071428573</c:v>
                </c:pt>
                <c:pt idx="4">
                  <c:v>1489314.7857142857</c:v>
                </c:pt>
                <c:pt idx="5">
                  <c:v>1596083.107142857</c:v>
                </c:pt>
                <c:pt idx="6">
                  <c:v>1701559.8214285716</c:v>
                </c:pt>
                <c:pt idx="7">
                  <c:v>1821301.7857142857</c:v>
                </c:pt>
                <c:pt idx="8">
                  <c:v>1952199.8928571427</c:v>
                </c:pt>
                <c:pt idx="9">
                  <c:v>2074503.3571428573</c:v>
                </c:pt>
                <c:pt idx="10">
                  <c:v>2186307.3928571427</c:v>
                </c:pt>
              </c:numCache>
            </c:numRef>
          </c:val>
          <c:smooth val="0"/>
        </c:ser>
        <c:dLbls>
          <c:showLegendKey val="0"/>
          <c:showVal val="0"/>
          <c:showCatName val="0"/>
          <c:showSerName val="0"/>
          <c:showPercent val="0"/>
          <c:showBubbleSize val="0"/>
        </c:dLbls>
        <c:marker val="1"/>
        <c:smooth val="0"/>
        <c:axId val="86894464"/>
        <c:axId val="86900736"/>
      </c:lineChart>
      <c:catAx>
        <c:axId val="86894464"/>
        <c:scaling>
          <c:orientation val="minMax"/>
        </c:scaling>
        <c:delete val="0"/>
        <c:axPos val="b"/>
        <c:numFmt formatCode="General" sourceLinked="1"/>
        <c:majorTickMark val="out"/>
        <c:minorTickMark val="none"/>
        <c:tickLblPos val="nextTo"/>
        <c:crossAx val="86900736"/>
        <c:crosses val="autoZero"/>
        <c:auto val="1"/>
        <c:lblAlgn val="ctr"/>
        <c:lblOffset val="100"/>
        <c:noMultiLvlLbl val="0"/>
      </c:catAx>
      <c:valAx>
        <c:axId val="86900736"/>
        <c:scaling>
          <c:orientation val="minMax"/>
          <c:max val="3500000"/>
        </c:scaling>
        <c:delete val="0"/>
        <c:axPos val="l"/>
        <c:majorGridlines/>
        <c:title>
          <c:tx>
            <c:rich>
              <a:bodyPr rot="0" vert="horz"/>
              <a:lstStyle/>
              <a:p>
                <a:pPr>
                  <a:defRPr/>
                </a:pPr>
                <a:r>
                  <a:rPr lang="en-US"/>
                  <a:t>Therms</a:t>
                </a:r>
              </a:p>
            </c:rich>
          </c:tx>
          <c:layout>
            <c:manualLayout>
              <c:xMode val="edge"/>
              <c:yMode val="edge"/>
              <c:x val="3.279320987654321E-2"/>
              <c:y val="0.73095865844823693"/>
            </c:manualLayout>
          </c:layout>
          <c:overlay val="0"/>
        </c:title>
        <c:numFmt formatCode="_(* #,##0_);_(* \(#,##0\);_(* &quot;-&quot;??_);_(@_)" sourceLinked="1"/>
        <c:majorTickMark val="out"/>
        <c:minorTickMark val="none"/>
        <c:tickLblPos val="nextTo"/>
        <c:crossAx val="86894464"/>
        <c:crosses val="autoZero"/>
        <c:crossBetween val="between"/>
      </c:valAx>
    </c:plotArea>
    <c:legend>
      <c:legendPos val="b"/>
      <c:layout>
        <c:manualLayout>
          <c:xMode val="edge"/>
          <c:yMode val="edge"/>
          <c:x val="0.12580897005929814"/>
          <c:y val="0.85688827923658861"/>
          <c:w val="0.85254872654807035"/>
          <c:h val="0.1242580254391278"/>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Comparison</a:t>
            </a:r>
            <a:r>
              <a:rPr lang="en-US" baseline="0"/>
              <a:t> of IRP &amp; Conservation</a:t>
            </a:r>
            <a:br>
              <a:rPr lang="en-US" baseline="0"/>
            </a:br>
            <a:r>
              <a:rPr lang="en-US" baseline="0"/>
              <a:t>Plan 2-Year Forecasts at current incentive levels</a:t>
            </a:r>
            <a:endParaRPr lang="en-US"/>
          </a:p>
        </c:rich>
      </c:tx>
      <c:overlay val="0"/>
    </c:title>
    <c:autoTitleDeleted val="0"/>
    <c:plotArea>
      <c:layout>
        <c:manualLayout>
          <c:layoutTarget val="inner"/>
          <c:xMode val="edge"/>
          <c:yMode val="edge"/>
          <c:x val="0.14755237248569736"/>
          <c:y val="0.20557809330628804"/>
          <c:w val="0.71770081159209942"/>
          <c:h val="0.65740338492171235"/>
        </c:manualLayout>
      </c:layout>
      <c:barChart>
        <c:barDir val="col"/>
        <c:grouping val="stacked"/>
        <c:varyColors val="0"/>
        <c:ser>
          <c:idx val="0"/>
          <c:order val="0"/>
          <c:tx>
            <c:strRef>
              <c:f>Recreation!$E$21</c:f>
              <c:strCache>
                <c:ptCount val="1"/>
                <c:pt idx="0">
                  <c:v>Res</c:v>
                </c:pt>
              </c:strCache>
            </c:strRef>
          </c:tx>
          <c:invertIfNegative val="0"/>
          <c:dPt>
            <c:idx val="0"/>
            <c:invertIfNegative val="0"/>
            <c:bubble3D val="0"/>
            <c:spPr>
              <a:solidFill>
                <a:schemeClr val="accent1">
                  <a:lumMod val="60000"/>
                  <a:lumOff val="40000"/>
                </a:schemeClr>
              </a:solidFill>
            </c:spPr>
          </c:dPt>
          <c:dPt>
            <c:idx val="2"/>
            <c:invertIfNegative val="0"/>
            <c:bubble3D val="0"/>
            <c:spPr>
              <a:solidFill>
                <a:schemeClr val="accent1">
                  <a:lumMod val="60000"/>
                  <a:lumOff val="40000"/>
                </a:schemeClr>
              </a:solidFill>
            </c:spPr>
          </c:dPt>
          <c:cat>
            <c:multiLvlStrRef>
              <c:f>Recreation!$C$22:$D$25</c:f>
              <c:multiLvlStrCache>
                <c:ptCount val="4"/>
                <c:lvl>
                  <c:pt idx="0">
                    <c:v>IRP</c:v>
                  </c:pt>
                  <c:pt idx="1">
                    <c:v>Conservation Plan</c:v>
                  </c:pt>
                  <c:pt idx="2">
                    <c:v>IRP</c:v>
                  </c:pt>
                  <c:pt idx="3">
                    <c:v>Conservation Plan</c:v>
                  </c:pt>
                </c:lvl>
                <c:lvl>
                  <c:pt idx="0">
                    <c:v>2016</c:v>
                  </c:pt>
                  <c:pt idx="2">
                    <c:v>2017</c:v>
                  </c:pt>
                </c:lvl>
              </c:multiLvlStrCache>
            </c:multiLvlStrRef>
          </c:cat>
          <c:val>
            <c:numRef>
              <c:f>Recreation!$E$22:$E$25</c:f>
              <c:numCache>
                <c:formatCode>_(* #,##0_);_(* \(#,##0\);_(* "-"??_);_(@_)</c:formatCode>
                <c:ptCount val="4"/>
                <c:pt idx="0">
                  <c:v>138073.75</c:v>
                </c:pt>
                <c:pt idx="1">
                  <c:v>409975</c:v>
                </c:pt>
                <c:pt idx="2">
                  <c:v>284585</c:v>
                </c:pt>
                <c:pt idx="3">
                  <c:v>419773</c:v>
                </c:pt>
              </c:numCache>
            </c:numRef>
          </c:val>
        </c:ser>
        <c:ser>
          <c:idx val="1"/>
          <c:order val="1"/>
          <c:tx>
            <c:strRef>
              <c:f>Recreation!$F$21</c:f>
              <c:strCache>
                <c:ptCount val="1"/>
                <c:pt idx="0">
                  <c:v>Com/Ind</c:v>
                </c:pt>
              </c:strCache>
            </c:strRef>
          </c:tx>
          <c:invertIfNegative val="0"/>
          <c:dPt>
            <c:idx val="0"/>
            <c:invertIfNegative val="0"/>
            <c:bubble3D val="0"/>
            <c:spPr>
              <a:solidFill>
                <a:schemeClr val="accent2">
                  <a:lumMod val="40000"/>
                  <a:lumOff val="60000"/>
                </a:schemeClr>
              </a:solidFill>
            </c:spPr>
          </c:dPt>
          <c:dPt>
            <c:idx val="2"/>
            <c:invertIfNegative val="0"/>
            <c:bubble3D val="0"/>
            <c:spPr>
              <a:solidFill>
                <a:schemeClr val="accent2">
                  <a:lumMod val="40000"/>
                  <a:lumOff val="60000"/>
                </a:schemeClr>
              </a:solidFill>
            </c:spPr>
          </c:dPt>
          <c:cat>
            <c:multiLvlStrRef>
              <c:f>Recreation!$C$22:$D$25</c:f>
              <c:multiLvlStrCache>
                <c:ptCount val="4"/>
                <c:lvl>
                  <c:pt idx="0">
                    <c:v>IRP</c:v>
                  </c:pt>
                  <c:pt idx="1">
                    <c:v>Conservation Plan</c:v>
                  </c:pt>
                  <c:pt idx="2">
                    <c:v>IRP</c:v>
                  </c:pt>
                  <c:pt idx="3">
                    <c:v>Conservation Plan</c:v>
                  </c:pt>
                </c:lvl>
                <c:lvl>
                  <c:pt idx="0">
                    <c:v>2016</c:v>
                  </c:pt>
                  <c:pt idx="2">
                    <c:v>2017</c:v>
                  </c:pt>
                </c:lvl>
              </c:multiLvlStrCache>
            </c:multiLvlStrRef>
          </c:cat>
          <c:val>
            <c:numRef>
              <c:f>Recreation!$F$22:$F$25</c:f>
              <c:numCache>
                <c:formatCode>_(* #,##0_);_(* \(#,##0\);_(* "-"??_);_(@_)</c:formatCode>
                <c:ptCount val="4"/>
                <c:pt idx="0">
                  <c:v>423047.14285714284</c:v>
                </c:pt>
                <c:pt idx="1">
                  <c:v>565940</c:v>
                </c:pt>
                <c:pt idx="2">
                  <c:v>1025511.4285714285</c:v>
                </c:pt>
                <c:pt idx="3">
                  <c:v>608074</c:v>
                </c:pt>
              </c:numCache>
            </c:numRef>
          </c:val>
        </c:ser>
        <c:dLbls>
          <c:showLegendKey val="0"/>
          <c:showVal val="0"/>
          <c:showCatName val="0"/>
          <c:showSerName val="0"/>
          <c:showPercent val="0"/>
          <c:showBubbleSize val="0"/>
        </c:dLbls>
        <c:gapWidth val="150"/>
        <c:overlap val="100"/>
        <c:axId val="86928000"/>
        <c:axId val="86929792"/>
      </c:barChart>
      <c:catAx>
        <c:axId val="86928000"/>
        <c:scaling>
          <c:orientation val="minMax"/>
        </c:scaling>
        <c:delete val="0"/>
        <c:axPos val="b"/>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86929792"/>
        <c:crosses val="autoZero"/>
        <c:auto val="1"/>
        <c:lblAlgn val="ctr"/>
        <c:lblOffset val="100"/>
        <c:noMultiLvlLbl val="0"/>
      </c:catAx>
      <c:valAx>
        <c:axId val="86929792"/>
        <c:scaling>
          <c:orientation val="minMax"/>
        </c:scaling>
        <c:delete val="0"/>
        <c:axPos val="l"/>
        <c:majorGridlines/>
        <c:title>
          <c:tx>
            <c:rich>
              <a:bodyPr rot="0" vert="horz"/>
              <a:lstStyle/>
              <a:p>
                <a:pPr>
                  <a:defRPr/>
                </a:pPr>
                <a:r>
                  <a:rPr lang="en-US"/>
                  <a:t>Therms</a:t>
                </a:r>
              </a:p>
            </c:rich>
          </c:tx>
          <c:layout>
            <c:manualLayout>
              <c:xMode val="edge"/>
              <c:yMode val="edge"/>
              <c:x val="5.3763440860215055E-2"/>
              <c:y val="0.81091927403597874"/>
            </c:manualLayout>
          </c:layout>
          <c:overlay val="0"/>
        </c:title>
        <c:numFmt formatCode="_(* #,##0_);_(* \(#,##0\);_(* &quot;-&quot;??_);_(@_)" sourceLinked="1"/>
        <c:majorTickMark val="out"/>
        <c:minorTickMark val="none"/>
        <c:tickLblPos val="nextTo"/>
        <c:crossAx val="8692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8FE80EBE1194682882C2A03691822" ma:contentTypeVersion="119" ma:contentTypeDescription="" ma:contentTypeScope="" ma:versionID="3fef539f437dba4123f25cc7446715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2015-12-14T08:00:00+00:00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152354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1C3A8B-AF2B-472E-992F-B5A7F8EB3733}"/>
</file>

<file path=customXml/itemProps2.xml><?xml version="1.0" encoding="utf-8"?>
<ds:datastoreItem xmlns:ds="http://schemas.openxmlformats.org/officeDocument/2006/customXml" ds:itemID="{D07E2164-26D7-4DA3-8F50-1C20585FD866}"/>
</file>

<file path=customXml/itemProps3.xml><?xml version="1.0" encoding="utf-8"?>
<ds:datastoreItem xmlns:ds="http://schemas.openxmlformats.org/officeDocument/2006/customXml" ds:itemID="{185026FF-602A-48EC-942C-A1ADCC2CA7BA}"/>
</file>

<file path=customXml/itemProps4.xml><?xml version="1.0" encoding="utf-8"?>
<ds:datastoreItem xmlns:ds="http://schemas.openxmlformats.org/officeDocument/2006/customXml" ds:itemID="{3E4FF713-D9BD-4430-A10D-76739DAF5537}"/>
</file>

<file path=customXml/itemProps5.xml><?xml version="1.0" encoding="utf-8"?>
<ds:datastoreItem xmlns:ds="http://schemas.openxmlformats.org/officeDocument/2006/customXml" ds:itemID="{F4F05ABA-A62E-4567-A93B-0CD48E476CC1}"/>
</file>

<file path=customXml/itemProps6.xml><?xml version="1.0" encoding="utf-8"?>
<ds:datastoreItem xmlns:ds="http://schemas.openxmlformats.org/officeDocument/2006/customXml" ds:itemID="{8033A9A1-ADFD-4B8A-9FE0-E6E1BDC83F2E}"/>
</file>

<file path=customXml/itemProps7.xml><?xml version="1.0" encoding="utf-8"?>
<ds:datastoreItem xmlns:ds="http://schemas.openxmlformats.org/officeDocument/2006/customXml" ds:itemID="{45A763ED-C62E-4469-AD4E-BE80226F8E90}"/>
</file>

<file path=customXml/itemProps8.xml><?xml version="1.0" encoding="utf-8"?>
<ds:datastoreItem xmlns:ds="http://schemas.openxmlformats.org/officeDocument/2006/customXml" ds:itemID="{F8CC3006-0A08-4D48-8FA2-2748BAF310D2}"/>
</file>

<file path=docProps/app.xml><?xml version="1.0" encoding="utf-8"?>
<Properties xmlns="http://schemas.openxmlformats.org/officeDocument/2006/extended-properties" xmlns:vt="http://schemas.openxmlformats.org/officeDocument/2006/docPropsVTypes">
  <Template>Normal.dotm</Template>
  <TotalTime>93</TotalTime>
  <Pages>42</Pages>
  <Words>12784</Words>
  <Characters>72870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Printed on Recycled Paper</vt:lpstr>
    </vt:vector>
  </TitlesOfParts>
  <Company>A MDU Resources Organization</Company>
  <LinksUpToDate>false</LinksUpToDate>
  <CharactersWithSpaces>85484</CharactersWithSpaces>
  <SharedDoc>false</SharedDoc>
  <HLinks>
    <vt:vector size="42" baseType="variant">
      <vt:variant>
        <vt:i4>2293887</vt:i4>
      </vt:variant>
      <vt:variant>
        <vt:i4>18</vt:i4>
      </vt:variant>
      <vt:variant>
        <vt:i4>0</vt:i4>
      </vt:variant>
      <vt:variant>
        <vt:i4>5</vt:i4>
      </vt:variant>
      <vt:variant>
        <vt:lpwstr>http://www.ecy.wa.gov/climatechange/GHGbenchmarking.htm</vt:lpwstr>
      </vt:variant>
      <vt:variant>
        <vt:lpwstr/>
      </vt:variant>
      <vt:variant>
        <vt:i4>4390927</vt:i4>
      </vt:variant>
      <vt:variant>
        <vt:i4>15</vt:i4>
      </vt:variant>
      <vt:variant>
        <vt:i4>0</vt:i4>
      </vt:variant>
      <vt:variant>
        <vt:i4>5</vt:i4>
      </vt:variant>
      <vt:variant>
        <vt:lpwstr>http://www.ecy.wa.gov/climatechange/2020collaboration.htm</vt:lpwstr>
      </vt:variant>
      <vt:variant>
        <vt:lpwstr/>
      </vt:variant>
      <vt:variant>
        <vt:i4>3080193</vt:i4>
      </vt:variant>
      <vt:variant>
        <vt:i4>12</vt:i4>
      </vt:variant>
      <vt:variant>
        <vt:i4>0</vt:i4>
      </vt:variant>
      <vt:variant>
        <vt:i4>5</vt:i4>
      </vt:variant>
      <vt:variant>
        <vt:lpwstr>http://www.ecy.wa.gov/climatechange/docs/2020collab_facilitylist.pdf</vt:lpwstr>
      </vt:variant>
      <vt:variant>
        <vt:lpwstr/>
      </vt:variant>
      <vt:variant>
        <vt:i4>4784194</vt:i4>
      </vt:variant>
      <vt:variant>
        <vt:i4>9</vt:i4>
      </vt:variant>
      <vt:variant>
        <vt:i4>0</vt:i4>
      </vt:variant>
      <vt:variant>
        <vt:i4>5</vt:i4>
      </vt:variant>
      <vt:variant>
        <vt:lpwstr>http://www.westernclimateinitiative.org/</vt:lpwstr>
      </vt:variant>
      <vt:variant>
        <vt:lpwstr/>
      </vt:variant>
      <vt:variant>
        <vt:i4>7340050</vt:i4>
      </vt:variant>
      <vt:variant>
        <vt:i4>6</vt:i4>
      </vt:variant>
      <vt:variant>
        <vt:i4>0</vt:i4>
      </vt:variant>
      <vt:variant>
        <vt:i4>5</vt:i4>
      </vt:variant>
      <vt:variant>
        <vt:lpwstr>http://en.wikipedia.org/wiki/Renewable_fuel</vt:lpwstr>
      </vt:variant>
      <vt:variant>
        <vt:lpwstr/>
      </vt:variant>
      <vt:variant>
        <vt:i4>2818120</vt:i4>
      </vt:variant>
      <vt:variant>
        <vt:i4>3</vt:i4>
      </vt:variant>
      <vt:variant>
        <vt:i4>0</vt:i4>
      </vt:variant>
      <vt:variant>
        <vt:i4>5</vt:i4>
      </vt:variant>
      <vt:variant>
        <vt:lpwstr>http://en.wikipedia.org/wiki/Heat_engine</vt:lpwstr>
      </vt:variant>
      <vt:variant>
        <vt:lpwstr/>
      </vt:variant>
      <vt:variant>
        <vt:i4>1638527</vt:i4>
      </vt:variant>
      <vt:variant>
        <vt:i4>0</vt:i4>
      </vt:variant>
      <vt:variant>
        <vt:i4>0</vt:i4>
      </vt:variant>
      <vt:variant>
        <vt:i4>5</vt:i4>
      </vt:variant>
      <vt:variant>
        <vt:lpwstr>http://en.wikipedia.org/wiki/Waste_management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on Recycled Paper</dc:title>
  <dc:creator>Mark Sellers-Vaughn</dc:creator>
  <cp:lastModifiedBy>Monica Cowlishaw</cp:lastModifiedBy>
  <cp:revision>7</cp:revision>
  <cp:lastPrinted>2015-11-18T19:40:00Z</cp:lastPrinted>
  <dcterms:created xsi:type="dcterms:W3CDTF">2015-12-14T20:12:00Z</dcterms:created>
  <dcterms:modified xsi:type="dcterms:W3CDTF">2015-12-14T21:50:00Z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2012-01-02T00:00:00Z</vt:filetime>
  </property>
  <property fmtid="{D5CDD505-2E9C-101B-9397-08002B2CF9AE}" pid="3" name="LastSaved">
    <vt:filetime>2012-03-13T00:00:00Z</vt:filetime>
  </property>
  <property fmtid="{D5CDD505-2E9C-101B-9397-08002B2CF9AE}" pid="4" name="ContentTypeId">
    <vt:lpwstr>0x0101006E56B4D1795A2E4DB2F0B01679ED314A006158FE80EBE1194682882C2A03691822</vt:lpwstr>
  </property>
  <property fmtid="{D5CDD505-2E9C-101B-9397-08002B2CF9AE}" pid="5" name="_docset_NoMedatataSyncRequired">
    <vt:lpwstr>False</vt:lpwstr>
  </property>
</Properties>
</file>