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FB818" w14:textId="77777777" w:rsidR="00D51547" w:rsidRPr="00634160" w:rsidRDefault="00D51547" w:rsidP="00315C81">
      <w:pPr>
        <w:autoSpaceDE w:val="0"/>
        <w:autoSpaceDN w:val="0"/>
        <w:adjustRightInd w:val="0"/>
        <w:spacing w:after="0" w:line="240" w:lineRule="auto"/>
        <w:jc w:val="center"/>
        <w:rPr>
          <w:rFonts w:cs="Palatino-Roman"/>
          <w:color w:val="000000"/>
          <w:sz w:val="28"/>
          <w:szCs w:val="28"/>
        </w:rPr>
      </w:pPr>
      <w:bookmarkStart w:id="0" w:name="_GoBack"/>
      <w:bookmarkEnd w:id="0"/>
      <w:r w:rsidRPr="00634160">
        <w:rPr>
          <w:rFonts w:cs="Palatino-Roman"/>
          <w:color w:val="000000"/>
          <w:sz w:val="28"/>
          <w:szCs w:val="28"/>
        </w:rPr>
        <w:t>Schedule of Estimated Avoided Cost</w:t>
      </w:r>
    </w:p>
    <w:p w14:paraId="06BFB819" w14:textId="77777777" w:rsidR="00D51547" w:rsidRPr="00D51547" w:rsidRDefault="00D51547" w:rsidP="00D51547">
      <w:pPr>
        <w:autoSpaceDE w:val="0"/>
        <w:autoSpaceDN w:val="0"/>
        <w:adjustRightInd w:val="0"/>
        <w:spacing w:after="0" w:line="240" w:lineRule="auto"/>
        <w:rPr>
          <w:rFonts w:cs="Palatino-Roman"/>
          <w:color w:val="000000"/>
          <w:sz w:val="24"/>
          <w:szCs w:val="24"/>
        </w:rPr>
      </w:pPr>
    </w:p>
    <w:p w14:paraId="06BFB81A" w14:textId="77777777" w:rsidR="00D51547" w:rsidRPr="00315C81" w:rsidRDefault="00D51547" w:rsidP="00D51547">
      <w:pPr>
        <w:autoSpaceDE w:val="0"/>
        <w:autoSpaceDN w:val="0"/>
        <w:adjustRightInd w:val="0"/>
        <w:spacing w:after="0" w:line="240" w:lineRule="auto"/>
        <w:rPr>
          <w:rFonts w:cs="Palatino-Roman"/>
          <w:b/>
          <w:color w:val="000000"/>
          <w:sz w:val="24"/>
          <w:szCs w:val="24"/>
        </w:rPr>
      </w:pPr>
      <w:r w:rsidRPr="00315C81">
        <w:rPr>
          <w:rFonts w:cs="Palatino-Roman"/>
          <w:b/>
          <w:color w:val="000000"/>
          <w:sz w:val="24"/>
          <w:szCs w:val="24"/>
        </w:rPr>
        <w:t>Consistent with WAC 480-107-055, this schedule of estimated avoided costs is intended to provide only general information to potential bidders about the cost of new power supplies.</w:t>
      </w:r>
      <w:r w:rsidR="00F143F3">
        <w:rPr>
          <w:rFonts w:cs="Palatino-Roman"/>
          <w:b/>
          <w:color w:val="000000"/>
          <w:sz w:val="24"/>
          <w:szCs w:val="24"/>
        </w:rPr>
        <w:t xml:space="preserve"> </w:t>
      </w:r>
      <w:r w:rsidR="00315C81" w:rsidRPr="00315C81">
        <w:rPr>
          <w:rFonts w:cs="Palatino-Roman"/>
          <w:b/>
          <w:color w:val="000000"/>
          <w:sz w:val="24"/>
          <w:szCs w:val="24"/>
        </w:rPr>
        <w:t xml:space="preserve"> </w:t>
      </w:r>
      <w:r w:rsidRPr="00315C81">
        <w:rPr>
          <w:rFonts w:cs="Palatino-Roman"/>
          <w:b/>
          <w:color w:val="000000"/>
          <w:sz w:val="24"/>
          <w:szCs w:val="24"/>
        </w:rPr>
        <w:t>It does not provide a guaranteed contract price for electricity.</w:t>
      </w:r>
    </w:p>
    <w:p w14:paraId="06BFB81B" w14:textId="77777777" w:rsidR="00D51547" w:rsidRPr="00D51547" w:rsidRDefault="00D51547" w:rsidP="00D51547">
      <w:pPr>
        <w:autoSpaceDE w:val="0"/>
        <w:autoSpaceDN w:val="0"/>
        <w:adjustRightInd w:val="0"/>
        <w:spacing w:after="0" w:line="240" w:lineRule="auto"/>
        <w:rPr>
          <w:rFonts w:cs="Palatino-Roman"/>
          <w:color w:val="000000"/>
          <w:sz w:val="24"/>
          <w:szCs w:val="24"/>
        </w:rPr>
      </w:pPr>
    </w:p>
    <w:p w14:paraId="06BFB81C" w14:textId="77777777" w:rsidR="00D51547" w:rsidRDefault="00D51547" w:rsidP="00D51547">
      <w:pPr>
        <w:autoSpaceDE w:val="0"/>
        <w:autoSpaceDN w:val="0"/>
        <w:adjustRightInd w:val="0"/>
        <w:spacing w:after="0" w:line="240" w:lineRule="auto"/>
        <w:rPr>
          <w:rFonts w:cs="Palatino-Roman"/>
          <w:color w:val="000000"/>
          <w:sz w:val="24"/>
          <w:szCs w:val="24"/>
        </w:rPr>
      </w:pPr>
      <w:r w:rsidRPr="00D51547">
        <w:rPr>
          <w:rFonts w:cs="Palatino-Roman"/>
          <w:color w:val="000000"/>
          <w:sz w:val="24"/>
          <w:szCs w:val="24"/>
        </w:rPr>
        <w:t xml:space="preserve">As provided for in WAC 480-107-055 (2) this schedule of estimated avoided costs is based upon the estimates of currently projected market prices for </w:t>
      </w:r>
      <w:r w:rsidR="00F143F3">
        <w:rPr>
          <w:rFonts w:cs="Palatino-Roman"/>
          <w:color w:val="000000"/>
          <w:sz w:val="24"/>
          <w:szCs w:val="24"/>
        </w:rPr>
        <w:t>electricity</w:t>
      </w:r>
      <w:r w:rsidRPr="00D51547">
        <w:rPr>
          <w:rFonts w:cs="Palatino-Roman"/>
          <w:color w:val="000000"/>
          <w:sz w:val="24"/>
          <w:szCs w:val="24"/>
        </w:rPr>
        <w:t>.</w:t>
      </w:r>
      <w:r w:rsidR="001678FC">
        <w:rPr>
          <w:rFonts w:cs="Palatino-Roman"/>
          <w:color w:val="000000"/>
          <w:sz w:val="24"/>
          <w:szCs w:val="24"/>
        </w:rPr>
        <w:t xml:space="preserve"> </w:t>
      </w:r>
      <w:r w:rsidRPr="00D51547">
        <w:rPr>
          <w:rFonts w:cs="Palatino-Roman"/>
          <w:color w:val="000000"/>
          <w:sz w:val="24"/>
          <w:szCs w:val="24"/>
        </w:rPr>
        <w:t xml:space="preserve"> The schedule below provides the nominal price forecast on a monthly basis for flat load.</w:t>
      </w:r>
      <w:r w:rsidR="001678FC">
        <w:rPr>
          <w:rFonts w:cs="Palatino-Roman"/>
          <w:color w:val="000000"/>
          <w:sz w:val="24"/>
          <w:szCs w:val="24"/>
        </w:rPr>
        <w:t xml:space="preserve">  </w:t>
      </w:r>
      <w:r w:rsidRPr="00D51547">
        <w:rPr>
          <w:rFonts w:cs="Palatino-Roman"/>
          <w:color w:val="000000"/>
          <w:sz w:val="24"/>
          <w:szCs w:val="24"/>
        </w:rPr>
        <w:t xml:space="preserve">These forecasts are based on assumptions about natural gas prices, regional demand, new resource cost and development, </w:t>
      </w:r>
      <w:r w:rsidR="00FC61A6">
        <w:rPr>
          <w:rFonts w:cs="Palatino-Roman"/>
          <w:color w:val="000000"/>
          <w:sz w:val="24"/>
          <w:szCs w:val="24"/>
        </w:rPr>
        <w:t>as are</w:t>
      </w:r>
      <w:r w:rsidR="0075179F">
        <w:rPr>
          <w:rFonts w:cs="Palatino-Roman"/>
          <w:color w:val="000000"/>
          <w:sz w:val="24"/>
          <w:szCs w:val="24"/>
        </w:rPr>
        <w:t xml:space="preserve"> being</w:t>
      </w:r>
      <w:r w:rsidR="00EC2158">
        <w:rPr>
          <w:rFonts w:cs="Palatino-Roman"/>
          <w:color w:val="000000"/>
          <w:sz w:val="24"/>
          <w:szCs w:val="24"/>
        </w:rPr>
        <w:t xml:space="preserve"> </w:t>
      </w:r>
      <w:r w:rsidRPr="00D51547">
        <w:rPr>
          <w:rFonts w:cs="Palatino-Roman"/>
          <w:color w:val="000000"/>
          <w:sz w:val="24"/>
          <w:szCs w:val="24"/>
        </w:rPr>
        <w:t xml:space="preserve">used </w:t>
      </w:r>
      <w:r w:rsidR="00EC2158">
        <w:rPr>
          <w:rFonts w:cs="Palatino-Roman"/>
          <w:color w:val="000000"/>
          <w:sz w:val="24"/>
          <w:szCs w:val="24"/>
        </w:rPr>
        <w:t xml:space="preserve">in </w:t>
      </w:r>
      <w:r w:rsidRPr="00D51547">
        <w:rPr>
          <w:rFonts w:cs="Palatino-Roman"/>
          <w:color w:val="000000"/>
          <w:sz w:val="24"/>
          <w:szCs w:val="24"/>
        </w:rPr>
        <w:t>PSE’s 201</w:t>
      </w:r>
      <w:r w:rsidR="00B862D1">
        <w:rPr>
          <w:rFonts w:cs="Palatino-Roman"/>
          <w:color w:val="000000"/>
          <w:sz w:val="24"/>
          <w:szCs w:val="24"/>
        </w:rPr>
        <w:t>5</w:t>
      </w:r>
      <w:r w:rsidRPr="00D51547">
        <w:rPr>
          <w:rFonts w:cs="Palatino-Roman"/>
          <w:color w:val="000000"/>
          <w:sz w:val="24"/>
          <w:szCs w:val="24"/>
        </w:rPr>
        <w:t xml:space="preserve"> </w:t>
      </w:r>
      <w:r w:rsidR="00B862D1" w:rsidRPr="00B862D1">
        <w:rPr>
          <w:rFonts w:cs="Palatino-Roman"/>
          <w:color w:val="000000"/>
          <w:sz w:val="24"/>
          <w:szCs w:val="24"/>
        </w:rPr>
        <w:t xml:space="preserve">Integrated Resource Plan </w:t>
      </w:r>
      <w:r w:rsidR="00B862D1">
        <w:rPr>
          <w:rFonts w:cs="Palatino-Roman"/>
          <w:color w:val="000000"/>
          <w:sz w:val="24"/>
          <w:szCs w:val="24"/>
        </w:rPr>
        <w:t>(</w:t>
      </w:r>
      <w:r w:rsidR="00315C81">
        <w:rPr>
          <w:rFonts w:cs="Palatino-Roman"/>
          <w:color w:val="000000"/>
          <w:sz w:val="24"/>
          <w:szCs w:val="24"/>
        </w:rPr>
        <w:t>IRP</w:t>
      </w:r>
      <w:r w:rsidR="00B862D1">
        <w:rPr>
          <w:rFonts w:cs="Palatino-Roman"/>
          <w:color w:val="000000"/>
          <w:sz w:val="24"/>
          <w:szCs w:val="24"/>
        </w:rPr>
        <w:t>)</w:t>
      </w:r>
      <w:r w:rsidRPr="00D51547">
        <w:rPr>
          <w:rFonts w:cs="Palatino-Roman"/>
          <w:color w:val="000000"/>
          <w:sz w:val="24"/>
          <w:szCs w:val="24"/>
        </w:rPr>
        <w:t xml:space="preserve"> process.</w:t>
      </w:r>
      <w:r w:rsidR="001678FC">
        <w:rPr>
          <w:rFonts w:cs="Palatino-Roman"/>
          <w:color w:val="000000"/>
          <w:sz w:val="24"/>
          <w:szCs w:val="24"/>
        </w:rPr>
        <w:t xml:space="preserve">  </w:t>
      </w:r>
      <w:r w:rsidRPr="00D51547">
        <w:rPr>
          <w:rFonts w:cs="Palatino-Roman"/>
          <w:color w:val="000000"/>
          <w:sz w:val="24"/>
          <w:szCs w:val="24"/>
        </w:rPr>
        <w:t>The prices are part of PSE’s “</w:t>
      </w:r>
      <w:r w:rsidR="00315C81">
        <w:rPr>
          <w:rFonts w:cs="Palatino-Roman"/>
          <w:color w:val="000000"/>
          <w:sz w:val="24"/>
          <w:szCs w:val="24"/>
        </w:rPr>
        <w:t>Base</w:t>
      </w:r>
      <w:r w:rsidR="00565361">
        <w:rPr>
          <w:rFonts w:cs="Palatino-Roman"/>
          <w:color w:val="000000"/>
          <w:sz w:val="24"/>
          <w:szCs w:val="24"/>
        </w:rPr>
        <w:t xml:space="preserve"> with no federal CO</w:t>
      </w:r>
      <w:r w:rsidR="00565361" w:rsidRPr="00565361">
        <w:rPr>
          <w:rFonts w:cs="Palatino-Roman"/>
          <w:color w:val="000000"/>
          <w:sz w:val="24"/>
          <w:szCs w:val="24"/>
          <w:vertAlign w:val="subscript"/>
        </w:rPr>
        <w:t>2</w:t>
      </w:r>
      <w:r w:rsidR="00EC2158">
        <w:rPr>
          <w:rFonts w:cs="Palatino-Roman"/>
          <w:color w:val="000000"/>
          <w:sz w:val="24"/>
          <w:szCs w:val="24"/>
          <w:vertAlign w:val="subscript"/>
        </w:rPr>
        <w:t xml:space="preserve"> </w:t>
      </w:r>
      <w:r w:rsidR="00FC61A6" w:rsidRPr="00FC61A6">
        <w:rPr>
          <w:rFonts w:cs="Palatino-Roman"/>
          <w:color w:val="000000"/>
          <w:sz w:val="24"/>
          <w:szCs w:val="24"/>
        </w:rPr>
        <w:t>price”</w:t>
      </w:r>
      <w:r w:rsidRPr="00D51547">
        <w:rPr>
          <w:rFonts w:cs="Palatino-Roman"/>
          <w:color w:val="000000"/>
          <w:sz w:val="24"/>
          <w:szCs w:val="24"/>
        </w:rPr>
        <w:t xml:space="preserve"> scenario </w:t>
      </w:r>
      <w:r w:rsidR="0075179F">
        <w:rPr>
          <w:rFonts w:cs="Palatino-Roman"/>
          <w:color w:val="000000"/>
          <w:sz w:val="24"/>
          <w:szCs w:val="24"/>
        </w:rPr>
        <w:t xml:space="preserve">used in </w:t>
      </w:r>
      <w:r w:rsidRPr="00D51547">
        <w:rPr>
          <w:rFonts w:cs="Palatino-Roman"/>
          <w:color w:val="000000"/>
          <w:sz w:val="24"/>
          <w:szCs w:val="24"/>
        </w:rPr>
        <w:t>the 201</w:t>
      </w:r>
      <w:r w:rsidR="00B862D1">
        <w:rPr>
          <w:rFonts w:cs="Palatino-Roman"/>
          <w:color w:val="000000"/>
          <w:sz w:val="24"/>
          <w:szCs w:val="24"/>
        </w:rPr>
        <w:t>5</w:t>
      </w:r>
      <w:r w:rsidRPr="00D51547">
        <w:rPr>
          <w:rFonts w:cs="Palatino-Roman"/>
          <w:color w:val="000000"/>
          <w:sz w:val="24"/>
          <w:szCs w:val="24"/>
        </w:rPr>
        <w:t xml:space="preserve"> </w:t>
      </w:r>
      <w:r w:rsidR="00315C81">
        <w:rPr>
          <w:rFonts w:cs="Palatino-Roman"/>
          <w:color w:val="000000"/>
          <w:sz w:val="24"/>
          <w:szCs w:val="24"/>
        </w:rPr>
        <w:t>IRP process</w:t>
      </w:r>
      <w:r w:rsidRPr="00D51547">
        <w:rPr>
          <w:rFonts w:cs="Palatino-Roman"/>
          <w:color w:val="000000"/>
          <w:sz w:val="24"/>
          <w:szCs w:val="24"/>
        </w:rPr>
        <w:t>.</w:t>
      </w:r>
      <w:r w:rsidR="001678FC">
        <w:rPr>
          <w:rFonts w:cs="Palatino-Roman"/>
          <w:color w:val="000000"/>
          <w:sz w:val="24"/>
          <w:szCs w:val="24"/>
        </w:rPr>
        <w:t xml:space="preserve">  </w:t>
      </w:r>
      <w:r w:rsidRPr="00D51547">
        <w:rPr>
          <w:rFonts w:cs="Palatino-Roman"/>
          <w:color w:val="000000"/>
          <w:sz w:val="24"/>
          <w:szCs w:val="24"/>
        </w:rPr>
        <w:t xml:space="preserve">Estimated prices are derived using </w:t>
      </w:r>
      <w:r w:rsidR="00F143F3">
        <w:rPr>
          <w:rFonts w:cs="Palatino-Roman"/>
          <w:color w:val="000000"/>
          <w:sz w:val="24"/>
          <w:szCs w:val="24"/>
        </w:rPr>
        <w:t>PSE’s</w:t>
      </w:r>
      <w:r w:rsidRPr="00D51547">
        <w:rPr>
          <w:rFonts w:cs="Palatino-Roman"/>
          <w:color w:val="000000"/>
          <w:sz w:val="24"/>
          <w:szCs w:val="24"/>
        </w:rPr>
        <w:t xml:space="preserve"> AURORA </w:t>
      </w:r>
      <w:r w:rsidR="00F143F3">
        <w:rPr>
          <w:rFonts w:cs="Palatino-Roman"/>
          <w:color w:val="000000"/>
          <w:sz w:val="24"/>
          <w:szCs w:val="24"/>
        </w:rPr>
        <w:t xml:space="preserve">forecast </w:t>
      </w:r>
      <w:r w:rsidRPr="00D51547">
        <w:rPr>
          <w:rFonts w:cs="Palatino-Roman"/>
          <w:color w:val="000000"/>
          <w:sz w:val="24"/>
          <w:szCs w:val="24"/>
        </w:rPr>
        <w:t>model and do not include system integration, shaping, or transmission costs.</w:t>
      </w:r>
    </w:p>
    <w:p w14:paraId="06BFB81D" w14:textId="77777777" w:rsidR="00315C81" w:rsidRDefault="00315C81" w:rsidP="00315C81">
      <w:pPr>
        <w:autoSpaceDE w:val="0"/>
        <w:autoSpaceDN w:val="0"/>
        <w:adjustRightInd w:val="0"/>
        <w:spacing w:after="0" w:line="240" w:lineRule="auto"/>
        <w:rPr>
          <w:rFonts w:cs="Palatino-Roman"/>
          <w:color w:val="000000"/>
          <w:sz w:val="24"/>
          <w:szCs w:val="24"/>
        </w:rPr>
      </w:pPr>
    </w:p>
    <w:p w14:paraId="06BFB81E" w14:textId="77777777" w:rsidR="00315C81" w:rsidRDefault="00315C81" w:rsidP="00315C81">
      <w:pPr>
        <w:autoSpaceDE w:val="0"/>
        <w:autoSpaceDN w:val="0"/>
        <w:adjustRightInd w:val="0"/>
        <w:spacing w:after="0" w:line="240" w:lineRule="auto"/>
        <w:rPr>
          <w:rFonts w:cs="Palatino-Roman"/>
          <w:b/>
          <w:color w:val="000000"/>
          <w:sz w:val="24"/>
          <w:szCs w:val="24"/>
        </w:rPr>
      </w:pPr>
      <w:r w:rsidRPr="00315C81">
        <w:rPr>
          <w:rFonts w:cs="Palatino-Roman"/>
          <w:b/>
          <w:color w:val="000000"/>
          <w:sz w:val="24"/>
          <w:szCs w:val="24"/>
        </w:rPr>
        <w:t xml:space="preserve">Monthly Prices for Mid-C Market </w:t>
      </w:r>
    </w:p>
    <w:p w14:paraId="06BFB81F" w14:textId="77777777" w:rsidR="00315C81" w:rsidRPr="00315C81" w:rsidRDefault="00315C81" w:rsidP="00315C81">
      <w:pPr>
        <w:autoSpaceDE w:val="0"/>
        <w:autoSpaceDN w:val="0"/>
        <w:adjustRightInd w:val="0"/>
        <w:spacing w:after="0" w:line="240" w:lineRule="auto"/>
        <w:rPr>
          <w:rFonts w:cs="Palatino-Italic"/>
          <w:b/>
          <w:iCs/>
          <w:color w:val="000000"/>
          <w:sz w:val="24"/>
          <w:szCs w:val="24"/>
        </w:rPr>
      </w:pPr>
      <w:r w:rsidRPr="00315C81">
        <w:rPr>
          <w:rFonts w:cs="Palatino-Roman"/>
          <w:b/>
          <w:color w:val="000000"/>
          <w:sz w:val="24"/>
          <w:szCs w:val="24"/>
        </w:rPr>
        <w:t>(Nominal $/MWh)</w:t>
      </w:r>
    </w:p>
    <w:p w14:paraId="06BFB820" w14:textId="77777777" w:rsidR="00315C81" w:rsidRPr="00D51547" w:rsidRDefault="00315C81" w:rsidP="00315C81">
      <w:pPr>
        <w:autoSpaceDE w:val="0"/>
        <w:autoSpaceDN w:val="0"/>
        <w:adjustRightInd w:val="0"/>
        <w:spacing w:after="0" w:line="240" w:lineRule="auto"/>
        <w:rPr>
          <w:rFonts w:cs="Palatino-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909"/>
      </w:tblGrid>
      <w:tr w:rsidR="00D87858" w:rsidRPr="00565361" w14:paraId="06BFB82F" w14:textId="77777777" w:rsidTr="003F350D">
        <w:trPr>
          <w:trHeight w:val="552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21" w14:textId="77777777" w:rsidR="00315C81" w:rsidRPr="00565361" w:rsidRDefault="00315C81" w:rsidP="00D87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822" w14:textId="77777777" w:rsidR="00315C81" w:rsidRPr="00565361" w:rsidRDefault="00315C81" w:rsidP="003F3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565361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Jan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823" w14:textId="77777777" w:rsidR="00315C81" w:rsidRPr="00565361" w:rsidRDefault="00315C81" w:rsidP="003F3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565361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Feb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824" w14:textId="77777777" w:rsidR="00315C81" w:rsidRPr="00565361" w:rsidRDefault="00315C81" w:rsidP="003F3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565361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Mar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825" w14:textId="77777777" w:rsidR="00315C81" w:rsidRPr="00565361" w:rsidRDefault="00315C81" w:rsidP="003F3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565361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Apr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826" w14:textId="77777777" w:rsidR="00315C81" w:rsidRPr="00565361" w:rsidRDefault="00315C81" w:rsidP="003F3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565361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May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827" w14:textId="77777777" w:rsidR="00315C81" w:rsidRPr="00565361" w:rsidRDefault="00315C81" w:rsidP="003F3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565361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Jun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828" w14:textId="77777777" w:rsidR="00315C81" w:rsidRPr="00565361" w:rsidRDefault="00315C81" w:rsidP="003F3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565361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Jul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829" w14:textId="77777777" w:rsidR="00315C81" w:rsidRPr="00565361" w:rsidRDefault="00315C81" w:rsidP="003F3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565361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Aug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82A" w14:textId="77777777" w:rsidR="00315C81" w:rsidRPr="00565361" w:rsidRDefault="00315C81" w:rsidP="003F3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565361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Sep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82B" w14:textId="77777777" w:rsidR="00315C81" w:rsidRPr="00565361" w:rsidRDefault="00315C81" w:rsidP="003F3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565361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Oct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82C" w14:textId="77777777" w:rsidR="00315C81" w:rsidRPr="00565361" w:rsidRDefault="00315C81" w:rsidP="003F3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565361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Nov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82D" w14:textId="77777777" w:rsidR="00315C81" w:rsidRPr="00565361" w:rsidRDefault="00315C81" w:rsidP="003F3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565361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Dec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FB82E" w14:textId="77777777" w:rsidR="00315C81" w:rsidRPr="00565361" w:rsidRDefault="00315C81" w:rsidP="003F3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565361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Avg. Annual</w:t>
            </w:r>
          </w:p>
        </w:tc>
      </w:tr>
      <w:tr w:rsidR="00C06B73" w:rsidRPr="00565361" w14:paraId="06BFB83E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B830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B831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34.57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B832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34.49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B833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32.45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B834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28.48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B835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27.56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B836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28.37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B837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31.29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B838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34.37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B839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35.30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B83A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34.90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B83B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35.11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B83C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34.63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B83D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32.63</w:t>
            </w:r>
          </w:p>
        </w:tc>
      </w:tr>
      <w:tr w:rsidR="00C06B73" w:rsidRPr="00565361" w14:paraId="06BFB84D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3F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40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35.36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41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35.18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42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33.41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43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29.03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44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29.67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45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29.47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46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31.85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47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35.25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48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35.89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49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35.75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4A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36.33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4B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35.80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4C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33.58</w:t>
            </w:r>
          </w:p>
        </w:tc>
      </w:tr>
      <w:tr w:rsidR="00C06B73" w:rsidRPr="00565361" w14:paraId="06BFB85C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4E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4F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36.56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50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36.59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51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34.41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52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30.25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53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29.27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54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29.60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55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32.93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56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36.65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57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37.79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58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37.15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59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37.02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5A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37.24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5B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34.62</w:t>
            </w:r>
          </w:p>
        </w:tc>
      </w:tr>
      <w:tr w:rsidR="00C06B73" w:rsidRPr="00565361" w14:paraId="06BFB86B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5D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5E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37.66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5F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37.62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60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35.17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61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31.72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62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31.08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63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30.28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64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33.75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65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37.56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66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39.35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67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38.89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68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38.35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69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38.77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6A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35.85</w:t>
            </w:r>
          </w:p>
        </w:tc>
      </w:tr>
      <w:tr w:rsidR="00C06B73" w:rsidRPr="00565361" w14:paraId="06BFB87A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6C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6D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39.12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6E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39.12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6F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36.49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70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33.32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71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31.35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72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32.13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73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35.64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74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39.49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75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41.44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76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40.73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77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40.80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78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40.62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79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37.52</w:t>
            </w:r>
          </w:p>
        </w:tc>
      </w:tr>
      <w:tr w:rsidR="00C06B73" w:rsidRPr="00565361" w14:paraId="06BFB889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7B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7C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41.57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7D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7E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39.02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7F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35.72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80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34.43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81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35.57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82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38.92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83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43.05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84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44.49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85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44.01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86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44.37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87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43.78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88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40.58</w:t>
            </w:r>
          </w:p>
        </w:tc>
      </w:tr>
      <w:tr w:rsidR="00C06B73" w:rsidRPr="00565361" w14:paraId="06BFB898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8A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8B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43.78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8C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44.23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8D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40.76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8E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37.42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8F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35.59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90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37.55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91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41.05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92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45.85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93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46.66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94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46.40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95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47.07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96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46.20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97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42.71</w:t>
            </w:r>
          </w:p>
        </w:tc>
      </w:tr>
      <w:tr w:rsidR="00C06B73" w:rsidRPr="00565361" w14:paraId="06BFB8A7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99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9A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46.24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9B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46.19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9C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42.14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9D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38.59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9E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38.33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9F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39.25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A0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42.55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A1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47.49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A2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47.76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A3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48.26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A4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49.42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A5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48.26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A6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44.54</w:t>
            </w:r>
          </w:p>
        </w:tc>
      </w:tr>
      <w:tr w:rsidR="00C06B73" w:rsidRPr="00565361" w14:paraId="06BFB8B6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A8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A9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48.78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AA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48.76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AB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44.34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AC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40.96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AD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38.73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AE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39.60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AF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44.89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B0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49.59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B1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50.77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B2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50.65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B3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50.40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B4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50.76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B5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46.52</w:t>
            </w:r>
          </w:p>
        </w:tc>
      </w:tr>
      <w:tr w:rsidR="00C06B73" w:rsidRPr="00565361" w14:paraId="06BFB8C5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B7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B8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B9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49.66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BA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46.31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BB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43.05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BC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41.37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BD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41.77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BE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47.07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BF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51.91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C0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54.60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C1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54.24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C2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53.51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C3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54.34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C4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48.99</w:t>
            </w:r>
          </w:p>
        </w:tc>
      </w:tr>
      <w:tr w:rsidR="00C06B73" w:rsidRPr="00565361" w14:paraId="06BFB8D4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C6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C7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56.50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C8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C9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54.90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CA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50.77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CB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46.84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CC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50.16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CD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55.96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CE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61.05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CF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64.53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D0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64.11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D1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D2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62.30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D3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57.37</w:t>
            </w:r>
          </w:p>
        </w:tc>
      </w:tr>
      <w:tr w:rsidR="00C06B73" w:rsidRPr="00565361" w14:paraId="06BFB8E3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D5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D6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61.66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D7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62.79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D8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55.53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D9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51.20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DA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49.09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DB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51.48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DC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56.62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DD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62.43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DE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65.17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DF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64.63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E0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65.39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E1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63.36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E2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59.11</w:t>
            </w:r>
          </w:p>
        </w:tc>
      </w:tr>
      <w:tr w:rsidR="00C06B73" w:rsidRPr="00565361" w14:paraId="06BFB8F2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E4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E5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62.21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E6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63.26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E7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56.34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E8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51.48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E9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49.03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EA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51.94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EB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57.90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EC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63.86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ED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65.70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EE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66.02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EF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67.05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F0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64.58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F1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59.95</w:t>
            </w:r>
          </w:p>
        </w:tc>
      </w:tr>
      <w:tr w:rsidR="00C06B73" w:rsidRPr="00565361" w14:paraId="06BFB901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F3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F4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65.37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F5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65.60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F6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59.85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F7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54.89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F8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53.25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F9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54.50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FA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61.07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FB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67.69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FC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69.99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FD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69.80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FE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69.17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FF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69.02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00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63.35</w:t>
            </w:r>
          </w:p>
        </w:tc>
      </w:tr>
      <w:tr w:rsidR="00C06B73" w:rsidRPr="00565361" w14:paraId="06BFB910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02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03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67.81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04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68.16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05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60.46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06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56.15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07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52.67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08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55.13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09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63.24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0A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69.03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0B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71.46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0C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71.54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0D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71.12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0E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72.30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0F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64.92</w:t>
            </w:r>
          </w:p>
        </w:tc>
      </w:tr>
      <w:tr w:rsidR="00C06B73" w:rsidRPr="00565361" w14:paraId="06BFB91F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11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12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69.67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13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69.47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14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62.73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15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57.88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16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55.90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17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57.54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18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65.26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19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71.85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1A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74.11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1B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73.85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1C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74.16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1D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74.41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1E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67.24</w:t>
            </w:r>
          </w:p>
        </w:tc>
      </w:tr>
      <w:tr w:rsidR="00C06B73" w:rsidRPr="00565361" w14:paraId="06BFB92E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20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21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71.93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22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71.68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23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65.06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24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59.64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25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55.60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26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59.87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27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67.10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28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74.48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29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76.80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2A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75.69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2B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77.96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2C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76.60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2D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69.37</w:t>
            </w:r>
          </w:p>
        </w:tc>
      </w:tr>
      <w:tr w:rsidR="00C06B73" w:rsidRPr="00565361" w14:paraId="06BFB93D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2F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30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74.33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31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74.38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32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66.98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33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61.24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34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60.23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35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62.66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36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69.18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37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77.44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38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79.32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39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78.45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3A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80.90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3B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79.07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3C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72.01</w:t>
            </w:r>
          </w:p>
        </w:tc>
      </w:tr>
      <w:tr w:rsidR="00C06B73" w:rsidRPr="00565361" w14:paraId="06BFB94C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3E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3F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77.13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40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76.88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41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69.21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42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62.98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43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60.43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44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63.86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45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71.10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46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80.05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47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81.25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48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81.03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49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83.23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4A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81.33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4B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74.04</w:t>
            </w:r>
          </w:p>
        </w:tc>
      </w:tr>
      <w:tr w:rsidR="00C06B73" w:rsidRPr="00565361" w14:paraId="06BFB95B" w14:textId="77777777" w:rsidTr="003F350D">
        <w:trPr>
          <w:trHeight w:hRule="exact"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4D" w14:textId="77777777" w:rsidR="00C06B73" w:rsidRPr="00565361" w:rsidRDefault="00C06B73" w:rsidP="00C0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5361">
              <w:rPr>
                <w:rFonts w:ascii="Calibri" w:eastAsia="Times New Roman" w:hAnsi="Calibri" w:cs="Times New Roman"/>
                <w:b/>
                <w:bCs/>
                <w:color w:val="000000"/>
              </w:rPr>
              <w:t>2035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4E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79.84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4F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80.20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50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72.10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51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65.50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52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64.33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53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65.10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54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73.72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55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82.88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56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84.73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57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83.74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58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84.66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59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85.05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95A" w14:textId="77777777" w:rsidR="00C06B73" w:rsidRPr="003F350D" w:rsidRDefault="00C06B73" w:rsidP="00C06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3F350D">
              <w:rPr>
                <w:rFonts w:ascii="Arial" w:hAnsi="Arial" w:cs="Arial"/>
                <w:color w:val="000000"/>
                <w:sz w:val="16"/>
                <w:szCs w:val="16"/>
              </w:rPr>
              <w:t>76.82</w:t>
            </w:r>
          </w:p>
        </w:tc>
      </w:tr>
    </w:tbl>
    <w:p w14:paraId="06BFB95C" w14:textId="77777777" w:rsidR="00D51547" w:rsidRPr="00D51547" w:rsidRDefault="00D51547" w:rsidP="00B862D1">
      <w:pPr>
        <w:autoSpaceDE w:val="0"/>
        <w:autoSpaceDN w:val="0"/>
        <w:adjustRightInd w:val="0"/>
        <w:spacing w:after="0" w:line="240" w:lineRule="auto"/>
        <w:rPr>
          <w:rFonts w:cs="Palatino-Italic"/>
          <w:iCs/>
          <w:color w:val="000000"/>
          <w:sz w:val="24"/>
          <w:szCs w:val="24"/>
        </w:rPr>
      </w:pPr>
    </w:p>
    <w:sectPr w:rsidR="00D51547" w:rsidRPr="00D51547" w:rsidSect="00315C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FB95F" w14:textId="77777777" w:rsidR="00867E73" w:rsidRDefault="00867E73" w:rsidP="00867E73">
      <w:pPr>
        <w:spacing w:after="0" w:line="240" w:lineRule="auto"/>
      </w:pPr>
      <w:r>
        <w:separator/>
      </w:r>
    </w:p>
  </w:endnote>
  <w:endnote w:type="continuationSeparator" w:id="0">
    <w:p w14:paraId="06BFB960" w14:textId="77777777" w:rsidR="00867E73" w:rsidRDefault="00867E73" w:rsidP="0086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FB963" w14:textId="77777777" w:rsidR="00867E73" w:rsidRDefault="00867E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FB964" w14:textId="77777777" w:rsidR="00867E73" w:rsidRDefault="00867E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FB966" w14:textId="77777777" w:rsidR="00867E73" w:rsidRDefault="00867E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FB95D" w14:textId="77777777" w:rsidR="00867E73" w:rsidRDefault="00867E73" w:rsidP="00867E73">
      <w:pPr>
        <w:spacing w:after="0" w:line="240" w:lineRule="auto"/>
      </w:pPr>
      <w:r>
        <w:separator/>
      </w:r>
    </w:p>
  </w:footnote>
  <w:footnote w:type="continuationSeparator" w:id="0">
    <w:p w14:paraId="06BFB95E" w14:textId="77777777" w:rsidR="00867E73" w:rsidRDefault="00867E73" w:rsidP="0086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FB961" w14:textId="77777777" w:rsidR="00867E73" w:rsidRDefault="00867E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FB962" w14:textId="77777777" w:rsidR="00867E73" w:rsidRDefault="00867E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FB965" w14:textId="77777777" w:rsidR="00867E73" w:rsidRDefault="00867E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6E"/>
    <w:rsid w:val="000230B1"/>
    <w:rsid w:val="001678FC"/>
    <w:rsid w:val="00207A6E"/>
    <w:rsid w:val="00315C81"/>
    <w:rsid w:val="003F350D"/>
    <w:rsid w:val="0045762E"/>
    <w:rsid w:val="00492E6E"/>
    <w:rsid w:val="0049376B"/>
    <w:rsid w:val="00565361"/>
    <w:rsid w:val="00634160"/>
    <w:rsid w:val="006A714C"/>
    <w:rsid w:val="00713239"/>
    <w:rsid w:val="0075179F"/>
    <w:rsid w:val="0076163F"/>
    <w:rsid w:val="008028DB"/>
    <w:rsid w:val="00855829"/>
    <w:rsid w:val="00867E73"/>
    <w:rsid w:val="009579CD"/>
    <w:rsid w:val="00B862D1"/>
    <w:rsid w:val="00BD4A25"/>
    <w:rsid w:val="00C06B73"/>
    <w:rsid w:val="00D51547"/>
    <w:rsid w:val="00D87858"/>
    <w:rsid w:val="00EC2158"/>
    <w:rsid w:val="00ED1CD1"/>
    <w:rsid w:val="00F143F3"/>
    <w:rsid w:val="00F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BFB818"/>
  <w15:docId w15:val="{353F7040-D03E-4038-A11D-9CA9338B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E73"/>
  </w:style>
  <w:style w:type="paragraph" w:styleId="Footer">
    <w:name w:val="footer"/>
    <w:basedOn w:val="Normal"/>
    <w:link w:val="FooterChar"/>
    <w:uiPriority w:val="99"/>
    <w:unhideWhenUsed/>
    <w:rsid w:val="0086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E73"/>
  </w:style>
  <w:style w:type="paragraph" w:styleId="BalloonText">
    <w:name w:val="Balloon Text"/>
    <w:basedOn w:val="Normal"/>
    <w:link w:val="BalloonTextChar"/>
    <w:uiPriority w:val="99"/>
    <w:semiHidden/>
    <w:unhideWhenUsed/>
    <w:rsid w:val="00C0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13B165EACD97449C1192AF698B531F" ma:contentTypeVersion="119" ma:contentTypeDescription="" ma:contentTypeScope="" ma:versionID="120f9107aa737a20e17b90122d0f87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2015-12-07T08:00:00+00:00</OpenedDate>
    <Date1 xmlns="dc463f71-b30c-4ab2-9473-d307f9d35888">2015-12-07T08:00:00+00:00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152314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402C0F6-6435-4448-8139-B2D2628DAF83}"/>
</file>

<file path=customXml/itemProps2.xml><?xml version="1.0" encoding="utf-8"?>
<ds:datastoreItem xmlns:ds="http://schemas.openxmlformats.org/officeDocument/2006/customXml" ds:itemID="{6FCAD851-09C9-4D5A-9367-A05EC5910DE0}"/>
</file>

<file path=customXml/itemProps3.xml><?xml version="1.0" encoding="utf-8"?>
<ds:datastoreItem xmlns:ds="http://schemas.openxmlformats.org/officeDocument/2006/customXml" ds:itemID="{50DF490F-99EE-4E5D-B276-C13BA14A9D65}"/>
</file>

<file path=customXml/itemProps4.xml><?xml version="1.0" encoding="utf-8"?>
<ds:datastoreItem xmlns:ds="http://schemas.openxmlformats.org/officeDocument/2006/customXml" ds:itemID="{85E0CC7A-3FCF-4B0B-A1F3-1496E3AB1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mcass</dc:creator>
  <cp:lastModifiedBy>Rollman, Courtney (UTC)</cp:lastModifiedBy>
  <cp:revision>2</cp:revision>
  <cp:lastPrinted>2014-12-31T18:31:00Z</cp:lastPrinted>
  <dcterms:created xsi:type="dcterms:W3CDTF">2015-12-08T17:05:00Z</dcterms:created>
  <dcterms:modified xsi:type="dcterms:W3CDTF">2015-12-08T17:05:00Z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0x0101006E56B4D1795A2E4DB2F0B01679ED314A001F13B165EACD97449C1192AF698B531F</vt:lpwstr>
  </property>
  <property fmtid="{D5CDD505-2E9C-101B-9397-08002B2CF9AE}" pid="3" name="_docset_NoMedatataSyncRequired">
    <vt:lpwstr>False</vt:lpwstr>
  </property>
</Properties>
</file>