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18" w:rsidRPr="008B2EE4" w:rsidRDefault="00510039" w:rsidP="00FF0518">
      <w:pPr>
        <w:jc w:val="center"/>
        <w:rPr>
          <w:rFonts w:ascii="Times New Roman" w:hAnsi="Times New Roman"/>
          <w:b/>
          <w:szCs w:val="24"/>
        </w:rPr>
      </w:pPr>
      <w:r>
        <w:rPr>
          <w:rFonts w:ascii="Times New Roman" w:hAnsi="Times New Roman"/>
          <w:b/>
          <w:szCs w:val="24"/>
        </w:rPr>
        <w:t>PACIFIC POWER &amp; LIGHT COMPANY</w:t>
      </w:r>
    </w:p>
    <w:p w:rsidR="00FF0518" w:rsidRPr="008B2EE4" w:rsidRDefault="00A37A89" w:rsidP="00FF0518">
      <w:pPr>
        <w:jc w:val="center"/>
        <w:rPr>
          <w:rFonts w:ascii="Times New Roman" w:hAnsi="Times New Roman"/>
          <w:b/>
          <w:szCs w:val="24"/>
        </w:rPr>
      </w:pPr>
      <w:r w:rsidRPr="008B2EE4">
        <w:rPr>
          <w:rFonts w:ascii="Times New Roman" w:hAnsi="Times New Roman"/>
          <w:b/>
          <w:szCs w:val="24"/>
        </w:rPr>
        <w:t>Attachment</w:t>
      </w:r>
      <w:r w:rsidR="00FF0518" w:rsidRPr="008B2EE4">
        <w:rPr>
          <w:rFonts w:ascii="Times New Roman" w:hAnsi="Times New Roman"/>
          <w:b/>
          <w:szCs w:val="24"/>
        </w:rPr>
        <w:t xml:space="preserve"> A</w:t>
      </w:r>
    </w:p>
    <w:p w:rsidR="00FF0518" w:rsidRPr="008B2EE4" w:rsidRDefault="00FF0518" w:rsidP="00FF0518">
      <w:pPr>
        <w:jc w:val="center"/>
        <w:rPr>
          <w:rFonts w:ascii="Times New Roman" w:hAnsi="Times New Roman"/>
          <w:b/>
          <w:szCs w:val="24"/>
        </w:rPr>
      </w:pPr>
      <w:r w:rsidRPr="008B2EE4">
        <w:rPr>
          <w:rFonts w:ascii="Times New Roman" w:hAnsi="Times New Roman"/>
          <w:b/>
          <w:szCs w:val="24"/>
        </w:rPr>
        <w:t>Summary of Requested Electric Rate Increase</w:t>
      </w:r>
    </w:p>
    <w:p w:rsidR="00FF0518" w:rsidRPr="008B2EE4" w:rsidRDefault="00FF0518" w:rsidP="00FF0518">
      <w:pPr>
        <w:jc w:val="center"/>
        <w:rPr>
          <w:rFonts w:ascii="Times New Roman" w:hAnsi="Times New Roman"/>
          <w:szCs w:val="24"/>
        </w:rPr>
      </w:pPr>
      <w:r w:rsidRPr="008B2EE4">
        <w:rPr>
          <w:rFonts w:ascii="Times New Roman" w:hAnsi="Times New Roman"/>
          <w:szCs w:val="24"/>
        </w:rPr>
        <w:t>Washington Jurisdiction</w:t>
      </w:r>
    </w:p>
    <w:p w:rsidR="008B2EE4" w:rsidRPr="008B2EE4" w:rsidRDefault="00FF0518" w:rsidP="008B2EE4">
      <w:pPr>
        <w:jc w:val="center"/>
        <w:rPr>
          <w:rFonts w:ascii="Times New Roman" w:hAnsi="Times New Roman"/>
          <w:szCs w:val="24"/>
        </w:rPr>
      </w:pPr>
      <w:r w:rsidRPr="008B2EE4">
        <w:rPr>
          <w:rFonts w:ascii="Times New Roman" w:hAnsi="Times New Roman"/>
          <w:szCs w:val="24"/>
        </w:rPr>
        <w:t xml:space="preserve">Filed </w:t>
      </w:r>
      <w:r w:rsidR="00DE654A">
        <w:rPr>
          <w:rFonts w:ascii="Times New Roman" w:hAnsi="Times New Roman"/>
          <w:szCs w:val="24"/>
        </w:rPr>
        <w:t>November 2</w:t>
      </w:r>
      <w:r w:rsidR="00976CFF">
        <w:rPr>
          <w:rFonts w:ascii="Times New Roman" w:hAnsi="Times New Roman"/>
          <w:szCs w:val="24"/>
        </w:rPr>
        <w:t>5</w:t>
      </w:r>
      <w:r w:rsidR="00DE654A">
        <w:rPr>
          <w:rFonts w:ascii="Times New Roman" w:hAnsi="Times New Roman"/>
          <w:szCs w:val="24"/>
        </w:rPr>
        <w:t>, 2015</w:t>
      </w:r>
    </w:p>
    <w:p w:rsidR="00FF0518" w:rsidRPr="008B2EE4" w:rsidRDefault="00FF0518" w:rsidP="008B2EE4">
      <w:pPr>
        <w:jc w:val="center"/>
        <w:rPr>
          <w:rFonts w:ascii="Times New Roman" w:hAnsi="Times New Roman"/>
          <w:b/>
          <w:szCs w:val="24"/>
          <w:u w:val="single"/>
        </w:rPr>
      </w:pPr>
      <w:r w:rsidRPr="008B2EE4">
        <w:rPr>
          <w:rFonts w:ascii="Times New Roman" w:hAnsi="Times New Roman"/>
          <w:b/>
          <w:szCs w:val="24"/>
          <w:u w:val="single"/>
        </w:rPr>
        <w:t>________________________________________________________________________</w:t>
      </w:r>
    </w:p>
    <w:p w:rsidR="00FF0518" w:rsidRPr="008B2EE4" w:rsidRDefault="00FF0518" w:rsidP="00FF0518">
      <w:pPr>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1)</w:t>
      </w:r>
      <w:r w:rsidRPr="008B2EE4">
        <w:rPr>
          <w:rFonts w:ascii="Times New Roman" w:hAnsi="Times New Roman"/>
          <w:b/>
          <w:szCs w:val="24"/>
        </w:rPr>
        <w:tab/>
        <w:t>The date and amount of the latest prior general rate increase authorized by the Commission, and the revenue realized from that authorized increase in the test period, based on the company’s test period units of revenue.</w:t>
      </w:r>
    </w:p>
    <w:p w:rsidR="008B2EE4" w:rsidRPr="008B2EE4" w:rsidRDefault="008B2EE4" w:rsidP="008B2EE4">
      <w:pPr>
        <w:tabs>
          <w:tab w:val="left" w:pos="1440"/>
          <w:tab w:val="left" w:pos="2520"/>
        </w:tabs>
        <w:rPr>
          <w:rFonts w:ascii="Times New Roman" w:hAnsi="Times New Roman"/>
          <w:b/>
          <w:szCs w:val="24"/>
        </w:rPr>
      </w:pPr>
    </w:p>
    <w:p w:rsidR="00484F5A" w:rsidRPr="008B2EE4" w:rsidRDefault="00FF0518" w:rsidP="001602F1">
      <w:pPr>
        <w:tabs>
          <w:tab w:val="left" w:pos="2520"/>
          <w:tab w:val="right" w:pos="7920"/>
        </w:tabs>
        <w:ind w:left="1440"/>
        <w:rPr>
          <w:rFonts w:ascii="Times New Roman" w:hAnsi="Times New Roman"/>
          <w:szCs w:val="24"/>
        </w:rPr>
      </w:pPr>
      <w:r w:rsidRPr="008B2EE4">
        <w:rPr>
          <w:rFonts w:ascii="Times New Roman" w:hAnsi="Times New Roman"/>
          <w:szCs w:val="24"/>
        </w:rPr>
        <w:t>Date:</w:t>
      </w:r>
      <w:r w:rsidR="008B2EE4" w:rsidRPr="008B2EE4">
        <w:rPr>
          <w:rFonts w:ascii="Times New Roman" w:hAnsi="Times New Roman"/>
          <w:szCs w:val="24"/>
        </w:rPr>
        <w:tab/>
      </w:r>
      <w:r w:rsidR="008B2EE4" w:rsidRPr="008B2EE4">
        <w:rPr>
          <w:rFonts w:ascii="Times New Roman" w:hAnsi="Times New Roman"/>
          <w:szCs w:val="24"/>
        </w:rPr>
        <w:tab/>
      </w:r>
      <w:r w:rsidR="00DE654A">
        <w:rPr>
          <w:rFonts w:ascii="Times New Roman" w:hAnsi="Times New Roman"/>
          <w:szCs w:val="24"/>
        </w:rPr>
        <w:t>March 31, 2015</w:t>
      </w:r>
    </w:p>
    <w:p w:rsidR="00484F5A" w:rsidRPr="008B2EE4" w:rsidRDefault="00FF0518" w:rsidP="001602F1">
      <w:pPr>
        <w:tabs>
          <w:tab w:val="left" w:pos="2520"/>
          <w:tab w:val="right" w:pos="7920"/>
        </w:tabs>
        <w:ind w:left="1440"/>
        <w:rPr>
          <w:rFonts w:ascii="Times New Roman" w:hAnsi="Times New Roman"/>
          <w:szCs w:val="24"/>
        </w:rPr>
      </w:pPr>
      <w:r w:rsidRPr="008B2EE4">
        <w:rPr>
          <w:rFonts w:ascii="Times New Roman" w:hAnsi="Times New Roman"/>
          <w:szCs w:val="24"/>
        </w:rPr>
        <w:t>Amount:</w:t>
      </w:r>
      <w:r w:rsidR="008B2EE4" w:rsidRPr="008B2EE4">
        <w:rPr>
          <w:rFonts w:ascii="Times New Roman" w:hAnsi="Times New Roman"/>
          <w:szCs w:val="24"/>
        </w:rPr>
        <w:tab/>
      </w:r>
      <w:r w:rsidRPr="008B2EE4">
        <w:rPr>
          <w:rFonts w:ascii="Times New Roman" w:hAnsi="Times New Roman"/>
          <w:szCs w:val="24"/>
        </w:rPr>
        <w:tab/>
        <w:t>$</w:t>
      </w:r>
      <w:r w:rsidR="00DE654A">
        <w:rPr>
          <w:rFonts w:ascii="Times New Roman" w:hAnsi="Times New Roman"/>
          <w:szCs w:val="24"/>
        </w:rPr>
        <w:t>9,</w:t>
      </w:r>
      <w:r w:rsidR="00976CFF">
        <w:rPr>
          <w:rFonts w:ascii="Times New Roman" w:hAnsi="Times New Roman"/>
          <w:szCs w:val="24"/>
        </w:rPr>
        <w:t>563,202</w:t>
      </w:r>
    </w:p>
    <w:p w:rsidR="00FF0518" w:rsidRPr="008B2EE4" w:rsidRDefault="00FE28E9" w:rsidP="001602F1">
      <w:pPr>
        <w:tabs>
          <w:tab w:val="left" w:pos="2520"/>
          <w:tab w:val="right" w:pos="7920"/>
        </w:tabs>
        <w:ind w:left="1440"/>
        <w:rPr>
          <w:rFonts w:ascii="Times New Roman" w:hAnsi="Times New Roman"/>
          <w:szCs w:val="24"/>
        </w:rPr>
      </w:pPr>
      <w:r>
        <w:rPr>
          <w:rFonts w:ascii="Times New Roman" w:hAnsi="Times New Roman"/>
          <w:szCs w:val="24"/>
        </w:rPr>
        <w:t>Amount Realized in the Test P</w:t>
      </w:r>
      <w:r w:rsidR="00FF0518" w:rsidRPr="008B2EE4">
        <w:rPr>
          <w:rFonts w:ascii="Times New Roman" w:hAnsi="Times New Roman"/>
          <w:szCs w:val="24"/>
        </w:rPr>
        <w:t>eriod</w:t>
      </w:r>
      <w:r w:rsidR="00FF0518" w:rsidRPr="007716C8">
        <w:rPr>
          <w:rFonts w:ascii="Times New Roman" w:hAnsi="Times New Roman"/>
          <w:szCs w:val="24"/>
        </w:rPr>
        <w:t>:</w:t>
      </w:r>
      <w:r w:rsidR="008B2EE4" w:rsidRPr="007716C8">
        <w:rPr>
          <w:rFonts w:ascii="Times New Roman" w:hAnsi="Times New Roman"/>
          <w:szCs w:val="24"/>
        </w:rPr>
        <w:tab/>
      </w:r>
      <w:r w:rsidR="00FF0518" w:rsidRPr="007716C8">
        <w:rPr>
          <w:rFonts w:ascii="Times New Roman" w:hAnsi="Times New Roman"/>
          <w:szCs w:val="24"/>
        </w:rPr>
        <w:t>$</w:t>
      </w:r>
      <w:r w:rsidR="005D2380" w:rsidRPr="007716C8">
        <w:rPr>
          <w:rFonts w:ascii="Times New Roman" w:hAnsi="Times New Roman"/>
          <w:szCs w:val="24"/>
        </w:rPr>
        <w:t>2,41</w:t>
      </w:r>
      <w:r w:rsidR="00967926">
        <w:rPr>
          <w:rFonts w:ascii="Times New Roman" w:hAnsi="Times New Roman"/>
          <w:szCs w:val="24"/>
        </w:rPr>
        <w:t>0,451</w:t>
      </w:r>
    </w:p>
    <w:p w:rsidR="00FF0518" w:rsidRPr="008B2EE4" w:rsidRDefault="00FF0518" w:rsidP="00FF0518">
      <w:pPr>
        <w:tabs>
          <w:tab w:val="left" w:pos="900"/>
          <w:tab w:val="left" w:pos="1080"/>
          <w:tab w:val="left" w:pos="1260"/>
          <w:tab w:val="left" w:pos="2880"/>
        </w:tabs>
        <w:rPr>
          <w:rFonts w:ascii="Times New Roman" w:hAnsi="Times New Roman"/>
          <w:b/>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2)</w:t>
      </w:r>
      <w:r w:rsidRPr="008B2EE4">
        <w:rPr>
          <w:rFonts w:ascii="Times New Roman" w:hAnsi="Times New Roman"/>
          <w:b/>
          <w:szCs w:val="24"/>
        </w:rPr>
        <w:tab/>
        <w:t>Total revenues at present rates and at requested rates.</w:t>
      </w:r>
    </w:p>
    <w:p w:rsidR="00FF0518" w:rsidRPr="008B2EE4" w:rsidRDefault="00FF0518" w:rsidP="00FF0518">
      <w:pPr>
        <w:tabs>
          <w:tab w:val="left" w:pos="720"/>
          <w:tab w:val="left" w:pos="900"/>
          <w:tab w:val="left" w:pos="1080"/>
          <w:tab w:val="left" w:pos="1260"/>
        </w:tabs>
        <w:rPr>
          <w:rFonts w:ascii="Times New Roman" w:hAnsi="Times New Roman"/>
          <w:b/>
          <w:szCs w:val="24"/>
        </w:rPr>
      </w:pPr>
    </w:p>
    <w:p w:rsidR="00FF0518" w:rsidRPr="008B2EE4" w:rsidRDefault="00FF0518" w:rsidP="001602F1">
      <w:pPr>
        <w:tabs>
          <w:tab w:val="left" w:pos="2520"/>
          <w:tab w:val="right" w:pos="7920"/>
        </w:tabs>
        <w:ind w:left="1440"/>
        <w:rPr>
          <w:rFonts w:ascii="Times New Roman" w:hAnsi="Times New Roman"/>
          <w:szCs w:val="24"/>
        </w:rPr>
      </w:pPr>
      <w:r w:rsidRPr="008B2EE4">
        <w:rPr>
          <w:rFonts w:ascii="Times New Roman" w:hAnsi="Times New Roman"/>
          <w:szCs w:val="24"/>
        </w:rPr>
        <w:t>Present Rates</w:t>
      </w:r>
      <w:r w:rsidRPr="008B2EE4">
        <w:rPr>
          <w:rFonts w:ascii="Times New Roman" w:hAnsi="Times New Roman"/>
          <w:szCs w:val="24"/>
        </w:rPr>
        <w:tab/>
      </w:r>
      <w:r w:rsidRPr="00823766">
        <w:rPr>
          <w:rFonts w:ascii="Times New Roman" w:hAnsi="Times New Roman"/>
          <w:szCs w:val="24"/>
        </w:rPr>
        <w:t>$</w:t>
      </w:r>
      <w:r w:rsidR="00823766" w:rsidRPr="00823766">
        <w:rPr>
          <w:rFonts w:ascii="Times New Roman" w:hAnsi="Times New Roman"/>
          <w:szCs w:val="24"/>
        </w:rPr>
        <w:t>335</w:t>
      </w:r>
      <w:r w:rsidR="005D2380" w:rsidRPr="00823766">
        <w:rPr>
          <w:rFonts w:ascii="Times New Roman" w:hAnsi="Times New Roman"/>
          <w:szCs w:val="24"/>
        </w:rPr>
        <w:t>,</w:t>
      </w:r>
      <w:r w:rsidR="00823766">
        <w:rPr>
          <w:rFonts w:ascii="Times New Roman" w:hAnsi="Times New Roman"/>
          <w:szCs w:val="24"/>
        </w:rPr>
        <w:t>672</w:t>
      </w:r>
      <w:r w:rsidR="005D2380" w:rsidRPr="00823766">
        <w:rPr>
          <w:rFonts w:ascii="Times New Roman" w:hAnsi="Times New Roman"/>
          <w:szCs w:val="24"/>
        </w:rPr>
        <w:t>,</w:t>
      </w:r>
      <w:r w:rsidR="00823766">
        <w:rPr>
          <w:rFonts w:ascii="Times New Roman" w:hAnsi="Times New Roman"/>
          <w:szCs w:val="24"/>
        </w:rPr>
        <w:t>661</w:t>
      </w:r>
    </w:p>
    <w:p w:rsidR="00FF0518" w:rsidRDefault="00FF0518" w:rsidP="001602F1">
      <w:pPr>
        <w:tabs>
          <w:tab w:val="left" w:pos="2520"/>
          <w:tab w:val="right" w:pos="7920"/>
        </w:tabs>
        <w:ind w:left="1440"/>
        <w:rPr>
          <w:rFonts w:ascii="Times New Roman" w:hAnsi="Times New Roman"/>
          <w:szCs w:val="24"/>
        </w:rPr>
      </w:pPr>
      <w:r w:rsidRPr="008B2EE4">
        <w:rPr>
          <w:rFonts w:ascii="Times New Roman" w:hAnsi="Times New Roman"/>
          <w:szCs w:val="24"/>
        </w:rPr>
        <w:t>Requested Rates</w:t>
      </w:r>
      <w:r w:rsidR="00D60847">
        <w:rPr>
          <w:rFonts w:ascii="Times New Roman" w:hAnsi="Times New Roman"/>
          <w:szCs w:val="24"/>
        </w:rPr>
        <w:t xml:space="preserve"> (May 1, 2016</w:t>
      </w:r>
      <w:r w:rsidR="00432B50">
        <w:rPr>
          <w:rFonts w:ascii="Times New Roman" w:hAnsi="Times New Roman"/>
          <w:szCs w:val="24"/>
        </w:rPr>
        <w:t>–</w:t>
      </w:r>
      <w:r w:rsidR="00D60847">
        <w:rPr>
          <w:rFonts w:ascii="Times New Roman" w:hAnsi="Times New Roman"/>
          <w:szCs w:val="24"/>
        </w:rPr>
        <w:t>April 30, 2017)</w:t>
      </w:r>
      <w:r w:rsidRPr="008B2EE4">
        <w:rPr>
          <w:rFonts w:ascii="Times New Roman" w:hAnsi="Times New Roman"/>
          <w:szCs w:val="24"/>
        </w:rPr>
        <w:tab/>
      </w:r>
      <w:r w:rsidRPr="00823766">
        <w:rPr>
          <w:rFonts w:ascii="Times New Roman" w:hAnsi="Times New Roman"/>
          <w:szCs w:val="24"/>
        </w:rPr>
        <w:t>$</w:t>
      </w:r>
      <w:r w:rsidR="00823766">
        <w:rPr>
          <w:rFonts w:ascii="Times New Roman" w:hAnsi="Times New Roman"/>
          <w:szCs w:val="24"/>
        </w:rPr>
        <w:t>345</w:t>
      </w:r>
      <w:r w:rsidR="005D2380" w:rsidRPr="00823766">
        <w:rPr>
          <w:rFonts w:ascii="Times New Roman" w:hAnsi="Times New Roman"/>
          <w:szCs w:val="24"/>
        </w:rPr>
        <w:t>,</w:t>
      </w:r>
      <w:r w:rsidR="00823766">
        <w:rPr>
          <w:rFonts w:ascii="Times New Roman" w:hAnsi="Times New Roman"/>
          <w:szCs w:val="24"/>
        </w:rPr>
        <w:t>693</w:t>
      </w:r>
      <w:r w:rsidR="005D2380" w:rsidRPr="00823766">
        <w:rPr>
          <w:rFonts w:ascii="Times New Roman" w:hAnsi="Times New Roman"/>
          <w:szCs w:val="24"/>
        </w:rPr>
        <w:t>,</w:t>
      </w:r>
      <w:r w:rsidR="00823766">
        <w:rPr>
          <w:rFonts w:ascii="Times New Roman" w:hAnsi="Times New Roman"/>
          <w:szCs w:val="24"/>
        </w:rPr>
        <w:t>248</w:t>
      </w:r>
    </w:p>
    <w:p w:rsidR="00D60847" w:rsidRDefault="00D60847" w:rsidP="001602F1">
      <w:pPr>
        <w:tabs>
          <w:tab w:val="left" w:pos="2520"/>
          <w:tab w:val="right" w:pos="7920"/>
        </w:tabs>
        <w:ind w:left="1440"/>
        <w:rPr>
          <w:rFonts w:ascii="Times New Roman" w:hAnsi="Times New Roman"/>
          <w:szCs w:val="24"/>
        </w:rPr>
      </w:pPr>
      <w:r>
        <w:rPr>
          <w:rFonts w:ascii="Times New Roman" w:hAnsi="Times New Roman"/>
          <w:szCs w:val="24"/>
        </w:rPr>
        <w:t>Requested Rates (May 1, 2017</w:t>
      </w:r>
      <w:r w:rsidR="00432B50">
        <w:rPr>
          <w:rFonts w:ascii="Times New Roman" w:hAnsi="Times New Roman"/>
          <w:szCs w:val="24"/>
        </w:rPr>
        <w:t>–</w:t>
      </w:r>
      <w:r>
        <w:rPr>
          <w:rFonts w:ascii="Times New Roman" w:hAnsi="Times New Roman"/>
          <w:szCs w:val="24"/>
        </w:rPr>
        <w:t>April 30, 2018)</w:t>
      </w:r>
      <w:r w:rsidR="00823766">
        <w:rPr>
          <w:rFonts w:ascii="Times New Roman" w:hAnsi="Times New Roman"/>
          <w:szCs w:val="24"/>
        </w:rPr>
        <w:tab/>
        <w:t>$356,013,208</w:t>
      </w:r>
    </w:p>
    <w:p w:rsidR="00FF0518" w:rsidRDefault="005D2380" w:rsidP="00FF0518">
      <w:pPr>
        <w:tabs>
          <w:tab w:val="left" w:pos="1440"/>
          <w:tab w:val="decimal" w:pos="7200"/>
        </w:tabs>
        <w:rPr>
          <w:rFonts w:ascii="Times New Roman" w:hAnsi="Times New Roman"/>
          <w:sz w:val="18"/>
          <w:szCs w:val="24"/>
        </w:rPr>
      </w:pPr>
      <w:r>
        <w:rPr>
          <w:rFonts w:ascii="Times New Roman" w:hAnsi="Times New Roman"/>
          <w:szCs w:val="24"/>
        </w:rPr>
        <w:tab/>
      </w:r>
    </w:p>
    <w:p w:rsidR="00FF0518" w:rsidRDefault="00FF0518" w:rsidP="00D60847">
      <w:pPr>
        <w:ind w:left="720" w:hanging="720"/>
        <w:rPr>
          <w:rFonts w:ascii="Times New Roman" w:hAnsi="Times New Roman"/>
          <w:b/>
          <w:szCs w:val="24"/>
        </w:rPr>
      </w:pPr>
      <w:r w:rsidRPr="008B2EE4">
        <w:rPr>
          <w:rFonts w:ascii="Times New Roman" w:hAnsi="Times New Roman"/>
          <w:b/>
          <w:szCs w:val="24"/>
        </w:rPr>
        <w:t>3)</w:t>
      </w:r>
      <w:r w:rsidRPr="008B2EE4">
        <w:rPr>
          <w:rFonts w:ascii="Times New Roman" w:hAnsi="Times New Roman"/>
          <w:b/>
          <w:szCs w:val="24"/>
        </w:rPr>
        <w:tab/>
        <w:t>Requested revenue change in percentage, in total</w:t>
      </w:r>
      <w:r w:rsidR="005C40CB" w:rsidRPr="008B2EE4">
        <w:rPr>
          <w:rFonts w:ascii="Times New Roman" w:hAnsi="Times New Roman"/>
          <w:b/>
          <w:szCs w:val="24"/>
        </w:rPr>
        <w:t>,</w:t>
      </w:r>
      <w:r w:rsidRPr="008B2EE4">
        <w:rPr>
          <w:rFonts w:ascii="Times New Roman" w:hAnsi="Times New Roman"/>
          <w:b/>
          <w:szCs w:val="24"/>
        </w:rPr>
        <w:t xml:space="preserve"> and by major customer class</w:t>
      </w:r>
      <w:r w:rsidR="00AB33FF" w:rsidRPr="008B2EE4">
        <w:rPr>
          <w:rFonts w:ascii="Times New Roman" w:hAnsi="Times New Roman"/>
          <w:b/>
          <w:szCs w:val="24"/>
        </w:rPr>
        <w:t>.</w:t>
      </w:r>
      <w:r w:rsidR="00D60847">
        <w:rPr>
          <w:rFonts w:ascii="Times New Roman" w:hAnsi="Times New Roman"/>
          <w:b/>
          <w:szCs w:val="24"/>
        </w:rPr>
        <w:br/>
      </w:r>
      <w:r w:rsidRPr="008B2EE4">
        <w:rPr>
          <w:rFonts w:ascii="Times New Roman" w:hAnsi="Times New Roman"/>
          <w:b/>
          <w:szCs w:val="24"/>
        </w:rPr>
        <w:t xml:space="preserve"> </w:t>
      </w:r>
      <w:r w:rsidR="00D60847">
        <w:rPr>
          <w:rFonts w:ascii="Times New Roman" w:hAnsi="Times New Roman"/>
          <w:b/>
          <w:szCs w:val="24"/>
        </w:rPr>
        <w:tab/>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620"/>
        <w:gridCol w:w="1620"/>
      </w:tblGrid>
      <w:tr w:rsidR="00D60847" w:rsidRPr="00D60847" w:rsidTr="00D60847">
        <w:trPr>
          <w:trHeight w:val="378"/>
        </w:trPr>
        <w:tc>
          <w:tcPr>
            <w:tcW w:w="3870" w:type="dxa"/>
          </w:tcPr>
          <w:p w:rsidR="00D60847" w:rsidRPr="00D60847" w:rsidRDefault="00D60847" w:rsidP="00D60847">
            <w:pPr>
              <w:rPr>
                <w:rFonts w:ascii="Times New Roman" w:hAnsi="Times New Roman"/>
                <w:szCs w:val="24"/>
              </w:rPr>
            </w:pPr>
          </w:p>
        </w:tc>
        <w:tc>
          <w:tcPr>
            <w:tcW w:w="1620" w:type="dxa"/>
          </w:tcPr>
          <w:p w:rsidR="00D60847" w:rsidRPr="00D60847" w:rsidRDefault="00976CFF" w:rsidP="00D60847">
            <w:pPr>
              <w:jc w:val="center"/>
              <w:rPr>
                <w:rFonts w:ascii="Times New Roman" w:hAnsi="Times New Roman"/>
                <w:szCs w:val="24"/>
                <w:u w:val="single"/>
              </w:rPr>
            </w:pPr>
            <w:r>
              <w:rPr>
                <w:rFonts w:ascii="Times New Roman" w:hAnsi="Times New Roman"/>
                <w:szCs w:val="24"/>
                <w:u w:val="single"/>
              </w:rPr>
              <w:t xml:space="preserve">May </w:t>
            </w:r>
            <w:r w:rsidR="00D60847" w:rsidRPr="00D60847">
              <w:rPr>
                <w:rFonts w:ascii="Times New Roman" w:hAnsi="Times New Roman"/>
                <w:szCs w:val="24"/>
                <w:u w:val="single"/>
              </w:rPr>
              <w:t>2016</w:t>
            </w:r>
          </w:p>
        </w:tc>
        <w:tc>
          <w:tcPr>
            <w:tcW w:w="1620" w:type="dxa"/>
          </w:tcPr>
          <w:p w:rsidR="00D60847" w:rsidRPr="00D60847" w:rsidRDefault="00976CFF" w:rsidP="00D60847">
            <w:pPr>
              <w:jc w:val="center"/>
              <w:rPr>
                <w:rFonts w:ascii="Times New Roman" w:hAnsi="Times New Roman"/>
                <w:szCs w:val="24"/>
                <w:u w:val="single"/>
              </w:rPr>
            </w:pPr>
            <w:r>
              <w:rPr>
                <w:rFonts w:ascii="Times New Roman" w:hAnsi="Times New Roman"/>
                <w:szCs w:val="24"/>
                <w:u w:val="single"/>
              </w:rPr>
              <w:t xml:space="preserve">May </w:t>
            </w:r>
            <w:r w:rsidR="00D60847" w:rsidRPr="00D60847">
              <w:rPr>
                <w:rFonts w:ascii="Times New Roman" w:hAnsi="Times New Roman"/>
                <w:szCs w:val="24"/>
                <w:u w:val="single"/>
              </w:rPr>
              <w:t>2017</w:t>
            </w:r>
          </w:p>
        </w:tc>
      </w:tr>
      <w:tr w:rsidR="00D60847" w:rsidRPr="00D60847" w:rsidTr="00D60847">
        <w:tc>
          <w:tcPr>
            <w:tcW w:w="3870" w:type="dxa"/>
          </w:tcPr>
          <w:p w:rsidR="00D60847" w:rsidRPr="00D60847" w:rsidRDefault="00D60847" w:rsidP="00D60847">
            <w:pPr>
              <w:rPr>
                <w:rFonts w:ascii="Times New Roman" w:hAnsi="Times New Roman"/>
                <w:szCs w:val="24"/>
              </w:rPr>
            </w:pPr>
            <w:r>
              <w:rPr>
                <w:rFonts w:ascii="Times New Roman" w:hAnsi="Times New Roman"/>
                <w:szCs w:val="24"/>
              </w:rPr>
              <w:t>Residential</w:t>
            </w:r>
          </w:p>
        </w:tc>
        <w:tc>
          <w:tcPr>
            <w:tcW w:w="1620" w:type="dxa"/>
          </w:tcPr>
          <w:p w:rsidR="00D60847" w:rsidRDefault="00D60847" w:rsidP="00D60847">
            <w:pPr>
              <w:jc w:val="center"/>
            </w:pPr>
            <w:r w:rsidRPr="00A562D6">
              <w:rPr>
                <w:rFonts w:ascii="Times New Roman" w:hAnsi="Times New Roman"/>
                <w:szCs w:val="24"/>
              </w:rPr>
              <w:t>2.99%</w:t>
            </w:r>
          </w:p>
        </w:tc>
        <w:tc>
          <w:tcPr>
            <w:tcW w:w="1620" w:type="dxa"/>
          </w:tcPr>
          <w:p w:rsidR="00D60847" w:rsidRDefault="00D60847" w:rsidP="00D60847">
            <w:pPr>
              <w:jc w:val="center"/>
            </w:pPr>
            <w:r w:rsidRPr="00A562D6">
              <w:rPr>
                <w:rFonts w:ascii="Times New Roman" w:hAnsi="Times New Roman"/>
                <w:szCs w:val="24"/>
              </w:rPr>
              <w:t>2.99%</w:t>
            </w:r>
          </w:p>
        </w:tc>
      </w:tr>
      <w:tr w:rsidR="00D60847" w:rsidRPr="00D60847" w:rsidTr="00D60847">
        <w:tc>
          <w:tcPr>
            <w:tcW w:w="3870" w:type="dxa"/>
          </w:tcPr>
          <w:p w:rsidR="00D60847" w:rsidRDefault="00D60847" w:rsidP="00D60847">
            <w:pPr>
              <w:rPr>
                <w:rFonts w:ascii="Times New Roman" w:hAnsi="Times New Roman"/>
                <w:szCs w:val="24"/>
              </w:rPr>
            </w:pPr>
            <w:r>
              <w:rPr>
                <w:rFonts w:ascii="Times New Roman" w:hAnsi="Times New Roman"/>
                <w:szCs w:val="24"/>
              </w:rPr>
              <w:t>Commercial &amp; Industrial</w:t>
            </w:r>
          </w:p>
        </w:tc>
        <w:tc>
          <w:tcPr>
            <w:tcW w:w="1620" w:type="dxa"/>
          </w:tcPr>
          <w:p w:rsidR="00D60847" w:rsidRDefault="00D60847" w:rsidP="00D60847">
            <w:pPr>
              <w:jc w:val="center"/>
            </w:pPr>
            <w:r w:rsidRPr="00A562D6">
              <w:rPr>
                <w:rFonts w:ascii="Times New Roman" w:hAnsi="Times New Roman"/>
                <w:szCs w:val="24"/>
              </w:rPr>
              <w:t>2.99%</w:t>
            </w:r>
          </w:p>
        </w:tc>
        <w:tc>
          <w:tcPr>
            <w:tcW w:w="1620" w:type="dxa"/>
          </w:tcPr>
          <w:p w:rsidR="00D60847" w:rsidRDefault="00D60847" w:rsidP="00D60847">
            <w:pPr>
              <w:jc w:val="center"/>
            </w:pPr>
            <w:r w:rsidRPr="00A562D6">
              <w:rPr>
                <w:rFonts w:ascii="Times New Roman" w:hAnsi="Times New Roman"/>
                <w:szCs w:val="24"/>
              </w:rPr>
              <w:t>2.99%</w:t>
            </w:r>
          </w:p>
        </w:tc>
      </w:tr>
      <w:tr w:rsidR="00D60847" w:rsidRPr="00D60847" w:rsidTr="00967926">
        <w:trPr>
          <w:trHeight w:val="252"/>
        </w:trPr>
        <w:tc>
          <w:tcPr>
            <w:tcW w:w="3870" w:type="dxa"/>
            <w:tcBorders>
              <w:bottom w:val="single" w:sz="4" w:space="0" w:color="auto"/>
            </w:tcBorders>
          </w:tcPr>
          <w:p w:rsidR="00D60847" w:rsidRDefault="00D60847" w:rsidP="00D60847">
            <w:pPr>
              <w:rPr>
                <w:rFonts w:ascii="Times New Roman" w:hAnsi="Times New Roman"/>
                <w:szCs w:val="24"/>
              </w:rPr>
            </w:pPr>
            <w:r>
              <w:rPr>
                <w:rFonts w:ascii="Times New Roman" w:hAnsi="Times New Roman"/>
                <w:szCs w:val="24"/>
              </w:rPr>
              <w:t>Public Street Lighting</w:t>
            </w:r>
          </w:p>
        </w:tc>
        <w:tc>
          <w:tcPr>
            <w:tcW w:w="1620" w:type="dxa"/>
            <w:tcBorders>
              <w:bottom w:val="single" w:sz="4" w:space="0" w:color="auto"/>
            </w:tcBorders>
          </w:tcPr>
          <w:p w:rsidR="00D60847" w:rsidRDefault="00D60847" w:rsidP="00D60847">
            <w:pPr>
              <w:jc w:val="center"/>
            </w:pPr>
            <w:r w:rsidRPr="00A562D6">
              <w:rPr>
                <w:rFonts w:ascii="Times New Roman" w:hAnsi="Times New Roman"/>
                <w:szCs w:val="24"/>
              </w:rPr>
              <w:t>2.99%</w:t>
            </w:r>
          </w:p>
        </w:tc>
        <w:tc>
          <w:tcPr>
            <w:tcW w:w="1620" w:type="dxa"/>
            <w:tcBorders>
              <w:bottom w:val="single" w:sz="4" w:space="0" w:color="auto"/>
            </w:tcBorders>
          </w:tcPr>
          <w:p w:rsidR="00D60847" w:rsidRDefault="00D60847" w:rsidP="00D60847">
            <w:pPr>
              <w:jc w:val="center"/>
            </w:pPr>
            <w:r w:rsidRPr="00A562D6">
              <w:rPr>
                <w:rFonts w:ascii="Times New Roman" w:hAnsi="Times New Roman"/>
                <w:szCs w:val="24"/>
              </w:rPr>
              <w:t>2.99%</w:t>
            </w:r>
          </w:p>
        </w:tc>
      </w:tr>
      <w:tr w:rsidR="00D60847" w:rsidRPr="00D60847" w:rsidTr="00967926">
        <w:tc>
          <w:tcPr>
            <w:tcW w:w="3870" w:type="dxa"/>
            <w:tcBorders>
              <w:top w:val="single" w:sz="4" w:space="0" w:color="auto"/>
            </w:tcBorders>
          </w:tcPr>
          <w:p w:rsidR="00D60847" w:rsidRDefault="00D60847" w:rsidP="00D60847">
            <w:pPr>
              <w:rPr>
                <w:rFonts w:ascii="Times New Roman" w:hAnsi="Times New Roman"/>
                <w:szCs w:val="24"/>
              </w:rPr>
            </w:pPr>
            <w:r>
              <w:rPr>
                <w:rFonts w:ascii="Times New Roman" w:hAnsi="Times New Roman"/>
                <w:szCs w:val="24"/>
              </w:rPr>
              <w:t>Total</w:t>
            </w:r>
          </w:p>
        </w:tc>
        <w:tc>
          <w:tcPr>
            <w:tcW w:w="1620" w:type="dxa"/>
            <w:tcBorders>
              <w:top w:val="single" w:sz="4" w:space="0" w:color="auto"/>
            </w:tcBorders>
          </w:tcPr>
          <w:p w:rsidR="00D60847" w:rsidRDefault="00D60847" w:rsidP="00D60847">
            <w:pPr>
              <w:jc w:val="center"/>
            </w:pPr>
            <w:r w:rsidRPr="00A562D6">
              <w:rPr>
                <w:rFonts w:ascii="Times New Roman" w:hAnsi="Times New Roman"/>
                <w:szCs w:val="24"/>
              </w:rPr>
              <w:t>2.99%</w:t>
            </w:r>
          </w:p>
        </w:tc>
        <w:tc>
          <w:tcPr>
            <w:tcW w:w="1620" w:type="dxa"/>
            <w:tcBorders>
              <w:top w:val="single" w:sz="4" w:space="0" w:color="auto"/>
            </w:tcBorders>
          </w:tcPr>
          <w:p w:rsidR="00D60847" w:rsidRDefault="00D60847" w:rsidP="00D60847">
            <w:pPr>
              <w:jc w:val="center"/>
            </w:pPr>
            <w:r w:rsidRPr="00A562D6">
              <w:rPr>
                <w:rFonts w:ascii="Times New Roman" w:hAnsi="Times New Roman"/>
                <w:szCs w:val="24"/>
              </w:rPr>
              <w:t>2.99%</w:t>
            </w:r>
          </w:p>
        </w:tc>
      </w:tr>
    </w:tbl>
    <w:p w:rsidR="00D60847" w:rsidRDefault="00D60847" w:rsidP="00D60847">
      <w:pPr>
        <w:ind w:left="720" w:hanging="720"/>
        <w:rPr>
          <w:rFonts w:ascii="Times New Roman" w:hAnsi="Times New Roman"/>
          <w:b/>
          <w:szCs w:val="24"/>
        </w:rPr>
      </w:pPr>
    </w:p>
    <w:p w:rsidR="00FF0518" w:rsidRPr="008B2EE4" w:rsidRDefault="00FF0518" w:rsidP="00FF0518">
      <w:pPr>
        <w:tabs>
          <w:tab w:val="left" w:pos="900"/>
          <w:tab w:val="left" w:pos="1080"/>
          <w:tab w:val="left" w:pos="1260"/>
        </w:tabs>
        <w:ind w:left="720" w:hanging="720"/>
        <w:rPr>
          <w:rFonts w:ascii="Times New Roman" w:hAnsi="Times New Roman"/>
          <w:szCs w:val="24"/>
        </w:rPr>
      </w:pPr>
      <w:r w:rsidRPr="008B2EE4">
        <w:rPr>
          <w:rFonts w:ascii="Times New Roman" w:hAnsi="Times New Roman"/>
          <w:b/>
          <w:szCs w:val="24"/>
        </w:rPr>
        <w:t>4)</w:t>
      </w:r>
      <w:r w:rsidRPr="008B2EE4">
        <w:rPr>
          <w:rFonts w:ascii="Times New Roman" w:hAnsi="Times New Roman"/>
          <w:b/>
          <w:szCs w:val="24"/>
        </w:rPr>
        <w:tab/>
        <w:t>Requested revenue change in dollars, in total</w:t>
      </w:r>
      <w:r w:rsidR="005C40CB" w:rsidRPr="008B2EE4">
        <w:rPr>
          <w:rFonts w:ascii="Times New Roman" w:hAnsi="Times New Roman"/>
          <w:b/>
          <w:szCs w:val="24"/>
        </w:rPr>
        <w:t>,</w:t>
      </w:r>
      <w:r w:rsidRPr="008B2EE4">
        <w:rPr>
          <w:rFonts w:ascii="Times New Roman" w:hAnsi="Times New Roman"/>
          <w:b/>
          <w:szCs w:val="24"/>
        </w:rPr>
        <w:t xml:space="preserve"> and by major customer class</w:t>
      </w:r>
      <w:r w:rsidR="00AB33FF" w:rsidRPr="008B2EE4">
        <w:rPr>
          <w:rFonts w:ascii="Times New Roman" w:hAnsi="Times New Roman"/>
          <w:b/>
          <w:szCs w:val="24"/>
        </w:rPr>
        <w:t>.</w:t>
      </w:r>
    </w:p>
    <w:p w:rsidR="00FF0518" w:rsidRDefault="00FF0518" w:rsidP="00FF0518">
      <w:pPr>
        <w:tabs>
          <w:tab w:val="left" w:pos="720"/>
          <w:tab w:val="left" w:pos="900"/>
          <w:tab w:val="left" w:pos="1080"/>
          <w:tab w:val="left" w:pos="1260"/>
        </w:tabs>
        <w:rPr>
          <w:rFonts w:ascii="Times New Roman" w:hAnsi="Times New Roman"/>
          <w:szCs w:val="24"/>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620"/>
        <w:gridCol w:w="1620"/>
      </w:tblGrid>
      <w:tr w:rsidR="00D60847" w:rsidRPr="00D60847" w:rsidTr="00432B50">
        <w:trPr>
          <w:trHeight w:val="378"/>
        </w:trPr>
        <w:tc>
          <w:tcPr>
            <w:tcW w:w="3870" w:type="dxa"/>
          </w:tcPr>
          <w:p w:rsidR="00D60847" w:rsidRPr="00D60847" w:rsidRDefault="00D60847" w:rsidP="00432B50">
            <w:pPr>
              <w:rPr>
                <w:rFonts w:ascii="Times New Roman" w:hAnsi="Times New Roman"/>
                <w:szCs w:val="24"/>
              </w:rPr>
            </w:pPr>
          </w:p>
        </w:tc>
        <w:tc>
          <w:tcPr>
            <w:tcW w:w="1620" w:type="dxa"/>
          </w:tcPr>
          <w:p w:rsidR="00D60847" w:rsidRPr="00D60847" w:rsidRDefault="00976CFF" w:rsidP="00432B50">
            <w:pPr>
              <w:jc w:val="center"/>
              <w:rPr>
                <w:rFonts w:ascii="Times New Roman" w:hAnsi="Times New Roman"/>
                <w:szCs w:val="24"/>
                <w:u w:val="single"/>
              </w:rPr>
            </w:pPr>
            <w:r>
              <w:rPr>
                <w:rFonts w:ascii="Times New Roman" w:hAnsi="Times New Roman"/>
                <w:szCs w:val="24"/>
                <w:u w:val="single"/>
              </w:rPr>
              <w:t xml:space="preserve">May </w:t>
            </w:r>
            <w:r w:rsidR="00D60847" w:rsidRPr="00D60847">
              <w:rPr>
                <w:rFonts w:ascii="Times New Roman" w:hAnsi="Times New Roman"/>
                <w:szCs w:val="24"/>
                <w:u w:val="single"/>
              </w:rPr>
              <w:t>2016</w:t>
            </w:r>
          </w:p>
        </w:tc>
        <w:tc>
          <w:tcPr>
            <w:tcW w:w="1620" w:type="dxa"/>
          </w:tcPr>
          <w:p w:rsidR="00D60847" w:rsidRPr="00D60847" w:rsidRDefault="00976CFF" w:rsidP="00432B50">
            <w:pPr>
              <w:jc w:val="center"/>
              <w:rPr>
                <w:rFonts w:ascii="Times New Roman" w:hAnsi="Times New Roman"/>
                <w:szCs w:val="24"/>
                <w:u w:val="single"/>
              </w:rPr>
            </w:pPr>
            <w:r>
              <w:rPr>
                <w:rFonts w:ascii="Times New Roman" w:hAnsi="Times New Roman"/>
                <w:szCs w:val="24"/>
                <w:u w:val="single"/>
              </w:rPr>
              <w:t xml:space="preserve">May </w:t>
            </w:r>
            <w:r w:rsidR="00D60847" w:rsidRPr="00D60847">
              <w:rPr>
                <w:rFonts w:ascii="Times New Roman" w:hAnsi="Times New Roman"/>
                <w:szCs w:val="24"/>
                <w:u w:val="single"/>
              </w:rPr>
              <w:t>2017</w:t>
            </w:r>
          </w:p>
        </w:tc>
      </w:tr>
      <w:tr w:rsidR="00D60847" w:rsidRPr="00D60847" w:rsidTr="00432B50">
        <w:tc>
          <w:tcPr>
            <w:tcW w:w="3870" w:type="dxa"/>
          </w:tcPr>
          <w:p w:rsidR="00D60847" w:rsidRPr="00D60847" w:rsidRDefault="00D60847" w:rsidP="00432B50">
            <w:pPr>
              <w:rPr>
                <w:rFonts w:ascii="Times New Roman" w:hAnsi="Times New Roman"/>
                <w:szCs w:val="24"/>
              </w:rPr>
            </w:pPr>
            <w:r>
              <w:rPr>
                <w:rFonts w:ascii="Times New Roman" w:hAnsi="Times New Roman"/>
                <w:szCs w:val="24"/>
              </w:rPr>
              <w:t>Residential</w:t>
            </w:r>
          </w:p>
        </w:tc>
        <w:tc>
          <w:tcPr>
            <w:tcW w:w="1620" w:type="dxa"/>
          </w:tcPr>
          <w:p w:rsidR="00D60847" w:rsidRDefault="00002ADD" w:rsidP="00432B50">
            <w:pPr>
              <w:jc w:val="center"/>
            </w:pPr>
            <w:r>
              <w:t>$4,275,000</w:t>
            </w:r>
          </w:p>
        </w:tc>
        <w:tc>
          <w:tcPr>
            <w:tcW w:w="1620" w:type="dxa"/>
          </w:tcPr>
          <w:p w:rsidR="00D60847" w:rsidRDefault="00823766" w:rsidP="00432B50">
            <w:pPr>
              <w:jc w:val="center"/>
            </w:pPr>
            <w:r>
              <w:t>$4,401,000</w:t>
            </w:r>
          </w:p>
        </w:tc>
      </w:tr>
      <w:tr w:rsidR="00D60847" w:rsidRPr="00D60847" w:rsidTr="00432B50">
        <w:tc>
          <w:tcPr>
            <w:tcW w:w="3870" w:type="dxa"/>
          </w:tcPr>
          <w:p w:rsidR="00D60847" w:rsidRDefault="00D60847" w:rsidP="00432B50">
            <w:pPr>
              <w:rPr>
                <w:rFonts w:ascii="Times New Roman" w:hAnsi="Times New Roman"/>
                <w:szCs w:val="24"/>
              </w:rPr>
            </w:pPr>
            <w:r>
              <w:rPr>
                <w:rFonts w:ascii="Times New Roman" w:hAnsi="Times New Roman"/>
                <w:szCs w:val="24"/>
              </w:rPr>
              <w:t>Commercial &amp; Industrial</w:t>
            </w:r>
          </w:p>
        </w:tc>
        <w:tc>
          <w:tcPr>
            <w:tcW w:w="1620" w:type="dxa"/>
          </w:tcPr>
          <w:p w:rsidR="00D60847" w:rsidRDefault="00823766" w:rsidP="00432B50">
            <w:pPr>
              <w:jc w:val="center"/>
            </w:pPr>
            <w:r>
              <w:t>$5,691,000</w:t>
            </w:r>
          </w:p>
        </w:tc>
        <w:tc>
          <w:tcPr>
            <w:tcW w:w="1620" w:type="dxa"/>
          </w:tcPr>
          <w:p w:rsidR="00D60847" w:rsidRDefault="00823766" w:rsidP="00432B50">
            <w:pPr>
              <w:jc w:val="center"/>
            </w:pPr>
            <w:r>
              <w:t>$5,862,000</w:t>
            </w:r>
          </w:p>
        </w:tc>
      </w:tr>
      <w:tr w:rsidR="00D60847" w:rsidRPr="00D60847" w:rsidTr="00967926">
        <w:trPr>
          <w:trHeight w:val="288"/>
        </w:trPr>
        <w:tc>
          <w:tcPr>
            <w:tcW w:w="3870" w:type="dxa"/>
            <w:tcBorders>
              <w:bottom w:val="single" w:sz="4" w:space="0" w:color="auto"/>
            </w:tcBorders>
          </w:tcPr>
          <w:p w:rsidR="00D60847" w:rsidRDefault="00D60847" w:rsidP="00432B50">
            <w:pPr>
              <w:rPr>
                <w:rFonts w:ascii="Times New Roman" w:hAnsi="Times New Roman"/>
                <w:szCs w:val="24"/>
              </w:rPr>
            </w:pPr>
            <w:r>
              <w:rPr>
                <w:rFonts w:ascii="Times New Roman" w:hAnsi="Times New Roman"/>
                <w:szCs w:val="24"/>
              </w:rPr>
              <w:t>Public Street Lighting</w:t>
            </w:r>
          </w:p>
        </w:tc>
        <w:tc>
          <w:tcPr>
            <w:tcW w:w="1620" w:type="dxa"/>
            <w:tcBorders>
              <w:bottom w:val="single" w:sz="4" w:space="0" w:color="auto"/>
            </w:tcBorders>
          </w:tcPr>
          <w:p w:rsidR="00D60847" w:rsidRDefault="00823766" w:rsidP="00432B50">
            <w:pPr>
              <w:jc w:val="center"/>
            </w:pPr>
            <w:r>
              <w:t xml:space="preserve">     $54,000</w:t>
            </w:r>
          </w:p>
        </w:tc>
        <w:tc>
          <w:tcPr>
            <w:tcW w:w="1620" w:type="dxa"/>
            <w:tcBorders>
              <w:bottom w:val="single" w:sz="4" w:space="0" w:color="auto"/>
            </w:tcBorders>
          </w:tcPr>
          <w:p w:rsidR="00D60847" w:rsidRDefault="00823766" w:rsidP="00432B50">
            <w:pPr>
              <w:jc w:val="center"/>
            </w:pPr>
            <w:r>
              <w:t xml:space="preserve">     $56,000</w:t>
            </w:r>
          </w:p>
        </w:tc>
      </w:tr>
      <w:tr w:rsidR="00D60847" w:rsidRPr="00D60847" w:rsidTr="00967926">
        <w:tc>
          <w:tcPr>
            <w:tcW w:w="3870" w:type="dxa"/>
            <w:tcBorders>
              <w:top w:val="single" w:sz="4" w:space="0" w:color="auto"/>
            </w:tcBorders>
          </w:tcPr>
          <w:p w:rsidR="00D60847" w:rsidRDefault="00D60847" w:rsidP="00432B50">
            <w:pPr>
              <w:rPr>
                <w:rFonts w:ascii="Times New Roman" w:hAnsi="Times New Roman"/>
                <w:szCs w:val="24"/>
              </w:rPr>
            </w:pPr>
            <w:r>
              <w:rPr>
                <w:rFonts w:ascii="Times New Roman" w:hAnsi="Times New Roman"/>
                <w:szCs w:val="24"/>
              </w:rPr>
              <w:t>Total</w:t>
            </w:r>
          </w:p>
        </w:tc>
        <w:tc>
          <w:tcPr>
            <w:tcW w:w="1620" w:type="dxa"/>
            <w:tcBorders>
              <w:top w:val="single" w:sz="4" w:space="0" w:color="auto"/>
            </w:tcBorders>
          </w:tcPr>
          <w:p w:rsidR="00D60847" w:rsidRDefault="00823766" w:rsidP="00432B50">
            <w:pPr>
              <w:jc w:val="center"/>
            </w:pPr>
            <w:r>
              <w:t>$10,021,000</w:t>
            </w:r>
          </w:p>
        </w:tc>
        <w:tc>
          <w:tcPr>
            <w:tcW w:w="1620" w:type="dxa"/>
            <w:tcBorders>
              <w:top w:val="single" w:sz="4" w:space="0" w:color="auto"/>
            </w:tcBorders>
          </w:tcPr>
          <w:p w:rsidR="00D60847" w:rsidRDefault="00823766" w:rsidP="00432B50">
            <w:pPr>
              <w:jc w:val="center"/>
            </w:pPr>
            <w:r>
              <w:t>$10,320,000</w:t>
            </w:r>
          </w:p>
        </w:tc>
      </w:tr>
    </w:tbl>
    <w:p w:rsidR="00D60847" w:rsidRDefault="00D60847" w:rsidP="00FF0518">
      <w:pPr>
        <w:tabs>
          <w:tab w:val="left" w:pos="720"/>
          <w:tab w:val="left" w:pos="900"/>
          <w:tab w:val="left" w:pos="1080"/>
          <w:tab w:val="left" w:pos="1260"/>
        </w:tabs>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szCs w:val="24"/>
        </w:rPr>
      </w:pPr>
      <w:r w:rsidRPr="008B2EE4">
        <w:rPr>
          <w:rFonts w:ascii="Times New Roman" w:hAnsi="Times New Roman"/>
          <w:b/>
          <w:szCs w:val="24"/>
        </w:rPr>
        <w:t>5)</w:t>
      </w:r>
      <w:r w:rsidRPr="008B2EE4">
        <w:rPr>
          <w:rFonts w:ascii="Times New Roman" w:hAnsi="Times New Roman"/>
          <w:b/>
          <w:szCs w:val="24"/>
        </w:rPr>
        <w:tab/>
        <w:t>Requested rate change in dollars per month, per average residential customer.</w:t>
      </w:r>
    </w:p>
    <w:p w:rsidR="008B2EE4" w:rsidRDefault="008B2EE4" w:rsidP="00FF0518">
      <w:pPr>
        <w:tabs>
          <w:tab w:val="left" w:pos="1440"/>
        </w:tabs>
        <w:rPr>
          <w:rFonts w:ascii="Times New Roman" w:hAnsi="Times New Roman"/>
          <w:szCs w:val="24"/>
        </w:rPr>
      </w:pPr>
    </w:p>
    <w:p w:rsidR="00002ADD" w:rsidRDefault="00FF0518" w:rsidP="008B2EE4">
      <w:pPr>
        <w:tabs>
          <w:tab w:val="left" w:pos="1440"/>
        </w:tabs>
        <w:ind w:left="1440"/>
        <w:rPr>
          <w:rFonts w:ascii="Times New Roman" w:hAnsi="Times New Roman"/>
          <w:szCs w:val="24"/>
        </w:rPr>
      </w:pPr>
      <w:r w:rsidRPr="008B2EE4">
        <w:rPr>
          <w:rFonts w:ascii="Times New Roman" w:hAnsi="Times New Roman"/>
          <w:szCs w:val="24"/>
        </w:rPr>
        <w:t xml:space="preserve">Monthly impact at average usage of </w:t>
      </w:r>
      <w:r w:rsidR="00D60847">
        <w:rPr>
          <w:rFonts w:ascii="Times New Roman" w:hAnsi="Times New Roman"/>
          <w:szCs w:val="24"/>
        </w:rPr>
        <w:t>1,2</w:t>
      </w:r>
      <w:r w:rsidR="00F11B5E" w:rsidRPr="008B2EE4">
        <w:rPr>
          <w:rFonts w:ascii="Times New Roman" w:hAnsi="Times New Roman"/>
          <w:szCs w:val="24"/>
        </w:rPr>
        <w:t>00</w:t>
      </w:r>
      <w:r w:rsidR="008B2EE4" w:rsidRPr="008B2EE4">
        <w:rPr>
          <w:rFonts w:ascii="Times New Roman" w:hAnsi="Times New Roman"/>
          <w:szCs w:val="24"/>
        </w:rPr>
        <w:t xml:space="preserve"> </w:t>
      </w:r>
      <w:r w:rsidR="00976CFF">
        <w:rPr>
          <w:rFonts w:ascii="Times New Roman" w:hAnsi="Times New Roman"/>
          <w:szCs w:val="24"/>
        </w:rPr>
        <w:t>kilowatt-hours</w:t>
      </w:r>
      <w:r w:rsidR="008B2EE4" w:rsidRPr="008B2EE4">
        <w:rPr>
          <w:rFonts w:ascii="Times New Roman" w:hAnsi="Times New Roman"/>
          <w:szCs w:val="24"/>
        </w:rPr>
        <w:t xml:space="preserve"> per month</w:t>
      </w:r>
      <w:r w:rsidR="00002ADD">
        <w:rPr>
          <w:rFonts w:ascii="Times New Roman" w:hAnsi="Times New Roman"/>
          <w:szCs w:val="24"/>
        </w:rPr>
        <w:t>:</w:t>
      </w:r>
    </w:p>
    <w:p w:rsidR="00FE28E9" w:rsidRDefault="00FE28E9" w:rsidP="008B2EE4">
      <w:pPr>
        <w:tabs>
          <w:tab w:val="left" w:pos="1440"/>
        </w:tabs>
        <w:ind w:left="1440"/>
        <w:rPr>
          <w:rFonts w:ascii="Times New Roman" w:hAnsi="Times New Roman"/>
          <w:szCs w:val="24"/>
        </w:rPr>
      </w:pPr>
    </w:p>
    <w:p w:rsidR="00FE28E9" w:rsidRDefault="00002ADD" w:rsidP="00FE28E9">
      <w:pPr>
        <w:tabs>
          <w:tab w:val="right" w:pos="7920"/>
        </w:tabs>
        <w:ind w:left="1440"/>
        <w:rPr>
          <w:rFonts w:ascii="Times New Roman" w:hAnsi="Times New Roman"/>
          <w:szCs w:val="24"/>
        </w:rPr>
      </w:pPr>
      <w:r w:rsidRPr="00002ADD">
        <w:rPr>
          <w:rFonts w:ascii="Times New Roman" w:hAnsi="Times New Roman"/>
          <w:szCs w:val="24"/>
        </w:rPr>
        <w:t>Requested Rates (May 1, 2016</w:t>
      </w:r>
      <w:r w:rsidR="00432B50">
        <w:rPr>
          <w:rFonts w:ascii="Times New Roman" w:hAnsi="Times New Roman"/>
          <w:szCs w:val="24"/>
        </w:rPr>
        <w:t>–</w:t>
      </w:r>
      <w:r w:rsidRPr="00002ADD">
        <w:rPr>
          <w:rFonts w:ascii="Times New Roman" w:hAnsi="Times New Roman"/>
          <w:szCs w:val="24"/>
        </w:rPr>
        <w:t>April 30, 2017)</w:t>
      </w:r>
      <w:r w:rsidR="008B2EE4" w:rsidRPr="008B2EE4">
        <w:rPr>
          <w:rFonts w:ascii="Times New Roman" w:hAnsi="Times New Roman"/>
          <w:szCs w:val="24"/>
        </w:rPr>
        <w:t xml:space="preserve"> </w:t>
      </w:r>
      <w:r>
        <w:rPr>
          <w:rFonts w:ascii="Times New Roman" w:hAnsi="Times New Roman"/>
          <w:szCs w:val="24"/>
        </w:rPr>
        <w:tab/>
        <w:t>$3.24</w:t>
      </w:r>
    </w:p>
    <w:p w:rsidR="00002ADD" w:rsidRDefault="00002ADD" w:rsidP="00FE28E9">
      <w:pPr>
        <w:tabs>
          <w:tab w:val="right" w:pos="7920"/>
        </w:tabs>
        <w:ind w:left="1440"/>
        <w:rPr>
          <w:rFonts w:ascii="Times New Roman" w:hAnsi="Times New Roman"/>
          <w:szCs w:val="24"/>
        </w:rPr>
      </w:pPr>
      <w:r w:rsidRPr="00002ADD">
        <w:rPr>
          <w:rFonts w:ascii="Times New Roman" w:hAnsi="Times New Roman"/>
          <w:szCs w:val="24"/>
        </w:rPr>
        <w:t>Requested Rates (May 1, 2017</w:t>
      </w:r>
      <w:r w:rsidR="00432B50">
        <w:rPr>
          <w:rFonts w:ascii="Times New Roman" w:hAnsi="Times New Roman"/>
          <w:szCs w:val="24"/>
        </w:rPr>
        <w:t>–</w:t>
      </w:r>
      <w:r w:rsidRPr="00002ADD">
        <w:rPr>
          <w:rFonts w:ascii="Times New Roman" w:hAnsi="Times New Roman"/>
          <w:szCs w:val="24"/>
        </w:rPr>
        <w:t>April 30, 2018)</w:t>
      </w:r>
      <w:r>
        <w:rPr>
          <w:rFonts w:ascii="Times New Roman" w:hAnsi="Times New Roman"/>
          <w:szCs w:val="24"/>
        </w:rPr>
        <w:tab/>
        <w:t>$3.35</w:t>
      </w:r>
    </w:p>
    <w:p w:rsidR="001950C7" w:rsidRDefault="001950C7">
      <w:pPr>
        <w:rPr>
          <w:rFonts w:ascii="Times New Roman" w:hAnsi="Times New Roman"/>
          <w:szCs w:val="24"/>
        </w:rPr>
      </w:pPr>
    </w:p>
    <w:p w:rsidR="00002ADD" w:rsidRPr="008B2EE4" w:rsidRDefault="00002ADD">
      <w:pPr>
        <w:rPr>
          <w:rFonts w:ascii="Times New Roman" w:hAnsi="Times New Roman"/>
          <w:szCs w:val="24"/>
        </w:rPr>
      </w:pPr>
    </w:p>
    <w:p w:rsidR="00FF0518" w:rsidRPr="008B2EE4" w:rsidRDefault="00FF0518" w:rsidP="001C02CC">
      <w:pPr>
        <w:keepNext/>
        <w:tabs>
          <w:tab w:val="left" w:pos="900"/>
          <w:tab w:val="left" w:pos="1080"/>
          <w:tab w:val="left" w:pos="1260"/>
        </w:tabs>
        <w:rPr>
          <w:rFonts w:ascii="Times New Roman" w:hAnsi="Times New Roman"/>
          <w:b/>
          <w:szCs w:val="24"/>
        </w:rPr>
      </w:pPr>
      <w:r w:rsidRPr="008B2EE4">
        <w:rPr>
          <w:rFonts w:ascii="Times New Roman" w:hAnsi="Times New Roman"/>
          <w:b/>
          <w:szCs w:val="24"/>
        </w:rPr>
        <w:t>6)</w:t>
      </w:r>
      <w:r w:rsidRPr="008B2EE4">
        <w:rPr>
          <w:rFonts w:ascii="Times New Roman" w:hAnsi="Times New Roman"/>
          <w:b/>
          <w:szCs w:val="24"/>
        </w:rPr>
        <w:tab/>
        <w:t>Most current customer count by major customer class.</w:t>
      </w:r>
    </w:p>
    <w:p w:rsidR="00FF0518" w:rsidRPr="008B2EE4" w:rsidRDefault="00FF0518" w:rsidP="001C02CC">
      <w:pPr>
        <w:keepNext/>
        <w:tabs>
          <w:tab w:val="left" w:pos="900"/>
          <w:tab w:val="left" w:pos="1080"/>
          <w:tab w:val="left" w:pos="1260"/>
        </w:tabs>
        <w:rPr>
          <w:rFonts w:ascii="Times New Roman" w:hAnsi="Times New Roman"/>
          <w:b/>
          <w:szCs w:val="24"/>
        </w:rPr>
      </w:pPr>
    </w:p>
    <w:p w:rsidR="00FF0518" w:rsidRPr="00002ADD" w:rsidRDefault="00FF0518" w:rsidP="001602F1">
      <w:pPr>
        <w:tabs>
          <w:tab w:val="left" w:pos="2520"/>
          <w:tab w:val="right" w:pos="7920"/>
        </w:tabs>
        <w:ind w:left="1440"/>
        <w:rPr>
          <w:rFonts w:ascii="Times New Roman" w:hAnsi="Times New Roman"/>
          <w:szCs w:val="24"/>
        </w:rPr>
      </w:pPr>
      <w:r w:rsidRPr="00002ADD">
        <w:rPr>
          <w:rFonts w:ascii="Times New Roman" w:hAnsi="Times New Roman"/>
          <w:szCs w:val="24"/>
        </w:rPr>
        <w:t>Residential</w:t>
      </w:r>
      <w:r w:rsidRPr="00002ADD">
        <w:rPr>
          <w:rFonts w:ascii="Times New Roman" w:hAnsi="Times New Roman"/>
          <w:szCs w:val="24"/>
        </w:rPr>
        <w:tab/>
      </w:r>
      <w:r w:rsidR="001C02CC" w:rsidRPr="00002ADD">
        <w:rPr>
          <w:rFonts w:ascii="Times New Roman" w:hAnsi="Times New Roman"/>
          <w:szCs w:val="24"/>
        </w:rPr>
        <w:tab/>
      </w:r>
      <w:r w:rsidR="00033021" w:rsidRPr="00002ADD">
        <w:rPr>
          <w:rFonts w:ascii="Times New Roman" w:hAnsi="Times New Roman"/>
          <w:szCs w:val="24"/>
        </w:rPr>
        <w:t>10</w:t>
      </w:r>
      <w:r w:rsidR="00002ADD">
        <w:rPr>
          <w:rFonts w:ascii="Times New Roman" w:hAnsi="Times New Roman"/>
          <w:szCs w:val="24"/>
        </w:rPr>
        <w:t>5</w:t>
      </w:r>
      <w:r w:rsidR="00033021" w:rsidRPr="00002ADD">
        <w:rPr>
          <w:rFonts w:ascii="Times New Roman" w:hAnsi="Times New Roman"/>
          <w:szCs w:val="24"/>
        </w:rPr>
        <w:t>,</w:t>
      </w:r>
      <w:r w:rsidR="00002ADD">
        <w:rPr>
          <w:rFonts w:ascii="Times New Roman" w:hAnsi="Times New Roman"/>
          <w:szCs w:val="24"/>
        </w:rPr>
        <w:t>259</w:t>
      </w:r>
    </w:p>
    <w:p w:rsidR="00FF0518" w:rsidRPr="00002ADD" w:rsidRDefault="00FF0518" w:rsidP="001602F1">
      <w:pPr>
        <w:tabs>
          <w:tab w:val="left" w:pos="2520"/>
          <w:tab w:val="right" w:pos="7920"/>
        </w:tabs>
        <w:ind w:left="1440"/>
        <w:rPr>
          <w:rFonts w:ascii="Times New Roman" w:hAnsi="Times New Roman"/>
          <w:szCs w:val="24"/>
        </w:rPr>
      </w:pPr>
      <w:r w:rsidRPr="00002ADD">
        <w:rPr>
          <w:rFonts w:ascii="Times New Roman" w:hAnsi="Times New Roman"/>
          <w:szCs w:val="24"/>
        </w:rPr>
        <w:t>Commercial &amp; Industrial</w:t>
      </w:r>
      <w:r w:rsidRPr="00002ADD">
        <w:rPr>
          <w:rFonts w:ascii="Times New Roman" w:hAnsi="Times New Roman"/>
          <w:szCs w:val="24"/>
        </w:rPr>
        <w:tab/>
      </w:r>
      <w:r w:rsidR="00033021" w:rsidRPr="00002ADD">
        <w:rPr>
          <w:rFonts w:ascii="Times New Roman" w:hAnsi="Times New Roman"/>
          <w:szCs w:val="24"/>
        </w:rPr>
        <w:t>25,</w:t>
      </w:r>
      <w:r w:rsidR="00002ADD">
        <w:rPr>
          <w:rFonts w:ascii="Times New Roman" w:hAnsi="Times New Roman"/>
          <w:szCs w:val="24"/>
        </w:rPr>
        <w:t>453</w:t>
      </w:r>
    </w:p>
    <w:p w:rsidR="00FF0518" w:rsidRPr="00002ADD" w:rsidRDefault="00FF0518" w:rsidP="001602F1">
      <w:pPr>
        <w:tabs>
          <w:tab w:val="left" w:pos="2520"/>
          <w:tab w:val="right" w:pos="7920"/>
        </w:tabs>
        <w:spacing w:after="120"/>
        <w:ind w:left="1440"/>
        <w:rPr>
          <w:rFonts w:ascii="Times New Roman" w:hAnsi="Times New Roman"/>
          <w:szCs w:val="24"/>
        </w:rPr>
      </w:pPr>
      <w:r w:rsidRPr="00002ADD">
        <w:rPr>
          <w:rFonts w:ascii="Times New Roman" w:hAnsi="Times New Roman"/>
          <w:szCs w:val="24"/>
        </w:rPr>
        <w:t>Public Street Lighting</w:t>
      </w:r>
      <w:r w:rsidRPr="00002ADD">
        <w:rPr>
          <w:rFonts w:ascii="Times New Roman" w:hAnsi="Times New Roman"/>
          <w:szCs w:val="24"/>
        </w:rPr>
        <w:tab/>
      </w:r>
      <w:r w:rsidR="00EC6CD7" w:rsidRPr="00002ADD">
        <w:rPr>
          <w:rFonts w:ascii="Times New Roman" w:hAnsi="Times New Roman"/>
          <w:szCs w:val="24"/>
        </w:rPr>
        <w:t>2,</w:t>
      </w:r>
      <w:r w:rsidR="00002ADD">
        <w:rPr>
          <w:rFonts w:ascii="Times New Roman" w:hAnsi="Times New Roman"/>
          <w:szCs w:val="24"/>
        </w:rPr>
        <w:t>680</w:t>
      </w:r>
    </w:p>
    <w:p w:rsidR="00FF0518" w:rsidRPr="008B2EE4" w:rsidRDefault="00FF0518" w:rsidP="001602F1">
      <w:pPr>
        <w:tabs>
          <w:tab w:val="left" w:pos="2520"/>
          <w:tab w:val="right" w:pos="7920"/>
        </w:tabs>
        <w:ind w:left="1440"/>
        <w:rPr>
          <w:rFonts w:ascii="Times New Roman" w:hAnsi="Times New Roman"/>
          <w:szCs w:val="24"/>
        </w:rPr>
      </w:pPr>
      <w:r w:rsidRPr="00002ADD">
        <w:rPr>
          <w:rFonts w:ascii="Times New Roman" w:hAnsi="Times New Roman"/>
          <w:szCs w:val="24"/>
        </w:rPr>
        <w:t>Total</w:t>
      </w:r>
      <w:r w:rsidR="001C02CC" w:rsidRPr="00002ADD">
        <w:rPr>
          <w:rFonts w:ascii="Times New Roman" w:hAnsi="Times New Roman"/>
          <w:szCs w:val="24"/>
        </w:rPr>
        <w:tab/>
      </w:r>
      <w:r w:rsidRPr="00002ADD">
        <w:rPr>
          <w:rFonts w:ascii="Times New Roman" w:hAnsi="Times New Roman"/>
          <w:szCs w:val="24"/>
        </w:rPr>
        <w:tab/>
      </w:r>
      <w:r w:rsidR="00033021" w:rsidRPr="00002ADD">
        <w:rPr>
          <w:rFonts w:ascii="Times New Roman" w:hAnsi="Times New Roman"/>
          <w:szCs w:val="24"/>
        </w:rPr>
        <w:t>13</w:t>
      </w:r>
      <w:r w:rsidR="00002ADD">
        <w:rPr>
          <w:rFonts w:ascii="Times New Roman" w:hAnsi="Times New Roman"/>
          <w:szCs w:val="24"/>
        </w:rPr>
        <w:t>3</w:t>
      </w:r>
      <w:r w:rsidR="00033021" w:rsidRPr="00002ADD">
        <w:rPr>
          <w:rFonts w:ascii="Times New Roman" w:hAnsi="Times New Roman"/>
          <w:szCs w:val="24"/>
        </w:rPr>
        <w:t>,</w:t>
      </w:r>
      <w:r w:rsidR="00002ADD">
        <w:rPr>
          <w:rFonts w:ascii="Times New Roman" w:hAnsi="Times New Roman"/>
          <w:szCs w:val="24"/>
        </w:rPr>
        <w:t>392</w:t>
      </w:r>
    </w:p>
    <w:p w:rsidR="00FF0518" w:rsidRPr="008B2EE4" w:rsidRDefault="00FF0518" w:rsidP="00FF0518">
      <w:pPr>
        <w:tabs>
          <w:tab w:val="left" w:pos="900"/>
          <w:tab w:val="left" w:pos="1080"/>
          <w:tab w:val="left" w:pos="1260"/>
        </w:tabs>
        <w:rPr>
          <w:rFonts w:ascii="Times New Roman" w:hAnsi="Times New Roman"/>
          <w:szCs w:val="24"/>
        </w:rPr>
      </w:pPr>
    </w:p>
    <w:p w:rsidR="00FF0518" w:rsidRPr="008B2EE4" w:rsidRDefault="00FF0518" w:rsidP="001C02CC">
      <w:pPr>
        <w:tabs>
          <w:tab w:val="left" w:pos="1440"/>
        </w:tabs>
        <w:ind w:left="1440"/>
        <w:rPr>
          <w:rFonts w:ascii="Times New Roman" w:hAnsi="Times New Roman"/>
          <w:szCs w:val="24"/>
        </w:rPr>
      </w:pPr>
      <w:r w:rsidRPr="008B2EE4">
        <w:rPr>
          <w:rFonts w:ascii="Times New Roman" w:hAnsi="Times New Roman"/>
          <w:szCs w:val="24"/>
        </w:rPr>
        <w:t>Twelve</w:t>
      </w:r>
      <w:r w:rsidR="00D765AF" w:rsidRPr="008B2EE4">
        <w:rPr>
          <w:rFonts w:ascii="Times New Roman" w:hAnsi="Times New Roman"/>
          <w:szCs w:val="24"/>
        </w:rPr>
        <w:t>-</w:t>
      </w:r>
      <w:r w:rsidRPr="008B2EE4">
        <w:rPr>
          <w:rFonts w:ascii="Times New Roman" w:hAnsi="Times New Roman"/>
          <w:szCs w:val="24"/>
        </w:rPr>
        <w:t xml:space="preserve">months ended </w:t>
      </w:r>
      <w:r w:rsidR="00002ADD">
        <w:rPr>
          <w:rFonts w:ascii="Times New Roman" w:hAnsi="Times New Roman"/>
          <w:szCs w:val="24"/>
        </w:rPr>
        <w:t xml:space="preserve">June 30, </w:t>
      </w:r>
      <w:r w:rsidR="00002ADD" w:rsidRPr="00002ADD">
        <w:rPr>
          <w:rFonts w:ascii="Times New Roman" w:hAnsi="Times New Roman"/>
          <w:szCs w:val="24"/>
        </w:rPr>
        <w:t>2015</w:t>
      </w:r>
      <w:r w:rsidRPr="00002ADD">
        <w:rPr>
          <w:rFonts w:ascii="Times New Roman" w:hAnsi="Times New Roman"/>
          <w:szCs w:val="24"/>
        </w:rPr>
        <w:t>.</w:t>
      </w:r>
    </w:p>
    <w:p w:rsidR="00FF0518" w:rsidRPr="00200863" w:rsidRDefault="00FF0518" w:rsidP="00FF0518">
      <w:pPr>
        <w:tabs>
          <w:tab w:val="left" w:pos="900"/>
          <w:tab w:val="left" w:pos="1080"/>
          <w:tab w:val="left" w:pos="1260"/>
        </w:tabs>
        <w:rPr>
          <w:rFonts w:ascii="Times New Roman" w:hAnsi="Times New Roman"/>
          <w:szCs w:val="24"/>
        </w:rPr>
      </w:pPr>
    </w:p>
    <w:p w:rsidR="00FF0518" w:rsidRPr="00200863" w:rsidRDefault="00FF0518" w:rsidP="00FF0518">
      <w:pPr>
        <w:tabs>
          <w:tab w:val="left" w:pos="900"/>
          <w:tab w:val="left" w:pos="1080"/>
          <w:tab w:val="left" w:pos="1260"/>
        </w:tabs>
        <w:ind w:left="720" w:hanging="720"/>
        <w:rPr>
          <w:rFonts w:ascii="Times New Roman" w:hAnsi="Times New Roman"/>
          <w:b/>
          <w:szCs w:val="24"/>
        </w:rPr>
      </w:pPr>
      <w:r w:rsidRPr="00200863">
        <w:rPr>
          <w:rFonts w:ascii="Times New Roman" w:hAnsi="Times New Roman"/>
          <w:b/>
          <w:szCs w:val="24"/>
        </w:rPr>
        <w:t>7)</w:t>
      </w:r>
      <w:r w:rsidRPr="00200863">
        <w:rPr>
          <w:rFonts w:ascii="Times New Roman" w:hAnsi="Times New Roman"/>
          <w:b/>
          <w:szCs w:val="24"/>
        </w:rPr>
        <w:tab/>
        <w:t>Current authorized overall rate of return and authorized rate of return on common equity.</w:t>
      </w:r>
    </w:p>
    <w:p w:rsidR="00FF0518" w:rsidRPr="00200863" w:rsidRDefault="00FF0518" w:rsidP="00FF0518">
      <w:pPr>
        <w:tabs>
          <w:tab w:val="left" w:pos="900"/>
          <w:tab w:val="left" w:pos="1080"/>
          <w:tab w:val="left" w:pos="1260"/>
        </w:tabs>
        <w:ind w:left="720" w:hanging="720"/>
        <w:rPr>
          <w:rFonts w:ascii="Times New Roman" w:hAnsi="Times New Roman"/>
          <w:b/>
          <w:szCs w:val="24"/>
        </w:rPr>
      </w:pPr>
    </w:p>
    <w:p w:rsidR="00FF0518" w:rsidRPr="00200863" w:rsidRDefault="00FF0518" w:rsidP="001602F1">
      <w:pPr>
        <w:tabs>
          <w:tab w:val="left" w:pos="2520"/>
          <w:tab w:val="right" w:pos="7920"/>
        </w:tabs>
        <w:ind w:left="1440"/>
        <w:rPr>
          <w:rFonts w:ascii="Times New Roman" w:hAnsi="Times New Roman"/>
          <w:szCs w:val="24"/>
        </w:rPr>
      </w:pPr>
      <w:r w:rsidRPr="00200863">
        <w:rPr>
          <w:rFonts w:ascii="Times New Roman" w:hAnsi="Times New Roman"/>
          <w:szCs w:val="24"/>
        </w:rPr>
        <w:t>Overall rate of return</w:t>
      </w:r>
      <w:r w:rsidR="003C122E" w:rsidRPr="00200863">
        <w:rPr>
          <w:rFonts w:ascii="Times New Roman" w:hAnsi="Times New Roman"/>
          <w:szCs w:val="24"/>
        </w:rPr>
        <w:t xml:space="preserve"> </w:t>
      </w:r>
      <w:r w:rsidRPr="00200863">
        <w:rPr>
          <w:rFonts w:ascii="Times New Roman" w:hAnsi="Times New Roman"/>
          <w:szCs w:val="24"/>
        </w:rPr>
        <w:tab/>
      </w:r>
      <w:r w:rsidR="00E7637C" w:rsidRPr="00200863">
        <w:rPr>
          <w:rFonts w:ascii="Times New Roman" w:hAnsi="Times New Roman"/>
          <w:szCs w:val="24"/>
        </w:rPr>
        <w:t>7.30</w:t>
      </w:r>
      <w:r w:rsidRPr="00200863">
        <w:rPr>
          <w:rFonts w:ascii="Times New Roman" w:hAnsi="Times New Roman"/>
          <w:szCs w:val="24"/>
        </w:rPr>
        <w:t>%</w:t>
      </w:r>
    </w:p>
    <w:p w:rsidR="006B5104" w:rsidRPr="00200863" w:rsidRDefault="00FF0518" w:rsidP="001602F1">
      <w:pPr>
        <w:tabs>
          <w:tab w:val="left" w:pos="2520"/>
          <w:tab w:val="right" w:pos="7920"/>
        </w:tabs>
        <w:ind w:left="1440"/>
        <w:rPr>
          <w:rFonts w:ascii="Times New Roman" w:hAnsi="Times New Roman"/>
          <w:szCs w:val="24"/>
        </w:rPr>
      </w:pPr>
      <w:r w:rsidRPr="00200863">
        <w:rPr>
          <w:rFonts w:ascii="Times New Roman" w:hAnsi="Times New Roman"/>
          <w:szCs w:val="24"/>
        </w:rPr>
        <w:t>Rate of return on common equity</w:t>
      </w:r>
      <w:r w:rsidR="006B5104" w:rsidRPr="00200863">
        <w:rPr>
          <w:rFonts w:ascii="Times New Roman" w:hAnsi="Times New Roman"/>
          <w:szCs w:val="24"/>
        </w:rPr>
        <w:t xml:space="preserve"> </w:t>
      </w:r>
      <w:r w:rsidRPr="00200863">
        <w:rPr>
          <w:rFonts w:ascii="Times New Roman" w:hAnsi="Times New Roman"/>
          <w:szCs w:val="24"/>
        </w:rPr>
        <w:tab/>
      </w:r>
      <w:r w:rsidR="007F0B62" w:rsidRPr="00200863">
        <w:rPr>
          <w:rFonts w:ascii="Times New Roman" w:hAnsi="Times New Roman"/>
          <w:szCs w:val="24"/>
        </w:rPr>
        <w:t>9.</w:t>
      </w:r>
      <w:r w:rsidR="00E84BF7" w:rsidRPr="00200863">
        <w:rPr>
          <w:rFonts w:ascii="Times New Roman" w:hAnsi="Times New Roman"/>
          <w:szCs w:val="24"/>
        </w:rPr>
        <w:t>5</w:t>
      </w:r>
      <w:r w:rsidRPr="00200863">
        <w:rPr>
          <w:rFonts w:ascii="Times New Roman" w:hAnsi="Times New Roman"/>
          <w:szCs w:val="24"/>
        </w:rPr>
        <w:t>%</w:t>
      </w:r>
    </w:p>
    <w:p w:rsidR="006B5104" w:rsidRPr="00200863" w:rsidRDefault="006B5104" w:rsidP="001C02CC">
      <w:pPr>
        <w:tabs>
          <w:tab w:val="left" w:pos="2520"/>
          <w:tab w:val="right" w:pos="7560"/>
        </w:tabs>
        <w:rPr>
          <w:rFonts w:ascii="Times New Roman" w:hAnsi="Times New Roman"/>
          <w:szCs w:val="24"/>
        </w:rPr>
      </w:pPr>
    </w:p>
    <w:p w:rsidR="00FF0518" w:rsidRPr="00200863" w:rsidRDefault="00FF0518" w:rsidP="00E1243A">
      <w:pPr>
        <w:tabs>
          <w:tab w:val="left" w:pos="900"/>
          <w:tab w:val="left" w:pos="1080"/>
          <w:tab w:val="left" w:pos="1260"/>
        </w:tabs>
        <w:ind w:left="720" w:hanging="720"/>
        <w:rPr>
          <w:rFonts w:ascii="Times New Roman" w:hAnsi="Times New Roman"/>
          <w:b/>
          <w:szCs w:val="24"/>
        </w:rPr>
      </w:pPr>
      <w:r w:rsidRPr="00200863">
        <w:rPr>
          <w:rFonts w:ascii="Times New Roman" w:hAnsi="Times New Roman"/>
          <w:b/>
          <w:szCs w:val="24"/>
        </w:rPr>
        <w:t>8)</w:t>
      </w:r>
      <w:r w:rsidRPr="00200863">
        <w:rPr>
          <w:rFonts w:ascii="Times New Roman" w:hAnsi="Times New Roman"/>
          <w:b/>
          <w:szCs w:val="24"/>
        </w:rPr>
        <w:tab/>
        <w:t>Requested overall rate of return and requested rate of return on common equity, and the method or methods used to calculate rate of return on common equity.</w:t>
      </w:r>
    </w:p>
    <w:p w:rsidR="00FF0518" w:rsidRPr="00200863" w:rsidRDefault="00FF0518" w:rsidP="00FF0518">
      <w:pPr>
        <w:tabs>
          <w:tab w:val="left" w:pos="900"/>
          <w:tab w:val="left" w:pos="1080"/>
          <w:tab w:val="left" w:pos="1260"/>
        </w:tabs>
        <w:ind w:left="720" w:hanging="720"/>
        <w:rPr>
          <w:rFonts w:ascii="Times New Roman" w:hAnsi="Times New Roman"/>
          <w:b/>
          <w:szCs w:val="24"/>
        </w:rPr>
      </w:pPr>
    </w:p>
    <w:p w:rsidR="00FF0518" w:rsidRPr="00200863" w:rsidRDefault="00FF0518" w:rsidP="001602F1">
      <w:pPr>
        <w:tabs>
          <w:tab w:val="left" w:pos="2520"/>
          <w:tab w:val="right" w:pos="7920"/>
        </w:tabs>
        <w:ind w:left="1440"/>
        <w:rPr>
          <w:rFonts w:ascii="Times New Roman" w:hAnsi="Times New Roman"/>
          <w:szCs w:val="24"/>
        </w:rPr>
      </w:pPr>
      <w:r w:rsidRPr="00200863">
        <w:rPr>
          <w:rFonts w:ascii="Times New Roman" w:hAnsi="Times New Roman"/>
          <w:szCs w:val="24"/>
        </w:rPr>
        <w:t>Overall rate of return</w:t>
      </w:r>
      <w:r w:rsidRPr="00200863">
        <w:rPr>
          <w:rFonts w:ascii="Times New Roman" w:hAnsi="Times New Roman"/>
          <w:szCs w:val="24"/>
        </w:rPr>
        <w:tab/>
      </w:r>
      <w:r w:rsidR="00976CFF">
        <w:rPr>
          <w:rFonts w:ascii="Times New Roman" w:hAnsi="Times New Roman"/>
          <w:szCs w:val="24"/>
        </w:rPr>
        <w:t>No change requested</w:t>
      </w:r>
    </w:p>
    <w:p w:rsidR="00FF0518" w:rsidRPr="00200863" w:rsidRDefault="00FF0518" w:rsidP="001602F1">
      <w:pPr>
        <w:tabs>
          <w:tab w:val="left" w:pos="2520"/>
          <w:tab w:val="right" w:pos="7920"/>
        </w:tabs>
        <w:ind w:left="1440"/>
        <w:rPr>
          <w:rFonts w:ascii="Times New Roman" w:hAnsi="Times New Roman"/>
          <w:szCs w:val="24"/>
        </w:rPr>
      </w:pPr>
      <w:r w:rsidRPr="00200863">
        <w:rPr>
          <w:rFonts w:ascii="Times New Roman" w:hAnsi="Times New Roman"/>
          <w:szCs w:val="24"/>
        </w:rPr>
        <w:t>Rate of return on common equity</w:t>
      </w:r>
      <w:r w:rsidRPr="00200863">
        <w:rPr>
          <w:rFonts w:ascii="Times New Roman" w:hAnsi="Times New Roman"/>
          <w:szCs w:val="24"/>
        </w:rPr>
        <w:tab/>
      </w:r>
      <w:r w:rsidR="00976CFF">
        <w:rPr>
          <w:rFonts w:ascii="Times New Roman" w:hAnsi="Times New Roman"/>
          <w:szCs w:val="24"/>
        </w:rPr>
        <w:t>No change requested</w:t>
      </w:r>
    </w:p>
    <w:p w:rsidR="00FF0518" w:rsidRPr="00200863" w:rsidRDefault="00FF0518" w:rsidP="001C02CC">
      <w:pPr>
        <w:tabs>
          <w:tab w:val="left" w:pos="1440"/>
        </w:tabs>
        <w:rPr>
          <w:rFonts w:ascii="Times New Roman" w:hAnsi="Times New Roman"/>
          <w:szCs w:val="24"/>
        </w:rPr>
      </w:pPr>
    </w:p>
    <w:p w:rsidR="00FF0518" w:rsidRPr="00200863" w:rsidRDefault="00FF0518" w:rsidP="00FF0518">
      <w:pPr>
        <w:tabs>
          <w:tab w:val="left" w:pos="900"/>
          <w:tab w:val="left" w:pos="1080"/>
          <w:tab w:val="left" w:pos="1260"/>
        </w:tabs>
        <w:ind w:left="720" w:hanging="720"/>
        <w:rPr>
          <w:rFonts w:ascii="Times New Roman" w:hAnsi="Times New Roman"/>
          <w:b/>
          <w:szCs w:val="24"/>
        </w:rPr>
      </w:pPr>
      <w:r w:rsidRPr="00200863">
        <w:rPr>
          <w:rFonts w:ascii="Times New Roman" w:hAnsi="Times New Roman"/>
          <w:b/>
          <w:szCs w:val="24"/>
        </w:rPr>
        <w:t>9)</w:t>
      </w:r>
      <w:r w:rsidRPr="00200863">
        <w:rPr>
          <w:rFonts w:ascii="Times New Roman" w:hAnsi="Times New Roman"/>
          <w:b/>
          <w:szCs w:val="24"/>
        </w:rPr>
        <w:tab/>
        <w:t>Requested capital structure.</w:t>
      </w:r>
    </w:p>
    <w:p w:rsidR="001C02CC" w:rsidRPr="00200863" w:rsidRDefault="001C02CC" w:rsidP="00FF0518">
      <w:pPr>
        <w:tabs>
          <w:tab w:val="left" w:pos="900"/>
          <w:tab w:val="left" w:pos="1080"/>
          <w:tab w:val="left" w:pos="1260"/>
        </w:tabs>
        <w:ind w:left="720" w:hanging="720"/>
        <w:rPr>
          <w:rFonts w:ascii="Times New Roman" w:hAnsi="Times New Roman"/>
          <w:szCs w:val="24"/>
        </w:rPr>
      </w:pPr>
    </w:p>
    <w:p w:rsidR="001C02CC" w:rsidRPr="00200863" w:rsidRDefault="001C02CC" w:rsidP="001602F1">
      <w:pPr>
        <w:tabs>
          <w:tab w:val="left" w:pos="2520"/>
          <w:tab w:val="right" w:pos="7920"/>
        </w:tabs>
        <w:ind w:left="1440"/>
        <w:rPr>
          <w:rFonts w:ascii="Times New Roman" w:hAnsi="Times New Roman"/>
          <w:szCs w:val="24"/>
        </w:rPr>
      </w:pPr>
      <w:r w:rsidRPr="00200863">
        <w:rPr>
          <w:rFonts w:ascii="Times New Roman" w:hAnsi="Times New Roman"/>
          <w:szCs w:val="24"/>
        </w:rPr>
        <w:t>Short-Term Debt</w:t>
      </w:r>
      <w:r w:rsidRPr="00200863">
        <w:rPr>
          <w:rFonts w:ascii="Times New Roman" w:hAnsi="Times New Roman"/>
          <w:szCs w:val="24"/>
        </w:rPr>
        <w:tab/>
      </w:r>
      <w:r w:rsidR="00976CFF">
        <w:rPr>
          <w:rFonts w:ascii="Times New Roman" w:hAnsi="Times New Roman"/>
          <w:szCs w:val="24"/>
        </w:rPr>
        <w:t>No change requested</w:t>
      </w:r>
    </w:p>
    <w:p w:rsidR="001C02CC" w:rsidRPr="00200863" w:rsidRDefault="001C02CC" w:rsidP="001602F1">
      <w:pPr>
        <w:tabs>
          <w:tab w:val="left" w:pos="2520"/>
          <w:tab w:val="right" w:pos="7920"/>
        </w:tabs>
        <w:ind w:left="1440"/>
        <w:rPr>
          <w:rFonts w:ascii="Times New Roman" w:hAnsi="Times New Roman"/>
          <w:szCs w:val="24"/>
        </w:rPr>
      </w:pPr>
      <w:r w:rsidRPr="00200863">
        <w:rPr>
          <w:rFonts w:ascii="Times New Roman" w:hAnsi="Times New Roman"/>
          <w:szCs w:val="24"/>
        </w:rPr>
        <w:t>Long-Term Debt</w:t>
      </w:r>
      <w:r w:rsidRPr="00200863">
        <w:rPr>
          <w:rFonts w:ascii="Times New Roman" w:hAnsi="Times New Roman"/>
          <w:szCs w:val="24"/>
        </w:rPr>
        <w:tab/>
      </w:r>
      <w:r w:rsidR="00976CFF">
        <w:rPr>
          <w:rFonts w:ascii="Times New Roman" w:hAnsi="Times New Roman"/>
          <w:szCs w:val="24"/>
        </w:rPr>
        <w:t>No change requested</w:t>
      </w:r>
    </w:p>
    <w:p w:rsidR="001C02CC" w:rsidRPr="00200863" w:rsidRDefault="001C02CC" w:rsidP="001602F1">
      <w:pPr>
        <w:tabs>
          <w:tab w:val="left" w:pos="2520"/>
          <w:tab w:val="right" w:pos="7920"/>
        </w:tabs>
        <w:ind w:left="1440"/>
        <w:rPr>
          <w:rFonts w:ascii="Times New Roman" w:hAnsi="Times New Roman"/>
          <w:szCs w:val="24"/>
        </w:rPr>
      </w:pPr>
      <w:r w:rsidRPr="00200863">
        <w:rPr>
          <w:rFonts w:ascii="Times New Roman" w:hAnsi="Times New Roman"/>
          <w:szCs w:val="24"/>
        </w:rPr>
        <w:t>Preferred Stock</w:t>
      </w:r>
      <w:r w:rsidRPr="00200863">
        <w:rPr>
          <w:rFonts w:ascii="Times New Roman" w:hAnsi="Times New Roman"/>
          <w:szCs w:val="24"/>
        </w:rPr>
        <w:tab/>
      </w:r>
      <w:r w:rsidR="00976CFF">
        <w:rPr>
          <w:rFonts w:ascii="Times New Roman" w:hAnsi="Times New Roman"/>
          <w:szCs w:val="24"/>
        </w:rPr>
        <w:t>No change requested</w:t>
      </w:r>
    </w:p>
    <w:p w:rsidR="001C02CC" w:rsidRPr="00200863" w:rsidRDefault="001C02CC" w:rsidP="001602F1">
      <w:pPr>
        <w:tabs>
          <w:tab w:val="left" w:pos="2520"/>
          <w:tab w:val="right" w:pos="7920"/>
        </w:tabs>
        <w:ind w:left="1440"/>
        <w:rPr>
          <w:rFonts w:ascii="Times New Roman" w:hAnsi="Times New Roman"/>
          <w:szCs w:val="24"/>
        </w:rPr>
      </w:pPr>
      <w:r w:rsidRPr="00200863">
        <w:rPr>
          <w:rFonts w:ascii="Times New Roman" w:hAnsi="Times New Roman"/>
          <w:szCs w:val="24"/>
        </w:rPr>
        <w:t>Common Equity Stock</w:t>
      </w:r>
      <w:r w:rsidRPr="00200863">
        <w:rPr>
          <w:rFonts w:ascii="Times New Roman" w:hAnsi="Times New Roman"/>
          <w:szCs w:val="24"/>
        </w:rPr>
        <w:tab/>
      </w:r>
      <w:r w:rsidR="00976CFF">
        <w:rPr>
          <w:rFonts w:ascii="Times New Roman" w:hAnsi="Times New Roman"/>
          <w:szCs w:val="24"/>
        </w:rPr>
        <w:t>No change requested</w:t>
      </w:r>
    </w:p>
    <w:p w:rsidR="00FF0518" w:rsidRPr="00200863" w:rsidRDefault="00FF0518" w:rsidP="00FF0518">
      <w:pPr>
        <w:tabs>
          <w:tab w:val="left" w:pos="900"/>
          <w:tab w:val="left" w:pos="1080"/>
          <w:tab w:val="left" w:pos="1260"/>
        </w:tabs>
        <w:ind w:left="720" w:hanging="720"/>
        <w:rPr>
          <w:rFonts w:ascii="Times New Roman" w:hAnsi="Times New Roman"/>
          <w:szCs w:val="24"/>
        </w:rPr>
      </w:pPr>
    </w:p>
    <w:p w:rsidR="00FF0518" w:rsidRPr="00200863" w:rsidRDefault="00FF0518" w:rsidP="00FF0518">
      <w:pPr>
        <w:tabs>
          <w:tab w:val="left" w:pos="900"/>
          <w:tab w:val="left" w:pos="1080"/>
          <w:tab w:val="left" w:pos="1260"/>
        </w:tabs>
        <w:ind w:left="720" w:hanging="720"/>
        <w:rPr>
          <w:rFonts w:ascii="Times New Roman" w:hAnsi="Times New Roman"/>
          <w:b/>
          <w:szCs w:val="24"/>
        </w:rPr>
      </w:pPr>
      <w:r w:rsidRPr="00200863">
        <w:rPr>
          <w:rFonts w:ascii="Times New Roman" w:hAnsi="Times New Roman"/>
          <w:b/>
          <w:szCs w:val="24"/>
        </w:rPr>
        <w:t>10)</w:t>
      </w:r>
      <w:r w:rsidRPr="00200863">
        <w:rPr>
          <w:rFonts w:ascii="Times New Roman" w:hAnsi="Times New Roman"/>
          <w:b/>
          <w:szCs w:val="24"/>
        </w:rPr>
        <w:tab/>
        <w:t>Requested total net operating income.</w:t>
      </w:r>
    </w:p>
    <w:p w:rsidR="00FF0518" w:rsidRPr="00200863" w:rsidRDefault="00FF0518" w:rsidP="00FF0518">
      <w:pPr>
        <w:tabs>
          <w:tab w:val="left" w:pos="900"/>
          <w:tab w:val="left" w:pos="1080"/>
          <w:tab w:val="left" w:pos="1260"/>
        </w:tabs>
        <w:ind w:left="720" w:hanging="720"/>
        <w:rPr>
          <w:rFonts w:ascii="Times New Roman" w:hAnsi="Times New Roman"/>
          <w:b/>
          <w:szCs w:val="24"/>
        </w:rPr>
      </w:pPr>
    </w:p>
    <w:p w:rsidR="00FF0518" w:rsidRPr="00200863" w:rsidRDefault="00FF0518" w:rsidP="001602F1">
      <w:pPr>
        <w:tabs>
          <w:tab w:val="left" w:pos="2520"/>
          <w:tab w:val="right" w:pos="7920"/>
        </w:tabs>
        <w:ind w:left="1440"/>
        <w:rPr>
          <w:rFonts w:ascii="Times New Roman" w:hAnsi="Times New Roman"/>
          <w:szCs w:val="24"/>
        </w:rPr>
      </w:pPr>
      <w:r w:rsidRPr="00200863">
        <w:rPr>
          <w:rFonts w:ascii="Times New Roman" w:hAnsi="Times New Roman"/>
          <w:szCs w:val="24"/>
        </w:rPr>
        <w:t>Net operating income:</w:t>
      </w:r>
      <w:r w:rsidRPr="00200863">
        <w:rPr>
          <w:rFonts w:ascii="Times New Roman" w:hAnsi="Times New Roman"/>
          <w:szCs w:val="24"/>
        </w:rPr>
        <w:tab/>
      </w:r>
      <w:r w:rsidR="005E5E9C" w:rsidRPr="00200863">
        <w:rPr>
          <w:rFonts w:ascii="Times New Roman" w:hAnsi="Times New Roman"/>
          <w:szCs w:val="24"/>
        </w:rPr>
        <w:t>$</w:t>
      </w:r>
      <w:r w:rsidR="005D2380" w:rsidRPr="00200863">
        <w:rPr>
          <w:rFonts w:ascii="Times New Roman" w:hAnsi="Times New Roman"/>
          <w:szCs w:val="24"/>
        </w:rPr>
        <w:t>61,140,297</w:t>
      </w:r>
    </w:p>
    <w:p w:rsidR="00A37A89" w:rsidRPr="00200863" w:rsidRDefault="00A37A89" w:rsidP="00FF0518">
      <w:pPr>
        <w:tabs>
          <w:tab w:val="left" w:pos="900"/>
          <w:tab w:val="left" w:pos="1080"/>
          <w:tab w:val="left" w:pos="1260"/>
        </w:tabs>
        <w:ind w:left="720" w:hanging="720"/>
        <w:rPr>
          <w:rFonts w:ascii="Times New Roman" w:hAnsi="Times New Roman"/>
          <w:b/>
          <w:szCs w:val="24"/>
        </w:rPr>
      </w:pPr>
    </w:p>
    <w:p w:rsidR="00FF0518" w:rsidRPr="00200863" w:rsidRDefault="00FF0518" w:rsidP="00FF0518">
      <w:pPr>
        <w:tabs>
          <w:tab w:val="left" w:pos="900"/>
          <w:tab w:val="left" w:pos="1080"/>
          <w:tab w:val="left" w:pos="1260"/>
        </w:tabs>
        <w:ind w:left="720" w:hanging="720"/>
        <w:rPr>
          <w:rFonts w:ascii="Times New Roman" w:hAnsi="Times New Roman"/>
          <w:b/>
          <w:szCs w:val="24"/>
        </w:rPr>
      </w:pPr>
      <w:r w:rsidRPr="00200863">
        <w:rPr>
          <w:rFonts w:ascii="Times New Roman" w:hAnsi="Times New Roman"/>
          <w:b/>
          <w:szCs w:val="24"/>
        </w:rPr>
        <w:t>11)</w:t>
      </w:r>
      <w:r w:rsidRPr="00200863">
        <w:rPr>
          <w:rFonts w:ascii="Times New Roman" w:hAnsi="Times New Roman"/>
          <w:b/>
          <w:szCs w:val="24"/>
        </w:rPr>
        <w:tab/>
        <w:t>Requested total rate base and method of calculation, or equivalent.</w:t>
      </w:r>
    </w:p>
    <w:p w:rsidR="00FF0518" w:rsidRPr="00200863" w:rsidRDefault="00FF0518" w:rsidP="00FF0518">
      <w:pPr>
        <w:tabs>
          <w:tab w:val="left" w:pos="900"/>
          <w:tab w:val="left" w:pos="1080"/>
          <w:tab w:val="left" w:pos="1260"/>
        </w:tabs>
        <w:ind w:left="720" w:hanging="720"/>
        <w:rPr>
          <w:rFonts w:ascii="Times New Roman" w:hAnsi="Times New Roman"/>
          <w:b/>
          <w:szCs w:val="24"/>
        </w:rPr>
      </w:pPr>
    </w:p>
    <w:p w:rsidR="00FF0518" w:rsidRPr="00200863" w:rsidRDefault="00FF0518" w:rsidP="001602F1">
      <w:pPr>
        <w:tabs>
          <w:tab w:val="left" w:pos="2520"/>
          <w:tab w:val="right" w:pos="7920"/>
        </w:tabs>
        <w:ind w:left="1440"/>
        <w:rPr>
          <w:rFonts w:ascii="Times New Roman" w:hAnsi="Times New Roman"/>
          <w:szCs w:val="24"/>
        </w:rPr>
      </w:pPr>
      <w:r w:rsidRPr="00200863">
        <w:rPr>
          <w:rFonts w:ascii="Times New Roman" w:hAnsi="Times New Roman"/>
          <w:szCs w:val="24"/>
        </w:rPr>
        <w:t>Rate base</w:t>
      </w:r>
      <w:r w:rsidR="001349ED" w:rsidRPr="00200863">
        <w:rPr>
          <w:rFonts w:ascii="Times New Roman" w:hAnsi="Times New Roman"/>
          <w:szCs w:val="24"/>
        </w:rPr>
        <w:t xml:space="preserve"> (May 1, 2016)</w:t>
      </w:r>
      <w:r w:rsidRPr="00200863">
        <w:rPr>
          <w:rFonts w:ascii="Times New Roman" w:hAnsi="Times New Roman"/>
          <w:szCs w:val="24"/>
        </w:rPr>
        <w:t>:</w:t>
      </w:r>
      <w:r w:rsidR="001C02CC" w:rsidRPr="00200863">
        <w:rPr>
          <w:rFonts w:ascii="Times New Roman" w:hAnsi="Times New Roman"/>
          <w:szCs w:val="24"/>
        </w:rPr>
        <w:tab/>
      </w:r>
      <w:r w:rsidRPr="00200863">
        <w:rPr>
          <w:rFonts w:ascii="Times New Roman" w:hAnsi="Times New Roman"/>
          <w:szCs w:val="24"/>
        </w:rPr>
        <w:t>$</w:t>
      </w:r>
      <w:r w:rsidR="005D2380" w:rsidRPr="00200863">
        <w:rPr>
          <w:rFonts w:ascii="Times New Roman" w:hAnsi="Times New Roman"/>
          <w:szCs w:val="24"/>
        </w:rPr>
        <w:t>83</w:t>
      </w:r>
      <w:r w:rsidR="00967926">
        <w:rPr>
          <w:rFonts w:ascii="Times New Roman" w:hAnsi="Times New Roman"/>
          <w:szCs w:val="24"/>
        </w:rPr>
        <w:t>8,124,164</w:t>
      </w:r>
    </w:p>
    <w:p w:rsidR="001349ED" w:rsidRPr="00200863" w:rsidRDefault="00967926" w:rsidP="001349ED">
      <w:pPr>
        <w:tabs>
          <w:tab w:val="left" w:pos="2520"/>
          <w:tab w:val="right" w:pos="7920"/>
        </w:tabs>
        <w:ind w:left="1440"/>
        <w:rPr>
          <w:rFonts w:ascii="Times New Roman" w:hAnsi="Times New Roman"/>
          <w:szCs w:val="24"/>
        </w:rPr>
      </w:pPr>
      <w:r>
        <w:rPr>
          <w:rFonts w:ascii="Times New Roman" w:hAnsi="Times New Roman"/>
          <w:szCs w:val="24"/>
        </w:rPr>
        <w:t xml:space="preserve">Incremental </w:t>
      </w:r>
      <w:r w:rsidR="001349ED" w:rsidRPr="00200863">
        <w:rPr>
          <w:rFonts w:ascii="Times New Roman" w:hAnsi="Times New Roman"/>
          <w:szCs w:val="24"/>
        </w:rPr>
        <w:t>Rate base (May 1, 2017):</w:t>
      </w:r>
      <w:r w:rsidR="001349ED" w:rsidRPr="00200863">
        <w:rPr>
          <w:rFonts w:ascii="Times New Roman" w:hAnsi="Times New Roman"/>
          <w:szCs w:val="24"/>
        </w:rPr>
        <w:tab/>
      </w:r>
      <w:r w:rsidR="00DD2283" w:rsidRPr="00200863">
        <w:rPr>
          <w:rFonts w:ascii="Times New Roman" w:hAnsi="Times New Roman"/>
          <w:szCs w:val="24"/>
        </w:rPr>
        <w:t>$</w:t>
      </w:r>
      <w:r>
        <w:rPr>
          <w:rFonts w:ascii="Times New Roman" w:hAnsi="Times New Roman"/>
          <w:szCs w:val="24"/>
        </w:rPr>
        <w:t>36,028,776</w:t>
      </w:r>
    </w:p>
    <w:p w:rsidR="00FF0518" w:rsidRPr="00200863" w:rsidRDefault="00FF0518" w:rsidP="00FF0518">
      <w:pPr>
        <w:tabs>
          <w:tab w:val="left" w:pos="1440"/>
          <w:tab w:val="decimal" w:pos="7200"/>
        </w:tabs>
        <w:ind w:left="720" w:hanging="720"/>
        <w:rPr>
          <w:rFonts w:ascii="Times New Roman" w:hAnsi="Times New Roman"/>
          <w:szCs w:val="24"/>
        </w:rPr>
      </w:pPr>
    </w:p>
    <w:p w:rsidR="00FF0518" w:rsidRPr="00200863" w:rsidRDefault="00FF0518" w:rsidP="001C02CC">
      <w:pPr>
        <w:tabs>
          <w:tab w:val="left" w:pos="1440"/>
          <w:tab w:val="decimal" w:pos="7200"/>
        </w:tabs>
        <w:ind w:left="1440"/>
        <w:rPr>
          <w:rFonts w:ascii="Times New Roman" w:hAnsi="Times New Roman"/>
          <w:szCs w:val="24"/>
        </w:rPr>
      </w:pPr>
      <w:r w:rsidRPr="00200863">
        <w:rPr>
          <w:rFonts w:ascii="Times New Roman" w:hAnsi="Times New Roman"/>
          <w:szCs w:val="24"/>
        </w:rPr>
        <w:t>Method</w:t>
      </w:r>
      <w:r w:rsidR="0092040B" w:rsidRPr="00200863">
        <w:rPr>
          <w:rFonts w:ascii="Times New Roman" w:hAnsi="Times New Roman"/>
          <w:szCs w:val="24"/>
        </w:rPr>
        <w:t>(s)</w:t>
      </w:r>
      <w:r w:rsidRPr="00200863">
        <w:rPr>
          <w:rFonts w:ascii="Times New Roman" w:hAnsi="Times New Roman"/>
          <w:szCs w:val="24"/>
        </w:rPr>
        <w:t xml:space="preserve"> of calculation:</w:t>
      </w:r>
      <w:r w:rsidR="001D7265" w:rsidRPr="00200863">
        <w:rPr>
          <w:rFonts w:ascii="Times New Roman" w:hAnsi="Times New Roman"/>
          <w:szCs w:val="24"/>
        </w:rPr>
        <w:t xml:space="preserve">  </w:t>
      </w:r>
      <w:r w:rsidR="008B4B9E" w:rsidRPr="00200863">
        <w:rPr>
          <w:rFonts w:ascii="Times New Roman" w:hAnsi="Times New Roman"/>
          <w:szCs w:val="24"/>
        </w:rPr>
        <w:t>Historical</w:t>
      </w:r>
      <w:r w:rsidR="0092040B" w:rsidRPr="00200863">
        <w:rPr>
          <w:rFonts w:ascii="Times New Roman" w:hAnsi="Times New Roman"/>
          <w:szCs w:val="24"/>
        </w:rPr>
        <w:t xml:space="preserve"> electric</w:t>
      </w:r>
      <w:r w:rsidR="001C02CC" w:rsidRPr="00200863">
        <w:rPr>
          <w:rFonts w:ascii="Times New Roman" w:hAnsi="Times New Roman"/>
          <w:szCs w:val="24"/>
        </w:rPr>
        <w:t>-</w:t>
      </w:r>
      <w:r w:rsidR="0092040B" w:rsidRPr="00200863">
        <w:rPr>
          <w:rFonts w:ascii="Times New Roman" w:hAnsi="Times New Roman"/>
          <w:szCs w:val="24"/>
        </w:rPr>
        <w:t>plant</w:t>
      </w:r>
      <w:r w:rsidR="001C02CC" w:rsidRPr="00200863">
        <w:rPr>
          <w:rFonts w:ascii="Times New Roman" w:hAnsi="Times New Roman"/>
          <w:szCs w:val="24"/>
        </w:rPr>
        <w:t>-in-</w:t>
      </w:r>
      <w:r w:rsidR="0092040B" w:rsidRPr="00200863">
        <w:rPr>
          <w:rFonts w:ascii="Times New Roman" w:hAnsi="Times New Roman"/>
          <w:szCs w:val="24"/>
        </w:rPr>
        <w:t>service balances and associated accumulated deferred income tax balances are reflected using the end</w:t>
      </w:r>
      <w:r w:rsidR="001C02CC" w:rsidRPr="00200863">
        <w:rPr>
          <w:rFonts w:ascii="Times New Roman" w:hAnsi="Times New Roman"/>
          <w:szCs w:val="24"/>
        </w:rPr>
        <w:t>-</w:t>
      </w:r>
      <w:r w:rsidR="0092040B" w:rsidRPr="00200863">
        <w:rPr>
          <w:rFonts w:ascii="Times New Roman" w:hAnsi="Times New Roman"/>
          <w:szCs w:val="24"/>
        </w:rPr>
        <w:t>of</w:t>
      </w:r>
      <w:r w:rsidR="001C02CC" w:rsidRPr="00200863">
        <w:rPr>
          <w:rFonts w:ascii="Times New Roman" w:hAnsi="Times New Roman"/>
          <w:szCs w:val="24"/>
        </w:rPr>
        <w:t>-</w:t>
      </w:r>
      <w:r w:rsidR="0092040B" w:rsidRPr="00200863">
        <w:rPr>
          <w:rFonts w:ascii="Times New Roman" w:hAnsi="Times New Roman"/>
          <w:szCs w:val="24"/>
        </w:rPr>
        <w:t xml:space="preserve">period method.  </w:t>
      </w:r>
      <w:r w:rsidR="008B4B9E" w:rsidRPr="00200863">
        <w:rPr>
          <w:rFonts w:ascii="Times New Roman" w:hAnsi="Times New Roman"/>
          <w:szCs w:val="24"/>
        </w:rPr>
        <w:t>Pro forma electric-plant-in-service and associated accumulated deferred income tax balances are reflected using average-of-monthly-average</w:t>
      </w:r>
      <w:r w:rsidR="00976CFF">
        <w:rPr>
          <w:rFonts w:ascii="Times New Roman" w:hAnsi="Times New Roman"/>
          <w:szCs w:val="24"/>
        </w:rPr>
        <w:t>s</w:t>
      </w:r>
      <w:r w:rsidR="008B4B9E" w:rsidRPr="00200863">
        <w:rPr>
          <w:rFonts w:ascii="Times New Roman" w:hAnsi="Times New Roman"/>
          <w:szCs w:val="24"/>
        </w:rPr>
        <w:t xml:space="preserve"> method.  </w:t>
      </w:r>
    </w:p>
    <w:p w:rsidR="001349ED" w:rsidRPr="008B2EE4" w:rsidRDefault="001349ED" w:rsidP="001349ED">
      <w:pPr>
        <w:tabs>
          <w:tab w:val="left" w:pos="1440"/>
          <w:tab w:val="decimal" w:pos="7200"/>
        </w:tabs>
        <w:rPr>
          <w:rFonts w:ascii="Times New Roman" w:hAnsi="Times New Roman"/>
          <w:szCs w:val="24"/>
        </w:rPr>
      </w:pPr>
    </w:p>
    <w:p w:rsidR="00967926" w:rsidRDefault="00967926">
      <w:pPr>
        <w:rPr>
          <w:rFonts w:ascii="Times New Roman" w:hAnsi="Times New Roman"/>
          <w:b/>
          <w:szCs w:val="24"/>
        </w:rPr>
      </w:pPr>
      <w:r>
        <w:rPr>
          <w:rFonts w:ascii="Times New Roman" w:hAnsi="Times New Roman"/>
          <w:b/>
          <w:szCs w:val="24"/>
        </w:rPr>
        <w:br w:type="page"/>
      </w: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12)</w:t>
      </w:r>
      <w:r w:rsidRPr="008B2EE4">
        <w:rPr>
          <w:rFonts w:ascii="Times New Roman" w:hAnsi="Times New Roman"/>
          <w:b/>
          <w:szCs w:val="24"/>
        </w:rPr>
        <w:tab/>
        <w:t>Requested revenue effect of attrition allowance, if any requested.</w:t>
      </w:r>
    </w:p>
    <w:p w:rsidR="00B8665F" w:rsidRPr="008B2EE4" w:rsidRDefault="00B8665F" w:rsidP="00783D8C">
      <w:pPr>
        <w:tabs>
          <w:tab w:val="left" w:pos="1440"/>
        </w:tabs>
        <w:ind w:left="720" w:hanging="720"/>
        <w:rPr>
          <w:rFonts w:ascii="Times New Roman" w:hAnsi="Times New Roman"/>
          <w:b/>
          <w:szCs w:val="24"/>
        </w:rPr>
      </w:pPr>
    </w:p>
    <w:p w:rsidR="00327371" w:rsidRPr="008B2EE4" w:rsidRDefault="002249A3" w:rsidP="001C02CC">
      <w:pPr>
        <w:ind w:left="1440"/>
        <w:rPr>
          <w:rFonts w:ascii="Times New Roman" w:hAnsi="Times New Roman"/>
          <w:szCs w:val="24"/>
        </w:rPr>
      </w:pPr>
      <w:r>
        <w:rPr>
          <w:rFonts w:ascii="Times New Roman" w:hAnsi="Times New Roman"/>
          <w:szCs w:val="24"/>
        </w:rPr>
        <w:t>Pacific Power’s</w:t>
      </w:r>
      <w:r w:rsidR="00E272C9">
        <w:rPr>
          <w:rFonts w:ascii="Times New Roman" w:hAnsi="Times New Roman"/>
          <w:szCs w:val="24"/>
        </w:rPr>
        <w:t xml:space="preserve"> long-term trend of earnings attrition is the impetus</w:t>
      </w:r>
      <w:r>
        <w:rPr>
          <w:rFonts w:ascii="Times New Roman" w:hAnsi="Times New Roman"/>
          <w:szCs w:val="24"/>
        </w:rPr>
        <w:t xml:space="preserve"> for its petition for an </w:t>
      </w:r>
      <w:r w:rsidR="00E272C9">
        <w:rPr>
          <w:rFonts w:ascii="Times New Roman" w:hAnsi="Times New Roman"/>
          <w:szCs w:val="24"/>
        </w:rPr>
        <w:t>expedited rate filing</w:t>
      </w:r>
      <w:r>
        <w:rPr>
          <w:rFonts w:ascii="Times New Roman" w:hAnsi="Times New Roman"/>
          <w:szCs w:val="24"/>
        </w:rPr>
        <w:t xml:space="preserve"> (ERF) a</w:t>
      </w:r>
      <w:r w:rsidR="00E272C9">
        <w:rPr>
          <w:rFonts w:ascii="Times New Roman" w:hAnsi="Times New Roman"/>
          <w:szCs w:val="24"/>
        </w:rPr>
        <w:t>nd two-year rate plan</w:t>
      </w:r>
      <w:r>
        <w:rPr>
          <w:rFonts w:ascii="Times New Roman" w:hAnsi="Times New Roman"/>
          <w:szCs w:val="24"/>
        </w:rPr>
        <w:t xml:space="preserve"> and supports both the overall rate increases requested and certain components of the petition (</w:t>
      </w:r>
      <w:r w:rsidRPr="002249A3">
        <w:rPr>
          <w:rFonts w:ascii="Times New Roman" w:hAnsi="Times New Roman"/>
          <w:i/>
          <w:szCs w:val="24"/>
        </w:rPr>
        <w:t>e.g.</w:t>
      </w:r>
      <w:r w:rsidR="00976CFF">
        <w:rPr>
          <w:rFonts w:ascii="Times New Roman" w:hAnsi="Times New Roman"/>
          <w:szCs w:val="24"/>
        </w:rPr>
        <w:t>, use of end-of-</w:t>
      </w:r>
      <w:r>
        <w:rPr>
          <w:rFonts w:ascii="Times New Roman" w:hAnsi="Times New Roman"/>
          <w:szCs w:val="24"/>
        </w:rPr>
        <w:t xml:space="preserve">period plant balances).  </w:t>
      </w:r>
      <w:r w:rsidR="00E272C9">
        <w:rPr>
          <w:rFonts w:ascii="Times New Roman" w:hAnsi="Times New Roman"/>
          <w:szCs w:val="24"/>
        </w:rPr>
        <w:t xml:space="preserve">The revenue impact of the ERF rate change </w:t>
      </w:r>
      <w:r>
        <w:rPr>
          <w:rFonts w:ascii="Times New Roman" w:hAnsi="Times New Roman"/>
          <w:szCs w:val="24"/>
        </w:rPr>
        <w:t xml:space="preserve">in </w:t>
      </w:r>
      <w:r w:rsidR="00976CFF">
        <w:rPr>
          <w:rFonts w:ascii="Times New Roman" w:hAnsi="Times New Roman"/>
          <w:szCs w:val="24"/>
        </w:rPr>
        <w:t xml:space="preserve">May </w:t>
      </w:r>
      <w:r>
        <w:rPr>
          <w:rFonts w:ascii="Times New Roman" w:hAnsi="Times New Roman"/>
          <w:szCs w:val="24"/>
        </w:rPr>
        <w:t xml:space="preserve">2016 </w:t>
      </w:r>
      <w:r w:rsidR="00E272C9">
        <w:rPr>
          <w:rFonts w:ascii="Times New Roman" w:hAnsi="Times New Roman"/>
          <w:szCs w:val="24"/>
        </w:rPr>
        <w:t xml:space="preserve">and second-step rate change </w:t>
      </w:r>
      <w:r>
        <w:rPr>
          <w:rFonts w:ascii="Times New Roman" w:hAnsi="Times New Roman"/>
          <w:szCs w:val="24"/>
        </w:rPr>
        <w:t xml:space="preserve">in </w:t>
      </w:r>
      <w:r w:rsidR="00976CFF">
        <w:rPr>
          <w:rFonts w:ascii="Times New Roman" w:hAnsi="Times New Roman"/>
          <w:szCs w:val="24"/>
        </w:rPr>
        <w:t xml:space="preserve">May </w:t>
      </w:r>
      <w:r>
        <w:rPr>
          <w:rFonts w:ascii="Times New Roman" w:hAnsi="Times New Roman"/>
          <w:szCs w:val="24"/>
        </w:rPr>
        <w:t xml:space="preserve">2017 </w:t>
      </w:r>
      <w:r w:rsidR="00E272C9">
        <w:rPr>
          <w:rFonts w:ascii="Times New Roman" w:hAnsi="Times New Roman"/>
          <w:szCs w:val="24"/>
        </w:rPr>
        <w:t xml:space="preserve">are outlined above.  </w:t>
      </w:r>
    </w:p>
    <w:sectPr w:rsidR="00327371" w:rsidRPr="008B2EE4" w:rsidSect="00FE28E9">
      <w:footerReference w:type="even" r:id="rId8"/>
      <w:footerReference w:type="default" r:id="rId9"/>
      <w:pgSz w:w="12240" w:h="15840"/>
      <w:pgMar w:top="1440" w:right="144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62" w:rsidRDefault="00837862" w:rsidP="00054AC7">
      <w:r>
        <w:separator/>
      </w:r>
    </w:p>
  </w:endnote>
  <w:endnote w:type="continuationSeparator" w:id="0">
    <w:p w:rsidR="00837862" w:rsidRDefault="00837862" w:rsidP="0005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50" w:rsidRDefault="00432B50" w:rsidP="00B63F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2B50" w:rsidRDefault="00432B50" w:rsidP="00B63F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50" w:rsidRDefault="00432B50">
    <w:pPr>
      <w:pStyle w:val="Footer"/>
    </w:pPr>
    <w:r>
      <w:t>Attachment A</w:t>
    </w:r>
    <w:r>
      <w:tab/>
    </w:r>
    <w:r>
      <w:tab/>
    </w:r>
    <w:r>
      <w:fldChar w:fldCharType="begin"/>
    </w:r>
    <w:r>
      <w:instrText xml:space="preserve"> PAGE   \* MERGEFORMAT </w:instrText>
    </w:r>
    <w:r>
      <w:fldChar w:fldCharType="separate"/>
    </w:r>
    <w:r w:rsidR="006D301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62" w:rsidRDefault="00837862" w:rsidP="00054AC7">
      <w:r>
        <w:separator/>
      </w:r>
    </w:p>
  </w:footnote>
  <w:footnote w:type="continuationSeparator" w:id="0">
    <w:p w:rsidR="00837862" w:rsidRDefault="00837862" w:rsidP="00054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353E7"/>
    <w:multiLevelType w:val="hybridMultilevel"/>
    <w:tmpl w:val="38B27908"/>
    <w:lvl w:ilvl="0" w:tplc="04090001">
      <w:start w:val="1"/>
      <w:numFmt w:val="bullet"/>
      <w:lvlText w:val=""/>
      <w:lvlJc w:val="left"/>
      <w:pPr>
        <w:ind w:left="45" w:hanging="360"/>
      </w:pPr>
      <w:rPr>
        <w:rFonts w:ascii="Symbol" w:hAnsi="Symbol"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18"/>
    <w:rsid w:val="00001D92"/>
    <w:rsid w:val="00002ADD"/>
    <w:rsid w:val="0002008C"/>
    <w:rsid w:val="00020D63"/>
    <w:rsid w:val="00023399"/>
    <w:rsid w:val="000279EA"/>
    <w:rsid w:val="00032FE6"/>
    <w:rsid w:val="00033021"/>
    <w:rsid w:val="00034473"/>
    <w:rsid w:val="00041F20"/>
    <w:rsid w:val="00045F51"/>
    <w:rsid w:val="0005261E"/>
    <w:rsid w:val="00054AC7"/>
    <w:rsid w:val="000652B4"/>
    <w:rsid w:val="00076E5D"/>
    <w:rsid w:val="00077819"/>
    <w:rsid w:val="00087ACD"/>
    <w:rsid w:val="000912A9"/>
    <w:rsid w:val="00097DDB"/>
    <w:rsid w:val="000A4977"/>
    <w:rsid w:val="000B3FD2"/>
    <w:rsid w:val="000B4BF0"/>
    <w:rsid w:val="000D4F82"/>
    <w:rsid w:val="000D53C2"/>
    <w:rsid w:val="000E6330"/>
    <w:rsid w:val="000F4978"/>
    <w:rsid w:val="00100962"/>
    <w:rsid w:val="00101475"/>
    <w:rsid w:val="0010198C"/>
    <w:rsid w:val="00117840"/>
    <w:rsid w:val="00123901"/>
    <w:rsid w:val="00134721"/>
    <w:rsid w:val="001349ED"/>
    <w:rsid w:val="00142757"/>
    <w:rsid w:val="00142CB6"/>
    <w:rsid w:val="001602F1"/>
    <w:rsid w:val="00181DC9"/>
    <w:rsid w:val="00183BCE"/>
    <w:rsid w:val="001906A3"/>
    <w:rsid w:val="00190AAC"/>
    <w:rsid w:val="001950C7"/>
    <w:rsid w:val="001A322A"/>
    <w:rsid w:val="001C02CC"/>
    <w:rsid w:val="001D7265"/>
    <w:rsid w:val="001E0687"/>
    <w:rsid w:val="001E5A02"/>
    <w:rsid w:val="001F58A9"/>
    <w:rsid w:val="001F650D"/>
    <w:rsid w:val="00200863"/>
    <w:rsid w:val="00212D17"/>
    <w:rsid w:val="0021388D"/>
    <w:rsid w:val="00215192"/>
    <w:rsid w:val="002249A3"/>
    <w:rsid w:val="0024054B"/>
    <w:rsid w:val="00241283"/>
    <w:rsid w:val="00244E0F"/>
    <w:rsid w:val="00245C89"/>
    <w:rsid w:val="00250787"/>
    <w:rsid w:val="00255B72"/>
    <w:rsid w:val="002601C4"/>
    <w:rsid w:val="00262F4B"/>
    <w:rsid w:val="00272D25"/>
    <w:rsid w:val="00275162"/>
    <w:rsid w:val="002778C7"/>
    <w:rsid w:val="00277DA2"/>
    <w:rsid w:val="002813B1"/>
    <w:rsid w:val="00285ECE"/>
    <w:rsid w:val="002871BA"/>
    <w:rsid w:val="00297CAD"/>
    <w:rsid w:val="002A7CBF"/>
    <w:rsid w:val="002B3F76"/>
    <w:rsid w:val="002B4C3E"/>
    <w:rsid w:val="002C13B6"/>
    <w:rsid w:val="002D60DD"/>
    <w:rsid w:val="002E09C9"/>
    <w:rsid w:val="002E7C46"/>
    <w:rsid w:val="003006D7"/>
    <w:rsid w:val="00326256"/>
    <w:rsid w:val="00327371"/>
    <w:rsid w:val="00341F83"/>
    <w:rsid w:val="00346B29"/>
    <w:rsid w:val="00347DD7"/>
    <w:rsid w:val="003632E6"/>
    <w:rsid w:val="00377A01"/>
    <w:rsid w:val="00380A6B"/>
    <w:rsid w:val="003A32CD"/>
    <w:rsid w:val="003A471C"/>
    <w:rsid w:val="003B595A"/>
    <w:rsid w:val="003C122E"/>
    <w:rsid w:val="003C23BF"/>
    <w:rsid w:val="003E1777"/>
    <w:rsid w:val="003F4955"/>
    <w:rsid w:val="003F6F6C"/>
    <w:rsid w:val="00405839"/>
    <w:rsid w:val="00413551"/>
    <w:rsid w:val="00420DB4"/>
    <w:rsid w:val="00421E09"/>
    <w:rsid w:val="00432B50"/>
    <w:rsid w:val="00433477"/>
    <w:rsid w:val="00440828"/>
    <w:rsid w:val="00442304"/>
    <w:rsid w:val="00453092"/>
    <w:rsid w:val="0048175F"/>
    <w:rsid w:val="00484F5A"/>
    <w:rsid w:val="004B559D"/>
    <w:rsid w:val="004B646C"/>
    <w:rsid w:val="004C2242"/>
    <w:rsid w:val="004C3942"/>
    <w:rsid w:val="004C53FC"/>
    <w:rsid w:val="004E3189"/>
    <w:rsid w:val="004E6858"/>
    <w:rsid w:val="004E7740"/>
    <w:rsid w:val="00510039"/>
    <w:rsid w:val="0051371A"/>
    <w:rsid w:val="00515122"/>
    <w:rsid w:val="005278F3"/>
    <w:rsid w:val="00531DB5"/>
    <w:rsid w:val="00535BCB"/>
    <w:rsid w:val="00561DF4"/>
    <w:rsid w:val="00575318"/>
    <w:rsid w:val="00577438"/>
    <w:rsid w:val="005923B5"/>
    <w:rsid w:val="005A1EF6"/>
    <w:rsid w:val="005B6370"/>
    <w:rsid w:val="005B70EB"/>
    <w:rsid w:val="005C2801"/>
    <w:rsid w:val="005C40CB"/>
    <w:rsid w:val="005C6973"/>
    <w:rsid w:val="005D2380"/>
    <w:rsid w:val="005E5E9C"/>
    <w:rsid w:val="005F2B12"/>
    <w:rsid w:val="006106E9"/>
    <w:rsid w:val="006178C7"/>
    <w:rsid w:val="00625C18"/>
    <w:rsid w:val="006308EC"/>
    <w:rsid w:val="006403F3"/>
    <w:rsid w:val="00640401"/>
    <w:rsid w:val="00650497"/>
    <w:rsid w:val="00656CD4"/>
    <w:rsid w:val="006664BE"/>
    <w:rsid w:val="00685966"/>
    <w:rsid w:val="00691320"/>
    <w:rsid w:val="00692355"/>
    <w:rsid w:val="00692859"/>
    <w:rsid w:val="00694C60"/>
    <w:rsid w:val="006A3839"/>
    <w:rsid w:val="006B5104"/>
    <w:rsid w:val="006C6326"/>
    <w:rsid w:val="006D0412"/>
    <w:rsid w:val="006D301E"/>
    <w:rsid w:val="006D4AB3"/>
    <w:rsid w:val="007065CC"/>
    <w:rsid w:val="00737B7D"/>
    <w:rsid w:val="0074151A"/>
    <w:rsid w:val="007716C8"/>
    <w:rsid w:val="0077483C"/>
    <w:rsid w:val="0078032C"/>
    <w:rsid w:val="00783D8C"/>
    <w:rsid w:val="00792542"/>
    <w:rsid w:val="007A4DE9"/>
    <w:rsid w:val="007B4C62"/>
    <w:rsid w:val="007C0944"/>
    <w:rsid w:val="007D33C1"/>
    <w:rsid w:val="007D5210"/>
    <w:rsid w:val="007D6191"/>
    <w:rsid w:val="007F0B62"/>
    <w:rsid w:val="007F3A1A"/>
    <w:rsid w:val="007F427A"/>
    <w:rsid w:val="007F435A"/>
    <w:rsid w:val="007F5963"/>
    <w:rsid w:val="007F5FE9"/>
    <w:rsid w:val="007F6956"/>
    <w:rsid w:val="00803834"/>
    <w:rsid w:val="00804F2F"/>
    <w:rsid w:val="008150E2"/>
    <w:rsid w:val="00823766"/>
    <w:rsid w:val="008359AD"/>
    <w:rsid w:val="0083706A"/>
    <w:rsid w:val="00837862"/>
    <w:rsid w:val="00853CE0"/>
    <w:rsid w:val="00854607"/>
    <w:rsid w:val="00865C5A"/>
    <w:rsid w:val="008735AA"/>
    <w:rsid w:val="00874C83"/>
    <w:rsid w:val="00880B54"/>
    <w:rsid w:val="00890C7E"/>
    <w:rsid w:val="008A7650"/>
    <w:rsid w:val="008B2EE4"/>
    <w:rsid w:val="008B35BD"/>
    <w:rsid w:val="008B4B9E"/>
    <w:rsid w:val="008C75CB"/>
    <w:rsid w:val="008E3234"/>
    <w:rsid w:val="008F0D0C"/>
    <w:rsid w:val="008F33F9"/>
    <w:rsid w:val="008F6CDB"/>
    <w:rsid w:val="009106AD"/>
    <w:rsid w:val="0092040B"/>
    <w:rsid w:val="00920B25"/>
    <w:rsid w:val="00940374"/>
    <w:rsid w:val="00941B11"/>
    <w:rsid w:val="00954621"/>
    <w:rsid w:val="009565E5"/>
    <w:rsid w:val="00967926"/>
    <w:rsid w:val="0097280C"/>
    <w:rsid w:val="00976CFF"/>
    <w:rsid w:val="009907D4"/>
    <w:rsid w:val="009939F8"/>
    <w:rsid w:val="0099635F"/>
    <w:rsid w:val="00997BA1"/>
    <w:rsid w:val="009A211D"/>
    <w:rsid w:val="009A4328"/>
    <w:rsid w:val="009C02C3"/>
    <w:rsid w:val="009C48FF"/>
    <w:rsid w:val="009E2682"/>
    <w:rsid w:val="009F3598"/>
    <w:rsid w:val="00A00F85"/>
    <w:rsid w:val="00A01225"/>
    <w:rsid w:val="00A12590"/>
    <w:rsid w:val="00A13B74"/>
    <w:rsid w:val="00A23921"/>
    <w:rsid w:val="00A27497"/>
    <w:rsid w:val="00A27C38"/>
    <w:rsid w:val="00A315EE"/>
    <w:rsid w:val="00A37A89"/>
    <w:rsid w:val="00A4079F"/>
    <w:rsid w:val="00A46EBC"/>
    <w:rsid w:val="00A54913"/>
    <w:rsid w:val="00A56F52"/>
    <w:rsid w:val="00A60953"/>
    <w:rsid w:val="00A64CDE"/>
    <w:rsid w:val="00A83C16"/>
    <w:rsid w:val="00A93BE6"/>
    <w:rsid w:val="00A954D1"/>
    <w:rsid w:val="00A96C01"/>
    <w:rsid w:val="00AA421F"/>
    <w:rsid w:val="00AB02AF"/>
    <w:rsid w:val="00AB33FF"/>
    <w:rsid w:val="00AB43AF"/>
    <w:rsid w:val="00AD0B93"/>
    <w:rsid w:val="00AE3CEB"/>
    <w:rsid w:val="00AE5DAF"/>
    <w:rsid w:val="00AF23A2"/>
    <w:rsid w:val="00AF263F"/>
    <w:rsid w:val="00AF620B"/>
    <w:rsid w:val="00B2250F"/>
    <w:rsid w:val="00B32E7B"/>
    <w:rsid w:val="00B344F3"/>
    <w:rsid w:val="00B5002D"/>
    <w:rsid w:val="00B5181E"/>
    <w:rsid w:val="00B51C66"/>
    <w:rsid w:val="00B63F94"/>
    <w:rsid w:val="00B72377"/>
    <w:rsid w:val="00B85E1A"/>
    <w:rsid w:val="00B8665F"/>
    <w:rsid w:val="00B8786D"/>
    <w:rsid w:val="00B91C9F"/>
    <w:rsid w:val="00B970D9"/>
    <w:rsid w:val="00BA0EAD"/>
    <w:rsid w:val="00BB344A"/>
    <w:rsid w:val="00BC60F9"/>
    <w:rsid w:val="00BD0172"/>
    <w:rsid w:val="00BE433A"/>
    <w:rsid w:val="00C01C0B"/>
    <w:rsid w:val="00C0336A"/>
    <w:rsid w:val="00C0484C"/>
    <w:rsid w:val="00C40E74"/>
    <w:rsid w:val="00C43828"/>
    <w:rsid w:val="00C61DC9"/>
    <w:rsid w:val="00C66119"/>
    <w:rsid w:val="00C714E8"/>
    <w:rsid w:val="00C71D7E"/>
    <w:rsid w:val="00C85289"/>
    <w:rsid w:val="00C8640D"/>
    <w:rsid w:val="00C931B6"/>
    <w:rsid w:val="00C97A10"/>
    <w:rsid w:val="00CB6A25"/>
    <w:rsid w:val="00CC56BF"/>
    <w:rsid w:val="00CC6FC3"/>
    <w:rsid w:val="00CD29C4"/>
    <w:rsid w:val="00CE65B7"/>
    <w:rsid w:val="00CF31E0"/>
    <w:rsid w:val="00D1687E"/>
    <w:rsid w:val="00D56FE2"/>
    <w:rsid w:val="00D60847"/>
    <w:rsid w:val="00D65653"/>
    <w:rsid w:val="00D70E44"/>
    <w:rsid w:val="00D765AF"/>
    <w:rsid w:val="00D80981"/>
    <w:rsid w:val="00D91A84"/>
    <w:rsid w:val="00DA13BD"/>
    <w:rsid w:val="00DA3D7F"/>
    <w:rsid w:val="00DA6AA7"/>
    <w:rsid w:val="00DB37CE"/>
    <w:rsid w:val="00DC139E"/>
    <w:rsid w:val="00DC4C96"/>
    <w:rsid w:val="00DD2283"/>
    <w:rsid w:val="00DD4F86"/>
    <w:rsid w:val="00DD77E3"/>
    <w:rsid w:val="00DE4B20"/>
    <w:rsid w:val="00DE654A"/>
    <w:rsid w:val="00DF5F49"/>
    <w:rsid w:val="00E0518B"/>
    <w:rsid w:val="00E1000B"/>
    <w:rsid w:val="00E10AC6"/>
    <w:rsid w:val="00E1243A"/>
    <w:rsid w:val="00E13ABA"/>
    <w:rsid w:val="00E15653"/>
    <w:rsid w:val="00E2278F"/>
    <w:rsid w:val="00E23DC0"/>
    <w:rsid w:val="00E272C9"/>
    <w:rsid w:val="00E325F3"/>
    <w:rsid w:val="00E416ED"/>
    <w:rsid w:val="00E46029"/>
    <w:rsid w:val="00E672F6"/>
    <w:rsid w:val="00E74608"/>
    <w:rsid w:val="00E7637C"/>
    <w:rsid w:val="00E77202"/>
    <w:rsid w:val="00E84BF7"/>
    <w:rsid w:val="00E862A1"/>
    <w:rsid w:val="00E92FCD"/>
    <w:rsid w:val="00EA209E"/>
    <w:rsid w:val="00EB5F0D"/>
    <w:rsid w:val="00EC6CD7"/>
    <w:rsid w:val="00EC74B1"/>
    <w:rsid w:val="00ED4E09"/>
    <w:rsid w:val="00EF38B8"/>
    <w:rsid w:val="00EF673F"/>
    <w:rsid w:val="00F02EC9"/>
    <w:rsid w:val="00F03C3D"/>
    <w:rsid w:val="00F05529"/>
    <w:rsid w:val="00F11B5E"/>
    <w:rsid w:val="00F227FB"/>
    <w:rsid w:val="00F3015D"/>
    <w:rsid w:val="00F309CA"/>
    <w:rsid w:val="00F35456"/>
    <w:rsid w:val="00F5376A"/>
    <w:rsid w:val="00F549FD"/>
    <w:rsid w:val="00F55554"/>
    <w:rsid w:val="00F609CB"/>
    <w:rsid w:val="00F66E3A"/>
    <w:rsid w:val="00F75FEF"/>
    <w:rsid w:val="00F767C9"/>
    <w:rsid w:val="00F81875"/>
    <w:rsid w:val="00F96395"/>
    <w:rsid w:val="00FB5DF9"/>
    <w:rsid w:val="00FB6907"/>
    <w:rsid w:val="00FC2806"/>
    <w:rsid w:val="00FD4DBC"/>
    <w:rsid w:val="00FE28E9"/>
    <w:rsid w:val="00FF0518"/>
    <w:rsid w:val="00FF57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8"/>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0518"/>
    <w:rPr>
      <w:color w:val="0000FF"/>
      <w:u w:val="single"/>
    </w:rPr>
  </w:style>
  <w:style w:type="paragraph" w:styleId="BodyTextIndent2">
    <w:name w:val="Body Text Indent 2"/>
    <w:basedOn w:val="Normal"/>
    <w:link w:val="BodyTextIndent2Char"/>
    <w:rsid w:val="00FF0518"/>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FF0518"/>
    <w:rPr>
      <w:rFonts w:eastAsia="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FF0518"/>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FF0518"/>
    <w:rPr>
      <w:rFonts w:ascii="Times" w:eastAsia="Times" w:hAnsi="Times"/>
    </w:rPr>
  </w:style>
  <w:style w:type="paragraph" w:styleId="Footer">
    <w:name w:val="footer"/>
    <w:basedOn w:val="Normal"/>
    <w:link w:val="FooterChar"/>
    <w:semiHidden/>
    <w:rsid w:val="00FF0518"/>
    <w:pPr>
      <w:tabs>
        <w:tab w:val="center" w:pos="4320"/>
        <w:tab w:val="right" w:pos="8640"/>
      </w:tabs>
    </w:pPr>
  </w:style>
  <w:style w:type="character" w:customStyle="1" w:styleId="FooterChar">
    <w:name w:val="Footer Char"/>
    <w:basedOn w:val="DefaultParagraphFont"/>
    <w:link w:val="Footer"/>
    <w:semiHidden/>
    <w:rsid w:val="00FF0518"/>
    <w:rPr>
      <w:rFonts w:ascii="Times" w:eastAsia="Times" w:hAnsi="Times"/>
      <w:szCs w:val="20"/>
    </w:rPr>
  </w:style>
  <w:style w:type="character" w:styleId="PageNumber">
    <w:name w:val="page number"/>
    <w:basedOn w:val="DefaultParagraphFont"/>
    <w:rsid w:val="00FF0518"/>
  </w:style>
  <w:style w:type="paragraph" w:styleId="BodyTextIndent">
    <w:name w:val="Body Text Indent"/>
    <w:basedOn w:val="Normal"/>
    <w:link w:val="BodyTextIndentChar"/>
    <w:rsid w:val="00FF0518"/>
    <w:pPr>
      <w:spacing w:after="120"/>
      <w:ind w:left="360"/>
    </w:pPr>
  </w:style>
  <w:style w:type="character" w:customStyle="1" w:styleId="BodyTextIndentChar">
    <w:name w:val="Body Text Indent Char"/>
    <w:basedOn w:val="DefaultParagraphFont"/>
    <w:link w:val="BodyTextIndent"/>
    <w:rsid w:val="00FF0518"/>
    <w:rPr>
      <w:rFonts w:ascii="Times" w:eastAsia="Times" w:hAnsi="Times"/>
      <w:szCs w:val="20"/>
    </w:rPr>
  </w:style>
  <w:style w:type="paragraph" w:styleId="BodyText2">
    <w:name w:val="Body Text 2"/>
    <w:basedOn w:val="Normal"/>
    <w:link w:val="BodyText2Char"/>
    <w:rsid w:val="00FF0518"/>
    <w:pPr>
      <w:spacing w:after="120" w:line="480" w:lineRule="auto"/>
    </w:pPr>
  </w:style>
  <w:style w:type="character" w:customStyle="1" w:styleId="BodyText2Char">
    <w:name w:val="Body Text 2 Char"/>
    <w:basedOn w:val="DefaultParagraphFont"/>
    <w:link w:val="BodyText2"/>
    <w:rsid w:val="00FF0518"/>
    <w:rPr>
      <w:rFonts w:ascii="Times" w:eastAsia="Times" w:hAnsi="Times"/>
      <w:szCs w:val="20"/>
    </w:rPr>
  </w:style>
  <w:style w:type="paragraph" w:customStyle="1" w:styleId="CharChar1">
    <w:name w:val="Char Char1"/>
    <w:basedOn w:val="Normal"/>
    <w:rsid w:val="00FF0518"/>
    <w:pPr>
      <w:spacing w:after="160" w:line="240" w:lineRule="exact"/>
    </w:pPr>
    <w:rPr>
      <w:rFonts w:ascii="Verdana" w:eastAsia="Times New Roman" w:hAnsi="Verdana" w:cs="Verdana"/>
      <w:sz w:val="20"/>
    </w:rPr>
  </w:style>
  <w:style w:type="paragraph" w:customStyle="1" w:styleId="PleadingSignature">
    <w:name w:val="Pleading Signature"/>
    <w:basedOn w:val="Normal"/>
    <w:rsid w:val="00FF0518"/>
    <w:pPr>
      <w:keepNext/>
      <w:keepLines/>
      <w:spacing w:line="240" w:lineRule="exact"/>
    </w:pPr>
    <w:rPr>
      <w:rFonts w:ascii="Times New Roman" w:eastAsia="Times New Roman" w:hAnsi="Times New Roman"/>
    </w:rPr>
  </w:style>
  <w:style w:type="character" w:styleId="CommentReference">
    <w:name w:val="annotation reference"/>
    <w:basedOn w:val="DefaultParagraphFont"/>
    <w:uiPriority w:val="99"/>
    <w:semiHidden/>
    <w:unhideWhenUsed/>
    <w:rsid w:val="002871BA"/>
    <w:rPr>
      <w:sz w:val="16"/>
      <w:szCs w:val="16"/>
    </w:rPr>
  </w:style>
  <w:style w:type="paragraph" w:styleId="CommentText">
    <w:name w:val="annotation text"/>
    <w:basedOn w:val="Normal"/>
    <w:link w:val="CommentTextChar"/>
    <w:uiPriority w:val="99"/>
    <w:semiHidden/>
    <w:unhideWhenUsed/>
    <w:rsid w:val="002871BA"/>
    <w:rPr>
      <w:sz w:val="20"/>
    </w:rPr>
  </w:style>
  <w:style w:type="character" w:customStyle="1" w:styleId="CommentTextChar">
    <w:name w:val="Comment Text Char"/>
    <w:basedOn w:val="DefaultParagraphFont"/>
    <w:link w:val="CommentText"/>
    <w:uiPriority w:val="99"/>
    <w:semiHidden/>
    <w:rsid w:val="002871BA"/>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871BA"/>
    <w:rPr>
      <w:b/>
      <w:bCs/>
    </w:rPr>
  </w:style>
  <w:style w:type="character" w:customStyle="1" w:styleId="CommentSubjectChar">
    <w:name w:val="Comment Subject Char"/>
    <w:basedOn w:val="CommentTextChar"/>
    <w:link w:val="CommentSubject"/>
    <w:uiPriority w:val="99"/>
    <w:semiHidden/>
    <w:rsid w:val="002871BA"/>
    <w:rPr>
      <w:rFonts w:ascii="Times" w:eastAsia="Times" w:hAnsi="Times"/>
      <w:b/>
      <w:bCs/>
      <w:sz w:val="20"/>
      <w:szCs w:val="20"/>
    </w:rPr>
  </w:style>
  <w:style w:type="paragraph" w:styleId="BalloonText">
    <w:name w:val="Balloon Text"/>
    <w:basedOn w:val="Normal"/>
    <w:link w:val="BalloonTextChar"/>
    <w:uiPriority w:val="99"/>
    <w:semiHidden/>
    <w:unhideWhenUsed/>
    <w:rsid w:val="002871BA"/>
    <w:rPr>
      <w:rFonts w:ascii="Tahoma" w:hAnsi="Tahoma" w:cs="Tahoma"/>
      <w:sz w:val="16"/>
      <w:szCs w:val="16"/>
    </w:rPr>
  </w:style>
  <w:style w:type="character" w:customStyle="1" w:styleId="BalloonTextChar">
    <w:name w:val="Balloon Text Char"/>
    <w:basedOn w:val="DefaultParagraphFont"/>
    <w:link w:val="BalloonText"/>
    <w:uiPriority w:val="99"/>
    <w:semiHidden/>
    <w:rsid w:val="002871BA"/>
    <w:rPr>
      <w:rFonts w:ascii="Tahoma" w:eastAsia="Times" w:hAnsi="Tahoma" w:cs="Tahoma"/>
      <w:sz w:val="16"/>
      <w:szCs w:val="16"/>
    </w:rPr>
  </w:style>
  <w:style w:type="paragraph" w:styleId="Header">
    <w:name w:val="header"/>
    <w:basedOn w:val="Normal"/>
    <w:link w:val="HeaderChar"/>
    <w:uiPriority w:val="99"/>
    <w:unhideWhenUsed/>
    <w:rsid w:val="001F650D"/>
    <w:pPr>
      <w:tabs>
        <w:tab w:val="center" w:pos="4680"/>
        <w:tab w:val="right" w:pos="9360"/>
      </w:tabs>
    </w:pPr>
  </w:style>
  <w:style w:type="character" w:customStyle="1" w:styleId="HeaderChar">
    <w:name w:val="Header Char"/>
    <w:basedOn w:val="DefaultParagraphFont"/>
    <w:link w:val="Header"/>
    <w:uiPriority w:val="99"/>
    <w:rsid w:val="001F650D"/>
    <w:rPr>
      <w:rFonts w:ascii="Times" w:eastAsia="Times" w:hAnsi="Times"/>
      <w:szCs w:val="20"/>
    </w:rPr>
  </w:style>
  <w:style w:type="character" w:styleId="FootnoteReference">
    <w:name w:val="footnote reference"/>
    <w:basedOn w:val="DefaultParagraphFont"/>
    <w:uiPriority w:val="99"/>
    <w:semiHidden/>
    <w:unhideWhenUsed/>
    <w:rsid w:val="00685966"/>
    <w:rPr>
      <w:vertAlign w:val="superscript"/>
    </w:rPr>
  </w:style>
  <w:style w:type="paragraph" w:styleId="ListParagraph">
    <w:name w:val="List Paragraph"/>
    <w:basedOn w:val="Normal"/>
    <w:uiPriority w:val="34"/>
    <w:qFormat/>
    <w:rsid w:val="00A23921"/>
    <w:pPr>
      <w:ind w:left="720"/>
      <w:contextualSpacing/>
    </w:pPr>
  </w:style>
  <w:style w:type="paragraph" w:customStyle="1" w:styleId="Default">
    <w:name w:val="Default"/>
    <w:rsid w:val="003E1777"/>
    <w:pPr>
      <w:autoSpaceDE w:val="0"/>
      <w:autoSpaceDN w:val="0"/>
      <w:adjustRightInd w:val="0"/>
    </w:pPr>
    <w:rPr>
      <w:color w:val="000000"/>
      <w:sz w:val="24"/>
      <w:szCs w:val="24"/>
    </w:rPr>
  </w:style>
  <w:style w:type="paragraph" w:styleId="Revision">
    <w:name w:val="Revision"/>
    <w:hidden/>
    <w:uiPriority w:val="99"/>
    <w:semiHidden/>
    <w:rsid w:val="003E1777"/>
    <w:rPr>
      <w:rFonts w:ascii="Times" w:eastAsia="Times" w:hAnsi="Times"/>
      <w:sz w:val="24"/>
    </w:rPr>
  </w:style>
  <w:style w:type="table" w:styleId="TableGrid">
    <w:name w:val="Table Grid"/>
    <w:basedOn w:val="TableNormal"/>
    <w:uiPriority w:val="59"/>
    <w:rsid w:val="001C02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8"/>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0518"/>
    <w:rPr>
      <w:color w:val="0000FF"/>
      <w:u w:val="single"/>
    </w:rPr>
  </w:style>
  <w:style w:type="paragraph" w:styleId="BodyTextIndent2">
    <w:name w:val="Body Text Indent 2"/>
    <w:basedOn w:val="Normal"/>
    <w:link w:val="BodyTextIndent2Char"/>
    <w:rsid w:val="00FF0518"/>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FF0518"/>
    <w:rPr>
      <w:rFonts w:eastAsia="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FF0518"/>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FF0518"/>
    <w:rPr>
      <w:rFonts w:ascii="Times" w:eastAsia="Times" w:hAnsi="Times"/>
    </w:rPr>
  </w:style>
  <w:style w:type="paragraph" w:styleId="Footer">
    <w:name w:val="footer"/>
    <w:basedOn w:val="Normal"/>
    <w:link w:val="FooterChar"/>
    <w:semiHidden/>
    <w:rsid w:val="00FF0518"/>
    <w:pPr>
      <w:tabs>
        <w:tab w:val="center" w:pos="4320"/>
        <w:tab w:val="right" w:pos="8640"/>
      </w:tabs>
    </w:pPr>
  </w:style>
  <w:style w:type="character" w:customStyle="1" w:styleId="FooterChar">
    <w:name w:val="Footer Char"/>
    <w:basedOn w:val="DefaultParagraphFont"/>
    <w:link w:val="Footer"/>
    <w:semiHidden/>
    <w:rsid w:val="00FF0518"/>
    <w:rPr>
      <w:rFonts w:ascii="Times" w:eastAsia="Times" w:hAnsi="Times"/>
      <w:szCs w:val="20"/>
    </w:rPr>
  </w:style>
  <w:style w:type="character" w:styleId="PageNumber">
    <w:name w:val="page number"/>
    <w:basedOn w:val="DefaultParagraphFont"/>
    <w:rsid w:val="00FF0518"/>
  </w:style>
  <w:style w:type="paragraph" w:styleId="BodyTextIndent">
    <w:name w:val="Body Text Indent"/>
    <w:basedOn w:val="Normal"/>
    <w:link w:val="BodyTextIndentChar"/>
    <w:rsid w:val="00FF0518"/>
    <w:pPr>
      <w:spacing w:after="120"/>
      <w:ind w:left="360"/>
    </w:pPr>
  </w:style>
  <w:style w:type="character" w:customStyle="1" w:styleId="BodyTextIndentChar">
    <w:name w:val="Body Text Indent Char"/>
    <w:basedOn w:val="DefaultParagraphFont"/>
    <w:link w:val="BodyTextIndent"/>
    <w:rsid w:val="00FF0518"/>
    <w:rPr>
      <w:rFonts w:ascii="Times" w:eastAsia="Times" w:hAnsi="Times"/>
      <w:szCs w:val="20"/>
    </w:rPr>
  </w:style>
  <w:style w:type="paragraph" w:styleId="BodyText2">
    <w:name w:val="Body Text 2"/>
    <w:basedOn w:val="Normal"/>
    <w:link w:val="BodyText2Char"/>
    <w:rsid w:val="00FF0518"/>
    <w:pPr>
      <w:spacing w:after="120" w:line="480" w:lineRule="auto"/>
    </w:pPr>
  </w:style>
  <w:style w:type="character" w:customStyle="1" w:styleId="BodyText2Char">
    <w:name w:val="Body Text 2 Char"/>
    <w:basedOn w:val="DefaultParagraphFont"/>
    <w:link w:val="BodyText2"/>
    <w:rsid w:val="00FF0518"/>
    <w:rPr>
      <w:rFonts w:ascii="Times" w:eastAsia="Times" w:hAnsi="Times"/>
      <w:szCs w:val="20"/>
    </w:rPr>
  </w:style>
  <w:style w:type="paragraph" w:customStyle="1" w:styleId="CharChar1">
    <w:name w:val="Char Char1"/>
    <w:basedOn w:val="Normal"/>
    <w:rsid w:val="00FF0518"/>
    <w:pPr>
      <w:spacing w:after="160" w:line="240" w:lineRule="exact"/>
    </w:pPr>
    <w:rPr>
      <w:rFonts w:ascii="Verdana" w:eastAsia="Times New Roman" w:hAnsi="Verdana" w:cs="Verdana"/>
      <w:sz w:val="20"/>
    </w:rPr>
  </w:style>
  <w:style w:type="paragraph" w:customStyle="1" w:styleId="PleadingSignature">
    <w:name w:val="Pleading Signature"/>
    <w:basedOn w:val="Normal"/>
    <w:rsid w:val="00FF0518"/>
    <w:pPr>
      <w:keepNext/>
      <w:keepLines/>
      <w:spacing w:line="240" w:lineRule="exact"/>
    </w:pPr>
    <w:rPr>
      <w:rFonts w:ascii="Times New Roman" w:eastAsia="Times New Roman" w:hAnsi="Times New Roman"/>
    </w:rPr>
  </w:style>
  <w:style w:type="character" w:styleId="CommentReference">
    <w:name w:val="annotation reference"/>
    <w:basedOn w:val="DefaultParagraphFont"/>
    <w:uiPriority w:val="99"/>
    <w:semiHidden/>
    <w:unhideWhenUsed/>
    <w:rsid w:val="002871BA"/>
    <w:rPr>
      <w:sz w:val="16"/>
      <w:szCs w:val="16"/>
    </w:rPr>
  </w:style>
  <w:style w:type="paragraph" w:styleId="CommentText">
    <w:name w:val="annotation text"/>
    <w:basedOn w:val="Normal"/>
    <w:link w:val="CommentTextChar"/>
    <w:uiPriority w:val="99"/>
    <w:semiHidden/>
    <w:unhideWhenUsed/>
    <w:rsid w:val="002871BA"/>
    <w:rPr>
      <w:sz w:val="20"/>
    </w:rPr>
  </w:style>
  <w:style w:type="character" w:customStyle="1" w:styleId="CommentTextChar">
    <w:name w:val="Comment Text Char"/>
    <w:basedOn w:val="DefaultParagraphFont"/>
    <w:link w:val="CommentText"/>
    <w:uiPriority w:val="99"/>
    <w:semiHidden/>
    <w:rsid w:val="002871BA"/>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871BA"/>
    <w:rPr>
      <w:b/>
      <w:bCs/>
    </w:rPr>
  </w:style>
  <w:style w:type="character" w:customStyle="1" w:styleId="CommentSubjectChar">
    <w:name w:val="Comment Subject Char"/>
    <w:basedOn w:val="CommentTextChar"/>
    <w:link w:val="CommentSubject"/>
    <w:uiPriority w:val="99"/>
    <w:semiHidden/>
    <w:rsid w:val="002871BA"/>
    <w:rPr>
      <w:rFonts w:ascii="Times" w:eastAsia="Times" w:hAnsi="Times"/>
      <w:b/>
      <w:bCs/>
      <w:sz w:val="20"/>
      <w:szCs w:val="20"/>
    </w:rPr>
  </w:style>
  <w:style w:type="paragraph" w:styleId="BalloonText">
    <w:name w:val="Balloon Text"/>
    <w:basedOn w:val="Normal"/>
    <w:link w:val="BalloonTextChar"/>
    <w:uiPriority w:val="99"/>
    <w:semiHidden/>
    <w:unhideWhenUsed/>
    <w:rsid w:val="002871BA"/>
    <w:rPr>
      <w:rFonts w:ascii="Tahoma" w:hAnsi="Tahoma" w:cs="Tahoma"/>
      <w:sz w:val="16"/>
      <w:szCs w:val="16"/>
    </w:rPr>
  </w:style>
  <w:style w:type="character" w:customStyle="1" w:styleId="BalloonTextChar">
    <w:name w:val="Balloon Text Char"/>
    <w:basedOn w:val="DefaultParagraphFont"/>
    <w:link w:val="BalloonText"/>
    <w:uiPriority w:val="99"/>
    <w:semiHidden/>
    <w:rsid w:val="002871BA"/>
    <w:rPr>
      <w:rFonts w:ascii="Tahoma" w:eastAsia="Times" w:hAnsi="Tahoma" w:cs="Tahoma"/>
      <w:sz w:val="16"/>
      <w:szCs w:val="16"/>
    </w:rPr>
  </w:style>
  <w:style w:type="paragraph" w:styleId="Header">
    <w:name w:val="header"/>
    <w:basedOn w:val="Normal"/>
    <w:link w:val="HeaderChar"/>
    <w:uiPriority w:val="99"/>
    <w:unhideWhenUsed/>
    <w:rsid w:val="001F650D"/>
    <w:pPr>
      <w:tabs>
        <w:tab w:val="center" w:pos="4680"/>
        <w:tab w:val="right" w:pos="9360"/>
      </w:tabs>
    </w:pPr>
  </w:style>
  <w:style w:type="character" w:customStyle="1" w:styleId="HeaderChar">
    <w:name w:val="Header Char"/>
    <w:basedOn w:val="DefaultParagraphFont"/>
    <w:link w:val="Header"/>
    <w:uiPriority w:val="99"/>
    <w:rsid w:val="001F650D"/>
    <w:rPr>
      <w:rFonts w:ascii="Times" w:eastAsia="Times" w:hAnsi="Times"/>
      <w:szCs w:val="20"/>
    </w:rPr>
  </w:style>
  <w:style w:type="character" w:styleId="FootnoteReference">
    <w:name w:val="footnote reference"/>
    <w:basedOn w:val="DefaultParagraphFont"/>
    <w:uiPriority w:val="99"/>
    <w:semiHidden/>
    <w:unhideWhenUsed/>
    <w:rsid w:val="00685966"/>
    <w:rPr>
      <w:vertAlign w:val="superscript"/>
    </w:rPr>
  </w:style>
  <w:style w:type="paragraph" w:styleId="ListParagraph">
    <w:name w:val="List Paragraph"/>
    <w:basedOn w:val="Normal"/>
    <w:uiPriority w:val="34"/>
    <w:qFormat/>
    <w:rsid w:val="00A23921"/>
    <w:pPr>
      <w:ind w:left="720"/>
      <w:contextualSpacing/>
    </w:pPr>
  </w:style>
  <w:style w:type="paragraph" w:customStyle="1" w:styleId="Default">
    <w:name w:val="Default"/>
    <w:rsid w:val="003E1777"/>
    <w:pPr>
      <w:autoSpaceDE w:val="0"/>
      <w:autoSpaceDN w:val="0"/>
      <w:adjustRightInd w:val="0"/>
    </w:pPr>
    <w:rPr>
      <w:color w:val="000000"/>
      <w:sz w:val="24"/>
      <w:szCs w:val="24"/>
    </w:rPr>
  </w:style>
  <w:style w:type="paragraph" w:styleId="Revision">
    <w:name w:val="Revision"/>
    <w:hidden/>
    <w:uiPriority w:val="99"/>
    <w:semiHidden/>
    <w:rsid w:val="003E1777"/>
    <w:rPr>
      <w:rFonts w:ascii="Times" w:eastAsia="Times" w:hAnsi="Times"/>
      <w:sz w:val="24"/>
    </w:rPr>
  </w:style>
  <w:style w:type="table" w:styleId="TableGrid">
    <w:name w:val="Table Grid"/>
    <w:basedOn w:val="TableNormal"/>
    <w:uiPriority w:val="59"/>
    <w:rsid w:val="001C02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570119">
      <w:bodyDiv w:val="1"/>
      <w:marLeft w:val="0"/>
      <w:marRight w:val="0"/>
      <w:marTop w:val="0"/>
      <w:marBottom w:val="0"/>
      <w:divBdr>
        <w:top w:val="none" w:sz="0" w:space="0" w:color="auto"/>
        <w:left w:val="none" w:sz="0" w:space="0" w:color="auto"/>
        <w:bottom w:val="none" w:sz="0" w:space="0" w:color="auto"/>
        <w:right w:val="none" w:sz="0" w:space="0" w:color="auto"/>
      </w:divBdr>
    </w:div>
    <w:div w:id="1874805826">
      <w:bodyDiv w:val="1"/>
      <w:marLeft w:val="0"/>
      <w:marRight w:val="0"/>
      <w:marTop w:val="0"/>
      <w:marBottom w:val="0"/>
      <w:divBdr>
        <w:top w:val="none" w:sz="0" w:space="0" w:color="auto"/>
        <w:left w:val="none" w:sz="0" w:space="0" w:color="auto"/>
        <w:bottom w:val="none" w:sz="0" w:space="0" w:color="auto"/>
        <w:right w:val="none" w:sz="0" w:space="0" w:color="auto"/>
      </w:divBdr>
    </w:div>
    <w:div w:id="19880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C3342-E6D1-4B55-89EE-D1A96CA99020}"/>
</file>

<file path=customXml/itemProps2.xml><?xml version="1.0" encoding="utf-8"?>
<ds:datastoreItem xmlns:ds="http://schemas.openxmlformats.org/officeDocument/2006/customXml" ds:itemID="{5F24FF3C-F44B-48F0-BF9E-4C8C770BF32B}"/>
</file>

<file path=customXml/itemProps3.xml><?xml version="1.0" encoding="utf-8"?>
<ds:datastoreItem xmlns:ds="http://schemas.openxmlformats.org/officeDocument/2006/customXml" ds:itemID="{23C770D9-0F31-49FC-9E57-18AB7D2376FA}"/>
</file>

<file path=customXml/itemProps4.xml><?xml version="1.0" encoding="utf-8"?>
<ds:datastoreItem xmlns:ds="http://schemas.openxmlformats.org/officeDocument/2006/customXml" ds:itemID="{470A8DED-0419-4BEB-861C-57063199EDF2}"/>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3295</CharactersWithSpaces>
  <SharedDoc>false</SharedDoc>
  <HLinks>
    <vt:vector size="18" baseType="variant">
      <vt:variant>
        <vt:i4>4522100</vt:i4>
      </vt:variant>
      <vt:variant>
        <vt:i4>6</vt:i4>
      </vt:variant>
      <vt:variant>
        <vt:i4>0</vt:i4>
      </vt:variant>
      <vt:variant>
        <vt:i4>5</vt:i4>
      </vt:variant>
      <vt:variant>
        <vt:lpwstr>mailto:datarequest@pacificorp.com</vt:lpwstr>
      </vt:variant>
      <vt:variant>
        <vt:lpwstr/>
      </vt:variant>
      <vt:variant>
        <vt:i4>524401</vt:i4>
      </vt:variant>
      <vt:variant>
        <vt:i4>3</vt:i4>
      </vt:variant>
      <vt:variant>
        <vt:i4>0</vt:i4>
      </vt:variant>
      <vt:variant>
        <vt:i4>5</vt:i4>
      </vt:variant>
      <vt:variant>
        <vt:lpwstr>mailto:katherine@mcd-law.com</vt:lpwstr>
      </vt:variant>
      <vt:variant>
        <vt:lpwstr/>
      </vt:variant>
      <vt:variant>
        <vt:i4>1638513</vt:i4>
      </vt:variant>
      <vt:variant>
        <vt:i4>0</vt:i4>
      </vt:variant>
      <vt:variant>
        <vt:i4>0</vt:i4>
      </vt:variant>
      <vt:variant>
        <vt:i4>5</vt:i4>
      </vt:variant>
      <vt:variant>
        <vt:lpwstr>mailto:jordan.white@pacificorp.com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2015-11-24T06:58:00Z</dcterms:created>
  <dcterms:modified xsi:type="dcterms:W3CDTF">2015-11-24T06:58:00Z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