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D0" w:rsidRPr="00390AD0" w:rsidRDefault="00390AD0" w:rsidP="00390AD0">
      <w:pPr>
        <w:pStyle w:val="Heading4"/>
        <w:tabs>
          <w:tab w:val="clear" w:pos="360"/>
          <w:tab w:val="clear" w:pos="720"/>
          <w:tab w:val="clear" w:pos="5040"/>
        </w:tabs>
        <w:jc w:val="both"/>
        <w:rPr>
          <w:rFonts w:cs="Arial"/>
          <w:b w:val="0"/>
          <w:color w:val="000000"/>
        </w:rPr>
      </w:pPr>
      <w:bookmarkStart w:id="0" w:name="_GoBack"/>
      <w:bookmarkEnd w:id="0"/>
      <w:r w:rsidRPr="00390AD0">
        <w:rPr>
          <w:rFonts w:cs="Arial"/>
          <w:b w:val="0"/>
          <w:color w:val="000000"/>
        </w:rPr>
        <w:t>SPECIAL CONDITIONS:</w:t>
      </w:r>
      <w:r w:rsidR="00D75736" w:rsidRPr="00D75736">
        <w:rPr>
          <w:rFonts w:cs="Arial"/>
          <w:b w:val="0"/>
          <w:color w:val="000000"/>
          <w:u w:val="none"/>
        </w:rPr>
        <w:t xml:space="preserve"> (continued)</w:t>
      </w:r>
    </w:p>
    <w:p w:rsidR="00390AD0" w:rsidRPr="00390AD0" w:rsidRDefault="00390AD0" w:rsidP="00390AD0">
      <w:pPr>
        <w:ind w:left="1440" w:hanging="720"/>
        <w:rPr>
          <w:rFonts w:ascii="Arial" w:hAnsi="Arial" w:cs="Arial"/>
          <w:sz w:val="20"/>
        </w:rPr>
      </w:pPr>
    </w:p>
    <w:p w:rsidR="00D75736" w:rsidRPr="00D75736" w:rsidRDefault="00D75736" w:rsidP="00D75736">
      <w:pPr>
        <w:tabs>
          <w:tab w:val="left" w:pos="1440"/>
          <w:tab w:val="left" w:pos="6480"/>
        </w:tabs>
        <w:ind w:left="1440" w:hanging="720"/>
        <w:jc w:val="both"/>
        <w:rPr>
          <w:rFonts w:ascii="Arial" w:hAnsi="Arial" w:cs="Arial"/>
          <w:color w:val="000000"/>
          <w:sz w:val="20"/>
        </w:rPr>
      </w:pPr>
      <w:r w:rsidRPr="00D75736">
        <w:rPr>
          <w:rFonts w:ascii="Arial" w:hAnsi="Arial" w:cs="Arial"/>
          <w:color w:val="000000"/>
          <w:sz w:val="20"/>
        </w:rPr>
        <w:t>10.</w:t>
      </w:r>
      <w:r w:rsidRPr="00D75736">
        <w:rPr>
          <w:rFonts w:ascii="Arial" w:hAnsi="Arial" w:cs="Arial"/>
          <w:color w:val="000000"/>
          <w:sz w:val="20"/>
        </w:rPr>
        <w:tab/>
        <w:t>Failure to Comply during an Exchange Event.  The Company may take the following action if a Customer pledges, but does not reduce electricity usage per their curtailment pledge during an Exchange Event:</w:t>
      </w:r>
    </w:p>
    <w:p w:rsidR="00D75736" w:rsidRPr="00D75736" w:rsidRDefault="00D75736" w:rsidP="00D75736">
      <w:pPr>
        <w:tabs>
          <w:tab w:val="left" w:pos="1440"/>
          <w:tab w:val="left" w:pos="6480"/>
        </w:tabs>
        <w:ind w:left="1440" w:hanging="720"/>
        <w:jc w:val="both"/>
        <w:rPr>
          <w:rFonts w:ascii="Arial" w:hAnsi="Arial" w:cs="Arial"/>
          <w:color w:val="000000"/>
          <w:sz w:val="20"/>
        </w:rPr>
      </w:pPr>
    </w:p>
    <w:p w:rsidR="00D75736" w:rsidRPr="00D75736" w:rsidRDefault="00D75736" w:rsidP="00D75736">
      <w:pPr>
        <w:tabs>
          <w:tab w:val="left" w:pos="1440"/>
          <w:tab w:val="left" w:pos="6480"/>
        </w:tabs>
        <w:ind w:left="2700" w:hanging="540"/>
        <w:jc w:val="both"/>
        <w:rPr>
          <w:rFonts w:ascii="Arial" w:hAnsi="Arial" w:cs="Arial"/>
          <w:color w:val="000000"/>
          <w:sz w:val="20"/>
        </w:rPr>
      </w:pPr>
      <w:r w:rsidRPr="00D75736">
        <w:rPr>
          <w:rFonts w:ascii="Arial" w:hAnsi="Arial" w:cs="Arial"/>
          <w:color w:val="000000"/>
          <w:sz w:val="20"/>
          <w:u w:val="single"/>
        </w:rPr>
        <w:t>1</w:t>
      </w:r>
      <w:r w:rsidRPr="00D75736">
        <w:rPr>
          <w:rFonts w:ascii="Arial" w:hAnsi="Arial" w:cs="Arial"/>
          <w:color w:val="000000"/>
          <w:sz w:val="20"/>
          <w:u w:val="single"/>
          <w:vertAlign w:val="superscript"/>
        </w:rPr>
        <w:t xml:space="preserve">st </w:t>
      </w:r>
      <w:r w:rsidRPr="00D75736">
        <w:rPr>
          <w:rFonts w:ascii="Arial" w:hAnsi="Arial" w:cs="Arial"/>
          <w:color w:val="000000"/>
          <w:sz w:val="20"/>
          <w:u w:val="single"/>
        </w:rPr>
        <w:t>occurrence of noncompliance</w:t>
      </w:r>
      <w:r w:rsidRPr="00D75736">
        <w:rPr>
          <w:rFonts w:ascii="Arial" w:hAnsi="Arial" w:cs="Arial"/>
          <w:color w:val="000000"/>
          <w:sz w:val="20"/>
        </w:rPr>
        <w:t xml:space="preserve"> – The Customer shall provide the Company with a written explanation for noncompliance within 21 days at the conclusion of the Exchange Event.</w:t>
      </w:r>
    </w:p>
    <w:p w:rsidR="00D75736" w:rsidRPr="00D75736" w:rsidRDefault="00D75736" w:rsidP="00D75736">
      <w:pPr>
        <w:tabs>
          <w:tab w:val="left" w:pos="1440"/>
          <w:tab w:val="left" w:pos="6480"/>
        </w:tabs>
        <w:ind w:left="2700" w:hanging="540"/>
        <w:jc w:val="both"/>
        <w:rPr>
          <w:rFonts w:ascii="Arial" w:hAnsi="Arial" w:cs="Arial"/>
          <w:color w:val="000000"/>
          <w:sz w:val="20"/>
        </w:rPr>
      </w:pPr>
      <w:r w:rsidRPr="00D75736">
        <w:rPr>
          <w:rFonts w:ascii="Arial" w:hAnsi="Arial" w:cs="Arial"/>
          <w:color w:val="000000"/>
          <w:sz w:val="20"/>
          <w:u w:val="single"/>
        </w:rPr>
        <w:t>2</w:t>
      </w:r>
      <w:r w:rsidRPr="00D75736">
        <w:rPr>
          <w:rFonts w:ascii="Arial" w:hAnsi="Arial" w:cs="Arial"/>
          <w:color w:val="000000"/>
          <w:sz w:val="20"/>
          <w:u w:val="single"/>
          <w:vertAlign w:val="superscript"/>
        </w:rPr>
        <w:t>nd</w:t>
      </w:r>
      <w:r w:rsidRPr="00D75736">
        <w:rPr>
          <w:rFonts w:ascii="Arial" w:hAnsi="Arial" w:cs="Arial"/>
          <w:color w:val="000000"/>
          <w:sz w:val="20"/>
          <w:u w:val="single"/>
        </w:rPr>
        <w:t xml:space="preserve"> occurrence of noncompliance</w:t>
      </w:r>
      <w:r w:rsidRPr="00D75736">
        <w:rPr>
          <w:rFonts w:ascii="Arial" w:hAnsi="Arial" w:cs="Arial"/>
          <w:color w:val="000000"/>
          <w:sz w:val="20"/>
        </w:rPr>
        <w:t xml:space="preserve"> – The Company will limit the Customer’s Baseline Service Level for Exchange Events.</w:t>
      </w:r>
    </w:p>
    <w:p w:rsidR="00D75736" w:rsidRPr="00D75736" w:rsidRDefault="00D75736" w:rsidP="00D75736">
      <w:pPr>
        <w:tabs>
          <w:tab w:val="left" w:pos="1440"/>
          <w:tab w:val="left" w:pos="6480"/>
        </w:tabs>
        <w:ind w:left="2700" w:hanging="540"/>
        <w:jc w:val="both"/>
        <w:rPr>
          <w:rFonts w:ascii="Arial" w:hAnsi="Arial" w:cs="Arial"/>
          <w:color w:val="000000"/>
          <w:sz w:val="20"/>
        </w:rPr>
      </w:pPr>
      <w:r w:rsidRPr="00D75736">
        <w:rPr>
          <w:rFonts w:ascii="Arial" w:hAnsi="Arial" w:cs="Arial"/>
          <w:color w:val="000000"/>
          <w:sz w:val="20"/>
          <w:u w:val="single"/>
        </w:rPr>
        <w:t>3</w:t>
      </w:r>
      <w:r w:rsidRPr="00D75736">
        <w:rPr>
          <w:rFonts w:ascii="Arial" w:hAnsi="Arial" w:cs="Arial"/>
          <w:color w:val="000000"/>
          <w:sz w:val="20"/>
          <w:u w:val="single"/>
          <w:vertAlign w:val="superscript"/>
        </w:rPr>
        <w:t>rd</w:t>
      </w:r>
      <w:r w:rsidRPr="00D75736">
        <w:rPr>
          <w:rFonts w:ascii="Arial" w:hAnsi="Arial" w:cs="Arial"/>
          <w:color w:val="000000"/>
          <w:sz w:val="20"/>
          <w:u w:val="single"/>
        </w:rPr>
        <w:t xml:space="preserve"> occurrence of noncompliance</w:t>
      </w:r>
      <w:r w:rsidRPr="00D75736">
        <w:rPr>
          <w:rFonts w:ascii="Arial" w:hAnsi="Arial" w:cs="Arial"/>
          <w:color w:val="000000"/>
          <w:sz w:val="20"/>
        </w:rPr>
        <w:t xml:space="preserve"> – The Company will remove the Customer from the Energy Exchange program.</w:t>
      </w:r>
    </w:p>
    <w:p w:rsidR="00D75736" w:rsidRPr="00D75736" w:rsidRDefault="00D75736" w:rsidP="00D75736">
      <w:pPr>
        <w:tabs>
          <w:tab w:val="left" w:pos="1440"/>
          <w:tab w:val="left" w:pos="2160"/>
          <w:tab w:val="left" w:pos="6480"/>
        </w:tabs>
        <w:ind w:left="2160" w:hanging="720"/>
        <w:jc w:val="both"/>
        <w:rPr>
          <w:rFonts w:ascii="Arial" w:hAnsi="Arial" w:cs="Arial"/>
          <w:color w:val="000000"/>
          <w:sz w:val="20"/>
        </w:rPr>
      </w:pPr>
    </w:p>
    <w:p w:rsidR="00D75736" w:rsidRPr="00D75736" w:rsidRDefault="00D75736" w:rsidP="00D75736">
      <w:pPr>
        <w:pStyle w:val="BodyTextIndent"/>
        <w:tabs>
          <w:tab w:val="left" w:pos="-1890"/>
        </w:tabs>
        <w:ind w:left="1440" w:hanging="720"/>
        <w:rPr>
          <w:rFonts w:ascii="Arial" w:hAnsi="Arial" w:cs="Arial"/>
          <w:color w:val="000000"/>
          <w:sz w:val="20"/>
        </w:rPr>
      </w:pPr>
      <w:r w:rsidRPr="00D75736">
        <w:rPr>
          <w:rFonts w:ascii="Arial" w:hAnsi="Arial" w:cs="Arial"/>
          <w:color w:val="000000"/>
          <w:sz w:val="20"/>
        </w:rPr>
        <w:t>11.</w:t>
      </w:r>
      <w:r w:rsidRPr="00D75736">
        <w:rPr>
          <w:rFonts w:ascii="Arial" w:hAnsi="Arial" w:cs="Arial"/>
          <w:color w:val="000000"/>
          <w:sz w:val="20"/>
        </w:rPr>
        <w:tab/>
        <w:t>Early Termination.  If the Customer is terminated from this program, the Customer shall be responsible for reimbursing the Company for setup costs associated with enrolling the Customer in this program.  Setup costs include, but are not limited to, labor costs associated with enrolling the Customer in this program.</w:t>
      </w:r>
    </w:p>
    <w:p w:rsidR="00D75736" w:rsidRPr="00D75736" w:rsidRDefault="00D75736" w:rsidP="00D75736">
      <w:pPr>
        <w:pStyle w:val="Heading4"/>
        <w:tabs>
          <w:tab w:val="left" w:pos="-1890"/>
          <w:tab w:val="left" w:pos="0"/>
          <w:tab w:val="left" w:pos="6480"/>
        </w:tabs>
        <w:jc w:val="both"/>
        <w:rPr>
          <w:rFonts w:cs="Arial"/>
          <w:b w:val="0"/>
          <w:color w:val="000000"/>
        </w:rPr>
      </w:pPr>
      <w:r w:rsidRPr="00D75736">
        <w:rPr>
          <w:rFonts w:cs="Arial"/>
          <w:b w:val="0"/>
          <w:color w:val="000000"/>
        </w:rPr>
        <w:t>RULES AND REGULATIONS:</w:t>
      </w:r>
    </w:p>
    <w:p w:rsidR="00D75736" w:rsidRPr="00D75736" w:rsidRDefault="00D75736" w:rsidP="00D75736">
      <w:pPr>
        <w:tabs>
          <w:tab w:val="left" w:pos="-1890"/>
        </w:tabs>
        <w:jc w:val="both"/>
        <w:rPr>
          <w:rFonts w:ascii="Arial" w:hAnsi="Arial" w:cs="Arial"/>
          <w:color w:val="000000"/>
          <w:sz w:val="20"/>
        </w:rPr>
      </w:pPr>
      <w:r w:rsidRPr="00D75736">
        <w:rPr>
          <w:rFonts w:ascii="Arial" w:hAnsi="Arial" w:cs="Arial"/>
          <w:color w:val="000000"/>
          <w:sz w:val="20"/>
        </w:rPr>
        <w:tab/>
        <w:t>Service under this schedule is subject to the General Rules a</w:t>
      </w:r>
      <w:r>
        <w:rPr>
          <w:rFonts w:ascii="Arial" w:hAnsi="Arial" w:cs="Arial"/>
          <w:color w:val="000000"/>
          <w:sz w:val="20"/>
        </w:rPr>
        <w:t xml:space="preserve">nd Regulations contained in the </w:t>
      </w:r>
      <w:r w:rsidRPr="00D75736">
        <w:rPr>
          <w:rFonts w:ascii="Arial" w:hAnsi="Arial" w:cs="Arial"/>
          <w:color w:val="000000"/>
          <w:sz w:val="20"/>
        </w:rPr>
        <w:t>tariff of which this schedule is a part.</w:t>
      </w:r>
    </w:p>
    <w:p w:rsidR="00257BDC" w:rsidRPr="00E1257B" w:rsidRDefault="00257BDC" w:rsidP="00D75736">
      <w:pPr>
        <w:pStyle w:val="BodyTextIndent"/>
        <w:ind w:left="1440" w:hanging="720"/>
      </w:pPr>
    </w:p>
    <w:sectPr w:rsidR="00257BDC" w:rsidRPr="00E1257B"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61" w:rsidRDefault="00F05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F05061" w:rsidRDefault="00F05061" w:rsidP="00F0506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D08CD">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7D08CD">
      <w:rPr>
        <w:rFonts w:ascii="Arial" w:hAnsi="Arial" w:cs="Arial"/>
        <w:sz w:val="20"/>
      </w:rPr>
      <w:t>June 13</w:t>
    </w:r>
    <w:r>
      <w:rPr>
        <w:rFonts w:ascii="Arial" w:hAnsi="Arial" w:cs="Arial"/>
        <w:sz w:val="20"/>
      </w:rPr>
      <w:t>, 2011</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7D08CD" w:rsidRDefault="007D08CD" w:rsidP="007D08CD">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61" w:rsidRDefault="00F05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61" w:rsidRDefault="00DB27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79252" o:spid="_x0000_s10244" type="#_x0000_t136" style="position:absolute;margin-left:0;margin-top:0;width:715.5pt;height:134.25pt;rotation:315;z-index:-251637760;mso-position-horizontal:center;mso-position-horizontal-relative:margin;mso-position-vertical:center;mso-position-vertical-relative:margin" o:allowincell="f" fillcolor="#7f7f7f [1612]" stroked="f">
          <v:textpath style="font-family:&quot;TIMES&quot;;font-size:120pt" string="CANCEL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B57FBB" w:rsidRDefault="00DB27E3" w:rsidP="00B57FBB">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79253" o:spid="_x0000_s10245" type="#_x0000_t136" style="position:absolute;margin-left:0;margin-top:0;width:715.5pt;height:134.25pt;rotation:315;z-index:-251635712;mso-position-horizontal:center;mso-position-horizontal-relative:margin;mso-position-vertical:center;mso-position-vertical-relative:margin" o:allowincell="f" fillcolor="#7f7f7f [1612]" stroked="f">
          <v:textpath style="font-family:&quot;TIMES&quot;;font-size:120pt" string="CANCELLED"/>
        </v:shape>
      </w:pict>
    </w: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B57FB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257BDC">
      <w:rPr>
        <w:rFonts w:ascii="Arial" w:hAnsi="Arial" w:cs="Arial"/>
        <w:sz w:val="20"/>
      </w:rPr>
      <w:t xml:space="preserve"> No. 71</w:t>
    </w:r>
    <w:r w:rsidR="00162DE3">
      <w:rPr>
        <w:rFonts w:ascii="Arial" w:hAnsi="Arial" w:cs="Arial"/>
        <w:sz w:val="20"/>
      </w:rPr>
      <w:t>.</w:t>
    </w:r>
    <w:r w:rsidR="00D75736">
      <w:rPr>
        <w:rFonts w:ascii="Arial" w:hAnsi="Arial" w:cs="Arial"/>
        <w:sz w:val="20"/>
      </w:rPr>
      <w:t>5</w:t>
    </w:r>
  </w:p>
  <w:p w:rsidR="003960AD" w:rsidRDefault="003960AD">
    <w:pPr>
      <w:rPr>
        <w:rFonts w:ascii="Arial" w:hAnsi="Arial" w:cs="Arial"/>
        <w:sz w:val="20"/>
      </w:rPr>
    </w:pPr>
    <w:r>
      <w:rPr>
        <w:rFonts w:ascii="Arial" w:hAnsi="Arial" w:cs="Arial"/>
        <w:sz w:val="20"/>
      </w:rPr>
      <w:tab/>
    </w:r>
  </w:p>
  <w:p w:rsidR="003960AD" w:rsidRPr="00CF64E6" w:rsidRDefault="00257BDC" w:rsidP="00A91A21">
    <w:pPr>
      <w:tabs>
        <w:tab w:val="left" w:pos="7200"/>
      </w:tabs>
      <w:ind w:right="2160"/>
      <w:rPr>
        <w:rFonts w:ascii="Arial" w:hAnsi="Arial" w:cs="Arial"/>
        <w:b/>
        <w:sz w:val="24"/>
        <w:szCs w:val="24"/>
      </w:rPr>
    </w:pPr>
    <w:r>
      <w:rPr>
        <w:rFonts w:ascii="Arial" w:hAnsi="Arial" w:cs="Arial"/>
        <w:b/>
        <w:sz w:val="24"/>
        <w:szCs w:val="24"/>
      </w:rPr>
      <w:t>Schedule 71</w:t>
    </w:r>
  </w:p>
  <w:p w:rsidR="003960AD" w:rsidRDefault="00257BDC" w:rsidP="00A91A21">
    <w:pPr>
      <w:pBdr>
        <w:bottom w:val="single" w:sz="12" w:space="1" w:color="auto"/>
      </w:pBdr>
      <w:rPr>
        <w:rFonts w:ascii="Arial" w:hAnsi="Arial" w:cs="Arial"/>
        <w:b/>
        <w:sz w:val="20"/>
      </w:rPr>
    </w:pPr>
    <w:r>
      <w:rPr>
        <w:rFonts w:ascii="Arial" w:hAnsi="Arial" w:cs="Arial"/>
        <w:b/>
        <w:sz w:val="20"/>
      </w:rPr>
      <w:t>ENERGY EXCHANGE PROGRAM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61" w:rsidRDefault="00DB27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79251" o:spid="_x0000_s10243" type="#_x0000_t136" style="position:absolute;margin-left:0;margin-top:0;width:715.5pt;height:134.25pt;rotation:315;z-index:-251639808;mso-position-horizontal:center;mso-position-horizontal-relative:margin;mso-position-vertical:center;mso-position-vertical-relative:margin" o:allowincell="f" fillcolor="#7f7f7f [1612]" stroked="f">
          <v:textpath style="font-family:&quot;TIMES&quot;;font-size:120pt" string="CANCEL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153826C2"/>
    <w:multiLevelType w:val="singleLevel"/>
    <w:tmpl w:val="2F74EA5A"/>
    <w:lvl w:ilvl="0">
      <w:start w:val="3"/>
      <w:numFmt w:val="decimal"/>
      <w:lvlText w:val="%1."/>
      <w:lvlJc w:val="left"/>
      <w:pPr>
        <w:tabs>
          <w:tab w:val="num" w:pos="1440"/>
        </w:tabs>
        <w:ind w:left="1440" w:hanging="720"/>
      </w:pPr>
      <w:rPr>
        <w:rFont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57BDC"/>
    <w:rsid w:val="00266E07"/>
    <w:rsid w:val="002739D8"/>
    <w:rsid w:val="002972ED"/>
    <w:rsid w:val="002B1262"/>
    <w:rsid w:val="002C1B76"/>
    <w:rsid w:val="002C79BC"/>
    <w:rsid w:val="002D40E8"/>
    <w:rsid w:val="002D6729"/>
    <w:rsid w:val="002E41E4"/>
    <w:rsid w:val="002E6C6E"/>
    <w:rsid w:val="00322467"/>
    <w:rsid w:val="00341521"/>
    <w:rsid w:val="0034455A"/>
    <w:rsid w:val="00390AD0"/>
    <w:rsid w:val="003960AD"/>
    <w:rsid w:val="003C2525"/>
    <w:rsid w:val="003F72C1"/>
    <w:rsid w:val="004043D5"/>
    <w:rsid w:val="00457B71"/>
    <w:rsid w:val="00464C7E"/>
    <w:rsid w:val="00490AF3"/>
    <w:rsid w:val="004A30F3"/>
    <w:rsid w:val="004A52F7"/>
    <w:rsid w:val="004B1617"/>
    <w:rsid w:val="004C5FE8"/>
    <w:rsid w:val="00534D32"/>
    <w:rsid w:val="005369F8"/>
    <w:rsid w:val="00546A05"/>
    <w:rsid w:val="00555712"/>
    <w:rsid w:val="00564506"/>
    <w:rsid w:val="00577682"/>
    <w:rsid w:val="00580EC3"/>
    <w:rsid w:val="00583749"/>
    <w:rsid w:val="00590227"/>
    <w:rsid w:val="005A1156"/>
    <w:rsid w:val="005C397C"/>
    <w:rsid w:val="005E008E"/>
    <w:rsid w:val="005E29DE"/>
    <w:rsid w:val="005F64B9"/>
    <w:rsid w:val="005F7880"/>
    <w:rsid w:val="00622B69"/>
    <w:rsid w:val="00650B7B"/>
    <w:rsid w:val="006638F3"/>
    <w:rsid w:val="00683DDC"/>
    <w:rsid w:val="0068713C"/>
    <w:rsid w:val="006A266F"/>
    <w:rsid w:val="006E1287"/>
    <w:rsid w:val="006E424F"/>
    <w:rsid w:val="00710518"/>
    <w:rsid w:val="00716B4A"/>
    <w:rsid w:val="0072316D"/>
    <w:rsid w:val="007504BF"/>
    <w:rsid w:val="0077488B"/>
    <w:rsid w:val="007854E0"/>
    <w:rsid w:val="00790CE2"/>
    <w:rsid w:val="007B1728"/>
    <w:rsid w:val="007B7A3F"/>
    <w:rsid w:val="007D08CD"/>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57FBB"/>
    <w:rsid w:val="00B62CA7"/>
    <w:rsid w:val="00B64140"/>
    <w:rsid w:val="00B8202C"/>
    <w:rsid w:val="00B86CD1"/>
    <w:rsid w:val="00BA088F"/>
    <w:rsid w:val="00C0493E"/>
    <w:rsid w:val="00C210FD"/>
    <w:rsid w:val="00C31B67"/>
    <w:rsid w:val="00C37804"/>
    <w:rsid w:val="00C41C7D"/>
    <w:rsid w:val="00C60F7D"/>
    <w:rsid w:val="00C91131"/>
    <w:rsid w:val="00CD01ED"/>
    <w:rsid w:val="00CE6692"/>
    <w:rsid w:val="00CF64E6"/>
    <w:rsid w:val="00D23AB3"/>
    <w:rsid w:val="00D313E0"/>
    <w:rsid w:val="00D45A57"/>
    <w:rsid w:val="00D60206"/>
    <w:rsid w:val="00D75736"/>
    <w:rsid w:val="00D932B5"/>
    <w:rsid w:val="00DB2070"/>
    <w:rsid w:val="00DB27E3"/>
    <w:rsid w:val="00DC25FF"/>
    <w:rsid w:val="00DE2657"/>
    <w:rsid w:val="00DE409D"/>
    <w:rsid w:val="00E1257B"/>
    <w:rsid w:val="00E13A5F"/>
    <w:rsid w:val="00E44254"/>
    <w:rsid w:val="00E52C0F"/>
    <w:rsid w:val="00E53EC5"/>
    <w:rsid w:val="00E84454"/>
    <w:rsid w:val="00E86C83"/>
    <w:rsid w:val="00EE629E"/>
    <w:rsid w:val="00EF6074"/>
    <w:rsid w:val="00F05061"/>
    <w:rsid w:val="00F07160"/>
    <w:rsid w:val="00F07E74"/>
    <w:rsid w:val="00F30DDC"/>
    <w:rsid w:val="00F3756B"/>
    <w:rsid w:val="00F50525"/>
    <w:rsid w:val="00F528E2"/>
    <w:rsid w:val="00F66F8A"/>
    <w:rsid w:val="00FB35B6"/>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unhideWhenUsed/>
    <w:rsid w:val="00C41C7D"/>
    <w:pPr>
      <w:spacing w:after="120"/>
      <w:ind w:left="360"/>
    </w:pPr>
  </w:style>
  <w:style w:type="character" w:customStyle="1" w:styleId="BodyTextIndentChar">
    <w:name w:val="Body Text Indent Char"/>
    <w:basedOn w:val="DefaultParagraphFont"/>
    <w:link w:val="BodyTextIndent"/>
    <w:uiPriority w:val="99"/>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4172">
      <w:bodyDiv w:val="1"/>
      <w:marLeft w:val="0"/>
      <w:marRight w:val="0"/>
      <w:marTop w:val="0"/>
      <w:marBottom w:val="0"/>
      <w:divBdr>
        <w:top w:val="none" w:sz="0" w:space="0" w:color="auto"/>
        <w:left w:val="none" w:sz="0" w:space="0" w:color="auto"/>
        <w:bottom w:val="none" w:sz="0" w:space="0" w:color="auto"/>
        <w:right w:val="none" w:sz="0" w:space="0" w:color="auto"/>
      </w:divBdr>
    </w:div>
    <w:div w:id="1605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31E8B196AE2640BE2D63F81E7EF8BB" ma:contentTypeVersion="119" ma:contentTypeDescription="" ma:contentTypeScope="" ma:versionID="7d08921122cc3a1d7f2fffb061fd94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4409-F4E7-47FD-9AFE-0A5C67BAB176}"/>
</file>

<file path=customXml/itemProps2.xml><?xml version="1.0" encoding="utf-8"?>
<ds:datastoreItem xmlns:ds="http://schemas.openxmlformats.org/officeDocument/2006/customXml" ds:itemID="{F2539061-07C6-4D45-A6D1-D8AD7CEC0BF1}"/>
</file>

<file path=customXml/itemProps3.xml><?xml version="1.0" encoding="utf-8"?>
<ds:datastoreItem xmlns:ds="http://schemas.openxmlformats.org/officeDocument/2006/customXml" ds:itemID="{8BC4B003-7E12-4892-8CA0-D517EB77B6F5}"/>
</file>

<file path=customXml/itemProps4.xml><?xml version="1.0" encoding="utf-8"?>
<ds:datastoreItem xmlns:ds="http://schemas.openxmlformats.org/officeDocument/2006/customXml" ds:itemID="{01D33027-4232-4CBD-BB84-6BAA29406126}"/>
</file>

<file path=customXml/itemProps5.xml><?xml version="1.0" encoding="utf-8"?>
<ds:datastoreItem xmlns:ds="http://schemas.openxmlformats.org/officeDocument/2006/customXml" ds:itemID="{BE1C9CD9-9E79-415D-BB22-7B99129ED2DD}"/>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AEissler</cp:lastModifiedBy>
  <cp:revision>7</cp:revision>
  <cp:lastPrinted>2015-11-19T23:23:00Z</cp:lastPrinted>
  <dcterms:created xsi:type="dcterms:W3CDTF">2011-04-12T21:50:00Z</dcterms:created>
  <dcterms:modified xsi:type="dcterms:W3CDTF">2015-11-19T23:23:00Z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0x0101006E56B4D1795A2E4DB2F0B01679ED314A003A31E8B196AE2640BE2D63F81E7EF8BB</vt:lpwstr>
  </property>
  <property fmtid="{D5CDD505-2E9C-101B-9397-08002B2CF9AE}" pid="3" name="_docset_NoMedatataSyncRequired">
    <vt:lpwstr>False</vt:lpwstr>
  </property>
</Properties>
</file>