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iagrams/data1.xml" ContentType="application/vnd.openxmlformats-officedocument.drawingml.diagramData+xml"/>
  <Override PartName="/word/document.xml" ContentType="application/vnd.openxmlformats-officedocument.wordprocessingml.document.main+xml"/>
  <Override PartName="/word/header30.xml" ContentType="application/vnd.openxmlformats-officedocument.wordprocessingml.header+xml"/>
  <Override PartName="/word/header10.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7.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4.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9.xml" ContentType="application/vnd.openxmlformats-officedocument.wordprocessingml.header+xml"/>
  <Override PartName="/word/header18.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16.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header13.xml" ContentType="application/vnd.openxmlformats-officedocument.wordprocessingml.header+xml"/>
  <Override PartName="/word/footer9.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12.xml" ContentType="application/vnd.openxmlformats-officedocument.wordprocessingml.footer+xml"/>
  <Override PartName="/word/header27.xml" ContentType="application/vnd.openxmlformats-officedocument.wordprocessingml.header+xml"/>
  <Override PartName="/word/footer13.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4.xml" ContentType="application/vnd.openxmlformats-officedocument.wordprocessingml.footer+xml"/>
  <Override PartName="/word/footer11.xml" ContentType="application/vnd.openxmlformats-officedocument.wordprocessingml.footer+xml"/>
  <Override PartName="/word/header26.xml" ContentType="application/vnd.openxmlformats-officedocument.wordprocessingml.header+xml"/>
  <Override PartName="/word/header25.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23.xml" ContentType="application/vnd.openxmlformats-officedocument.wordprocessingml.header+xml"/>
  <Override PartName="/word/footer10.xml" ContentType="application/vnd.openxmlformats-officedocument.wordprocessingml.footer+xml"/>
  <Override PartName="/word/header24.xml" ContentType="application/vnd.openxmlformats-officedocument.wordprocessingml.header+xml"/>
  <Override PartName="/word/header20.xml" ContentType="application/vnd.openxmlformats-officedocument.wordprocessingml.header+xml"/>
  <Override PartName="/word/theme/theme1.xml" ContentType="application/vnd.openxmlformats-officedocument.theme+xml"/>
  <Override PartName="/word/diagrams/layout1.xml" ContentType="application/vnd.openxmlformats-officedocument.drawingml.diagramLayout+xml"/>
  <Override PartName="/word/diagrams/colors1.xml" ContentType="application/vnd.openxmlformats-officedocument.drawingml.diagramColors+xml"/>
  <Override PartName="/word/diagrams/quickStyle1.xml" ContentType="application/vnd.openxmlformats-officedocument.drawingml.diagramStyle+xml"/>
  <Override PartName="/word/diagrams/drawing1.xml" ContentType="application/vnd.ms-office.drawingml.diagramDrawing+xml"/>
  <Override PartName="/word/settings.xml" ContentType="application/vnd.openxmlformats-officedocument.wordprocessingml.settings+xml"/>
  <Override PartName="/word/numbering.xml" ContentType="application/vnd.openxmlformats-officedocument.wordprocessingml.numbering+xml"/>
  <Override PartName="/word/stylesWithEffects.xml" ContentType="application/vnd.ms-word.stylesWithEffect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imes New Roman" w:eastAsiaTheme="majorEastAsia" w:hAnsi="Times New Roman" w:cs="Times New Roman"/>
          <w:sz w:val="72"/>
          <w:szCs w:val="72"/>
        </w:rPr>
        <w:id w:val="28656208"/>
        <w:docPartObj>
          <w:docPartGallery w:val="Cover Pages"/>
          <w:docPartUnique/>
        </w:docPartObj>
      </w:sdtPr>
      <w:sdtEndPr>
        <w:rPr>
          <w:rFonts w:eastAsiaTheme="minorEastAsia"/>
          <w:sz w:val="22"/>
          <w:szCs w:val="22"/>
        </w:rPr>
      </w:sdtEndPr>
      <w:sdtContent>
        <w:p w:rsidR="000048F7" w:rsidRPr="00432C28" w:rsidRDefault="00937998">
          <w:pPr>
            <w:pStyle w:val="NoSpacing"/>
            <w:rPr>
              <w:rFonts w:ascii="Times New Roman" w:eastAsiaTheme="majorEastAsia" w:hAnsi="Times New Roman" w:cs="Times New Roman"/>
              <w:sz w:val="72"/>
              <w:szCs w:val="72"/>
            </w:rPr>
          </w:pPr>
          <w:r>
            <w:rPr>
              <w:rFonts w:ascii="Times New Roman" w:eastAsiaTheme="majorEastAsia" w:hAnsi="Times New Roman" w:cs="Times New Roman"/>
              <w:noProof/>
            </w:rPr>
            <mc:AlternateContent>
              <mc:Choice Requires="wps">
                <w:drawing>
                  <wp:anchor distT="0" distB="0" distL="114300" distR="114300" simplePos="0" relativeHeight="251661312" behindDoc="0" locked="0" layoutInCell="0" allowOverlap="1" wp14:anchorId="687C132A" wp14:editId="7AF82D70">
                    <wp:simplePos x="0" y="0"/>
                    <wp:positionH relativeFrom="page">
                      <wp:align>center</wp:align>
                    </wp:positionH>
                    <wp:positionV relativeFrom="page">
                      <wp:align>bottom</wp:align>
                    </wp:positionV>
                    <wp:extent cx="8144510" cy="805180"/>
                    <wp:effectExtent l="0" t="0" r="11430" b="1524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4510" cy="805180"/>
                            </a:xfrm>
                            <a:prstGeom prst="rect">
                              <a:avLst/>
                            </a:prstGeom>
                            <a:solidFill>
                              <a:schemeClr val="tx2">
                                <a:lumMod val="40000"/>
                                <a:lumOff val="60000"/>
                              </a:schemeClr>
                            </a:solidFill>
                            <a:ln w="9525">
                              <a:solidFill>
                                <a:schemeClr val="tx2">
                                  <a:lumMod val="40000"/>
                                  <a:lumOff val="60000"/>
                                </a:schemeClr>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2" o:spid="_x0000_s1026" style="position:absolute;margin-left:0;margin-top:0;width:641.3pt;height:63.4pt;z-index:251661312;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" o:allowincell="f" fillcolor="#8db3e2 [1311]" strokecolor="#8db3e2 [1311]">
                    <w10:wrap anchorx="page" anchory="page"/>
                  </v:rect>
                </w:pict>
              </mc:Fallback>
            </mc:AlternateContent>
          </w:r>
          <w:r>
            <w:rPr>
              <w:rFonts w:ascii="Times New Roman" w:eastAsiaTheme="majorEastAsia" w:hAnsi="Times New Roman" w:cs="Times New Roman"/>
              <w:noProof/>
            </w:rPr>
            <mc:AlternateContent>
              <mc:Choice Requires="wps">
                <w:drawing>
                  <wp:anchor distT="0" distB="0" distL="114300" distR="114300" simplePos="0" relativeHeight="251664384" behindDoc="0" locked="0" layoutInCell="0" allowOverlap="1" wp14:anchorId="1DF41335" wp14:editId="379192EC">
                    <wp:simplePos x="0" y="0"/>
                    <wp:positionH relativeFrom="leftMargin">
                      <wp:align>center</wp:align>
                    </wp:positionH>
                    <wp:positionV relativeFrom="page">
                      <wp:align>center</wp:align>
                    </wp:positionV>
                    <wp:extent cx="90805" cy="10544810"/>
                    <wp:effectExtent l="0" t="0" r="23495" b="1143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44810"/>
                            </a:xfrm>
                            <a:prstGeom prst="rect">
                              <a:avLst/>
                            </a:prstGeom>
                            <a:solidFill>
                              <a:schemeClr val="bg1">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5" o:spid="_x0000_s1026" style="position:absolute;margin-left:0;margin-top:0;width:7.15pt;height:830.3pt;z-index:251664384;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" o:allowincell="f" fillcolor="white [3212]" strokecolor="#31849b [2408]">
                    <w10:wrap anchorx="margin" anchory="page"/>
                  </v:rect>
                </w:pict>
              </mc:Fallback>
            </mc:AlternateContent>
          </w:r>
          <w:r>
            <w:rPr>
              <w:rFonts w:ascii="Times New Roman" w:eastAsiaTheme="majorEastAsia" w:hAnsi="Times New Roman" w:cs="Times New Roman"/>
              <w:noProof/>
            </w:rPr>
            <mc:AlternateContent>
              <mc:Choice Requires="wps">
                <w:drawing>
                  <wp:anchor distT="0" distB="0" distL="114300" distR="114300" simplePos="0" relativeHeight="251663360" behindDoc="0" locked="0" layoutInCell="0" allowOverlap="1" wp14:anchorId="66BE4A30" wp14:editId="2D310734">
                    <wp:simplePos x="0" y="0"/>
                    <wp:positionH relativeFrom="rightMargin">
                      <wp:align>center</wp:align>
                    </wp:positionH>
                    <wp:positionV relativeFrom="page">
                      <wp:align>center</wp:align>
                    </wp:positionV>
                    <wp:extent cx="90805" cy="10544810"/>
                    <wp:effectExtent l="0" t="0" r="23495" b="1143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44810"/>
                            </a:xfrm>
                            <a:prstGeom prst="rect">
                              <a:avLst/>
                            </a:prstGeom>
                            <a:solidFill>
                              <a:schemeClr val="bg1">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4" o:spid="_x0000_s1026" style="position:absolute;margin-left:0;margin-top:0;width:7.15pt;height:830.3pt;z-index:251663360;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" o:allowincell="f" fillcolor="white [3212]" strokecolor="#31849b [2408]">
                    <w10:wrap anchorx="margin" anchory="page"/>
                  </v:rect>
                </w:pict>
              </mc:Fallback>
            </mc:AlternateContent>
          </w:r>
          <w:r>
            <w:rPr>
              <w:rFonts w:ascii="Times New Roman" w:eastAsiaTheme="majorEastAsia" w:hAnsi="Times New Roman" w:cs="Times New Roman"/>
              <w:noProof/>
            </w:rPr>
            <mc:AlternateContent>
              <mc:Choice Requires="wps">
                <w:drawing>
                  <wp:anchor distT="0" distB="0" distL="114300" distR="114300" simplePos="0" relativeHeight="251662336" behindDoc="0" locked="0" layoutInCell="0" allowOverlap="1" wp14:anchorId="4CEE21B8" wp14:editId="669062CA">
                    <wp:simplePos x="0" y="0"/>
                    <wp:positionH relativeFrom="page">
                      <wp:align>center</wp:align>
                    </wp:positionH>
                    <wp:positionV relativeFrom="topMargin">
                      <wp:align>top</wp:align>
                    </wp:positionV>
                    <wp:extent cx="8144510" cy="805180"/>
                    <wp:effectExtent l="0" t="0" r="11430" b="1524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4510" cy="805180"/>
                            </a:xfrm>
                            <a:prstGeom prst="rect">
                              <a:avLst/>
                            </a:prstGeom>
                            <a:solidFill>
                              <a:schemeClr val="tx2">
                                <a:lumMod val="40000"/>
                                <a:lumOff val="60000"/>
                              </a:schemeClr>
                            </a:solidFill>
                            <a:ln w="9525">
                              <a:solidFill>
                                <a:schemeClr val="accent5">
                                  <a:lumMod val="75000"/>
                                  <a:lumOff val="0"/>
                                </a:schemeClr>
                              </a:solidFill>
                              <a:miter lim="800000"/>
                              <a:headEnd/>
                              <a:tailEnd/>
                            </a:ln>
                          </wps:spPr>
                          <wps:txbx>
                            <w:txbxContent>
                              <w:p w:rsidR="00B12FF2" w:rsidRDefault="00B12FF2"/>
                            </w:txbxContent>
                          </wps:txbx>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3" o:spid="_x0000_s1026" style="position:absolute;margin-left:0;margin-top:0;width:641.3pt;height:63.4pt;z-index:251662336;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" o:allowincell="f" fillcolor="#8db3e2 [1311]" strokecolor="#31849b [2408]">
                    <v:textbox>
                      <w:txbxContent>
                        <w:p w:rsidR="00EF1474" w:rsidRDefault="00EF1474"/>
                      </w:txbxContent>
                    </v:textbox>
                    <w10:wrap anchorx="page" anchory="margin"/>
                  </v:rect>
                </w:pict>
              </mc:Fallback>
            </mc:AlternateContent>
          </w:r>
        </w:p>
        <w:p w:rsidR="00C72FAA" w:rsidRPr="00432C28" w:rsidRDefault="000C50C9" w:rsidP="00C72FAA">
          <w:pPr>
            <w:pStyle w:val="NoSpacing"/>
            <w:rPr>
              <w:rFonts w:ascii="Times New Roman" w:eastAsiaTheme="majorEastAsia" w:hAnsi="Times New Roman" w:cs="Times New Roman"/>
              <w:sz w:val="72"/>
              <w:szCs w:val="72"/>
            </w:rPr>
          </w:pPr>
          <w:r w:rsidRPr="00432C28">
            <w:rPr>
              <w:rFonts w:ascii="Times New Roman" w:eastAsiaTheme="majorEastAsia" w:hAnsi="Times New Roman" w:cs="Times New Roman"/>
              <w:sz w:val="72"/>
              <w:szCs w:val="72"/>
            </w:rPr>
            <w:t>PacifiCorp’s Ten-Year</w:t>
          </w:r>
          <w:r w:rsidR="00F80C70" w:rsidRPr="00432C28">
            <w:rPr>
              <w:rFonts w:ascii="Times New Roman" w:eastAsiaTheme="majorEastAsia" w:hAnsi="Times New Roman" w:cs="Times New Roman"/>
              <w:sz w:val="72"/>
              <w:szCs w:val="72"/>
            </w:rPr>
            <w:t xml:space="preserve"> </w:t>
          </w:r>
          <w:r w:rsidRPr="00432C28">
            <w:rPr>
              <w:rFonts w:ascii="Times New Roman" w:eastAsiaTheme="majorEastAsia" w:hAnsi="Times New Roman" w:cs="Times New Roman"/>
              <w:sz w:val="72"/>
              <w:szCs w:val="72"/>
            </w:rPr>
            <w:t>Conservation Potential and 201</w:t>
          </w:r>
          <w:r w:rsidR="00F32F61">
            <w:rPr>
              <w:rFonts w:ascii="Times New Roman" w:eastAsiaTheme="majorEastAsia" w:hAnsi="Times New Roman" w:cs="Times New Roman"/>
              <w:sz w:val="72"/>
              <w:szCs w:val="72"/>
            </w:rPr>
            <w:t>6</w:t>
          </w:r>
          <w:r w:rsidRPr="00432C28">
            <w:rPr>
              <w:rFonts w:ascii="Times New Roman" w:eastAsiaTheme="majorEastAsia" w:hAnsi="Times New Roman" w:cs="Times New Roman"/>
              <w:sz w:val="72"/>
              <w:szCs w:val="72"/>
            </w:rPr>
            <w:t xml:space="preserve"> - 201</w:t>
          </w:r>
          <w:r w:rsidR="00F32F61">
            <w:rPr>
              <w:rFonts w:ascii="Times New Roman" w:eastAsiaTheme="majorEastAsia" w:hAnsi="Times New Roman" w:cs="Times New Roman"/>
              <w:sz w:val="72"/>
              <w:szCs w:val="72"/>
            </w:rPr>
            <w:t>7</w:t>
          </w:r>
          <w:r w:rsidRPr="00432C28">
            <w:rPr>
              <w:rFonts w:ascii="Times New Roman" w:eastAsiaTheme="majorEastAsia" w:hAnsi="Times New Roman" w:cs="Times New Roman"/>
              <w:sz w:val="72"/>
              <w:szCs w:val="72"/>
            </w:rPr>
            <w:t xml:space="preserve"> Biennial Conservation Target for its Washington Service Area</w:t>
          </w:r>
        </w:p>
        <w:p w:rsidR="001B5D8B" w:rsidRPr="00432C28" w:rsidRDefault="001B5D8B" w:rsidP="00C72FAA">
          <w:pPr>
            <w:pStyle w:val="NoSpacing"/>
            <w:rPr>
              <w:rFonts w:ascii="Times New Roman" w:eastAsiaTheme="majorEastAsia" w:hAnsi="Times New Roman" w:cs="Times New Roman"/>
              <w:sz w:val="40"/>
              <w:szCs w:val="40"/>
            </w:rPr>
          </w:pPr>
        </w:p>
        <w:p w:rsidR="001B5D8B" w:rsidRPr="00432C28" w:rsidRDefault="00E95CEE" w:rsidP="00C72FAA">
          <w:pPr>
            <w:pStyle w:val="NoSpacing"/>
            <w:rPr>
              <w:rFonts w:ascii="Times New Roman" w:eastAsiaTheme="majorEastAsia" w:hAnsi="Times New Roman" w:cs="Times New Roman"/>
              <w:sz w:val="48"/>
              <w:szCs w:val="48"/>
            </w:rPr>
          </w:pPr>
          <w:r>
            <w:rPr>
              <w:rFonts w:ascii="Times New Roman" w:eastAsiaTheme="majorEastAsia" w:hAnsi="Times New Roman" w:cs="Times New Roman"/>
              <w:sz w:val="48"/>
              <w:szCs w:val="48"/>
            </w:rPr>
            <w:t>October 30</w:t>
          </w:r>
          <w:r w:rsidR="002E5164" w:rsidRPr="00432C28">
            <w:rPr>
              <w:rFonts w:ascii="Times New Roman" w:eastAsiaTheme="majorEastAsia" w:hAnsi="Times New Roman" w:cs="Times New Roman"/>
              <w:sz w:val="48"/>
              <w:szCs w:val="48"/>
            </w:rPr>
            <w:t>, 201</w:t>
          </w:r>
          <w:r w:rsidR="00F32F61">
            <w:rPr>
              <w:rFonts w:ascii="Times New Roman" w:eastAsiaTheme="majorEastAsia" w:hAnsi="Times New Roman" w:cs="Times New Roman"/>
              <w:sz w:val="48"/>
              <w:szCs w:val="48"/>
            </w:rPr>
            <w:t>5</w:t>
          </w:r>
        </w:p>
        <w:p w:rsidR="00C72FAA" w:rsidRPr="00432C28" w:rsidRDefault="00C72FAA" w:rsidP="00C72FAA">
          <w:pPr>
            <w:pStyle w:val="NoSpacing"/>
            <w:rPr>
              <w:rFonts w:ascii="Times New Roman" w:eastAsiaTheme="majorEastAsia" w:hAnsi="Times New Roman" w:cs="Times New Roman"/>
              <w:sz w:val="36"/>
              <w:szCs w:val="36"/>
            </w:rPr>
          </w:pPr>
        </w:p>
        <w:p w:rsidR="000048F7" w:rsidRPr="00432C28" w:rsidRDefault="000048F7">
          <w:pPr>
            <w:pStyle w:val="NoSpacing"/>
            <w:rPr>
              <w:rFonts w:ascii="Times New Roman" w:eastAsiaTheme="majorEastAsia" w:hAnsi="Times New Roman" w:cs="Times New Roman"/>
              <w:sz w:val="36"/>
              <w:szCs w:val="36"/>
            </w:rPr>
          </w:pPr>
        </w:p>
        <w:p w:rsidR="000048F7" w:rsidRPr="00432C28" w:rsidRDefault="0091731F">
          <w:pPr>
            <w:pStyle w:val="NoSpacing"/>
            <w:rPr>
              <w:rFonts w:ascii="Times New Roman" w:eastAsiaTheme="majorEastAsia" w:hAnsi="Times New Roman" w:cs="Times New Roman"/>
              <w:sz w:val="36"/>
              <w:szCs w:val="36"/>
            </w:rPr>
          </w:pPr>
          <w:r>
            <w:rPr>
              <w:rFonts w:ascii="Times New Roman" w:eastAsiaTheme="majorEastAsia" w:hAnsi="Times New Roman" w:cs="Times New Roman"/>
              <w:noProof/>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54.7pt;margin-top:6.2pt;width:358.6pt;height:241.5pt;z-index:251665408" fillcolor="#0c9">
                <v:fill o:detectmouseclick="t"/>
                <v:imagedata r:id="rId9" o:title=""/>
              </v:shape>
              <o:OLEObject Type="Embed" ProgID="Unknown" ShapeID="_x0000_s1030" DrawAspect="Content" ObjectID="_1507719774" r:id="rId10"/>
            </w:pict>
          </w:r>
        </w:p>
        <w:p w:rsidR="000048F7" w:rsidRPr="00432C28" w:rsidRDefault="000048F7">
          <w:pPr>
            <w:pStyle w:val="NoSpacing"/>
            <w:rPr>
              <w:rFonts w:ascii="Times New Roman" w:eastAsiaTheme="majorEastAsia" w:hAnsi="Times New Roman" w:cs="Times New Roman"/>
              <w:sz w:val="36"/>
              <w:szCs w:val="36"/>
            </w:rPr>
          </w:pPr>
        </w:p>
        <w:p w:rsidR="000048F7" w:rsidRPr="00432C28" w:rsidRDefault="000048F7">
          <w:pPr>
            <w:pStyle w:val="NoSpacing"/>
            <w:rPr>
              <w:rFonts w:ascii="Times New Roman" w:eastAsiaTheme="majorEastAsia" w:hAnsi="Times New Roman" w:cs="Times New Roman"/>
              <w:sz w:val="36"/>
              <w:szCs w:val="36"/>
            </w:rPr>
          </w:pPr>
        </w:p>
        <w:p w:rsidR="000048F7" w:rsidRPr="00432C28" w:rsidRDefault="000048F7">
          <w:pPr>
            <w:pStyle w:val="NoSpacing"/>
            <w:rPr>
              <w:rFonts w:ascii="Times New Roman" w:eastAsiaTheme="majorEastAsia" w:hAnsi="Times New Roman" w:cs="Times New Roman"/>
              <w:sz w:val="36"/>
              <w:szCs w:val="36"/>
            </w:rPr>
          </w:pPr>
        </w:p>
        <w:p w:rsidR="000048F7" w:rsidRPr="00432C28" w:rsidRDefault="000048F7">
          <w:pPr>
            <w:pStyle w:val="NoSpacing"/>
            <w:rPr>
              <w:rFonts w:ascii="Times New Roman" w:eastAsiaTheme="majorEastAsia" w:hAnsi="Times New Roman" w:cs="Times New Roman"/>
              <w:sz w:val="36"/>
              <w:szCs w:val="36"/>
            </w:rPr>
          </w:pPr>
        </w:p>
        <w:p w:rsidR="000048F7" w:rsidRPr="00432C28" w:rsidRDefault="000048F7">
          <w:pPr>
            <w:pStyle w:val="NoSpacing"/>
            <w:rPr>
              <w:rFonts w:ascii="Times New Roman" w:eastAsiaTheme="majorEastAsia" w:hAnsi="Times New Roman" w:cs="Times New Roman"/>
              <w:sz w:val="36"/>
              <w:szCs w:val="36"/>
            </w:rPr>
          </w:pPr>
        </w:p>
        <w:p w:rsidR="000048F7" w:rsidRPr="00432C28" w:rsidRDefault="000048F7">
          <w:pPr>
            <w:pStyle w:val="NoSpacing"/>
            <w:rPr>
              <w:rFonts w:ascii="Times New Roman" w:eastAsiaTheme="majorEastAsia" w:hAnsi="Times New Roman" w:cs="Times New Roman"/>
              <w:sz w:val="36"/>
              <w:szCs w:val="36"/>
            </w:rPr>
          </w:pPr>
        </w:p>
        <w:p w:rsidR="000048F7" w:rsidRPr="00432C28" w:rsidRDefault="000048F7">
          <w:pPr>
            <w:pStyle w:val="NoSpacing"/>
            <w:rPr>
              <w:rFonts w:ascii="Times New Roman" w:eastAsiaTheme="majorEastAsia" w:hAnsi="Times New Roman" w:cs="Times New Roman"/>
              <w:sz w:val="36"/>
              <w:szCs w:val="36"/>
            </w:rPr>
          </w:pPr>
        </w:p>
        <w:p w:rsidR="000048F7" w:rsidRPr="00432C28" w:rsidRDefault="000048F7">
          <w:pPr>
            <w:pStyle w:val="NoSpacing"/>
            <w:rPr>
              <w:rFonts w:ascii="Times New Roman" w:eastAsiaTheme="majorEastAsia" w:hAnsi="Times New Roman" w:cs="Times New Roman"/>
              <w:sz w:val="36"/>
              <w:szCs w:val="36"/>
            </w:rPr>
          </w:pPr>
        </w:p>
        <w:p w:rsidR="000048F7" w:rsidRPr="00432C28" w:rsidRDefault="000048F7">
          <w:pPr>
            <w:pStyle w:val="NoSpacing"/>
            <w:rPr>
              <w:rFonts w:ascii="Times New Roman" w:eastAsiaTheme="majorEastAsia" w:hAnsi="Times New Roman" w:cs="Times New Roman"/>
              <w:sz w:val="36"/>
              <w:szCs w:val="36"/>
            </w:rPr>
          </w:pPr>
        </w:p>
        <w:p w:rsidR="000048F7" w:rsidRPr="00432C28" w:rsidRDefault="000048F7">
          <w:pPr>
            <w:pStyle w:val="NoSpacing"/>
            <w:rPr>
              <w:rFonts w:ascii="Times New Roman" w:eastAsiaTheme="majorEastAsia" w:hAnsi="Times New Roman" w:cs="Times New Roman"/>
              <w:sz w:val="36"/>
              <w:szCs w:val="36"/>
            </w:rPr>
          </w:pPr>
        </w:p>
        <w:p w:rsidR="000048F7" w:rsidRPr="00432C28" w:rsidRDefault="000048F7">
          <w:pPr>
            <w:pStyle w:val="NoSpacing"/>
            <w:rPr>
              <w:rFonts w:ascii="Times New Roman" w:eastAsiaTheme="majorEastAsia" w:hAnsi="Times New Roman" w:cs="Times New Roman"/>
              <w:sz w:val="36"/>
              <w:szCs w:val="36"/>
            </w:rPr>
          </w:pPr>
        </w:p>
        <w:p w:rsidR="000048F7" w:rsidRPr="00432C28" w:rsidRDefault="000048F7">
          <w:pPr>
            <w:pStyle w:val="NoSpacing"/>
            <w:rPr>
              <w:rFonts w:ascii="Times New Roman" w:eastAsiaTheme="majorEastAsia" w:hAnsi="Times New Roman" w:cs="Times New Roman"/>
              <w:sz w:val="36"/>
              <w:szCs w:val="36"/>
            </w:rPr>
          </w:pPr>
        </w:p>
        <w:p w:rsidR="000048F7" w:rsidRPr="00432C28" w:rsidRDefault="000048F7">
          <w:pPr>
            <w:pStyle w:val="NoSpacing"/>
            <w:rPr>
              <w:rFonts w:ascii="Times New Roman" w:eastAsiaTheme="majorEastAsia" w:hAnsi="Times New Roman" w:cs="Times New Roman"/>
              <w:sz w:val="36"/>
              <w:szCs w:val="36"/>
            </w:rPr>
          </w:pPr>
        </w:p>
        <w:p w:rsidR="000048F7" w:rsidRPr="00432C28" w:rsidRDefault="000048F7" w:rsidP="00A41F46">
          <w:pPr>
            <w:pStyle w:val="NoSpacing"/>
            <w:jc w:val="right"/>
            <w:rPr>
              <w:rFonts w:ascii="Times New Roman" w:eastAsiaTheme="majorEastAsia" w:hAnsi="Times New Roman" w:cs="Times New Roman"/>
              <w:sz w:val="18"/>
              <w:szCs w:val="18"/>
            </w:rPr>
          </w:pPr>
        </w:p>
        <w:p w:rsidR="000E74FE" w:rsidRPr="00432C28" w:rsidRDefault="00480F67" w:rsidP="00BD0B9E">
          <w:pPr>
            <w:pStyle w:val="NoSpacing"/>
            <w:jc w:val="right"/>
            <w:rPr>
              <w:rFonts w:ascii="Times New Roman" w:eastAsiaTheme="majorEastAsia" w:hAnsi="Times New Roman" w:cs="Times New Roman"/>
              <w:sz w:val="36"/>
              <w:szCs w:val="36"/>
            </w:rPr>
          </w:pPr>
          <w:r w:rsidRPr="00432C28">
            <w:rPr>
              <w:rFonts w:ascii="Times New Roman" w:hAnsi="Times New Roman" w:cs="Times New Roman"/>
              <w:noProof/>
            </w:rPr>
            <w:lastRenderedPageBreak/>
            <w:drawing>
              <wp:inline distT="0" distB="0" distL="0" distR="0" wp14:anchorId="4C2ABC25" wp14:editId="1E80AC56">
                <wp:extent cx="2377440" cy="385710"/>
                <wp:effectExtent l="19050" t="0" r="3810" b="0"/>
                <wp:docPr id="7" name="Picture 3" descr="http://idoc.pacificorp.us/File/File638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doc.pacificorp.us/File/File63898.jpg"/>
                        <pic:cNvPicPr>
                          <a:picLocks noChangeAspect="1" noChangeArrowheads="1"/>
                        </pic:cNvPicPr>
                      </pic:nvPicPr>
                      <pic:blipFill>
                        <a:blip r:embed="rId11" cstate="print"/>
                        <a:srcRect/>
                        <a:stretch>
                          <a:fillRect/>
                        </a:stretch>
                      </pic:blipFill>
                      <pic:spPr bwMode="auto">
                        <a:xfrm>
                          <a:off x="0" y="0"/>
                          <a:ext cx="2377440" cy="385710"/>
                        </a:xfrm>
                        <a:prstGeom prst="rect">
                          <a:avLst/>
                        </a:prstGeom>
                        <a:noFill/>
                        <a:ln w="9525">
                          <a:noFill/>
                          <a:miter lim="800000"/>
                          <a:headEnd/>
                          <a:tailEnd/>
                        </a:ln>
                      </pic:spPr>
                    </pic:pic>
                  </a:graphicData>
                </a:graphic>
              </wp:inline>
            </w:drawing>
          </w:r>
        </w:p>
      </w:sdtContent>
    </w:sdt>
    <w:p w:rsidR="00A22235" w:rsidRPr="00432C28" w:rsidRDefault="00A22235" w:rsidP="00FA4341">
      <w:pPr>
        <w:rPr>
          <w:rFonts w:cs="Times New Roman"/>
          <w:b/>
          <w:szCs w:val="24"/>
        </w:rPr>
      </w:pPr>
    </w:p>
    <w:sdt>
      <w:sdtPr>
        <w:rPr>
          <w:rFonts w:ascii="Times New Roman" w:eastAsiaTheme="minorHAnsi" w:hAnsi="Times New Roman" w:cs="Times New Roman"/>
          <w:b w:val="0"/>
          <w:bCs w:val="0"/>
          <w:sz w:val="24"/>
          <w:szCs w:val="22"/>
          <w:u w:val="none"/>
        </w:rPr>
        <w:id w:val="332141142"/>
        <w:docPartObj>
          <w:docPartGallery w:val="Table of Contents"/>
          <w:docPartUnique/>
        </w:docPartObj>
      </w:sdtPr>
      <w:sdtEndPr/>
      <w:sdtContent>
        <w:p w:rsidR="00BD0B9E" w:rsidRPr="00432C28" w:rsidRDefault="00BD0B9E" w:rsidP="00BD0B9E">
          <w:pPr>
            <w:pStyle w:val="TOCHeading"/>
            <w:jc w:val="center"/>
            <w:rPr>
              <w:rFonts w:ascii="Times New Roman" w:hAnsi="Times New Roman" w:cs="Times New Roman"/>
            </w:rPr>
          </w:pPr>
          <w:r w:rsidRPr="00432C28">
            <w:rPr>
              <w:rFonts w:ascii="Times New Roman" w:hAnsi="Times New Roman" w:cs="Times New Roman"/>
            </w:rPr>
            <w:t>Table of Contents</w:t>
          </w:r>
        </w:p>
        <w:p w:rsidR="00BD0B9E" w:rsidRPr="00432C28" w:rsidRDefault="00BD0B9E" w:rsidP="00BD0B9E">
          <w:pPr>
            <w:rPr>
              <w:rFonts w:cs="Times New Roman"/>
            </w:rPr>
          </w:pPr>
        </w:p>
        <w:p w:rsidR="008C4EF8" w:rsidRDefault="00F24E1C">
          <w:pPr>
            <w:pStyle w:val="TOC1"/>
            <w:tabs>
              <w:tab w:val="right" w:leader="dot" w:pos="9350"/>
            </w:tabs>
            <w:rPr>
              <w:rFonts w:asciiTheme="minorHAnsi" w:hAnsiTheme="minorHAnsi"/>
              <w:noProof/>
              <w:sz w:val="22"/>
            </w:rPr>
          </w:pPr>
          <w:r>
            <w:rPr>
              <w:rFonts w:cs="Times New Roman"/>
              <w:b/>
            </w:rPr>
            <w:fldChar w:fldCharType="begin"/>
          </w:r>
          <w:r>
            <w:rPr>
              <w:rFonts w:cs="Times New Roman"/>
              <w:b/>
            </w:rPr>
            <w:instrText xml:space="preserve"> TOC \o "1-2" \h \z \u </w:instrText>
          </w:r>
          <w:r>
            <w:rPr>
              <w:rFonts w:cs="Times New Roman"/>
              <w:b/>
            </w:rPr>
            <w:fldChar w:fldCharType="separate"/>
          </w:r>
          <w:hyperlink w:anchor="_Toc431301343" w:history="1">
            <w:r w:rsidR="008C4EF8" w:rsidRPr="00F72D15">
              <w:rPr>
                <w:rStyle w:val="Hyperlink"/>
                <w:rFonts w:cs="Times New Roman"/>
                <w:noProof/>
              </w:rPr>
              <w:t>Index of Tables</w:t>
            </w:r>
            <w:r w:rsidR="008C4EF8">
              <w:rPr>
                <w:noProof/>
                <w:webHidden/>
              </w:rPr>
              <w:tab/>
            </w:r>
            <w:r w:rsidR="008C4EF8">
              <w:rPr>
                <w:noProof/>
                <w:webHidden/>
              </w:rPr>
              <w:fldChar w:fldCharType="begin"/>
            </w:r>
            <w:r w:rsidR="008C4EF8">
              <w:rPr>
                <w:noProof/>
                <w:webHidden/>
              </w:rPr>
              <w:instrText xml:space="preserve"> PAGEREF _Toc431301343 \h </w:instrText>
            </w:r>
            <w:r w:rsidR="008C4EF8">
              <w:rPr>
                <w:noProof/>
                <w:webHidden/>
              </w:rPr>
            </w:r>
            <w:r w:rsidR="008C4EF8">
              <w:rPr>
                <w:noProof/>
                <w:webHidden/>
              </w:rPr>
              <w:fldChar w:fldCharType="separate"/>
            </w:r>
            <w:r w:rsidR="001A7AEC">
              <w:rPr>
                <w:noProof/>
                <w:webHidden/>
              </w:rPr>
              <w:t>2</w:t>
            </w:r>
            <w:r w:rsidR="008C4EF8">
              <w:rPr>
                <w:noProof/>
                <w:webHidden/>
              </w:rPr>
              <w:fldChar w:fldCharType="end"/>
            </w:r>
          </w:hyperlink>
        </w:p>
        <w:p w:rsidR="008C4EF8" w:rsidRDefault="0091731F">
          <w:pPr>
            <w:pStyle w:val="TOC1"/>
            <w:tabs>
              <w:tab w:val="right" w:leader="dot" w:pos="9350"/>
            </w:tabs>
            <w:rPr>
              <w:rFonts w:asciiTheme="minorHAnsi" w:hAnsiTheme="minorHAnsi"/>
              <w:noProof/>
              <w:sz w:val="22"/>
            </w:rPr>
          </w:pPr>
          <w:hyperlink w:anchor="_Toc431301344" w:history="1">
            <w:r w:rsidR="008C4EF8" w:rsidRPr="00F72D15">
              <w:rPr>
                <w:rStyle w:val="Hyperlink"/>
                <w:rFonts w:cs="Times New Roman"/>
                <w:noProof/>
              </w:rPr>
              <w:t>Index of Figures</w:t>
            </w:r>
            <w:r w:rsidR="008C4EF8">
              <w:rPr>
                <w:noProof/>
                <w:webHidden/>
              </w:rPr>
              <w:tab/>
            </w:r>
            <w:r w:rsidR="008C4EF8">
              <w:rPr>
                <w:noProof/>
                <w:webHidden/>
              </w:rPr>
              <w:fldChar w:fldCharType="begin"/>
            </w:r>
            <w:r w:rsidR="008C4EF8">
              <w:rPr>
                <w:noProof/>
                <w:webHidden/>
              </w:rPr>
              <w:instrText xml:space="preserve"> PAGEREF _Toc431301344 \h </w:instrText>
            </w:r>
            <w:r w:rsidR="008C4EF8">
              <w:rPr>
                <w:noProof/>
                <w:webHidden/>
              </w:rPr>
            </w:r>
            <w:r w:rsidR="008C4EF8">
              <w:rPr>
                <w:noProof/>
                <w:webHidden/>
              </w:rPr>
              <w:fldChar w:fldCharType="separate"/>
            </w:r>
            <w:r w:rsidR="001A7AEC">
              <w:rPr>
                <w:noProof/>
                <w:webHidden/>
              </w:rPr>
              <w:t>2</w:t>
            </w:r>
            <w:r w:rsidR="008C4EF8">
              <w:rPr>
                <w:noProof/>
                <w:webHidden/>
              </w:rPr>
              <w:fldChar w:fldCharType="end"/>
            </w:r>
          </w:hyperlink>
        </w:p>
        <w:p w:rsidR="008C4EF8" w:rsidRDefault="0091731F">
          <w:pPr>
            <w:pStyle w:val="TOC1"/>
            <w:tabs>
              <w:tab w:val="right" w:leader="dot" w:pos="9350"/>
            </w:tabs>
            <w:rPr>
              <w:rFonts w:asciiTheme="minorHAnsi" w:hAnsiTheme="minorHAnsi"/>
              <w:noProof/>
              <w:sz w:val="22"/>
            </w:rPr>
          </w:pPr>
          <w:hyperlink w:anchor="_Toc431301345" w:history="1">
            <w:r w:rsidR="008C4EF8" w:rsidRPr="00F72D15">
              <w:rPr>
                <w:rStyle w:val="Hyperlink"/>
                <w:rFonts w:cs="Times New Roman"/>
                <w:noProof/>
              </w:rPr>
              <w:t>Introduction</w:t>
            </w:r>
            <w:r w:rsidR="008C4EF8">
              <w:rPr>
                <w:noProof/>
                <w:webHidden/>
              </w:rPr>
              <w:tab/>
            </w:r>
            <w:r w:rsidR="008C4EF8">
              <w:rPr>
                <w:noProof/>
                <w:webHidden/>
              </w:rPr>
              <w:fldChar w:fldCharType="begin"/>
            </w:r>
            <w:r w:rsidR="008C4EF8">
              <w:rPr>
                <w:noProof/>
                <w:webHidden/>
              </w:rPr>
              <w:instrText xml:space="preserve"> PAGEREF _Toc431301345 \h </w:instrText>
            </w:r>
            <w:r w:rsidR="008C4EF8">
              <w:rPr>
                <w:noProof/>
                <w:webHidden/>
              </w:rPr>
            </w:r>
            <w:r w:rsidR="008C4EF8">
              <w:rPr>
                <w:noProof/>
                <w:webHidden/>
              </w:rPr>
              <w:fldChar w:fldCharType="separate"/>
            </w:r>
            <w:r w:rsidR="001A7AEC">
              <w:rPr>
                <w:noProof/>
                <w:webHidden/>
              </w:rPr>
              <w:t>3</w:t>
            </w:r>
            <w:r w:rsidR="008C4EF8">
              <w:rPr>
                <w:noProof/>
                <w:webHidden/>
              </w:rPr>
              <w:fldChar w:fldCharType="end"/>
            </w:r>
          </w:hyperlink>
        </w:p>
        <w:p w:rsidR="008C4EF8" w:rsidRDefault="0091731F">
          <w:pPr>
            <w:pStyle w:val="TOC1"/>
            <w:tabs>
              <w:tab w:val="right" w:leader="dot" w:pos="9350"/>
            </w:tabs>
            <w:rPr>
              <w:rFonts w:asciiTheme="minorHAnsi" w:hAnsiTheme="minorHAnsi"/>
              <w:noProof/>
              <w:sz w:val="22"/>
            </w:rPr>
          </w:pPr>
          <w:hyperlink w:anchor="_Toc431301346" w:history="1">
            <w:r w:rsidR="008C4EF8" w:rsidRPr="00F72D15">
              <w:rPr>
                <w:rStyle w:val="Hyperlink"/>
                <w:rFonts w:cs="Times New Roman"/>
                <w:noProof/>
              </w:rPr>
              <w:t>Conservation Potential and Conservation Targets</w:t>
            </w:r>
            <w:r w:rsidR="008C4EF8">
              <w:rPr>
                <w:noProof/>
                <w:webHidden/>
              </w:rPr>
              <w:tab/>
            </w:r>
            <w:r w:rsidR="008C4EF8">
              <w:rPr>
                <w:noProof/>
                <w:webHidden/>
              </w:rPr>
              <w:fldChar w:fldCharType="begin"/>
            </w:r>
            <w:r w:rsidR="008C4EF8">
              <w:rPr>
                <w:noProof/>
                <w:webHidden/>
              </w:rPr>
              <w:instrText xml:space="preserve"> PAGEREF _Toc431301346 \h </w:instrText>
            </w:r>
            <w:r w:rsidR="008C4EF8">
              <w:rPr>
                <w:noProof/>
                <w:webHidden/>
              </w:rPr>
            </w:r>
            <w:r w:rsidR="008C4EF8">
              <w:rPr>
                <w:noProof/>
                <w:webHidden/>
              </w:rPr>
              <w:fldChar w:fldCharType="separate"/>
            </w:r>
            <w:r w:rsidR="001A7AEC">
              <w:rPr>
                <w:noProof/>
                <w:webHidden/>
              </w:rPr>
              <w:t>12</w:t>
            </w:r>
            <w:r w:rsidR="008C4EF8">
              <w:rPr>
                <w:noProof/>
                <w:webHidden/>
              </w:rPr>
              <w:fldChar w:fldCharType="end"/>
            </w:r>
          </w:hyperlink>
        </w:p>
        <w:p w:rsidR="008C4EF8" w:rsidRDefault="0091731F">
          <w:pPr>
            <w:pStyle w:val="TOC2"/>
            <w:tabs>
              <w:tab w:val="right" w:leader="dot" w:pos="9350"/>
            </w:tabs>
            <w:rPr>
              <w:rFonts w:asciiTheme="minorHAnsi" w:hAnsiTheme="minorHAnsi"/>
              <w:noProof/>
              <w:sz w:val="22"/>
            </w:rPr>
          </w:pPr>
          <w:hyperlink w:anchor="_Toc431301347" w:history="1">
            <w:r w:rsidR="008C4EF8" w:rsidRPr="00F72D15">
              <w:rPr>
                <w:rStyle w:val="Hyperlink"/>
                <w:rFonts w:cs="Times New Roman"/>
                <w:noProof/>
              </w:rPr>
              <w:t>Ten-Year Conservation Potential</w:t>
            </w:r>
            <w:r w:rsidR="008C4EF8">
              <w:rPr>
                <w:noProof/>
                <w:webHidden/>
              </w:rPr>
              <w:tab/>
            </w:r>
            <w:r w:rsidR="008C4EF8">
              <w:rPr>
                <w:noProof/>
                <w:webHidden/>
              </w:rPr>
              <w:fldChar w:fldCharType="begin"/>
            </w:r>
            <w:r w:rsidR="008C4EF8">
              <w:rPr>
                <w:noProof/>
                <w:webHidden/>
              </w:rPr>
              <w:instrText xml:space="preserve"> PAGEREF _Toc431301347 \h </w:instrText>
            </w:r>
            <w:r w:rsidR="008C4EF8">
              <w:rPr>
                <w:noProof/>
                <w:webHidden/>
              </w:rPr>
            </w:r>
            <w:r w:rsidR="008C4EF8">
              <w:rPr>
                <w:noProof/>
                <w:webHidden/>
              </w:rPr>
              <w:fldChar w:fldCharType="separate"/>
            </w:r>
            <w:r w:rsidR="001A7AEC">
              <w:rPr>
                <w:noProof/>
                <w:webHidden/>
              </w:rPr>
              <w:t>12</w:t>
            </w:r>
            <w:r w:rsidR="008C4EF8">
              <w:rPr>
                <w:noProof/>
                <w:webHidden/>
              </w:rPr>
              <w:fldChar w:fldCharType="end"/>
            </w:r>
          </w:hyperlink>
        </w:p>
        <w:p w:rsidR="008C4EF8" w:rsidRDefault="0091731F">
          <w:pPr>
            <w:pStyle w:val="TOC2"/>
            <w:tabs>
              <w:tab w:val="right" w:leader="dot" w:pos="9350"/>
            </w:tabs>
            <w:rPr>
              <w:rFonts w:asciiTheme="minorHAnsi" w:hAnsiTheme="minorHAnsi"/>
              <w:noProof/>
              <w:sz w:val="22"/>
            </w:rPr>
          </w:pPr>
          <w:hyperlink w:anchor="_Toc431301348" w:history="1">
            <w:r w:rsidR="008C4EF8" w:rsidRPr="00F72D15">
              <w:rPr>
                <w:rStyle w:val="Hyperlink"/>
                <w:rFonts w:cs="Times New Roman"/>
                <w:noProof/>
              </w:rPr>
              <w:t>2016-2017 Biennial Conservation Target</w:t>
            </w:r>
            <w:r w:rsidR="008C4EF8">
              <w:rPr>
                <w:noProof/>
                <w:webHidden/>
              </w:rPr>
              <w:tab/>
            </w:r>
            <w:r w:rsidR="008C4EF8">
              <w:rPr>
                <w:noProof/>
                <w:webHidden/>
              </w:rPr>
              <w:fldChar w:fldCharType="begin"/>
            </w:r>
            <w:r w:rsidR="008C4EF8">
              <w:rPr>
                <w:noProof/>
                <w:webHidden/>
              </w:rPr>
              <w:instrText xml:space="preserve"> PAGEREF _Toc431301348 \h </w:instrText>
            </w:r>
            <w:r w:rsidR="008C4EF8">
              <w:rPr>
                <w:noProof/>
                <w:webHidden/>
              </w:rPr>
            </w:r>
            <w:r w:rsidR="008C4EF8">
              <w:rPr>
                <w:noProof/>
                <w:webHidden/>
              </w:rPr>
              <w:fldChar w:fldCharType="separate"/>
            </w:r>
            <w:r w:rsidR="001A7AEC">
              <w:rPr>
                <w:noProof/>
                <w:webHidden/>
              </w:rPr>
              <w:t>24</w:t>
            </w:r>
            <w:r w:rsidR="008C4EF8">
              <w:rPr>
                <w:noProof/>
                <w:webHidden/>
              </w:rPr>
              <w:fldChar w:fldCharType="end"/>
            </w:r>
          </w:hyperlink>
        </w:p>
        <w:p w:rsidR="008C4EF8" w:rsidRDefault="0091731F">
          <w:pPr>
            <w:pStyle w:val="TOC1"/>
            <w:tabs>
              <w:tab w:val="right" w:leader="dot" w:pos="9350"/>
            </w:tabs>
            <w:rPr>
              <w:rFonts w:asciiTheme="minorHAnsi" w:hAnsiTheme="minorHAnsi"/>
              <w:noProof/>
              <w:sz w:val="22"/>
            </w:rPr>
          </w:pPr>
          <w:hyperlink w:anchor="_Toc431301349" w:history="1">
            <w:r w:rsidR="008C4EF8" w:rsidRPr="00F72D15">
              <w:rPr>
                <w:rStyle w:val="Hyperlink"/>
                <w:rFonts w:cs="Times New Roman"/>
                <w:noProof/>
              </w:rPr>
              <w:t>Stakeholder Engagement</w:t>
            </w:r>
            <w:r w:rsidR="008C4EF8">
              <w:rPr>
                <w:noProof/>
                <w:webHidden/>
              </w:rPr>
              <w:tab/>
            </w:r>
            <w:r w:rsidR="008C4EF8">
              <w:rPr>
                <w:noProof/>
                <w:webHidden/>
              </w:rPr>
              <w:fldChar w:fldCharType="begin"/>
            </w:r>
            <w:r w:rsidR="008C4EF8">
              <w:rPr>
                <w:noProof/>
                <w:webHidden/>
              </w:rPr>
              <w:instrText xml:space="preserve"> PAGEREF _Toc431301349 \h </w:instrText>
            </w:r>
            <w:r w:rsidR="008C4EF8">
              <w:rPr>
                <w:noProof/>
                <w:webHidden/>
              </w:rPr>
            </w:r>
            <w:r w:rsidR="008C4EF8">
              <w:rPr>
                <w:noProof/>
                <w:webHidden/>
              </w:rPr>
              <w:fldChar w:fldCharType="separate"/>
            </w:r>
            <w:r w:rsidR="001A7AEC">
              <w:rPr>
                <w:noProof/>
                <w:webHidden/>
              </w:rPr>
              <w:t>28</w:t>
            </w:r>
            <w:r w:rsidR="008C4EF8">
              <w:rPr>
                <w:noProof/>
                <w:webHidden/>
              </w:rPr>
              <w:fldChar w:fldCharType="end"/>
            </w:r>
          </w:hyperlink>
        </w:p>
        <w:p w:rsidR="008C4EF8" w:rsidRDefault="0091731F">
          <w:pPr>
            <w:pStyle w:val="TOC1"/>
            <w:tabs>
              <w:tab w:val="right" w:leader="dot" w:pos="9350"/>
            </w:tabs>
            <w:rPr>
              <w:rFonts w:asciiTheme="minorHAnsi" w:hAnsiTheme="minorHAnsi"/>
              <w:noProof/>
              <w:sz w:val="22"/>
            </w:rPr>
          </w:pPr>
          <w:hyperlink w:anchor="_Toc431301350" w:history="1">
            <w:r w:rsidR="008C4EF8" w:rsidRPr="00F72D15">
              <w:rPr>
                <w:rStyle w:val="Hyperlink"/>
                <w:rFonts w:cs="Times New Roman"/>
                <w:noProof/>
              </w:rPr>
              <w:t>Program Descriptions</w:t>
            </w:r>
            <w:r w:rsidR="008C4EF8">
              <w:rPr>
                <w:noProof/>
                <w:webHidden/>
              </w:rPr>
              <w:tab/>
            </w:r>
            <w:r w:rsidR="008C4EF8">
              <w:rPr>
                <w:noProof/>
                <w:webHidden/>
              </w:rPr>
              <w:fldChar w:fldCharType="begin"/>
            </w:r>
            <w:r w:rsidR="008C4EF8">
              <w:rPr>
                <w:noProof/>
                <w:webHidden/>
              </w:rPr>
              <w:instrText xml:space="preserve"> PAGEREF _Toc431301350 \h </w:instrText>
            </w:r>
            <w:r w:rsidR="008C4EF8">
              <w:rPr>
                <w:noProof/>
                <w:webHidden/>
              </w:rPr>
            </w:r>
            <w:r w:rsidR="008C4EF8">
              <w:rPr>
                <w:noProof/>
                <w:webHidden/>
              </w:rPr>
              <w:fldChar w:fldCharType="separate"/>
            </w:r>
            <w:r w:rsidR="001A7AEC">
              <w:rPr>
                <w:noProof/>
                <w:webHidden/>
              </w:rPr>
              <w:t>31</w:t>
            </w:r>
            <w:r w:rsidR="008C4EF8">
              <w:rPr>
                <w:noProof/>
                <w:webHidden/>
              </w:rPr>
              <w:fldChar w:fldCharType="end"/>
            </w:r>
          </w:hyperlink>
        </w:p>
        <w:p w:rsidR="008C4EF8" w:rsidRDefault="0091731F">
          <w:pPr>
            <w:pStyle w:val="TOC1"/>
            <w:tabs>
              <w:tab w:val="right" w:leader="dot" w:pos="9350"/>
            </w:tabs>
            <w:rPr>
              <w:rFonts w:asciiTheme="minorHAnsi" w:hAnsiTheme="minorHAnsi"/>
              <w:noProof/>
              <w:sz w:val="22"/>
            </w:rPr>
          </w:pPr>
          <w:hyperlink w:anchor="_Toc431301351" w:history="1">
            <w:r w:rsidR="008C4EF8" w:rsidRPr="00F72D15">
              <w:rPr>
                <w:rStyle w:val="Hyperlink"/>
                <w:rFonts w:cs="Times New Roman"/>
                <w:noProof/>
              </w:rPr>
              <w:t>Adaptive Management and Implementation Strategies</w:t>
            </w:r>
            <w:r w:rsidR="008C4EF8">
              <w:rPr>
                <w:noProof/>
                <w:webHidden/>
              </w:rPr>
              <w:tab/>
            </w:r>
            <w:r w:rsidR="008C4EF8">
              <w:rPr>
                <w:noProof/>
                <w:webHidden/>
              </w:rPr>
              <w:fldChar w:fldCharType="begin"/>
            </w:r>
            <w:r w:rsidR="008C4EF8">
              <w:rPr>
                <w:noProof/>
                <w:webHidden/>
              </w:rPr>
              <w:instrText xml:space="preserve"> PAGEREF _Toc431301351 \h </w:instrText>
            </w:r>
            <w:r w:rsidR="008C4EF8">
              <w:rPr>
                <w:noProof/>
                <w:webHidden/>
              </w:rPr>
            </w:r>
            <w:r w:rsidR="008C4EF8">
              <w:rPr>
                <w:noProof/>
                <w:webHidden/>
              </w:rPr>
              <w:fldChar w:fldCharType="separate"/>
            </w:r>
            <w:r w:rsidR="001A7AEC">
              <w:rPr>
                <w:noProof/>
                <w:webHidden/>
              </w:rPr>
              <w:t>32</w:t>
            </w:r>
            <w:r w:rsidR="008C4EF8">
              <w:rPr>
                <w:noProof/>
                <w:webHidden/>
              </w:rPr>
              <w:fldChar w:fldCharType="end"/>
            </w:r>
          </w:hyperlink>
        </w:p>
        <w:p w:rsidR="008C4EF8" w:rsidRDefault="0091731F">
          <w:pPr>
            <w:pStyle w:val="TOC1"/>
            <w:tabs>
              <w:tab w:val="right" w:leader="dot" w:pos="9350"/>
            </w:tabs>
            <w:rPr>
              <w:rFonts w:asciiTheme="minorHAnsi" w:hAnsiTheme="minorHAnsi"/>
              <w:noProof/>
              <w:sz w:val="22"/>
            </w:rPr>
          </w:pPr>
          <w:hyperlink w:anchor="_Toc431301352" w:history="1">
            <w:r w:rsidR="008C4EF8" w:rsidRPr="00F72D15">
              <w:rPr>
                <w:rStyle w:val="Hyperlink"/>
                <w:rFonts w:cs="Times New Roman"/>
                <w:noProof/>
              </w:rPr>
              <w:t>Utility Evaluation, Measurement and Verification Activities</w:t>
            </w:r>
            <w:r w:rsidR="008C4EF8">
              <w:rPr>
                <w:noProof/>
                <w:webHidden/>
              </w:rPr>
              <w:tab/>
            </w:r>
            <w:r w:rsidR="008C4EF8">
              <w:rPr>
                <w:noProof/>
                <w:webHidden/>
              </w:rPr>
              <w:fldChar w:fldCharType="begin"/>
            </w:r>
            <w:r w:rsidR="008C4EF8">
              <w:rPr>
                <w:noProof/>
                <w:webHidden/>
              </w:rPr>
              <w:instrText xml:space="preserve"> PAGEREF _Toc431301352 \h </w:instrText>
            </w:r>
            <w:r w:rsidR="008C4EF8">
              <w:rPr>
                <w:noProof/>
                <w:webHidden/>
              </w:rPr>
            </w:r>
            <w:r w:rsidR="008C4EF8">
              <w:rPr>
                <w:noProof/>
                <w:webHidden/>
              </w:rPr>
              <w:fldChar w:fldCharType="separate"/>
            </w:r>
            <w:r w:rsidR="001A7AEC">
              <w:rPr>
                <w:noProof/>
                <w:webHidden/>
              </w:rPr>
              <w:t>35</w:t>
            </w:r>
            <w:r w:rsidR="008C4EF8">
              <w:rPr>
                <w:noProof/>
                <w:webHidden/>
              </w:rPr>
              <w:fldChar w:fldCharType="end"/>
            </w:r>
          </w:hyperlink>
        </w:p>
        <w:p w:rsidR="008C4EF8" w:rsidRDefault="0091731F">
          <w:pPr>
            <w:pStyle w:val="TOC1"/>
            <w:tabs>
              <w:tab w:val="right" w:leader="dot" w:pos="9350"/>
            </w:tabs>
            <w:rPr>
              <w:rFonts w:asciiTheme="minorHAnsi" w:hAnsiTheme="minorHAnsi"/>
              <w:noProof/>
              <w:sz w:val="22"/>
            </w:rPr>
          </w:pPr>
          <w:hyperlink w:anchor="_Toc431301353" w:history="1">
            <w:r w:rsidR="008C4EF8" w:rsidRPr="00F72D15">
              <w:rPr>
                <w:rStyle w:val="Hyperlink"/>
                <w:rFonts w:cs="Times New Roman"/>
                <w:noProof/>
              </w:rPr>
              <w:t>Cost Recovery Mechanism</w:t>
            </w:r>
            <w:r w:rsidR="008C4EF8">
              <w:rPr>
                <w:noProof/>
                <w:webHidden/>
              </w:rPr>
              <w:tab/>
            </w:r>
            <w:r w:rsidR="008C4EF8">
              <w:rPr>
                <w:noProof/>
                <w:webHidden/>
              </w:rPr>
              <w:fldChar w:fldCharType="begin"/>
            </w:r>
            <w:r w:rsidR="008C4EF8">
              <w:rPr>
                <w:noProof/>
                <w:webHidden/>
              </w:rPr>
              <w:instrText xml:space="preserve"> PAGEREF _Toc431301353 \h </w:instrText>
            </w:r>
            <w:r w:rsidR="008C4EF8">
              <w:rPr>
                <w:noProof/>
                <w:webHidden/>
              </w:rPr>
            </w:r>
            <w:r w:rsidR="008C4EF8">
              <w:rPr>
                <w:noProof/>
                <w:webHidden/>
              </w:rPr>
              <w:fldChar w:fldCharType="separate"/>
            </w:r>
            <w:r w:rsidR="001A7AEC">
              <w:rPr>
                <w:noProof/>
                <w:webHidden/>
              </w:rPr>
              <w:t>36</w:t>
            </w:r>
            <w:r w:rsidR="008C4EF8">
              <w:rPr>
                <w:noProof/>
                <w:webHidden/>
              </w:rPr>
              <w:fldChar w:fldCharType="end"/>
            </w:r>
          </w:hyperlink>
        </w:p>
        <w:p w:rsidR="008C4EF8" w:rsidRDefault="0091731F">
          <w:pPr>
            <w:pStyle w:val="TOC1"/>
            <w:tabs>
              <w:tab w:val="right" w:leader="dot" w:pos="9350"/>
            </w:tabs>
            <w:rPr>
              <w:rFonts w:asciiTheme="minorHAnsi" w:hAnsiTheme="minorHAnsi"/>
              <w:noProof/>
              <w:sz w:val="22"/>
            </w:rPr>
          </w:pPr>
          <w:hyperlink w:anchor="_Toc431301354" w:history="1">
            <w:r w:rsidR="008C4EF8" w:rsidRPr="00F72D15">
              <w:rPr>
                <w:rStyle w:val="Hyperlink"/>
                <w:rFonts w:cs="Times New Roman"/>
                <w:noProof/>
              </w:rPr>
              <w:t>Plan Compliance Information and Other Key Issues</w:t>
            </w:r>
            <w:r w:rsidR="008C4EF8">
              <w:rPr>
                <w:noProof/>
                <w:webHidden/>
              </w:rPr>
              <w:tab/>
            </w:r>
            <w:r w:rsidR="008C4EF8">
              <w:rPr>
                <w:noProof/>
                <w:webHidden/>
              </w:rPr>
              <w:fldChar w:fldCharType="begin"/>
            </w:r>
            <w:r w:rsidR="008C4EF8">
              <w:rPr>
                <w:noProof/>
                <w:webHidden/>
              </w:rPr>
              <w:instrText xml:space="preserve"> PAGEREF _Toc431301354 \h </w:instrText>
            </w:r>
            <w:r w:rsidR="008C4EF8">
              <w:rPr>
                <w:noProof/>
                <w:webHidden/>
              </w:rPr>
            </w:r>
            <w:r w:rsidR="008C4EF8">
              <w:rPr>
                <w:noProof/>
                <w:webHidden/>
              </w:rPr>
              <w:fldChar w:fldCharType="separate"/>
            </w:r>
            <w:r w:rsidR="001A7AEC">
              <w:rPr>
                <w:noProof/>
                <w:webHidden/>
              </w:rPr>
              <w:t>36</w:t>
            </w:r>
            <w:r w:rsidR="008C4EF8">
              <w:rPr>
                <w:noProof/>
                <w:webHidden/>
              </w:rPr>
              <w:fldChar w:fldCharType="end"/>
            </w:r>
          </w:hyperlink>
        </w:p>
        <w:p w:rsidR="008C4EF8" w:rsidRDefault="0091731F">
          <w:pPr>
            <w:pStyle w:val="TOC1"/>
            <w:tabs>
              <w:tab w:val="right" w:leader="dot" w:pos="9350"/>
            </w:tabs>
            <w:rPr>
              <w:rFonts w:asciiTheme="minorHAnsi" w:hAnsiTheme="minorHAnsi"/>
              <w:noProof/>
              <w:sz w:val="22"/>
            </w:rPr>
          </w:pPr>
          <w:hyperlink w:anchor="_Toc431301355" w:history="1">
            <w:r w:rsidR="008C4EF8" w:rsidRPr="00F72D15">
              <w:rPr>
                <w:rStyle w:val="Hyperlink"/>
                <w:rFonts w:cs="Times New Roman"/>
                <w:noProof/>
              </w:rPr>
              <w:t>List of Appendices</w:t>
            </w:r>
            <w:r w:rsidR="008C4EF8">
              <w:rPr>
                <w:noProof/>
                <w:webHidden/>
              </w:rPr>
              <w:tab/>
            </w:r>
            <w:r w:rsidR="008C4EF8">
              <w:rPr>
                <w:noProof/>
                <w:webHidden/>
              </w:rPr>
              <w:fldChar w:fldCharType="begin"/>
            </w:r>
            <w:r w:rsidR="008C4EF8">
              <w:rPr>
                <w:noProof/>
                <w:webHidden/>
              </w:rPr>
              <w:instrText xml:space="preserve"> PAGEREF _Toc431301355 \h </w:instrText>
            </w:r>
            <w:r w:rsidR="008C4EF8">
              <w:rPr>
                <w:noProof/>
                <w:webHidden/>
              </w:rPr>
            </w:r>
            <w:r w:rsidR="008C4EF8">
              <w:rPr>
                <w:noProof/>
                <w:webHidden/>
              </w:rPr>
              <w:fldChar w:fldCharType="separate"/>
            </w:r>
            <w:r w:rsidR="001A7AEC">
              <w:rPr>
                <w:noProof/>
                <w:webHidden/>
              </w:rPr>
              <w:t>46</w:t>
            </w:r>
            <w:r w:rsidR="008C4EF8">
              <w:rPr>
                <w:noProof/>
                <w:webHidden/>
              </w:rPr>
              <w:fldChar w:fldCharType="end"/>
            </w:r>
          </w:hyperlink>
        </w:p>
        <w:p w:rsidR="003E3BD0" w:rsidRPr="00432C28" w:rsidRDefault="00F24E1C" w:rsidP="0055492B">
          <w:pPr>
            <w:rPr>
              <w:rFonts w:cs="Times New Roman"/>
            </w:rPr>
          </w:pPr>
          <w:r>
            <w:rPr>
              <w:rFonts w:eastAsiaTheme="minorEastAsia" w:cs="Times New Roman"/>
              <w:b/>
            </w:rPr>
            <w:fldChar w:fldCharType="end"/>
          </w:r>
        </w:p>
      </w:sdtContent>
    </w:sdt>
    <w:p w:rsidR="00A22235" w:rsidRPr="00432C28" w:rsidRDefault="00343917" w:rsidP="0055492B">
      <w:pPr>
        <w:rPr>
          <w:rFonts w:cs="Times New Roman"/>
          <w:b/>
          <w:szCs w:val="24"/>
        </w:rPr>
      </w:pPr>
      <w:r w:rsidRPr="00432C28">
        <w:rPr>
          <w:rFonts w:cs="Times New Roman"/>
          <w:b/>
          <w:szCs w:val="24"/>
        </w:rPr>
        <w:br w:type="page"/>
      </w:r>
    </w:p>
    <w:p w:rsidR="00220638" w:rsidRPr="00220638" w:rsidRDefault="00343917" w:rsidP="00220638">
      <w:pPr>
        <w:pStyle w:val="Heading1"/>
        <w:jc w:val="center"/>
      </w:pPr>
      <w:bookmarkStart w:id="1" w:name="_Toc431301343"/>
      <w:r w:rsidRPr="00432C28">
        <w:rPr>
          <w:rFonts w:ascii="Times New Roman" w:hAnsi="Times New Roman" w:cs="Times New Roman"/>
        </w:rPr>
        <w:lastRenderedPageBreak/>
        <w:t>Index of Tables</w:t>
      </w:r>
      <w:bookmarkEnd w:id="1"/>
    </w:p>
    <w:p w:rsidR="007C75A9" w:rsidRDefault="007C75A9" w:rsidP="007C75A9"/>
    <w:p w:rsidR="00C77B38" w:rsidRDefault="00220638">
      <w:pPr>
        <w:pStyle w:val="TableofFigures"/>
        <w:tabs>
          <w:tab w:val="right" w:leader="dot" w:pos="9350"/>
        </w:tabs>
        <w:rPr>
          <w:rFonts w:asciiTheme="minorHAnsi" w:eastAsiaTheme="minorEastAsia" w:hAnsiTheme="minorHAnsi"/>
          <w:noProof/>
          <w:sz w:val="22"/>
        </w:rPr>
      </w:pPr>
      <w:r>
        <w:rPr>
          <w:rFonts w:cs="Times New Roman"/>
        </w:rPr>
        <w:fldChar w:fldCharType="begin"/>
      </w:r>
      <w:r>
        <w:rPr>
          <w:rFonts w:cs="Times New Roman"/>
        </w:rPr>
        <w:instrText xml:space="preserve"> TOC \h \z \c "Table" </w:instrText>
      </w:r>
      <w:r>
        <w:rPr>
          <w:rFonts w:cs="Times New Roman"/>
        </w:rPr>
        <w:fldChar w:fldCharType="separate"/>
      </w:r>
      <w:hyperlink w:anchor="_Toc430706303" w:history="1">
        <w:r w:rsidR="00C77B38" w:rsidRPr="00E938F1">
          <w:rPr>
            <w:rStyle w:val="Hyperlink"/>
            <w:noProof/>
          </w:rPr>
          <w:t>Table 1: Summary of 2016-2025 Conservation Potential (MWh)</w:t>
        </w:r>
        <w:r w:rsidR="00C77B38">
          <w:rPr>
            <w:noProof/>
            <w:webHidden/>
          </w:rPr>
          <w:tab/>
        </w:r>
        <w:r w:rsidR="00C77B38">
          <w:rPr>
            <w:noProof/>
            <w:webHidden/>
          </w:rPr>
          <w:fldChar w:fldCharType="begin"/>
        </w:r>
        <w:r w:rsidR="00C77B38">
          <w:rPr>
            <w:noProof/>
            <w:webHidden/>
          </w:rPr>
          <w:instrText xml:space="preserve"> PAGEREF _Toc430706303 \h </w:instrText>
        </w:r>
        <w:r w:rsidR="00C77B38">
          <w:rPr>
            <w:noProof/>
            <w:webHidden/>
          </w:rPr>
        </w:r>
        <w:r w:rsidR="00C77B38">
          <w:rPr>
            <w:noProof/>
            <w:webHidden/>
          </w:rPr>
          <w:fldChar w:fldCharType="separate"/>
        </w:r>
        <w:r w:rsidR="00BC2AF1">
          <w:rPr>
            <w:noProof/>
            <w:webHidden/>
          </w:rPr>
          <w:t>5</w:t>
        </w:r>
        <w:r w:rsidR="00C77B38">
          <w:rPr>
            <w:noProof/>
            <w:webHidden/>
          </w:rPr>
          <w:fldChar w:fldCharType="end"/>
        </w:r>
      </w:hyperlink>
    </w:p>
    <w:p w:rsidR="00C77B38" w:rsidRDefault="0091731F">
      <w:pPr>
        <w:pStyle w:val="TableofFigures"/>
        <w:tabs>
          <w:tab w:val="right" w:leader="dot" w:pos="9350"/>
        </w:tabs>
        <w:rPr>
          <w:rFonts w:asciiTheme="minorHAnsi" w:eastAsiaTheme="minorEastAsia" w:hAnsiTheme="minorHAnsi"/>
          <w:noProof/>
          <w:sz w:val="22"/>
        </w:rPr>
      </w:pPr>
      <w:hyperlink w:anchor="_Toc430706304" w:history="1">
        <w:r w:rsidR="00C77B38" w:rsidRPr="00E938F1">
          <w:rPr>
            <w:rStyle w:val="Hyperlink"/>
            <w:noProof/>
          </w:rPr>
          <w:t>Table 2: 2016 – 2025 Annual Energy Efficiency Potential (MWh)</w:t>
        </w:r>
        <w:r w:rsidR="00C77B38">
          <w:rPr>
            <w:noProof/>
            <w:webHidden/>
          </w:rPr>
          <w:tab/>
        </w:r>
        <w:r w:rsidR="00C77B38">
          <w:rPr>
            <w:noProof/>
            <w:webHidden/>
          </w:rPr>
          <w:fldChar w:fldCharType="begin"/>
        </w:r>
        <w:r w:rsidR="00C77B38">
          <w:rPr>
            <w:noProof/>
            <w:webHidden/>
          </w:rPr>
          <w:instrText xml:space="preserve"> PAGEREF _Toc430706304 \h </w:instrText>
        </w:r>
        <w:r w:rsidR="00C77B38">
          <w:rPr>
            <w:noProof/>
            <w:webHidden/>
          </w:rPr>
        </w:r>
        <w:r w:rsidR="00C77B38">
          <w:rPr>
            <w:noProof/>
            <w:webHidden/>
          </w:rPr>
          <w:fldChar w:fldCharType="separate"/>
        </w:r>
        <w:r w:rsidR="00BC2AF1">
          <w:rPr>
            <w:noProof/>
            <w:webHidden/>
          </w:rPr>
          <w:t>13</w:t>
        </w:r>
        <w:r w:rsidR="00C77B38">
          <w:rPr>
            <w:noProof/>
            <w:webHidden/>
          </w:rPr>
          <w:fldChar w:fldCharType="end"/>
        </w:r>
      </w:hyperlink>
    </w:p>
    <w:p w:rsidR="00C77B38" w:rsidRDefault="0091731F">
      <w:pPr>
        <w:pStyle w:val="TableofFigures"/>
        <w:tabs>
          <w:tab w:val="right" w:leader="dot" w:pos="9350"/>
        </w:tabs>
        <w:rPr>
          <w:rFonts w:asciiTheme="minorHAnsi" w:eastAsiaTheme="minorEastAsia" w:hAnsiTheme="minorHAnsi"/>
          <w:noProof/>
          <w:sz w:val="22"/>
        </w:rPr>
      </w:pPr>
      <w:hyperlink w:anchor="_Toc430706305" w:history="1">
        <w:r w:rsidR="00C77B38" w:rsidRPr="00E938F1">
          <w:rPr>
            <w:rStyle w:val="Hyperlink"/>
            <w:noProof/>
          </w:rPr>
          <w:t>Table 3: 2016 – 2025 Cumulative Energy Efficiency Potential (MWh)</w:t>
        </w:r>
        <w:r w:rsidR="00C77B38">
          <w:rPr>
            <w:noProof/>
            <w:webHidden/>
          </w:rPr>
          <w:tab/>
        </w:r>
        <w:r w:rsidR="00C77B38">
          <w:rPr>
            <w:noProof/>
            <w:webHidden/>
          </w:rPr>
          <w:fldChar w:fldCharType="begin"/>
        </w:r>
        <w:r w:rsidR="00C77B38">
          <w:rPr>
            <w:noProof/>
            <w:webHidden/>
          </w:rPr>
          <w:instrText xml:space="preserve"> PAGEREF _Toc430706305 \h </w:instrText>
        </w:r>
        <w:r w:rsidR="00C77B38">
          <w:rPr>
            <w:noProof/>
            <w:webHidden/>
          </w:rPr>
        </w:r>
        <w:r w:rsidR="00C77B38">
          <w:rPr>
            <w:noProof/>
            <w:webHidden/>
          </w:rPr>
          <w:fldChar w:fldCharType="separate"/>
        </w:r>
        <w:r w:rsidR="00BC2AF1">
          <w:rPr>
            <w:noProof/>
            <w:webHidden/>
          </w:rPr>
          <w:t>13</w:t>
        </w:r>
        <w:r w:rsidR="00C77B38">
          <w:rPr>
            <w:noProof/>
            <w:webHidden/>
          </w:rPr>
          <w:fldChar w:fldCharType="end"/>
        </w:r>
      </w:hyperlink>
    </w:p>
    <w:p w:rsidR="00C77B38" w:rsidRDefault="0091731F">
      <w:pPr>
        <w:pStyle w:val="TableofFigures"/>
        <w:tabs>
          <w:tab w:val="right" w:leader="dot" w:pos="9350"/>
        </w:tabs>
        <w:rPr>
          <w:rFonts w:asciiTheme="minorHAnsi" w:eastAsiaTheme="minorEastAsia" w:hAnsiTheme="minorHAnsi"/>
          <w:noProof/>
          <w:sz w:val="22"/>
        </w:rPr>
      </w:pPr>
      <w:hyperlink w:anchor="_Toc430706306" w:history="1">
        <w:r w:rsidR="00C77B38" w:rsidRPr="00E938F1">
          <w:rPr>
            <w:rStyle w:val="Hyperlink"/>
            <w:noProof/>
          </w:rPr>
          <w:t>Table 4: Preferred Portfolio, Washington Energy</w:t>
        </w:r>
        <w:r w:rsidR="00C77B38">
          <w:rPr>
            <w:noProof/>
            <w:webHidden/>
          </w:rPr>
          <w:tab/>
        </w:r>
        <w:r w:rsidR="00C77B38">
          <w:rPr>
            <w:noProof/>
            <w:webHidden/>
          </w:rPr>
          <w:fldChar w:fldCharType="begin"/>
        </w:r>
        <w:r w:rsidR="00C77B38">
          <w:rPr>
            <w:noProof/>
            <w:webHidden/>
          </w:rPr>
          <w:instrText xml:space="preserve"> PAGEREF _Toc430706306 \h </w:instrText>
        </w:r>
        <w:r w:rsidR="00C77B38">
          <w:rPr>
            <w:noProof/>
            <w:webHidden/>
          </w:rPr>
        </w:r>
        <w:r w:rsidR="00C77B38">
          <w:rPr>
            <w:noProof/>
            <w:webHidden/>
          </w:rPr>
          <w:fldChar w:fldCharType="separate"/>
        </w:r>
        <w:r w:rsidR="00BC2AF1">
          <w:rPr>
            <w:noProof/>
            <w:webHidden/>
          </w:rPr>
          <w:t>14</w:t>
        </w:r>
        <w:r w:rsidR="00C77B38">
          <w:rPr>
            <w:noProof/>
            <w:webHidden/>
          </w:rPr>
          <w:fldChar w:fldCharType="end"/>
        </w:r>
      </w:hyperlink>
    </w:p>
    <w:p w:rsidR="00C77B38" w:rsidRDefault="0091731F">
      <w:pPr>
        <w:pStyle w:val="TableofFigures"/>
        <w:tabs>
          <w:tab w:val="right" w:leader="dot" w:pos="9350"/>
        </w:tabs>
        <w:rPr>
          <w:rFonts w:asciiTheme="minorHAnsi" w:eastAsiaTheme="minorEastAsia" w:hAnsiTheme="minorHAnsi"/>
          <w:noProof/>
          <w:sz w:val="22"/>
        </w:rPr>
      </w:pPr>
      <w:hyperlink w:anchor="_Toc430706307" w:history="1">
        <w:r w:rsidR="00C77B38" w:rsidRPr="00E938F1">
          <w:rPr>
            <w:rStyle w:val="Hyperlink"/>
            <w:noProof/>
          </w:rPr>
          <w:t>Table 5: 2016-20125 Energy Efficiency Forecast – Summary of Adjustments</w:t>
        </w:r>
        <w:r w:rsidR="00C77B38">
          <w:rPr>
            <w:noProof/>
            <w:webHidden/>
          </w:rPr>
          <w:tab/>
        </w:r>
        <w:r w:rsidR="00C77B38">
          <w:rPr>
            <w:noProof/>
            <w:webHidden/>
          </w:rPr>
          <w:fldChar w:fldCharType="begin"/>
        </w:r>
        <w:r w:rsidR="00C77B38">
          <w:rPr>
            <w:noProof/>
            <w:webHidden/>
          </w:rPr>
          <w:instrText xml:space="preserve"> PAGEREF _Toc430706307 \h </w:instrText>
        </w:r>
        <w:r w:rsidR="00C77B38">
          <w:rPr>
            <w:noProof/>
            <w:webHidden/>
          </w:rPr>
        </w:r>
        <w:r w:rsidR="00C77B38">
          <w:rPr>
            <w:noProof/>
            <w:webHidden/>
          </w:rPr>
          <w:fldChar w:fldCharType="separate"/>
        </w:r>
        <w:r w:rsidR="00BC2AF1">
          <w:rPr>
            <w:noProof/>
            <w:webHidden/>
          </w:rPr>
          <w:t>19</w:t>
        </w:r>
        <w:r w:rsidR="00C77B38">
          <w:rPr>
            <w:noProof/>
            <w:webHidden/>
          </w:rPr>
          <w:fldChar w:fldCharType="end"/>
        </w:r>
      </w:hyperlink>
    </w:p>
    <w:p w:rsidR="00C77B38" w:rsidRDefault="0091731F" w:rsidP="00C77B38">
      <w:pPr>
        <w:pStyle w:val="TableofFigures"/>
        <w:tabs>
          <w:tab w:val="right" w:leader="dot" w:pos="9350"/>
        </w:tabs>
        <w:jc w:val="center"/>
        <w:rPr>
          <w:rFonts w:asciiTheme="minorHAnsi" w:eastAsiaTheme="minorEastAsia" w:hAnsiTheme="minorHAnsi"/>
          <w:noProof/>
          <w:sz w:val="22"/>
        </w:rPr>
      </w:pPr>
      <w:hyperlink w:anchor="_Toc430706308" w:history="1">
        <w:r w:rsidR="00C77B38" w:rsidRPr="00E938F1">
          <w:rPr>
            <w:rStyle w:val="Hyperlink"/>
            <w:noProof/>
          </w:rPr>
          <w:t>Table 6: 2016-2025 Annual and Ten-Year Conservation Forecast</w:t>
        </w:r>
        <w:r w:rsidR="00C77B38">
          <w:rPr>
            <w:noProof/>
            <w:webHidden/>
          </w:rPr>
          <w:tab/>
        </w:r>
        <w:r w:rsidR="00C77B38">
          <w:rPr>
            <w:noProof/>
            <w:webHidden/>
          </w:rPr>
          <w:fldChar w:fldCharType="begin"/>
        </w:r>
        <w:r w:rsidR="00C77B38">
          <w:rPr>
            <w:noProof/>
            <w:webHidden/>
          </w:rPr>
          <w:instrText xml:space="preserve"> PAGEREF _Toc430706308 \h </w:instrText>
        </w:r>
        <w:r w:rsidR="00C77B38">
          <w:rPr>
            <w:noProof/>
            <w:webHidden/>
          </w:rPr>
        </w:r>
        <w:r w:rsidR="00C77B38">
          <w:rPr>
            <w:noProof/>
            <w:webHidden/>
          </w:rPr>
          <w:fldChar w:fldCharType="separate"/>
        </w:r>
        <w:r w:rsidR="00BC2AF1">
          <w:rPr>
            <w:noProof/>
            <w:webHidden/>
          </w:rPr>
          <w:t>24</w:t>
        </w:r>
        <w:r w:rsidR="00C77B38">
          <w:rPr>
            <w:noProof/>
            <w:webHidden/>
          </w:rPr>
          <w:fldChar w:fldCharType="end"/>
        </w:r>
      </w:hyperlink>
    </w:p>
    <w:p w:rsidR="00C77B38" w:rsidRDefault="0091731F">
      <w:pPr>
        <w:pStyle w:val="TableofFigures"/>
        <w:tabs>
          <w:tab w:val="right" w:leader="dot" w:pos="9350"/>
        </w:tabs>
        <w:rPr>
          <w:rFonts w:asciiTheme="minorHAnsi" w:eastAsiaTheme="minorEastAsia" w:hAnsiTheme="minorHAnsi"/>
          <w:noProof/>
          <w:sz w:val="22"/>
        </w:rPr>
      </w:pPr>
      <w:hyperlink w:anchor="_Toc430706309" w:history="1">
        <w:r w:rsidR="00C77B38" w:rsidRPr="00E938F1">
          <w:rPr>
            <w:rStyle w:val="Hyperlink"/>
            <w:noProof/>
          </w:rPr>
          <w:t>Table 7: 2016-2017 Biennial Conservation Target</w:t>
        </w:r>
        <w:r w:rsidR="00C77B38">
          <w:rPr>
            <w:noProof/>
            <w:webHidden/>
          </w:rPr>
          <w:tab/>
        </w:r>
        <w:r w:rsidR="00C77B38">
          <w:rPr>
            <w:noProof/>
            <w:webHidden/>
          </w:rPr>
          <w:fldChar w:fldCharType="begin"/>
        </w:r>
        <w:r w:rsidR="00C77B38">
          <w:rPr>
            <w:noProof/>
            <w:webHidden/>
          </w:rPr>
          <w:instrText xml:space="preserve"> PAGEREF _Toc430706309 \h </w:instrText>
        </w:r>
        <w:r w:rsidR="00C77B38">
          <w:rPr>
            <w:noProof/>
            <w:webHidden/>
          </w:rPr>
        </w:r>
        <w:r w:rsidR="00C77B38">
          <w:rPr>
            <w:noProof/>
            <w:webHidden/>
          </w:rPr>
          <w:fldChar w:fldCharType="separate"/>
        </w:r>
        <w:r w:rsidR="00BC2AF1">
          <w:rPr>
            <w:noProof/>
            <w:webHidden/>
          </w:rPr>
          <w:t>24</w:t>
        </w:r>
        <w:r w:rsidR="00C77B38">
          <w:rPr>
            <w:noProof/>
            <w:webHidden/>
          </w:rPr>
          <w:fldChar w:fldCharType="end"/>
        </w:r>
      </w:hyperlink>
    </w:p>
    <w:p w:rsidR="00C77B38" w:rsidRDefault="0091731F">
      <w:pPr>
        <w:pStyle w:val="TableofFigures"/>
        <w:tabs>
          <w:tab w:val="right" w:leader="dot" w:pos="9350"/>
        </w:tabs>
        <w:rPr>
          <w:rFonts w:asciiTheme="minorHAnsi" w:eastAsiaTheme="minorEastAsia" w:hAnsiTheme="minorHAnsi"/>
          <w:noProof/>
          <w:sz w:val="22"/>
        </w:rPr>
      </w:pPr>
      <w:hyperlink w:anchor="_Toc430706310" w:history="1">
        <w:r w:rsidR="00C77B38" w:rsidRPr="00E938F1">
          <w:rPr>
            <w:rStyle w:val="Hyperlink"/>
            <w:noProof/>
          </w:rPr>
          <w:t>Table 8: 2016-2017 Demand-Side Management Business Plan Summary</w:t>
        </w:r>
        <w:r w:rsidR="00C77B38">
          <w:rPr>
            <w:noProof/>
            <w:webHidden/>
          </w:rPr>
          <w:tab/>
        </w:r>
        <w:r w:rsidR="00C77B38">
          <w:rPr>
            <w:noProof/>
            <w:webHidden/>
          </w:rPr>
          <w:fldChar w:fldCharType="begin"/>
        </w:r>
        <w:r w:rsidR="00C77B38">
          <w:rPr>
            <w:noProof/>
            <w:webHidden/>
          </w:rPr>
          <w:instrText xml:space="preserve"> PAGEREF _Toc430706310 \h </w:instrText>
        </w:r>
        <w:r w:rsidR="00C77B38">
          <w:rPr>
            <w:noProof/>
            <w:webHidden/>
          </w:rPr>
        </w:r>
        <w:r w:rsidR="00C77B38">
          <w:rPr>
            <w:noProof/>
            <w:webHidden/>
          </w:rPr>
          <w:fldChar w:fldCharType="separate"/>
        </w:r>
        <w:r w:rsidR="00BC2AF1">
          <w:rPr>
            <w:noProof/>
            <w:webHidden/>
          </w:rPr>
          <w:t>27</w:t>
        </w:r>
        <w:r w:rsidR="00C77B38">
          <w:rPr>
            <w:noProof/>
            <w:webHidden/>
          </w:rPr>
          <w:fldChar w:fldCharType="end"/>
        </w:r>
      </w:hyperlink>
    </w:p>
    <w:p w:rsidR="00C77B38" w:rsidRDefault="0091731F">
      <w:pPr>
        <w:pStyle w:val="TableofFigures"/>
        <w:tabs>
          <w:tab w:val="right" w:leader="dot" w:pos="9350"/>
        </w:tabs>
        <w:rPr>
          <w:rFonts w:asciiTheme="minorHAnsi" w:eastAsiaTheme="minorEastAsia" w:hAnsiTheme="minorHAnsi"/>
          <w:noProof/>
          <w:sz w:val="22"/>
        </w:rPr>
      </w:pPr>
      <w:hyperlink w:anchor="_Toc430706311" w:history="1">
        <w:r w:rsidR="00C77B38" w:rsidRPr="00E938F1">
          <w:rPr>
            <w:rStyle w:val="Hyperlink"/>
            <w:noProof/>
          </w:rPr>
          <w:t>Table 9: 2016-2017 Plan Development Compliance Requirements</w:t>
        </w:r>
        <w:r w:rsidR="00C77B38">
          <w:rPr>
            <w:noProof/>
            <w:webHidden/>
          </w:rPr>
          <w:tab/>
        </w:r>
        <w:r w:rsidR="00C77B38">
          <w:rPr>
            <w:noProof/>
            <w:webHidden/>
          </w:rPr>
          <w:fldChar w:fldCharType="begin"/>
        </w:r>
        <w:r w:rsidR="00C77B38">
          <w:rPr>
            <w:noProof/>
            <w:webHidden/>
          </w:rPr>
          <w:instrText xml:space="preserve"> PAGEREF _Toc430706311 \h </w:instrText>
        </w:r>
        <w:r w:rsidR="00C77B38">
          <w:rPr>
            <w:noProof/>
            <w:webHidden/>
          </w:rPr>
        </w:r>
        <w:r w:rsidR="00C77B38">
          <w:rPr>
            <w:noProof/>
            <w:webHidden/>
          </w:rPr>
          <w:fldChar w:fldCharType="separate"/>
        </w:r>
        <w:r w:rsidR="00BC2AF1">
          <w:rPr>
            <w:noProof/>
            <w:webHidden/>
          </w:rPr>
          <w:t>40</w:t>
        </w:r>
        <w:r w:rsidR="00C77B38">
          <w:rPr>
            <w:noProof/>
            <w:webHidden/>
          </w:rPr>
          <w:fldChar w:fldCharType="end"/>
        </w:r>
      </w:hyperlink>
    </w:p>
    <w:p w:rsidR="00220638" w:rsidRPr="00C77B38" w:rsidRDefault="00220638" w:rsidP="00C77B38">
      <w:pPr>
        <w:pStyle w:val="Heading1"/>
        <w:spacing w:after="240"/>
        <w:jc w:val="center"/>
        <w:rPr>
          <w:rFonts w:ascii="Times New Roman" w:hAnsi="Times New Roman" w:cs="Times New Roman"/>
        </w:rPr>
      </w:pPr>
      <w:r>
        <w:rPr>
          <w:rFonts w:cs="Times New Roman"/>
        </w:rPr>
        <w:fldChar w:fldCharType="end"/>
      </w:r>
      <w:r w:rsidRPr="00220638">
        <w:rPr>
          <w:rFonts w:ascii="Times New Roman" w:hAnsi="Times New Roman" w:cs="Times New Roman"/>
        </w:rPr>
        <w:t xml:space="preserve"> </w:t>
      </w:r>
      <w:bookmarkStart w:id="2" w:name="_Toc431301344"/>
      <w:r w:rsidRPr="00432C28">
        <w:rPr>
          <w:rFonts w:ascii="Times New Roman" w:hAnsi="Times New Roman" w:cs="Times New Roman"/>
        </w:rPr>
        <w:t xml:space="preserve">Index of </w:t>
      </w:r>
      <w:r>
        <w:rPr>
          <w:rFonts w:ascii="Times New Roman" w:hAnsi="Times New Roman" w:cs="Times New Roman"/>
        </w:rPr>
        <w:t>Figures</w:t>
      </w:r>
      <w:bookmarkEnd w:id="2"/>
      <w:r>
        <w:rPr>
          <w:rFonts w:ascii="Times New Roman" w:hAnsi="Times New Roman" w:cs="Times New Roman"/>
        </w:rPr>
        <w:fldChar w:fldCharType="begin"/>
      </w:r>
      <w:r w:rsidRPr="00C77B38">
        <w:rPr>
          <w:rFonts w:ascii="Times New Roman" w:hAnsi="Times New Roman" w:cs="Times New Roman"/>
        </w:rPr>
        <w:instrText xml:space="preserve"> TOC \h \z \c "Figure" </w:instrText>
      </w:r>
      <w:r>
        <w:rPr>
          <w:rFonts w:ascii="Times New Roman" w:hAnsi="Times New Roman" w:cs="Times New Roman"/>
        </w:rPr>
        <w:fldChar w:fldCharType="separate"/>
      </w:r>
    </w:p>
    <w:p w:rsidR="00220638" w:rsidRDefault="0091731F">
      <w:pPr>
        <w:pStyle w:val="TableofFigures"/>
        <w:tabs>
          <w:tab w:val="right" w:leader="dot" w:pos="9350"/>
        </w:tabs>
        <w:rPr>
          <w:rFonts w:asciiTheme="minorHAnsi" w:eastAsiaTheme="minorEastAsia" w:hAnsiTheme="minorHAnsi"/>
          <w:noProof/>
          <w:sz w:val="22"/>
        </w:rPr>
      </w:pPr>
      <w:hyperlink w:anchor="_Toc430706034" w:history="1">
        <w:r w:rsidR="00220638" w:rsidRPr="00242160">
          <w:rPr>
            <w:rStyle w:val="Hyperlink"/>
            <w:noProof/>
          </w:rPr>
          <w:t>Figure 1: Overview of I-937 Conservation Forecast Process</w:t>
        </w:r>
        <w:r w:rsidR="00220638">
          <w:rPr>
            <w:noProof/>
            <w:webHidden/>
          </w:rPr>
          <w:tab/>
        </w:r>
        <w:r w:rsidR="00220638">
          <w:rPr>
            <w:noProof/>
            <w:webHidden/>
          </w:rPr>
          <w:fldChar w:fldCharType="begin"/>
        </w:r>
        <w:r w:rsidR="00220638">
          <w:rPr>
            <w:noProof/>
            <w:webHidden/>
          </w:rPr>
          <w:instrText xml:space="preserve"> PAGEREF _Toc430706034 \h </w:instrText>
        </w:r>
        <w:r w:rsidR="00220638">
          <w:rPr>
            <w:noProof/>
            <w:webHidden/>
          </w:rPr>
        </w:r>
        <w:r w:rsidR="00220638">
          <w:rPr>
            <w:noProof/>
            <w:webHidden/>
          </w:rPr>
          <w:fldChar w:fldCharType="separate"/>
        </w:r>
        <w:r w:rsidR="00BC2AF1">
          <w:rPr>
            <w:noProof/>
            <w:webHidden/>
          </w:rPr>
          <w:t>7</w:t>
        </w:r>
        <w:r w:rsidR="00220638">
          <w:rPr>
            <w:noProof/>
            <w:webHidden/>
          </w:rPr>
          <w:fldChar w:fldCharType="end"/>
        </w:r>
      </w:hyperlink>
    </w:p>
    <w:p w:rsidR="007C75A9" w:rsidRDefault="00220638" w:rsidP="00220638">
      <w:pPr>
        <w:pStyle w:val="TOCHeading"/>
        <w:jc w:val="center"/>
        <w:rPr>
          <w:rFonts w:cs="Times New Roman"/>
        </w:rPr>
      </w:pPr>
      <w:r>
        <w:rPr>
          <w:rFonts w:cs="Times New Roman"/>
        </w:rPr>
        <w:fldChar w:fldCharType="end"/>
      </w:r>
    </w:p>
    <w:p w:rsidR="007C75A9" w:rsidRDefault="007C75A9" w:rsidP="007C75A9"/>
    <w:p w:rsidR="007C75A9" w:rsidRDefault="007C75A9" w:rsidP="007C75A9"/>
    <w:p w:rsidR="007C75A9" w:rsidRPr="007C75A9" w:rsidRDefault="007C75A9" w:rsidP="007C75A9"/>
    <w:p w:rsidR="00343917" w:rsidRPr="00432C28" w:rsidRDefault="00343917">
      <w:pPr>
        <w:rPr>
          <w:rFonts w:cs="Times New Roman"/>
          <w:b/>
          <w:szCs w:val="24"/>
        </w:rPr>
      </w:pPr>
      <w:r w:rsidRPr="00432C28">
        <w:rPr>
          <w:rFonts w:cs="Times New Roman"/>
          <w:b/>
          <w:szCs w:val="24"/>
        </w:rPr>
        <w:br w:type="page"/>
      </w:r>
    </w:p>
    <w:p w:rsidR="00E42A53" w:rsidRPr="00432C28" w:rsidRDefault="002C7F22" w:rsidP="00BD0B9E">
      <w:pPr>
        <w:pStyle w:val="Heading1"/>
        <w:rPr>
          <w:rFonts w:ascii="Times New Roman" w:hAnsi="Times New Roman" w:cs="Times New Roman"/>
        </w:rPr>
      </w:pPr>
      <w:bookmarkStart w:id="3" w:name="_Toc431301345"/>
      <w:r w:rsidRPr="00432C28">
        <w:rPr>
          <w:rFonts w:ascii="Times New Roman" w:hAnsi="Times New Roman" w:cs="Times New Roman"/>
        </w:rPr>
        <w:lastRenderedPageBreak/>
        <w:t>Introduction</w:t>
      </w:r>
      <w:bookmarkEnd w:id="3"/>
    </w:p>
    <w:p w:rsidR="005D51BE" w:rsidRPr="00432C28" w:rsidRDefault="005D51BE" w:rsidP="00FA4341">
      <w:pPr>
        <w:rPr>
          <w:rFonts w:cs="Times New Roman"/>
          <w:b/>
          <w:szCs w:val="24"/>
          <w:u w:val="single"/>
        </w:rPr>
      </w:pPr>
    </w:p>
    <w:p w:rsidR="006A118E" w:rsidRPr="00432C28" w:rsidRDefault="00153BC2" w:rsidP="006A118E">
      <w:pPr>
        <w:rPr>
          <w:rFonts w:cs="Times New Roman"/>
          <w:szCs w:val="24"/>
        </w:rPr>
      </w:pPr>
      <w:bookmarkStart w:id="4" w:name="_Toc294088288"/>
      <w:bookmarkStart w:id="5" w:name="_Toc93905382"/>
      <w:r w:rsidRPr="00432C28">
        <w:rPr>
          <w:rFonts w:cs="Times New Roman"/>
          <w:szCs w:val="24"/>
        </w:rPr>
        <w:t>Seeking to increase energy conservation in Washington</w:t>
      </w:r>
      <w:r w:rsidR="0095268B" w:rsidRPr="00432C28">
        <w:rPr>
          <w:rFonts w:cs="Times New Roman"/>
          <w:szCs w:val="24"/>
        </w:rPr>
        <w:t>,</w:t>
      </w:r>
      <w:r w:rsidRPr="00432C28">
        <w:rPr>
          <w:rFonts w:cs="Times New Roman"/>
          <w:szCs w:val="24"/>
        </w:rPr>
        <w:t xml:space="preserve"> voters passed </w:t>
      </w:r>
      <w:r w:rsidR="006A118E" w:rsidRPr="00432C28">
        <w:rPr>
          <w:rFonts w:cs="Times New Roman"/>
          <w:szCs w:val="24"/>
        </w:rPr>
        <w:t>Initiative Measure No. 937</w:t>
      </w:r>
      <w:r w:rsidRPr="00432C28">
        <w:rPr>
          <w:rFonts w:cs="Times New Roman"/>
          <w:szCs w:val="24"/>
        </w:rPr>
        <w:t xml:space="preserve"> (codified as RCW 19.285 and WAC 480-109) in 2006. As a result</w:t>
      </w:r>
      <w:r w:rsidR="0095268B" w:rsidRPr="00432C28">
        <w:rPr>
          <w:rFonts w:cs="Times New Roman"/>
          <w:szCs w:val="24"/>
        </w:rPr>
        <w:t>,</w:t>
      </w:r>
      <w:r w:rsidRPr="00432C28">
        <w:rPr>
          <w:rFonts w:cs="Times New Roman"/>
          <w:szCs w:val="24"/>
        </w:rPr>
        <w:t xml:space="preserve"> </w:t>
      </w:r>
      <w:r w:rsidR="006A118E" w:rsidRPr="00432C28">
        <w:rPr>
          <w:rFonts w:cs="Times New Roman"/>
          <w:szCs w:val="24"/>
        </w:rPr>
        <w:t xml:space="preserve">each electric utility subject to the jurisdiction of the Washington Utilities and Transportation Commission (“Commission”) </w:t>
      </w:r>
      <w:r w:rsidRPr="00432C28">
        <w:rPr>
          <w:rFonts w:cs="Times New Roman"/>
          <w:szCs w:val="24"/>
        </w:rPr>
        <w:t xml:space="preserve">is required </w:t>
      </w:r>
      <w:r w:rsidR="006A118E" w:rsidRPr="00432C28">
        <w:rPr>
          <w:rFonts w:cs="Times New Roman"/>
          <w:szCs w:val="24"/>
        </w:rPr>
        <w:t xml:space="preserve">to project its cumulative ten-year electric conservation potential and to establish biennial conservation </w:t>
      </w:r>
      <w:r w:rsidR="0095268B" w:rsidRPr="00432C28">
        <w:rPr>
          <w:rFonts w:cs="Times New Roman"/>
          <w:szCs w:val="24"/>
        </w:rPr>
        <w:t>targets</w:t>
      </w:r>
      <w:r w:rsidR="006A118E" w:rsidRPr="00432C28">
        <w:rPr>
          <w:rFonts w:cs="Times New Roman"/>
          <w:szCs w:val="24"/>
        </w:rPr>
        <w:t>.</w:t>
      </w:r>
    </w:p>
    <w:p w:rsidR="00EA6FA7" w:rsidRPr="00432C28" w:rsidRDefault="00EA6FA7" w:rsidP="006A118E">
      <w:pPr>
        <w:rPr>
          <w:rFonts w:cs="Times New Roman"/>
          <w:szCs w:val="24"/>
        </w:rPr>
      </w:pPr>
    </w:p>
    <w:p w:rsidR="00E91745" w:rsidRPr="00432C28" w:rsidRDefault="002D0A28" w:rsidP="006A118E">
      <w:pPr>
        <w:rPr>
          <w:rFonts w:cs="Times New Roman"/>
          <w:szCs w:val="24"/>
        </w:rPr>
      </w:pPr>
      <w:r>
        <w:rPr>
          <w:rFonts w:cs="Times New Roman"/>
          <w:szCs w:val="24"/>
        </w:rPr>
        <w:t>WAC</w:t>
      </w:r>
      <w:r w:rsidR="009C045C" w:rsidRPr="00432C28">
        <w:rPr>
          <w:rFonts w:cs="Times New Roman"/>
          <w:szCs w:val="24"/>
        </w:rPr>
        <w:t xml:space="preserve"> </w:t>
      </w:r>
      <w:r>
        <w:rPr>
          <w:rFonts w:cs="Times New Roman"/>
          <w:szCs w:val="24"/>
        </w:rPr>
        <w:t>480-109</w:t>
      </w:r>
      <w:r w:rsidR="00B12FF2">
        <w:rPr>
          <w:rFonts w:cs="Times New Roman"/>
          <w:szCs w:val="24"/>
        </w:rPr>
        <w:t>,</w:t>
      </w:r>
      <w:r w:rsidR="009C045C" w:rsidRPr="00432C28">
        <w:rPr>
          <w:rFonts w:cs="Times New Roman"/>
          <w:szCs w:val="24"/>
        </w:rPr>
        <w:t xml:space="preserve"> as </w:t>
      </w:r>
      <w:r w:rsidR="00EA6FA7">
        <w:rPr>
          <w:rFonts w:cs="Times New Roman"/>
          <w:szCs w:val="24"/>
        </w:rPr>
        <w:t>revised</w:t>
      </w:r>
      <w:r w:rsidR="009C045C" w:rsidRPr="00432C28">
        <w:rPr>
          <w:rFonts w:cs="Times New Roman"/>
          <w:szCs w:val="24"/>
        </w:rPr>
        <w:t xml:space="preserve"> in 20</w:t>
      </w:r>
      <w:r w:rsidR="00505992">
        <w:rPr>
          <w:rFonts w:cs="Times New Roman"/>
          <w:szCs w:val="24"/>
        </w:rPr>
        <w:t>15</w:t>
      </w:r>
      <w:r w:rsidR="006A118E" w:rsidRPr="00432C28">
        <w:rPr>
          <w:rFonts w:cs="Times New Roman"/>
          <w:szCs w:val="24"/>
        </w:rPr>
        <w:t xml:space="preserve">, </w:t>
      </w:r>
      <w:r w:rsidR="009C045C" w:rsidRPr="00432C28">
        <w:rPr>
          <w:rFonts w:cs="Times New Roman"/>
          <w:szCs w:val="24"/>
        </w:rPr>
        <w:t xml:space="preserve">requires </w:t>
      </w:r>
      <w:r w:rsidR="006A118E" w:rsidRPr="00432C28">
        <w:rPr>
          <w:rFonts w:cs="Times New Roman"/>
          <w:szCs w:val="24"/>
        </w:rPr>
        <w:t xml:space="preserve">electric utilities to establish their </w:t>
      </w:r>
      <w:r w:rsidR="009C045C" w:rsidRPr="00432C28">
        <w:rPr>
          <w:rFonts w:cs="Times New Roman"/>
          <w:szCs w:val="24"/>
        </w:rPr>
        <w:t xml:space="preserve">initial </w:t>
      </w:r>
      <w:r w:rsidR="006A118E" w:rsidRPr="00432C28">
        <w:rPr>
          <w:rFonts w:cs="Times New Roman"/>
          <w:szCs w:val="24"/>
        </w:rPr>
        <w:t xml:space="preserve">ten-year </w:t>
      </w:r>
      <w:r w:rsidR="006A118E" w:rsidRPr="0096279B">
        <w:rPr>
          <w:rFonts w:cs="Times New Roman"/>
          <w:szCs w:val="24"/>
        </w:rPr>
        <w:t>conservation potential by January 1, 2010</w:t>
      </w:r>
      <w:r w:rsidR="0095268B" w:rsidRPr="0096279B">
        <w:rPr>
          <w:rFonts w:cs="Times New Roman"/>
          <w:szCs w:val="24"/>
        </w:rPr>
        <w:t>,</w:t>
      </w:r>
      <w:r w:rsidR="006A118E" w:rsidRPr="0096279B">
        <w:rPr>
          <w:rFonts w:cs="Times New Roman"/>
          <w:szCs w:val="24"/>
        </w:rPr>
        <w:t xml:space="preserve"> and </w:t>
      </w:r>
      <w:r w:rsidR="009C045C" w:rsidRPr="0096279B">
        <w:rPr>
          <w:rFonts w:cs="Times New Roman"/>
          <w:szCs w:val="24"/>
        </w:rPr>
        <w:t xml:space="preserve">to revise their ten-year conservation potential every </w:t>
      </w:r>
      <w:r w:rsidR="006A118E" w:rsidRPr="0096279B">
        <w:rPr>
          <w:rFonts w:cs="Times New Roman"/>
          <w:szCs w:val="24"/>
        </w:rPr>
        <w:t>two-years thereafter</w:t>
      </w:r>
      <w:r w:rsidR="00B12FF2">
        <w:rPr>
          <w:rFonts w:cs="Times New Roman"/>
          <w:szCs w:val="24"/>
        </w:rPr>
        <w:t>.</w:t>
      </w:r>
      <w:r w:rsidR="00EA6FA7">
        <w:rPr>
          <w:rStyle w:val="FootnoteReference"/>
          <w:rFonts w:cs="Times New Roman"/>
          <w:szCs w:val="24"/>
        </w:rPr>
        <w:footnoteReference w:id="1"/>
      </w:r>
      <w:r w:rsidR="006A118E" w:rsidRPr="0096279B">
        <w:rPr>
          <w:rFonts w:cs="Times New Roman"/>
          <w:szCs w:val="24"/>
        </w:rPr>
        <w:t xml:space="preserve"> </w:t>
      </w:r>
      <w:r w:rsidR="0095268B" w:rsidRPr="0096279B">
        <w:rPr>
          <w:rFonts w:cs="Times New Roman"/>
          <w:szCs w:val="24"/>
        </w:rPr>
        <w:t xml:space="preserve">In </w:t>
      </w:r>
      <w:r w:rsidR="009C045C" w:rsidRPr="0096279B">
        <w:rPr>
          <w:rFonts w:cs="Times New Roman"/>
          <w:szCs w:val="24"/>
        </w:rPr>
        <w:t xml:space="preserve">approving PacifiCorp’s </w:t>
      </w:r>
      <w:r w:rsidR="00371485" w:rsidRPr="0096279B">
        <w:rPr>
          <w:rFonts w:cs="Times New Roman"/>
          <w:szCs w:val="24"/>
        </w:rPr>
        <w:t>201</w:t>
      </w:r>
      <w:r w:rsidR="00F32F61">
        <w:rPr>
          <w:rFonts w:cs="Times New Roman"/>
          <w:szCs w:val="24"/>
        </w:rPr>
        <w:t>4</w:t>
      </w:r>
      <w:r w:rsidR="00371485" w:rsidRPr="0096279B">
        <w:rPr>
          <w:rFonts w:cs="Times New Roman"/>
          <w:szCs w:val="24"/>
        </w:rPr>
        <w:t>-201</w:t>
      </w:r>
      <w:r w:rsidR="00F32F61">
        <w:rPr>
          <w:rFonts w:cs="Times New Roman"/>
          <w:szCs w:val="24"/>
        </w:rPr>
        <w:t>5</w:t>
      </w:r>
      <w:r w:rsidR="00371485" w:rsidRPr="0096279B">
        <w:rPr>
          <w:rFonts w:cs="Times New Roman"/>
          <w:szCs w:val="24"/>
        </w:rPr>
        <w:t xml:space="preserve"> biennial conservation target in </w:t>
      </w:r>
      <w:r w:rsidR="0095268B" w:rsidRPr="0096279B">
        <w:rPr>
          <w:rFonts w:cs="Times New Roman"/>
          <w:szCs w:val="24"/>
        </w:rPr>
        <w:t>Docket UE-</w:t>
      </w:r>
      <w:r w:rsidR="00F32F61">
        <w:rPr>
          <w:rFonts w:cs="Times New Roman"/>
          <w:szCs w:val="24"/>
        </w:rPr>
        <w:t>132047</w:t>
      </w:r>
      <w:r w:rsidR="0095268B" w:rsidRPr="0096279B">
        <w:rPr>
          <w:rFonts w:cs="Times New Roman"/>
          <w:szCs w:val="24"/>
        </w:rPr>
        <w:t>,</w:t>
      </w:r>
      <w:r w:rsidR="00505992">
        <w:rPr>
          <w:rFonts w:cs="Times New Roman"/>
          <w:szCs w:val="24"/>
        </w:rPr>
        <w:t xml:space="preserve"> and </w:t>
      </w:r>
      <w:r w:rsidR="00B96446">
        <w:rPr>
          <w:rFonts w:cs="Times New Roman"/>
          <w:szCs w:val="24"/>
        </w:rPr>
        <w:t>through the approval of the revised WAC 480-109 rules in March of 2015</w:t>
      </w:r>
      <w:r w:rsidR="00B12FF2">
        <w:rPr>
          <w:rFonts w:cs="Times New Roman"/>
          <w:szCs w:val="24"/>
        </w:rPr>
        <w:t>,</w:t>
      </w:r>
      <w:r w:rsidR="00BC2AF1">
        <w:rPr>
          <w:rStyle w:val="FootnoteReference"/>
          <w:rFonts w:cs="Times New Roman"/>
          <w:szCs w:val="24"/>
        </w:rPr>
        <w:footnoteReference w:id="2"/>
      </w:r>
      <w:r w:rsidR="00B96446">
        <w:rPr>
          <w:rFonts w:cs="Times New Roman"/>
          <w:szCs w:val="24"/>
        </w:rPr>
        <w:t xml:space="preserve"> </w:t>
      </w:r>
      <w:r w:rsidR="0095268B" w:rsidRPr="0096279B">
        <w:rPr>
          <w:rFonts w:cs="Times New Roman"/>
          <w:szCs w:val="24"/>
        </w:rPr>
        <w:t xml:space="preserve">the Commission </w:t>
      </w:r>
      <w:r w:rsidR="00ED7C1C">
        <w:rPr>
          <w:rFonts w:cs="Times New Roman"/>
          <w:szCs w:val="24"/>
        </w:rPr>
        <w:t xml:space="preserve">provided direction for the </w:t>
      </w:r>
      <w:r w:rsidR="006A118E" w:rsidRPr="0096279B">
        <w:rPr>
          <w:rFonts w:cs="Times New Roman"/>
          <w:szCs w:val="24"/>
        </w:rPr>
        <w:t xml:space="preserve"> Company to file </w:t>
      </w:r>
      <w:r w:rsidR="00ED7C1C">
        <w:rPr>
          <w:rFonts w:cs="Times New Roman"/>
          <w:szCs w:val="24"/>
        </w:rPr>
        <w:t>its</w:t>
      </w:r>
      <w:r w:rsidR="006A118E" w:rsidRPr="0096279B">
        <w:rPr>
          <w:rFonts w:cs="Times New Roman"/>
          <w:szCs w:val="24"/>
        </w:rPr>
        <w:t xml:space="preserve"> </w:t>
      </w:r>
      <w:r w:rsidR="00BB1977" w:rsidRPr="0096279B">
        <w:rPr>
          <w:rFonts w:cs="Times New Roman"/>
          <w:szCs w:val="24"/>
        </w:rPr>
        <w:t>b</w:t>
      </w:r>
      <w:r w:rsidR="00092202" w:rsidRPr="0096279B">
        <w:rPr>
          <w:rFonts w:cs="Times New Roman"/>
          <w:szCs w:val="24"/>
        </w:rPr>
        <w:t>iennial conservation plan for 201</w:t>
      </w:r>
      <w:r w:rsidR="00F32F61">
        <w:rPr>
          <w:rFonts w:cs="Times New Roman"/>
          <w:szCs w:val="24"/>
        </w:rPr>
        <w:t>6</w:t>
      </w:r>
      <w:r w:rsidR="00092202" w:rsidRPr="0096279B">
        <w:rPr>
          <w:rFonts w:cs="Times New Roman"/>
          <w:szCs w:val="24"/>
        </w:rPr>
        <w:t>-201</w:t>
      </w:r>
      <w:r w:rsidR="00F32F61">
        <w:rPr>
          <w:rFonts w:cs="Times New Roman"/>
          <w:szCs w:val="24"/>
        </w:rPr>
        <w:t>7</w:t>
      </w:r>
      <w:r w:rsidR="00092202" w:rsidRPr="0096279B">
        <w:rPr>
          <w:rFonts w:cs="Times New Roman"/>
          <w:szCs w:val="24"/>
        </w:rPr>
        <w:t xml:space="preserve"> together with identification of its 201</w:t>
      </w:r>
      <w:r w:rsidR="00F32F61">
        <w:rPr>
          <w:rFonts w:cs="Times New Roman"/>
          <w:szCs w:val="24"/>
        </w:rPr>
        <w:t>6</w:t>
      </w:r>
      <w:r w:rsidR="00092202" w:rsidRPr="0096279B">
        <w:rPr>
          <w:rFonts w:cs="Times New Roman"/>
          <w:szCs w:val="24"/>
        </w:rPr>
        <w:t>-202</w:t>
      </w:r>
      <w:r w:rsidR="00F32F61">
        <w:rPr>
          <w:rFonts w:cs="Times New Roman"/>
          <w:szCs w:val="24"/>
        </w:rPr>
        <w:t>5</w:t>
      </w:r>
      <w:r w:rsidR="00092202" w:rsidRPr="0096279B">
        <w:rPr>
          <w:rFonts w:cs="Times New Roman"/>
          <w:szCs w:val="24"/>
        </w:rPr>
        <w:t xml:space="preserve"> achievable conservation potential by </w:t>
      </w:r>
      <w:r w:rsidR="00F32F61">
        <w:rPr>
          <w:rFonts w:cs="Times New Roman"/>
          <w:szCs w:val="24"/>
        </w:rPr>
        <w:t>November 1</w:t>
      </w:r>
      <w:r w:rsidR="00092202" w:rsidRPr="0096279B">
        <w:rPr>
          <w:rFonts w:cs="Times New Roman"/>
          <w:szCs w:val="24"/>
        </w:rPr>
        <w:t>, 201</w:t>
      </w:r>
      <w:r w:rsidR="00F32F61">
        <w:rPr>
          <w:rFonts w:cs="Times New Roman"/>
          <w:szCs w:val="24"/>
        </w:rPr>
        <w:t>5</w:t>
      </w:r>
      <w:r w:rsidR="00092202" w:rsidRPr="0096279B">
        <w:rPr>
          <w:rFonts w:cs="Times New Roman"/>
          <w:szCs w:val="24"/>
        </w:rPr>
        <w:t>.</w:t>
      </w:r>
      <w:r w:rsidR="000A75CB" w:rsidRPr="0096279B">
        <w:rPr>
          <w:rStyle w:val="FootnoteReference"/>
          <w:rFonts w:cs="Times New Roman"/>
          <w:szCs w:val="24"/>
        </w:rPr>
        <w:footnoteReference w:id="3"/>
      </w:r>
      <w:r w:rsidR="00ED21ED" w:rsidRPr="00432C28">
        <w:rPr>
          <w:rFonts w:cs="Times New Roman"/>
          <w:szCs w:val="24"/>
        </w:rPr>
        <w:t xml:space="preserve"> </w:t>
      </w:r>
    </w:p>
    <w:p w:rsidR="006A118E" w:rsidRPr="00432C28" w:rsidRDefault="006A118E" w:rsidP="006A118E">
      <w:pPr>
        <w:rPr>
          <w:rFonts w:cs="Times New Roman"/>
          <w:szCs w:val="24"/>
        </w:rPr>
      </w:pPr>
    </w:p>
    <w:p w:rsidR="0051328B" w:rsidRPr="00432C28" w:rsidRDefault="006A118E" w:rsidP="00ED7C1C">
      <w:pPr>
        <w:rPr>
          <w:rFonts w:cs="Times New Roman"/>
          <w:szCs w:val="24"/>
        </w:rPr>
      </w:pPr>
      <w:r w:rsidRPr="00432C28">
        <w:rPr>
          <w:rFonts w:cs="Times New Roman"/>
          <w:szCs w:val="24"/>
        </w:rPr>
        <w:t xml:space="preserve">In determining its ten-year conservation potential, </w:t>
      </w:r>
      <w:r w:rsidR="00234573" w:rsidRPr="00432C28">
        <w:rPr>
          <w:rFonts w:cs="Times New Roman"/>
          <w:szCs w:val="24"/>
        </w:rPr>
        <w:t>WAC 480-109</w:t>
      </w:r>
      <w:r w:rsidR="00C331B4">
        <w:rPr>
          <w:rFonts w:cs="Times New Roman"/>
          <w:szCs w:val="24"/>
        </w:rPr>
        <w:t>-100</w:t>
      </w:r>
      <w:r w:rsidR="00234573" w:rsidRPr="00432C28">
        <w:rPr>
          <w:rFonts w:cs="Times New Roman"/>
          <w:szCs w:val="24"/>
        </w:rPr>
        <w:t xml:space="preserve"> direct</w:t>
      </w:r>
      <w:r w:rsidR="00A658DE" w:rsidRPr="00432C28">
        <w:rPr>
          <w:rFonts w:cs="Times New Roman"/>
          <w:szCs w:val="24"/>
        </w:rPr>
        <w:t>s</w:t>
      </w:r>
      <w:r w:rsidR="00234573" w:rsidRPr="00432C28">
        <w:rPr>
          <w:rFonts w:cs="Times New Roman"/>
          <w:szCs w:val="24"/>
        </w:rPr>
        <w:t xml:space="preserve"> utilities </w:t>
      </w:r>
      <w:r w:rsidRPr="00432C28">
        <w:rPr>
          <w:rFonts w:cs="Times New Roman"/>
          <w:szCs w:val="24"/>
        </w:rPr>
        <w:t>such as PacifiCorp</w:t>
      </w:r>
      <w:r w:rsidR="00234573" w:rsidRPr="00432C28">
        <w:rPr>
          <w:rFonts w:cs="Times New Roman"/>
          <w:szCs w:val="24"/>
        </w:rPr>
        <w:t xml:space="preserve"> to </w:t>
      </w:r>
      <w:r w:rsidR="00395D60">
        <w:rPr>
          <w:rFonts w:cs="Times New Roman"/>
          <w:szCs w:val="24"/>
        </w:rPr>
        <w:t xml:space="preserve">pursue all available </w:t>
      </w:r>
      <w:r w:rsidRPr="00432C28">
        <w:rPr>
          <w:rFonts w:cs="Times New Roman"/>
          <w:szCs w:val="24"/>
        </w:rPr>
        <w:t xml:space="preserve">conservation that </w:t>
      </w:r>
      <w:r w:rsidR="00395D60">
        <w:rPr>
          <w:rFonts w:cs="Times New Roman"/>
          <w:szCs w:val="24"/>
        </w:rPr>
        <w:t>is</w:t>
      </w:r>
      <w:r w:rsidRPr="00432C28">
        <w:rPr>
          <w:rFonts w:cs="Times New Roman"/>
          <w:szCs w:val="24"/>
        </w:rPr>
        <w:t xml:space="preserve"> cost-effective, reliable, and feasible. Th</w:t>
      </w:r>
      <w:r w:rsidR="00234573" w:rsidRPr="00432C28">
        <w:rPr>
          <w:rFonts w:cs="Times New Roman"/>
          <w:szCs w:val="24"/>
        </w:rPr>
        <w:t xml:space="preserve">e </w:t>
      </w:r>
      <w:r w:rsidR="00A658DE" w:rsidRPr="00432C28">
        <w:rPr>
          <w:rFonts w:cs="Times New Roman"/>
          <w:szCs w:val="24"/>
        </w:rPr>
        <w:t>potential must</w:t>
      </w:r>
      <w:r w:rsidRPr="00432C28">
        <w:rPr>
          <w:rFonts w:cs="Times New Roman"/>
          <w:szCs w:val="24"/>
        </w:rPr>
        <w:t xml:space="preserve"> be derived from </w:t>
      </w:r>
      <w:r w:rsidR="00DC1203">
        <w:rPr>
          <w:rFonts w:cs="Times New Roman"/>
          <w:szCs w:val="24"/>
        </w:rPr>
        <w:t>t</w:t>
      </w:r>
      <w:r w:rsidRPr="00432C28">
        <w:rPr>
          <w:rFonts w:cs="Times New Roman"/>
          <w:szCs w:val="24"/>
        </w:rPr>
        <w:t xml:space="preserve">he utility’s most recent </w:t>
      </w:r>
      <w:r w:rsidR="00F522CB" w:rsidRPr="00432C28">
        <w:rPr>
          <w:rFonts w:cs="Times New Roman"/>
          <w:szCs w:val="24"/>
        </w:rPr>
        <w:t>Integrated Resource Plan (“</w:t>
      </w:r>
      <w:r w:rsidRPr="00432C28">
        <w:rPr>
          <w:rFonts w:cs="Times New Roman"/>
          <w:szCs w:val="24"/>
        </w:rPr>
        <w:t>IRP</w:t>
      </w:r>
      <w:r w:rsidR="00F522CB" w:rsidRPr="00432C28">
        <w:rPr>
          <w:rFonts w:cs="Times New Roman"/>
          <w:szCs w:val="24"/>
        </w:rPr>
        <w:t>”)</w:t>
      </w:r>
      <w:r w:rsidRPr="00432C28">
        <w:rPr>
          <w:rFonts w:cs="Times New Roman"/>
          <w:szCs w:val="24"/>
        </w:rPr>
        <w:t>, including any information learned in its subsequent resource acquisition process, or the utility must document the reasons for any differences.</w:t>
      </w:r>
      <w:r w:rsidR="00DC1203">
        <w:rPr>
          <w:rFonts w:cs="Times New Roman"/>
          <w:szCs w:val="24"/>
        </w:rPr>
        <w:t xml:space="preserve"> When developing this projection, utilities must use methodologies that are consistent with those used in the Northwest Conservation and Electric Power Plan. The projection must include a list of each measure used in the potential, its unit energy savings value, and the source of that value.</w:t>
      </w:r>
      <w:r w:rsidR="00C331B4">
        <w:rPr>
          <w:rStyle w:val="FootnoteReference"/>
          <w:rFonts w:cs="Times New Roman"/>
          <w:szCs w:val="24"/>
        </w:rPr>
        <w:footnoteReference w:id="4"/>
      </w:r>
    </w:p>
    <w:p w:rsidR="00F7709B" w:rsidRPr="00432C28" w:rsidRDefault="00F7709B">
      <w:pPr>
        <w:pStyle w:val="ListParagraph"/>
        <w:ind w:left="1440"/>
        <w:rPr>
          <w:rFonts w:cs="Times New Roman"/>
          <w:szCs w:val="24"/>
        </w:rPr>
      </w:pPr>
    </w:p>
    <w:p w:rsidR="00677EA8" w:rsidRPr="00432C28" w:rsidRDefault="00234573">
      <w:pPr>
        <w:rPr>
          <w:rFonts w:cs="Times New Roman"/>
          <w:szCs w:val="24"/>
        </w:rPr>
      </w:pPr>
      <w:r w:rsidRPr="00432C28">
        <w:rPr>
          <w:rFonts w:cs="Times New Roman"/>
          <w:szCs w:val="24"/>
        </w:rPr>
        <w:t xml:space="preserve">With respect to </w:t>
      </w:r>
      <w:r w:rsidR="000E5C89" w:rsidRPr="00432C28">
        <w:rPr>
          <w:rFonts w:cs="Times New Roman"/>
          <w:szCs w:val="24"/>
        </w:rPr>
        <w:t>establishing a biennial conservation target, WAC 480-109-</w:t>
      </w:r>
      <w:r w:rsidR="00DC1203">
        <w:rPr>
          <w:rFonts w:cs="Times New Roman"/>
          <w:szCs w:val="24"/>
        </w:rPr>
        <w:t>100</w:t>
      </w:r>
      <w:r w:rsidR="00B96446">
        <w:rPr>
          <w:rFonts w:cs="Times New Roman"/>
          <w:szCs w:val="24"/>
        </w:rPr>
        <w:t xml:space="preserve"> </w:t>
      </w:r>
      <w:r w:rsidR="000E5C89" w:rsidRPr="00432C28">
        <w:rPr>
          <w:rFonts w:cs="Times New Roman"/>
          <w:szCs w:val="24"/>
        </w:rPr>
        <w:t>(</w:t>
      </w:r>
      <w:r w:rsidR="00DC1203">
        <w:rPr>
          <w:rFonts w:cs="Times New Roman"/>
          <w:szCs w:val="24"/>
        </w:rPr>
        <w:t>3</w:t>
      </w:r>
      <w:r w:rsidR="000E5C89" w:rsidRPr="00432C28">
        <w:rPr>
          <w:rFonts w:cs="Times New Roman"/>
          <w:szCs w:val="24"/>
        </w:rPr>
        <w:t xml:space="preserve">) states that: a) </w:t>
      </w:r>
      <w:r w:rsidR="00DC1203">
        <w:rPr>
          <w:rFonts w:cs="Times New Roman"/>
          <w:szCs w:val="24"/>
        </w:rPr>
        <w:t>T</w:t>
      </w:r>
      <w:r w:rsidR="000E5C89" w:rsidRPr="00432C28">
        <w:rPr>
          <w:rFonts w:cs="Times New Roman"/>
          <w:szCs w:val="24"/>
        </w:rPr>
        <w:t xml:space="preserve">he </w:t>
      </w:r>
      <w:r w:rsidR="00DC1203">
        <w:rPr>
          <w:rFonts w:cs="Times New Roman"/>
          <w:szCs w:val="24"/>
        </w:rPr>
        <w:t xml:space="preserve">biennial conservation </w:t>
      </w:r>
      <w:r w:rsidR="000E5C89" w:rsidRPr="00432C28">
        <w:rPr>
          <w:rFonts w:cs="Times New Roman"/>
          <w:szCs w:val="24"/>
        </w:rPr>
        <w:t>target must identify</w:t>
      </w:r>
      <w:r w:rsidR="00DC1203">
        <w:rPr>
          <w:rFonts w:cs="Times New Roman"/>
          <w:szCs w:val="24"/>
        </w:rPr>
        <w:t xml:space="preserve">, and quantify in megawatt-hours, </w:t>
      </w:r>
      <w:r w:rsidR="000E5C89" w:rsidRPr="00432C28">
        <w:rPr>
          <w:rFonts w:cs="Times New Roman"/>
          <w:szCs w:val="24"/>
        </w:rPr>
        <w:t>all a</w:t>
      </w:r>
      <w:r w:rsidR="00DC1203">
        <w:rPr>
          <w:rFonts w:cs="Times New Roman"/>
          <w:szCs w:val="24"/>
        </w:rPr>
        <w:t>vailable</w:t>
      </w:r>
      <w:r w:rsidR="000E5C89" w:rsidRPr="00432C28">
        <w:rPr>
          <w:rFonts w:cs="Times New Roman"/>
          <w:szCs w:val="24"/>
        </w:rPr>
        <w:t xml:space="preserve"> conservation </w:t>
      </w:r>
      <w:r w:rsidR="00DC1203">
        <w:rPr>
          <w:rFonts w:cs="Times New Roman"/>
          <w:szCs w:val="24"/>
        </w:rPr>
        <w:t>that is cost-effective, reliable, and feasible</w:t>
      </w:r>
      <w:r w:rsidR="00B96446">
        <w:rPr>
          <w:rFonts w:cs="Times New Roman"/>
          <w:szCs w:val="24"/>
        </w:rPr>
        <w:t>, and</w:t>
      </w:r>
      <w:r w:rsidR="000E5C89" w:rsidRPr="00432C28">
        <w:rPr>
          <w:rFonts w:cs="Times New Roman"/>
          <w:szCs w:val="24"/>
        </w:rPr>
        <w:t xml:space="preserve"> b) </w:t>
      </w:r>
      <w:r w:rsidR="00B72D5A">
        <w:rPr>
          <w:rFonts w:cs="Times New Roman"/>
          <w:szCs w:val="24"/>
        </w:rPr>
        <w:t>T</w:t>
      </w:r>
      <w:r w:rsidR="000E5C89" w:rsidRPr="00432C28">
        <w:rPr>
          <w:rFonts w:cs="Times New Roman"/>
          <w:szCs w:val="24"/>
        </w:rPr>
        <w:t xml:space="preserve">he </w:t>
      </w:r>
      <w:r w:rsidR="00DC1203">
        <w:rPr>
          <w:rFonts w:cs="Times New Roman"/>
          <w:szCs w:val="24"/>
        </w:rPr>
        <w:t xml:space="preserve">biennial conservation </w:t>
      </w:r>
      <w:r w:rsidR="000E5C89" w:rsidRPr="00432C28">
        <w:rPr>
          <w:rFonts w:cs="Times New Roman"/>
          <w:szCs w:val="24"/>
        </w:rPr>
        <w:t>target must be no lower than a pro rata share of the utility’s ten-year conservation potential.</w:t>
      </w:r>
      <w:r w:rsidR="00B72D5A">
        <w:rPr>
          <w:rFonts w:cs="Times New Roman"/>
          <w:szCs w:val="24"/>
        </w:rPr>
        <w:t xml:space="preserve"> In WAC 480-109-060 (19) “pro rata” share was </w:t>
      </w:r>
      <w:r w:rsidR="00C37F66">
        <w:rPr>
          <w:rFonts w:cs="Times New Roman"/>
          <w:szCs w:val="24"/>
        </w:rPr>
        <w:t xml:space="preserve">defined as </w:t>
      </w:r>
      <w:r w:rsidR="00B72D5A">
        <w:rPr>
          <w:rFonts w:cs="Times New Roman"/>
          <w:szCs w:val="24"/>
        </w:rPr>
        <w:t xml:space="preserve">“the calculation dividing the utility’s projected ten-year conservation potential into five equal proportions to establish the minimum biennial conservation target.”  </w:t>
      </w:r>
    </w:p>
    <w:p w:rsidR="00677EA8" w:rsidRPr="00432C28" w:rsidRDefault="00677EA8">
      <w:pPr>
        <w:rPr>
          <w:rFonts w:cs="Times New Roman"/>
          <w:szCs w:val="24"/>
        </w:rPr>
      </w:pPr>
    </w:p>
    <w:p w:rsidR="00EB28BD" w:rsidRDefault="00092202">
      <w:pPr>
        <w:rPr>
          <w:rFonts w:cs="Times New Roman"/>
          <w:szCs w:val="24"/>
        </w:rPr>
      </w:pPr>
      <w:r w:rsidRPr="00432C28">
        <w:rPr>
          <w:rFonts w:cs="Times New Roman"/>
          <w:szCs w:val="24"/>
        </w:rPr>
        <w:t>In compliance with these requirements and the Commission’s direction</w:t>
      </w:r>
      <w:r w:rsidR="0078599F" w:rsidRPr="00432C28">
        <w:rPr>
          <w:rFonts w:cs="Times New Roman"/>
          <w:szCs w:val="24"/>
        </w:rPr>
        <w:t>,</w:t>
      </w:r>
      <w:r w:rsidRPr="00432C28">
        <w:rPr>
          <w:rFonts w:cs="Times New Roman"/>
          <w:szCs w:val="24"/>
        </w:rPr>
        <w:t xml:space="preserve"> the Company provides </w:t>
      </w:r>
      <w:r w:rsidR="0078599F" w:rsidRPr="00432C28">
        <w:rPr>
          <w:rFonts w:cs="Times New Roman"/>
          <w:szCs w:val="24"/>
        </w:rPr>
        <w:t xml:space="preserve">this </w:t>
      </w:r>
      <w:r w:rsidR="00B96446">
        <w:rPr>
          <w:rFonts w:cs="Times New Roman"/>
          <w:szCs w:val="24"/>
        </w:rPr>
        <w:t xml:space="preserve">report and </w:t>
      </w:r>
      <w:r w:rsidR="0078599F" w:rsidRPr="00432C28">
        <w:rPr>
          <w:rFonts w:cs="Times New Roman"/>
          <w:szCs w:val="24"/>
        </w:rPr>
        <w:t>filing</w:t>
      </w:r>
      <w:r w:rsidR="00BC2AF1">
        <w:rPr>
          <w:rFonts w:cs="Times New Roman"/>
          <w:szCs w:val="24"/>
        </w:rPr>
        <w:t xml:space="preserve"> for Commission consideration and approval</w:t>
      </w:r>
      <w:r w:rsidR="0078599F" w:rsidRPr="00432C28">
        <w:rPr>
          <w:rFonts w:cs="Times New Roman"/>
          <w:szCs w:val="24"/>
        </w:rPr>
        <w:t>.</w:t>
      </w:r>
    </w:p>
    <w:bookmarkEnd w:id="4"/>
    <w:bookmarkEnd w:id="5"/>
    <w:p w:rsidR="00BC2AF1" w:rsidRDefault="00BC2AF1" w:rsidP="00537F93">
      <w:pPr>
        <w:jc w:val="left"/>
        <w:rPr>
          <w:rFonts w:cs="Times New Roman"/>
        </w:rPr>
      </w:pPr>
    </w:p>
    <w:p w:rsidR="00EB2B53" w:rsidRPr="001A7AEC" w:rsidRDefault="0078599F" w:rsidP="00537F93">
      <w:pPr>
        <w:jc w:val="left"/>
        <w:rPr>
          <w:rFonts w:cs="Times New Roman"/>
          <w:b/>
        </w:rPr>
      </w:pPr>
      <w:r w:rsidRPr="001A7AEC">
        <w:rPr>
          <w:rFonts w:cs="Times New Roman"/>
          <w:b/>
        </w:rPr>
        <w:t>Overview of 201</w:t>
      </w:r>
      <w:r w:rsidR="00781C4D" w:rsidRPr="001A7AEC">
        <w:rPr>
          <w:rFonts w:cs="Times New Roman"/>
          <w:b/>
        </w:rPr>
        <w:t>6</w:t>
      </w:r>
      <w:r w:rsidRPr="001A7AEC">
        <w:rPr>
          <w:rFonts w:cs="Times New Roman"/>
          <w:b/>
        </w:rPr>
        <w:t>-201</w:t>
      </w:r>
      <w:r w:rsidR="00781C4D" w:rsidRPr="001A7AEC">
        <w:rPr>
          <w:rFonts w:cs="Times New Roman"/>
          <w:b/>
        </w:rPr>
        <w:t>7</w:t>
      </w:r>
      <w:r w:rsidR="00EB2B53" w:rsidRPr="001A7AEC">
        <w:rPr>
          <w:rFonts w:cs="Times New Roman"/>
          <w:b/>
        </w:rPr>
        <w:t xml:space="preserve"> Biennial Conservation Plan </w:t>
      </w:r>
    </w:p>
    <w:p w:rsidR="00EB2B53" w:rsidRPr="00432C28" w:rsidRDefault="00EB2B53" w:rsidP="00EB2B53">
      <w:pPr>
        <w:rPr>
          <w:rFonts w:cs="Times New Roman"/>
        </w:rPr>
      </w:pPr>
    </w:p>
    <w:p w:rsidR="001D60A9" w:rsidRPr="00432C28" w:rsidRDefault="001B5CFF">
      <w:pPr>
        <w:rPr>
          <w:rFonts w:cs="Times New Roman"/>
          <w:szCs w:val="24"/>
        </w:rPr>
      </w:pPr>
      <w:r w:rsidRPr="00432C28">
        <w:rPr>
          <w:rFonts w:cs="Times New Roman"/>
        </w:rPr>
        <w:t xml:space="preserve">As </w:t>
      </w:r>
      <w:r w:rsidR="00781C4D">
        <w:rPr>
          <w:rFonts w:cs="Times New Roman"/>
        </w:rPr>
        <w:t>required</w:t>
      </w:r>
      <w:r w:rsidRPr="00432C28">
        <w:rPr>
          <w:rFonts w:cs="Times New Roman"/>
        </w:rPr>
        <w:t xml:space="preserve"> by WAC 480-109-</w:t>
      </w:r>
      <w:r w:rsidR="00781C4D">
        <w:rPr>
          <w:rFonts w:cs="Times New Roman"/>
        </w:rPr>
        <w:t>100</w:t>
      </w:r>
      <w:r w:rsidRPr="00432C28">
        <w:rPr>
          <w:rFonts w:cs="Times New Roman"/>
        </w:rPr>
        <w:t xml:space="preserve"> (</w:t>
      </w:r>
      <w:r w:rsidR="00781C4D">
        <w:rPr>
          <w:rFonts w:cs="Times New Roman"/>
        </w:rPr>
        <w:t>2</w:t>
      </w:r>
      <w:r w:rsidRPr="00432C28">
        <w:rPr>
          <w:rFonts w:cs="Times New Roman"/>
        </w:rPr>
        <w:t>)</w:t>
      </w:r>
      <w:r w:rsidR="00BE5257">
        <w:rPr>
          <w:rFonts w:cs="Times New Roman"/>
        </w:rPr>
        <w:t xml:space="preserve"> </w:t>
      </w:r>
      <w:r w:rsidRPr="00432C28">
        <w:rPr>
          <w:rFonts w:cs="Times New Roman"/>
        </w:rPr>
        <w:t xml:space="preserve">(b), the </w:t>
      </w:r>
      <w:r w:rsidR="005E2242">
        <w:rPr>
          <w:rFonts w:cs="Times New Roman"/>
        </w:rPr>
        <w:t xml:space="preserve">key </w:t>
      </w:r>
      <w:r w:rsidRPr="00432C28">
        <w:rPr>
          <w:rFonts w:cs="Times New Roman"/>
        </w:rPr>
        <w:t xml:space="preserve">source of </w:t>
      </w:r>
      <w:r w:rsidR="00BE5257">
        <w:rPr>
          <w:rFonts w:cs="Times New Roman"/>
        </w:rPr>
        <w:t xml:space="preserve">PacifiCorp’s </w:t>
      </w:r>
      <w:r w:rsidR="006F288D">
        <w:rPr>
          <w:rFonts w:cs="Times New Roman"/>
        </w:rPr>
        <w:t xml:space="preserve">ten-year conservation potential </w:t>
      </w:r>
      <w:r w:rsidRPr="00432C28">
        <w:rPr>
          <w:rFonts w:cs="Times New Roman"/>
        </w:rPr>
        <w:t>is the Company’s 201</w:t>
      </w:r>
      <w:r w:rsidR="00781C4D">
        <w:rPr>
          <w:rFonts w:cs="Times New Roman"/>
        </w:rPr>
        <w:t>5</w:t>
      </w:r>
      <w:r w:rsidRPr="00432C28">
        <w:rPr>
          <w:rFonts w:cs="Times New Roman"/>
        </w:rPr>
        <w:t xml:space="preserve"> IRP</w:t>
      </w:r>
      <w:r w:rsidR="005B450D" w:rsidRPr="00432C28">
        <w:rPr>
          <w:rFonts w:cs="Times New Roman"/>
        </w:rPr>
        <w:t>,</w:t>
      </w:r>
      <w:r w:rsidRPr="00432C28">
        <w:rPr>
          <w:rFonts w:cs="Times New Roman"/>
          <w:szCs w:val="24"/>
        </w:rPr>
        <w:t xml:space="preserve"> which was filed with the Commission in Docket UE-</w:t>
      </w:r>
      <w:r w:rsidR="006F288D">
        <w:rPr>
          <w:rFonts w:cs="Times New Roman"/>
          <w:szCs w:val="24"/>
        </w:rPr>
        <w:t>140546</w:t>
      </w:r>
      <w:r w:rsidRPr="00432C28">
        <w:rPr>
          <w:rFonts w:cs="Times New Roman"/>
          <w:szCs w:val="24"/>
        </w:rPr>
        <w:t xml:space="preserve">, a copy of which is provided </w:t>
      </w:r>
      <w:r w:rsidRPr="003D272C">
        <w:rPr>
          <w:rFonts w:cs="Times New Roman"/>
          <w:szCs w:val="24"/>
        </w:rPr>
        <w:t xml:space="preserve">as </w:t>
      </w:r>
      <w:r w:rsidR="00AB4CB2" w:rsidRPr="003D272C">
        <w:rPr>
          <w:rFonts w:cs="Times New Roman"/>
          <w:szCs w:val="24"/>
        </w:rPr>
        <w:t>Appendix 1</w:t>
      </w:r>
      <w:r w:rsidRPr="003D272C">
        <w:rPr>
          <w:rFonts w:cs="Times New Roman"/>
          <w:szCs w:val="24"/>
        </w:rPr>
        <w:t xml:space="preserve"> to</w:t>
      </w:r>
      <w:r w:rsidRPr="00432C28">
        <w:rPr>
          <w:rFonts w:cs="Times New Roman"/>
          <w:szCs w:val="24"/>
        </w:rPr>
        <w:t xml:space="preserve"> this </w:t>
      </w:r>
      <w:r w:rsidR="00CB5C4B" w:rsidRPr="00432C28">
        <w:rPr>
          <w:rFonts w:cs="Times New Roman"/>
          <w:szCs w:val="24"/>
        </w:rPr>
        <w:t>report</w:t>
      </w:r>
      <w:r w:rsidR="00F11453" w:rsidRPr="00432C28">
        <w:rPr>
          <w:rFonts w:cs="Times New Roman"/>
          <w:szCs w:val="24"/>
        </w:rPr>
        <w:t>.</w:t>
      </w:r>
    </w:p>
    <w:p w:rsidR="001D60A9" w:rsidRPr="00432C28" w:rsidRDefault="001D60A9">
      <w:pPr>
        <w:rPr>
          <w:rFonts w:cs="Times New Roman"/>
          <w:szCs w:val="24"/>
        </w:rPr>
      </w:pPr>
    </w:p>
    <w:p w:rsidR="002F13F9" w:rsidRDefault="002F1090">
      <w:pPr>
        <w:rPr>
          <w:rFonts w:cs="Times New Roman"/>
          <w:szCs w:val="24"/>
        </w:rPr>
      </w:pPr>
      <w:r w:rsidRPr="00432C28">
        <w:rPr>
          <w:rFonts w:cs="Times New Roman"/>
          <w:szCs w:val="24"/>
        </w:rPr>
        <w:lastRenderedPageBreak/>
        <w:t>The Company’s 201</w:t>
      </w:r>
      <w:r w:rsidR="006F288D">
        <w:rPr>
          <w:rFonts w:cs="Times New Roman"/>
          <w:szCs w:val="24"/>
        </w:rPr>
        <w:t>5</w:t>
      </w:r>
      <w:r w:rsidRPr="00432C28">
        <w:rPr>
          <w:rFonts w:cs="Times New Roman"/>
          <w:szCs w:val="24"/>
        </w:rPr>
        <w:t xml:space="preserve"> IRP was informed by the energy efficiency potential identified in PacifiCorp’s </w:t>
      </w:r>
      <w:r w:rsidRPr="008040BB">
        <w:rPr>
          <w:rFonts w:cs="Times New Roman"/>
          <w:i/>
          <w:szCs w:val="24"/>
        </w:rPr>
        <w:t>Demand-Side</w:t>
      </w:r>
      <w:r w:rsidR="006F288D">
        <w:rPr>
          <w:rFonts w:cs="Times New Roman"/>
          <w:i/>
          <w:szCs w:val="24"/>
        </w:rPr>
        <w:t xml:space="preserve"> Resource Potential Assessment for </w:t>
      </w:r>
      <w:r w:rsidR="000C5344" w:rsidRPr="008040BB">
        <w:rPr>
          <w:rFonts w:cs="Times New Roman"/>
          <w:i/>
          <w:szCs w:val="24"/>
        </w:rPr>
        <w:t>201</w:t>
      </w:r>
      <w:r w:rsidR="006F288D">
        <w:rPr>
          <w:rFonts w:cs="Times New Roman"/>
          <w:i/>
          <w:szCs w:val="24"/>
        </w:rPr>
        <w:t>5</w:t>
      </w:r>
      <w:r w:rsidR="000C5344" w:rsidRPr="008040BB">
        <w:rPr>
          <w:rFonts w:cs="Times New Roman"/>
          <w:i/>
          <w:szCs w:val="24"/>
        </w:rPr>
        <w:t>-203</w:t>
      </w:r>
      <w:r w:rsidR="006F288D">
        <w:rPr>
          <w:rFonts w:cs="Times New Roman"/>
          <w:i/>
          <w:szCs w:val="24"/>
        </w:rPr>
        <w:t>4</w:t>
      </w:r>
      <w:r w:rsidRPr="00432C28">
        <w:rPr>
          <w:rFonts w:cs="Times New Roman"/>
          <w:szCs w:val="24"/>
        </w:rPr>
        <w:t xml:space="preserve"> (</w:t>
      </w:r>
      <w:r w:rsidR="006D5BB0">
        <w:rPr>
          <w:rFonts w:cs="Times New Roman"/>
          <w:szCs w:val="24"/>
        </w:rPr>
        <w:t>“</w:t>
      </w:r>
      <w:r w:rsidRPr="00432C28">
        <w:rPr>
          <w:rFonts w:cs="Times New Roman"/>
          <w:szCs w:val="24"/>
        </w:rPr>
        <w:t>Conservation Potential Assessment</w:t>
      </w:r>
      <w:r w:rsidR="006D5BB0">
        <w:rPr>
          <w:rFonts w:cs="Times New Roman"/>
          <w:szCs w:val="24"/>
        </w:rPr>
        <w:t>”</w:t>
      </w:r>
      <w:r w:rsidR="0078599F" w:rsidRPr="00432C28">
        <w:rPr>
          <w:rFonts w:cs="Times New Roman"/>
          <w:szCs w:val="24"/>
        </w:rPr>
        <w:t xml:space="preserve">, </w:t>
      </w:r>
      <w:r w:rsidR="000C5344">
        <w:rPr>
          <w:rFonts w:cs="Times New Roman"/>
          <w:szCs w:val="24"/>
        </w:rPr>
        <w:t xml:space="preserve">or </w:t>
      </w:r>
      <w:r w:rsidR="006D5BB0">
        <w:rPr>
          <w:rFonts w:cs="Times New Roman"/>
          <w:szCs w:val="24"/>
        </w:rPr>
        <w:t>“</w:t>
      </w:r>
      <w:r w:rsidR="000C5344">
        <w:rPr>
          <w:rFonts w:cs="Times New Roman"/>
          <w:szCs w:val="24"/>
        </w:rPr>
        <w:t>CPA</w:t>
      </w:r>
      <w:r w:rsidR="006D5BB0">
        <w:rPr>
          <w:rFonts w:cs="Times New Roman"/>
          <w:szCs w:val="24"/>
        </w:rPr>
        <w:t>”</w:t>
      </w:r>
      <w:r w:rsidRPr="00432C28">
        <w:rPr>
          <w:rFonts w:cs="Times New Roman"/>
          <w:szCs w:val="24"/>
        </w:rPr>
        <w:t>)</w:t>
      </w:r>
      <w:r w:rsidRPr="00432C28">
        <w:rPr>
          <w:rStyle w:val="FootnoteReference"/>
          <w:rFonts w:cs="Times New Roman"/>
          <w:szCs w:val="24"/>
        </w:rPr>
        <w:footnoteReference w:id="5"/>
      </w:r>
      <w:r w:rsidRPr="00432C28">
        <w:rPr>
          <w:rFonts w:cs="Times New Roman"/>
          <w:szCs w:val="24"/>
        </w:rPr>
        <w:t xml:space="preserve"> and represents </w:t>
      </w:r>
      <w:r w:rsidR="009711B6" w:rsidRPr="00432C28">
        <w:rPr>
          <w:rFonts w:cs="Times New Roman"/>
          <w:szCs w:val="24"/>
        </w:rPr>
        <w:t>loads and opportunities specific to the Company’s Washington service area</w:t>
      </w:r>
      <w:r w:rsidRPr="00432C28">
        <w:rPr>
          <w:rFonts w:cs="Times New Roman"/>
          <w:szCs w:val="24"/>
        </w:rPr>
        <w:t xml:space="preserve">. A copy of the Conservation Potential Assessment is provided </w:t>
      </w:r>
      <w:r w:rsidRPr="003D272C">
        <w:rPr>
          <w:rFonts w:cs="Times New Roman"/>
          <w:szCs w:val="24"/>
        </w:rPr>
        <w:t>as Appendix 2 to this</w:t>
      </w:r>
      <w:r w:rsidRPr="00432C28">
        <w:rPr>
          <w:rFonts w:cs="Times New Roman"/>
          <w:szCs w:val="24"/>
        </w:rPr>
        <w:t xml:space="preserve"> report. </w:t>
      </w:r>
    </w:p>
    <w:p w:rsidR="00537F93" w:rsidRDefault="00537F93">
      <w:pPr>
        <w:rPr>
          <w:rFonts w:cs="Times New Roman"/>
          <w:szCs w:val="24"/>
        </w:rPr>
      </w:pPr>
    </w:p>
    <w:p w:rsidR="00537F93" w:rsidRPr="00432C28" w:rsidRDefault="00174EF4">
      <w:pPr>
        <w:rPr>
          <w:rFonts w:cs="Times New Roman"/>
          <w:szCs w:val="24"/>
        </w:rPr>
      </w:pPr>
      <w:r>
        <w:rPr>
          <w:rFonts w:cs="Times New Roman"/>
          <w:szCs w:val="24"/>
        </w:rPr>
        <w:t>Efficiency opportunities from waste heat to power and regenerative technologies were not captured in the Company’s Conservation Potential Assessment</w:t>
      </w:r>
      <w:r w:rsidR="00BC2AF1">
        <w:rPr>
          <w:rFonts w:cs="Times New Roman"/>
          <w:szCs w:val="24"/>
        </w:rPr>
        <w:t xml:space="preserve"> o</w:t>
      </w:r>
      <w:r w:rsidR="00BF5DFB">
        <w:rPr>
          <w:rFonts w:cs="Times New Roman"/>
          <w:szCs w:val="24"/>
        </w:rPr>
        <w:t xml:space="preserve">r </w:t>
      </w:r>
      <w:r w:rsidR="00BC2AF1">
        <w:rPr>
          <w:rFonts w:cs="Times New Roman"/>
          <w:szCs w:val="24"/>
        </w:rPr>
        <w:t>offered as a resource option in the 2015 IRP</w:t>
      </w:r>
      <w:r w:rsidR="008D7F2E">
        <w:rPr>
          <w:rFonts w:cs="Times New Roman"/>
          <w:szCs w:val="24"/>
        </w:rPr>
        <w:t xml:space="preserve"> since the </w:t>
      </w:r>
      <w:r w:rsidR="00A97C61">
        <w:rPr>
          <w:rFonts w:cs="Times New Roman"/>
          <w:szCs w:val="24"/>
        </w:rPr>
        <w:t xml:space="preserve">study schedules did not align. </w:t>
      </w:r>
      <w:r>
        <w:rPr>
          <w:rFonts w:cs="Times New Roman"/>
          <w:szCs w:val="24"/>
        </w:rPr>
        <w:t xml:space="preserve">For the development of this conservation forecast the Company relied on a 2014 evaluation of these technologies performed by CLEAResults in response to a </w:t>
      </w:r>
      <w:r w:rsidR="005E2242">
        <w:rPr>
          <w:rFonts w:cs="Times New Roman"/>
          <w:szCs w:val="24"/>
        </w:rPr>
        <w:t>C</w:t>
      </w:r>
      <w:r>
        <w:rPr>
          <w:rFonts w:cs="Times New Roman"/>
          <w:szCs w:val="24"/>
        </w:rPr>
        <w:t xml:space="preserve">ompany commitment in its 2013 IRP Action Plan. The </w:t>
      </w:r>
      <w:r w:rsidR="00BC2AF1">
        <w:rPr>
          <w:rFonts w:cs="Times New Roman"/>
          <w:szCs w:val="24"/>
        </w:rPr>
        <w:t xml:space="preserve">CLEAResults </w:t>
      </w:r>
      <w:r>
        <w:rPr>
          <w:rFonts w:cs="Times New Roman"/>
          <w:szCs w:val="24"/>
        </w:rPr>
        <w:t xml:space="preserve">evaluation is included as Appendix 6 to this report. Additional information on the opportunities identified are included in the “Conservation Potential and Conservation Target” </w:t>
      </w:r>
      <w:r w:rsidR="00676FC7">
        <w:rPr>
          <w:rFonts w:cs="Times New Roman"/>
          <w:szCs w:val="24"/>
        </w:rPr>
        <w:t xml:space="preserve">section of this report </w:t>
      </w:r>
      <w:r>
        <w:rPr>
          <w:rFonts w:cs="Times New Roman"/>
          <w:szCs w:val="24"/>
        </w:rPr>
        <w:t>and in Appendix 4, “Additional Detail – Forecast Adjustments</w:t>
      </w:r>
      <w:r w:rsidR="00676FC7">
        <w:rPr>
          <w:rFonts w:cs="Times New Roman"/>
          <w:szCs w:val="24"/>
        </w:rPr>
        <w:t>.</w:t>
      </w:r>
      <w:r>
        <w:rPr>
          <w:rFonts w:cs="Times New Roman"/>
          <w:szCs w:val="24"/>
        </w:rPr>
        <w:t>”</w:t>
      </w:r>
      <w:r w:rsidR="00676FC7">
        <w:rPr>
          <w:rFonts w:cs="Times New Roman"/>
          <w:szCs w:val="24"/>
        </w:rPr>
        <w:t xml:space="preserve">  </w:t>
      </w:r>
    </w:p>
    <w:p w:rsidR="002F13F9" w:rsidRPr="00432C28" w:rsidRDefault="002F13F9">
      <w:pPr>
        <w:rPr>
          <w:rFonts w:cs="Times New Roman"/>
          <w:szCs w:val="24"/>
        </w:rPr>
      </w:pPr>
    </w:p>
    <w:p w:rsidR="006267A0" w:rsidRDefault="00536081">
      <w:pPr>
        <w:rPr>
          <w:rFonts w:cs="Times New Roman"/>
          <w:szCs w:val="24"/>
        </w:rPr>
      </w:pPr>
      <w:r>
        <w:rPr>
          <w:rFonts w:cs="Times New Roman"/>
          <w:szCs w:val="24"/>
        </w:rPr>
        <w:t>The potential assessment and costs of high</w:t>
      </w:r>
      <w:r w:rsidR="00BE5257">
        <w:rPr>
          <w:rFonts w:cs="Times New Roman"/>
          <w:szCs w:val="24"/>
        </w:rPr>
        <w:t>-</w:t>
      </w:r>
      <w:r>
        <w:rPr>
          <w:rFonts w:cs="Times New Roman"/>
          <w:szCs w:val="24"/>
        </w:rPr>
        <w:t xml:space="preserve">efficiency cogeneration resources was </w:t>
      </w:r>
      <w:r w:rsidR="006267A0">
        <w:rPr>
          <w:rFonts w:cs="Times New Roman"/>
          <w:szCs w:val="24"/>
        </w:rPr>
        <w:t>derived from a s</w:t>
      </w:r>
      <w:r>
        <w:rPr>
          <w:rFonts w:cs="Times New Roman"/>
          <w:szCs w:val="24"/>
        </w:rPr>
        <w:t xml:space="preserve">tudy conducted by Navigant Consulting, Inc. (“Navigant </w:t>
      </w:r>
      <w:r w:rsidR="00C67229">
        <w:rPr>
          <w:rFonts w:cs="Times New Roman"/>
          <w:szCs w:val="24"/>
        </w:rPr>
        <w:t>S</w:t>
      </w:r>
      <w:r>
        <w:rPr>
          <w:rFonts w:cs="Times New Roman"/>
          <w:szCs w:val="24"/>
        </w:rPr>
        <w:t>tudy”)</w:t>
      </w:r>
      <w:r w:rsidR="00B12FF2">
        <w:rPr>
          <w:rFonts w:cs="Times New Roman"/>
          <w:szCs w:val="24"/>
        </w:rPr>
        <w:t>.</w:t>
      </w:r>
      <w:r w:rsidR="006267A0">
        <w:rPr>
          <w:rStyle w:val="FootnoteReference"/>
          <w:rFonts w:cs="Times New Roman"/>
          <w:szCs w:val="24"/>
        </w:rPr>
        <w:footnoteReference w:id="6"/>
      </w:r>
      <w:r w:rsidR="006267A0">
        <w:rPr>
          <w:rFonts w:cs="Times New Roman"/>
          <w:szCs w:val="24"/>
        </w:rPr>
        <w:t xml:space="preserve"> The Navigant study is an economic assessment and penetration forecast of </w:t>
      </w:r>
      <w:r w:rsidR="00951968">
        <w:rPr>
          <w:rFonts w:cs="Times New Roman"/>
          <w:szCs w:val="24"/>
        </w:rPr>
        <w:t>D</w:t>
      </w:r>
      <w:r>
        <w:rPr>
          <w:rFonts w:cs="Times New Roman"/>
          <w:szCs w:val="24"/>
        </w:rPr>
        <w:t xml:space="preserve">istributed </w:t>
      </w:r>
      <w:r w:rsidR="00951968">
        <w:rPr>
          <w:rFonts w:cs="Times New Roman"/>
          <w:szCs w:val="24"/>
        </w:rPr>
        <w:t>G</w:t>
      </w:r>
      <w:r>
        <w:rPr>
          <w:rFonts w:cs="Times New Roman"/>
          <w:szCs w:val="24"/>
        </w:rPr>
        <w:t xml:space="preserve">eneration </w:t>
      </w:r>
      <w:r w:rsidR="00951968">
        <w:rPr>
          <w:rFonts w:cs="Times New Roman"/>
          <w:szCs w:val="24"/>
        </w:rPr>
        <w:t xml:space="preserve">(“DG”) </w:t>
      </w:r>
      <w:r w:rsidR="006267A0">
        <w:rPr>
          <w:rFonts w:cs="Times New Roman"/>
          <w:szCs w:val="24"/>
        </w:rPr>
        <w:t>r</w:t>
      </w:r>
      <w:r>
        <w:rPr>
          <w:rFonts w:cs="Times New Roman"/>
          <w:szCs w:val="24"/>
        </w:rPr>
        <w:t>esource</w:t>
      </w:r>
      <w:r w:rsidR="006267A0">
        <w:rPr>
          <w:rFonts w:cs="Times New Roman"/>
          <w:szCs w:val="24"/>
        </w:rPr>
        <w:t xml:space="preserve">s within PacifiCorp’s service areas through 2033. The Navigant </w:t>
      </w:r>
      <w:r w:rsidR="00C67229">
        <w:rPr>
          <w:rFonts w:cs="Times New Roman"/>
          <w:szCs w:val="24"/>
        </w:rPr>
        <w:t>S</w:t>
      </w:r>
      <w:r w:rsidR="006267A0">
        <w:rPr>
          <w:rFonts w:cs="Times New Roman"/>
          <w:szCs w:val="24"/>
        </w:rPr>
        <w:t xml:space="preserve">tudy forecast was applied as a </w:t>
      </w:r>
      <w:r w:rsidR="0090631D">
        <w:rPr>
          <w:rFonts w:cs="Times New Roman"/>
          <w:szCs w:val="24"/>
        </w:rPr>
        <w:t>decrement</w:t>
      </w:r>
      <w:r w:rsidR="006267A0">
        <w:rPr>
          <w:rFonts w:cs="Times New Roman"/>
          <w:szCs w:val="24"/>
        </w:rPr>
        <w:t xml:space="preserve"> to the company’s </w:t>
      </w:r>
      <w:r w:rsidR="0090631D">
        <w:rPr>
          <w:rFonts w:cs="Times New Roman"/>
          <w:szCs w:val="24"/>
        </w:rPr>
        <w:t xml:space="preserve">base load forecast used </w:t>
      </w:r>
      <w:r w:rsidR="006267A0">
        <w:rPr>
          <w:rFonts w:cs="Times New Roman"/>
          <w:szCs w:val="24"/>
        </w:rPr>
        <w:t xml:space="preserve">in the development of the 2015 IRP and is provided as Appendix </w:t>
      </w:r>
      <w:r w:rsidR="00BE5257" w:rsidRPr="00C67229">
        <w:rPr>
          <w:rFonts w:cs="Times New Roman"/>
          <w:szCs w:val="24"/>
        </w:rPr>
        <w:t>12</w:t>
      </w:r>
      <w:r w:rsidR="006267A0" w:rsidRPr="00BC2AF1">
        <w:rPr>
          <w:rFonts w:cs="Times New Roman"/>
          <w:szCs w:val="24"/>
        </w:rPr>
        <w:t xml:space="preserve"> to</w:t>
      </w:r>
      <w:r w:rsidR="006267A0">
        <w:rPr>
          <w:rFonts w:cs="Times New Roman"/>
          <w:szCs w:val="24"/>
        </w:rPr>
        <w:t xml:space="preserve"> this report. </w:t>
      </w:r>
      <w:r w:rsidR="009C12BF">
        <w:rPr>
          <w:rFonts w:cs="Times New Roman"/>
          <w:szCs w:val="24"/>
        </w:rPr>
        <w:t xml:space="preserve">No economic high-efficiency cogeneration opportunities were identified in the study for inclusion in the Company’s 2016-2025 conservation forecast. More information on </w:t>
      </w:r>
      <w:r w:rsidR="00922D66">
        <w:rPr>
          <w:rFonts w:cs="Times New Roman"/>
          <w:szCs w:val="24"/>
        </w:rPr>
        <w:t xml:space="preserve">high-efficiency cogeneration is provided in both Appendix 4 (to this report) and in the “Conservation Potential and Conservation Target” section on this report. </w:t>
      </w:r>
      <w:r w:rsidR="006267A0">
        <w:rPr>
          <w:rFonts w:cs="Times New Roman"/>
          <w:szCs w:val="24"/>
        </w:rPr>
        <w:t xml:space="preserve">  </w:t>
      </w:r>
    </w:p>
    <w:p w:rsidR="006267A0" w:rsidRDefault="006267A0">
      <w:pPr>
        <w:rPr>
          <w:rFonts w:cs="Times New Roman"/>
          <w:szCs w:val="24"/>
        </w:rPr>
      </w:pPr>
    </w:p>
    <w:p w:rsidR="002F13F9" w:rsidRPr="00432C28" w:rsidRDefault="002F1090">
      <w:pPr>
        <w:rPr>
          <w:rFonts w:cs="Times New Roman"/>
          <w:szCs w:val="24"/>
        </w:rPr>
      </w:pPr>
      <w:r w:rsidRPr="003D272C">
        <w:rPr>
          <w:rFonts w:cs="Times New Roman"/>
          <w:szCs w:val="24"/>
        </w:rPr>
        <w:t xml:space="preserve">The conservation potentials for </w:t>
      </w:r>
      <w:r w:rsidR="00E735B8">
        <w:rPr>
          <w:rFonts w:cs="Times New Roman"/>
          <w:szCs w:val="24"/>
        </w:rPr>
        <w:t xml:space="preserve">distribution efficiency </w:t>
      </w:r>
      <w:r w:rsidRPr="003D272C">
        <w:rPr>
          <w:rFonts w:cs="Times New Roman"/>
          <w:szCs w:val="24"/>
        </w:rPr>
        <w:t xml:space="preserve">and production efficiency </w:t>
      </w:r>
      <w:r w:rsidRPr="003D272C">
        <w:rPr>
          <w:rFonts w:cs="Times New Roman"/>
        </w:rPr>
        <w:t xml:space="preserve">were based on </w:t>
      </w:r>
      <w:r w:rsidR="00C67229">
        <w:rPr>
          <w:rFonts w:cs="Times New Roman"/>
        </w:rPr>
        <w:t xml:space="preserve">2011-2012 </w:t>
      </w:r>
      <w:r w:rsidRPr="003D272C">
        <w:rPr>
          <w:rFonts w:cs="Times New Roman"/>
        </w:rPr>
        <w:t xml:space="preserve"> </w:t>
      </w:r>
      <w:r w:rsidR="004C5131" w:rsidRPr="003D272C">
        <w:rPr>
          <w:rFonts w:cs="Times New Roman"/>
        </w:rPr>
        <w:t>studies c</w:t>
      </w:r>
      <w:r w:rsidRPr="003D272C">
        <w:rPr>
          <w:rFonts w:cs="Times New Roman"/>
        </w:rPr>
        <w:t>onducted by Commonwealth Associates</w:t>
      </w:r>
      <w:r w:rsidR="00FD481C" w:rsidRPr="003D272C">
        <w:rPr>
          <w:rFonts w:cs="Times New Roman"/>
        </w:rPr>
        <w:t>, Inc.</w:t>
      </w:r>
      <w:r w:rsidRPr="003D272C">
        <w:rPr>
          <w:rFonts w:cs="Times New Roman"/>
        </w:rPr>
        <w:t xml:space="preserve"> (</w:t>
      </w:r>
      <w:r w:rsidR="00FD481C" w:rsidRPr="003D272C">
        <w:rPr>
          <w:rFonts w:cs="Times New Roman"/>
        </w:rPr>
        <w:t>“Commonwealth study”)</w:t>
      </w:r>
      <w:r w:rsidR="00397654">
        <w:rPr>
          <w:rStyle w:val="FootnoteReference"/>
          <w:rFonts w:cs="Times New Roman"/>
        </w:rPr>
        <w:footnoteReference w:id="7"/>
      </w:r>
      <w:r w:rsidR="00FD481C" w:rsidRPr="003D272C">
        <w:rPr>
          <w:rFonts w:cs="Times New Roman"/>
        </w:rPr>
        <w:t xml:space="preserve"> </w:t>
      </w:r>
      <w:r w:rsidRPr="003D272C">
        <w:rPr>
          <w:rFonts w:cs="Times New Roman"/>
        </w:rPr>
        <w:t>and Cascade Energy</w:t>
      </w:r>
      <w:r w:rsidR="00FD481C" w:rsidRPr="003D272C">
        <w:rPr>
          <w:rFonts w:cs="Times New Roman"/>
        </w:rPr>
        <w:t>,</w:t>
      </w:r>
      <w:r w:rsidRPr="003D272C">
        <w:rPr>
          <w:rFonts w:cs="Times New Roman"/>
        </w:rPr>
        <w:t xml:space="preserve"> Inc. (</w:t>
      </w:r>
      <w:r w:rsidR="00FD481C" w:rsidRPr="003D272C">
        <w:rPr>
          <w:rFonts w:cs="Times New Roman"/>
        </w:rPr>
        <w:t>“Cascade stud</w:t>
      </w:r>
      <w:r w:rsidR="009C12BF">
        <w:rPr>
          <w:rFonts w:cs="Times New Roman"/>
        </w:rPr>
        <w:t>ies</w:t>
      </w:r>
      <w:r w:rsidR="00FD481C" w:rsidRPr="003D272C">
        <w:rPr>
          <w:rFonts w:cs="Times New Roman"/>
        </w:rPr>
        <w:t>”)</w:t>
      </w:r>
      <w:r w:rsidR="00B12FF2">
        <w:rPr>
          <w:rFonts w:cs="Times New Roman"/>
        </w:rPr>
        <w:t>,</w:t>
      </w:r>
      <w:r w:rsidR="009C12BF">
        <w:rPr>
          <w:rStyle w:val="FootnoteReference"/>
          <w:rFonts w:cs="Times New Roman"/>
        </w:rPr>
        <w:footnoteReference w:id="8"/>
      </w:r>
      <w:r w:rsidR="00FD481C" w:rsidRPr="003D272C">
        <w:rPr>
          <w:rFonts w:cs="Times New Roman"/>
        </w:rPr>
        <w:t xml:space="preserve"> respectively</w:t>
      </w:r>
      <w:r w:rsidRPr="003D272C">
        <w:rPr>
          <w:rFonts w:cs="Times New Roman"/>
        </w:rPr>
        <w:t>.</w:t>
      </w:r>
      <w:r w:rsidR="004E2F14">
        <w:rPr>
          <w:rFonts w:cs="Times New Roman"/>
        </w:rPr>
        <w:t xml:space="preserve"> </w:t>
      </w:r>
      <w:r w:rsidR="00C67229">
        <w:rPr>
          <w:rFonts w:cs="Times New Roman"/>
        </w:rPr>
        <w:t xml:space="preserve">Like </w:t>
      </w:r>
      <w:r w:rsidR="004E2F14">
        <w:rPr>
          <w:rFonts w:cs="Times New Roman"/>
        </w:rPr>
        <w:t xml:space="preserve">the 2014-2023 conservation forecast and biennial target, </w:t>
      </w:r>
      <w:r w:rsidR="004E4A08">
        <w:rPr>
          <w:rFonts w:cs="Times New Roman"/>
          <w:szCs w:val="24"/>
        </w:rPr>
        <w:t xml:space="preserve">no measurable and cost-effective distribution efficiency resource potential was identified </w:t>
      </w:r>
      <w:r w:rsidR="00CD2705">
        <w:rPr>
          <w:rFonts w:cs="Times New Roman"/>
          <w:szCs w:val="24"/>
        </w:rPr>
        <w:t xml:space="preserve">for inclusion </w:t>
      </w:r>
      <w:r w:rsidR="004E4A08">
        <w:rPr>
          <w:rFonts w:cs="Times New Roman"/>
          <w:szCs w:val="24"/>
        </w:rPr>
        <w:t>in the current plan.</w:t>
      </w:r>
      <w:r w:rsidR="003D38C6">
        <w:rPr>
          <w:rFonts w:cs="Times New Roman"/>
          <w:szCs w:val="24"/>
        </w:rPr>
        <w:t xml:space="preserve"> Cost-effective production efficiency project work began in 2012 at the Chehalis power plant (2012-</w:t>
      </w:r>
      <w:r w:rsidR="00E21C6C">
        <w:rPr>
          <w:rFonts w:cs="Times New Roman"/>
          <w:szCs w:val="24"/>
        </w:rPr>
        <w:t>2013</w:t>
      </w:r>
      <w:r w:rsidR="003D38C6">
        <w:rPr>
          <w:rFonts w:cs="Times New Roman"/>
          <w:szCs w:val="24"/>
        </w:rPr>
        <w:t xml:space="preserve"> bienni</w:t>
      </w:r>
      <w:r w:rsidR="00E21C6C">
        <w:rPr>
          <w:rFonts w:cs="Times New Roman"/>
          <w:szCs w:val="24"/>
        </w:rPr>
        <w:t>um</w:t>
      </w:r>
      <w:r w:rsidR="003D38C6">
        <w:rPr>
          <w:rFonts w:cs="Times New Roman"/>
          <w:szCs w:val="24"/>
        </w:rPr>
        <w:t>) and concluded in 2015</w:t>
      </w:r>
      <w:r w:rsidR="00A7146B">
        <w:rPr>
          <w:rFonts w:cs="Times New Roman"/>
          <w:szCs w:val="24"/>
        </w:rPr>
        <w:t xml:space="preserve"> (2014-</w:t>
      </w:r>
      <w:r w:rsidR="00E21C6C">
        <w:rPr>
          <w:rFonts w:cs="Times New Roman"/>
          <w:szCs w:val="24"/>
        </w:rPr>
        <w:t>2015</w:t>
      </w:r>
      <w:r w:rsidR="00A7146B">
        <w:rPr>
          <w:rFonts w:cs="Times New Roman"/>
          <w:szCs w:val="24"/>
        </w:rPr>
        <w:t xml:space="preserve"> bienni</w:t>
      </w:r>
      <w:r w:rsidR="00E21C6C">
        <w:rPr>
          <w:rFonts w:cs="Times New Roman"/>
          <w:szCs w:val="24"/>
        </w:rPr>
        <w:t>um</w:t>
      </w:r>
      <w:r w:rsidR="00A7146B">
        <w:rPr>
          <w:rFonts w:cs="Times New Roman"/>
          <w:szCs w:val="24"/>
        </w:rPr>
        <w:t>)</w:t>
      </w:r>
      <w:r w:rsidR="003D38C6">
        <w:rPr>
          <w:rFonts w:cs="Times New Roman"/>
          <w:szCs w:val="24"/>
        </w:rPr>
        <w:t xml:space="preserve"> with project completions at the Hermiston power plant. A lighting upgrade project identified for the Jim Bridger power plant was not approved by the joint owner. The remaining facilities owned by the Company show no significant efficiency improvements available</w:t>
      </w:r>
      <w:r w:rsidR="00757797">
        <w:rPr>
          <w:rFonts w:cs="Times New Roman"/>
          <w:szCs w:val="24"/>
        </w:rPr>
        <w:t xml:space="preserve"> at this time</w:t>
      </w:r>
      <w:r w:rsidR="003D38C6">
        <w:rPr>
          <w:rFonts w:cs="Times New Roman"/>
          <w:szCs w:val="24"/>
        </w:rPr>
        <w:t xml:space="preserve">. </w:t>
      </w:r>
      <w:r w:rsidR="00646B84">
        <w:rPr>
          <w:rFonts w:cs="Times New Roman"/>
          <w:szCs w:val="24"/>
        </w:rPr>
        <w:t>Additional information on both distribution efficiency and production efficiency</w:t>
      </w:r>
      <w:r w:rsidR="00757797">
        <w:rPr>
          <w:rFonts w:cs="Times New Roman"/>
          <w:szCs w:val="24"/>
        </w:rPr>
        <w:t xml:space="preserve"> forecasts and potential</w:t>
      </w:r>
      <w:r w:rsidR="00646B84">
        <w:rPr>
          <w:rFonts w:cs="Times New Roman"/>
          <w:szCs w:val="24"/>
        </w:rPr>
        <w:t xml:space="preserve"> is provided </w:t>
      </w:r>
      <w:r w:rsidR="00C67229">
        <w:rPr>
          <w:rFonts w:cs="Times New Roman"/>
          <w:szCs w:val="24"/>
        </w:rPr>
        <w:t>starting on page 20</w:t>
      </w:r>
      <w:r w:rsidR="00646B84">
        <w:rPr>
          <w:rFonts w:cs="Times New Roman"/>
          <w:szCs w:val="24"/>
        </w:rPr>
        <w:t xml:space="preserve">. Copies of the </w:t>
      </w:r>
      <w:r w:rsidR="006D372D">
        <w:rPr>
          <w:rFonts w:cs="Times New Roman"/>
          <w:szCs w:val="24"/>
        </w:rPr>
        <w:t xml:space="preserve">Cascade and </w:t>
      </w:r>
      <w:r w:rsidR="00646B84">
        <w:rPr>
          <w:rFonts w:cs="Times New Roman"/>
          <w:szCs w:val="24"/>
        </w:rPr>
        <w:t>Commonwealth studies</w:t>
      </w:r>
      <w:r w:rsidR="006D372D">
        <w:rPr>
          <w:rFonts w:cs="Times New Roman"/>
          <w:szCs w:val="24"/>
        </w:rPr>
        <w:t xml:space="preserve"> are provided as </w:t>
      </w:r>
      <w:r w:rsidR="006D372D" w:rsidRPr="00894A75">
        <w:rPr>
          <w:rFonts w:cs="Times New Roman"/>
          <w:szCs w:val="24"/>
        </w:rPr>
        <w:t xml:space="preserve">Appendices </w:t>
      </w:r>
      <w:r w:rsidR="00BC2AF1" w:rsidRPr="00894A75">
        <w:rPr>
          <w:rFonts w:cs="Times New Roman"/>
          <w:szCs w:val="24"/>
        </w:rPr>
        <w:t>10</w:t>
      </w:r>
      <w:r w:rsidR="006D372D" w:rsidRPr="00C67229">
        <w:rPr>
          <w:rFonts w:cs="Times New Roman"/>
          <w:szCs w:val="24"/>
        </w:rPr>
        <w:t xml:space="preserve"> and 1</w:t>
      </w:r>
      <w:r w:rsidR="00BC2AF1" w:rsidRPr="00C67229">
        <w:rPr>
          <w:rFonts w:cs="Times New Roman"/>
          <w:szCs w:val="24"/>
        </w:rPr>
        <w:t>1</w:t>
      </w:r>
      <w:r w:rsidR="006D372D" w:rsidRPr="00894A75">
        <w:rPr>
          <w:rFonts w:cs="Times New Roman"/>
          <w:szCs w:val="24"/>
        </w:rPr>
        <w:t xml:space="preserve"> to this </w:t>
      </w:r>
      <w:r w:rsidR="009C12BF" w:rsidRPr="00894A75">
        <w:rPr>
          <w:rFonts w:cs="Times New Roman"/>
          <w:szCs w:val="24"/>
        </w:rPr>
        <w:t>report</w:t>
      </w:r>
      <w:r w:rsidR="00646B84" w:rsidRPr="00894A75">
        <w:rPr>
          <w:rFonts w:cs="Times New Roman"/>
          <w:szCs w:val="24"/>
        </w:rPr>
        <w:t>.</w:t>
      </w:r>
      <w:r w:rsidR="00646B84">
        <w:rPr>
          <w:rFonts w:cs="Times New Roman"/>
          <w:szCs w:val="24"/>
        </w:rPr>
        <w:t xml:space="preserve"> </w:t>
      </w:r>
      <w:r w:rsidR="003D38C6">
        <w:rPr>
          <w:rFonts w:cs="Times New Roman"/>
          <w:szCs w:val="24"/>
        </w:rPr>
        <w:t xml:space="preserve">  </w:t>
      </w:r>
      <w:r w:rsidR="004E2F14">
        <w:rPr>
          <w:rFonts w:cs="Times New Roman"/>
          <w:szCs w:val="24"/>
        </w:rPr>
        <w:t xml:space="preserve"> </w:t>
      </w:r>
      <w:r w:rsidR="004E4A08">
        <w:rPr>
          <w:rFonts w:cs="Times New Roman"/>
          <w:szCs w:val="24"/>
        </w:rPr>
        <w:t xml:space="preserve"> </w:t>
      </w:r>
      <w:r w:rsidR="009C4D31">
        <w:rPr>
          <w:rFonts w:cs="Times New Roman"/>
          <w:szCs w:val="24"/>
        </w:rPr>
        <w:t xml:space="preserve"> </w:t>
      </w:r>
    </w:p>
    <w:p w:rsidR="002F13F9" w:rsidRDefault="002F13F9">
      <w:pPr>
        <w:rPr>
          <w:rFonts w:cs="Times New Roman"/>
          <w:szCs w:val="24"/>
        </w:rPr>
      </w:pPr>
    </w:p>
    <w:p w:rsidR="001D60A9" w:rsidRPr="00432C28" w:rsidRDefault="00B91BDD">
      <w:pPr>
        <w:rPr>
          <w:rFonts w:cs="Times New Roman"/>
        </w:rPr>
      </w:pPr>
      <w:r w:rsidRPr="00432C28">
        <w:rPr>
          <w:rFonts w:cs="Times New Roman"/>
          <w:szCs w:val="24"/>
        </w:rPr>
        <w:lastRenderedPageBreak/>
        <w:t>Collectively</w:t>
      </w:r>
      <w:r w:rsidR="002F1090" w:rsidRPr="00432C28">
        <w:rPr>
          <w:rFonts w:cs="Times New Roman"/>
          <w:szCs w:val="24"/>
        </w:rPr>
        <w:t xml:space="preserve"> </w:t>
      </w:r>
      <w:r w:rsidR="002F1090" w:rsidRPr="003D272C">
        <w:rPr>
          <w:rFonts w:cs="Times New Roman"/>
          <w:szCs w:val="24"/>
        </w:rPr>
        <w:t>these studies</w:t>
      </w:r>
      <w:r w:rsidR="005E2242">
        <w:rPr>
          <w:rFonts w:cs="Times New Roman"/>
          <w:szCs w:val="24"/>
        </w:rPr>
        <w:t xml:space="preserve"> and evaluation</w:t>
      </w:r>
      <w:r w:rsidR="002F1090" w:rsidRPr="00432C28">
        <w:rPr>
          <w:rFonts w:cs="Times New Roman"/>
          <w:szCs w:val="24"/>
        </w:rPr>
        <w:t xml:space="preserve"> represent independent and reliable assessment</w:t>
      </w:r>
      <w:r w:rsidR="00894A75">
        <w:rPr>
          <w:rFonts w:cs="Times New Roman"/>
          <w:szCs w:val="24"/>
        </w:rPr>
        <w:t>s</w:t>
      </w:r>
      <w:r w:rsidR="002F1090" w:rsidRPr="00432C28">
        <w:rPr>
          <w:rFonts w:cs="Times New Roman"/>
          <w:szCs w:val="24"/>
        </w:rPr>
        <w:t xml:space="preserve"> of the magnitude, timing, and costs of conservation potential available specific to PacifiCorp</w:t>
      </w:r>
      <w:r w:rsidR="00021F9E" w:rsidRPr="00432C28">
        <w:rPr>
          <w:rFonts w:cs="Times New Roman"/>
          <w:szCs w:val="24"/>
        </w:rPr>
        <w:t xml:space="preserve"> prior to</w:t>
      </w:r>
      <w:r w:rsidR="00894A75">
        <w:rPr>
          <w:rFonts w:cs="Times New Roman"/>
          <w:szCs w:val="24"/>
        </w:rPr>
        <w:t xml:space="preserve"> screening for cost-effectiveness/economics, allowed and required</w:t>
      </w:r>
      <w:r w:rsidR="0078018B">
        <w:rPr>
          <w:rFonts w:cs="Times New Roman"/>
          <w:szCs w:val="24"/>
        </w:rPr>
        <w:t xml:space="preserve"> </w:t>
      </w:r>
      <w:r w:rsidR="00021F9E" w:rsidRPr="00432C28">
        <w:rPr>
          <w:rFonts w:cs="Times New Roman"/>
          <w:szCs w:val="24"/>
        </w:rPr>
        <w:t>adjustments and</w:t>
      </w:r>
      <w:r w:rsidR="00894A75">
        <w:rPr>
          <w:rFonts w:cs="Times New Roman"/>
          <w:szCs w:val="24"/>
        </w:rPr>
        <w:t xml:space="preserve"> </w:t>
      </w:r>
      <w:r w:rsidR="00346AC3">
        <w:rPr>
          <w:rFonts w:cs="Times New Roman"/>
          <w:szCs w:val="24"/>
        </w:rPr>
        <w:t xml:space="preserve"> </w:t>
      </w:r>
      <w:r w:rsidR="00021F9E" w:rsidRPr="00432C28">
        <w:rPr>
          <w:rFonts w:cs="Times New Roman"/>
          <w:szCs w:val="24"/>
        </w:rPr>
        <w:t xml:space="preserve">other considerations </w:t>
      </w:r>
      <w:r w:rsidR="00531E57" w:rsidRPr="00432C28">
        <w:rPr>
          <w:rFonts w:cs="Times New Roman"/>
          <w:szCs w:val="24"/>
        </w:rPr>
        <w:t>that impacted the Company’s final consolidated conservation forecast and biennial target.</w:t>
      </w:r>
      <w:r w:rsidR="00531E57" w:rsidRPr="00432C28">
        <w:rPr>
          <w:rStyle w:val="FootnoteReference"/>
          <w:rFonts w:cs="Times New Roman"/>
          <w:szCs w:val="24"/>
        </w:rPr>
        <w:footnoteReference w:id="9"/>
      </w:r>
      <w:r w:rsidR="00021F9E" w:rsidRPr="00432C28">
        <w:rPr>
          <w:rFonts w:cs="Times New Roman"/>
          <w:szCs w:val="24"/>
        </w:rPr>
        <w:t xml:space="preserve"> These adjustments and other considerations are</w:t>
      </w:r>
      <w:r w:rsidR="000F19A6" w:rsidRPr="00432C28">
        <w:rPr>
          <w:rFonts w:cs="Times New Roman"/>
          <w:szCs w:val="24"/>
        </w:rPr>
        <w:t xml:space="preserve"> explained </w:t>
      </w:r>
      <w:r w:rsidR="00894A75">
        <w:rPr>
          <w:rFonts w:cs="Times New Roman"/>
          <w:szCs w:val="24"/>
        </w:rPr>
        <w:t xml:space="preserve">further </w:t>
      </w:r>
      <w:r w:rsidR="000F19A6" w:rsidRPr="00432C28">
        <w:rPr>
          <w:rFonts w:cs="Times New Roman"/>
          <w:szCs w:val="24"/>
        </w:rPr>
        <w:t>later in this report</w:t>
      </w:r>
      <w:r w:rsidR="00894A75">
        <w:rPr>
          <w:rFonts w:cs="Times New Roman"/>
          <w:szCs w:val="24"/>
        </w:rPr>
        <w:t xml:space="preserve"> (</w:t>
      </w:r>
      <w:r w:rsidR="000F19A6" w:rsidRPr="00432C28">
        <w:rPr>
          <w:rFonts w:cs="Times New Roman"/>
          <w:szCs w:val="24"/>
        </w:rPr>
        <w:t>see “</w:t>
      </w:r>
      <w:r w:rsidR="000F19A6" w:rsidRPr="00432C28">
        <w:rPr>
          <w:rFonts w:cs="Times New Roman"/>
        </w:rPr>
        <w:t>Conservation Potential and Conservation Targets”</w:t>
      </w:r>
      <w:r w:rsidR="00894A75">
        <w:rPr>
          <w:rFonts w:cs="Times New Roman"/>
        </w:rPr>
        <w:t xml:space="preserve">) </w:t>
      </w:r>
      <w:r w:rsidR="00EB2BA9">
        <w:rPr>
          <w:rFonts w:cs="Times New Roman"/>
        </w:rPr>
        <w:t>and are detailed in Appendix 4</w:t>
      </w:r>
      <w:r w:rsidR="000F19A6" w:rsidRPr="00432C28">
        <w:rPr>
          <w:rFonts w:cs="Times New Roman"/>
        </w:rPr>
        <w:t>.</w:t>
      </w:r>
    </w:p>
    <w:p w:rsidR="002F1090" w:rsidRPr="00432C28" w:rsidRDefault="002F1090" w:rsidP="00805A8C">
      <w:pPr>
        <w:rPr>
          <w:rFonts w:cs="Times New Roman"/>
          <w:szCs w:val="24"/>
        </w:rPr>
      </w:pPr>
    </w:p>
    <w:p w:rsidR="00234573" w:rsidRPr="00432C28" w:rsidRDefault="008D2F73">
      <w:pPr>
        <w:rPr>
          <w:rFonts w:cs="Times New Roman"/>
          <w:szCs w:val="24"/>
        </w:rPr>
      </w:pPr>
      <w:r w:rsidRPr="0078018B">
        <w:rPr>
          <w:rFonts w:cs="Times New Roman"/>
          <w:szCs w:val="24"/>
        </w:rPr>
        <w:t>The c</w:t>
      </w:r>
      <w:r w:rsidR="000F19A6" w:rsidRPr="0078018B">
        <w:rPr>
          <w:rFonts w:cs="Times New Roman"/>
          <w:szCs w:val="24"/>
        </w:rPr>
        <w:t>onsolidated</w:t>
      </w:r>
      <w:r w:rsidRPr="0078018B">
        <w:rPr>
          <w:rFonts w:cs="Times New Roman"/>
          <w:szCs w:val="24"/>
        </w:rPr>
        <w:t xml:space="preserve"> ten-year conservation potential determined by PacifiCorp and documented in this report </w:t>
      </w:r>
      <w:r w:rsidR="000F19A6" w:rsidRPr="0078018B">
        <w:rPr>
          <w:rFonts w:cs="Times New Roman"/>
          <w:szCs w:val="24"/>
        </w:rPr>
        <w:t xml:space="preserve">is </w:t>
      </w:r>
      <w:r w:rsidR="00CF6A36" w:rsidRPr="0078018B">
        <w:rPr>
          <w:rFonts w:cs="Times New Roman"/>
          <w:b/>
          <w:szCs w:val="24"/>
        </w:rPr>
        <w:t>457,530</w:t>
      </w:r>
      <w:r w:rsidRPr="0078018B">
        <w:rPr>
          <w:rFonts w:cs="Times New Roman"/>
          <w:b/>
          <w:szCs w:val="24"/>
        </w:rPr>
        <w:t xml:space="preserve"> </w:t>
      </w:r>
      <w:r w:rsidR="00631DED" w:rsidRPr="0078018B">
        <w:rPr>
          <w:rFonts w:cs="Times New Roman"/>
          <w:szCs w:val="24"/>
        </w:rPr>
        <w:t>M</w:t>
      </w:r>
      <w:r w:rsidRPr="0078018B">
        <w:rPr>
          <w:rFonts w:cs="Times New Roman"/>
          <w:szCs w:val="24"/>
        </w:rPr>
        <w:t>egawatt</w:t>
      </w:r>
      <w:r w:rsidR="00631DED" w:rsidRPr="0078018B">
        <w:rPr>
          <w:rFonts w:cs="Times New Roman"/>
          <w:szCs w:val="24"/>
        </w:rPr>
        <w:t>-hours</w:t>
      </w:r>
      <w:r w:rsidRPr="0078018B">
        <w:rPr>
          <w:rFonts w:cs="Times New Roman"/>
          <w:szCs w:val="24"/>
        </w:rPr>
        <w:t xml:space="preserve"> (“</w:t>
      </w:r>
      <w:r w:rsidR="00631DED" w:rsidRPr="005E2242">
        <w:rPr>
          <w:rFonts w:cs="Times New Roman"/>
          <w:szCs w:val="24"/>
        </w:rPr>
        <w:t>MWh</w:t>
      </w:r>
      <w:r w:rsidRPr="005E2242">
        <w:rPr>
          <w:rFonts w:cs="Times New Roman"/>
          <w:szCs w:val="24"/>
        </w:rPr>
        <w:t>”).</w:t>
      </w:r>
      <w:r w:rsidRPr="00432C28">
        <w:rPr>
          <w:rFonts w:cs="Times New Roman"/>
          <w:szCs w:val="24"/>
        </w:rPr>
        <w:t xml:space="preserve"> Consistent with the rules under WAC-480-109, PacifiCorp’s ten-year conservation potential represents the Company’s 201</w:t>
      </w:r>
      <w:r w:rsidR="007D1B39">
        <w:rPr>
          <w:rFonts w:cs="Times New Roman"/>
          <w:szCs w:val="24"/>
        </w:rPr>
        <w:t>5</w:t>
      </w:r>
      <w:r w:rsidRPr="00432C28">
        <w:rPr>
          <w:rFonts w:cs="Times New Roman"/>
          <w:szCs w:val="24"/>
        </w:rPr>
        <w:t xml:space="preserve"> IRP results </w:t>
      </w:r>
      <w:r w:rsidRPr="00176828">
        <w:rPr>
          <w:rFonts w:cs="Times New Roman"/>
          <w:szCs w:val="24"/>
        </w:rPr>
        <w:t xml:space="preserve">adjusted to </w:t>
      </w:r>
      <w:r w:rsidR="00176828">
        <w:rPr>
          <w:rFonts w:cs="Times New Roman"/>
          <w:szCs w:val="24"/>
        </w:rPr>
        <w:t xml:space="preserve">account for recent developments affecting the magnitude of conservation opportunities (e.g., changes in Regional Technical Forum deemed measure savings, PacifiCorp program evaluation results, </w:t>
      </w:r>
      <w:r w:rsidR="003E5484">
        <w:rPr>
          <w:rFonts w:cs="Times New Roman"/>
          <w:szCs w:val="24"/>
        </w:rPr>
        <w:t xml:space="preserve">adjustments for additional </w:t>
      </w:r>
      <w:r w:rsidR="003E5484" w:rsidRPr="003E5484">
        <w:rPr>
          <w:rFonts w:cs="Times New Roman"/>
          <w:szCs w:val="24"/>
        </w:rPr>
        <w:t xml:space="preserve">opportunities not identified in the company studies, </w:t>
      </w:r>
      <w:r w:rsidR="00176828" w:rsidRPr="003E5484">
        <w:rPr>
          <w:rFonts w:cs="Times New Roman"/>
          <w:szCs w:val="24"/>
        </w:rPr>
        <w:t>etc.)</w:t>
      </w:r>
      <w:r w:rsidR="00234573" w:rsidRPr="003E5484">
        <w:rPr>
          <w:rFonts w:cs="Times New Roman"/>
          <w:szCs w:val="24"/>
        </w:rPr>
        <w:t xml:space="preserve">, </w:t>
      </w:r>
      <w:r w:rsidR="00346AC3" w:rsidRPr="003E5484">
        <w:rPr>
          <w:rFonts w:cs="Times New Roman"/>
          <w:szCs w:val="24"/>
        </w:rPr>
        <w:t xml:space="preserve">and cost-effective resource opportunities </w:t>
      </w:r>
      <w:r w:rsidR="003E5484" w:rsidRPr="003E5484">
        <w:rPr>
          <w:rFonts w:cs="Times New Roman"/>
          <w:szCs w:val="24"/>
        </w:rPr>
        <w:t xml:space="preserve">identified </w:t>
      </w:r>
      <w:r w:rsidR="00346AC3" w:rsidRPr="003E5484">
        <w:rPr>
          <w:rFonts w:cs="Times New Roman"/>
          <w:szCs w:val="24"/>
        </w:rPr>
        <w:t xml:space="preserve">for </w:t>
      </w:r>
      <w:r w:rsidR="00234573" w:rsidRPr="003E5484">
        <w:rPr>
          <w:rFonts w:cs="Times New Roman"/>
          <w:szCs w:val="24"/>
        </w:rPr>
        <w:t>distribution</w:t>
      </w:r>
      <w:r w:rsidR="003E5484" w:rsidRPr="003E5484">
        <w:rPr>
          <w:rFonts w:cs="Times New Roman"/>
          <w:szCs w:val="24"/>
        </w:rPr>
        <w:t xml:space="preserve"> efficiency, </w:t>
      </w:r>
      <w:r w:rsidR="00234573" w:rsidRPr="003E5484">
        <w:rPr>
          <w:rFonts w:cs="Times New Roman"/>
          <w:szCs w:val="24"/>
        </w:rPr>
        <w:t>production efficiency</w:t>
      </w:r>
      <w:r w:rsidR="003E5484" w:rsidRPr="003E5484">
        <w:rPr>
          <w:rFonts w:cs="Times New Roman"/>
          <w:szCs w:val="24"/>
        </w:rPr>
        <w:t xml:space="preserve"> and high-efficiency cogeneration</w:t>
      </w:r>
      <w:r w:rsidR="00665A37" w:rsidRPr="003E5484">
        <w:rPr>
          <w:rFonts w:cs="Times New Roman"/>
          <w:szCs w:val="24"/>
        </w:rPr>
        <w:t>.</w:t>
      </w:r>
      <w:r w:rsidR="00665A37" w:rsidRPr="00432C28">
        <w:rPr>
          <w:rFonts w:cs="Times New Roman"/>
          <w:szCs w:val="24"/>
        </w:rPr>
        <w:t xml:space="preserve"> </w:t>
      </w:r>
    </w:p>
    <w:p w:rsidR="00234573" w:rsidRPr="00432C28" w:rsidRDefault="00234573">
      <w:pPr>
        <w:rPr>
          <w:rFonts w:cs="Times New Roman"/>
          <w:szCs w:val="24"/>
        </w:rPr>
      </w:pPr>
    </w:p>
    <w:p w:rsidR="00234573" w:rsidRPr="00432C28" w:rsidRDefault="008D2F73">
      <w:pPr>
        <w:rPr>
          <w:rFonts w:cs="Times New Roman"/>
          <w:szCs w:val="24"/>
        </w:rPr>
      </w:pPr>
      <w:r w:rsidRPr="00432C28">
        <w:rPr>
          <w:rFonts w:cs="Times New Roman"/>
          <w:szCs w:val="24"/>
        </w:rPr>
        <w:t xml:space="preserve">Areas reviewed for process differences included planning methodologies, modeling methodologies and practices and measure sets. </w:t>
      </w:r>
      <w:r w:rsidR="000F19A6" w:rsidRPr="00432C28">
        <w:rPr>
          <w:rFonts w:cs="Times New Roman"/>
          <w:szCs w:val="24"/>
        </w:rPr>
        <w:t xml:space="preserve">In the case of </w:t>
      </w:r>
      <w:r w:rsidR="00CD2705">
        <w:rPr>
          <w:rFonts w:cs="Times New Roman"/>
          <w:szCs w:val="24"/>
        </w:rPr>
        <w:t>distribution</w:t>
      </w:r>
      <w:r w:rsidR="000F19A6" w:rsidRPr="00432C28">
        <w:rPr>
          <w:rFonts w:cs="Times New Roman"/>
          <w:szCs w:val="24"/>
        </w:rPr>
        <w:t xml:space="preserve"> and production efficiency, considerations such as </w:t>
      </w:r>
      <w:r w:rsidR="00C36F97" w:rsidRPr="00432C28">
        <w:rPr>
          <w:rFonts w:cs="Times New Roman"/>
          <w:szCs w:val="24"/>
        </w:rPr>
        <w:t xml:space="preserve">the </w:t>
      </w:r>
      <w:r w:rsidR="000F19A6" w:rsidRPr="00432C28">
        <w:rPr>
          <w:rFonts w:cs="Times New Roman"/>
          <w:szCs w:val="24"/>
        </w:rPr>
        <w:t xml:space="preserve">ability to reliably measure </w:t>
      </w:r>
      <w:r w:rsidR="00CD2705">
        <w:rPr>
          <w:rFonts w:cs="Times New Roman"/>
          <w:szCs w:val="24"/>
        </w:rPr>
        <w:t>distribution efficiency</w:t>
      </w:r>
      <w:r w:rsidR="009C35A5" w:rsidRPr="00432C28">
        <w:rPr>
          <w:rFonts w:cs="Times New Roman"/>
          <w:szCs w:val="24"/>
        </w:rPr>
        <w:t xml:space="preserve"> </w:t>
      </w:r>
      <w:r w:rsidR="000F19A6" w:rsidRPr="00432C28">
        <w:rPr>
          <w:rFonts w:cs="Times New Roman"/>
          <w:szCs w:val="24"/>
        </w:rPr>
        <w:t>savings</w:t>
      </w:r>
      <w:r w:rsidR="009C35A5" w:rsidRPr="00432C28">
        <w:rPr>
          <w:rFonts w:cs="Times New Roman"/>
          <w:szCs w:val="24"/>
        </w:rPr>
        <w:t>, system</w:t>
      </w:r>
      <w:r w:rsidR="009B52D8" w:rsidRPr="00432C28">
        <w:rPr>
          <w:rFonts w:cs="Times New Roman"/>
          <w:szCs w:val="24"/>
        </w:rPr>
        <w:t xml:space="preserve"> performance,</w:t>
      </w:r>
      <w:r w:rsidR="00482D6B">
        <w:rPr>
          <w:rFonts w:cs="Times New Roman"/>
          <w:szCs w:val="24"/>
        </w:rPr>
        <w:t xml:space="preserve"> </w:t>
      </w:r>
      <w:r w:rsidR="00EB2BA9">
        <w:rPr>
          <w:rFonts w:cs="Times New Roman"/>
          <w:szCs w:val="24"/>
        </w:rPr>
        <w:t xml:space="preserve">system </w:t>
      </w:r>
      <w:r w:rsidR="009B52D8" w:rsidRPr="00432C28">
        <w:rPr>
          <w:rFonts w:cs="Times New Roman"/>
          <w:szCs w:val="24"/>
        </w:rPr>
        <w:t>engineering</w:t>
      </w:r>
      <w:r w:rsidR="00482D6B">
        <w:rPr>
          <w:rFonts w:cs="Times New Roman"/>
          <w:szCs w:val="24"/>
        </w:rPr>
        <w:t xml:space="preserve"> </w:t>
      </w:r>
      <w:r w:rsidR="009C35A5" w:rsidRPr="00432C28">
        <w:rPr>
          <w:rFonts w:cs="Times New Roman"/>
          <w:szCs w:val="24"/>
        </w:rPr>
        <w:t>practices,</w:t>
      </w:r>
      <w:r w:rsidR="00120BF3" w:rsidRPr="00432C28">
        <w:rPr>
          <w:rFonts w:cs="Times New Roman"/>
          <w:szCs w:val="24"/>
        </w:rPr>
        <w:t xml:space="preserve"> </w:t>
      </w:r>
      <w:r w:rsidR="009C35A5" w:rsidRPr="00432C28">
        <w:rPr>
          <w:rFonts w:cs="Times New Roman"/>
          <w:szCs w:val="24"/>
        </w:rPr>
        <w:t xml:space="preserve">cost allocations for plant investments, plant reliability, </w:t>
      </w:r>
      <w:r w:rsidR="00120BF3" w:rsidRPr="00432C28">
        <w:rPr>
          <w:rFonts w:cs="Times New Roman"/>
          <w:szCs w:val="24"/>
        </w:rPr>
        <w:t xml:space="preserve">and </w:t>
      </w:r>
      <w:r w:rsidR="009C35A5" w:rsidRPr="00432C28">
        <w:rPr>
          <w:rFonts w:cs="Times New Roman"/>
          <w:szCs w:val="24"/>
        </w:rPr>
        <w:t>plant ownership</w:t>
      </w:r>
      <w:r w:rsidR="00274C1D">
        <w:rPr>
          <w:rFonts w:cs="Times New Roman"/>
          <w:szCs w:val="24"/>
        </w:rPr>
        <w:t>,</w:t>
      </w:r>
      <w:r w:rsidR="009C35A5" w:rsidRPr="00432C28">
        <w:rPr>
          <w:rFonts w:cs="Times New Roman"/>
          <w:szCs w:val="24"/>
        </w:rPr>
        <w:t xml:space="preserve"> </w:t>
      </w:r>
      <w:r w:rsidR="005124DF" w:rsidRPr="00432C28">
        <w:rPr>
          <w:rFonts w:cs="Times New Roman"/>
          <w:szCs w:val="24"/>
        </w:rPr>
        <w:t xml:space="preserve">among other </w:t>
      </w:r>
      <w:r w:rsidR="009C35A5" w:rsidRPr="00432C28">
        <w:rPr>
          <w:rFonts w:cs="Times New Roman"/>
          <w:szCs w:val="24"/>
        </w:rPr>
        <w:t>factors</w:t>
      </w:r>
      <w:r w:rsidR="00274C1D">
        <w:rPr>
          <w:rFonts w:cs="Times New Roman"/>
          <w:szCs w:val="24"/>
        </w:rPr>
        <w:t>,</w:t>
      </w:r>
      <w:r w:rsidR="009C35A5" w:rsidRPr="00432C28">
        <w:rPr>
          <w:rFonts w:cs="Times New Roman"/>
          <w:szCs w:val="24"/>
        </w:rPr>
        <w:t xml:space="preserve"> </w:t>
      </w:r>
      <w:r w:rsidR="000F19A6" w:rsidRPr="00432C28">
        <w:rPr>
          <w:rFonts w:cs="Times New Roman"/>
          <w:szCs w:val="24"/>
        </w:rPr>
        <w:t xml:space="preserve">had to be taken into consideration </w:t>
      </w:r>
      <w:r w:rsidR="009C35A5" w:rsidRPr="00432C28">
        <w:rPr>
          <w:rFonts w:cs="Times New Roman"/>
          <w:szCs w:val="24"/>
        </w:rPr>
        <w:t>in assessing the conservation forecast f</w:t>
      </w:r>
      <w:r w:rsidR="00977A30" w:rsidRPr="00432C28">
        <w:rPr>
          <w:rFonts w:cs="Times New Roman"/>
          <w:szCs w:val="24"/>
        </w:rPr>
        <w:t>rom these sources</w:t>
      </w:r>
      <w:r w:rsidR="005124DF" w:rsidRPr="00432C28">
        <w:rPr>
          <w:rFonts w:cs="Times New Roman"/>
          <w:szCs w:val="24"/>
        </w:rPr>
        <w:t xml:space="preserve">. </w:t>
      </w:r>
      <w:r w:rsidR="00F25D54">
        <w:fldChar w:fldCharType="begin"/>
      </w:r>
      <w:r w:rsidR="00F25D54">
        <w:instrText xml:space="preserve"> REF _Ref367102459 \h  \* MERGEFORMAT </w:instrText>
      </w:r>
      <w:r w:rsidR="00F25D54">
        <w:fldChar w:fldCharType="separate"/>
      </w:r>
      <w:r w:rsidR="00BC2AF1" w:rsidRPr="00BC2AF1">
        <w:rPr>
          <w:rFonts w:cs="Times New Roman"/>
          <w:szCs w:val="24"/>
        </w:rPr>
        <w:t xml:space="preserve">Table </w:t>
      </w:r>
      <w:r w:rsidR="00BC2AF1" w:rsidRPr="0078018B">
        <w:rPr>
          <w:rFonts w:cs="Times New Roman"/>
          <w:szCs w:val="24"/>
        </w:rPr>
        <w:t>1</w:t>
      </w:r>
      <w:r w:rsidR="00F25D54">
        <w:fldChar w:fldCharType="end"/>
      </w:r>
      <w:r w:rsidRPr="00432C28">
        <w:rPr>
          <w:rFonts w:cs="Times New Roman"/>
          <w:szCs w:val="24"/>
        </w:rPr>
        <w:t xml:space="preserve"> shows PacifiCorp’s consolidated ten-year conservation potential for the 201</w:t>
      </w:r>
      <w:r w:rsidR="007D1B39">
        <w:rPr>
          <w:rFonts w:cs="Times New Roman"/>
          <w:szCs w:val="24"/>
        </w:rPr>
        <w:t>6</w:t>
      </w:r>
      <w:r w:rsidR="008B675A" w:rsidRPr="00432C28">
        <w:rPr>
          <w:rFonts w:cs="Times New Roman"/>
          <w:szCs w:val="24"/>
        </w:rPr>
        <w:t>–</w:t>
      </w:r>
      <w:r w:rsidR="009B52D8" w:rsidRPr="00432C28">
        <w:rPr>
          <w:rFonts w:cs="Times New Roman"/>
          <w:szCs w:val="24"/>
        </w:rPr>
        <w:t>202</w:t>
      </w:r>
      <w:r w:rsidR="007D1B39">
        <w:rPr>
          <w:rFonts w:cs="Times New Roman"/>
          <w:szCs w:val="24"/>
        </w:rPr>
        <w:t>5</w:t>
      </w:r>
      <w:r w:rsidR="00F4400B" w:rsidRPr="00432C28">
        <w:rPr>
          <w:rFonts w:cs="Times New Roman"/>
          <w:szCs w:val="24"/>
        </w:rPr>
        <w:t xml:space="preserve"> period</w:t>
      </w:r>
      <w:r w:rsidR="00C95062">
        <w:rPr>
          <w:rFonts w:cs="Times New Roman"/>
          <w:szCs w:val="24"/>
        </w:rPr>
        <w:t xml:space="preserve"> by type of conservation</w:t>
      </w:r>
      <w:r w:rsidR="00274C1D">
        <w:rPr>
          <w:rFonts w:cs="Times New Roman"/>
          <w:szCs w:val="24"/>
        </w:rPr>
        <w:t xml:space="preserve"> sources</w:t>
      </w:r>
      <w:r w:rsidR="00C95062">
        <w:rPr>
          <w:rFonts w:cs="Times New Roman"/>
          <w:szCs w:val="24"/>
        </w:rPr>
        <w:t xml:space="preserve"> considered</w:t>
      </w:r>
      <w:r w:rsidR="00B12FF2">
        <w:rPr>
          <w:rFonts w:cs="Times New Roman"/>
          <w:szCs w:val="24"/>
        </w:rPr>
        <w:t>.</w:t>
      </w:r>
      <w:r w:rsidR="00C95062">
        <w:rPr>
          <w:rStyle w:val="FootnoteReference"/>
          <w:rFonts w:cs="Times New Roman"/>
          <w:szCs w:val="24"/>
        </w:rPr>
        <w:footnoteReference w:id="10"/>
      </w:r>
      <w:r w:rsidR="00EB2BA9">
        <w:rPr>
          <w:rFonts w:cs="Times New Roman"/>
          <w:szCs w:val="24"/>
        </w:rPr>
        <w:t xml:space="preserve"> </w:t>
      </w:r>
    </w:p>
    <w:p w:rsidR="00274C1D" w:rsidRDefault="00274C1D" w:rsidP="00220638">
      <w:pPr>
        <w:pStyle w:val="Caption"/>
      </w:pPr>
      <w:bookmarkStart w:id="6" w:name="_Ref367102459"/>
      <w:bookmarkStart w:id="7" w:name="_Toc430706303"/>
    </w:p>
    <w:p w:rsidR="00274C1D" w:rsidRDefault="00274C1D" w:rsidP="00220638">
      <w:pPr>
        <w:pStyle w:val="Caption"/>
      </w:pPr>
    </w:p>
    <w:p w:rsidR="00055750" w:rsidRDefault="009B52D8" w:rsidP="00220638">
      <w:pPr>
        <w:pStyle w:val="Caption"/>
      </w:pPr>
      <w:r w:rsidRPr="00432C28">
        <w:t xml:space="preserve">Table </w:t>
      </w:r>
      <w:r w:rsidR="003264B1" w:rsidRPr="00432C28">
        <w:fldChar w:fldCharType="begin"/>
      </w:r>
      <w:r w:rsidRPr="00432C28">
        <w:instrText xml:space="preserve"> SEQ Table \* ARABIC </w:instrText>
      </w:r>
      <w:r w:rsidR="003264B1" w:rsidRPr="00432C28">
        <w:fldChar w:fldCharType="separate"/>
      </w:r>
      <w:r w:rsidR="00BC2AF1">
        <w:rPr>
          <w:noProof/>
        </w:rPr>
        <w:t>1</w:t>
      </w:r>
      <w:r w:rsidR="003264B1" w:rsidRPr="00432C28">
        <w:fldChar w:fldCharType="end"/>
      </w:r>
      <w:bookmarkEnd w:id="6"/>
      <w:r w:rsidR="00220638">
        <w:t xml:space="preserve">: </w:t>
      </w:r>
      <w:r w:rsidR="00055750" w:rsidRPr="00432C28">
        <w:t xml:space="preserve">Summary of </w:t>
      </w:r>
      <w:r w:rsidR="00D6194C">
        <w:t>201</w:t>
      </w:r>
      <w:r w:rsidR="007D1B39">
        <w:t>6</w:t>
      </w:r>
      <w:r w:rsidR="00D6194C">
        <w:t>-202</w:t>
      </w:r>
      <w:r w:rsidR="007D1B39">
        <w:t>5</w:t>
      </w:r>
      <w:r w:rsidR="00ED6DC2">
        <w:t xml:space="preserve"> </w:t>
      </w:r>
      <w:r w:rsidR="00055750" w:rsidRPr="00432C28">
        <w:t>Conservation Potential</w:t>
      </w:r>
      <w:r w:rsidR="00AA3F02" w:rsidRPr="00432C28">
        <w:t xml:space="preserve"> (</w:t>
      </w:r>
      <w:r w:rsidR="00631DED">
        <w:t>MWh</w:t>
      </w:r>
      <w:r w:rsidR="00AA3F02" w:rsidRPr="00432C28">
        <w:t>)</w:t>
      </w:r>
      <w:bookmarkEnd w:id="7"/>
    </w:p>
    <w:p w:rsidR="00BA15F5" w:rsidRDefault="00BA15F5" w:rsidP="009B52D8">
      <w:pPr>
        <w:jc w:val="center"/>
        <w:rPr>
          <w:rFonts w:cs="Times New Roman"/>
          <w:b/>
          <w:szCs w:val="24"/>
        </w:rPr>
      </w:pPr>
    </w:p>
    <w:p w:rsidR="00BA15F5" w:rsidRDefault="00BA15F5" w:rsidP="009B52D8">
      <w:pPr>
        <w:jc w:val="center"/>
        <w:rPr>
          <w:rFonts w:cs="Times New Roman"/>
          <w:b/>
          <w:szCs w:val="24"/>
        </w:rPr>
      </w:pPr>
      <w:r w:rsidRPr="00BA15F5">
        <w:rPr>
          <w:noProof/>
        </w:rPr>
        <w:drawing>
          <wp:inline distT="0" distB="0" distL="0" distR="0" wp14:anchorId="2B773B04" wp14:editId="181FC96B">
            <wp:extent cx="5943600" cy="80137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801374"/>
                    </a:xfrm>
                    <a:prstGeom prst="rect">
                      <a:avLst/>
                    </a:prstGeom>
                    <a:noFill/>
                    <a:ln>
                      <a:noFill/>
                    </a:ln>
                  </pic:spPr>
                </pic:pic>
              </a:graphicData>
            </a:graphic>
          </wp:inline>
        </w:drawing>
      </w:r>
    </w:p>
    <w:p w:rsidR="00596891" w:rsidRDefault="00596891" w:rsidP="00055750">
      <w:pPr>
        <w:jc w:val="center"/>
        <w:rPr>
          <w:rFonts w:cs="Times New Roman"/>
          <w:b/>
          <w:szCs w:val="24"/>
        </w:rPr>
      </w:pPr>
    </w:p>
    <w:p w:rsidR="00BE1B90" w:rsidRDefault="00BA15F5" w:rsidP="00C46E64">
      <w:pPr>
        <w:rPr>
          <w:rFonts w:cs="Times New Roman"/>
          <w:szCs w:val="24"/>
        </w:rPr>
      </w:pPr>
      <w:r>
        <w:rPr>
          <w:rFonts w:cs="Times New Roman"/>
          <w:szCs w:val="24"/>
        </w:rPr>
        <w:t>Prior to adjust</w:t>
      </w:r>
      <w:r w:rsidR="00BE1B90">
        <w:rPr>
          <w:rFonts w:cs="Times New Roman"/>
          <w:szCs w:val="24"/>
        </w:rPr>
        <w:t xml:space="preserve">ing the </w:t>
      </w:r>
      <w:r>
        <w:rPr>
          <w:rFonts w:cs="Times New Roman"/>
          <w:szCs w:val="24"/>
        </w:rPr>
        <w:t>biennial target for the impacts of the Northwest Energy Efficiency Alliance (“NEEA”)</w:t>
      </w:r>
      <w:r w:rsidR="00BE1B90">
        <w:rPr>
          <w:rFonts w:cs="Times New Roman"/>
          <w:szCs w:val="24"/>
        </w:rPr>
        <w:t>,</w:t>
      </w:r>
      <w:r>
        <w:rPr>
          <w:rFonts w:cs="Times New Roman"/>
          <w:szCs w:val="24"/>
        </w:rPr>
        <w:t xml:space="preserve"> as discussed in more detail later in this </w:t>
      </w:r>
      <w:r w:rsidR="00FD5F45">
        <w:rPr>
          <w:rFonts w:cs="Times New Roman"/>
          <w:szCs w:val="24"/>
        </w:rPr>
        <w:t>report</w:t>
      </w:r>
      <w:r w:rsidR="0078018B">
        <w:rPr>
          <w:rFonts w:cs="Times New Roman"/>
          <w:szCs w:val="24"/>
        </w:rPr>
        <w:t xml:space="preserve"> on page 24</w:t>
      </w:r>
      <w:r>
        <w:rPr>
          <w:rFonts w:cs="Times New Roman"/>
          <w:szCs w:val="24"/>
        </w:rPr>
        <w:t xml:space="preserve">, </w:t>
      </w:r>
      <w:r w:rsidR="003C229B" w:rsidRPr="00432C28">
        <w:rPr>
          <w:rFonts w:cs="Times New Roman"/>
          <w:szCs w:val="24"/>
        </w:rPr>
        <w:t xml:space="preserve">PacifiCorp’s </w:t>
      </w:r>
      <w:r w:rsidR="00984A42" w:rsidRPr="00432C28">
        <w:rPr>
          <w:rFonts w:cs="Times New Roman"/>
          <w:szCs w:val="24"/>
        </w:rPr>
        <w:t>201</w:t>
      </w:r>
      <w:r w:rsidR="00482D6B">
        <w:rPr>
          <w:rFonts w:cs="Times New Roman"/>
          <w:szCs w:val="24"/>
        </w:rPr>
        <w:t>6-</w:t>
      </w:r>
      <w:r w:rsidR="00984A42" w:rsidRPr="00432C28">
        <w:rPr>
          <w:rFonts w:cs="Times New Roman"/>
          <w:szCs w:val="24"/>
        </w:rPr>
        <w:t>20</w:t>
      </w:r>
      <w:r w:rsidR="009B52D8" w:rsidRPr="00432C28">
        <w:rPr>
          <w:rFonts w:cs="Times New Roman"/>
          <w:szCs w:val="24"/>
        </w:rPr>
        <w:t>1</w:t>
      </w:r>
      <w:r w:rsidR="00482D6B">
        <w:rPr>
          <w:rFonts w:cs="Times New Roman"/>
          <w:szCs w:val="24"/>
        </w:rPr>
        <w:t>7</w:t>
      </w:r>
      <w:r w:rsidR="00984A42" w:rsidRPr="00432C28">
        <w:rPr>
          <w:rFonts w:cs="Times New Roman"/>
          <w:szCs w:val="24"/>
        </w:rPr>
        <w:t xml:space="preserve"> </w:t>
      </w:r>
      <w:r w:rsidR="003C229B" w:rsidRPr="00432C28">
        <w:rPr>
          <w:rFonts w:cs="Times New Roman"/>
          <w:szCs w:val="24"/>
        </w:rPr>
        <w:t>bienni</w:t>
      </w:r>
      <w:r w:rsidR="000F14ED">
        <w:rPr>
          <w:rFonts w:cs="Times New Roman"/>
          <w:szCs w:val="24"/>
        </w:rPr>
        <w:t>um</w:t>
      </w:r>
      <w:r w:rsidR="003C229B" w:rsidRPr="00432C28">
        <w:rPr>
          <w:rFonts w:cs="Times New Roman"/>
          <w:szCs w:val="24"/>
        </w:rPr>
        <w:t xml:space="preserve"> conservation target</w:t>
      </w:r>
      <w:r w:rsidR="00BE1B90">
        <w:rPr>
          <w:rFonts w:cs="Times New Roman"/>
          <w:szCs w:val="24"/>
        </w:rPr>
        <w:t xml:space="preserve"> is 93,059 MWh</w:t>
      </w:r>
      <w:r w:rsidR="00FD5F45">
        <w:rPr>
          <w:rFonts w:cs="Times New Roman"/>
          <w:szCs w:val="24"/>
        </w:rPr>
        <w:t xml:space="preserve"> and </w:t>
      </w:r>
      <w:r w:rsidR="00BE1B90">
        <w:rPr>
          <w:rFonts w:cs="Times New Roman"/>
          <w:szCs w:val="24"/>
        </w:rPr>
        <w:t>represents the first two years of the Company’s ten-year conservation forecast</w:t>
      </w:r>
      <w:r w:rsidR="005E2242">
        <w:rPr>
          <w:rFonts w:cs="Times New Roman"/>
          <w:szCs w:val="24"/>
        </w:rPr>
        <w:t>,</w:t>
      </w:r>
      <w:r w:rsidR="00FD5F45">
        <w:rPr>
          <w:rFonts w:cs="Times New Roman"/>
          <w:szCs w:val="24"/>
        </w:rPr>
        <w:t xml:space="preserve"> which for the </w:t>
      </w:r>
      <w:r w:rsidR="00BE1B90">
        <w:rPr>
          <w:rFonts w:cs="Times New Roman"/>
          <w:szCs w:val="24"/>
        </w:rPr>
        <w:t>biennium</w:t>
      </w:r>
      <w:r w:rsidR="005E2242">
        <w:rPr>
          <w:rFonts w:cs="Times New Roman"/>
          <w:szCs w:val="24"/>
        </w:rPr>
        <w:t>,</w:t>
      </w:r>
      <w:r w:rsidR="00BE1B90">
        <w:rPr>
          <w:rFonts w:cs="Times New Roman"/>
          <w:szCs w:val="24"/>
        </w:rPr>
        <w:t xml:space="preserve"> is greater than the “pro rata” share</w:t>
      </w:r>
      <w:r w:rsidR="00BE1B90">
        <w:rPr>
          <w:rStyle w:val="FootnoteReference"/>
          <w:rFonts w:cs="Times New Roman"/>
          <w:szCs w:val="24"/>
        </w:rPr>
        <w:footnoteReference w:id="11"/>
      </w:r>
      <w:r w:rsidR="00BE1B90">
        <w:rPr>
          <w:rFonts w:cs="Times New Roman"/>
          <w:szCs w:val="24"/>
        </w:rPr>
        <w:t xml:space="preserve"> </w:t>
      </w:r>
      <w:r w:rsidR="000F14ED">
        <w:rPr>
          <w:rFonts w:cs="Times New Roman"/>
          <w:szCs w:val="24"/>
        </w:rPr>
        <w:t xml:space="preserve">of the ten-year forecast </w:t>
      </w:r>
      <w:r w:rsidR="00FD5F45">
        <w:rPr>
          <w:rFonts w:cs="Times New Roman"/>
          <w:szCs w:val="24"/>
        </w:rPr>
        <w:t xml:space="preserve">as </w:t>
      </w:r>
      <w:r w:rsidR="005E2242">
        <w:rPr>
          <w:rFonts w:cs="Times New Roman"/>
          <w:szCs w:val="24"/>
        </w:rPr>
        <w:t>defined in</w:t>
      </w:r>
      <w:r w:rsidR="000F14ED">
        <w:rPr>
          <w:rFonts w:cs="Times New Roman"/>
          <w:szCs w:val="24"/>
        </w:rPr>
        <w:t xml:space="preserve"> WAC 480-109-060 (19)</w:t>
      </w:r>
      <w:r w:rsidR="00BE1B90">
        <w:rPr>
          <w:rFonts w:cs="Times New Roman"/>
          <w:szCs w:val="24"/>
        </w:rPr>
        <w:t xml:space="preserve">. </w:t>
      </w:r>
      <w:r w:rsidR="00407486">
        <w:rPr>
          <w:rFonts w:cs="Times New Roman"/>
          <w:szCs w:val="24"/>
        </w:rPr>
        <w:t xml:space="preserve">Following </w:t>
      </w:r>
      <w:r w:rsidR="00590FC4">
        <w:rPr>
          <w:rFonts w:cs="Times New Roman"/>
          <w:szCs w:val="24"/>
        </w:rPr>
        <w:t>the</w:t>
      </w:r>
      <w:r w:rsidR="00407486">
        <w:rPr>
          <w:rFonts w:cs="Times New Roman"/>
          <w:szCs w:val="24"/>
        </w:rPr>
        <w:t xml:space="preserve"> a</w:t>
      </w:r>
      <w:r w:rsidR="00BE1B90">
        <w:rPr>
          <w:rFonts w:cs="Times New Roman"/>
          <w:szCs w:val="24"/>
        </w:rPr>
        <w:t>djust</w:t>
      </w:r>
      <w:r w:rsidR="00407486">
        <w:rPr>
          <w:rFonts w:cs="Times New Roman"/>
          <w:szCs w:val="24"/>
        </w:rPr>
        <w:t xml:space="preserve">ment </w:t>
      </w:r>
      <w:r w:rsidR="00BE1B90">
        <w:rPr>
          <w:rFonts w:cs="Times New Roman"/>
          <w:szCs w:val="24"/>
        </w:rPr>
        <w:t>for NEEA, PacifiCorp’s 2016-2017 bienni</w:t>
      </w:r>
      <w:r w:rsidR="000F14ED">
        <w:rPr>
          <w:rFonts w:cs="Times New Roman"/>
          <w:szCs w:val="24"/>
        </w:rPr>
        <w:t>um</w:t>
      </w:r>
      <w:r w:rsidR="00BE1B90">
        <w:rPr>
          <w:rFonts w:cs="Times New Roman"/>
          <w:szCs w:val="24"/>
        </w:rPr>
        <w:t xml:space="preserve"> conservation target for which </w:t>
      </w:r>
      <w:r w:rsidR="000F14ED">
        <w:rPr>
          <w:rFonts w:cs="Times New Roman"/>
          <w:szCs w:val="24"/>
        </w:rPr>
        <w:t xml:space="preserve">the Company </w:t>
      </w:r>
      <w:r w:rsidR="00BE1B90">
        <w:rPr>
          <w:rFonts w:cs="Times New Roman"/>
          <w:szCs w:val="24"/>
        </w:rPr>
        <w:t>seek</w:t>
      </w:r>
      <w:r w:rsidR="000F14ED">
        <w:rPr>
          <w:rFonts w:cs="Times New Roman"/>
          <w:szCs w:val="24"/>
        </w:rPr>
        <w:t>s</w:t>
      </w:r>
      <w:r w:rsidR="00BE1B90">
        <w:rPr>
          <w:rFonts w:cs="Times New Roman"/>
          <w:szCs w:val="24"/>
        </w:rPr>
        <w:t xml:space="preserve"> approval through this report is </w:t>
      </w:r>
      <w:r w:rsidR="00BE1B90" w:rsidRPr="00FD5F45">
        <w:rPr>
          <w:rFonts w:cs="Times New Roman"/>
          <w:b/>
          <w:szCs w:val="24"/>
        </w:rPr>
        <w:t>87,814 MWh</w:t>
      </w:r>
      <w:r w:rsidR="00BE1B90">
        <w:rPr>
          <w:rFonts w:cs="Times New Roman"/>
          <w:szCs w:val="24"/>
        </w:rPr>
        <w:t xml:space="preserve">.  </w:t>
      </w:r>
    </w:p>
    <w:p w:rsidR="00BA15F5" w:rsidRDefault="00BA15F5" w:rsidP="00C46E64">
      <w:pPr>
        <w:rPr>
          <w:rFonts w:cs="Times New Roman"/>
          <w:szCs w:val="24"/>
        </w:rPr>
      </w:pPr>
    </w:p>
    <w:p w:rsidR="00246789" w:rsidRPr="00432C28" w:rsidRDefault="00F25D54" w:rsidP="00805A8C">
      <w:pPr>
        <w:rPr>
          <w:rFonts w:cs="Times New Roman"/>
          <w:szCs w:val="24"/>
        </w:rPr>
      </w:pPr>
      <w:r>
        <w:fldChar w:fldCharType="begin"/>
      </w:r>
      <w:r>
        <w:instrText xml:space="preserve"> REF _Ref367102657 \h  \* MERGEFORMAT </w:instrText>
      </w:r>
      <w:r>
        <w:fldChar w:fldCharType="separate"/>
      </w:r>
      <w:r w:rsidR="00BC2AF1" w:rsidRPr="00BC2AF1">
        <w:rPr>
          <w:rFonts w:cs="Times New Roman"/>
          <w:szCs w:val="24"/>
        </w:rPr>
        <w:t xml:space="preserve">Figure </w:t>
      </w:r>
      <w:r w:rsidR="00BC2AF1" w:rsidRPr="00A627F2">
        <w:rPr>
          <w:rFonts w:cs="Times New Roman"/>
          <w:szCs w:val="24"/>
        </w:rPr>
        <w:t>1</w:t>
      </w:r>
      <w:r>
        <w:fldChar w:fldCharType="end"/>
      </w:r>
      <w:r w:rsidR="009B52D8" w:rsidRPr="00432C28">
        <w:rPr>
          <w:rFonts w:cs="Times New Roman"/>
          <w:szCs w:val="24"/>
        </w:rPr>
        <w:t xml:space="preserve"> </w:t>
      </w:r>
      <w:r w:rsidR="0048150C" w:rsidRPr="00432C28">
        <w:rPr>
          <w:rFonts w:cs="Times New Roman"/>
          <w:szCs w:val="24"/>
        </w:rPr>
        <w:t>below</w:t>
      </w:r>
      <w:r w:rsidR="003D272C">
        <w:rPr>
          <w:rFonts w:cs="Times New Roman"/>
          <w:szCs w:val="24"/>
        </w:rPr>
        <w:t xml:space="preserve"> presents </w:t>
      </w:r>
      <w:r w:rsidR="00A627F2">
        <w:rPr>
          <w:rFonts w:cs="Times New Roman"/>
          <w:szCs w:val="24"/>
        </w:rPr>
        <w:t>an</w:t>
      </w:r>
      <w:r w:rsidR="003D272C">
        <w:rPr>
          <w:rFonts w:cs="Times New Roman"/>
          <w:szCs w:val="24"/>
        </w:rPr>
        <w:t xml:space="preserve"> </w:t>
      </w:r>
      <w:r w:rsidR="00246789" w:rsidRPr="00432C28">
        <w:rPr>
          <w:rFonts w:cs="Times New Roman"/>
          <w:szCs w:val="24"/>
        </w:rPr>
        <w:t xml:space="preserve">overview of the process </w:t>
      </w:r>
      <w:r w:rsidR="00F4400B" w:rsidRPr="00432C28">
        <w:rPr>
          <w:rFonts w:cs="Times New Roman"/>
          <w:szCs w:val="24"/>
        </w:rPr>
        <w:t xml:space="preserve">used </w:t>
      </w:r>
      <w:r w:rsidR="00A627F2">
        <w:rPr>
          <w:rFonts w:cs="Times New Roman"/>
          <w:szCs w:val="24"/>
        </w:rPr>
        <w:t>in the development of</w:t>
      </w:r>
      <w:r w:rsidR="00246789" w:rsidRPr="00432C28">
        <w:rPr>
          <w:rFonts w:cs="Times New Roman"/>
          <w:szCs w:val="24"/>
        </w:rPr>
        <w:t xml:space="preserve"> PacifiCorp’s ten-year conservation </w:t>
      </w:r>
      <w:r w:rsidR="00001DB9" w:rsidRPr="00432C28">
        <w:rPr>
          <w:rFonts w:cs="Times New Roman"/>
          <w:szCs w:val="24"/>
        </w:rPr>
        <w:t>forecast</w:t>
      </w:r>
      <w:r w:rsidR="00CD2EAF" w:rsidRPr="00432C28">
        <w:rPr>
          <w:rFonts w:cs="Times New Roman"/>
          <w:szCs w:val="24"/>
        </w:rPr>
        <w:t xml:space="preserve"> and the 201</w:t>
      </w:r>
      <w:r w:rsidR="001435E4">
        <w:rPr>
          <w:rFonts w:cs="Times New Roman"/>
          <w:szCs w:val="24"/>
        </w:rPr>
        <w:t>6</w:t>
      </w:r>
      <w:r w:rsidR="00CD2EAF" w:rsidRPr="00432C28">
        <w:rPr>
          <w:rFonts w:cs="Times New Roman"/>
          <w:szCs w:val="24"/>
        </w:rPr>
        <w:t>-</w:t>
      </w:r>
      <w:r w:rsidR="009B52D8" w:rsidRPr="00432C28">
        <w:rPr>
          <w:rFonts w:cs="Times New Roman"/>
          <w:szCs w:val="24"/>
        </w:rPr>
        <w:t>201</w:t>
      </w:r>
      <w:r w:rsidR="001435E4">
        <w:rPr>
          <w:rFonts w:cs="Times New Roman"/>
          <w:szCs w:val="24"/>
        </w:rPr>
        <w:t>7</w:t>
      </w:r>
      <w:r w:rsidR="00246789" w:rsidRPr="00432C28">
        <w:rPr>
          <w:rFonts w:cs="Times New Roman"/>
          <w:szCs w:val="24"/>
        </w:rPr>
        <w:t xml:space="preserve"> bienni</w:t>
      </w:r>
      <w:r w:rsidR="000F14ED">
        <w:rPr>
          <w:rFonts w:cs="Times New Roman"/>
          <w:szCs w:val="24"/>
        </w:rPr>
        <w:t>um</w:t>
      </w:r>
      <w:r w:rsidR="00246789" w:rsidRPr="00432C28">
        <w:rPr>
          <w:rFonts w:cs="Times New Roman"/>
          <w:szCs w:val="24"/>
        </w:rPr>
        <w:t xml:space="preserve"> conservation target.</w:t>
      </w:r>
    </w:p>
    <w:p w:rsidR="001A2F07" w:rsidRPr="00432C28" w:rsidRDefault="001A2F07">
      <w:pPr>
        <w:jc w:val="left"/>
        <w:rPr>
          <w:rFonts w:cs="Times New Roman"/>
          <w:szCs w:val="24"/>
        </w:rPr>
      </w:pPr>
      <w:r w:rsidRPr="00432C28">
        <w:rPr>
          <w:rFonts w:cs="Times New Roman"/>
          <w:szCs w:val="24"/>
        </w:rPr>
        <w:br w:type="page"/>
      </w:r>
    </w:p>
    <w:p w:rsidR="00F644F8" w:rsidRPr="00220638" w:rsidRDefault="009B52D8" w:rsidP="00220638">
      <w:pPr>
        <w:pStyle w:val="Caption"/>
      </w:pPr>
      <w:bookmarkStart w:id="8" w:name="_Ref367102657"/>
      <w:bookmarkStart w:id="9" w:name="_Toc430706034"/>
      <w:r w:rsidRPr="00220638">
        <w:t xml:space="preserve">Figure </w:t>
      </w:r>
      <w:r w:rsidR="003264B1" w:rsidRPr="00220638">
        <w:fldChar w:fldCharType="begin"/>
      </w:r>
      <w:r w:rsidRPr="00220638">
        <w:instrText xml:space="preserve"> SEQ Figure \* ARABIC </w:instrText>
      </w:r>
      <w:r w:rsidR="003264B1" w:rsidRPr="00220638">
        <w:fldChar w:fldCharType="separate"/>
      </w:r>
      <w:r w:rsidR="00BC2AF1">
        <w:rPr>
          <w:noProof/>
        </w:rPr>
        <w:t>1</w:t>
      </w:r>
      <w:r w:rsidR="003264B1" w:rsidRPr="00220638">
        <w:fldChar w:fldCharType="end"/>
      </w:r>
      <w:bookmarkEnd w:id="8"/>
      <w:r w:rsidR="00220638">
        <w:t xml:space="preserve">: </w:t>
      </w:r>
      <w:r w:rsidR="00F644F8" w:rsidRPr="00220638">
        <w:t xml:space="preserve">Overview of I-937 </w:t>
      </w:r>
      <w:r w:rsidR="00C14599" w:rsidRPr="00220638">
        <w:t xml:space="preserve">Conservation Forecast </w:t>
      </w:r>
      <w:r w:rsidR="00F644F8" w:rsidRPr="00220638">
        <w:t>Process</w:t>
      </w:r>
      <w:bookmarkEnd w:id="9"/>
    </w:p>
    <w:p w:rsidR="00794241" w:rsidRPr="00432C28" w:rsidRDefault="00794241" w:rsidP="00F644F8">
      <w:pPr>
        <w:jc w:val="center"/>
        <w:rPr>
          <w:rFonts w:cs="Times New Roman"/>
          <w:b/>
          <w:szCs w:val="24"/>
        </w:rPr>
      </w:pPr>
    </w:p>
    <w:p w:rsidR="00F644F8" w:rsidRPr="00432C28" w:rsidRDefault="005D5C42" w:rsidP="00F644F8">
      <w:pPr>
        <w:jc w:val="center"/>
        <w:rPr>
          <w:rFonts w:cs="Times New Roman"/>
          <w:b/>
          <w:szCs w:val="24"/>
        </w:rPr>
      </w:pPr>
      <w:r w:rsidRPr="00432C28">
        <w:rPr>
          <w:rFonts w:cs="Times New Roman"/>
          <w:b/>
          <w:noProof/>
          <w:szCs w:val="24"/>
        </w:rPr>
        <w:drawing>
          <wp:inline distT="0" distB="0" distL="0" distR="0" wp14:anchorId="167ED3DB" wp14:editId="1A924510">
            <wp:extent cx="5857875" cy="7620000"/>
            <wp:effectExtent l="19050" t="0" r="47625" b="19050"/>
            <wp:docPr id="2"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0E28D2" w:rsidRDefault="000E28D2" w:rsidP="005C7C5C">
      <w:pPr>
        <w:rPr>
          <w:rFonts w:cs="Times New Roman"/>
          <w:szCs w:val="24"/>
          <w:u w:val="single"/>
        </w:rPr>
      </w:pPr>
    </w:p>
    <w:p w:rsidR="00E576A2" w:rsidRPr="00432C28" w:rsidRDefault="00153BC2" w:rsidP="005C7C5C">
      <w:pPr>
        <w:rPr>
          <w:rFonts w:cs="Times New Roman"/>
          <w:szCs w:val="24"/>
          <w:u w:val="single"/>
        </w:rPr>
      </w:pPr>
      <w:r w:rsidRPr="00432C28">
        <w:rPr>
          <w:rFonts w:cs="Times New Roman"/>
          <w:szCs w:val="24"/>
          <w:u w:val="single"/>
        </w:rPr>
        <w:t>Source Documents</w:t>
      </w:r>
    </w:p>
    <w:p w:rsidR="009D4E9F" w:rsidRPr="00432C28" w:rsidRDefault="009D4E9F" w:rsidP="005C7C5C">
      <w:pPr>
        <w:rPr>
          <w:rFonts w:cs="Times New Roman"/>
          <w:szCs w:val="24"/>
        </w:rPr>
      </w:pPr>
    </w:p>
    <w:p w:rsidR="00826CF4" w:rsidRDefault="00153BC2" w:rsidP="005C7C5C">
      <w:pPr>
        <w:rPr>
          <w:rFonts w:cs="Times New Roman"/>
          <w:szCs w:val="24"/>
        </w:rPr>
      </w:pPr>
      <w:r w:rsidRPr="00432C28">
        <w:rPr>
          <w:rFonts w:cs="Times New Roman"/>
          <w:szCs w:val="24"/>
        </w:rPr>
        <w:t xml:space="preserve">As </w:t>
      </w:r>
      <w:r w:rsidR="00126D8A">
        <w:rPr>
          <w:rFonts w:cs="Times New Roman"/>
          <w:szCs w:val="24"/>
        </w:rPr>
        <w:t xml:space="preserve">discussed </w:t>
      </w:r>
      <w:r w:rsidR="00F82BAF">
        <w:rPr>
          <w:rFonts w:cs="Times New Roman"/>
          <w:szCs w:val="24"/>
        </w:rPr>
        <w:t>above</w:t>
      </w:r>
      <w:r w:rsidR="0051328B" w:rsidRPr="00432C28">
        <w:rPr>
          <w:rFonts w:cs="Times New Roman"/>
          <w:szCs w:val="24"/>
        </w:rPr>
        <w:t>,</w:t>
      </w:r>
      <w:r w:rsidR="00F034EB" w:rsidRPr="00432C28">
        <w:rPr>
          <w:rFonts w:cs="Times New Roman"/>
          <w:szCs w:val="24"/>
        </w:rPr>
        <w:t xml:space="preserve"> </w:t>
      </w:r>
      <w:r w:rsidRPr="00432C28">
        <w:rPr>
          <w:rFonts w:cs="Times New Roman"/>
          <w:szCs w:val="24"/>
        </w:rPr>
        <w:t>the Company relie</w:t>
      </w:r>
      <w:r w:rsidR="00F034EB" w:rsidRPr="00432C28">
        <w:rPr>
          <w:rFonts w:cs="Times New Roman"/>
          <w:szCs w:val="24"/>
        </w:rPr>
        <w:t xml:space="preserve">d </w:t>
      </w:r>
      <w:r w:rsidR="00F034EB" w:rsidRPr="00D614FE">
        <w:rPr>
          <w:rFonts w:cs="Times New Roman"/>
          <w:szCs w:val="24"/>
        </w:rPr>
        <w:t xml:space="preserve">on </w:t>
      </w:r>
      <w:r w:rsidR="00126D8A">
        <w:rPr>
          <w:rFonts w:cs="Times New Roman"/>
          <w:szCs w:val="24"/>
        </w:rPr>
        <w:t xml:space="preserve">several </w:t>
      </w:r>
      <w:r w:rsidR="006070E9">
        <w:rPr>
          <w:rFonts w:cs="Times New Roman"/>
          <w:szCs w:val="24"/>
        </w:rPr>
        <w:t>studies</w:t>
      </w:r>
      <w:r w:rsidRPr="00432C28">
        <w:rPr>
          <w:rFonts w:cs="Times New Roman"/>
          <w:szCs w:val="24"/>
        </w:rPr>
        <w:t xml:space="preserve"> </w:t>
      </w:r>
      <w:r w:rsidR="00BA7F2A" w:rsidRPr="00432C28">
        <w:rPr>
          <w:rFonts w:cs="Times New Roman"/>
          <w:szCs w:val="24"/>
        </w:rPr>
        <w:t>and PacifiCorp’s 201</w:t>
      </w:r>
      <w:r w:rsidR="006070E9">
        <w:rPr>
          <w:rFonts w:cs="Times New Roman"/>
          <w:szCs w:val="24"/>
        </w:rPr>
        <w:t>5</w:t>
      </w:r>
      <w:r w:rsidR="00001DB9" w:rsidRPr="00432C28">
        <w:rPr>
          <w:rFonts w:cs="Times New Roman"/>
          <w:szCs w:val="24"/>
        </w:rPr>
        <w:t xml:space="preserve"> IRP and related assumptions </w:t>
      </w:r>
      <w:r w:rsidRPr="00432C28">
        <w:rPr>
          <w:rFonts w:cs="Times New Roman"/>
          <w:szCs w:val="24"/>
        </w:rPr>
        <w:t xml:space="preserve">in developing its </w:t>
      </w:r>
      <w:r w:rsidR="00B52BC2" w:rsidRPr="00D614FE">
        <w:rPr>
          <w:rFonts w:cs="Times New Roman"/>
          <w:szCs w:val="24"/>
        </w:rPr>
        <w:t xml:space="preserve">consolidated </w:t>
      </w:r>
      <w:r w:rsidRPr="00D614FE">
        <w:rPr>
          <w:rFonts w:cs="Times New Roman"/>
          <w:szCs w:val="24"/>
        </w:rPr>
        <w:t>ten-year conservation potential</w:t>
      </w:r>
      <w:r w:rsidR="00126D8A">
        <w:rPr>
          <w:rFonts w:cs="Times New Roman"/>
          <w:szCs w:val="24"/>
        </w:rPr>
        <w:t>. These studies included</w:t>
      </w:r>
      <w:r w:rsidRPr="00D614FE">
        <w:rPr>
          <w:rFonts w:cs="Times New Roman"/>
          <w:szCs w:val="24"/>
        </w:rPr>
        <w:t xml:space="preserve"> (1) PacifiCorp’s </w:t>
      </w:r>
      <w:r w:rsidR="006070E9">
        <w:rPr>
          <w:rFonts w:cs="Times New Roman"/>
          <w:szCs w:val="24"/>
        </w:rPr>
        <w:t>January 2015</w:t>
      </w:r>
      <w:r w:rsidR="00D82C7E" w:rsidRPr="00D614FE">
        <w:rPr>
          <w:rFonts w:cs="Times New Roman"/>
          <w:szCs w:val="24"/>
        </w:rPr>
        <w:t xml:space="preserve"> </w:t>
      </w:r>
      <w:r w:rsidR="00F034EB" w:rsidRPr="00D614FE">
        <w:rPr>
          <w:rFonts w:cs="Times New Roman"/>
          <w:szCs w:val="24"/>
        </w:rPr>
        <w:t xml:space="preserve">Conservation Potential Assessment, </w:t>
      </w:r>
      <w:r w:rsidR="00001DB9" w:rsidRPr="00D614FE">
        <w:rPr>
          <w:rFonts w:cs="Times New Roman"/>
          <w:szCs w:val="24"/>
        </w:rPr>
        <w:t xml:space="preserve">(2) </w:t>
      </w:r>
      <w:r w:rsidR="004E5167">
        <w:rPr>
          <w:rFonts w:cs="Times New Roman"/>
          <w:szCs w:val="24"/>
        </w:rPr>
        <w:t xml:space="preserve">The 2014 CLEAResult evaluation on waste heat to power and regenerative technology opportunities, (3) </w:t>
      </w:r>
      <w:r w:rsidR="008B5EBD" w:rsidRPr="00D614FE">
        <w:rPr>
          <w:rFonts w:cs="Times New Roman"/>
          <w:szCs w:val="24"/>
        </w:rPr>
        <w:t xml:space="preserve">the </w:t>
      </w:r>
      <w:r w:rsidR="00F034EB" w:rsidRPr="00D614FE">
        <w:rPr>
          <w:rFonts w:cs="Times New Roman"/>
          <w:szCs w:val="24"/>
        </w:rPr>
        <w:t>Commonwealth</w:t>
      </w:r>
      <w:r w:rsidR="008B5EBD" w:rsidRPr="00D614FE">
        <w:rPr>
          <w:rFonts w:cs="Times New Roman"/>
          <w:szCs w:val="24"/>
        </w:rPr>
        <w:t xml:space="preserve"> study on </w:t>
      </w:r>
      <w:r w:rsidR="007335CD">
        <w:rPr>
          <w:rFonts w:cs="Times New Roman"/>
          <w:szCs w:val="24"/>
        </w:rPr>
        <w:t xml:space="preserve">distribution efficiency </w:t>
      </w:r>
      <w:r w:rsidR="008B5EBD" w:rsidRPr="00D614FE">
        <w:rPr>
          <w:rFonts w:cs="Times New Roman"/>
          <w:szCs w:val="24"/>
        </w:rPr>
        <w:t>opportunities</w:t>
      </w:r>
      <w:r w:rsidR="00F034EB" w:rsidRPr="00D614FE">
        <w:rPr>
          <w:rFonts w:cs="Times New Roman"/>
          <w:szCs w:val="24"/>
        </w:rPr>
        <w:t xml:space="preserve">, </w:t>
      </w:r>
      <w:r w:rsidR="00001DB9" w:rsidRPr="00D614FE">
        <w:rPr>
          <w:rFonts w:cs="Times New Roman"/>
          <w:szCs w:val="24"/>
        </w:rPr>
        <w:t>(</w:t>
      </w:r>
      <w:r w:rsidR="004E5167">
        <w:rPr>
          <w:rFonts w:cs="Times New Roman"/>
          <w:szCs w:val="24"/>
        </w:rPr>
        <w:t>4</w:t>
      </w:r>
      <w:r w:rsidR="00001DB9" w:rsidRPr="00D614FE">
        <w:rPr>
          <w:rFonts w:cs="Times New Roman"/>
          <w:szCs w:val="24"/>
        </w:rPr>
        <w:t xml:space="preserve">) </w:t>
      </w:r>
      <w:r w:rsidR="008B5EBD" w:rsidRPr="00D614FE">
        <w:rPr>
          <w:rFonts w:cs="Times New Roman"/>
          <w:szCs w:val="24"/>
        </w:rPr>
        <w:t>the Cascade stud</w:t>
      </w:r>
      <w:r w:rsidR="00126D8A">
        <w:rPr>
          <w:rFonts w:cs="Times New Roman"/>
          <w:szCs w:val="24"/>
        </w:rPr>
        <w:t>ies</w:t>
      </w:r>
      <w:r w:rsidR="008B5EBD" w:rsidRPr="00D614FE">
        <w:rPr>
          <w:rFonts w:cs="Times New Roman"/>
          <w:szCs w:val="24"/>
        </w:rPr>
        <w:t xml:space="preserve"> </w:t>
      </w:r>
      <w:r w:rsidR="00126D8A">
        <w:rPr>
          <w:rFonts w:cs="Times New Roman"/>
          <w:szCs w:val="24"/>
        </w:rPr>
        <w:t xml:space="preserve">on </w:t>
      </w:r>
      <w:r w:rsidR="008B5EBD" w:rsidRPr="00D614FE">
        <w:rPr>
          <w:rFonts w:cs="Times New Roman"/>
          <w:szCs w:val="24"/>
        </w:rPr>
        <w:t>opportunities at the Company’s non-hydro generation facilities</w:t>
      </w:r>
      <w:r w:rsidR="00F034EB" w:rsidRPr="00D614FE">
        <w:rPr>
          <w:rFonts w:cs="Times New Roman"/>
          <w:szCs w:val="24"/>
        </w:rPr>
        <w:t>,</w:t>
      </w:r>
      <w:r w:rsidR="006070E9">
        <w:rPr>
          <w:rFonts w:cs="Times New Roman"/>
          <w:szCs w:val="24"/>
        </w:rPr>
        <w:t xml:space="preserve"> and (</w:t>
      </w:r>
      <w:r w:rsidR="004E5167">
        <w:rPr>
          <w:rFonts w:cs="Times New Roman"/>
          <w:szCs w:val="24"/>
        </w:rPr>
        <w:t>5</w:t>
      </w:r>
      <w:r w:rsidR="006070E9">
        <w:rPr>
          <w:rFonts w:cs="Times New Roman"/>
          <w:szCs w:val="24"/>
        </w:rPr>
        <w:t xml:space="preserve">) the Navigant Consulting </w:t>
      </w:r>
    </w:p>
    <w:p w:rsidR="004E5167" w:rsidRDefault="006070E9" w:rsidP="005C7C5C">
      <w:pPr>
        <w:rPr>
          <w:rFonts w:cs="Times New Roman"/>
          <w:szCs w:val="24"/>
        </w:rPr>
      </w:pPr>
      <w:r>
        <w:rPr>
          <w:rFonts w:cs="Times New Roman"/>
          <w:szCs w:val="24"/>
        </w:rPr>
        <w:t xml:space="preserve">study on </w:t>
      </w:r>
      <w:r w:rsidR="00951968">
        <w:rPr>
          <w:rFonts w:cs="Times New Roman"/>
          <w:szCs w:val="24"/>
        </w:rPr>
        <w:t xml:space="preserve">DG </w:t>
      </w:r>
      <w:r>
        <w:rPr>
          <w:rFonts w:cs="Times New Roman"/>
          <w:szCs w:val="24"/>
        </w:rPr>
        <w:t xml:space="preserve"> resources,</w:t>
      </w:r>
      <w:r w:rsidR="00126D8A">
        <w:rPr>
          <w:rFonts w:cs="Times New Roman"/>
          <w:szCs w:val="24"/>
        </w:rPr>
        <w:t xml:space="preserve"> including high-efficiency cogeneration</w:t>
      </w:r>
      <w:r w:rsidR="00092202" w:rsidRPr="00D614FE">
        <w:rPr>
          <w:rFonts w:cs="Times New Roman"/>
          <w:szCs w:val="24"/>
        </w:rPr>
        <w:t>.</w:t>
      </w:r>
      <w:r w:rsidR="00153BC2" w:rsidRPr="00D614FE">
        <w:rPr>
          <w:rFonts w:cs="Times New Roman"/>
          <w:szCs w:val="24"/>
        </w:rPr>
        <w:t xml:space="preserve"> </w:t>
      </w:r>
    </w:p>
    <w:p w:rsidR="004E5167" w:rsidRDefault="004E5167" w:rsidP="005C7C5C">
      <w:pPr>
        <w:rPr>
          <w:rFonts w:cs="Times New Roman"/>
          <w:szCs w:val="24"/>
        </w:rPr>
      </w:pPr>
    </w:p>
    <w:p w:rsidR="00153BC2" w:rsidRPr="00432C28" w:rsidRDefault="00153BC2" w:rsidP="005C7C5C">
      <w:pPr>
        <w:rPr>
          <w:rFonts w:cs="Times New Roman"/>
          <w:szCs w:val="24"/>
        </w:rPr>
      </w:pPr>
      <w:r w:rsidRPr="00D614FE">
        <w:rPr>
          <w:rFonts w:cs="Times New Roman"/>
          <w:szCs w:val="24"/>
        </w:rPr>
        <w:t xml:space="preserve">The relevant information used in preparing the </w:t>
      </w:r>
      <w:r w:rsidR="0001117D" w:rsidRPr="00D614FE">
        <w:rPr>
          <w:rFonts w:cs="Times New Roman"/>
          <w:szCs w:val="24"/>
        </w:rPr>
        <w:t>C</w:t>
      </w:r>
      <w:r w:rsidRPr="00D614FE">
        <w:rPr>
          <w:rFonts w:cs="Times New Roman"/>
          <w:szCs w:val="24"/>
        </w:rPr>
        <w:t>ompany’s ten-year plan is outlined below.</w:t>
      </w:r>
    </w:p>
    <w:p w:rsidR="00153BC2" w:rsidRDefault="00153BC2" w:rsidP="005C7C5C">
      <w:pPr>
        <w:rPr>
          <w:rFonts w:cs="Times New Roman"/>
          <w:szCs w:val="24"/>
        </w:rPr>
      </w:pPr>
    </w:p>
    <w:p w:rsidR="000E3332" w:rsidRPr="00432C28" w:rsidRDefault="000E3332" w:rsidP="000E3332">
      <w:pPr>
        <w:rPr>
          <w:rFonts w:cs="Times New Roman"/>
          <w:i/>
          <w:szCs w:val="24"/>
        </w:rPr>
      </w:pPr>
      <w:r w:rsidRPr="00432C28">
        <w:rPr>
          <w:rFonts w:cs="Times New Roman"/>
          <w:i/>
          <w:szCs w:val="24"/>
        </w:rPr>
        <w:t>201</w:t>
      </w:r>
      <w:r>
        <w:rPr>
          <w:rFonts w:cs="Times New Roman"/>
          <w:i/>
          <w:szCs w:val="24"/>
        </w:rPr>
        <w:t>5</w:t>
      </w:r>
      <w:r w:rsidRPr="00432C28">
        <w:rPr>
          <w:rFonts w:cs="Times New Roman"/>
          <w:i/>
          <w:szCs w:val="24"/>
        </w:rPr>
        <w:t xml:space="preserve"> Integrated Resource Plan</w:t>
      </w:r>
    </w:p>
    <w:p w:rsidR="000E3332" w:rsidRPr="00432C28" w:rsidRDefault="000E3332" w:rsidP="000E3332">
      <w:pPr>
        <w:rPr>
          <w:rFonts w:cs="Times New Roman"/>
          <w:szCs w:val="24"/>
        </w:rPr>
      </w:pPr>
    </w:p>
    <w:p w:rsidR="000E3332" w:rsidRPr="00432C28" w:rsidRDefault="000E3332" w:rsidP="000E3332">
      <w:pPr>
        <w:rPr>
          <w:rFonts w:cs="Times New Roman"/>
          <w:szCs w:val="24"/>
        </w:rPr>
      </w:pPr>
      <w:r w:rsidRPr="00432C28">
        <w:rPr>
          <w:rFonts w:cs="Times New Roman"/>
          <w:szCs w:val="24"/>
        </w:rPr>
        <w:t>Assumptions used for the 201</w:t>
      </w:r>
      <w:r>
        <w:rPr>
          <w:rFonts w:cs="Times New Roman"/>
          <w:szCs w:val="24"/>
        </w:rPr>
        <w:t>5</w:t>
      </w:r>
      <w:r w:rsidRPr="00432C28">
        <w:rPr>
          <w:rFonts w:cs="Times New Roman"/>
          <w:szCs w:val="24"/>
        </w:rPr>
        <w:t xml:space="preserve"> IRP are documented throughout the IRP report</w:t>
      </w:r>
      <w:r>
        <w:rPr>
          <w:rFonts w:cs="Times New Roman"/>
          <w:szCs w:val="24"/>
        </w:rPr>
        <w:t xml:space="preserve"> and associated Appendices</w:t>
      </w:r>
      <w:r w:rsidRPr="00432C28">
        <w:rPr>
          <w:rFonts w:cs="Times New Roman"/>
          <w:szCs w:val="24"/>
        </w:rPr>
        <w:t>. References for key assumptions are provided below:</w:t>
      </w:r>
    </w:p>
    <w:p w:rsidR="000E3332" w:rsidRPr="00432C28" w:rsidRDefault="000E3332" w:rsidP="000E3332">
      <w:pPr>
        <w:rPr>
          <w:rFonts w:cs="Times New Roman"/>
          <w:szCs w:val="24"/>
        </w:rPr>
      </w:pPr>
    </w:p>
    <w:p w:rsidR="000E3332" w:rsidRPr="00432C28" w:rsidRDefault="000E3332" w:rsidP="000E3332">
      <w:pPr>
        <w:numPr>
          <w:ilvl w:val="0"/>
          <w:numId w:val="3"/>
        </w:numPr>
        <w:rPr>
          <w:rFonts w:cs="Times New Roman"/>
          <w:szCs w:val="24"/>
        </w:rPr>
      </w:pPr>
      <w:r w:rsidRPr="00432C28">
        <w:rPr>
          <w:rFonts w:cs="Times New Roman"/>
          <w:szCs w:val="24"/>
        </w:rPr>
        <w:t>Load forecasts, existing/new resources, and forecasted capacity and energy deficits are provided in Chapter 5</w:t>
      </w:r>
      <w:r>
        <w:rPr>
          <w:rFonts w:cs="Times New Roman"/>
          <w:szCs w:val="24"/>
        </w:rPr>
        <w:t xml:space="preserve"> with further load forecast details included in Appendix A</w:t>
      </w:r>
    </w:p>
    <w:p w:rsidR="000E3332" w:rsidRPr="00432C28" w:rsidRDefault="000E3332" w:rsidP="000E3332">
      <w:pPr>
        <w:numPr>
          <w:ilvl w:val="0"/>
          <w:numId w:val="3"/>
        </w:numPr>
        <w:rPr>
          <w:rFonts w:cs="Times New Roman"/>
          <w:szCs w:val="24"/>
        </w:rPr>
      </w:pPr>
      <w:r w:rsidRPr="00432C28">
        <w:rPr>
          <w:rFonts w:cs="Times New Roman"/>
          <w:szCs w:val="24"/>
        </w:rPr>
        <w:t>Resource option assumptions are provided in Chapter 6</w:t>
      </w:r>
    </w:p>
    <w:p w:rsidR="000E3332" w:rsidRPr="00432C28" w:rsidRDefault="000E3332" w:rsidP="000E3332">
      <w:pPr>
        <w:numPr>
          <w:ilvl w:val="0"/>
          <w:numId w:val="3"/>
        </w:numPr>
        <w:rPr>
          <w:rFonts w:cs="Times New Roman"/>
          <w:szCs w:val="24"/>
        </w:rPr>
      </w:pPr>
      <w:r w:rsidRPr="00432C28">
        <w:rPr>
          <w:rFonts w:cs="Times New Roman"/>
          <w:szCs w:val="24"/>
        </w:rPr>
        <w:t>Financial assumptions are cited on page</w:t>
      </w:r>
      <w:r>
        <w:rPr>
          <w:rFonts w:cs="Times New Roman"/>
          <w:szCs w:val="24"/>
        </w:rPr>
        <w:t>s</w:t>
      </w:r>
      <w:r w:rsidRPr="00432C28">
        <w:rPr>
          <w:rFonts w:cs="Times New Roman"/>
          <w:szCs w:val="24"/>
        </w:rPr>
        <w:t xml:space="preserve"> </w:t>
      </w:r>
      <w:r>
        <w:rPr>
          <w:rFonts w:cs="Times New Roman"/>
          <w:szCs w:val="24"/>
        </w:rPr>
        <w:t>141-142</w:t>
      </w:r>
    </w:p>
    <w:p w:rsidR="000E3332" w:rsidRPr="00432C28" w:rsidRDefault="000E3332" w:rsidP="000E3332">
      <w:pPr>
        <w:numPr>
          <w:ilvl w:val="0"/>
          <w:numId w:val="3"/>
        </w:numPr>
        <w:rPr>
          <w:rFonts w:cs="Times New Roman"/>
          <w:szCs w:val="24"/>
        </w:rPr>
      </w:pPr>
      <w:r>
        <w:rPr>
          <w:rFonts w:cs="Times New Roman"/>
          <w:szCs w:val="24"/>
        </w:rPr>
        <w:t xml:space="preserve">Core and sensitivity case </w:t>
      </w:r>
      <w:r w:rsidRPr="00432C28">
        <w:rPr>
          <w:rFonts w:cs="Times New Roman"/>
          <w:szCs w:val="24"/>
        </w:rPr>
        <w:t>design assumptions are cited on pages 1</w:t>
      </w:r>
      <w:r>
        <w:rPr>
          <w:rFonts w:cs="Times New Roman"/>
          <w:szCs w:val="24"/>
        </w:rPr>
        <w:t>42-155</w:t>
      </w:r>
    </w:p>
    <w:p w:rsidR="000E3332" w:rsidRPr="00432C28" w:rsidRDefault="000E3332" w:rsidP="000E3332">
      <w:pPr>
        <w:pStyle w:val="ListParagraph"/>
        <w:numPr>
          <w:ilvl w:val="0"/>
          <w:numId w:val="3"/>
        </w:numPr>
        <w:rPr>
          <w:rFonts w:cs="Times New Roman"/>
          <w:szCs w:val="24"/>
        </w:rPr>
      </w:pPr>
      <w:r w:rsidRPr="00432C28">
        <w:rPr>
          <w:rFonts w:cs="Times New Roman"/>
          <w:szCs w:val="24"/>
        </w:rPr>
        <w:t>Carbon dioxide compliance modeling and cost assumptions are cited on pages 1</w:t>
      </w:r>
      <w:r>
        <w:rPr>
          <w:rFonts w:cs="Times New Roman"/>
          <w:szCs w:val="24"/>
        </w:rPr>
        <w:t>43</w:t>
      </w:r>
      <w:r w:rsidRPr="00432C28">
        <w:rPr>
          <w:rFonts w:cs="Times New Roman"/>
          <w:szCs w:val="24"/>
        </w:rPr>
        <w:t>-1</w:t>
      </w:r>
      <w:r>
        <w:rPr>
          <w:rFonts w:cs="Times New Roman"/>
          <w:szCs w:val="24"/>
        </w:rPr>
        <w:t>49</w:t>
      </w:r>
    </w:p>
    <w:p w:rsidR="000E3332" w:rsidRPr="00432C28" w:rsidRDefault="000E3332" w:rsidP="000E3332">
      <w:pPr>
        <w:numPr>
          <w:ilvl w:val="0"/>
          <w:numId w:val="3"/>
        </w:numPr>
        <w:rPr>
          <w:rFonts w:cs="Times New Roman"/>
          <w:szCs w:val="24"/>
        </w:rPr>
      </w:pPr>
      <w:r w:rsidRPr="00432C28">
        <w:rPr>
          <w:rFonts w:cs="Times New Roman"/>
          <w:szCs w:val="24"/>
        </w:rPr>
        <w:t>Wholesale electricity and natural gas price forecast assumptions</w:t>
      </w:r>
      <w:r>
        <w:rPr>
          <w:rFonts w:cs="Times New Roman"/>
          <w:szCs w:val="24"/>
        </w:rPr>
        <w:t xml:space="preserve"> for core cases</w:t>
      </w:r>
      <w:r w:rsidRPr="00432C28">
        <w:rPr>
          <w:rFonts w:cs="Times New Roman"/>
          <w:szCs w:val="24"/>
        </w:rPr>
        <w:t xml:space="preserve"> are cited on page </w:t>
      </w:r>
      <w:r>
        <w:rPr>
          <w:rFonts w:cs="Times New Roman"/>
          <w:szCs w:val="24"/>
        </w:rPr>
        <w:t>148-</w:t>
      </w:r>
      <w:r w:rsidRPr="00432C28">
        <w:rPr>
          <w:rFonts w:cs="Times New Roman"/>
          <w:szCs w:val="24"/>
        </w:rPr>
        <w:t>1</w:t>
      </w:r>
      <w:r>
        <w:rPr>
          <w:rFonts w:cs="Times New Roman"/>
          <w:szCs w:val="24"/>
        </w:rPr>
        <w:t>49</w:t>
      </w:r>
    </w:p>
    <w:p w:rsidR="000E3332" w:rsidRPr="00432C28" w:rsidRDefault="000E3332" w:rsidP="000E3332">
      <w:pPr>
        <w:pStyle w:val="ListParagraph"/>
        <w:numPr>
          <w:ilvl w:val="0"/>
          <w:numId w:val="3"/>
        </w:numPr>
        <w:rPr>
          <w:rFonts w:cs="Times New Roman"/>
          <w:szCs w:val="24"/>
        </w:rPr>
      </w:pPr>
      <w:r w:rsidRPr="00432C28">
        <w:rPr>
          <w:rFonts w:cs="Times New Roman"/>
          <w:szCs w:val="24"/>
        </w:rPr>
        <w:t xml:space="preserve">Alternative load growth assumptions for scenario analysis are cited on page </w:t>
      </w:r>
      <w:r>
        <w:rPr>
          <w:rFonts w:cs="Times New Roman"/>
          <w:szCs w:val="24"/>
        </w:rPr>
        <w:t>198</w:t>
      </w:r>
    </w:p>
    <w:p w:rsidR="000E3332" w:rsidRDefault="000E3332" w:rsidP="004242C9">
      <w:pPr>
        <w:rPr>
          <w:rFonts w:cs="Times New Roman"/>
          <w:i/>
          <w:szCs w:val="24"/>
        </w:rPr>
      </w:pPr>
    </w:p>
    <w:p w:rsidR="004242C9" w:rsidRPr="00432C28" w:rsidRDefault="004242C9" w:rsidP="004242C9">
      <w:pPr>
        <w:rPr>
          <w:rFonts w:cs="Times New Roman"/>
          <w:i/>
          <w:szCs w:val="24"/>
        </w:rPr>
      </w:pPr>
      <w:r w:rsidRPr="00432C28">
        <w:rPr>
          <w:rFonts w:cs="Times New Roman"/>
          <w:i/>
          <w:szCs w:val="24"/>
        </w:rPr>
        <w:t>Conservation Potential Assessment (energy efficiency)</w:t>
      </w:r>
    </w:p>
    <w:p w:rsidR="004242C9" w:rsidRPr="00432C28" w:rsidRDefault="004242C9" w:rsidP="004242C9">
      <w:pPr>
        <w:rPr>
          <w:rFonts w:cs="Times New Roman"/>
          <w:szCs w:val="24"/>
        </w:rPr>
      </w:pPr>
    </w:p>
    <w:p w:rsidR="004242C9" w:rsidRPr="00432C28" w:rsidRDefault="004242C9" w:rsidP="004242C9">
      <w:pPr>
        <w:rPr>
          <w:rFonts w:cs="Times New Roman"/>
          <w:szCs w:val="24"/>
        </w:rPr>
      </w:pPr>
      <w:r w:rsidRPr="00432C28">
        <w:rPr>
          <w:rFonts w:cs="Times New Roman"/>
          <w:szCs w:val="24"/>
        </w:rPr>
        <w:t xml:space="preserve">The Company’s Conservation Potential Assessment, consisting of </w:t>
      </w:r>
      <w:r>
        <w:rPr>
          <w:rFonts w:cs="Times New Roman"/>
          <w:szCs w:val="24"/>
        </w:rPr>
        <w:t>five</w:t>
      </w:r>
      <w:r w:rsidRPr="00432C28">
        <w:rPr>
          <w:rFonts w:cs="Times New Roman"/>
          <w:szCs w:val="24"/>
        </w:rPr>
        <w:t xml:space="preserve"> volumes, documents the assumptions used to derive conservation potential estimates and associated costs. Appendices </w:t>
      </w:r>
      <w:r w:rsidR="008C0A48">
        <w:rPr>
          <w:rFonts w:cs="Times New Roman"/>
          <w:szCs w:val="24"/>
        </w:rPr>
        <w:t>A</w:t>
      </w:r>
      <w:r w:rsidRPr="00432C28">
        <w:rPr>
          <w:rFonts w:cs="Times New Roman"/>
          <w:szCs w:val="24"/>
        </w:rPr>
        <w:t xml:space="preserve"> through </w:t>
      </w:r>
      <w:r w:rsidR="008C0A48">
        <w:rPr>
          <w:rFonts w:cs="Times New Roman"/>
          <w:szCs w:val="24"/>
        </w:rPr>
        <w:t>H</w:t>
      </w:r>
      <w:r w:rsidRPr="00432C28">
        <w:rPr>
          <w:rFonts w:cs="Times New Roman"/>
          <w:szCs w:val="24"/>
        </w:rPr>
        <w:t xml:space="preserve"> in Volume </w:t>
      </w:r>
      <w:r w:rsidR="008C0A48">
        <w:rPr>
          <w:rFonts w:cs="Times New Roman"/>
          <w:szCs w:val="24"/>
        </w:rPr>
        <w:t>4</w:t>
      </w:r>
      <w:r w:rsidRPr="00432C28">
        <w:rPr>
          <w:rFonts w:cs="Times New Roman"/>
          <w:szCs w:val="24"/>
        </w:rPr>
        <w:t xml:space="preserve"> provide detailed supplementary information for conservation resources including assumed measure costs and savings, end-use saturations, electric fuel shares, current market shares, and calculated 203</w:t>
      </w:r>
      <w:r w:rsidR="008C0A48">
        <w:rPr>
          <w:rFonts w:cs="Times New Roman"/>
          <w:szCs w:val="24"/>
        </w:rPr>
        <w:t>4</w:t>
      </w:r>
      <w:r w:rsidRPr="00432C28">
        <w:rPr>
          <w:rFonts w:cs="Times New Roman"/>
          <w:szCs w:val="24"/>
        </w:rPr>
        <w:t xml:space="preserve"> measure potential by state, sector, and market segment. Appendix </w:t>
      </w:r>
      <w:r w:rsidR="008C0A48">
        <w:rPr>
          <w:rFonts w:cs="Times New Roman"/>
          <w:szCs w:val="24"/>
        </w:rPr>
        <w:t>G</w:t>
      </w:r>
      <w:r w:rsidRPr="00432C28">
        <w:rPr>
          <w:rFonts w:cs="Times New Roman"/>
          <w:szCs w:val="24"/>
        </w:rPr>
        <w:t xml:space="preserve"> in Volume </w:t>
      </w:r>
      <w:r w:rsidR="008C0A48">
        <w:rPr>
          <w:rFonts w:cs="Times New Roman"/>
          <w:szCs w:val="24"/>
        </w:rPr>
        <w:t>4</w:t>
      </w:r>
      <w:r w:rsidRPr="00432C28">
        <w:rPr>
          <w:rFonts w:cs="Times New Roman"/>
          <w:szCs w:val="24"/>
        </w:rPr>
        <w:t xml:space="preserve"> provides a comparison between RTF</w:t>
      </w:r>
      <w:r>
        <w:rPr>
          <w:rFonts w:cs="Times New Roman"/>
          <w:szCs w:val="24"/>
        </w:rPr>
        <w:t xml:space="preserve"> or </w:t>
      </w:r>
      <w:r w:rsidR="0078018B">
        <w:rPr>
          <w:rFonts w:cs="Times New Roman"/>
          <w:szCs w:val="24"/>
        </w:rPr>
        <w:t xml:space="preserve">Northwest Power Planning  and Conservation </w:t>
      </w:r>
      <w:r>
        <w:rPr>
          <w:rFonts w:cs="Times New Roman"/>
          <w:szCs w:val="24"/>
        </w:rPr>
        <w:t xml:space="preserve">Council’s </w:t>
      </w:r>
      <w:r w:rsidR="0078018B">
        <w:rPr>
          <w:rFonts w:cs="Times New Roman"/>
          <w:szCs w:val="24"/>
        </w:rPr>
        <w:t xml:space="preserve">(“Council”) </w:t>
      </w:r>
      <w:r>
        <w:rPr>
          <w:rFonts w:cs="Times New Roman"/>
          <w:szCs w:val="24"/>
        </w:rPr>
        <w:t>6</w:t>
      </w:r>
      <w:r w:rsidRPr="0096279B">
        <w:rPr>
          <w:rFonts w:cs="Times New Roman"/>
          <w:szCs w:val="24"/>
          <w:vertAlign w:val="superscript"/>
        </w:rPr>
        <w:t>th</w:t>
      </w:r>
      <w:r>
        <w:rPr>
          <w:rFonts w:cs="Times New Roman"/>
          <w:szCs w:val="24"/>
        </w:rPr>
        <w:t xml:space="preserve"> Plan</w:t>
      </w:r>
      <w:r w:rsidR="009267BF">
        <w:rPr>
          <w:rStyle w:val="FootnoteReference"/>
          <w:rFonts w:cs="Times New Roman"/>
          <w:szCs w:val="24"/>
        </w:rPr>
        <w:footnoteReference w:id="12"/>
      </w:r>
      <w:r w:rsidRPr="00432C28">
        <w:rPr>
          <w:rFonts w:cs="Times New Roman"/>
          <w:szCs w:val="24"/>
        </w:rPr>
        <w:t xml:space="preserve"> unit energy savings values</w:t>
      </w:r>
      <w:r w:rsidRPr="00432C28">
        <w:rPr>
          <w:rStyle w:val="FootnoteReference"/>
          <w:rFonts w:cs="Times New Roman"/>
          <w:szCs w:val="24"/>
        </w:rPr>
        <w:footnoteReference w:id="13"/>
      </w:r>
      <w:r w:rsidRPr="00432C28">
        <w:rPr>
          <w:rFonts w:cs="Times New Roman"/>
          <w:szCs w:val="24"/>
        </w:rPr>
        <w:t xml:space="preserve"> and those used in the Company’s Conservation Potential Assessment.  </w:t>
      </w:r>
    </w:p>
    <w:p w:rsidR="004242C9" w:rsidRPr="00432C28" w:rsidRDefault="004242C9" w:rsidP="004242C9">
      <w:pPr>
        <w:autoSpaceDE w:val="0"/>
        <w:autoSpaceDN w:val="0"/>
        <w:adjustRightInd w:val="0"/>
        <w:rPr>
          <w:rFonts w:cs="Times New Roman"/>
          <w:szCs w:val="24"/>
        </w:rPr>
      </w:pPr>
    </w:p>
    <w:p w:rsidR="004242C9" w:rsidRDefault="004242C9" w:rsidP="001A7AEC">
      <w:pPr>
        <w:autoSpaceDE w:val="0"/>
        <w:autoSpaceDN w:val="0"/>
        <w:adjustRightInd w:val="0"/>
        <w:rPr>
          <w:rFonts w:cs="Times New Roman"/>
          <w:szCs w:val="24"/>
        </w:rPr>
      </w:pPr>
      <w:r w:rsidRPr="00432C28">
        <w:rPr>
          <w:rFonts w:cs="Times New Roman"/>
          <w:szCs w:val="24"/>
        </w:rPr>
        <w:t>The Conservation Potential Assessment incorporated potential from emerging technology measures that are not yet widely available but are expected to become so over the planning horizon</w:t>
      </w:r>
      <w:r w:rsidR="008C0A48">
        <w:rPr>
          <w:rFonts w:cs="Times New Roman"/>
          <w:szCs w:val="24"/>
        </w:rPr>
        <w:t xml:space="preserve"> (See Appendix D</w:t>
      </w:r>
      <w:r w:rsidR="006C2546">
        <w:rPr>
          <w:rFonts w:cs="Times New Roman"/>
          <w:szCs w:val="24"/>
        </w:rPr>
        <w:t xml:space="preserve"> to that study</w:t>
      </w:r>
      <w:r w:rsidR="008C0A48">
        <w:rPr>
          <w:rFonts w:cs="Times New Roman"/>
          <w:szCs w:val="24"/>
        </w:rPr>
        <w:t>)</w:t>
      </w:r>
      <w:r w:rsidRPr="00432C28">
        <w:rPr>
          <w:rFonts w:cs="Times New Roman"/>
          <w:szCs w:val="24"/>
        </w:rPr>
        <w:t xml:space="preserve">. Emerging technology measures are in varying stages of “market readiness,” and the potential study includes measures only after they are expected to become market-ready. This is consistent with the </w:t>
      </w:r>
      <w:r w:rsidR="00C758C8">
        <w:rPr>
          <w:rFonts w:cs="Times New Roman"/>
          <w:szCs w:val="24"/>
        </w:rPr>
        <w:t xml:space="preserve">Council’s </w:t>
      </w:r>
      <w:r w:rsidRPr="00432C28">
        <w:rPr>
          <w:rFonts w:cs="Times New Roman"/>
          <w:szCs w:val="24"/>
        </w:rPr>
        <w:t>regional power plan.</w:t>
      </w:r>
    </w:p>
    <w:p w:rsidR="001D60A9" w:rsidRDefault="004E5167">
      <w:pPr>
        <w:autoSpaceDE w:val="0"/>
        <w:autoSpaceDN w:val="0"/>
        <w:adjustRightInd w:val="0"/>
        <w:rPr>
          <w:rFonts w:cs="Times New Roman"/>
          <w:szCs w:val="24"/>
        </w:rPr>
      </w:pPr>
      <w:r>
        <w:rPr>
          <w:rFonts w:cs="Times New Roman"/>
          <w:i/>
          <w:szCs w:val="24"/>
        </w:rPr>
        <w:t>CLEAResult Evaluation (waste heat to power and regenerative technologies)</w:t>
      </w:r>
    </w:p>
    <w:p w:rsidR="004E5167" w:rsidRPr="00432C28" w:rsidRDefault="004E5167">
      <w:pPr>
        <w:autoSpaceDE w:val="0"/>
        <w:autoSpaceDN w:val="0"/>
        <w:adjustRightInd w:val="0"/>
        <w:rPr>
          <w:rFonts w:cs="Times New Roman"/>
          <w:szCs w:val="24"/>
        </w:rPr>
      </w:pPr>
    </w:p>
    <w:p w:rsidR="004E5167" w:rsidRDefault="004E5167" w:rsidP="004E5167">
      <w:pPr>
        <w:rPr>
          <w:rFonts w:cs="Times New Roman"/>
          <w:szCs w:val="24"/>
        </w:rPr>
      </w:pPr>
      <w:r>
        <w:rPr>
          <w:rFonts w:cs="Times New Roman"/>
          <w:szCs w:val="24"/>
        </w:rPr>
        <w:t>The 2013 IRP Action Plan included a Company commitment to perform “</w:t>
      </w:r>
      <w:r w:rsidRPr="00D40854">
        <w:rPr>
          <w:rFonts w:cs="Times New Roman"/>
          <w:szCs w:val="24"/>
        </w:rPr>
        <w:t>an evaluation of waste heat to power where generation is used to offset</w:t>
      </w:r>
      <w:r>
        <w:rPr>
          <w:rFonts w:cs="Times New Roman"/>
          <w:szCs w:val="24"/>
        </w:rPr>
        <w:t xml:space="preserve"> </w:t>
      </w:r>
      <w:r w:rsidRPr="00D40854">
        <w:rPr>
          <w:rFonts w:cs="Times New Roman"/>
          <w:szCs w:val="24"/>
        </w:rPr>
        <w:t>customer requirements</w:t>
      </w:r>
      <w:r>
        <w:rPr>
          <w:rFonts w:cs="Times New Roman"/>
          <w:szCs w:val="24"/>
        </w:rPr>
        <w:t xml:space="preserve">”. The evaluation, performed by CLEAResult, was completed in mid-2014 and is included </w:t>
      </w:r>
      <w:r w:rsidRPr="00D2248F">
        <w:rPr>
          <w:rFonts w:cs="Times New Roman"/>
          <w:szCs w:val="24"/>
        </w:rPr>
        <w:t xml:space="preserve">as </w:t>
      </w:r>
      <w:r w:rsidRPr="00C758C8">
        <w:rPr>
          <w:rFonts w:cs="Times New Roman"/>
          <w:szCs w:val="24"/>
        </w:rPr>
        <w:t>Appendix 6</w:t>
      </w:r>
      <w:r>
        <w:rPr>
          <w:rFonts w:cs="Times New Roman"/>
          <w:szCs w:val="24"/>
        </w:rPr>
        <w:t xml:space="preserve"> to this document. The evaluation estimated the cost and available potential of the following technologies in each of the Company’s six states:</w:t>
      </w:r>
    </w:p>
    <w:p w:rsidR="004E5167" w:rsidRDefault="004E5167" w:rsidP="004E5167">
      <w:pPr>
        <w:pStyle w:val="ListParagraph"/>
        <w:numPr>
          <w:ilvl w:val="0"/>
          <w:numId w:val="74"/>
        </w:numPr>
        <w:rPr>
          <w:rFonts w:cs="Times New Roman"/>
          <w:szCs w:val="24"/>
        </w:rPr>
      </w:pPr>
      <w:r>
        <w:rPr>
          <w:rFonts w:cs="Times New Roman"/>
          <w:szCs w:val="24"/>
        </w:rPr>
        <w:t>Waste Heat to Power</w:t>
      </w:r>
    </w:p>
    <w:p w:rsidR="004E5167" w:rsidRDefault="004E5167" w:rsidP="004E5167">
      <w:pPr>
        <w:pStyle w:val="ListParagraph"/>
        <w:numPr>
          <w:ilvl w:val="1"/>
          <w:numId w:val="74"/>
        </w:numPr>
        <w:rPr>
          <w:rFonts w:cs="Times New Roman"/>
          <w:szCs w:val="24"/>
        </w:rPr>
      </w:pPr>
      <w:r>
        <w:rPr>
          <w:rFonts w:cs="Times New Roman"/>
          <w:szCs w:val="24"/>
        </w:rPr>
        <w:t>High Temperature Waste Heat Recovery</w:t>
      </w:r>
    </w:p>
    <w:p w:rsidR="004E5167" w:rsidRDefault="004E5167" w:rsidP="004E5167">
      <w:pPr>
        <w:pStyle w:val="ListParagraph"/>
        <w:numPr>
          <w:ilvl w:val="1"/>
          <w:numId w:val="74"/>
        </w:numPr>
        <w:rPr>
          <w:rFonts w:cs="Times New Roman"/>
          <w:szCs w:val="24"/>
        </w:rPr>
      </w:pPr>
      <w:r>
        <w:rPr>
          <w:rFonts w:cs="Times New Roman"/>
          <w:szCs w:val="24"/>
        </w:rPr>
        <w:t>Organic Rankine Cycle (“ORC”)</w:t>
      </w:r>
    </w:p>
    <w:p w:rsidR="004E5167" w:rsidRDefault="004E5167" w:rsidP="004E5167">
      <w:pPr>
        <w:pStyle w:val="ListParagraph"/>
        <w:numPr>
          <w:ilvl w:val="1"/>
          <w:numId w:val="74"/>
        </w:numPr>
        <w:rPr>
          <w:rFonts w:cs="Times New Roman"/>
          <w:szCs w:val="24"/>
        </w:rPr>
      </w:pPr>
      <w:r>
        <w:rPr>
          <w:rFonts w:cs="Times New Roman"/>
          <w:szCs w:val="24"/>
        </w:rPr>
        <w:t>Steam Power Generation Optimization</w:t>
      </w:r>
    </w:p>
    <w:p w:rsidR="004E5167" w:rsidRDefault="004E5167" w:rsidP="004E5167">
      <w:pPr>
        <w:pStyle w:val="ListParagraph"/>
        <w:numPr>
          <w:ilvl w:val="0"/>
          <w:numId w:val="74"/>
        </w:numPr>
        <w:rPr>
          <w:rFonts w:cs="Times New Roman"/>
          <w:szCs w:val="24"/>
        </w:rPr>
      </w:pPr>
      <w:r>
        <w:rPr>
          <w:rFonts w:cs="Times New Roman"/>
          <w:szCs w:val="24"/>
        </w:rPr>
        <w:t>Regenerative Braking</w:t>
      </w:r>
    </w:p>
    <w:p w:rsidR="004E5167" w:rsidRDefault="004E5167" w:rsidP="004E5167">
      <w:pPr>
        <w:pStyle w:val="ListParagraph"/>
        <w:numPr>
          <w:ilvl w:val="1"/>
          <w:numId w:val="74"/>
        </w:numPr>
        <w:rPr>
          <w:rFonts w:cs="Times New Roman"/>
          <w:szCs w:val="24"/>
        </w:rPr>
      </w:pPr>
      <w:r>
        <w:rPr>
          <w:rFonts w:cs="Times New Roman"/>
          <w:szCs w:val="24"/>
        </w:rPr>
        <w:t>Elevators</w:t>
      </w:r>
    </w:p>
    <w:p w:rsidR="004E5167" w:rsidRDefault="004E5167" w:rsidP="004E5167">
      <w:pPr>
        <w:pStyle w:val="ListParagraph"/>
        <w:numPr>
          <w:ilvl w:val="1"/>
          <w:numId w:val="74"/>
        </w:numPr>
        <w:rPr>
          <w:rFonts w:cs="Times New Roman"/>
          <w:szCs w:val="24"/>
        </w:rPr>
      </w:pPr>
      <w:r>
        <w:rPr>
          <w:rFonts w:cs="Times New Roman"/>
          <w:szCs w:val="24"/>
        </w:rPr>
        <w:t>Internal Conveyors</w:t>
      </w:r>
    </w:p>
    <w:p w:rsidR="004E5167" w:rsidRPr="0037414F" w:rsidRDefault="004E5167" w:rsidP="004E5167">
      <w:pPr>
        <w:pStyle w:val="ListParagraph"/>
        <w:numPr>
          <w:ilvl w:val="0"/>
          <w:numId w:val="74"/>
        </w:numPr>
        <w:rPr>
          <w:rFonts w:cs="Times New Roman"/>
          <w:szCs w:val="24"/>
        </w:rPr>
      </w:pPr>
      <w:r>
        <w:rPr>
          <w:rFonts w:cs="Times New Roman"/>
          <w:szCs w:val="24"/>
        </w:rPr>
        <w:t>Micro Hydro</w:t>
      </w:r>
    </w:p>
    <w:p w:rsidR="004E5167" w:rsidRDefault="004E5167" w:rsidP="009C4D31">
      <w:pPr>
        <w:rPr>
          <w:rFonts w:cs="Times New Roman"/>
          <w:i/>
          <w:szCs w:val="24"/>
        </w:rPr>
      </w:pPr>
    </w:p>
    <w:p w:rsidR="004E5167" w:rsidRPr="001769F0" w:rsidRDefault="004E5167" w:rsidP="009C4D31">
      <w:pPr>
        <w:rPr>
          <w:rFonts w:cs="Times New Roman"/>
          <w:szCs w:val="24"/>
        </w:rPr>
      </w:pPr>
      <w:r>
        <w:rPr>
          <w:rFonts w:cs="Times New Roman"/>
          <w:szCs w:val="24"/>
        </w:rPr>
        <w:t>Information on the Company’s Washington service area from the evaluation was used in the development of the Company’s 2016-2025 conservation forecast as described in more detail later in this report.</w:t>
      </w:r>
    </w:p>
    <w:p w:rsidR="004E5167" w:rsidRDefault="004E5167" w:rsidP="009C4D31">
      <w:pPr>
        <w:rPr>
          <w:rFonts w:cs="Times New Roman"/>
          <w:i/>
          <w:szCs w:val="24"/>
        </w:rPr>
      </w:pPr>
    </w:p>
    <w:p w:rsidR="000E3332" w:rsidRDefault="000E3332" w:rsidP="009C4D31">
      <w:pPr>
        <w:rPr>
          <w:rFonts w:cs="Times New Roman"/>
          <w:i/>
          <w:szCs w:val="24"/>
        </w:rPr>
      </w:pPr>
      <w:r w:rsidRPr="004E5167">
        <w:rPr>
          <w:rFonts w:cs="Times New Roman"/>
          <w:i/>
          <w:szCs w:val="24"/>
        </w:rPr>
        <w:t xml:space="preserve">Commonwealth </w:t>
      </w:r>
      <w:r>
        <w:rPr>
          <w:rFonts w:cs="Times New Roman"/>
          <w:i/>
          <w:szCs w:val="24"/>
        </w:rPr>
        <w:t>S</w:t>
      </w:r>
      <w:r w:rsidRPr="004E5167">
        <w:rPr>
          <w:rFonts w:cs="Times New Roman"/>
          <w:i/>
          <w:szCs w:val="24"/>
        </w:rPr>
        <w:t>tudy</w:t>
      </w:r>
      <w:r>
        <w:rPr>
          <w:rFonts w:cs="Times New Roman"/>
          <w:i/>
          <w:szCs w:val="24"/>
        </w:rPr>
        <w:t xml:space="preserve"> (distribution efficiency)</w:t>
      </w:r>
    </w:p>
    <w:p w:rsidR="000E3332" w:rsidRDefault="000E3332" w:rsidP="009C4D31">
      <w:pPr>
        <w:rPr>
          <w:rFonts w:cs="Times New Roman"/>
          <w:i/>
          <w:szCs w:val="24"/>
        </w:rPr>
      </w:pPr>
    </w:p>
    <w:p w:rsidR="000E3332" w:rsidRDefault="00984C9F" w:rsidP="009C4D31">
      <w:r>
        <w:t>The purpose of the Distribution System Efficiency Study was to identify the potential energy and monetary savings associated with implementing a distribution system loss reduction and conservation voltage regulation application. Commonwealth Associates, Inc., with Utility Planning Solutions, PLLC, under contract to PacifiCorp, completed a Distribution System Efficiency Study on 19 distribution feeders located in PacifiCorp’s Walla Walla, Yakima and Sunnyside, Washington service areas. The study addresses the actions and system improvement (“SI”) necessary to comply with Voltage Optimization (“VO”) protocol thresholds and estimates the potential for SI and VO efficiency energy savings. Energy savings for PacifiCorp’s distribution system projects completed during the 2012-2013 biennium were not able to be measured (or confirmed) using the RTF’s Simplified VO Measurement and Verification (“M&amp;V”) Protocol approved on May 4, 2010. This was due to threshold violations and the existing (lower end) voltage settings currently in place. Nevertheless, the protocol was used to estimate savings, which were found to be small or negative, and less than ten percent of forecast. The protocol has proved ineffective at M&amp;V of VO reductions to PacifiCorp’s distribution system.</w:t>
      </w:r>
    </w:p>
    <w:p w:rsidR="00984C9F" w:rsidRDefault="00984C9F" w:rsidP="009C4D31">
      <w:pPr>
        <w:rPr>
          <w:rFonts w:cs="Times New Roman"/>
          <w:i/>
          <w:szCs w:val="24"/>
        </w:rPr>
      </w:pPr>
    </w:p>
    <w:p w:rsidR="000E3332" w:rsidRPr="00E01FCA" w:rsidRDefault="000E3332" w:rsidP="009C4D31">
      <w:pPr>
        <w:rPr>
          <w:rFonts w:cs="Times New Roman"/>
          <w:i/>
          <w:szCs w:val="24"/>
        </w:rPr>
      </w:pPr>
      <w:r w:rsidRPr="00E01FCA">
        <w:rPr>
          <w:rFonts w:cs="Times New Roman"/>
          <w:i/>
          <w:szCs w:val="24"/>
        </w:rPr>
        <w:t>Cascade Stud</w:t>
      </w:r>
      <w:r w:rsidR="003E4223">
        <w:rPr>
          <w:rFonts w:cs="Times New Roman"/>
          <w:i/>
          <w:szCs w:val="24"/>
        </w:rPr>
        <w:t>ies</w:t>
      </w:r>
      <w:r>
        <w:rPr>
          <w:rFonts w:cs="Times New Roman"/>
          <w:i/>
          <w:szCs w:val="24"/>
        </w:rPr>
        <w:t xml:space="preserve"> (production efficiency)</w:t>
      </w:r>
    </w:p>
    <w:p w:rsidR="000E3332" w:rsidRDefault="000E3332" w:rsidP="009C4D31">
      <w:pPr>
        <w:rPr>
          <w:rFonts w:cs="Times New Roman"/>
          <w:szCs w:val="24"/>
        </w:rPr>
      </w:pPr>
    </w:p>
    <w:p w:rsidR="00626709" w:rsidRDefault="00626709" w:rsidP="009C4D31">
      <w:pPr>
        <w:rPr>
          <w:rFonts w:cs="Times New Roman"/>
          <w:szCs w:val="24"/>
        </w:rPr>
      </w:pPr>
      <w:r w:rsidRPr="00854177">
        <w:rPr>
          <w:rFonts w:cs="Times New Roman"/>
          <w:szCs w:val="24"/>
        </w:rPr>
        <w:t xml:space="preserve">The purpose of the </w:t>
      </w:r>
      <w:r w:rsidR="007335CD">
        <w:rPr>
          <w:rFonts w:cs="Times New Roman"/>
          <w:szCs w:val="24"/>
        </w:rPr>
        <w:t>Cascade Energy p</w:t>
      </w:r>
      <w:r w:rsidRPr="00854177">
        <w:rPr>
          <w:rFonts w:cs="Times New Roman"/>
          <w:szCs w:val="24"/>
        </w:rPr>
        <w:t xml:space="preserve">roduction </w:t>
      </w:r>
      <w:r w:rsidR="007335CD">
        <w:rPr>
          <w:rFonts w:cs="Times New Roman"/>
          <w:szCs w:val="24"/>
        </w:rPr>
        <w:t>e</w:t>
      </w:r>
      <w:r w:rsidRPr="00854177">
        <w:rPr>
          <w:rFonts w:cs="Times New Roman"/>
          <w:szCs w:val="24"/>
        </w:rPr>
        <w:t xml:space="preserve">fficiency </w:t>
      </w:r>
      <w:r w:rsidR="007335CD">
        <w:rPr>
          <w:rFonts w:cs="Times New Roman"/>
          <w:szCs w:val="24"/>
        </w:rPr>
        <w:t>s</w:t>
      </w:r>
      <w:r w:rsidRPr="00854177">
        <w:rPr>
          <w:rFonts w:cs="Times New Roman"/>
          <w:szCs w:val="24"/>
        </w:rPr>
        <w:t>tud</w:t>
      </w:r>
      <w:r w:rsidR="003E4223">
        <w:rPr>
          <w:rFonts w:cs="Times New Roman"/>
          <w:szCs w:val="24"/>
        </w:rPr>
        <w:t xml:space="preserve">ies </w:t>
      </w:r>
      <w:r w:rsidR="00E01FCA">
        <w:rPr>
          <w:rFonts w:cs="Times New Roman"/>
          <w:szCs w:val="24"/>
        </w:rPr>
        <w:t xml:space="preserve">is </w:t>
      </w:r>
      <w:r w:rsidRPr="00854177">
        <w:rPr>
          <w:rFonts w:cs="Times New Roman"/>
          <w:szCs w:val="24"/>
        </w:rPr>
        <w:t>to identify energy efficiency opportunities at the non-hydro generation facilities that provide electricity to customers in the State of Washington. Included in the stud</w:t>
      </w:r>
      <w:r w:rsidR="003E4223">
        <w:rPr>
          <w:rFonts w:cs="Times New Roman"/>
          <w:szCs w:val="24"/>
        </w:rPr>
        <w:t>ies</w:t>
      </w:r>
      <w:r w:rsidRPr="00854177">
        <w:rPr>
          <w:rFonts w:cs="Times New Roman"/>
          <w:szCs w:val="24"/>
        </w:rPr>
        <w:t xml:space="preserve"> are the audit results of the coal-fired, natural gas and wind generating facilities that </w:t>
      </w:r>
      <w:r w:rsidR="003E4223">
        <w:rPr>
          <w:rFonts w:cs="Times New Roman"/>
          <w:szCs w:val="24"/>
        </w:rPr>
        <w:t>PacifiCorp has full or part ownership</w:t>
      </w:r>
      <w:r w:rsidR="003E4223">
        <w:rPr>
          <w:rStyle w:val="FootnoteReference"/>
          <w:rFonts w:cs="Times New Roman"/>
          <w:szCs w:val="24"/>
        </w:rPr>
        <w:footnoteReference w:id="14"/>
      </w:r>
      <w:r w:rsidRPr="00854177">
        <w:rPr>
          <w:rFonts w:cs="Times New Roman"/>
          <w:szCs w:val="24"/>
        </w:rPr>
        <w:t>. The Cascade stud</w:t>
      </w:r>
      <w:r w:rsidR="00E01FCA">
        <w:rPr>
          <w:rFonts w:cs="Times New Roman"/>
          <w:szCs w:val="24"/>
        </w:rPr>
        <w:t>ies</w:t>
      </w:r>
      <w:r w:rsidRPr="00854177">
        <w:rPr>
          <w:rFonts w:cs="Times New Roman"/>
          <w:szCs w:val="24"/>
        </w:rPr>
        <w:t xml:space="preserve"> also included a preliminary analysis of the cost-effectiveness of the efficiency projects identified.</w:t>
      </w:r>
      <w:r>
        <w:rPr>
          <w:rFonts w:cs="Times New Roman"/>
          <w:szCs w:val="24"/>
        </w:rPr>
        <w:t xml:space="preserve">  Additional analysis of the costs of projects identified was conducted by other outside companies to provide more confidence </w:t>
      </w:r>
      <w:r w:rsidR="00854177">
        <w:rPr>
          <w:rFonts w:cs="Times New Roman"/>
          <w:szCs w:val="24"/>
        </w:rPr>
        <w:t>on</w:t>
      </w:r>
      <w:r>
        <w:rPr>
          <w:rFonts w:cs="Times New Roman"/>
          <w:szCs w:val="24"/>
        </w:rPr>
        <w:t xml:space="preserve"> the cost-effectiveness of projects.</w:t>
      </w:r>
    </w:p>
    <w:p w:rsidR="00626709" w:rsidRDefault="00626709" w:rsidP="00626709">
      <w:pPr>
        <w:autoSpaceDE w:val="0"/>
        <w:autoSpaceDN w:val="0"/>
        <w:rPr>
          <w:rFonts w:cs="Times New Roman"/>
          <w:szCs w:val="24"/>
        </w:rPr>
      </w:pPr>
    </w:p>
    <w:p w:rsidR="00626709" w:rsidRDefault="00626709" w:rsidP="00626709">
      <w:pPr>
        <w:autoSpaceDE w:val="0"/>
        <w:autoSpaceDN w:val="0"/>
        <w:rPr>
          <w:rFonts w:cs="Times New Roman"/>
          <w:szCs w:val="24"/>
        </w:rPr>
      </w:pPr>
      <w:r>
        <w:rPr>
          <w:rFonts w:cs="Times New Roman"/>
          <w:szCs w:val="24"/>
        </w:rPr>
        <w:t>The cost-effective</w:t>
      </w:r>
      <w:r w:rsidR="00854177">
        <w:rPr>
          <w:rFonts w:cs="Times New Roman"/>
          <w:szCs w:val="24"/>
        </w:rPr>
        <w:t>ness</w:t>
      </w:r>
      <w:r>
        <w:rPr>
          <w:rFonts w:cs="Times New Roman"/>
          <w:szCs w:val="24"/>
        </w:rPr>
        <w:t xml:space="preserve"> methodology was </w:t>
      </w:r>
      <w:r w:rsidR="00854177">
        <w:rPr>
          <w:rFonts w:cs="Times New Roman"/>
          <w:szCs w:val="24"/>
        </w:rPr>
        <w:t>further examined to</w:t>
      </w:r>
      <w:r>
        <w:rPr>
          <w:rFonts w:cs="Times New Roman"/>
          <w:szCs w:val="24"/>
        </w:rPr>
        <w:t xml:space="preserve"> determine its applicability to generation resources. </w:t>
      </w:r>
      <w:r w:rsidR="00854177">
        <w:rPr>
          <w:rFonts w:cs="Times New Roman"/>
          <w:szCs w:val="24"/>
        </w:rPr>
        <w:t>Through this process, the Company</w:t>
      </w:r>
      <w:r>
        <w:rPr>
          <w:rFonts w:cs="Times New Roman"/>
          <w:szCs w:val="24"/>
        </w:rPr>
        <w:t xml:space="preserve"> determined that </w:t>
      </w:r>
      <w:r w:rsidR="00854177">
        <w:rPr>
          <w:rFonts w:cs="Times New Roman"/>
          <w:szCs w:val="24"/>
        </w:rPr>
        <w:t>modifications</w:t>
      </w:r>
      <w:r>
        <w:rPr>
          <w:rFonts w:cs="Times New Roman"/>
          <w:szCs w:val="24"/>
        </w:rPr>
        <w:t xml:space="preserve"> </w:t>
      </w:r>
      <w:r w:rsidR="00854177">
        <w:rPr>
          <w:rFonts w:cs="Times New Roman"/>
          <w:szCs w:val="24"/>
        </w:rPr>
        <w:t xml:space="preserve">were </w:t>
      </w:r>
      <w:r>
        <w:rPr>
          <w:rFonts w:cs="Times New Roman"/>
          <w:szCs w:val="24"/>
        </w:rPr>
        <w:t>needed to</w:t>
      </w:r>
      <w:r w:rsidR="00854177">
        <w:rPr>
          <w:rFonts w:cs="Times New Roman"/>
          <w:szCs w:val="24"/>
        </w:rPr>
        <w:t xml:space="preserve"> align cost-effectiveness screening with how costs are recovered</w:t>
      </w:r>
      <w:r w:rsidR="00D2248F">
        <w:rPr>
          <w:rStyle w:val="FootnoteReference"/>
          <w:rFonts w:cs="Times New Roman"/>
          <w:szCs w:val="24"/>
        </w:rPr>
        <w:footnoteReference w:id="15"/>
      </w:r>
      <w:r w:rsidR="00854177">
        <w:rPr>
          <w:rFonts w:cs="Times New Roman"/>
          <w:szCs w:val="24"/>
        </w:rPr>
        <w:t>.</w:t>
      </w:r>
      <w:r>
        <w:rPr>
          <w:rFonts w:cs="Times New Roman"/>
          <w:szCs w:val="24"/>
        </w:rPr>
        <w:t xml:space="preserve"> In particular, the credit in the calculation given to offset transmission and distribution costs was </w:t>
      </w:r>
      <w:r w:rsidR="00D2248F">
        <w:rPr>
          <w:rFonts w:cs="Times New Roman"/>
          <w:szCs w:val="24"/>
        </w:rPr>
        <w:t>not a relevant</w:t>
      </w:r>
      <w:r>
        <w:rPr>
          <w:rFonts w:cs="Times New Roman"/>
          <w:szCs w:val="24"/>
        </w:rPr>
        <w:t xml:space="preserve"> credit to apply </w:t>
      </w:r>
      <w:r w:rsidR="00D2248F">
        <w:rPr>
          <w:rFonts w:cs="Times New Roman"/>
          <w:szCs w:val="24"/>
        </w:rPr>
        <w:t xml:space="preserve">to savings originating </w:t>
      </w:r>
      <w:r>
        <w:rPr>
          <w:rFonts w:cs="Times New Roman"/>
          <w:szCs w:val="24"/>
        </w:rPr>
        <w:t>at the generat</w:t>
      </w:r>
      <w:r w:rsidR="00D2248F">
        <w:rPr>
          <w:rFonts w:cs="Times New Roman"/>
          <w:szCs w:val="24"/>
        </w:rPr>
        <w:t>or</w:t>
      </w:r>
      <w:r>
        <w:rPr>
          <w:rFonts w:cs="Times New Roman"/>
          <w:szCs w:val="24"/>
        </w:rPr>
        <w:t xml:space="preserve">. Details on the methodology for cost-effectiveness screening of production efficiency potential are provided </w:t>
      </w:r>
      <w:r w:rsidRPr="00F82BAF">
        <w:rPr>
          <w:rFonts w:cs="Times New Roman"/>
          <w:szCs w:val="24"/>
        </w:rPr>
        <w:t xml:space="preserve">in </w:t>
      </w:r>
      <w:r w:rsidRPr="00C758C8">
        <w:rPr>
          <w:rFonts w:cs="Times New Roman"/>
          <w:szCs w:val="24"/>
        </w:rPr>
        <w:t xml:space="preserve">Appendix </w:t>
      </w:r>
      <w:r w:rsidR="00F82BAF" w:rsidRPr="00C758C8">
        <w:rPr>
          <w:rFonts w:cs="Times New Roman"/>
          <w:szCs w:val="24"/>
        </w:rPr>
        <w:t>2</w:t>
      </w:r>
      <w:r w:rsidR="00D614FE" w:rsidRPr="00D2248F">
        <w:rPr>
          <w:rFonts w:cs="Times New Roman"/>
          <w:szCs w:val="24"/>
        </w:rPr>
        <w:t xml:space="preserve"> of</w:t>
      </w:r>
      <w:r w:rsidR="00D614FE" w:rsidRPr="00F82BAF">
        <w:rPr>
          <w:rFonts w:cs="Times New Roman"/>
          <w:szCs w:val="24"/>
        </w:rPr>
        <w:t xml:space="preserve"> </w:t>
      </w:r>
      <w:r w:rsidR="00B0171B" w:rsidRPr="00432C28">
        <w:rPr>
          <w:rFonts w:cs="Times New Roman"/>
          <w:szCs w:val="24"/>
        </w:rPr>
        <w:t>“PacifiCorp’s Washin</w:t>
      </w:r>
      <w:r w:rsidR="00B0171B">
        <w:rPr>
          <w:rFonts w:cs="Times New Roman"/>
          <w:szCs w:val="24"/>
        </w:rPr>
        <w:t>gton Demand-side Management 201</w:t>
      </w:r>
      <w:r w:rsidR="002462A3">
        <w:rPr>
          <w:rFonts w:cs="Times New Roman"/>
          <w:szCs w:val="24"/>
        </w:rPr>
        <w:t>6</w:t>
      </w:r>
      <w:r w:rsidR="00B0171B">
        <w:rPr>
          <w:rFonts w:cs="Times New Roman"/>
          <w:szCs w:val="24"/>
        </w:rPr>
        <w:t>-201</w:t>
      </w:r>
      <w:r w:rsidR="002462A3">
        <w:rPr>
          <w:rFonts w:cs="Times New Roman"/>
          <w:szCs w:val="24"/>
        </w:rPr>
        <w:t>7</w:t>
      </w:r>
      <w:r w:rsidR="00B0171B" w:rsidRPr="00432C28">
        <w:rPr>
          <w:rFonts w:cs="Times New Roman"/>
          <w:szCs w:val="24"/>
        </w:rPr>
        <w:t xml:space="preserve"> Business Plan” </w:t>
      </w:r>
      <w:r w:rsidR="00B0171B">
        <w:rPr>
          <w:rFonts w:cs="Times New Roman"/>
          <w:szCs w:val="24"/>
        </w:rPr>
        <w:t>(</w:t>
      </w:r>
      <w:r w:rsidR="002462A3">
        <w:rPr>
          <w:rFonts w:cs="Times New Roman"/>
          <w:szCs w:val="24"/>
        </w:rPr>
        <w:t>“</w:t>
      </w:r>
      <w:r w:rsidR="00B0171B">
        <w:rPr>
          <w:rFonts w:cs="Times New Roman"/>
          <w:szCs w:val="24"/>
        </w:rPr>
        <w:t>DSM</w:t>
      </w:r>
      <w:r w:rsidR="00601A01">
        <w:rPr>
          <w:rFonts w:cs="Times New Roman"/>
          <w:szCs w:val="24"/>
        </w:rPr>
        <w:t xml:space="preserve"> 201</w:t>
      </w:r>
      <w:r w:rsidR="002462A3">
        <w:rPr>
          <w:rFonts w:cs="Times New Roman"/>
          <w:szCs w:val="24"/>
        </w:rPr>
        <w:t>6</w:t>
      </w:r>
      <w:r w:rsidR="00601A01">
        <w:rPr>
          <w:rFonts w:cs="Times New Roman"/>
          <w:szCs w:val="24"/>
        </w:rPr>
        <w:t>-201</w:t>
      </w:r>
      <w:r w:rsidR="002462A3">
        <w:rPr>
          <w:rFonts w:cs="Times New Roman"/>
          <w:szCs w:val="24"/>
        </w:rPr>
        <w:t>7</w:t>
      </w:r>
      <w:r w:rsidR="00601A01">
        <w:rPr>
          <w:rFonts w:cs="Times New Roman"/>
          <w:szCs w:val="24"/>
        </w:rPr>
        <w:t xml:space="preserve"> </w:t>
      </w:r>
      <w:r w:rsidR="00B0171B">
        <w:rPr>
          <w:rFonts w:cs="Times New Roman"/>
          <w:szCs w:val="24"/>
        </w:rPr>
        <w:t>Business Plan</w:t>
      </w:r>
      <w:r w:rsidR="002462A3">
        <w:rPr>
          <w:rFonts w:cs="Times New Roman"/>
          <w:szCs w:val="24"/>
        </w:rPr>
        <w:t>”</w:t>
      </w:r>
      <w:r w:rsidR="00B0171B">
        <w:rPr>
          <w:rFonts w:cs="Times New Roman"/>
          <w:szCs w:val="24"/>
        </w:rPr>
        <w:t>)</w:t>
      </w:r>
      <w:r w:rsidR="00E01FCA">
        <w:rPr>
          <w:rFonts w:cs="Times New Roman"/>
          <w:szCs w:val="24"/>
        </w:rPr>
        <w:t>,</w:t>
      </w:r>
      <w:r w:rsidR="00B0171B">
        <w:rPr>
          <w:rFonts w:cs="Times New Roman"/>
          <w:szCs w:val="24"/>
        </w:rPr>
        <w:t xml:space="preserve"> </w:t>
      </w:r>
      <w:r w:rsidR="007335CD">
        <w:rPr>
          <w:rFonts w:cs="Times New Roman"/>
          <w:szCs w:val="24"/>
        </w:rPr>
        <w:t xml:space="preserve"> </w:t>
      </w:r>
      <w:r w:rsidR="00D614FE" w:rsidRPr="00F82BAF">
        <w:rPr>
          <w:rFonts w:cs="Times New Roman"/>
          <w:szCs w:val="24"/>
        </w:rPr>
        <w:t xml:space="preserve">Appendix 7 to this </w:t>
      </w:r>
      <w:r w:rsidR="00E01FCA">
        <w:rPr>
          <w:rFonts w:cs="Times New Roman"/>
          <w:szCs w:val="24"/>
        </w:rPr>
        <w:t>report</w:t>
      </w:r>
      <w:r w:rsidRPr="00F82BAF">
        <w:rPr>
          <w:rFonts w:cs="Times New Roman"/>
          <w:szCs w:val="24"/>
        </w:rPr>
        <w:t>.</w:t>
      </w:r>
    </w:p>
    <w:p w:rsidR="00FD124B" w:rsidRDefault="00FD124B">
      <w:pPr>
        <w:rPr>
          <w:rFonts w:cs="Times New Roman"/>
          <w:szCs w:val="24"/>
        </w:rPr>
      </w:pPr>
    </w:p>
    <w:p w:rsidR="000E3332" w:rsidRPr="00E01FCA" w:rsidRDefault="000E3332">
      <w:pPr>
        <w:rPr>
          <w:rFonts w:cs="Times New Roman"/>
          <w:i/>
          <w:szCs w:val="24"/>
        </w:rPr>
      </w:pPr>
      <w:r w:rsidRPr="00E01FCA">
        <w:rPr>
          <w:rFonts w:cs="Times New Roman"/>
          <w:i/>
          <w:szCs w:val="24"/>
        </w:rPr>
        <w:t>Navigant Study (high efficiency cogeneration)</w:t>
      </w:r>
    </w:p>
    <w:p w:rsidR="007335CD" w:rsidRDefault="007335CD">
      <w:pPr>
        <w:rPr>
          <w:rFonts w:cs="Times New Roman"/>
          <w:szCs w:val="24"/>
        </w:rPr>
      </w:pPr>
    </w:p>
    <w:p w:rsidR="000E3332" w:rsidRDefault="0049751C">
      <w:pPr>
        <w:rPr>
          <w:rFonts w:cs="Times New Roman"/>
          <w:szCs w:val="24"/>
        </w:rPr>
      </w:pPr>
      <w:r w:rsidRPr="00E01FCA">
        <w:rPr>
          <w:rFonts w:cs="Times New Roman"/>
          <w:szCs w:val="24"/>
        </w:rPr>
        <w:t>The key objective of the Navigant study was to develop distributed generation</w:t>
      </w:r>
      <w:r w:rsidR="0099687D" w:rsidRPr="00E01FCA">
        <w:rPr>
          <w:rFonts w:cs="Times New Roman"/>
          <w:szCs w:val="24"/>
        </w:rPr>
        <w:t xml:space="preserve"> (“DG”)</w:t>
      </w:r>
      <w:r w:rsidRPr="00E01FCA">
        <w:rPr>
          <w:rFonts w:cs="Times New Roman"/>
          <w:szCs w:val="24"/>
        </w:rPr>
        <w:t xml:space="preserve"> resource penetration forecasts to support the 2015 IRP</w:t>
      </w:r>
      <w:r>
        <w:rPr>
          <w:rFonts w:cs="Times New Roman"/>
          <w:szCs w:val="24"/>
        </w:rPr>
        <w:t>. The p</w:t>
      </w:r>
      <w:r w:rsidR="003654BA">
        <w:rPr>
          <w:rFonts w:cs="Times New Roman"/>
          <w:szCs w:val="24"/>
        </w:rPr>
        <w:t>ur</w:t>
      </w:r>
      <w:r>
        <w:rPr>
          <w:rFonts w:cs="Times New Roman"/>
          <w:szCs w:val="24"/>
        </w:rPr>
        <w:t xml:space="preserve">pose of this study was to project the level of </w:t>
      </w:r>
      <w:r w:rsidR="00857589">
        <w:rPr>
          <w:rFonts w:cs="Times New Roman"/>
          <w:szCs w:val="24"/>
        </w:rPr>
        <w:t xml:space="preserve">DG </w:t>
      </w:r>
      <w:r w:rsidR="0099687D">
        <w:rPr>
          <w:rFonts w:cs="Times New Roman"/>
          <w:szCs w:val="24"/>
        </w:rPr>
        <w:t>the Company’s customers might install over the next twenty years. Two of the five resources evaluated were combined heat and power reciprocating engines and power micro-turbines. In assessing the technical and market potential of each distributed generation resource and opportunity</w:t>
      </w:r>
      <w:r w:rsidR="00E01FCA">
        <w:rPr>
          <w:rFonts w:cs="Times New Roman"/>
          <w:szCs w:val="24"/>
        </w:rPr>
        <w:t>,</w:t>
      </w:r>
      <w:r w:rsidR="0099687D">
        <w:rPr>
          <w:rFonts w:cs="Times New Roman"/>
          <w:szCs w:val="24"/>
        </w:rPr>
        <w:t xml:space="preserve"> the study considered a number of key factors, including: technology, industry practices, net metering policies, tax incentives, utility rebates, O&amp;M costs, historical performance and expected performance, availability, and consumer behavior and market penetration. Navigant conducted a Fisher-Pry</w:t>
      </w:r>
      <w:r w:rsidR="0099687D">
        <w:rPr>
          <w:rStyle w:val="FootnoteReference"/>
          <w:rFonts w:cs="Times New Roman"/>
          <w:szCs w:val="24"/>
        </w:rPr>
        <w:footnoteReference w:id="16"/>
      </w:r>
      <w:r w:rsidR="0099687D">
        <w:rPr>
          <w:rFonts w:cs="Times New Roman"/>
          <w:szCs w:val="24"/>
        </w:rPr>
        <w:t xml:space="preserve"> payback analysis to determine </w:t>
      </w:r>
      <w:r w:rsidR="00E01FCA">
        <w:rPr>
          <w:rFonts w:cs="Times New Roman"/>
          <w:szCs w:val="24"/>
        </w:rPr>
        <w:t xml:space="preserve">the cost-effective </w:t>
      </w:r>
      <w:r w:rsidR="0099687D">
        <w:rPr>
          <w:rFonts w:cs="Times New Roman"/>
          <w:szCs w:val="24"/>
        </w:rPr>
        <w:t xml:space="preserve">market penetration for DG technologies. </w:t>
      </w:r>
      <w:r>
        <w:rPr>
          <w:rFonts w:cs="Times New Roman"/>
          <w:szCs w:val="24"/>
        </w:rPr>
        <w:t xml:space="preserve"> </w:t>
      </w:r>
    </w:p>
    <w:p w:rsidR="000E3332" w:rsidRPr="00432C28" w:rsidRDefault="000E3332">
      <w:pPr>
        <w:rPr>
          <w:rFonts w:cs="Times New Roman"/>
          <w:szCs w:val="24"/>
        </w:rPr>
      </w:pPr>
    </w:p>
    <w:p w:rsidR="00C768D8" w:rsidRPr="00432C28" w:rsidRDefault="000E5C89">
      <w:pPr>
        <w:rPr>
          <w:rFonts w:cs="Times New Roman"/>
          <w:szCs w:val="24"/>
          <w:u w:val="single"/>
        </w:rPr>
      </w:pPr>
      <w:r w:rsidRPr="00432C28">
        <w:rPr>
          <w:rFonts w:cs="Times New Roman"/>
          <w:szCs w:val="24"/>
          <w:u w:val="single"/>
        </w:rPr>
        <w:t>Basis of Savings</w:t>
      </w:r>
    </w:p>
    <w:p w:rsidR="00A85D07" w:rsidRPr="00432C28" w:rsidRDefault="00A85D07" w:rsidP="00C768D8">
      <w:pPr>
        <w:rPr>
          <w:rFonts w:cs="Times New Roman"/>
          <w:szCs w:val="24"/>
        </w:rPr>
      </w:pPr>
    </w:p>
    <w:p w:rsidR="001B6A81" w:rsidRPr="00432C28" w:rsidRDefault="000E5C89" w:rsidP="00C768D8">
      <w:pPr>
        <w:rPr>
          <w:rFonts w:cs="Times New Roman"/>
          <w:i/>
          <w:szCs w:val="24"/>
        </w:rPr>
      </w:pPr>
      <w:r w:rsidRPr="00432C28">
        <w:rPr>
          <w:rFonts w:cs="Times New Roman"/>
          <w:i/>
          <w:szCs w:val="24"/>
        </w:rPr>
        <w:t>Sources of savings</w:t>
      </w:r>
    </w:p>
    <w:p w:rsidR="001B6A81" w:rsidRPr="00432C28" w:rsidRDefault="001B6A81" w:rsidP="00C768D8">
      <w:pPr>
        <w:rPr>
          <w:rFonts w:cs="Times New Roman"/>
          <w:szCs w:val="24"/>
        </w:rPr>
      </w:pPr>
    </w:p>
    <w:p w:rsidR="00C768D8" w:rsidRPr="00432C28" w:rsidRDefault="00C768D8" w:rsidP="00C768D8">
      <w:pPr>
        <w:rPr>
          <w:rFonts w:cs="Times New Roman"/>
          <w:szCs w:val="24"/>
        </w:rPr>
      </w:pPr>
      <w:r w:rsidRPr="00432C28">
        <w:rPr>
          <w:rFonts w:cs="Times New Roman"/>
          <w:szCs w:val="24"/>
        </w:rPr>
        <w:t xml:space="preserve">The ten-year </w:t>
      </w:r>
      <w:r w:rsidR="00A85D07" w:rsidRPr="00432C28">
        <w:rPr>
          <w:rFonts w:cs="Times New Roman"/>
          <w:szCs w:val="24"/>
        </w:rPr>
        <w:t xml:space="preserve">conservation </w:t>
      </w:r>
      <w:r w:rsidRPr="00432C28">
        <w:rPr>
          <w:rFonts w:cs="Times New Roman"/>
          <w:szCs w:val="24"/>
        </w:rPr>
        <w:t>potential identifies resource</w:t>
      </w:r>
      <w:r w:rsidR="00A85D07" w:rsidRPr="00432C28">
        <w:rPr>
          <w:rFonts w:cs="Times New Roman"/>
          <w:szCs w:val="24"/>
        </w:rPr>
        <w:t xml:space="preserve"> opportunities</w:t>
      </w:r>
      <w:r w:rsidRPr="00432C28">
        <w:rPr>
          <w:rFonts w:cs="Times New Roman"/>
          <w:szCs w:val="24"/>
        </w:rPr>
        <w:t xml:space="preserve"> without </w:t>
      </w:r>
      <w:r w:rsidR="00A85D07" w:rsidRPr="00432C28">
        <w:rPr>
          <w:rFonts w:cs="Times New Roman"/>
          <w:szCs w:val="24"/>
        </w:rPr>
        <w:t xml:space="preserve">regard to </w:t>
      </w:r>
      <w:r w:rsidRPr="00432C28">
        <w:rPr>
          <w:rFonts w:cs="Times New Roman"/>
          <w:szCs w:val="24"/>
        </w:rPr>
        <w:t xml:space="preserve">how </w:t>
      </w:r>
      <w:r w:rsidR="00A85D07" w:rsidRPr="00432C28">
        <w:rPr>
          <w:rFonts w:cs="Times New Roman"/>
          <w:szCs w:val="24"/>
        </w:rPr>
        <w:t xml:space="preserve">these opportunities will be realized or </w:t>
      </w:r>
      <w:r w:rsidRPr="00432C28">
        <w:rPr>
          <w:rFonts w:cs="Times New Roman"/>
          <w:szCs w:val="24"/>
        </w:rPr>
        <w:t xml:space="preserve">achieved. </w:t>
      </w:r>
      <w:r w:rsidR="00090953">
        <w:rPr>
          <w:rFonts w:cs="Times New Roman"/>
          <w:szCs w:val="24"/>
        </w:rPr>
        <w:t>Savings</w:t>
      </w:r>
      <w:r w:rsidRPr="00432C28">
        <w:rPr>
          <w:rFonts w:cs="Times New Roman"/>
          <w:szCs w:val="24"/>
        </w:rPr>
        <w:t xml:space="preserve"> may be achieved using a variety of methods and strategies which may include but are not limited to the following:</w:t>
      </w:r>
    </w:p>
    <w:p w:rsidR="00C768D8" w:rsidRPr="00432C28" w:rsidRDefault="00C768D8" w:rsidP="00C768D8">
      <w:pPr>
        <w:rPr>
          <w:rFonts w:cs="Times New Roman"/>
          <w:szCs w:val="24"/>
        </w:rPr>
      </w:pPr>
    </w:p>
    <w:p w:rsidR="00F7709B" w:rsidRPr="00432C28" w:rsidRDefault="00C768D8">
      <w:pPr>
        <w:pStyle w:val="ListParagraph"/>
        <w:numPr>
          <w:ilvl w:val="0"/>
          <w:numId w:val="2"/>
        </w:numPr>
        <w:rPr>
          <w:rFonts w:cs="Times New Roman"/>
          <w:szCs w:val="24"/>
        </w:rPr>
      </w:pPr>
      <w:r w:rsidRPr="00432C28">
        <w:rPr>
          <w:rFonts w:cs="Times New Roman"/>
          <w:szCs w:val="24"/>
        </w:rPr>
        <w:t xml:space="preserve">Customer participation in Company programs approved by the Commission, </w:t>
      </w:r>
    </w:p>
    <w:p w:rsidR="00F7709B" w:rsidRPr="00432C28" w:rsidRDefault="00C768D8">
      <w:pPr>
        <w:pStyle w:val="ListParagraph"/>
        <w:numPr>
          <w:ilvl w:val="0"/>
          <w:numId w:val="2"/>
        </w:numPr>
        <w:rPr>
          <w:rFonts w:cs="Times New Roman"/>
          <w:szCs w:val="24"/>
        </w:rPr>
      </w:pPr>
      <w:r w:rsidRPr="00432C28">
        <w:rPr>
          <w:rFonts w:cs="Times New Roman"/>
          <w:szCs w:val="24"/>
        </w:rPr>
        <w:t xml:space="preserve">Utility system initiatives such as </w:t>
      </w:r>
      <w:r w:rsidR="005A01A9">
        <w:rPr>
          <w:rFonts w:cs="Times New Roman"/>
          <w:szCs w:val="24"/>
        </w:rPr>
        <w:t>distribution</w:t>
      </w:r>
      <w:r w:rsidR="00510DB1" w:rsidRPr="00432C28">
        <w:rPr>
          <w:rFonts w:cs="Times New Roman"/>
          <w:szCs w:val="24"/>
        </w:rPr>
        <w:t xml:space="preserve"> and production effic</w:t>
      </w:r>
      <w:r w:rsidR="00231BBD" w:rsidRPr="00432C28">
        <w:rPr>
          <w:rFonts w:cs="Times New Roman"/>
          <w:szCs w:val="24"/>
        </w:rPr>
        <w:t>iency</w:t>
      </w:r>
      <w:r w:rsidRPr="00432C28">
        <w:rPr>
          <w:rFonts w:cs="Times New Roman"/>
          <w:szCs w:val="24"/>
        </w:rPr>
        <w:t xml:space="preserve">, </w:t>
      </w:r>
    </w:p>
    <w:p w:rsidR="00F7709B" w:rsidRPr="00432C28" w:rsidRDefault="00C768D8">
      <w:pPr>
        <w:pStyle w:val="ListParagraph"/>
        <w:numPr>
          <w:ilvl w:val="0"/>
          <w:numId w:val="2"/>
        </w:numPr>
        <w:rPr>
          <w:rFonts w:cs="Times New Roman"/>
          <w:szCs w:val="24"/>
        </w:rPr>
      </w:pPr>
      <w:r w:rsidRPr="00432C28">
        <w:rPr>
          <w:rFonts w:cs="Times New Roman"/>
          <w:szCs w:val="24"/>
        </w:rPr>
        <w:t xml:space="preserve">Savings acquisitions from regional efforts such as </w:t>
      </w:r>
      <w:r w:rsidR="00A43D13">
        <w:rPr>
          <w:rFonts w:cs="Times New Roman"/>
          <w:szCs w:val="24"/>
        </w:rPr>
        <w:t xml:space="preserve">NEEA </w:t>
      </w:r>
      <w:r w:rsidRPr="00432C28">
        <w:rPr>
          <w:rFonts w:cs="Times New Roman"/>
          <w:szCs w:val="24"/>
        </w:rPr>
        <w:t xml:space="preserve"> activities, </w:t>
      </w:r>
    </w:p>
    <w:p w:rsidR="00F7709B" w:rsidRPr="00432C28" w:rsidRDefault="00510DB1">
      <w:pPr>
        <w:pStyle w:val="ListParagraph"/>
        <w:numPr>
          <w:ilvl w:val="0"/>
          <w:numId w:val="2"/>
        </w:numPr>
        <w:rPr>
          <w:rFonts w:cs="Times New Roman"/>
          <w:szCs w:val="24"/>
        </w:rPr>
      </w:pPr>
      <w:r w:rsidRPr="00432C28">
        <w:rPr>
          <w:rFonts w:cs="Times New Roman"/>
          <w:szCs w:val="24"/>
        </w:rPr>
        <w:t>Quantifiable s</w:t>
      </w:r>
      <w:r w:rsidR="00C768D8" w:rsidRPr="00432C28">
        <w:rPr>
          <w:rFonts w:cs="Times New Roman"/>
          <w:szCs w:val="24"/>
        </w:rPr>
        <w:t>avings from energy code and standards changes not already accounted for in the ten-year potential</w:t>
      </w:r>
      <w:r w:rsidR="005803C5" w:rsidRPr="00432C28">
        <w:rPr>
          <w:rStyle w:val="FootnoteReference"/>
          <w:rFonts w:cs="Times New Roman"/>
          <w:szCs w:val="24"/>
        </w:rPr>
        <w:footnoteReference w:id="17"/>
      </w:r>
      <w:r w:rsidR="00C768D8" w:rsidRPr="00432C28">
        <w:rPr>
          <w:rFonts w:cs="Times New Roman"/>
          <w:szCs w:val="24"/>
        </w:rPr>
        <w:t>, and</w:t>
      </w:r>
    </w:p>
    <w:p w:rsidR="003654BA" w:rsidRDefault="00231BBD" w:rsidP="003654BA">
      <w:pPr>
        <w:pStyle w:val="ListParagraph"/>
        <w:numPr>
          <w:ilvl w:val="0"/>
          <w:numId w:val="2"/>
        </w:numPr>
        <w:rPr>
          <w:rFonts w:cs="Times New Roman"/>
          <w:szCs w:val="24"/>
        </w:rPr>
      </w:pPr>
      <w:r w:rsidRPr="00432C28">
        <w:rPr>
          <w:rFonts w:cs="Times New Roman"/>
          <w:szCs w:val="24"/>
        </w:rPr>
        <w:t>Quantifiable s</w:t>
      </w:r>
      <w:r w:rsidR="00C768D8" w:rsidRPr="00432C28">
        <w:rPr>
          <w:rFonts w:cs="Times New Roman"/>
          <w:szCs w:val="24"/>
        </w:rPr>
        <w:t>avings from naturally occurring conservation</w:t>
      </w:r>
      <w:r w:rsidR="00C768D8" w:rsidRPr="00432C28">
        <w:rPr>
          <w:rStyle w:val="FootnoteReference"/>
          <w:rFonts w:cs="Times New Roman"/>
          <w:szCs w:val="24"/>
        </w:rPr>
        <w:footnoteReference w:id="18"/>
      </w:r>
      <w:r w:rsidR="00C768D8" w:rsidRPr="00432C28">
        <w:rPr>
          <w:rFonts w:cs="Times New Roman"/>
          <w:szCs w:val="24"/>
        </w:rPr>
        <w:t xml:space="preserve"> not already captured in one of the above types of resources.</w:t>
      </w:r>
    </w:p>
    <w:p w:rsidR="003654BA" w:rsidRDefault="003654BA" w:rsidP="00783B0A">
      <w:pPr>
        <w:rPr>
          <w:rFonts w:cs="Times New Roman"/>
          <w:szCs w:val="24"/>
        </w:rPr>
      </w:pPr>
    </w:p>
    <w:p w:rsidR="003654BA" w:rsidRDefault="003654BA" w:rsidP="00783B0A">
      <w:pPr>
        <w:rPr>
          <w:rFonts w:cs="Times New Roman"/>
          <w:szCs w:val="24"/>
        </w:rPr>
      </w:pPr>
      <w:r>
        <w:rPr>
          <w:rFonts w:cs="Times New Roman"/>
          <w:szCs w:val="24"/>
        </w:rPr>
        <w:t>As required in WAC 480-109-100 (1) (b) “Types of conservation include, but are not limited to:” PacifiCorp considered conservation potential from the following types of conservation sources in the development of its ten-year conservation forecast:</w:t>
      </w:r>
    </w:p>
    <w:p w:rsidR="003654BA" w:rsidRDefault="003654BA" w:rsidP="00783B0A">
      <w:pPr>
        <w:pStyle w:val="ListParagraph"/>
        <w:numPr>
          <w:ilvl w:val="0"/>
          <w:numId w:val="72"/>
        </w:numPr>
        <w:rPr>
          <w:rFonts w:cs="Times New Roman"/>
          <w:szCs w:val="24"/>
        </w:rPr>
      </w:pPr>
      <w:r>
        <w:rPr>
          <w:rFonts w:cs="Times New Roman"/>
          <w:szCs w:val="24"/>
        </w:rPr>
        <w:t>End-use efficiency;</w:t>
      </w:r>
    </w:p>
    <w:p w:rsidR="003654BA" w:rsidRDefault="003654BA" w:rsidP="00783B0A">
      <w:pPr>
        <w:pStyle w:val="ListParagraph"/>
        <w:numPr>
          <w:ilvl w:val="0"/>
          <w:numId w:val="72"/>
        </w:numPr>
        <w:rPr>
          <w:rFonts w:cs="Times New Roman"/>
          <w:szCs w:val="24"/>
        </w:rPr>
      </w:pPr>
      <w:r>
        <w:rPr>
          <w:rFonts w:cs="Times New Roman"/>
          <w:szCs w:val="24"/>
        </w:rPr>
        <w:t>Behavioral programs;</w:t>
      </w:r>
    </w:p>
    <w:p w:rsidR="003654BA" w:rsidRDefault="003654BA" w:rsidP="00783B0A">
      <w:pPr>
        <w:pStyle w:val="ListParagraph"/>
        <w:numPr>
          <w:ilvl w:val="0"/>
          <w:numId w:val="72"/>
        </w:numPr>
        <w:rPr>
          <w:rFonts w:cs="Times New Roman"/>
          <w:szCs w:val="24"/>
        </w:rPr>
      </w:pPr>
      <w:r>
        <w:rPr>
          <w:rFonts w:cs="Times New Roman"/>
          <w:szCs w:val="24"/>
        </w:rPr>
        <w:t>High-efficiency cogeneration;</w:t>
      </w:r>
    </w:p>
    <w:p w:rsidR="003654BA" w:rsidRDefault="003654BA" w:rsidP="00783B0A">
      <w:pPr>
        <w:pStyle w:val="ListParagraph"/>
        <w:numPr>
          <w:ilvl w:val="0"/>
          <w:numId w:val="72"/>
        </w:numPr>
        <w:rPr>
          <w:rFonts w:cs="Times New Roman"/>
          <w:szCs w:val="24"/>
        </w:rPr>
      </w:pPr>
      <w:r>
        <w:rPr>
          <w:rFonts w:cs="Times New Roman"/>
          <w:szCs w:val="24"/>
        </w:rPr>
        <w:t>Production efficiency;</w:t>
      </w:r>
    </w:p>
    <w:p w:rsidR="003654BA" w:rsidRDefault="003654BA" w:rsidP="00783B0A">
      <w:pPr>
        <w:pStyle w:val="ListParagraph"/>
        <w:numPr>
          <w:ilvl w:val="0"/>
          <w:numId w:val="72"/>
        </w:numPr>
        <w:rPr>
          <w:rFonts w:cs="Times New Roman"/>
          <w:szCs w:val="24"/>
        </w:rPr>
      </w:pPr>
      <w:r>
        <w:rPr>
          <w:rFonts w:cs="Times New Roman"/>
          <w:szCs w:val="24"/>
        </w:rPr>
        <w:t>Distribution efficiency; and</w:t>
      </w:r>
    </w:p>
    <w:p w:rsidR="003654BA" w:rsidRPr="003654BA" w:rsidRDefault="003654BA" w:rsidP="00783B0A">
      <w:pPr>
        <w:pStyle w:val="ListParagraph"/>
        <w:numPr>
          <w:ilvl w:val="0"/>
          <w:numId w:val="72"/>
        </w:numPr>
        <w:rPr>
          <w:rFonts w:cs="Times New Roman"/>
          <w:szCs w:val="24"/>
        </w:rPr>
      </w:pPr>
      <w:r>
        <w:rPr>
          <w:rFonts w:cs="Times New Roman"/>
          <w:szCs w:val="24"/>
        </w:rPr>
        <w:t>Market Transformation</w:t>
      </w:r>
    </w:p>
    <w:p w:rsidR="00DB508D" w:rsidRDefault="00DB508D" w:rsidP="00231BBD">
      <w:pPr>
        <w:rPr>
          <w:rFonts w:cs="Times New Roman"/>
          <w:szCs w:val="24"/>
        </w:rPr>
      </w:pPr>
    </w:p>
    <w:p w:rsidR="001B6A81" w:rsidRPr="003B34EC" w:rsidRDefault="000E5C89" w:rsidP="001B6A81">
      <w:pPr>
        <w:rPr>
          <w:rFonts w:cs="Times New Roman"/>
          <w:i/>
          <w:szCs w:val="24"/>
        </w:rPr>
      </w:pPr>
      <w:r w:rsidRPr="003B34EC">
        <w:rPr>
          <w:rFonts w:cs="Times New Roman"/>
          <w:i/>
          <w:szCs w:val="24"/>
        </w:rPr>
        <w:t>Baseline Assumption</w:t>
      </w:r>
    </w:p>
    <w:p w:rsidR="00B35CB2" w:rsidRPr="003B34EC" w:rsidRDefault="00B35CB2">
      <w:pPr>
        <w:rPr>
          <w:rFonts w:cs="Times New Roman"/>
          <w:szCs w:val="24"/>
        </w:rPr>
      </w:pPr>
    </w:p>
    <w:p w:rsidR="001F4A6E" w:rsidRDefault="001F4A6E">
      <w:pPr>
        <w:rPr>
          <w:rFonts w:cs="Times New Roman"/>
          <w:szCs w:val="24"/>
        </w:rPr>
      </w:pPr>
      <w:r w:rsidRPr="003B34EC">
        <w:rPr>
          <w:rFonts w:cs="Times New Roman"/>
          <w:szCs w:val="24"/>
        </w:rPr>
        <w:t xml:space="preserve">In response to stakeholder input during the </w:t>
      </w:r>
      <w:r w:rsidR="00E279B5" w:rsidRPr="003B34EC">
        <w:rPr>
          <w:rFonts w:cs="Times New Roman"/>
          <w:szCs w:val="24"/>
        </w:rPr>
        <w:t xml:space="preserve">2014-2015 </w:t>
      </w:r>
      <w:r w:rsidRPr="003B34EC">
        <w:rPr>
          <w:rFonts w:cs="Times New Roman"/>
          <w:szCs w:val="24"/>
        </w:rPr>
        <w:t xml:space="preserve">biennial target setting process, the Company </w:t>
      </w:r>
      <w:r w:rsidR="00E279B5" w:rsidRPr="003B34EC">
        <w:rPr>
          <w:rFonts w:cs="Times New Roman"/>
          <w:szCs w:val="24"/>
        </w:rPr>
        <w:t xml:space="preserve">is tracking </w:t>
      </w:r>
      <w:r w:rsidRPr="003B34EC">
        <w:rPr>
          <w:rFonts w:cs="Times New Roman"/>
          <w:szCs w:val="24"/>
        </w:rPr>
        <w:t xml:space="preserve">changes in unit energy savings utilized in the program and </w:t>
      </w:r>
      <w:r w:rsidR="00E279B5" w:rsidRPr="003B34EC">
        <w:rPr>
          <w:rFonts w:cs="Times New Roman"/>
          <w:szCs w:val="24"/>
        </w:rPr>
        <w:t xml:space="preserve">will </w:t>
      </w:r>
      <w:r w:rsidRPr="003B34EC">
        <w:rPr>
          <w:rFonts w:cs="Times New Roman"/>
          <w:szCs w:val="24"/>
        </w:rPr>
        <w:t xml:space="preserve">provide an estimate of the impacts as part of </w:t>
      </w:r>
      <w:r w:rsidR="00E279B5" w:rsidRPr="003B34EC">
        <w:rPr>
          <w:rFonts w:cs="Times New Roman"/>
          <w:szCs w:val="24"/>
        </w:rPr>
        <w:t xml:space="preserve">that </w:t>
      </w:r>
      <w:r w:rsidRPr="003B34EC">
        <w:rPr>
          <w:rFonts w:cs="Times New Roman"/>
          <w:szCs w:val="24"/>
        </w:rPr>
        <w:t>bienni</w:t>
      </w:r>
      <w:r w:rsidR="00E279B5" w:rsidRPr="003B34EC">
        <w:rPr>
          <w:rFonts w:cs="Times New Roman"/>
          <w:szCs w:val="24"/>
        </w:rPr>
        <w:t>um’s</w:t>
      </w:r>
      <w:r w:rsidRPr="003B34EC">
        <w:rPr>
          <w:rFonts w:cs="Times New Roman"/>
          <w:szCs w:val="24"/>
        </w:rPr>
        <w:t xml:space="preserve"> reporting process.</w:t>
      </w:r>
      <w:r w:rsidR="00F24E2A" w:rsidRPr="003B34EC">
        <w:rPr>
          <w:rFonts w:cs="Times New Roman"/>
          <w:szCs w:val="24"/>
        </w:rPr>
        <w:t xml:space="preserve"> The intent is to provide information on the magnitude of risk associated with not freezing baselines in future conservation forecasts and target setting periods.</w:t>
      </w:r>
      <w:r>
        <w:rPr>
          <w:rFonts w:cs="Times New Roman"/>
          <w:szCs w:val="24"/>
        </w:rPr>
        <w:t xml:space="preserve"> </w:t>
      </w:r>
    </w:p>
    <w:p w:rsidR="00E279B5" w:rsidRDefault="00E279B5">
      <w:pPr>
        <w:rPr>
          <w:rFonts w:cs="Times New Roman"/>
          <w:szCs w:val="24"/>
        </w:rPr>
      </w:pPr>
    </w:p>
    <w:p w:rsidR="00E279B5" w:rsidRDefault="00E279B5">
      <w:pPr>
        <w:rPr>
          <w:rFonts w:cs="Times New Roman"/>
          <w:szCs w:val="24"/>
        </w:rPr>
      </w:pPr>
      <w:r w:rsidRPr="003B34EC">
        <w:rPr>
          <w:rFonts w:cs="Times New Roman"/>
          <w:szCs w:val="24"/>
        </w:rPr>
        <w:t xml:space="preserve">Given that the impacts will not be known in time to inform the target setting process for the current biennium period, the Company’s DSM Advisory Group </w:t>
      </w:r>
      <w:r w:rsidR="005302D5" w:rsidRPr="003B34EC">
        <w:rPr>
          <w:rFonts w:cs="Times New Roman"/>
          <w:szCs w:val="24"/>
        </w:rPr>
        <w:t xml:space="preserve">came to general agreement after a number of discussions in </w:t>
      </w:r>
      <w:r w:rsidRPr="003B34EC">
        <w:rPr>
          <w:rFonts w:cs="Times New Roman"/>
          <w:szCs w:val="24"/>
        </w:rPr>
        <w:t>September, 2015, that the Company may continue to use the frozen baseline methodology for the 2016-2017 reporting period.</w:t>
      </w:r>
      <w:r>
        <w:rPr>
          <w:rFonts w:cs="Times New Roman"/>
          <w:szCs w:val="24"/>
        </w:rPr>
        <w:t xml:space="preserve">  </w:t>
      </w:r>
    </w:p>
    <w:p w:rsidR="001F4A6E" w:rsidRPr="00432C28" w:rsidRDefault="001F4A6E">
      <w:pPr>
        <w:rPr>
          <w:rFonts w:cs="Times New Roman"/>
          <w:szCs w:val="24"/>
        </w:rPr>
      </w:pPr>
    </w:p>
    <w:p w:rsidR="00B35CB2" w:rsidRPr="00432C28" w:rsidRDefault="000E5C89" w:rsidP="00B35CB2">
      <w:pPr>
        <w:rPr>
          <w:rFonts w:cs="Times New Roman"/>
          <w:szCs w:val="24"/>
          <w:u w:val="single"/>
        </w:rPr>
      </w:pPr>
      <w:r w:rsidRPr="00432C28">
        <w:rPr>
          <w:rFonts w:cs="Times New Roman"/>
          <w:szCs w:val="24"/>
          <w:u w:val="single"/>
        </w:rPr>
        <w:t>Budget and Savings by Program</w:t>
      </w:r>
    </w:p>
    <w:p w:rsidR="00B35CB2" w:rsidRPr="00432C28" w:rsidRDefault="00B35CB2" w:rsidP="00B35CB2">
      <w:pPr>
        <w:rPr>
          <w:rFonts w:cs="Times New Roman"/>
          <w:szCs w:val="24"/>
          <w:u w:val="single"/>
        </w:rPr>
      </w:pPr>
    </w:p>
    <w:p w:rsidR="001D60A9" w:rsidRPr="00432C28" w:rsidRDefault="0067219B">
      <w:pPr>
        <w:rPr>
          <w:rFonts w:cs="Times New Roman"/>
          <w:szCs w:val="24"/>
        </w:rPr>
      </w:pPr>
      <w:r w:rsidRPr="00432C28">
        <w:rPr>
          <w:rFonts w:cs="Times New Roman"/>
          <w:szCs w:val="24"/>
        </w:rPr>
        <w:t xml:space="preserve">The Company’s </w:t>
      </w:r>
      <w:r w:rsidR="00B52D34">
        <w:rPr>
          <w:rFonts w:cs="Times New Roman"/>
          <w:szCs w:val="24"/>
        </w:rPr>
        <w:t xml:space="preserve">DSM 2016-2017 </w:t>
      </w:r>
      <w:r w:rsidRPr="00432C28">
        <w:rPr>
          <w:rFonts w:cs="Times New Roman"/>
          <w:szCs w:val="24"/>
        </w:rPr>
        <w:t>Business Plan is p</w:t>
      </w:r>
      <w:r w:rsidR="00B35CB2" w:rsidRPr="00432C28">
        <w:rPr>
          <w:rFonts w:cs="Times New Roman"/>
          <w:szCs w:val="24"/>
        </w:rPr>
        <w:t xml:space="preserve">rovided </w:t>
      </w:r>
      <w:r w:rsidR="0048150C" w:rsidRPr="00B5079D">
        <w:rPr>
          <w:rFonts w:cs="Times New Roman"/>
          <w:szCs w:val="24"/>
        </w:rPr>
        <w:t>as</w:t>
      </w:r>
      <w:r w:rsidR="00B35CB2" w:rsidRPr="00B5079D">
        <w:rPr>
          <w:rFonts w:cs="Times New Roman"/>
          <w:szCs w:val="24"/>
        </w:rPr>
        <w:t xml:space="preserve"> Appendix </w:t>
      </w:r>
      <w:r w:rsidR="0048150C" w:rsidRPr="00B5079D">
        <w:rPr>
          <w:rFonts w:cs="Times New Roman"/>
          <w:szCs w:val="24"/>
        </w:rPr>
        <w:t>7</w:t>
      </w:r>
      <w:r w:rsidR="00B35CB2" w:rsidRPr="00B5079D">
        <w:rPr>
          <w:rFonts w:cs="Times New Roman"/>
          <w:szCs w:val="24"/>
        </w:rPr>
        <w:t xml:space="preserve"> to</w:t>
      </w:r>
      <w:r w:rsidR="00B35CB2" w:rsidRPr="00432C28">
        <w:rPr>
          <w:rFonts w:cs="Times New Roman"/>
          <w:szCs w:val="24"/>
        </w:rPr>
        <w:t xml:space="preserve"> this report</w:t>
      </w:r>
      <w:r w:rsidR="001D46A9" w:rsidRPr="00432C28">
        <w:rPr>
          <w:rFonts w:cs="Times New Roman"/>
          <w:szCs w:val="24"/>
        </w:rPr>
        <w:t xml:space="preserve">. </w:t>
      </w:r>
      <w:r w:rsidR="00B35CB2" w:rsidRPr="00432C28">
        <w:rPr>
          <w:rFonts w:cs="Times New Roman"/>
          <w:szCs w:val="24"/>
        </w:rPr>
        <w:t xml:space="preserve">The business plan contains </w:t>
      </w:r>
      <w:r w:rsidR="00F670CE" w:rsidRPr="00432C28">
        <w:rPr>
          <w:rFonts w:cs="Times New Roman"/>
          <w:szCs w:val="24"/>
        </w:rPr>
        <w:t>forecasted</w:t>
      </w:r>
      <w:r w:rsidR="00B35CB2" w:rsidRPr="00432C28">
        <w:rPr>
          <w:rFonts w:cs="Times New Roman"/>
          <w:szCs w:val="24"/>
        </w:rPr>
        <w:t xml:space="preserve"> savings and expenditures </w:t>
      </w:r>
      <w:r w:rsidR="00057F95" w:rsidRPr="00432C28">
        <w:rPr>
          <w:rFonts w:cs="Times New Roman"/>
          <w:szCs w:val="24"/>
        </w:rPr>
        <w:t xml:space="preserve">from </w:t>
      </w:r>
      <w:r w:rsidR="009D4E9F" w:rsidRPr="00432C28">
        <w:rPr>
          <w:rFonts w:cs="Times New Roman"/>
          <w:szCs w:val="24"/>
        </w:rPr>
        <w:t xml:space="preserve">the Company’s </w:t>
      </w:r>
      <w:r w:rsidR="00F670CE" w:rsidRPr="00432C28">
        <w:rPr>
          <w:rFonts w:cs="Times New Roman"/>
          <w:szCs w:val="24"/>
        </w:rPr>
        <w:t xml:space="preserve">existing </w:t>
      </w:r>
      <w:r w:rsidR="00B35CB2" w:rsidRPr="00432C28">
        <w:rPr>
          <w:rFonts w:cs="Times New Roman"/>
          <w:szCs w:val="24"/>
        </w:rPr>
        <w:t>program</w:t>
      </w:r>
      <w:r w:rsidR="009D4E9F" w:rsidRPr="00432C28">
        <w:rPr>
          <w:rFonts w:cs="Times New Roman"/>
          <w:szCs w:val="24"/>
        </w:rPr>
        <w:t>s as well as</w:t>
      </w:r>
      <w:r w:rsidR="00057F95" w:rsidRPr="00432C28">
        <w:rPr>
          <w:rFonts w:cs="Times New Roman"/>
          <w:szCs w:val="24"/>
        </w:rPr>
        <w:t xml:space="preserve"> measure focus areas needing </w:t>
      </w:r>
      <w:r w:rsidR="002D2EA9" w:rsidRPr="00432C28">
        <w:rPr>
          <w:rFonts w:cs="Times New Roman"/>
          <w:szCs w:val="24"/>
        </w:rPr>
        <w:t xml:space="preserve">to be </w:t>
      </w:r>
      <w:r w:rsidR="00057F95" w:rsidRPr="00432C28">
        <w:rPr>
          <w:rFonts w:cs="Times New Roman"/>
          <w:szCs w:val="24"/>
        </w:rPr>
        <w:t xml:space="preserve">addressed </w:t>
      </w:r>
      <w:r w:rsidR="00B35CB2" w:rsidRPr="00432C28">
        <w:rPr>
          <w:rFonts w:cs="Times New Roman"/>
          <w:szCs w:val="24"/>
        </w:rPr>
        <w:t xml:space="preserve">to </w:t>
      </w:r>
      <w:r w:rsidR="00057F95" w:rsidRPr="00432C28">
        <w:rPr>
          <w:rFonts w:cs="Times New Roman"/>
          <w:szCs w:val="24"/>
        </w:rPr>
        <w:t xml:space="preserve">effectively </w:t>
      </w:r>
      <w:r w:rsidR="009C659B" w:rsidRPr="00432C28">
        <w:rPr>
          <w:rFonts w:cs="Times New Roman"/>
          <w:szCs w:val="24"/>
        </w:rPr>
        <w:t xml:space="preserve">pursue </w:t>
      </w:r>
      <w:r w:rsidR="00B35CB2" w:rsidRPr="00432C28">
        <w:rPr>
          <w:rFonts w:cs="Times New Roman"/>
          <w:szCs w:val="24"/>
        </w:rPr>
        <w:t xml:space="preserve">the </w:t>
      </w:r>
      <w:r w:rsidR="00B52D34">
        <w:rPr>
          <w:rFonts w:cs="Times New Roman"/>
          <w:szCs w:val="24"/>
        </w:rPr>
        <w:t xml:space="preserve">Company’s </w:t>
      </w:r>
      <w:r w:rsidR="00322B13">
        <w:rPr>
          <w:rFonts w:cs="Times New Roman"/>
          <w:szCs w:val="24"/>
        </w:rPr>
        <w:t>201</w:t>
      </w:r>
      <w:r w:rsidR="00947B49">
        <w:rPr>
          <w:rFonts w:cs="Times New Roman"/>
          <w:szCs w:val="24"/>
        </w:rPr>
        <w:t>6</w:t>
      </w:r>
      <w:r w:rsidR="00322B13">
        <w:rPr>
          <w:rFonts w:cs="Times New Roman"/>
          <w:szCs w:val="24"/>
        </w:rPr>
        <w:t>-201</w:t>
      </w:r>
      <w:r w:rsidR="00947B49">
        <w:rPr>
          <w:rFonts w:cs="Times New Roman"/>
          <w:szCs w:val="24"/>
        </w:rPr>
        <w:t>7</w:t>
      </w:r>
      <w:r w:rsidR="00322B13">
        <w:rPr>
          <w:rFonts w:cs="Times New Roman"/>
          <w:szCs w:val="24"/>
        </w:rPr>
        <w:t xml:space="preserve"> </w:t>
      </w:r>
      <w:r w:rsidR="00B35CB2" w:rsidRPr="00432C28">
        <w:rPr>
          <w:rFonts w:cs="Times New Roman"/>
          <w:szCs w:val="24"/>
        </w:rPr>
        <w:t>biennial target.</w:t>
      </w:r>
      <w:r w:rsidR="009C659B" w:rsidRPr="00432C28">
        <w:rPr>
          <w:rFonts w:cs="Times New Roman"/>
          <w:szCs w:val="24"/>
        </w:rPr>
        <w:t xml:space="preserve"> </w:t>
      </w:r>
      <w:r w:rsidR="003E46F8" w:rsidRPr="00432C28">
        <w:rPr>
          <w:rFonts w:cs="Times New Roman"/>
          <w:szCs w:val="24"/>
        </w:rPr>
        <w:t xml:space="preserve">The </w:t>
      </w:r>
      <w:r w:rsidR="00B52D34">
        <w:rPr>
          <w:rFonts w:cs="Times New Roman"/>
          <w:szCs w:val="24"/>
        </w:rPr>
        <w:t>b</w:t>
      </w:r>
      <w:r w:rsidR="003E46F8" w:rsidRPr="00432C28">
        <w:rPr>
          <w:rFonts w:cs="Times New Roman"/>
          <w:szCs w:val="24"/>
        </w:rPr>
        <w:t xml:space="preserve">usiness </w:t>
      </w:r>
      <w:r w:rsidR="00B52D34">
        <w:rPr>
          <w:rFonts w:cs="Times New Roman"/>
          <w:szCs w:val="24"/>
        </w:rPr>
        <w:t>p</w:t>
      </w:r>
      <w:r w:rsidR="003E46F8" w:rsidRPr="00432C28">
        <w:rPr>
          <w:rFonts w:cs="Times New Roman"/>
          <w:szCs w:val="24"/>
        </w:rPr>
        <w:t xml:space="preserve">lan also provides </w:t>
      </w:r>
      <w:r w:rsidR="00D84A2B" w:rsidRPr="00432C28">
        <w:rPr>
          <w:rFonts w:cs="Times New Roman"/>
          <w:szCs w:val="24"/>
        </w:rPr>
        <w:t xml:space="preserve">cost-effectiveness results in support of </w:t>
      </w:r>
      <w:r w:rsidR="0059776B" w:rsidRPr="00432C28">
        <w:rPr>
          <w:rFonts w:cs="Times New Roman"/>
          <w:szCs w:val="24"/>
        </w:rPr>
        <w:t xml:space="preserve">the </w:t>
      </w:r>
      <w:r w:rsidR="00D84A2B" w:rsidRPr="00432C28">
        <w:rPr>
          <w:rFonts w:cs="Times New Roman"/>
          <w:szCs w:val="24"/>
        </w:rPr>
        <w:t xml:space="preserve">Company’s direction and program strategies. </w:t>
      </w:r>
      <w:r w:rsidR="0056291C" w:rsidRPr="00432C28">
        <w:rPr>
          <w:rFonts w:cs="Times New Roman"/>
          <w:szCs w:val="24"/>
        </w:rPr>
        <w:t>T</w:t>
      </w:r>
      <w:r w:rsidR="009C659B" w:rsidRPr="00432C28">
        <w:rPr>
          <w:rFonts w:cs="Times New Roman"/>
          <w:szCs w:val="24"/>
        </w:rPr>
        <w:t xml:space="preserve">he Company </w:t>
      </w:r>
      <w:r w:rsidR="00F670CE" w:rsidRPr="00432C28">
        <w:rPr>
          <w:rFonts w:cs="Times New Roman"/>
          <w:szCs w:val="24"/>
        </w:rPr>
        <w:t xml:space="preserve">may </w:t>
      </w:r>
      <w:r w:rsidR="009C659B" w:rsidRPr="00432C28">
        <w:rPr>
          <w:rFonts w:cs="Times New Roman"/>
        </w:rPr>
        <w:t xml:space="preserve">add programs </w:t>
      </w:r>
      <w:r w:rsidR="00057F95" w:rsidRPr="00432C28">
        <w:rPr>
          <w:rFonts w:cs="Times New Roman"/>
        </w:rPr>
        <w:t xml:space="preserve">or make changes to existing programs </w:t>
      </w:r>
      <w:r w:rsidR="009C659B" w:rsidRPr="00432C28">
        <w:rPr>
          <w:rFonts w:cs="Times New Roman"/>
        </w:rPr>
        <w:t>as filed revision</w:t>
      </w:r>
      <w:r w:rsidR="00057F95" w:rsidRPr="00432C28">
        <w:rPr>
          <w:rFonts w:cs="Times New Roman"/>
        </w:rPr>
        <w:t>s</w:t>
      </w:r>
      <w:r w:rsidR="009C659B" w:rsidRPr="00432C28">
        <w:rPr>
          <w:rFonts w:cs="Times New Roman"/>
        </w:rPr>
        <w:t xml:space="preserve"> to the </w:t>
      </w:r>
      <w:r w:rsidR="00B52D34">
        <w:rPr>
          <w:rFonts w:cs="Times New Roman"/>
        </w:rPr>
        <w:t xml:space="preserve">business </w:t>
      </w:r>
      <w:r w:rsidR="009C659B" w:rsidRPr="00432C28">
        <w:rPr>
          <w:rFonts w:cs="Times New Roman"/>
        </w:rPr>
        <w:t xml:space="preserve">plan during the </w:t>
      </w:r>
      <w:r w:rsidR="0059776B" w:rsidRPr="00432C28">
        <w:rPr>
          <w:rFonts w:cs="Times New Roman"/>
        </w:rPr>
        <w:t>201</w:t>
      </w:r>
      <w:r w:rsidR="00947B49">
        <w:rPr>
          <w:rFonts w:cs="Times New Roman"/>
        </w:rPr>
        <w:t>6</w:t>
      </w:r>
      <w:r w:rsidR="0059776B" w:rsidRPr="00432C28">
        <w:rPr>
          <w:rFonts w:cs="Times New Roman"/>
        </w:rPr>
        <w:t>-201</w:t>
      </w:r>
      <w:r w:rsidR="00947B49">
        <w:rPr>
          <w:rFonts w:cs="Times New Roman"/>
        </w:rPr>
        <w:t>7</w:t>
      </w:r>
      <w:r w:rsidR="0056291C" w:rsidRPr="00432C28">
        <w:rPr>
          <w:rFonts w:cs="Times New Roman"/>
        </w:rPr>
        <w:t xml:space="preserve"> </w:t>
      </w:r>
      <w:r w:rsidR="009C659B" w:rsidRPr="00432C28">
        <w:rPr>
          <w:rFonts w:cs="Times New Roman"/>
        </w:rPr>
        <w:t>biennium</w:t>
      </w:r>
      <w:r w:rsidR="00057F95" w:rsidRPr="00432C28">
        <w:rPr>
          <w:rFonts w:cs="Times New Roman"/>
        </w:rPr>
        <w:t xml:space="preserve"> under </w:t>
      </w:r>
      <w:r w:rsidR="004E7B46" w:rsidRPr="00432C28">
        <w:rPr>
          <w:rFonts w:cs="Times New Roman"/>
        </w:rPr>
        <w:t>the</w:t>
      </w:r>
      <w:r w:rsidR="00057F95" w:rsidRPr="00432C28">
        <w:rPr>
          <w:rFonts w:cs="Times New Roman"/>
        </w:rPr>
        <w:t xml:space="preserve"> adaptive management program delivery structure</w:t>
      </w:r>
      <w:r w:rsidR="004E7B46" w:rsidRPr="00432C28">
        <w:rPr>
          <w:rFonts w:cs="Times New Roman"/>
        </w:rPr>
        <w:t xml:space="preserve">, </w:t>
      </w:r>
      <w:r w:rsidR="00057F95" w:rsidRPr="00432C28">
        <w:rPr>
          <w:rFonts w:cs="Times New Roman"/>
        </w:rPr>
        <w:t xml:space="preserve">which includes </w:t>
      </w:r>
      <w:r w:rsidR="004E7B46" w:rsidRPr="00432C28">
        <w:rPr>
          <w:rFonts w:cs="Times New Roman"/>
        </w:rPr>
        <w:t xml:space="preserve">consultation with PacifiCorp’s </w:t>
      </w:r>
      <w:r w:rsidR="00057F95" w:rsidRPr="00432C28">
        <w:rPr>
          <w:rFonts w:cs="Times New Roman"/>
        </w:rPr>
        <w:t xml:space="preserve">DSM </w:t>
      </w:r>
      <w:r w:rsidR="004E7B46" w:rsidRPr="00432C28">
        <w:rPr>
          <w:rFonts w:cs="Times New Roman"/>
        </w:rPr>
        <w:t>A</w:t>
      </w:r>
      <w:r w:rsidR="00057F95" w:rsidRPr="00432C28">
        <w:rPr>
          <w:rFonts w:cs="Times New Roman"/>
        </w:rPr>
        <w:t xml:space="preserve">dvisory </w:t>
      </w:r>
      <w:r w:rsidR="004E7B46" w:rsidRPr="00432C28">
        <w:rPr>
          <w:rFonts w:cs="Times New Roman"/>
        </w:rPr>
        <w:t>G</w:t>
      </w:r>
      <w:r w:rsidR="00057F95" w:rsidRPr="00432C28">
        <w:rPr>
          <w:rFonts w:cs="Times New Roman"/>
        </w:rPr>
        <w:t>roup</w:t>
      </w:r>
      <w:r w:rsidR="004E7B46" w:rsidRPr="00432C28">
        <w:rPr>
          <w:rFonts w:cs="Times New Roman"/>
        </w:rPr>
        <w:t>.</w:t>
      </w:r>
      <w:r w:rsidR="002D2EA9" w:rsidRPr="00432C28">
        <w:rPr>
          <w:rFonts w:cs="Times New Roman"/>
        </w:rPr>
        <w:t xml:space="preserve"> A variance between </w:t>
      </w:r>
      <w:r w:rsidR="008B56D7">
        <w:rPr>
          <w:rFonts w:cs="Times New Roman"/>
        </w:rPr>
        <w:t>planned</w:t>
      </w:r>
      <w:r w:rsidR="002D2EA9" w:rsidRPr="00432C28">
        <w:rPr>
          <w:rFonts w:cs="Times New Roman"/>
        </w:rPr>
        <w:t xml:space="preserve"> and actual</w:t>
      </w:r>
      <w:r w:rsidR="00B5079D">
        <w:rPr>
          <w:rFonts w:cs="Times New Roman"/>
        </w:rPr>
        <w:t xml:space="preserve"> savings</w:t>
      </w:r>
      <w:r w:rsidR="002D2EA9" w:rsidRPr="00432C28">
        <w:rPr>
          <w:rFonts w:cs="Times New Roman"/>
        </w:rPr>
        <w:t xml:space="preserve"> is likely given </w:t>
      </w:r>
      <w:r w:rsidR="008B56D7">
        <w:rPr>
          <w:rFonts w:cs="Times New Roman"/>
        </w:rPr>
        <w:t xml:space="preserve">some level of uncertainty in customer </w:t>
      </w:r>
      <w:r w:rsidR="002D2EA9" w:rsidRPr="00432C28">
        <w:rPr>
          <w:rFonts w:cs="Times New Roman"/>
        </w:rPr>
        <w:t>participation levels in the programs during the biennium period.</w:t>
      </w:r>
      <w:r w:rsidR="008B56D7">
        <w:rPr>
          <w:rFonts w:cs="Times New Roman"/>
        </w:rPr>
        <w:t xml:space="preserve"> As required by WAC 480-109-120 (2) the Company will file an update to its DSM 2016-2017 Business Plan on or before November 15, 2016, any changes to program details and annual budget.  </w:t>
      </w:r>
    </w:p>
    <w:p w:rsidR="00181727" w:rsidRPr="00432C28" w:rsidRDefault="00D01F0D" w:rsidP="00D01F0D">
      <w:pPr>
        <w:pStyle w:val="Heading1"/>
        <w:rPr>
          <w:rFonts w:ascii="Times New Roman" w:hAnsi="Times New Roman" w:cs="Times New Roman"/>
        </w:rPr>
      </w:pPr>
      <w:bookmarkStart w:id="10" w:name="_Toc294088289"/>
      <w:bookmarkStart w:id="11" w:name="_Toc431301346"/>
      <w:r w:rsidRPr="00432C28">
        <w:rPr>
          <w:rFonts w:ascii="Times New Roman" w:hAnsi="Times New Roman" w:cs="Times New Roman"/>
        </w:rPr>
        <w:t>Conservation Potential and Conservation Target</w:t>
      </w:r>
      <w:bookmarkEnd w:id="10"/>
      <w:r w:rsidRPr="00432C28">
        <w:rPr>
          <w:rFonts w:ascii="Times New Roman" w:hAnsi="Times New Roman" w:cs="Times New Roman"/>
        </w:rPr>
        <w:t>s</w:t>
      </w:r>
      <w:bookmarkEnd w:id="11"/>
    </w:p>
    <w:p w:rsidR="001D60A9" w:rsidRPr="00432C28" w:rsidRDefault="001D60A9">
      <w:pPr>
        <w:rPr>
          <w:rFonts w:cs="Times New Roman"/>
        </w:rPr>
      </w:pPr>
    </w:p>
    <w:p w:rsidR="001D60A9" w:rsidRPr="00432C28" w:rsidRDefault="000E5C89">
      <w:pPr>
        <w:pStyle w:val="Heading2"/>
        <w:spacing w:before="0"/>
        <w:rPr>
          <w:rFonts w:cs="Times New Roman"/>
          <w:szCs w:val="24"/>
        </w:rPr>
      </w:pPr>
      <w:bookmarkStart w:id="12" w:name="_Toc431301347"/>
      <w:r w:rsidRPr="00432C28">
        <w:rPr>
          <w:rFonts w:cs="Times New Roman"/>
          <w:szCs w:val="24"/>
        </w:rPr>
        <w:t>Ten-Year Conservation Potential</w:t>
      </w:r>
      <w:bookmarkEnd w:id="12"/>
    </w:p>
    <w:p w:rsidR="001D60A9" w:rsidRPr="00432C28" w:rsidRDefault="001D60A9">
      <w:pPr>
        <w:pStyle w:val="Heading2"/>
        <w:spacing w:before="0"/>
        <w:rPr>
          <w:rFonts w:cs="Times New Roman"/>
          <w:szCs w:val="24"/>
        </w:rPr>
      </w:pPr>
    </w:p>
    <w:p w:rsidR="00993C9F" w:rsidRPr="00432C28" w:rsidRDefault="00092202" w:rsidP="00EB617A">
      <w:pPr>
        <w:rPr>
          <w:rFonts w:cs="Times New Roman"/>
        </w:rPr>
      </w:pPr>
      <w:r w:rsidRPr="00432C28">
        <w:rPr>
          <w:rFonts w:cs="Times New Roman"/>
          <w:bCs/>
        </w:rPr>
        <w:t>This section describe</w:t>
      </w:r>
      <w:r w:rsidR="00D115CD" w:rsidRPr="00432C28">
        <w:rPr>
          <w:rFonts w:cs="Times New Roman"/>
          <w:bCs/>
        </w:rPr>
        <w:t>s</w:t>
      </w:r>
      <w:r w:rsidRPr="00432C28">
        <w:rPr>
          <w:rFonts w:cs="Times New Roman"/>
          <w:bCs/>
        </w:rPr>
        <w:t xml:space="preserve"> how the </w:t>
      </w:r>
      <w:r w:rsidR="00C521F7" w:rsidRPr="00432C28">
        <w:rPr>
          <w:rFonts w:cs="Times New Roman"/>
        </w:rPr>
        <w:t xml:space="preserve">individual conservation </w:t>
      </w:r>
      <w:r w:rsidRPr="00432C28">
        <w:rPr>
          <w:rFonts w:cs="Times New Roman"/>
          <w:bCs/>
        </w:rPr>
        <w:t xml:space="preserve">potentials </w:t>
      </w:r>
      <w:r w:rsidR="007516A9" w:rsidRPr="00432C28">
        <w:rPr>
          <w:rFonts w:cs="Times New Roman"/>
        </w:rPr>
        <w:t xml:space="preserve">for energy </w:t>
      </w:r>
      <w:r w:rsidR="00E01624" w:rsidRPr="00432C28">
        <w:rPr>
          <w:rFonts w:cs="Times New Roman"/>
        </w:rPr>
        <w:t>efficiency,</w:t>
      </w:r>
      <w:r w:rsidR="007516A9" w:rsidRPr="00432C28">
        <w:rPr>
          <w:rFonts w:cs="Times New Roman"/>
        </w:rPr>
        <w:t xml:space="preserve"> </w:t>
      </w:r>
      <w:r w:rsidR="00ED7D88">
        <w:rPr>
          <w:rFonts w:cs="Times New Roman"/>
        </w:rPr>
        <w:t>distribution</w:t>
      </w:r>
      <w:r w:rsidR="007516A9" w:rsidRPr="00432C28">
        <w:rPr>
          <w:rFonts w:cs="Times New Roman"/>
        </w:rPr>
        <w:t xml:space="preserve"> and production efficiency</w:t>
      </w:r>
      <w:r w:rsidR="007B640E">
        <w:rPr>
          <w:rFonts w:cs="Times New Roman"/>
        </w:rPr>
        <w:t>, and high efficiency cogeneration</w:t>
      </w:r>
      <w:r w:rsidR="007516A9" w:rsidRPr="00432C28">
        <w:rPr>
          <w:rFonts w:cs="Times New Roman"/>
        </w:rPr>
        <w:t xml:space="preserve"> were determined in the development of the Company’s ten-year conservation forecast.</w:t>
      </w:r>
    </w:p>
    <w:p w:rsidR="00E84045" w:rsidRPr="00432C28" w:rsidRDefault="00E84045">
      <w:pPr>
        <w:rPr>
          <w:rFonts w:cs="Times New Roman"/>
        </w:rPr>
      </w:pPr>
    </w:p>
    <w:p w:rsidR="00E84045" w:rsidRPr="00432C28" w:rsidRDefault="00092202">
      <w:pPr>
        <w:rPr>
          <w:rFonts w:cs="Times New Roman"/>
          <w:b/>
          <w:u w:val="single"/>
        </w:rPr>
      </w:pPr>
      <w:r w:rsidRPr="00432C28">
        <w:rPr>
          <w:rFonts w:cs="Times New Roman"/>
          <w:b/>
          <w:u w:val="single"/>
        </w:rPr>
        <w:t>Energy Efficiency</w:t>
      </w:r>
    </w:p>
    <w:p w:rsidR="00E84045" w:rsidRPr="00432C28" w:rsidRDefault="00E84045">
      <w:pPr>
        <w:rPr>
          <w:rFonts w:cs="Times New Roman"/>
        </w:rPr>
      </w:pPr>
    </w:p>
    <w:p w:rsidR="00B74FFD" w:rsidRPr="00432C28" w:rsidRDefault="00B74FFD" w:rsidP="00B74FFD">
      <w:pPr>
        <w:rPr>
          <w:rFonts w:cs="Times New Roman"/>
          <w:szCs w:val="24"/>
        </w:rPr>
      </w:pPr>
      <w:r w:rsidRPr="00432C28">
        <w:rPr>
          <w:rFonts w:cs="Times New Roman"/>
          <w:szCs w:val="24"/>
        </w:rPr>
        <w:t xml:space="preserve">PacifiCorp’s ten-year </w:t>
      </w:r>
      <w:r w:rsidR="00C521F7" w:rsidRPr="00432C28">
        <w:rPr>
          <w:rFonts w:cs="Times New Roman"/>
          <w:szCs w:val="24"/>
        </w:rPr>
        <w:t xml:space="preserve">energy efficiency </w:t>
      </w:r>
      <w:r w:rsidRPr="00432C28">
        <w:rPr>
          <w:rFonts w:cs="Times New Roman"/>
          <w:szCs w:val="24"/>
        </w:rPr>
        <w:t>conservation potential includes the following components:</w:t>
      </w:r>
    </w:p>
    <w:p w:rsidR="00B74FFD" w:rsidRPr="00432C28" w:rsidRDefault="00B74FFD" w:rsidP="00B74FFD">
      <w:pPr>
        <w:rPr>
          <w:rFonts w:cs="Times New Roman"/>
          <w:szCs w:val="24"/>
        </w:rPr>
      </w:pPr>
    </w:p>
    <w:p w:rsidR="00B52D34" w:rsidRPr="00294A7E" w:rsidRDefault="00CE7AF2" w:rsidP="00C521F7">
      <w:pPr>
        <w:pStyle w:val="ListParagraph"/>
        <w:numPr>
          <w:ilvl w:val="0"/>
          <w:numId w:val="1"/>
        </w:numPr>
        <w:rPr>
          <w:rFonts w:cs="Times New Roman"/>
          <w:szCs w:val="24"/>
        </w:rPr>
      </w:pPr>
      <w:r w:rsidRPr="00294A7E">
        <w:rPr>
          <w:rFonts w:cs="Times New Roman"/>
          <w:szCs w:val="24"/>
        </w:rPr>
        <w:t>The completion of an update to the Company’s Conservation Potential Assessment;</w:t>
      </w:r>
      <w:r w:rsidR="00B52D34" w:rsidRPr="00294A7E">
        <w:rPr>
          <w:rFonts w:cs="Times New Roman"/>
          <w:szCs w:val="24"/>
        </w:rPr>
        <w:t xml:space="preserve"> </w:t>
      </w:r>
    </w:p>
    <w:p w:rsidR="004E0B1F" w:rsidRPr="00294A7E" w:rsidRDefault="00C16B44" w:rsidP="00C521F7">
      <w:pPr>
        <w:pStyle w:val="ListParagraph"/>
        <w:numPr>
          <w:ilvl w:val="0"/>
          <w:numId w:val="1"/>
        </w:numPr>
        <w:rPr>
          <w:rFonts w:cs="Times New Roman"/>
          <w:szCs w:val="24"/>
        </w:rPr>
      </w:pPr>
      <w:r w:rsidRPr="00294A7E">
        <w:rPr>
          <w:rFonts w:cs="Times New Roman"/>
          <w:szCs w:val="24"/>
        </w:rPr>
        <w:t xml:space="preserve">The economic screening/selection of resources through </w:t>
      </w:r>
      <w:r w:rsidR="00D115CD" w:rsidRPr="00294A7E">
        <w:rPr>
          <w:rFonts w:cs="Times New Roman"/>
          <w:szCs w:val="24"/>
        </w:rPr>
        <w:t>the 201</w:t>
      </w:r>
      <w:r w:rsidR="00DB508D" w:rsidRPr="00294A7E">
        <w:rPr>
          <w:rFonts w:cs="Times New Roman"/>
          <w:szCs w:val="24"/>
        </w:rPr>
        <w:t>5</w:t>
      </w:r>
      <w:r w:rsidR="00B74FFD" w:rsidRPr="00294A7E">
        <w:rPr>
          <w:rFonts w:cs="Times New Roman"/>
          <w:szCs w:val="24"/>
        </w:rPr>
        <w:t xml:space="preserve"> IRP</w:t>
      </w:r>
      <w:r w:rsidR="00A741D4" w:rsidRPr="00294A7E">
        <w:rPr>
          <w:rFonts w:cs="Times New Roman"/>
          <w:szCs w:val="24"/>
        </w:rPr>
        <w:t xml:space="preserve"> process</w:t>
      </w:r>
      <w:r w:rsidR="00F670CE" w:rsidRPr="00294A7E">
        <w:rPr>
          <w:rFonts w:cs="Times New Roman"/>
          <w:szCs w:val="24"/>
        </w:rPr>
        <w:t>;</w:t>
      </w:r>
      <w:r w:rsidR="00C521F7" w:rsidRPr="00294A7E">
        <w:rPr>
          <w:rFonts w:cs="Times New Roman"/>
          <w:szCs w:val="24"/>
        </w:rPr>
        <w:t xml:space="preserve"> </w:t>
      </w:r>
    </w:p>
    <w:p w:rsidR="00B41757" w:rsidRPr="00294A7E" w:rsidRDefault="00D115CD" w:rsidP="00B41757">
      <w:pPr>
        <w:pStyle w:val="ListParagraph"/>
        <w:numPr>
          <w:ilvl w:val="0"/>
          <w:numId w:val="1"/>
        </w:numPr>
        <w:rPr>
          <w:rFonts w:cs="Times New Roman"/>
          <w:szCs w:val="24"/>
        </w:rPr>
      </w:pPr>
      <w:r w:rsidRPr="00294A7E">
        <w:rPr>
          <w:rFonts w:cs="Times New Roman"/>
          <w:szCs w:val="24"/>
        </w:rPr>
        <w:t>Changes to the 201</w:t>
      </w:r>
      <w:r w:rsidR="00DB508D" w:rsidRPr="00294A7E">
        <w:rPr>
          <w:rFonts w:cs="Times New Roman"/>
          <w:szCs w:val="24"/>
        </w:rPr>
        <w:t>5</w:t>
      </w:r>
      <w:r w:rsidR="00C521F7" w:rsidRPr="00294A7E">
        <w:rPr>
          <w:rFonts w:cs="Times New Roman"/>
          <w:szCs w:val="24"/>
        </w:rPr>
        <w:t xml:space="preserve"> IRP conservation </w:t>
      </w:r>
      <w:r w:rsidR="00C16B44" w:rsidRPr="00294A7E">
        <w:rPr>
          <w:rFonts w:cs="Times New Roman"/>
          <w:szCs w:val="24"/>
        </w:rPr>
        <w:t>resource selections</w:t>
      </w:r>
      <w:r w:rsidR="00C521F7" w:rsidRPr="00294A7E">
        <w:rPr>
          <w:rFonts w:cs="Times New Roman"/>
          <w:szCs w:val="24"/>
        </w:rPr>
        <w:t xml:space="preserve"> due t</w:t>
      </w:r>
      <w:r w:rsidR="00F4400B" w:rsidRPr="00294A7E">
        <w:rPr>
          <w:rFonts w:cs="Times New Roman"/>
          <w:szCs w:val="24"/>
        </w:rPr>
        <w:t xml:space="preserve">o adjustments informed by recent </w:t>
      </w:r>
      <w:r w:rsidR="009925AA" w:rsidRPr="00294A7E">
        <w:rPr>
          <w:rFonts w:cs="Times New Roman"/>
          <w:szCs w:val="24"/>
        </w:rPr>
        <w:t>RTF</w:t>
      </w:r>
      <w:r w:rsidR="008E3C03" w:rsidRPr="00294A7E">
        <w:rPr>
          <w:rFonts w:cs="Times New Roman"/>
          <w:szCs w:val="24"/>
        </w:rPr>
        <w:t xml:space="preserve"> </w:t>
      </w:r>
      <w:r w:rsidR="00F670CE" w:rsidRPr="00294A7E">
        <w:rPr>
          <w:rFonts w:cs="Times New Roman"/>
          <w:szCs w:val="24"/>
        </w:rPr>
        <w:t>updates,</w:t>
      </w:r>
      <w:r w:rsidR="00B74FFD" w:rsidRPr="00294A7E">
        <w:rPr>
          <w:rFonts w:cs="Times New Roman"/>
          <w:szCs w:val="24"/>
        </w:rPr>
        <w:t xml:space="preserve"> </w:t>
      </w:r>
      <w:r w:rsidR="00A22FBF" w:rsidRPr="00294A7E">
        <w:rPr>
          <w:rFonts w:cs="Times New Roman"/>
          <w:szCs w:val="24"/>
        </w:rPr>
        <w:t>errors found in the pricing or sav</w:t>
      </w:r>
      <w:r w:rsidR="00CE7AF2" w:rsidRPr="00294A7E">
        <w:rPr>
          <w:rFonts w:cs="Times New Roman"/>
          <w:szCs w:val="24"/>
        </w:rPr>
        <w:t>ings</w:t>
      </w:r>
      <w:r w:rsidR="00A22FBF" w:rsidRPr="00294A7E">
        <w:rPr>
          <w:rFonts w:cs="Times New Roman"/>
          <w:szCs w:val="24"/>
        </w:rPr>
        <w:t xml:space="preserve"> information of select measures that initially led to their omission from IRP selection, </w:t>
      </w:r>
      <w:r w:rsidR="00B23634">
        <w:rPr>
          <w:rFonts w:cs="Times New Roman"/>
          <w:szCs w:val="24"/>
        </w:rPr>
        <w:t xml:space="preserve">supplemental studies, </w:t>
      </w:r>
      <w:r w:rsidR="00A22FBF" w:rsidRPr="00294A7E">
        <w:rPr>
          <w:rFonts w:cs="Times New Roman"/>
          <w:szCs w:val="24"/>
        </w:rPr>
        <w:t xml:space="preserve">etc., and the </w:t>
      </w:r>
      <w:r w:rsidR="00B74FFD" w:rsidRPr="00294A7E">
        <w:rPr>
          <w:rFonts w:cs="Times New Roman"/>
          <w:szCs w:val="24"/>
        </w:rPr>
        <w:t xml:space="preserve"> involvement from PacifiCorp’s DSM Advisory Group and other interested parties as documented in this report</w:t>
      </w:r>
      <w:r w:rsidR="00F86784" w:rsidRPr="00294A7E">
        <w:rPr>
          <w:rFonts w:cs="Times New Roman"/>
          <w:szCs w:val="24"/>
        </w:rPr>
        <w:t>; and</w:t>
      </w:r>
    </w:p>
    <w:p w:rsidR="007440BA" w:rsidRPr="00294A7E" w:rsidRDefault="00F86784" w:rsidP="001E42BA">
      <w:pPr>
        <w:pStyle w:val="ListParagraph"/>
        <w:numPr>
          <w:ilvl w:val="0"/>
          <w:numId w:val="1"/>
        </w:numPr>
        <w:rPr>
          <w:rFonts w:cs="Times New Roman"/>
          <w:szCs w:val="24"/>
        </w:rPr>
      </w:pPr>
      <w:r w:rsidRPr="00294A7E">
        <w:rPr>
          <w:rFonts w:cs="Times New Roman"/>
          <w:szCs w:val="24"/>
        </w:rPr>
        <w:t>Company program evaluation information.</w:t>
      </w:r>
    </w:p>
    <w:p w:rsidR="00393671" w:rsidRPr="001E42BA" w:rsidRDefault="00393671" w:rsidP="001E42BA">
      <w:pPr>
        <w:rPr>
          <w:rFonts w:cs="Times New Roman"/>
          <w:szCs w:val="24"/>
        </w:rPr>
      </w:pPr>
    </w:p>
    <w:p w:rsidR="00BC2AF1" w:rsidRPr="00BC0C9C" w:rsidRDefault="00F25D54" w:rsidP="00BC0C9C">
      <w:pPr>
        <w:rPr>
          <w:rFonts w:cs="Times New Roman"/>
          <w:szCs w:val="24"/>
        </w:rPr>
      </w:pPr>
      <w:r>
        <w:fldChar w:fldCharType="begin"/>
      </w:r>
      <w:r>
        <w:instrText xml:space="preserve"> REF _Ref370717722 \h  \* MERGEFORMAT </w:instrText>
      </w:r>
      <w:r>
        <w:fldChar w:fldCharType="separate"/>
      </w:r>
    </w:p>
    <w:p w:rsidR="0089618F" w:rsidRDefault="00BC2AF1" w:rsidP="00272E11">
      <w:pPr>
        <w:rPr>
          <w:rFonts w:cs="Times New Roman"/>
          <w:szCs w:val="24"/>
        </w:rPr>
      </w:pPr>
      <w:r w:rsidRPr="00BC2AF1">
        <w:rPr>
          <w:rFonts w:cs="Times New Roman"/>
          <w:szCs w:val="24"/>
        </w:rPr>
        <w:t xml:space="preserve">Table </w:t>
      </w:r>
      <w:r>
        <w:rPr>
          <w:noProof/>
        </w:rPr>
        <w:t>2</w:t>
      </w:r>
      <w:r w:rsidR="00F25D54">
        <w:fldChar w:fldCharType="end"/>
      </w:r>
      <w:r w:rsidR="00D115CD" w:rsidRPr="00432C28">
        <w:rPr>
          <w:rFonts w:cs="Times New Roman"/>
          <w:szCs w:val="24"/>
        </w:rPr>
        <w:t xml:space="preserve"> and </w:t>
      </w:r>
      <w:r w:rsidR="00F25D54">
        <w:fldChar w:fldCharType="begin"/>
      </w:r>
      <w:r w:rsidR="00F25D54">
        <w:instrText xml:space="preserve"> REF _Ref367105847 \h  \* MERGEFORMAT </w:instrText>
      </w:r>
      <w:r w:rsidR="00F25D54">
        <w:fldChar w:fldCharType="separate"/>
      </w:r>
      <w:r w:rsidRPr="00BC2AF1">
        <w:rPr>
          <w:rFonts w:cs="Times New Roman"/>
          <w:szCs w:val="24"/>
        </w:rPr>
        <w:t xml:space="preserve">Table </w:t>
      </w:r>
      <w:r w:rsidRPr="00BC0C9C">
        <w:rPr>
          <w:rFonts w:cs="Times New Roman"/>
          <w:szCs w:val="24"/>
        </w:rPr>
        <w:t>3</w:t>
      </w:r>
      <w:r w:rsidR="00F25D54">
        <w:fldChar w:fldCharType="end"/>
      </w:r>
      <w:r w:rsidR="00B74FFD" w:rsidRPr="00432C28">
        <w:rPr>
          <w:rFonts w:cs="Times New Roman"/>
          <w:szCs w:val="24"/>
        </w:rPr>
        <w:t xml:space="preserve"> below </w:t>
      </w:r>
      <w:r w:rsidR="00714456" w:rsidRPr="00432C28">
        <w:rPr>
          <w:rFonts w:cs="Times New Roman"/>
          <w:szCs w:val="24"/>
        </w:rPr>
        <w:t xml:space="preserve">respectively </w:t>
      </w:r>
      <w:r w:rsidR="00B74FFD" w:rsidRPr="00432C28">
        <w:rPr>
          <w:rFonts w:cs="Times New Roman"/>
          <w:szCs w:val="24"/>
        </w:rPr>
        <w:t xml:space="preserve">show the annual and cumulative ten-year conservation potential </w:t>
      </w:r>
      <w:r w:rsidR="000C38D4" w:rsidRPr="00432C28">
        <w:rPr>
          <w:rFonts w:cs="Times New Roman"/>
          <w:szCs w:val="24"/>
        </w:rPr>
        <w:t xml:space="preserve">for energy efficiency resources </w:t>
      </w:r>
      <w:r w:rsidR="00B74FFD" w:rsidRPr="00432C28">
        <w:rPr>
          <w:rFonts w:cs="Times New Roman"/>
          <w:szCs w:val="24"/>
        </w:rPr>
        <w:t xml:space="preserve">in </w:t>
      </w:r>
      <w:r w:rsidR="0089618F">
        <w:rPr>
          <w:rFonts w:cs="Times New Roman"/>
          <w:szCs w:val="24"/>
        </w:rPr>
        <w:t>MWh</w:t>
      </w:r>
      <w:r w:rsidR="00B74FFD" w:rsidRPr="00432C28">
        <w:rPr>
          <w:rFonts w:cs="Times New Roman"/>
          <w:szCs w:val="24"/>
        </w:rPr>
        <w:t xml:space="preserve">, </w:t>
      </w:r>
      <w:r w:rsidR="000C38D4" w:rsidRPr="00432C28">
        <w:rPr>
          <w:rFonts w:cs="Times New Roman"/>
          <w:szCs w:val="24"/>
        </w:rPr>
        <w:t xml:space="preserve">before and after the adjustments informed by components </w:t>
      </w:r>
      <w:r w:rsidR="00385DF5">
        <w:rPr>
          <w:rFonts w:cs="Times New Roman"/>
          <w:szCs w:val="24"/>
        </w:rPr>
        <w:t xml:space="preserve">3 and </w:t>
      </w:r>
      <w:r w:rsidR="00393671">
        <w:rPr>
          <w:rFonts w:cs="Times New Roman"/>
          <w:szCs w:val="24"/>
        </w:rPr>
        <w:t>4</w:t>
      </w:r>
      <w:r w:rsidR="000C38D4" w:rsidRPr="00432C28">
        <w:rPr>
          <w:rFonts w:cs="Times New Roman"/>
          <w:szCs w:val="24"/>
        </w:rPr>
        <w:t xml:space="preserve"> above</w:t>
      </w:r>
      <w:r w:rsidR="000671D6">
        <w:rPr>
          <w:rStyle w:val="FootnoteReference"/>
          <w:rFonts w:cs="Times New Roman"/>
          <w:szCs w:val="24"/>
        </w:rPr>
        <w:footnoteReference w:id="19"/>
      </w:r>
      <w:r w:rsidR="000C38D4" w:rsidRPr="00432C28">
        <w:rPr>
          <w:rFonts w:cs="Times New Roman"/>
          <w:szCs w:val="24"/>
        </w:rPr>
        <w:t>.</w:t>
      </w:r>
      <w:r w:rsidR="0034680F" w:rsidRPr="00432C28">
        <w:rPr>
          <w:rFonts w:cs="Times New Roman"/>
          <w:szCs w:val="24"/>
        </w:rPr>
        <w:t xml:space="preserve"> </w:t>
      </w:r>
      <w:bookmarkStart w:id="13" w:name="_Ref367105806"/>
    </w:p>
    <w:p w:rsidR="00272E11" w:rsidRDefault="00272E11" w:rsidP="00272E11">
      <w:pPr>
        <w:rPr>
          <w:rFonts w:cs="Times New Roman"/>
          <w:b/>
          <w:szCs w:val="24"/>
        </w:rPr>
      </w:pPr>
    </w:p>
    <w:p w:rsidR="00B23634" w:rsidRDefault="00B23634" w:rsidP="0089618F">
      <w:pPr>
        <w:jc w:val="center"/>
        <w:rPr>
          <w:rFonts w:cs="Times New Roman"/>
          <w:b/>
          <w:szCs w:val="24"/>
        </w:rPr>
      </w:pPr>
      <w:bookmarkStart w:id="14" w:name="_Ref370717722"/>
      <w:bookmarkEnd w:id="13"/>
    </w:p>
    <w:p w:rsidR="00B74FFD" w:rsidRPr="00220638" w:rsidRDefault="0089618F" w:rsidP="00220638">
      <w:pPr>
        <w:pStyle w:val="Caption"/>
      </w:pPr>
      <w:bookmarkStart w:id="15" w:name="_Toc430706304"/>
      <w:r w:rsidRPr="00220638">
        <w:t xml:space="preserve">Table </w:t>
      </w:r>
      <w:r w:rsidR="003264B1" w:rsidRPr="00220638">
        <w:fldChar w:fldCharType="begin"/>
      </w:r>
      <w:r w:rsidRPr="00220638">
        <w:instrText xml:space="preserve"> SEQ Table \* ARABIC </w:instrText>
      </w:r>
      <w:r w:rsidR="003264B1" w:rsidRPr="00220638">
        <w:fldChar w:fldCharType="separate"/>
      </w:r>
      <w:r w:rsidR="00BC2AF1">
        <w:rPr>
          <w:noProof/>
        </w:rPr>
        <w:t>2</w:t>
      </w:r>
      <w:r w:rsidR="003264B1" w:rsidRPr="00220638">
        <w:fldChar w:fldCharType="end"/>
      </w:r>
      <w:bookmarkEnd w:id="14"/>
      <w:r w:rsidR="00220638">
        <w:t xml:space="preserve">: </w:t>
      </w:r>
      <w:r w:rsidR="00B5079D" w:rsidRPr="00220638">
        <w:t>201</w:t>
      </w:r>
      <w:r w:rsidR="00272C24" w:rsidRPr="00220638">
        <w:t>6</w:t>
      </w:r>
      <w:r w:rsidR="00B5079D" w:rsidRPr="00220638">
        <w:t xml:space="preserve"> – 202</w:t>
      </w:r>
      <w:r w:rsidR="00272C24" w:rsidRPr="00220638">
        <w:t>5</w:t>
      </w:r>
      <w:r w:rsidR="00B74FFD" w:rsidRPr="00220638">
        <w:t xml:space="preserve"> An</w:t>
      </w:r>
      <w:r w:rsidR="00C46E64" w:rsidRPr="00220638">
        <w:t xml:space="preserve">nual </w:t>
      </w:r>
      <w:r w:rsidRPr="00220638">
        <w:t>Energy Efficiency</w:t>
      </w:r>
      <w:r w:rsidR="00C46E64" w:rsidRPr="00220638">
        <w:t xml:space="preserve"> Potential (MWh</w:t>
      </w:r>
      <w:r w:rsidR="00B74FFD" w:rsidRPr="00220638">
        <w:t>)</w:t>
      </w:r>
      <w:bookmarkEnd w:id="15"/>
      <w:r w:rsidR="00323F48" w:rsidRPr="00220638">
        <w:t xml:space="preserve"> </w:t>
      </w:r>
    </w:p>
    <w:p w:rsidR="00294A7E" w:rsidRDefault="00294A7E" w:rsidP="00D115CD">
      <w:pPr>
        <w:jc w:val="center"/>
        <w:rPr>
          <w:rFonts w:cs="Times New Roman"/>
          <w:b/>
          <w:szCs w:val="24"/>
        </w:rPr>
      </w:pPr>
    </w:p>
    <w:p w:rsidR="00294A7E" w:rsidRDefault="00294A7E" w:rsidP="00D115CD">
      <w:pPr>
        <w:jc w:val="center"/>
        <w:rPr>
          <w:rFonts w:cs="Times New Roman"/>
          <w:b/>
          <w:szCs w:val="24"/>
        </w:rPr>
      </w:pPr>
      <w:r w:rsidRPr="00294A7E">
        <w:rPr>
          <w:noProof/>
        </w:rPr>
        <w:drawing>
          <wp:inline distT="0" distB="0" distL="0" distR="0" wp14:anchorId="120AA8A8" wp14:editId="3DF4EB94">
            <wp:extent cx="5943600" cy="946080"/>
            <wp:effectExtent l="0" t="0" r="0"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946080"/>
                    </a:xfrm>
                    <a:prstGeom prst="rect">
                      <a:avLst/>
                    </a:prstGeom>
                    <a:noFill/>
                    <a:ln>
                      <a:noFill/>
                    </a:ln>
                  </pic:spPr>
                </pic:pic>
              </a:graphicData>
            </a:graphic>
          </wp:inline>
        </w:drawing>
      </w:r>
    </w:p>
    <w:p w:rsidR="00294A7E" w:rsidRDefault="00294A7E" w:rsidP="00D115CD">
      <w:pPr>
        <w:jc w:val="center"/>
        <w:rPr>
          <w:rFonts w:cs="Times New Roman"/>
          <w:b/>
          <w:szCs w:val="24"/>
        </w:rPr>
      </w:pPr>
    </w:p>
    <w:p w:rsidR="008307D7" w:rsidRDefault="008307D7" w:rsidP="00D115CD">
      <w:pPr>
        <w:jc w:val="center"/>
        <w:rPr>
          <w:rFonts w:cs="Times New Roman"/>
          <w:b/>
          <w:szCs w:val="24"/>
        </w:rPr>
      </w:pPr>
    </w:p>
    <w:p w:rsidR="008307D7" w:rsidRPr="00432C28" w:rsidRDefault="008307D7" w:rsidP="00D115CD">
      <w:pPr>
        <w:jc w:val="center"/>
        <w:rPr>
          <w:rFonts w:cs="Times New Roman"/>
          <w:b/>
          <w:szCs w:val="24"/>
        </w:rPr>
      </w:pPr>
    </w:p>
    <w:p w:rsidR="00C46E64" w:rsidRDefault="00C46E64" w:rsidP="00B74FFD">
      <w:pPr>
        <w:jc w:val="center"/>
        <w:rPr>
          <w:rFonts w:cs="Times New Roman"/>
          <w:b/>
          <w:szCs w:val="24"/>
        </w:rPr>
      </w:pPr>
    </w:p>
    <w:p w:rsidR="00B74FFD" w:rsidRPr="00220638" w:rsidRDefault="00D115CD" w:rsidP="00220638">
      <w:pPr>
        <w:pStyle w:val="Caption"/>
      </w:pPr>
      <w:bookmarkStart w:id="16" w:name="_Ref367105847"/>
      <w:bookmarkStart w:id="17" w:name="_Toc430706305"/>
      <w:r w:rsidRPr="00220638">
        <w:t xml:space="preserve">Table </w:t>
      </w:r>
      <w:r w:rsidR="003264B1" w:rsidRPr="00220638">
        <w:fldChar w:fldCharType="begin"/>
      </w:r>
      <w:r w:rsidRPr="00220638">
        <w:instrText xml:space="preserve"> SEQ Table \* ARABIC </w:instrText>
      </w:r>
      <w:r w:rsidR="003264B1" w:rsidRPr="00220638">
        <w:fldChar w:fldCharType="separate"/>
      </w:r>
      <w:r w:rsidR="00BC2AF1">
        <w:rPr>
          <w:noProof/>
        </w:rPr>
        <w:t>3</w:t>
      </w:r>
      <w:r w:rsidR="003264B1" w:rsidRPr="00220638">
        <w:fldChar w:fldCharType="end"/>
      </w:r>
      <w:bookmarkEnd w:id="16"/>
      <w:r w:rsidR="00220638">
        <w:t xml:space="preserve">: </w:t>
      </w:r>
      <w:r w:rsidR="00EA0917" w:rsidRPr="00220638">
        <w:t>201</w:t>
      </w:r>
      <w:r w:rsidR="00272C24" w:rsidRPr="00220638">
        <w:t>6</w:t>
      </w:r>
      <w:r w:rsidR="002B1410" w:rsidRPr="00220638">
        <w:t xml:space="preserve"> – </w:t>
      </w:r>
      <w:r w:rsidR="00636E21" w:rsidRPr="00220638">
        <w:t>202</w:t>
      </w:r>
      <w:r w:rsidR="00272C24" w:rsidRPr="00220638">
        <w:t>5</w:t>
      </w:r>
      <w:r w:rsidR="00EA0917" w:rsidRPr="00220638">
        <w:t xml:space="preserve"> </w:t>
      </w:r>
      <w:r w:rsidR="00B74FFD" w:rsidRPr="00220638">
        <w:t>Cumula</w:t>
      </w:r>
      <w:r w:rsidR="00C46E64" w:rsidRPr="00220638">
        <w:t xml:space="preserve">tive </w:t>
      </w:r>
      <w:r w:rsidR="0089618F" w:rsidRPr="00220638">
        <w:t>Energy Efficiency</w:t>
      </w:r>
      <w:r w:rsidR="00C46E64" w:rsidRPr="00220638">
        <w:t xml:space="preserve"> Potential (MWh</w:t>
      </w:r>
      <w:r w:rsidR="00B74FFD" w:rsidRPr="00220638">
        <w:t>)</w:t>
      </w:r>
      <w:bookmarkEnd w:id="17"/>
      <w:r w:rsidR="00323F48" w:rsidRPr="00220638">
        <w:t xml:space="preserve"> </w:t>
      </w:r>
    </w:p>
    <w:p w:rsidR="00294A7E" w:rsidRDefault="00294A7E" w:rsidP="00D115CD">
      <w:pPr>
        <w:jc w:val="center"/>
        <w:rPr>
          <w:rFonts w:cs="Times New Roman"/>
          <w:b/>
          <w:szCs w:val="24"/>
        </w:rPr>
      </w:pPr>
    </w:p>
    <w:p w:rsidR="00294A7E" w:rsidRPr="00432C28" w:rsidRDefault="00294A7E" w:rsidP="00D115CD">
      <w:pPr>
        <w:jc w:val="center"/>
        <w:rPr>
          <w:rFonts w:cs="Times New Roman"/>
          <w:b/>
          <w:szCs w:val="24"/>
        </w:rPr>
      </w:pPr>
      <w:r w:rsidRPr="00294A7E">
        <w:rPr>
          <w:noProof/>
        </w:rPr>
        <w:drawing>
          <wp:inline distT="0" distB="0" distL="0" distR="0" wp14:anchorId="77FE6F98" wp14:editId="770C0A75">
            <wp:extent cx="5943600" cy="950633"/>
            <wp:effectExtent l="0" t="0" r="0"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950633"/>
                    </a:xfrm>
                    <a:prstGeom prst="rect">
                      <a:avLst/>
                    </a:prstGeom>
                    <a:noFill/>
                    <a:ln>
                      <a:noFill/>
                    </a:ln>
                  </pic:spPr>
                </pic:pic>
              </a:graphicData>
            </a:graphic>
          </wp:inline>
        </w:drawing>
      </w:r>
    </w:p>
    <w:p w:rsidR="00B74FFD" w:rsidRPr="00272E11" w:rsidRDefault="00B74FFD" w:rsidP="00B74FFD">
      <w:pPr>
        <w:jc w:val="center"/>
        <w:rPr>
          <w:rFonts w:cs="Times New Roman"/>
          <w:b/>
          <w:sz w:val="16"/>
          <w:szCs w:val="16"/>
        </w:rPr>
      </w:pPr>
    </w:p>
    <w:p w:rsidR="0089618F" w:rsidRDefault="0089618F" w:rsidP="00872705">
      <w:pPr>
        <w:rPr>
          <w:rFonts w:cs="Times New Roman"/>
          <w:i/>
          <w:szCs w:val="24"/>
        </w:rPr>
        <w:sectPr w:rsidR="0089618F" w:rsidSect="00272E11">
          <w:headerReference w:type="even" r:id="rId20"/>
          <w:headerReference w:type="default" r:id="rId21"/>
          <w:footerReference w:type="even" r:id="rId22"/>
          <w:footerReference w:type="default" r:id="rId23"/>
          <w:headerReference w:type="first" r:id="rId24"/>
          <w:footerReference w:type="first" r:id="rId25"/>
          <w:pgSz w:w="12240" w:h="15840" w:code="1"/>
          <w:pgMar w:top="1440" w:right="1440" w:bottom="1440" w:left="1440" w:header="720" w:footer="720" w:gutter="0"/>
          <w:pgNumType w:start="0"/>
          <w:cols w:space="720"/>
          <w:docGrid w:linePitch="360"/>
        </w:sectPr>
      </w:pPr>
    </w:p>
    <w:p w:rsidR="00B74FFD" w:rsidRPr="00432C28" w:rsidRDefault="007516A9" w:rsidP="00872705">
      <w:pPr>
        <w:rPr>
          <w:rFonts w:cs="Times New Roman"/>
          <w:i/>
          <w:szCs w:val="24"/>
        </w:rPr>
      </w:pPr>
      <w:r w:rsidRPr="00432C28">
        <w:rPr>
          <w:rFonts w:cs="Times New Roman"/>
          <w:i/>
          <w:szCs w:val="24"/>
        </w:rPr>
        <w:t xml:space="preserve">Energy Efficiency </w:t>
      </w:r>
      <w:r w:rsidR="000E5C89" w:rsidRPr="00432C28">
        <w:rPr>
          <w:rFonts w:cs="Times New Roman"/>
          <w:i/>
          <w:szCs w:val="24"/>
        </w:rPr>
        <w:t>Potential Identified in the 201</w:t>
      </w:r>
      <w:r w:rsidR="00A64B5F">
        <w:rPr>
          <w:rFonts w:cs="Times New Roman"/>
          <w:i/>
          <w:szCs w:val="24"/>
        </w:rPr>
        <w:t>5</w:t>
      </w:r>
      <w:r w:rsidR="000E5C89" w:rsidRPr="00432C28">
        <w:rPr>
          <w:rFonts w:cs="Times New Roman"/>
          <w:i/>
          <w:szCs w:val="24"/>
        </w:rPr>
        <w:t xml:space="preserve"> IRP</w:t>
      </w:r>
    </w:p>
    <w:p w:rsidR="00B74FFD" w:rsidRPr="00432C28" w:rsidRDefault="00B74FFD" w:rsidP="00872705">
      <w:pPr>
        <w:rPr>
          <w:rFonts w:cs="Times New Roman"/>
          <w:szCs w:val="24"/>
        </w:rPr>
      </w:pPr>
    </w:p>
    <w:p w:rsidR="00ED170B" w:rsidRPr="00432C28" w:rsidRDefault="00F25D54" w:rsidP="00B74FFD">
      <w:pPr>
        <w:rPr>
          <w:rFonts w:cs="Times New Roman"/>
          <w:szCs w:val="24"/>
        </w:rPr>
      </w:pPr>
      <w:r>
        <w:fldChar w:fldCharType="begin"/>
      </w:r>
      <w:r>
        <w:instrText xml:space="preserve"> REF _Ref367108691 \h  \* MERGEFORMAT </w:instrText>
      </w:r>
      <w:r>
        <w:fldChar w:fldCharType="separate"/>
      </w:r>
      <w:r w:rsidR="00BC2AF1" w:rsidRPr="00BC2AF1">
        <w:rPr>
          <w:rFonts w:cs="Times New Roman"/>
          <w:szCs w:val="24"/>
        </w:rPr>
        <w:t xml:space="preserve">Table </w:t>
      </w:r>
      <w:r w:rsidR="00BC2AF1" w:rsidRPr="00857589">
        <w:rPr>
          <w:rFonts w:cs="Times New Roman"/>
          <w:szCs w:val="24"/>
        </w:rPr>
        <w:t>4</w:t>
      </w:r>
      <w:r>
        <w:fldChar w:fldCharType="end"/>
      </w:r>
      <w:r w:rsidR="003E3790" w:rsidRPr="00432C28">
        <w:rPr>
          <w:rFonts w:cs="Times New Roman"/>
          <w:szCs w:val="24"/>
        </w:rPr>
        <w:t xml:space="preserve"> </w:t>
      </w:r>
      <w:r w:rsidR="00B74FFD" w:rsidRPr="00432C28">
        <w:rPr>
          <w:rFonts w:cs="Times New Roman"/>
          <w:szCs w:val="24"/>
        </w:rPr>
        <w:t xml:space="preserve">provides the ten-year annual </w:t>
      </w:r>
      <w:r w:rsidR="00612DF5">
        <w:rPr>
          <w:rFonts w:cs="Times New Roman"/>
          <w:szCs w:val="24"/>
        </w:rPr>
        <w:t xml:space="preserve">and cumulative </w:t>
      </w:r>
      <w:r w:rsidR="00B74FFD" w:rsidRPr="00432C28">
        <w:rPr>
          <w:rFonts w:cs="Times New Roman"/>
          <w:szCs w:val="24"/>
        </w:rPr>
        <w:t>co</w:t>
      </w:r>
      <w:r w:rsidR="003E3790" w:rsidRPr="00432C28">
        <w:rPr>
          <w:rFonts w:cs="Times New Roman"/>
          <w:szCs w:val="24"/>
        </w:rPr>
        <w:t>nservation potential in the 201</w:t>
      </w:r>
      <w:r w:rsidR="004F1A23">
        <w:rPr>
          <w:rFonts w:cs="Times New Roman"/>
          <w:szCs w:val="24"/>
        </w:rPr>
        <w:t>5</w:t>
      </w:r>
      <w:r w:rsidR="00B74FFD" w:rsidRPr="00432C28">
        <w:rPr>
          <w:rFonts w:cs="Times New Roman"/>
          <w:szCs w:val="24"/>
        </w:rPr>
        <w:t xml:space="preserve"> IRP</w:t>
      </w:r>
      <w:r w:rsidR="003E3790" w:rsidRPr="00432C28">
        <w:rPr>
          <w:rFonts w:cs="Times New Roman"/>
          <w:szCs w:val="24"/>
        </w:rPr>
        <w:t xml:space="preserve"> preferred portfolio</w:t>
      </w:r>
      <w:r w:rsidR="00385DF5">
        <w:rPr>
          <w:rFonts w:cs="Times New Roman"/>
          <w:szCs w:val="24"/>
        </w:rPr>
        <w:t>.</w:t>
      </w:r>
    </w:p>
    <w:p w:rsidR="00B74FFD" w:rsidRPr="00432C28" w:rsidRDefault="00B74FFD" w:rsidP="00B74FFD">
      <w:pPr>
        <w:rPr>
          <w:rFonts w:cs="Times New Roman"/>
          <w:szCs w:val="24"/>
        </w:rPr>
      </w:pPr>
      <w:r w:rsidRPr="00432C28">
        <w:rPr>
          <w:rFonts w:cs="Times New Roman"/>
          <w:szCs w:val="24"/>
        </w:rPr>
        <w:t xml:space="preserve"> </w:t>
      </w:r>
    </w:p>
    <w:p w:rsidR="00B74FFD" w:rsidRPr="00432C28" w:rsidRDefault="003E3790" w:rsidP="00220638">
      <w:pPr>
        <w:pStyle w:val="Caption"/>
      </w:pPr>
      <w:bookmarkStart w:id="18" w:name="_Ref367108691"/>
      <w:bookmarkStart w:id="19" w:name="_Toc430706306"/>
      <w:r w:rsidRPr="00432C28">
        <w:t xml:space="preserve">Table </w:t>
      </w:r>
      <w:r w:rsidR="003264B1" w:rsidRPr="00432C28">
        <w:fldChar w:fldCharType="begin"/>
      </w:r>
      <w:r w:rsidRPr="00432C28">
        <w:instrText xml:space="preserve"> SEQ Table \* ARABIC </w:instrText>
      </w:r>
      <w:r w:rsidR="003264B1" w:rsidRPr="00432C28">
        <w:fldChar w:fldCharType="separate"/>
      </w:r>
      <w:r w:rsidR="00BC2AF1">
        <w:rPr>
          <w:noProof/>
        </w:rPr>
        <w:t>4</w:t>
      </w:r>
      <w:r w:rsidR="003264B1" w:rsidRPr="00432C28">
        <w:fldChar w:fldCharType="end"/>
      </w:r>
      <w:bookmarkEnd w:id="18"/>
      <w:r w:rsidR="00220638">
        <w:t xml:space="preserve">: </w:t>
      </w:r>
      <w:r w:rsidR="00B74FFD" w:rsidRPr="00432C28">
        <w:t>Preferred Portfolio, Washington</w:t>
      </w:r>
      <w:r w:rsidR="00612DF5">
        <w:t xml:space="preserve"> Energy</w:t>
      </w:r>
      <w:r w:rsidR="00385DF5">
        <w:rPr>
          <w:rStyle w:val="FootnoteReference"/>
          <w:rFonts w:cs="Times New Roman"/>
          <w:b w:val="0"/>
        </w:rPr>
        <w:footnoteReference w:id="20"/>
      </w:r>
      <w:bookmarkEnd w:id="19"/>
    </w:p>
    <w:p w:rsidR="006A6E2B" w:rsidRPr="00432C28" w:rsidRDefault="006A6E2B" w:rsidP="00B74FFD">
      <w:pPr>
        <w:jc w:val="center"/>
        <w:rPr>
          <w:rFonts w:cs="Times New Roman"/>
          <w:b/>
        </w:rPr>
      </w:pPr>
    </w:p>
    <w:tbl>
      <w:tblPr>
        <w:tblW w:w="9477" w:type="dxa"/>
        <w:jc w:val="center"/>
        <w:tblInd w:w="198" w:type="dxa"/>
        <w:tblLook w:val="04A0" w:firstRow="1" w:lastRow="0" w:firstColumn="1" w:lastColumn="0" w:noHBand="0" w:noVBand="1"/>
      </w:tblPr>
      <w:tblGrid>
        <w:gridCol w:w="1150"/>
        <w:gridCol w:w="766"/>
        <w:gridCol w:w="766"/>
        <w:gridCol w:w="866"/>
        <w:gridCol w:w="866"/>
        <w:gridCol w:w="866"/>
        <w:gridCol w:w="866"/>
        <w:gridCol w:w="866"/>
        <w:gridCol w:w="866"/>
        <w:gridCol w:w="866"/>
        <w:gridCol w:w="944"/>
      </w:tblGrid>
      <w:tr w:rsidR="002D12B1" w:rsidRPr="00432C28" w:rsidTr="009E55D8">
        <w:trPr>
          <w:trHeight w:val="300"/>
          <w:jc w:val="center"/>
        </w:trPr>
        <w:tc>
          <w:tcPr>
            <w:tcW w:w="1121" w:type="dxa"/>
            <w:tcBorders>
              <w:top w:val="nil"/>
              <w:left w:val="nil"/>
              <w:bottom w:val="nil"/>
              <w:right w:val="single" w:sz="8" w:space="0" w:color="auto"/>
            </w:tcBorders>
            <w:shd w:val="clear" w:color="auto" w:fill="auto"/>
            <w:noWrap/>
            <w:vAlign w:val="bottom"/>
            <w:hideMark/>
          </w:tcPr>
          <w:p w:rsidR="00B54A1A" w:rsidRPr="00854177" w:rsidRDefault="00B54A1A" w:rsidP="00B54A1A">
            <w:pPr>
              <w:jc w:val="left"/>
              <w:rPr>
                <w:rFonts w:eastAsia="Times New Roman" w:cs="Times New Roman"/>
                <w:color w:val="000000"/>
                <w:sz w:val="20"/>
                <w:szCs w:val="20"/>
              </w:rPr>
            </w:pPr>
            <w:bookmarkStart w:id="20" w:name="_Ref367110102"/>
            <w:r w:rsidRPr="00854177">
              <w:rPr>
                <w:rFonts w:eastAsia="Times New Roman" w:cs="Times New Roman"/>
                <w:color w:val="000000"/>
                <w:sz w:val="20"/>
                <w:szCs w:val="20"/>
              </w:rPr>
              <w:t> </w:t>
            </w:r>
          </w:p>
        </w:tc>
        <w:tc>
          <w:tcPr>
            <w:tcW w:w="8356" w:type="dxa"/>
            <w:gridSpan w:val="10"/>
            <w:tcBorders>
              <w:top w:val="single" w:sz="8" w:space="0" w:color="auto"/>
              <w:left w:val="single" w:sz="8" w:space="0" w:color="auto"/>
              <w:bottom w:val="nil"/>
              <w:right w:val="single" w:sz="8" w:space="0" w:color="000000"/>
            </w:tcBorders>
            <w:shd w:val="clear" w:color="auto" w:fill="auto"/>
            <w:noWrap/>
            <w:vAlign w:val="center"/>
            <w:hideMark/>
          </w:tcPr>
          <w:p w:rsidR="00B54A1A" w:rsidRPr="00854177" w:rsidRDefault="00854177" w:rsidP="00793F8F">
            <w:pPr>
              <w:jc w:val="center"/>
              <w:rPr>
                <w:rFonts w:eastAsia="Times New Roman" w:cs="Times New Roman"/>
                <w:color w:val="000000"/>
                <w:sz w:val="20"/>
                <w:szCs w:val="20"/>
              </w:rPr>
            </w:pPr>
            <w:r>
              <w:rPr>
                <w:rFonts w:eastAsia="Times New Roman" w:cs="Times New Roman"/>
                <w:color w:val="000000"/>
                <w:sz w:val="20"/>
                <w:szCs w:val="20"/>
              </w:rPr>
              <w:t>Energy (</w:t>
            </w:r>
            <w:r w:rsidRPr="00854177">
              <w:rPr>
                <w:rFonts w:eastAsia="Times New Roman" w:cs="Times New Roman"/>
                <w:color w:val="000000"/>
                <w:sz w:val="20"/>
                <w:szCs w:val="20"/>
              </w:rPr>
              <w:t>MWh</w:t>
            </w:r>
            <w:r>
              <w:rPr>
                <w:rFonts w:eastAsia="Times New Roman" w:cs="Times New Roman"/>
                <w:color w:val="000000"/>
                <w:sz w:val="20"/>
                <w:szCs w:val="20"/>
              </w:rPr>
              <w:t>)</w:t>
            </w:r>
          </w:p>
        </w:tc>
      </w:tr>
      <w:tr w:rsidR="002D12B1" w:rsidRPr="00432C28" w:rsidTr="009E55D8">
        <w:trPr>
          <w:trHeight w:val="315"/>
          <w:jc w:val="center"/>
        </w:trPr>
        <w:tc>
          <w:tcPr>
            <w:tcW w:w="1121" w:type="dxa"/>
            <w:tcBorders>
              <w:top w:val="nil"/>
              <w:left w:val="nil"/>
              <w:bottom w:val="single" w:sz="8" w:space="0" w:color="auto"/>
              <w:right w:val="single" w:sz="8" w:space="0" w:color="auto"/>
            </w:tcBorders>
            <w:shd w:val="clear" w:color="auto" w:fill="auto"/>
            <w:noWrap/>
            <w:vAlign w:val="bottom"/>
            <w:hideMark/>
          </w:tcPr>
          <w:p w:rsidR="00B54A1A" w:rsidRPr="00854177" w:rsidRDefault="00B54A1A" w:rsidP="00B54A1A">
            <w:pPr>
              <w:jc w:val="left"/>
              <w:rPr>
                <w:rFonts w:eastAsia="Times New Roman" w:cs="Times New Roman"/>
                <w:color w:val="000000"/>
                <w:sz w:val="20"/>
                <w:szCs w:val="20"/>
              </w:rPr>
            </w:pPr>
            <w:r w:rsidRPr="00854177">
              <w:rPr>
                <w:rFonts w:eastAsia="Times New Roman" w:cs="Times New Roman"/>
                <w:color w:val="000000"/>
                <w:sz w:val="20"/>
                <w:szCs w:val="20"/>
              </w:rPr>
              <w:t> </w:t>
            </w:r>
          </w:p>
        </w:tc>
        <w:tc>
          <w:tcPr>
            <w:tcW w:w="749" w:type="dxa"/>
            <w:tcBorders>
              <w:top w:val="single" w:sz="4" w:space="0" w:color="auto"/>
              <w:left w:val="nil"/>
              <w:bottom w:val="single" w:sz="4" w:space="0" w:color="auto"/>
              <w:right w:val="single" w:sz="4" w:space="0" w:color="auto"/>
            </w:tcBorders>
            <w:shd w:val="clear" w:color="auto" w:fill="auto"/>
            <w:noWrap/>
            <w:vAlign w:val="center"/>
            <w:hideMark/>
          </w:tcPr>
          <w:p w:rsidR="00B54A1A" w:rsidRPr="00854177" w:rsidRDefault="00B54A1A" w:rsidP="0026609B">
            <w:pPr>
              <w:jc w:val="center"/>
              <w:rPr>
                <w:rFonts w:eastAsia="Times New Roman" w:cs="Times New Roman"/>
                <w:color w:val="000000"/>
                <w:sz w:val="20"/>
                <w:szCs w:val="20"/>
              </w:rPr>
            </w:pPr>
            <w:r w:rsidRPr="00854177">
              <w:rPr>
                <w:rFonts w:eastAsia="Times New Roman" w:cs="Times New Roman"/>
                <w:color w:val="000000"/>
                <w:sz w:val="20"/>
                <w:szCs w:val="20"/>
              </w:rPr>
              <w:t>201</w:t>
            </w:r>
            <w:r w:rsidR="0026609B">
              <w:rPr>
                <w:rFonts w:eastAsia="Times New Roman" w:cs="Times New Roman"/>
                <w:color w:val="000000"/>
                <w:sz w:val="20"/>
                <w:szCs w:val="20"/>
              </w:rPr>
              <w:t>6</w:t>
            </w:r>
          </w:p>
        </w:tc>
        <w:tc>
          <w:tcPr>
            <w:tcW w:w="748" w:type="dxa"/>
            <w:tcBorders>
              <w:top w:val="single" w:sz="4" w:space="0" w:color="auto"/>
              <w:left w:val="nil"/>
              <w:bottom w:val="single" w:sz="4" w:space="0" w:color="auto"/>
              <w:right w:val="single" w:sz="4" w:space="0" w:color="auto"/>
            </w:tcBorders>
            <w:shd w:val="clear" w:color="auto" w:fill="auto"/>
            <w:noWrap/>
            <w:vAlign w:val="center"/>
            <w:hideMark/>
          </w:tcPr>
          <w:p w:rsidR="00B54A1A" w:rsidRPr="00854177" w:rsidRDefault="00B54A1A" w:rsidP="0026609B">
            <w:pPr>
              <w:jc w:val="center"/>
              <w:rPr>
                <w:rFonts w:eastAsia="Times New Roman" w:cs="Times New Roman"/>
                <w:color w:val="000000"/>
                <w:sz w:val="20"/>
                <w:szCs w:val="20"/>
              </w:rPr>
            </w:pPr>
            <w:r w:rsidRPr="00854177">
              <w:rPr>
                <w:rFonts w:eastAsia="Times New Roman" w:cs="Times New Roman"/>
                <w:color w:val="000000"/>
                <w:sz w:val="20"/>
                <w:szCs w:val="20"/>
              </w:rPr>
              <w:t>201</w:t>
            </w:r>
            <w:r w:rsidR="0026609B">
              <w:rPr>
                <w:rFonts w:eastAsia="Times New Roman" w:cs="Times New Roman"/>
                <w:color w:val="000000"/>
                <w:sz w:val="20"/>
                <w:szCs w:val="20"/>
              </w:rPr>
              <w:t>7</w:t>
            </w:r>
          </w:p>
        </w:tc>
        <w:tc>
          <w:tcPr>
            <w:tcW w:w="845" w:type="dxa"/>
            <w:tcBorders>
              <w:top w:val="single" w:sz="4" w:space="0" w:color="auto"/>
              <w:left w:val="nil"/>
              <w:bottom w:val="single" w:sz="4" w:space="0" w:color="auto"/>
              <w:right w:val="single" w:sz="4" w:space="0" w:color="auto"/>
            </w:tcBorders>
            <w:shd w:val="clear" w:color="auto" w:fill="auto"/>
            <w:noWrap/>
            <w:vAlign w:val="center"/>
            <w:hideMark/>
          </w:tcPr>
          <w:p w:rsidR="00B54A1A" w:rsidRPr="00854177" w:rsidRDefault="00B54A1A" w:rsidP="0026609B">
            <w:pPr>
              <w:jc w:val="center"/>
              <w:rPr>
                <w:rFonts w:eastAsia="Times New Roman" w:cs="Times New Roman"/>
                <w:color w:val="000000"/>
                <w:sz w:val="20"/>
                <w:szCs w:val="20"/>
              </w:rPr>
            </w:pPr>
            <w:r w:rsidRPr="00854177">
              <w:rPr>
                <w:rFonts w:eastAsia="Times New Roman" w:cs="Times New Roman"/>
                <w:color w:val="000000"/>
                <w:sz w:val="20"/>
                <w:szCs w:val="20"/>
              </w:rPr>
              <w:t>201</w:t>
            </w:r>
            <w:r w:rsidR="0026609B">
              <w:rPr>
                <w:rFonts w:eastAsia="Times New Roman" w:cs="Times New Roman"/>
                <w:color w:val="000000"/>
                <w:sz w:val="20"/>
                <w:szCs w:val="20"/>
              </w:rPr>
              <w:t>8</w:t>
            </w:r>
          </w:p>
        </w:tc>
        <w:tc>
          <w:tcPr>
            <w:tcW w:w="845" w:type="dxa"/>
            <w:tcBorders>
              <w:top w:val="single" w:sz="4" w:space="0" w:color="auto"/>
              <w:left w:val="nil"/>
              <w:bottom w:val="single" w:sz="4" w:space="0" w:color="auto"/>
              <w:right w:val="single" w:sz="4" w:space="0" w:color="auto"/>
            </w:tcBorders>
            <w:shd w:val="clear" w:color="auto" w:fill="auto"/>
            <w:noWrap/>
            <w:vAlign w:val="center"/>
            <w:hideMark/>
          </w:tcPr>
          <w:p w:rsidR="00B54A1A" w:rsidRPr="00854177" w:rsidRDefault="00B54A1A" w:rsidP="0026609B">
            <w:pPr>
              <w:jc w:val="center"/>
              <w:rPr>
                <w:rFonts w:eastAsia="Times New Roman" w:cs="Times New Roman"/>
                <w:color w:val="000000"/>
                <w:sz w:val="20"/>
                <w:szCs w:val="20"/>
              </w:rPr>
            </w:pPr>
            <w:r w:rsidRPr="00854177">
              <w:rPr>
                <w:rFonts w:eastAsia="Times New Roman" w:cs="Times New Roman"/>
                <w:color w:val="000000"/>
                <w:sz w:val="20"/>
                <w:szCs w:val="20"/>
              </w:rPr>
              <w:t>201</w:t>
            </w:r>
            <w:r w:rsidR="0026609B">
              <w:rPr>
                <w:rFonts w:eastAsia="Times New Roman" w:cs="Times New Roman"/>
                <w:color w:val="000000"/>
                <w:sz w:val="20"/>
                <w:szCs w:val="20"/>
              </w:rPr>
              <w:t>9</w:t>
            </w:r>
          </w:p>
        </w:tc>
        <w:tc>
          <w:tcPr>
            <w:tcW w:w="845" w:type="dxa"/>
            <w:tcBorders>
              <w:top w:val="single" w:sz="4" w:space="0" w:color="auto"/>
              <w:left w:val="nil"/>
              <w:bottom w:val="single" w:sz="4" w:space="0" w:color="auto"/>
              <w:right w:val="single" w:sz="4" w:space="0" w:color="auto"/>
            </w:tcBorders>
            <w:shd w:val="clear" w:color="auto" w:fill="auto"/>
            <w:noWrap/>
            <w:vAlign w:val="center"/>
            <w:hideMark/>
          </w:tcPr>
          <w:p w:rsidR="00B54A1A" w:rsidRPr="00854177" w:rsidRDefault="00B54A1A" w:rsidP="0026609B">
            <w:pPr>
              <w:jc w:val="center"/>
              <w:rPr>
                <w:rFonts w:eastAsia="Times New Roman" w:cs="Times New Roman"/>
                <w:color w:val="000000"/>
                <w:sz w:val="20"/>
                <w:szCs w:val="20"/>
              </w:rPr>
            </w:pPr>
            <w:r w:rsidRPr="00854177">
              <w:rPr>
                <w:rFonts w:eastAsia="Times New Roman" w:cs="Times New Roman"/>
                <w:color w:val="000000"/>
                <w:sz w:val="20"/>
                <w:szCs w:val="20"/>
              </w:rPr>
              <w:t>20</w:t>
            </w:r>
            <w:r w:rsidR="0026609B">
              <w:rPr>
                <w:rFonts w:eastAsia="Times New Roman" w:cs="Times New Roman"/>
                <w:color w:val="000000"/>
                <w:sz w:val="20"/>
                <w:szCs w:val="20"/>
              </w:rPr>
              <w:t>20</w:t>
            </w:r>
          </w:p>
        </w:tc>
        <w:tc>
          <w:tcPr>
            <w:tcW w:w="845" w:type="dxa"/>
            <w:tcBorders>
              <w:top w:val="single" w:sz="4" w:space="0" w:color="auto"/>
              <w:left w:val="nil"/>
              <w:bottom w:val="single" w:sz="4" w:space="0" w:color="auto"/>
              <w:right w:val="single" w:sz="4" w:space="0" w:color="auto"/>
            </w:tcBorders>
            <w:shd w:val="clear" w:color="auto" w:fill="auto"/>
            <w:noWrap/>
            <w:vAlign w:val="center"/>
            <w:hideMark/>
          </w:tcPr>
          <w:p w:rsidR="00B54A1A" w:rsidRPr="00854177" w:rsidRDefault="00B54A1A" w:rsidP="0026609B">
            <w:pPr>
              <w:jc w:val="center"/>
              <w:rPr>
                <w:rFonts w:eastAsia="Times New Roman" w:cs="Times New Roman"/>
                <w:color w:val="000000"/>
                <w:sz w:val="20"/>
                <w:szCs w:val="20"/>
              </w:rPr>
            </w:pPr>
            <w:r w:rsidRPr="00854177">
              <w:rPr>
                <w:rFonts w:eastAsia="Times New Roman" w:cs="Times New Roman"/>
                <w:color w:val="000000"/>
                <w:sz w:val="20"/>
                <w:szCs w:val="20"/>
              </w:rPr>
              <w:t>20</w:t>
            </w:r>
            <w:r w:rsidR="0026609B">
              <w:rPr>
                <w:rFonts w:eastAsia="Times New Roman" w:cs="Times New Roman"/>
                <w:color w:val="000000"/>
                <w:sz w:val="20"/>
                <w:szCs w:val="20"/>
              </w:rPr>
              <w:t>21</w:t>
            </w:r>
          </w:p>
        </w:tc>
        <w:tc>
          <w:tcPr>
            <w:tcW w:w="845" w:type="dxa"/>
            <w:tcBorders>
              <w:top w:val="single" w:sz="4" w:space="0" w:color="auto"/>
              <w:left w:val="nil"/>
              <w:bottom w:val="single" w:sz="4" w:space="0" w:color="auto"/>
              <w:right w:val="single" w:sz="4" w:space="0" w:color="auto"/>
            </w:tcBorders>
            <w:shd w:val="clear" w:color="auto" w:fill="auto"/>
            <w:noWrap/>
            <w:vAlign w:val="center"/>
            <w:hideMark/>
          </w:tcPr>
          <w:p w:rsidR="00B54A1A" w:rsidRPr="00854177" w:rsidRDefault="00B54A1A" w:rsidP="0026609B">
            <w:pPr>
              <w:jc w:val="center"/>
              <w:rPr>
                <w:rFonts w:eastAsia="Times New Roman" w:cs="Times New Roman"/>
                <w:color w:val="000000"/>
                <w:sz w:val="20"/>
                <w:szCs w:val="20"/>
              </w:rPr>
            </w:pPr>
            <w:r w:rsidRPr="00854177">
              <w:rPr>
                <w:rFonts w:eastAsia="Times New Roman" w:cs="Times New Roman"/>
                <w:color w:val="000000"/>
                <w:sz w:val="20"/>
                <w:szCs w:val="20"/>
              </w:rPr>
              <w:t>202</w:t>
            </w:r>
            <w:r w:rsidR="0026609B">
              <w:rPr>
                <w:rFonts w:eastAsia="Times New Roman" w:cs="Times New Roman"/>
                <w:color w:val="000000"/>
                <w:sz w:val="20"/>
                <w:szCs w:val="20"/>
              </w:rPr>
              <w:t>2</w:t>
            </w:r>
          </w:p>
        </w:tc>
        <w:tc>
          <w:tcPr>
            <w:tcW w:w="845" w:type="dxa"/>
            <w:tcBorders>
              <w:top w:val="single" w:sz="4" w:space="0" w:color="auto"/>
              <w:left w:val="nil"/>
              <w:bottom w:val="single" w:sz="4" w:space="0" w:color="auto"/>
              <w:right w:val="single" w:sz="4" w:space="0" w:color="auto"/>
            </w:tcBorders>
            <w:shd w:val="clear" w:color="auto" w:fill="auto"/>
            <w:noWrap/>
            <w:vAlign w:val="center"/>
            <w:hideMark/>
          </w:tcPr>
          <w:p w:rsidR="00B54A1A" w:rsidRPr="00854177" w:rsidRDefault="00B54A1A" w:rsidP="0026609B">
            <w:pPr>
              <w:jc w:val="center"/>
              <w:rPr>
                <w:rFonts w:eastAsia="Times New Roman" w:cs="Times New Roman"/>
                <w:color w:val="000000"/>
                <w:sz w:val="20"/>
                <w:szCs w:val="20"/>
              </w:rPr>
            </w:pPr>
            <w:r w:rsidRPr="00854177">
              <w:rPr>
                <w:rFonts w:eastAsia="Times New Roman" w:cs="Times New Roman"/>
                <w:color w:val="000000"/>
                <w:sz w:val="20"/>
                <w:szCs w:val="20"/>
              </w:rPr>
              <w:t>202</w:t>
            </w:r>
            <w:r w:rsidR="0026609B">
              <w:rPr>
                <w:rFonts w:eastAsia="Times New Roman" w:cs="Times New Roman"/>
                <w:color w:val="000000"/>
                <w:sz w:val="20"/>
                <w:szCs w:val="20"/>
              </w:rPr>
              <w:t>3</w:t>
            </w:r>
          </w:p>
        </w:tc>
        <w:tc>
          <w:tcPr>
            <w:tcW w:w="845" w:type="dxa"/>
            <w:tcBorders>
              <w:top w:val="single" w:sz="4" w:space="0" w:color="auto"/>
              <w:left w:val="nil"/>
              <w:bottom w:val="single" w:sz="4" w:space="0" w:color="auto"/>
              <w:right w:val="single" w:sz="4" w:space="0" w:color="auto"/>
            </w:tcBorders>
            <w:shd w:val="clear" w:color="auto" w:fill="auto"/>
            <w:noWrap/>
            <w:vAlign w:val="center"/>
            <w:hideMark/>
          </w:tcPr>
          <w:p w:rsidR="00B54A1A" w:rsidRPr="00854177" w:rsidRDefault="00B54A1A" w:rsidP="0026609B">
            <w:pPr>
              <w:jc w:val="center"/>
              <w:rPr>
                <w:rFonts w:eastAsia="Times New Roman" w:cs="Times New Roman"/>
                <w:color w:val="000000"/>
                <w:sz w:val="20"/>
                <w:szCs w:val="20"/>
              </w:rPr>
            </w:pPr>
            <w:r w:rsidRPr="00854177">
              <w:rPr>
                <w:rFonts w:eastAsia="Times New Roman" w:cs="Times New Roman"/>
                <w:color w:val="000000"/>
                <w:sz w:val="20"/>
                <w:szCs w:val="20"/>
              </w:rPr>
              <w:t>202</w:t>
            </w:r>
            <w:r w:rsidR="0026609B">
              <w:rPr>
                <w:rFonts w:eastAsia="Times New Roman" w:cs="Times New Roman"/>
                <w:color w:val="000000"/>
                <w:sz w:val="20"/>
                <w:szCs w:val="20"/>
              </w:rPr>
              <w:t>4</w:t>
            </w:r>
          </w:p>
        </w:tc>
        <w:tc>
          <w:tcPr>
            <w:tcW w:w="944" w:type="dxa"/>
            <w:tcBorders>
              <w:top w:val="single" w:sz="4" w:space="0" w:color="auto"/>
              <w:left w:val="nil"/>
              <w:bottom w:val="single" w:sz="4" w:space="0" w:color="auto"/>
              <w:right w:val="single" w:sz="8" w:space="0" w:color="auto"/>
            </w:tcBorders>
            <w:shd w:val="clear" w:color="auto" w:fill="auto"/>
            <w:noWrap/>
            <w:vAlign w:val="center"/>
            <w:hideMark/>
          </w:tcPr>
          <w:p w:rsidR="00B54A1A" w:rsidRPr="00854177" w:rsidRDefault="00B54A1A" w:rsidP="0026609B">
            <w:pPr>
              <w:jc w:val="center"/>
              <w:rPr>
                <w:rFonts w:eastAsia="Times New Roman" w:cs="Times New Roman"/>
                <w:color w:val="000000"/>
                <w:sz w:val="20"/>
                <w:szCs w:val="20"/>
              </w:rPr>
            </w:pPr>
            <w:r w:rsidRPr="00854177">
              <w:rPr>
                <w:rFonts w:eastAsia="Times New Roman" w:cs="Times New Roman"/>
                <w:color w:val="000000"/>
                <w:sz w:val="20"/>
                <w:szCs w:val="20"/>
              </w:rPr>
              <w:t>202</w:t>
            </w:r>
            <w:r w:rsidR="0026609B">
              <w:rPr>
                <w:rFonts w:eastAsia="Times New Roman" w:cs="Times New Roman"/>
                <w:color w:val="000000"/>
                <w:sz w:val="20"/>
                <w:szCs w:val="20"/>
              </w:rPr>
              <w:t>5</w:t>
            </w:r>
          </w:p>
        </w:tc>
      </w:tr>
      <w:tr w:rsidR="002D12B1" w:rsidRPr="00432C28" w:rsidTr="009E55D8">
        <w:trPr>
          <w:trHeight w:val="300"/>
          <w:jc w:val="center"/>
        </w:trPr>
        <w:tc>
          <w:tcPr>
            <w:tcW w:w="1121" w:type="dxa"/>
            <w:tcBorders>
              <w:top w:val="nil"/>
              <w:left w:val="single" w:sz="8" w:space="0" w:color="auto"/>
              <w:bottom w:val="single" w:sz="4" w:space="0" w:color="auto"/>
              <w:right w:val="nil"/>
            </w:tcBorders>
            <w:shd w:val="clear" w:color="auto" w:fill="auto"/>
            <w:noWrap/>
            <w:vAlign w:val="center"/>
            <w:hideMark/>
          </w:tcPr>
          <w:p w:rsidR="00B54A1A" w:rsidRPr="00854177" w:rsidRDefault="00854177" w:rsidP="00793F8F">
            <w:pPr>
              <w:jc w:val="left"/>
              <w:rPr>
                <w:rFonts w:eastAsia="Times New Roman" w:cs="Times New Roman"/>
                <w:color w:val="000000"/>
                <w:sz w:val="20"/>
                <w:szCs w:val="20"/>
              </w:rPr>
            </w:pPr>
            <w:r w:rsidRPr="00854177">
              <w:rPr>
                <w:rFonts w:eastAsia="Times New Roman" w:cs="Times New Roman"/>
                <w:color w:val="000000"/>
                <w:sz w:val="20"/>
                <w:szCs w:val="20"/>
              </w:rPr>
              <w:t>Annual</w:t>
            </w:r>
          </w:p>
        </w:tc>
        <w:tc>
          <w:tcPr>
            <w:tcW w:w="749" w:type="dxa"/>
            <w:tcBorders>
              <w:top w:val="nil"/>
              <w:left w:val="single" w:sz="4" w:space="0" w:color="auto"/>
              <w:bottom w:val="single" w:sz="4" w:space="0" w:color="auto"/>
              <w:right w:val="single" w:sz="4" w:space="0" w:color="auto"/>
            </w:tcBorders>
            <w:shd w:val="clear" w:color="auto" w:fill="auto"/>
            <w:noWrap/>
            <w:vAlign w:val="center"/>
            <w:hideMark/>
          </w:tcPr>
          <w:p w:rsidR="00B54A1A" w:rsidRPr="00854177" w:rsidRDefault="002D12B1" w:rsidP="002D12B1">
            <w:pPr>
              <w:jc w:val="right"/>
              <w:rPr>
                <w:rFonts w:eastAsia="Times New Roman" w:cs="Times New Roman"/>
                <w:color w:val="000000"/>
                <w:sz w:val="20"/>
                <w:szCs w:val="20"/>
              </w:rPr>
            </w:pPr>
            <w:r>
              <w:rPr>
                <w:rFonts w:eastAsia="Times New Roman" w:cs="Times New Roman"/>
                <w:color w:val="000000"/>
                <w:sz w:val="20"/>
                <w:szCs w:val="20"/>
              </w:rPr>
              <w:t>41,200</w:t>
            </w:r>
          </w:p>
        </w:tc>
        <w:tc>
          <w:tcPr>
            <w:tcW w:w="748" w:type="dxa"/>
            <w:tcBorders>
              <w:top w:val="nil"/>
              <w:left w:val="nil"/>
              <w:bottom w:val="single" w:sz="4" w:space="0" w:color="auto"/>
              <w:right w:val="single" w:sz="4" w:space="0" w:color="auto"/>
            </w:tcBorders>
            <w:shd w:val="clear" w:color="auto" w:fill="auto"/>
            <w:noWrap/>
            <w:vAlign w:val="center"/>
            <w:hideMark/>
          </w:tcPr>
          <w:p w:rsidR="00B54A1A" w:rsidRPr="00854177" w:rsidRDefault="002D12B1" w:rsidP="002D12B1">
            <w:pPr>
              <w:jc w:val="right"/>
              <w:rPr>
                <w:rFonts w:eastAsia="Times New Roman" w:cs="Times New Roman"/>
                <w:color w:val="000000"/>
                <w:sz w:val="20"/>
                <w:szCs w:val="20"/>
              </w:rPr>
            </w:pPr>
            <w:r>
              <w:rPr>
                <w:rFonts w:eastAsia="Times New Roman" w:cs="Times New Roman"/>
                <w:color w:val="000000"/>
                <w:sz w:val="20"/>
                <w:szCs w:val="20"/>
              </w:rPr>
              <w:t>44,600</w:t>
            </w:r>
          </w:p>
        </w:tc>
        <w:tc>
          <w:tcPr>
            <w:tcW w:w="845" w:type="dxa"/>
            <w:tcBorders>
              <w:top w:val="nil"/>
              <w:left w:val="nil"/>
              <w:bottom w:val="single" w:sz="4" w:space="0" w:color="auto"/>
              <w:right w:val="single" w:sz="4" w:space="0" w:color="auto"/>
            </w:tcBorders>
            <w:shd w:val="clear" w:color="auto" w:fill="auto"/>
            <w:noWrap/>
            <w:vAlign w:val="center"/>
            <w:hideMark/>
          </w:tcPr>
          <w:p w:rsidR="00B54A1A" w:rsidRPr="00854177" w:rsidRDefault="002D12B1" w:rsidP="002D12B1">
            <w:pPr>
              <w:jc w:val="right"/>
              <w:rPr>
                <w:rFonts w:eastAsia="Times New Roman" w:cs="Times New Roman"/>
                <w:color w:val="000000"/>
                <w:sz w:val="20"/>
                <w:szCs w:val="20"/>
              </w:rPr>
            </w:pPr>
            <w:r>
              <w:rPr>
                <w:rFonts w:eastAsia="Times New Roman" w:cs="Times New Roman"/>
                <w:color w:val="000000"/>
                <w:sz w:val="20"/>
                <w:szCs w:val="20"/>
              </w:rPr>
              <w:t>44,260</w:t>
            </w:r>
          </w:p>
        </w:tc>
        <w:tc>
          <w:tcPr>
            <w:tcW w:w="845" w:type="dxa"/>
            <w:tcBorders>
              <w:top w:val="nil"/>
              <w:left w:val="nil"/>
              <w:bottom w:val="single" w:sz="4" w:space="0" w:color="auto"/>
              <w:right w:val="single" w:sz="4" w:space="0" w:color="auto"/>
            </w:tcBorders>
            <w:shd w:val="clear" w:color="auto" w:fill="auto"/>
            <w:noWrap/>
            <w:vAlign w:val="center"/>
            <w:hideMark/>
          </w:tcPr>
          <w:p w:rsidR="00B54A1A" w:rsidRPr="00854177" w:rsidRDefault="002D12B1" w:rsidP="002D12B1">
            <w:pPr>
              <w:jc w:val="right"/>
              <w:rPr>
                <w:rFonts w:eastAsia="Times New Roman" w:cs="Times New Roman"/>
                <w:color w:val="000000"/>
                <w:sz w:val="20"/>
                <w:szCs w:val="20"/>
              </w:rPr>
            </w:pPr>
            <w:r>
              <w:rPr>
                <w:rFonts w:eastAsia="Times New Roman" w:cs="Times New Roman"/>
                <w:color w:val="000000"/>
                <w:sz w:val="20"/>
                <w:szCs w:val="20"/>
              </w:rPr>
              <w:t>48,610</w:t>
            </w:r>
          </w:p>
        </w:tc>
        <w:tc>
          <w:tcPr>
            <w:tcW w:w="845" w:type="dxa"/>
            <w:tcBorders>
              <w:top w:val="nil"/>
              <w:left w:val="nil"/>
              <w:bottom w:val="single" w:sz="4" w:space="0" w:color="auto"/>
              <w:right w:val="single" w:sz="4" w:space="0" w:color="auto"/>
            </w:tcBorders>
            <w:shd w:val="clear" w:color="auto" w:fill="auto"/>
            <w:noWrap/>
            <w:vAlign w:val="center"/>
            <w:hideMark/>
          </w:tcPr>
          <w:p w:rsidR="00B54A1A" w:rsidRPr="00854177" w:rsidRDefault="002D12B1" w:rsidP="002D12B1">
            <w:pPr>
              <w:jc w:val="right"/>
              <w:rPr>
                <w:rFonts w:eastAsia="Times New Roman" w:cs="Times New Roman"/>
                <w:color w:val="000000"/>
                <w:sz w:val="20"/>
                <w:szCs w:val="20"/>
              </w:rPr>
            </w:pPr>
            <w:r>
              <w:rPr>
                <w:rFonts w:eastAsia="Times New Roman" w:cs="Times New Roman"/>
                <w:color w:val="000000"/>
                <w:sz w:val="20"/>
                <w:szCs w:val="20"/>
              </w:rPr>
              <w:t>38,230</w:t>
            </w:r>
          </w:p>
        </w:tc>
        <w:tc>
          <w:tcPr>
            <w:tcW w:w="845" w:type="dxa"/>
            <w:tcBorders>
              <w:top w:val="nil"/>
              <w:left w:val="nil"/>
              <w:bottom w:val="single" w:sz="4" w:space="0" w:color="auto"/>
              <w:right w:val="single" w:sz="4" w:space="0" w:color="auto"/>
            </w:tcBorders>
            <w:shd w:val="clear" w:color="auto" w:fill="auto"/>
            <w:noWrap/>
            <w:vAlign w:val="center"/>
            <w:hideMark/>
          </w:tcPr>
          <w:p w:rsidR="00B54A1A" w:rsidRPr="00854177" w:rsidRDefault="002D12B1" w:rsidP="00793F8F">
            <w:pPr>
              <w:jc w:val="right"/>
              <w:rPr>
                <w:rFonts w:eastAsia="Times New Roman" w:cs="Times New Roman"/>
                <w:color w:val="000000"/>
                <w:sz w:val="20"/>
                <w:szCs w:val="20"/>
              </w:rPr>
            </w:pPr>
            <w:r>
              <w:rPr>
                <w:rFonts w:eastAsia="Times New Roman" w:cs="Times New Roman"/>
                <w:color w:val="000000"/>
                <w:sz w:val="20"/>
                <w:szCs w:val="20"/>
              </w:rPr>
              <w:t>40,240</w:t>
            </w:r>
          </w:p>
        </w:tc>
        <w:tc>
          <w:tcPr>
            <w:tcW w:w="845" w:type="dxa"/>
            <w:tcBorders>
              <w:top w:val="nil"/>
              <w:left w:val="nil"/>
              <w:bottom w:val="single" w:sz="4" w:space="0" w:color="auto"/>
              <w:right w:val="single" w:sz="4" w:space="0" w:color="auto"/>
            </w:tcBorders>
            <w:shd w:val="clear" w:color="auto" w:fill="auto"/>
            <w:noWrap/>
            <w:vAlign w:val="center"/>
            <w:hideMark/>
          </w:tcPr>
          <w:p w:rsidR="00B54A1A" w:rsidRPr="00854177" w:rsidRDefault="002D12B1" w:rsidP="00793F8F">
            <w:pPr>
              <w:jc w:val="right"/>
              <w:rPr>
                <w:rFonts w:eastAsia="Times New Roman" w:cs="Times New Roman"/>
                <w:color w:val="000000"/>
                <w:sz w:val="20"/>
                <w:szCs w:val="20"/>
              </w:rPr>
            </w:pPr>
            <w:r>
              <w:rPr>
                <w:rFonts w:eastAsia="Times New Roman" w:cs="Times New Roman"/>
                <w:color w:val="000000"/>
                <w:sz w:val="20"/>
                <w:szCs w:val="20"/>
              </w:rPr>
              <w:t>41,910</w:t>
            </w:r>
          </w:p>
        </w:tc>
        <w:tc>
          <w:tcPr>
            <w:tcW w:w="845" w:type="dxa"/>
            <w:tcBorders>
              <w:top w:val="nil"/>
              <w:left w:val="nil"/>
              <w:bottom w:val="single" w:sz="4" w:space="0" w:color="auto"/>
              <w:right w:val="single" w:sz="4" w:space="0" w:color="auto"/>
            </w:tcBorders>
            <w:shd w:val="clear" w:color="auto" w:fill="auto"/>
            <w:noWrap/>
            <w:vAlign w:val="center"/>
            <w:hideMark/>
          </w:tcPr>
          <w:p w:rsidR="00B54A1A" w:rsidRPr="00854177" w:rsidRDefault="002D12B1" w:rsidP="002D12B1">
            <w:pPr>
              <w:jc w:val="right"/>
              <w:rPr>
                <w:rFonts w:eastAsia="Times New Roman" w:cs="Times New Roman"/>
                <w:color w:val="000000"/>
                <w:sz w:val="20"/>
                <w:szCs w:val="20"/>
              </w:rPr>
            </w:pPr>
            <w:r>
              <w:rPr>
                <w:rFonts w:eastAsia="Times New Roman" w:cs="Times New Roman"/>
                <w:color w:val="000000"/>
                <w:sz w:val="20"/>
                <w:szCs w:val="20"/>
              </w:rPr>
              <w:t>44,270</w:t>
            </w:r>
          </w:p>
        </w:tc>
        <w:tc>
          <w:tcPr>
            <w:tcW w:w="845" w:type="dxa"/>
            <w:tcBorders>
              <w:top w:val="nil"/>
              <w:left w:val="nil"/>
              <w:bottom w:val="single" w:sz="4" w:space="0" w:color="auto"/>
              <w:right w:val="single" w:sz="4" w:space="0" w:color="auto"/>
            </w:tcBorders>
            <w:shd w:val="clear" w:color="auto" w:fill="auto"/>
            <w:noWrap/>
            <w:vAlign w:val="center"/>
            <w:hideMark/>
          </w:tcPr>
          <w:p w:rsidR="00B54A1A" w:rsidRPr="00854177" w:rsidRDefault="002D12B1" w:rsidP="002D12B1">
            <w:pPr>
              <w:jc w:val="right"/>
              <w:rPr>
                <w:rFonts w:eastAsia="Times New Roman" w:cs="Times New Roman"/>
                <w:color w:val="000000"/>
                <w:sz w:val="20"/>
                <w:szCs w:val="20"/>
              </w:rPr>
            </w:pPr>
            <w:r>
              <w:rPr>
                <w:rFonts w:eastAsia="Times New Roman" w:cs="Times New Roman"/>
                <w:color w:val="000000"/>
                <w:sz w:val="20"/>
                <w:szCs w:val="20"/>
              </w:rPr>
              <w:t>43,740</w:t>
            </w:r>
          </w:p>
        </w:tc>
        <w:tc>
          <w:tcPr>
            <w:tcW w:w="944" w:type="dxa"/>
            <w:tcBorders>
              <w:top w:val="nil"/>
              <w:left w:val="nil"/>
              <w:bottom w:val="single" w:sz="4" w:space="0" w:color="auto"/>
              <w:right w:val="single" w:sz="8" w:space="0" w:color="auto"/>
            </w:tcBorders>
            <w:shd w:val="clear" w:color="auto" w:fill="auto"/>
            <w:noWrap/>
            <w:vAlign w:val="center"/>
            <w:hideMark/>
          </w:tcPr>
          <w:p w:rsidR="00B54A1A" w:rsidRPr="00854177" w:rsidRDefault="002D12B1" w:rsidP="002D12B1">
            <w:pPr>
              <w:jc w:val="right"/>
              <w:rPr>
                <w:rFonts w:eastAsia="Times New Roman" w:cs="Times New Roman"/>
                <w:color w:val="000000"/>
                <w:sz w:val="20"/>
                <w:szCs w:val="20"/>
              </w:rPr>
            </w:pPr>
            <w:r>
              <w:rPr>
                <w:rFonts w:eastAsia="Times New Roman" w:cs="Times New Roman"/>
                <w:color w:val="000000"/>
                <w:sz w:val="20"/>
                <w:szCs w:val="20"/>
              </w:rPr>
              <w:t>36,040</w:t>
            </w:r>
          </w:p>
        </w:tc>
      </w:tr>
      <w:tr w:rsidR="002D12B1" w:rsidRPr="00432C28" w:rsidTr="002D12B1">
        <w:trPr>
          <w:trHeight w:val="315"/>
          <w:jc w:val="center"/>
        </w:trPr>
        <w:tc>
          <w:tcPr>
            <w:tcW w:w="1121" w:type="dxa"/>
            <w:tcBorders>
              <w:top w:val="nil"/>
              <w:left w:val="single" w:sz="8" w:space="0" w:color="auto"/>
              <w:bottom w:val="single" w:sz="8" w:space="0" w:color="auto"/>
              <w:right w:val="nil"/>
            </w:tcBorders>
            <w:shd w:val="clear" w:color="auto" w:fill="auto"/>
            <w:noWrap/>
            <w:vAlign w:val="center"/>
            <w:hideMark/>
          </w:tcPr>
          <w:p w:rsidR="00854177" w:rsidRPr="00854177" w:rsidRDefault="00854177" w:rsidP="00854177">
            <w:pPr>
              <w:jc w:val="left"/>
              <w:rPr>
                <w:rFonts w:eastAsia="Times New Roman" w:cs="Times New Roman"/>
                <w:color w:val="000000"/>
                <w:sz w:val="20"/>
                <w:szCs w:val="20"/>
              </w:rPr>
            </w:pPr>
            <w:r w:rsidRPr="00854177">
              <w:rPr>
                <w:rFonts w:eastAsia="Times New Roman" w:cs="Times New Roman"/>
                <w:color w:val="000000"/>
                <w:sz w:val="20"/>
                <w:szCs w:val="20"/>
              </w:rPr>
              <w:t>Cumulative</w:t>
            </w:r>
          </w:p>
        </w:tc>
        <w:tc>
          <w:tcPr>
            <w:tcW w:w="749" w:type="dxa"/>
            <w:tcBorders>
              <w:top w:val="nil"/>
              <w:left w:val="single" w:sz="4" w:space="0" w:color="auto"/>
              <w:bottom w:val="single" w:sz="8" w:space="0" w:color="auto"/>
              <w:right w:val="single" w:sz="4" w:space="0" w:color="auto"/>
            </w:tcBorders>
            <w:shd w:val="clear" w:color="auto" w:fill="auto"/>
            <w:noWrap/>
            <w:vAlign w:val="center"/>
          </w:tcPr>
          <w:p w:rsidR="00854177" w:rsidRPr="00854177" w:rsidRDefault="002D12B1" w:rsidP="00854177">
            <w:pPr>
              <w:jc w:val="right"/>
              <w:rPr>
                <w:rFonts w:eastAsia="Times New Roman" w:cs="Times New Roman"/>
                <w:color w:val="000000"/>
                <w:sz w:val="20"/>
                <w:szCs w:val="20"/>
              </w:rPr>
            </w:pPr>
            <w:r>
              <w:rPr>
                <w:rFonts w:eastAsia="Times New Roman" w:cs="Times New Roman"/>
                <w:color w:val="000000"/>
                <w:sz w:val="20"/>
                <w:szCs w:val="20"/>
              </w:rPr>
              <w:t>41,200</w:t>
            </w:r>
          </w:p>
        </w:tc>
        <w:tc>
          <w:tcPr>
            <w:tcW w:w="748" w:type="dxa"/>
            <w:tcBorders>
              <w:top w:val="nil"/>
              <w:left w:val="nil"/>
              <w:bottom w:val="single" w:sz="8" w:space="0" w:color="auto"/>
              <w:right w:val="single" w:sz="4" w:space="0" w:color="auto"/>
            </w:tcBorders>
            <w:shd w:val="clear" w:color="auto" w:fill="auto"/>
            <w:noWrap/>
            <w:vAlign w:val="center"/>
          </w:tcPr>
          <w:p w:rsidR="00854177" w:rsidRPr="00854177" w:rsidRDefault="002D12B1" w:rsidP="00854177">
            <w:pPr>
              <w:jc w:val="right"/>
              <w:rPr>
                <w:rFonts w:eastAsia="Times New Roman" w:cs="Times New Roman"/>
                <w:color w:val="000000"/>
                <w:sz w:val="20"/>
                <w:szCs w:val="20"/>
              </w:rPr>
            </w:pPr>
            <w:r>
              <w:rPr>
                <w:rFonts w:eastAsia="Times New Roman" w:cs="Times New Roman"/>
                <w:color w:val="000000"/>
                <w:sz w:val="20"/>
                <w:szCs w:val="20"/>
              </w:rPr>
              <w:t>85,800</w:t>
            </w:r>
          </w:p>
        </w:tc>
        <w:tc>
          <w:tcPr>
            <w:tcW w:w="845" w:type="dxa"/>
            <w:tcBorders>
              <w:top w:val="nil"/>
              <w:left w:val="nil"/>
              <w:bottom w:val="single" w:sz="8" w:space="0" w:color="auto"/>
              <w:right w:val="single" w:sz="4" w:space="0" w:color="auto"/>
            </w:tcBorders>
            <w:shd w:val="clear" w:color="auto" w:fill="auto"/>
            <w:noWrap/>
            <w:vAlign w:val="center"/>
          </w:tcPr>
          <w:p w:rsidR="00854177" w:rsidRPr="00854177" w:rsidRDefault="002D12B1" w:rsidP="00854177">
            <w:pPr>
              <w:jc w:val="right"/>
              <w:rPr>
                <w:rFonts w:eastAsia="Times New Roman" w:cs="Times New Roman"/>
                <w:color w:val="000000"/>
                <w:sz w:val="20"/>
                <w:szCs w:val="20"/>
              </w:rPr>
            </w:pPr>
            <w:r>
              <w:rPr>
                <w:rFonts w:eastAsia="Times New Roman" w:cs="Times New Roman"/>
                <w:color w:val="000000"/>
                <w:sz w:val="20"/>
                <w:szCs w:val="20"/>
              </w:rPr>
              <w:t>130,060</w:t>
            </w:r>
          </w:p>
        </w:tc>
        <w:tc>
          <w:tcPr>
            <w:tcW w:w="845" w:type="dxa"/>
            <w:tcBorders>
              <w:top w:val="nil"/>
              <w:left w:val="nil"/>
              <w:bottom w:val="single" w:sz="8" w:space="0" w:color="auto"/>
              <w:right w:val="single" w:sz="4" w:space="0" w:color="auto"/>
            </w:tcBorders>
            <w:shd w:val="clear" w:color="auto" w:fill="auto"/>
            <w:noWrap/>
            <w:vAlign w:val="center"/>
          </w:tcPr>
          <w:p w:rsidR="00854177" w:rsidRPr="00854177" w:rsidRDefault="002D12B1" w:rsidP="00854177">
            <w:pPr>
              <w:jc w:val="right"/>
              <w:rPr>
                <w:rFonts w:eastAsia="Times New Roman" w:cs="Times New Roman"/>
                <w:color w:val="000000"/>
                <w:sz w:val="20"/>
                <w:szCs w:val="20"/>
              </w:rPr>
            </w:pPr>
            <w:r>
              <w:rPr>
                <w:rFonts w:eastAsia="Times New Roman" w:cs="Times New Roman"/>
                <w:color w:val="000000"/>
                <w:sz w:val="20"/>
                <w:szCs w:val="20"/>
              </w:rPr>
              <w:t>178,670</w:t>
            </w:r>
          </w:p>
        </w:tc>
        <w:tc>
          <w:tcPr>
            <w:tcW w:w="845" w:type="dxa"/>
            <w:tcBorders>
              <w:top w:val="nil"/>
              <w:left w:val="nil"/>
              <w:bottom w:val="single" w:sz="8" w:space="0" w:color="auto"/>
              <w:right w:val="single" w:sz="4" w:space="0" w:color="auto"/>
            </w:tcBorders>
            <w:shd w:val="clear" w:color="auto" w:fill="auto"/>
            <w:noWrap/>
            <w:vAlign w:val="center"/>
          </w:tcPr>
          <w:p w:rsidR="00854177" w:rsidRPr="00854177" w:rsidRDefault="002D12B1" w:rsidP="00854177">
            <w:pPr>
              <w:jc w:val="right"/>
              <w:rPr>
                <w:rFonts w:eastAsia="Times New Roman" w:cs="Times New Roman"/>
                <w:color w:val="000000"/>
                <w:sz w:val="20"/>
                <w:szCs w:val="20"/>
              </w:rPr>
            </w:pPr>
            <w:r>
              <w:rPr>
                <w:rFonts w:eastAsia="Times New Roman" w:cs="Times New Roman"/>
                <w:color w:val="000000"/>
                <w:sz w:val="20"/>
                <w:szCs w:val="20"/>
              </w:rPr>
              <w:t>216,900</w:t>
            </w:r>
          </w:p>
        </w:tc>
        <w:tc>
          <w:tcPr>
            <w:tcW w:w="845" w:type="dxa"/>
            <w:tcBorders>
              <w:top w:val="nil"/>
              <w:left w:val="nil"/>
              <w:bottom w:val="single" w:sz="8" w:space="0" w:color="auto"/>
              <w:right w:val="single" w:sz="4" w:space="0" w:color="auto"/>
            </w:tcBorders>
            <w:shd w:val="clear" w:color="auto" w:fill="auto"/>
            <w:noWrap/>
            <w:vAlign w:val="center"/>
          </w:tcPr>
          <w:p w:rsidR="00854177" w:rsidRPr="00854177" w:rsidRDefault="002D12B1" w:rsidP="00854177">
            <w:pPr>
              <w:jc w:val="right"/>
              <w:rPr>
                <w:rFonts w:eastAsia="Times New Roman" w:cs="Times New Roman"/>
                <w:color w:val="000000"/>
                <w:sz w:val="20"/>
                <w:szCs w:val="20"/>
              </w:rPr>
            </w:pPr>
            <w:r>
              <w:rPr>
                <w:rFonts w:eastAsia="Times New Roman" w:cs="Times New Roman"/>
                <w:color w:val="000000"/>
                <w:sz w:val="20"/>
                <w:szCs w:val="20"/>
              </w:rPr>
              <w:t>257,140</w:t>
            </w:r>
          </w:p>
        </w:tc>
        <w:tc>
          <w:tcPr>
            <w:tcW w:w="845" w:type="dxa"/>
            <w:tcBorders>
              <w:top w:val="nil"/>
              <w:left w:val="nil"/>
              <w:bottom w:val="single" w:sz="8" w:space="0" w:color="auto"/>
              <w:right w:val="single" w:sz="4" w:space="0" w:color="auto"/>
            </w:tcBorders>
            <w:shd w:val="clear" w:color="auto" w:fill="auto"/>
            <w:noWrap/>
            <w:vAlign w:val="center"/>
          </w:tcPr>
          <w:p w:rsidR="00854177" w:rsidRPr="00854177" w:rsidRDefault="002D12B1" w:rsidP="00854177">
            <w:pPr>
              <w:jc w:val="right"/>
              <w:rPr>
                <w:rFonts w:eastAsia="Times New Roman" w:cs="Times New Roman"/>
                <w:color w:val="000000"/>
                <w:sz w:val="20"/>
                <w:szCs w:val="20"/>
              </w:rPr>
            </w:pPr>
            <w:r>
              <w:rPr>
                <w:rFonts w:eastAsia="Times New Roman" w:cs="Times New Roman"/>
                <w:color w:val="000000"/>
                <w:sz w:val="20"/>
                <w:szCs w:val="20"/>
              </w:rPr>
              <w:t>299,050</w:t>
            </w:r>
          </w:p>
        </w:tc>
        <w:tc>
          <w:tcPr>
            <w:tcW w:w="845" w:type="dxa"/>
            <w:tcBorders>
              <w:top w:val="nil"/>
              <w:left w:val="nil"/>
              <w:bottom w:val="single" w:sz="8" w:space="0" w:color="auto"/>
              <w:right w:val="single" w:sz="4" w:space="0" w:color="auto"/>
            </w:tcBorders>
            <w:shd w:val="clear" w:color="auto" w:fill="auto"/>
            <w:noWrap/>
            <w:vAlign w:val="center"/>
          </w:tcPr>
          <w:p w:rsidR="00854177" w:rsidRPr="00854177" w:rsidRDefault="002D12B1" w:rsidP="00854177">
            <w:pPr>
              <w:jc w:val="right"/>
              <w:rPr>
                <w:rFonts w:eastAsia="Times New Roman" w:cs="Times New Roman"/>
                <w:color w:val="000000"/>
                <w:sz w:val="20"/>
                <w:szCs w:val="20"/>
              </w:rPr>
            </w:pPr>
            <w:r>
              <w:rPr>
                <w:rFonts w:eastAsia="Times New Roman" w:cs="Times New Roman"/>
                <w:color w:val="000000"/>
                <w:sz w:val="20"/>
                <w:szCs w:val="20"/>
              </w:rPr>
              <w:t>343,320</w:t>
            </w:r>
          </w:p>
        </w:tc>
        <w:tc>
          <w:tcPr>
            <w:tcW w:w="845" w:type="dxa"/>
            <w:tcBorders>
              <w:top w:val="nil"/>
              <w:left w:val="nil"/>
              <w:bottom w:val="single" w:sz="8" w:space="0" w:color="auto"/>
              <w:right w:val="single" w:sz="4" w:space="0" w:color="auto"/>
            </w:tcBorders>
            <w:shd w:val="clear" w:color="auto" w:fill="auto"/>
            <w:noWrap/>
            <w:vAlign w:val="center"/>
          </w:tcPr>
          <w:p w:rsidR="00854177" w:rsidRPr="00854177" w:rsidRDefault="002D12B1" w:rsidP="00854177">
            <w:pPr>
              <w:jc w:val="right"/>
              <w:rPr>
                <w:rFonts w:eastAsia="Times New Roman" w:cs="Times New Roman"/>
                <w:color w:val="000000"/>
                <w:sz w:val="20"/>
                <w:szCs w:val="20"/>
              </w:rPr>
            </w:pPr>
            <w:r>
              <w:rPr>
                <w:rFonts w:eastAsia="Times New Roman" w:cs="Times New Roman"/>
                <w:color w:val="000000"/>
                <w:sz w:val="20"/>
                <w:szCs w:val="20"/>
              </w:rPr>
              <w:t>387,060</w:t>
            </w:r>
          </w:p>
        </w:tc>
        <w:tc>
          <w:tcPr>
            <w:tcW w:w="944" w:type="dxa"/>
            <w:tcBorders>
              <w:top w:val="nil"/>
              <w:left w:val="nil"/>
              <w:bottom w:val="single" w:sz="8" w:space="0" w:color="auto"/>
              <w:right w:val="single" w:sz="8" w:space="0" w:color="auto"/>
            </w:tcBorders>
            <w:shd w:val="clear" w:color="auto" w:fill="auto"/>
            <w:noWrap/>
            <w:vAlign w:val="center"/>
          </w:tcPr>
          <w:p w:rsidR="00854177" w:rsidRPr="00854177" w:rsidRDefault="002D12B1" w:rsidP="00854177">
            <w:pPr>
              <w:jc w:val="right"/>
              <w:rPr>
                <w:rFonts w:eastAsia="Times New Roman" w:cs="Times New Roman"/>
                <w:color w:val="000000"/>
                <w:sz w:val="20"/>
                <w:szCs w:val="20"/>
              </w:rPr>
            </w:pPr>
            <w:r>
              <w:rPr>
                <w:rFonts w:eastAsia="Times New Roman" w:cs="Times New Roman"/>
                <w:color w:val="000000"/>
                <w:sz w:val="20"/>
                <w:szCs w:val="20"/>
              </w:rPr>
              <w:t>423,100</w:t>
            </w:r>
          </w:p>
        </w:tc>
      </w:tr>
      <w:bookmarkEnd w:id="20"/>
    </w:tbl>
    <w:p w:rsidR="00B54A1A" w:rsidRPr="00432C28" w:rsidRDefault="00B54A1A" w:rsidP="00B54A1A">
      <w:pPr>
        <w:jc w:val="center"/>
        <w:rPr>
          <w:rFonts w:cs="Times New Roman"/>
          <w:b/>
          <w:szCs w:val="24"/>
        </w:rPr>
      </w:pPr>
    </w:p>
    <w:p w:rsidR="00B74FFD" w:rsidRDefault="00B74FFD" w:rsidP="00B74FFD">
      <w:pPr>
        <w:rPr>
          <w:rFonts w:cs="Times New Roman"/>
          <w:szCs w:val="24"/>
        </w:rPr>
      </w:pPr>
      <w:r w:rsidRPr="00432C28">
        <w:rPr>
          <w:rFonts w:cs="Times New Roman"/>
          <w:szCs w:val="24"/>
        </w:rPr>
        <w:t>Pursuant to WAC 480-109-</w:t>
      </w:r>
      <w:r w:rsidR="00565EE9">
        <w:rPr>
          <w:rFonts w:cs="Times New Roman"/>
          <w:szCs w:val="24"/>
        </w:rPr>
        <w:t>100</w:t>
      </w:r>
      <w:r w:rsidR="00A54115">
        <w:rPr>
          <w:rFonts w:cs="Times New Roman"/>
          <w:szCs w:val="24"/>
        </w:rPr>
        <w:t xml:space="preserve"> </w:t>
      </w:r>
      <w:r w:rsidRPr="00432C28">
        <w:rPr>
          <w:rFonts w:cs="Times New Roman"/>
          <w:szCs w:val="24"/>
        </w:rPr>
        <w:t>(</w:t>
      </w:r>
      <w:r w:rsidR="00565EE9">
        <w:rPr>
          <w:rFonts w:cs="Times New Roman"/>
          <w:szCs w:val="24"/>
        </w:rPr>
        <w:t>2</w:t>
      </w:r>
      <w:r w:rsidRPr="00432C28">
        <w:rPr>
          <w:rFonts w:cs="Times New Roman"/>
          <w:szCs w:val="24"/>
        </w:rPr>
        <w:t>)</w:t>
      </w:r>
      <w:r w:rsidR="00A54115">
        <w:rPr>
          <w:rFonts w:cs="Times New Roman"/>
          <w:szCs w:val="24"/>
        </w:rPr>
        <w:t xml:space="preserve"> </w:t>
      </w:r>
      <w:r w:rsidRPr="00432C28">
        <w:rPr>
          <w:rFonts w:cs="Times New Roman"/>
          <w:szCs w:val="24"/>
        </w:rPr>
        <w:t>(a), the Company’s projection of its cumulative ten-year conservation potential consider</w:t>
      </w:r>
      <w:r w:rsidR="00857589">
        <w:rPr>
          <w:rFonts w:cs="Times New Roman"/>
          <w:szCs w:val="24"/>
        </w:rPr>
        <w:t>s</w:t>
      </w:r>
      <w:r w:rsidRPr="00432C28">
        <w:rPr>
          <w:rFonts w:cs="Times New Roman"/>
          <w:szCs w:val="24"/>
        </w:rPr>
        <w:t xml:space="preserve"> conservation resources that are cost-effective, reliable and feasible. The </w:t>
      </w:r>
      <w:r w:rsidR="002D2EA9" w:rsidRPr="00432C28">
        <w:rPr>
          <w:rFonts w:cs="Times New Roman"/>
          <w:szCs w:val="24"/>
        </w:rPr>
        <w:t xml:space="preserve">energy efficiency </w:t>
      </w:r>
      <w:r w:rsidRPr="00432C28">
        <w:rPr>
          <w:rFonts w:cs="Times New Roman"/>
          <w:szCs w:val="24"/>
        </w:rPr>
        <w:t xml:space="preserve">resources identified in </w:t>
      </w:r>
      <w:r w:rsidR="00C93037" w:rsidRPr="00432C28">
        <w:rPr>
          <w:rFonts w:cs="Times New Roman"/>
          <w:szCs w:val="24"/>
        </w:rPr>
        <w:t xml:space="preserve">the Company’s </w:t>
      </w:r>
      <w:r w:rsidR="000949B6" w:rsidRPr="00432C28">
        <w:rPr>
          <w:rFonts w:cs="Times New Roman"/>
          <w:szCs w:val="24"/>
        </w:rPr>
        <w:t>201</w:t>
      </w:r>
      <w:r w:rsidR="00565EE9">
        <w:rPr>
          <w:rFonts w:cs="Times New Roman"/>
          <w:szCs w:val="24"/>
        </w:rPr>
        <w:t>5</w:t>
      </w:r>
      <w:r w:rsidR="0091279D" w:rsidRPr="00432C28">
        <w:rPr>
          <w:rFonts w:cs="Times New Roman"/>
          <w:szCs w:val="24"/>
        </w:rPr>
        <w:t xml:space="preserve"> </w:t>
      </w:r>
      <w:r w:rsidR="004640A9" w:rsidRPr="00432C28">
        <w:rPr>
          <w:rFonts w:cs="Times New Roman"/>
          <w:szCs w:val="24"/>
        </w:rPr>
        <w:t>C</w:t>
      </w:r>
      <w:r w:rsidR="0091279D" w:rsidRPr="00432C28">
        <w:rPr>
          <w:rFonts w:cs="Times New Roman"/>
          <w:szCs w:val="24"/>
        </w:rPr>
        <w:t xml:space="preserve">onservation </w:t>
      </w:r>
      <w:r w:rsidR="004640A9" w:rsidRPr="00432C28">
        <w:rPr>
          <w:rFonts w:cs="Times New Roman"/>
          <w:szCs w:val="24"/>
        </w:rPr>
        <w:t>P</w:t>
      </w:r>
      <w:r w:rsidR="0091279D" w:rsidRPr="00432C28">
        <w:rPr>
          <w:rFonts w:cs="Times New Roman"/>
          <w:szCs w:val="24"/>
        </w:rPr>
        <w:t xml:space="preserve">otential </w:t>
      </w:r>
      <w:r w:rsidR="004640A9" w:rsidRPr="00432C28">
        <w:rPr>
          <w:rFonts w:cs="Times New Roman"/>
          <w:szCs w:val="24"/>
        </w:rPr>
        <w:t>A</w:t>
      </w:r>
      <w:r w:rsidR="0091279D" w:rsidRPr="00432C28">
        <w:rPr>
          <w:rFonts w:cs="Times New Roman"/>
          <w:szCs w:val="24"/>
        </w:rPr>
        <w:t xml:space="preserve">ssessment </w:t>
      </w:r>
      <w:r w:rsidR="00092202" w:rsidRPr="00432C28">
        <w:rPr>
          <w:rFonts w:cs="Times New Roman"/>
          <w:szCs w:val="24"/>
        </w:rPr>
        <w:t xml:space="preserve">(technical and </w:t>
      </w:r>
      <w:r w:rsidR="00AC1E83" w:rsidRPr="00432C28">
        <w:rPr>
          <w:rFonts w:cs="Times New Roman"/>
          <w:szCs w:val="24"/>
        </w:rPr>
        <w:t xml:space="preserve">technical </w:t>
      </w:r>
      <w:r w:rsidR="00092202" w:rsidRPr="00432C28">
        <w:rPr>
          <w:rFonts w:cs="Times New Roman"/>
          <w:szCs w:val="24"/>
        </w:rPr>
        <w:t>achievable potential</w:t>
      </w:r>
      <w:r w:rsidR="00AC1E83" w:rsidRPr="00432C28">
        <w:rPr>
          <w:rFonts w:cs="Times New Roman"/>
          <w:szCs w:val="24"/>
        </w:rPr>
        <w:t>s</w:t>
      </w:r>
      <w:r w:rsidR="00092202" w:rsidRPr="00432C28">
        <w:rPr>
          <w:rFonts w:cs="Times New Roman"/>
          <w:szCs w:val="24"/>
        </w:rPr>
        <w:t xml:space="preserve">) and </w:t>
      </w:r>
      <w:r w:rsidRPr="00432C28">
        <w:rPr>
          <w:rFonts w:cs="Times New Roman"/>
          <w:szCs w:val="24"/>
        </w:rPr>
        <w:t xml:space="preserve">the </w:t>
      </w:r>
      <w:r w:rsidR="000949B6" w:rsidRPr="00432C28">
        <w:rPr>
          <w:rFonts w:cs="Times New Roman"/>
          <w:szCs w:val="24"/>
        </w:rPr>
        <w:t>201</w:t>
      </w:r>
      <w:r w:rsidR="00565EE9">
        <w:rPr>
          <w:rFonts w:cs="Times New Roman"/>
          <w:szCs w:val="24"/>
        </w:rPr>
        <w:t>5</w:t>
      </w:r>
      <w:r w:rsidR="00C93037" w:rsidRPr="00432C28">
        <w:rPr>
          <w:rFonts w:cs="Times New Roman"/>
          <w:szCs w:val="24"/>
        </w:rPr>
        <w:t xml:space="preserve"> IRP </w:t>
      </w:r>
      <w:r w:rsidRPr="00432C28">
        <w:rPr>
          <w:rFonts w:cs="Times New Roman"/>
          <w:szCs w:val="24"/>
        </w:rPr>
        <w:t>preferred portfolio</w:t>
      </w:r>
      <w:r w:rsidR="00C93037" w:rsidRPr="00432C28">
        <w:rPr>
          <w:rFonts w:cs="Times New Roman"/>
          <w:szCs w:val="24"/>
        </w:rPr>
        <w:t xml:space="preserve"> (</w:t>
      </w:r>
      <w:r w:rsidR="00AC1E83" w:rsidRPr="00432C28">
        <w:rPr>
          <w:rFonts w:cs="Times New Roman"/>
          <w:szCs w:val="24"/>
        </w:rPr>
        <w:t xml:space="preserve">technically achievable </w:t>
      </w:r>
      <w:r w:rsidR="00C93037" w:rsidRPr="00432C28">
        <w:rPr>
          <w:rFonts w:cs="Times New Roman"/>
          <w:szCs w:val="24"/>
        </w:rPr>
        <w:t>economic potential)</w:t>
      </w:r>
      <w:r w:rsidR="0034680F" w:rsidRPr="00432C28">
        <w:rPr>
          <w:rFonts w:cs="Times New Roman"/>
          <w:szCs w:val="24"/>
        </w:rPr>
        <w:t xml:space="preserve">, </w:t>
      </w:r>
      <w:r w:rsidR="004640A9" w:rsidRPr="00432C28">
        <w:rPr>
          <w:rFonts w:cs="Times New Roman"/>
          <w:szCs w:val="24"/>
        </w:rPr>
        <w:t>reflecting</w:t>
      </w:r>
      <w:r w:rsidR="0034680F" w:rsidRPr="00432C28">
        <w:rPr>
          <w:rFonts w:cs="Times New Roman"/>
          <w:szCs w:val="24"/>
        </w:rPr>
        <w:t xml:space="preserve"> adjustments detailed later in this report,</w:t>
      </w:r>
      <w:r w:rsidRPr="00432C28">
        <w:rPr>
          <w:rFonts w:cs="Times New Roman"/>
          <w:szCs w:val="24"/>
        </w:rPr>
        <w:t xml:space="preserve"> are the</w:t>
      </w:r>
      <w:r w:rsidR="004640A9" w:rsidRPr="00432C28">
        <w:rPr>
          <w:rFonts w:cs="Times New Roman"/>
          <w:szCs w:val="24"/>
        </w:rPr>
        <w:t xml:space="preserve"> </w:t>
      </w:r>
      <w:r w:rsidR="00AC1E83" w:rsidRPr="00432C28">
        <w:rPr>
          <w:rFonts w:cs="Times New Roman"/>
          <w:szCs w:val="24"/>
        </w:rPr>
        <w:t xml:space="preserve">energy efficiency related </w:t>
      </w:r>
      <w:r w:rsidR="004640A9" w:rsidRPr="00432C28">
        <w:rPr>
          <w:rFonts w:cs="Times New Roman"/>
          <w:szCs w:val="24"/>
        </w:rPr>
        <w:t>conservation</w:t>
      </w:r>
      <w:r w:rsidRPr="00432C28">
        <w:rPr>
          <w:rFonts w:cs="Times New Roman"/>
          <w:szCs w:val="24"/>
        </w:rPr>
        <w:t xml:space="preserve"> resources</w:t>
      </w:r>
      <w:r w:rsidR="004640A9" w:rsidRPr="00432C28">
        <w:rPr>
          <w:rFonts w:cs="Times New Roman"/>
          <w:szCs w:val="24"/>
        </w:rPr>
        <w:t xml:space="preserve"> available to PacifiCorp</w:t>
      </w:r>
      <w:r w:rsidRPr="00432C28">
        <w:rPr>
          <w:rFonts w:cs="Times New Roman"/>
          <w:szCs w:val="24"/>
        </w:rPr>
        <w:t xml:space="preserve"> that are cost-effective, reliable and feasible. Provided below is further detail on the technologies, data collection, processes, procedures</w:t>
      </w:r>
      <w:r w:rsidR="00611E20" w:rsidRPr="00432C28">
        <w:rPr>
          <w:rFonts w:cs="Times New Roman"/>
          <w:szCs w:val="24"/>
        </w:rPr>
        <w:t>,</w:t>
      </w:r>
      <w:r w:rsidRPr="00432C28">
        <w:rPr>
          <w:rFonts w:cs="Times New Roman"/>
          <w:szCs w:val="24"/>
        </w:rPr>
        <w:t xml:space="preserve"> and assumptions used to develop these figures as required by WAC 480-109-</w:t>
      </w:r>
      <w:r w:rsidR="00565EE9">
        <w:rPr>
          <w:rFonts w:cs="Times New Roman"/>
          <w:szCs w:val="24"/>
        </w:rPr>
        <w:t>120</w:t>
      </w:r>
      <w:r w:rsidR="00A54115">
        <w:rPr>
          <w:rFonts w:cs="Times New Roman"/>
          <w:szCs w:val="24"/>
        </w:rPr>
        <w:t xml:space="preserve"> </w:t>
      </w:r>
      <w:r w:rsidRPr="00432C28">
        <w:rPr>
          <w:rFonts w:cs="Times New Roman"/>
          <w:szCs w:val="24"/>
        </w:rPr>
        <w:t>(</w:t>
      </w:r>
      <w:r w:rsidR="00565EE9">
        <w:rPr>
          <w:rFonts w:cs="Times New Roman"/>
          <w:szCs w:val="24"/>
        </w:rPr>
        <w:t>1</w:t>
      </w:r>
      <w:r w:rsidRPr="00432C28">
        <w:rPr>
          <w:rFonts w:cs="Times New Roman"/>
          <w:szCs w:val="24"/>
        </w:rPr>
        <w:t>)</w:t>
      </w:r>
      <w:r w:rsidR="00A54115">
        <w:rPr>
          <w:rFonts w:cs="Times New Roman"/>
          <w:szCs w:val="24"/>
        </w:rPr>
        <w:t xml:space="preserve"> </w:t>
      </w:r>
      <w:r w:rsidRPr="00432C28">
        <w:rPr>
          <w:rFonts w:cs="Times New Roman"/>
          <w:szCs w:val="24"/>
        </w:rPr>
        <w:t>(</w:t>
      </w:r>
      <w:r w:rsidR="00565EE9">
        <w:rPr>
          <w:rFonts w:cs="Times New Roman"/>
          <w:szCs w:val="24"/>
        </w:rPr>
        <w:t>b</w:t>
      </w:r>
      <w:r w:rsidRPr="00432C28">
        <w:rPr>
          <w:rFonts w:cs="Times New Roman"/>
          <w:szCs w:val="24"/>
        </w:rPr>
        <w:t>)</w:t>
      </w:r>
      <w:r w:rsidR="00A54115">
        <w:rPr>
          <w:rFonts w:cs="Times New Roman"/>
          <w:szCs w:val="24"/>
        </w:rPr>
        <w:t xml:space="preserve"> </w:t>
      </w:r>
      <w:r w:rsidR="00565EE9">
        <w:rPr>
          <w:rFonts w:cs="Times New Roman"/>
          <w:szCs w:val="24"/>
        </w:rPr>
        <w:t>(iv)</w:t>
      </w:r>
      <w:r w:rsidRPr="00432C28">
        <w:rPr>
          <w:rFonts w:cs="Times New Roman"/>
          <w:szCs w:val="24"/>
        </w:rPr>
        <w:t>.</w:t>
      </w:r>
    </w:p>
    <w:p w:rsidR="00793F8F" w:rsidRDefault="00793F8F" w:rsidP="00B74FFD">
      <w:pPr>
        <w:rPr>
          <w:rFonts w:cs="Times New Roman"/>
          <w:b/>
          <w:szCs w:val="24"/>
        </w:rPr>
      </w:pPr>
    </w:p>
    <w:p w:rsidR="00A54115" w:rsidRPr="00432C28" w:rsidRDefault="00A54115" w:rsidP="00B74FFD">
      <w:pPr>
        <w:rPr>
          <w:rFonts w:cs="Times New Roman"/>
          <w:b/>
          <w:szCs w:val="24"/>
        </w:rPr>
      </w:pPr>
    </w:p>
    <w:p w:rsidR="00B74FFD" w:rsidRPr="003434CA" w:rsidRDefault="000E5C89" w:rsidP="00B74FFD">
      <w:pPr>
        <w:rPr>
          <w:rFonts w:cs="Times New Roman"/>
          <w:i/>
          <w:szCs w:val="24"/>
          <w:highlight w:val="yellow"/>
        </w:rPr>
      </w:pPr>
      <w:r w:rsidRPr="006B5F47">
        <w:rPr>
          <w:rFonts w:cs="Times New Roman"/>
          <w:i/>
          <w:szCs w:val="24"/>
        </w:rPr>
        <w:t>Technologies</w:t>
      </w:r>
    </w:p>
    <w:p w:rsidR="00B74FFD" w:rsidRPr="000A7849" w:rsidRDefault="00B74FFD" w:rsidP="00B74FFD">
      <w:pPr>
        <w:rPr>
          <w:rFonts w:cs="Times New Roman"/>
          <w:szCs w:val="24"/>
          <w:highlight w:val="yellow"/>
        </w:rPr>
      </w:pPr>
    </w:p>
    <w:p w:rsidR="00B74FFD" w:rsidRPr="003434CA" w:rsidRDefault="000E5C89" w:rsidP="00B74FFD">
      <w:pPr>
        <w:rPr>
          <w:rFonts w:cs="Times New Roman"/>
          <w:szCs w:val="24"/>
        </w:rPr>
      </w:pPr>
      <w:r w:rsidRPr="00A22E86">
        <w:rPr>
          <w:rFonts w:cs="Times New Roman"/>
          <w:szCs w:val="24"/>
        </w:rPr>
        <w:t>Integrated Resource Planning</w:t>
      </w:r>
      <w:r w:rsidRPr="00543DA8">
        <w:rPr>
          <w:rFonts w:cs="Times New Roman"/>
          <w:szCs w:val="24"/>
        </w:rPr>
        <w:t xml:space="preserve"> </w:t>
      </w:r>
    </w:p>
    <w:p w:rsidR="00B74FFD" w:rsidRPr="003434CA" w:rsidRDefault="00B74FFD" w:rsidP="00B74FFD">
      <w:pPr>
        <w:rPr>
          <w:rFonts w:cs="Times New Roman"/>
          <w:szCs w:val="24"/>
        </w:rPr>
      </w:pPr>
    </w:p>
    <w:p w:rsidR="003A5309" w:rsidRDefault="003A5309" w:rsidP="00B74FFD">
      <w:pPr>
        <w:rPr>
          <w:rFonts w:cs="Times New Roman"/>
          <w:szCs w:val="24"/>
          <w:highlight w:val="yellow"/>
        </w:rPr>
      </w:pPr>
      <w:r>
        <w:rPr>
          <w:rFonts w:cs="Times New Roman"/>
          <w:szCs w:val="24"/>
        </w:rPr>
        <w:t>PacifiCorp’s</w:t>
      </w:r>
      <w:r w:rsidRPr="001A422D">
        <w:rPr>
          <w:rFonts w:cs="Times New Roman"/>
          <w:szCs w:val="24"/>
        </w:rPr>
        <w:t xml:space="preserve"> IRP modeling approach  determine</w:t>
      </w:r>
      <w:r w:rsidR="00857589">
        <w:rPr>
          <w:rFonts w:cs="Times New Roman"/>
          <w:szCs w:val="24"/>
        </w:rPr>
        <w:t>s</w:t>
      </w:r>
      <w:r w:rsidRPr="001A422D">
        <w:rPr>
          <w:rFonts w:cs="Times New Roman"/>
          <w:szCs w:val="24"/>
        </w:rPr>
        <w:t xml:space="preserve"> the comparative cost, risk, and reliability attributes of different resource portfolios, each meeting a target planning reserve margin. These portfolio attributes form the basis of an overall quantitative portfolio performance evaluation. </w:t>
      </w:r>
      <w:r>
        <w:rPr>
          <w:rFonts w:cs="Times New Roman"/>
          <w:szCs w:val="24"/>
        </w:rPr>
        <w:t xml:space="preserve"> Of all the portfolios, one portfolio is selected as the Preferred Portfolio </w:t>
      </w:r>
      <w:r w:rsidRPr="001A422D">
        <w:rPr>
          <w:rFonts w:cs="Times New Roman"/>
          <w:szCs w:val="24"/>
        </w:rPr>
        <w:t>that best balances low-cost and low-risk planning objectives</w:t>
      </w:r>
      <w:r>
        <w:rPr>
          <w:rFonts w:cs="Times New Roman"/>
          <w:szCs w:val="24"/>
        </w:rPr>
        <w:t>.</w:t>
      </w:r>
    </w:p>
    <w:p w:rsidR="003A5309" w:rsidRPr="004F1A23" w:rsidRDefault="003A5309" w:rsidP="00B74FFD">
      <w:pPr>
        <w:rPr>
          <w:rFonts w:cs="Times New Roman"/>
          <w:szCs w:val="24"/>
          <w:highlight w:val="yellow"/>
        </w:rPr>
      </w:pPr>
    </w:p>
    <w:p w:rsidR="00E0511F" w:rsidRPr="00F52ECE" w:rsidRDefault="00E0511F" w:rsidP="00E0511F">
      <w:pPr>
        <w:rPr>
          <w:rFonts w:cs="Times New Roman"/>
          <w:szCs w:val="24"/>
          <w:highlight w:val="yellow"/>
        </w:rPr>
      </w:pPr>
      <w:r w:rsidRPr="00A22E86">
        <w:rPr>
          <w:rFonts w:cs="Times New Roman"/>
          <w:szCs w:val="24"/>
        </w:rPr>
        <w:t>PacifiCorp relies on two model</w:t>
      </w:r>
      <w:r w:rsidR="003A5309" w:rsidRPr="00F52ECE">
        <w:rPr>
          <w:rFonts w:cs="Times New Roman"/>
          <w:szCs w:val="24"/>
        </w:rPr>
        <w:t>s in the</w:t>
      </w:r>
      <w:r w:rsidRPr="00A22E86">
        <w:rPr>
          <w:rFonts w:cs="Times New Roman"/>
          <w:szCs w:val="24"/>
        </w:rPr>
        <w:t xml:space="preserve"> develop</w:t>
      </w:r>
      <w:r w:rsidR="003A5309" w:rsidRPr="00F52ECE">
        <w:rPr>
          <w:rFonts w:cs="Times New Roman"/>
          <w:szCs w:val="24"/>
        </w:rPr>
        <w:t>ment and evaluation of resource portfolios</w:t>
      </w:r>
      <w:r w:rsidRPr="000849D9">
        <w:rPr>
          <w:rFonts w:cs="Times New Roman"/>
          <w:szCs w:val="24"/>
        </w:rPr>
        <w:t xml:space="preserve">: a deterministic capacity expansion optimization </w:t>
      </w:r>
      <w:r w:rsidR="00713411" w:rsidRPr="00F52ECE">
        <w:rPr>
          <w:rFonts w:cs="Times New Roman"/>
          <w:szCs w:val="24"/>
        </w:rPr>
        <w:t>model</w:t>
      </w:r>
      <w:r w:rsidRPr="00A22E86">
        <w:rPr>
          <w:rFonts w:cs="Times New Roman"/>
          <w:szCs w:val="24"/>
        </w:rPr>
        <w:t xml:space="preserve"> c</w:t>
      </w:r>
      <w:r w:rsidRPr="000849D9">
        <w:rPr>
          <w:rFonts w:cs="Times New Roman"/>
          <w:szCs w:val="24"/>
        </w:rPr>
        <w:t xml:space="preserve">alled </w:t>
      </w:r>
      <w:r w:rsidRPr="00543DA8">
        <w:rPr>
          <w:rFonts w:cs="Times New Roman"/>
          <w:i/>
          <w:szCs w:val="24"/>
        </w:rPr>
        <w:t>System Optimizer</w:t>
      </w:r>
      <w:r w:rsidR="00713411" w:rsidRPr="00F52ECE">
        <w:rPr>
          <w:rFonts w:cs="Times New Roman"/>
          <w:i/>
          <w:szCs w:val="24"/>
        </w:rPr>
        <w:t xml:space="preserve"> (“</w:t>
      </w:r>
      <w:r w:rsidR="00713411" w:rsidRPr="00857589">
        <w:rPr>
          <w:rFonts w:cs="Times New Roman"/>
          <w:szCs w:val="24"/>
        </w:rPr>
        <w:t>SO</w:t>
      </w:r>
      <w:r w:rsidR="00713411" w:rsidRPr="00F52ECE">
        <w:rPr>
          <w:rFonts w:cs="Times New Roman"/>
          <w:i/>
          <w:szCs w:val="24"/>
        </w:rPr>
        <w:t>”)</w:t>
      </w:r>
      <w:r w:rsidRPr="00F52ECE">
        <w:rPr>
          <w:rFonts w:cs="Times New Roman"/>
          <w:i/>
          <w:szCs w:val="24"/>
        </w:rPr>
        <w:t>,</w:t>
      </w:r>
      <w:r w:rsidRPr="00A22E86">
        <w:rPr>
          <w:rFonts w:cs="Times New Roman"/>
          <w:szCs w:val="24"/>
        </w:rPr>
        <w:t xml:space="preserve"> and a stochastic chronological production cost </w:t>
      </w:r>
      <w:r w:rsidR="00713411" w:rsidRPr="00F52ECE">
        <w:rPr>
          <w:rFonts w:cs="Times New Roman"/>
          <w:szCs w:val="24"/>
        </w:rPr>
        <w:t>simulation model</w:t>
      </w:r>
      <w:r w:rsidRPr="00A22E86">
        <w:rPr>
          <w:rFonts w:cs="Times New Roman"/>
          <w:szCs w:val="24"/>
        </w:rPr>
        <w:t xml:space="preserve"> called </w:t>
      </w:r>
      <w:r w:rsidR="00092202" w:rsidRPr="000849D9">
        <w:rPr>
          <w:rFonts w:cs="Times New Roman"/>
          <w:i/>
          <w:szCs w:val="24"/>
        </w:rPr>
        <w:t>Planning and Risk</w:t>
      </w:r>
      <w:r w:rsidR="00713411" w:rsidRPr="00F52ECE">
        <w:rPr>
          <w:rFonts w:cs="Times New Roman"/>
          <w:i/>
          <w:szCs w:val="24"/>
        </w:rPr>
        <w:t xml:space="preserve"> </w:t>
      </w:r>
      <w:r w:rsidR="00713411" w:rsidRPr="00F52ECE">
        <w:rPr>
          <w:rFonts w:cs="Times New Roman"/>
          <w:szCs w:val="24"/>
        </w:rPr>
        <w:t>(“PaR)</w:t>
      </w:r>
      <w:r w:rsidR="00713411" w:rsidRPr="00F52ECE">
        <w:rPr>
          <w:rStyle w:val="FootnoteReference"/>
          <w:rFonts w:cs="Times New Roman"/>
          <w:szCs w:val="24"/>
        </w:rPr>
        <w:footnoteReference w:id="21"/>
      </w:r>
      <w:r w:rsidR="00092202" w:rsidRPr="00A22E86">
        <w:rPr>
          <w:rFonts w:cs="Times New Roman"/>
          <w:szCs w:val="24"/>
        </w:rPr>
        <w:t xml:space="preserve">. The vendor for both models is Ventyx </w:t>
      </w:r>
      <w:r w:rsidR="0099191B" w:rsidRPr="00A22E86">
        <w:rPr>
          <w:rFonts w:cs="Times New Roman"/>
        </w:rPr>
        <w:t>(an ABB company). Both S</w:t>
      </w:r>
      <w:r w:rsidR="00713411" w:rsidRPr="00F52ECE">
        <w:rPr>
          <w:rFonts w:cs="Times New Roman"/>
        </w:rPr>
        <w:t>O</w:t>
      </w:r>
      <w:r w:rsidR="0099191B" w:rsidRPr="00A22E86">
        <w:rPr>
          <w:rFonts w:cs="Times New Roman"/>
        </w:rPr>
        <w:t xml:space="preserve"> and P</w:t>
      </w:r>
      <w:r w:rsidR="00713411" w:rsidRPr="00F52ECE">
        <w:rPr>
          <w:rFonts w:cs="Times New Roman"/>
        </w:rPr>
        <w:t xml:space="preserve">aR </w:t>
      </w:r>
      <w:r w:rsidR="0099191B" w:rsidRPr="00A22E86">
        <w:rPr>
          <w:rFonts w:cs="Times New Roman"/>
        </w:rPr>
        <w:t xml:space="preserve">are </w:t>
      </w:r>
      <w:r w:rsidR="00611E20" w:rsidRPr="000849D9">
        <w:rPr>
          <w:rFonts w:cs="Times New Roman"/>
        </w:rPr>
        <w:t>m</w:t>
      </w:r>
      <w:r w:rsidR="0099191B" w:rsidRPr="00543DA8">
        <w:rPr>
          <w:rFonts w:cs="Times New Roman"/>
        </w:rPr>
        <w:t>odules in the</w:t>
      </w:r>
      <w:r w:rsidR="0099191B" w:rsidRPr="006A6E8B">
        <w:rPr>
          <w:rFonts w:cs="Times New Roman"/>
        </w:rPr>
        <w:t xml:space="preserve"> Energy Portfolio Man</w:t>
      </w:r>
      <w:r w:rsidR="00611E20" w:rsidRPr="006A6E8B">
        <w:rPr>
          <w:rFonts w:cs="Times New Roman"/>
        </w:rPr>
        <w:t>a</w:t>
      </w:r>
      <w:r w:rsidR="0099191B" w:rsidRPr="006A6E8B">
        <w:rPr>
          <w:rFonts w:cs="Times New Roman"/>
        </w:rPr>
        <w:t>g</w:t>
      </w:r>
      <w:r w:rsidR="00611E20" w:rsidRPr="009C6A3B">
        <w:rPr>
          <w:rFonts w:cs="Times New Roman"/>
        </w:rPr>
        <w:t>e</w:t>
      </w:r>
      <w:r w:rsidR="0099191B" w:rsidRPr="002462A3">
        <w:rPr>
          <w:rFonts w:cs="Times New Roman"/>
        </w:rPr>
        <w:t>ment (</w:t>
      </w:r>
      <w:r w:rsidR="00713411" w:rsidRPr="00F52ECE">
        <w:rPr>
          <w:rFonts w:cs="Times New Roman"/>
        </w:rPr>
        <w:t>“</w:t>
      </w:r>
      <w:r w:rsidR="0099191B" w:rsidRPr="00A22E86">
        <w:rPr>
          <w:rFonts w:cs="Times New Roman"/>
        </w:rPr>
        <w:t>EPM</w:t>
      </w:r>
      <w:r w:rsidR="00713411" w:rsidRPr="00F52ECE">
        <w:rPr>
          <w:rFonts w:cs="Times New Roman"/>
        </w:rPr>
        <w:t>”</w:t>
      </w:r>
      <w:r w:rsidR="0099191B" w:rsidRPr="00A22E86">
        <w:rPr>
          <w:rFonts w:cs="Times New Roman"/>
        </w:rPr>
        <w:t>)</w:t>
      </w:r>
      <w:r w:rsidR="00092202" w:rsidRPr="00A22E86">
        <w:rPr>
          <w:rFonts w:cs="Times New Roman"/>
          <w:szCs w:val="24"/>
        </w:rPr>
        <w:t xml:space="preserve"> client-server system that uses the Ventyx </w:t>
      </w:r>
      <w:r w:rsidR="00092202" w:rsidRPr="000849D9">
        <w:rPr>
          <w:rFonts w:cs="Times New Roman"/>
          <w:i/>
          <w:szCs w:val="24"/>
        </w:rPr>
        <w:t>ProSym</w:t>
      </w:r>
      <w:r w:rsidR="00092202" w:rsidRPr="00543DA8">
        <w:rPr>
          <w:rFonts w:cs="Times New Roman"/>
          <w:szCs w:val="24"/>
        </w:rPr>
        <w:t xml:space="preserve"> simulation engine and Microsoft SQL Server as the database server. </w:t>
      </w:r>
    </w:p>
    <w:p w:rsidR="00F52ECE" w:rsidRDefault="00F52ECE" w:rsidP="00713411">
      <w:pPr>
        <w:rPr>
          <w:rFonts w:cs="Times New Roman"/>
          <w:szCs w:val="24"/>
        </w:rPr>
      </w:pPr>
    </w:p>
    <w:p w:rsidR="00713411" w:rsidRDefault="00713411" w:rsidP="00713411">
      <w:pPr>
        <w:rPr>
          <w:rFonts w:cs="Times New Roman"/>
          <w:szCs w:val="24"/>
        </w:rPr>
      </w:pPr>
      <w:r w:rsidRPr="009E1DBA">
        <w:rPr>
          <w:rFonts w:cs="Times New Roman"/>
          <w:szCs w:val="24"/>
        </w:rPr>
        <w:t>The SO model operates by minimizing operating costs for existing and prospective new resources, subject to system load balance, reliability and other constraints.</w:t>
      </w:r>
      <w:r>
        <w:rPr>
          <w:rFonts w:cs="Times New Roman"/>
          <w:szCs w:val="24"/>
        </w:rPr>
        <w:t xml:space="preserve">  </w:t>
      </w:r>
      <w:r w:rsidRPr="009E1DBA">
        <w:rPr>
          <w:rFonts w:cs="Times New Roman"/>
          <w:szCs w:val="24"/>
        </w:rPr>
        <w:t xml:space="preserve">Over the 20-year planning horizon, it optimizes resource additions subject to resource costs and capacity constraints (summer peak loads plus a planning reserve margin for each load area represented in the model). In the event that an early retirement of an existing generating resource is assumed for a given planning scenario, </w:t>
      </w:r>
      <w:r>
        <w:rPr>
          <w:rFonts w:cs="Times New Roman"/>
          <w:szCs w:val="24"/>
        </w:rPr>
        <w:t xml:space="preserve">the </w:t>
      </w:r>
      <w:r w:rsidRPr="009E1DBA">
        <w:rPr>
          <w:rFonts w:cs="Times New Roman"/>
          <w:szCs w:val="24"/>
        </w:rPr>
        <w:t>SO</w:t>
      </w:r>
      <w:r>
        <w:rPr>
          <w:rFonts w:cs="Times New Roman"/>
          <w:szCs w:val="24"/>
        </w:rPr>
        <w:t xml:space="preserve"> model</w:t>
      </w:r>
      <w:r w:rsidRPr="009E1DBA">
        <w:rPr>
          <w:rFonts w:cs="Times New Roman"/>
          <w:szCs w:val="24"/>
        </w:rPr>
        <w:t xml:space="preserve"> will select additional resources as required to meet summer peak loads inclusive of a target planning reserve margin.</w:t>
      </w:r>
      <w:r>
        <w:rPr>
          <w:rFonts w:cs="Times New Roman"/>
          <w:szCs w:val="24"/>
        </w:rPr>
        <w:t xml:space="preserve">  </w:t>
      </w:r>
      <w:r w:rsidRPr="009E1DBA">
        <w:rPr>
          <w:rFonts w:cs="Times New Roman"/>
          <w:szCs w:val="24"/>
        </w:rPr>
        <w:t xml:space="preserve">To accomplish these optimization objectives, </w:t>
      </w:r>
      <w:r>
        <w:rPr>
          <w:rFonts w:cs="Times New Roman"/>
          <w:szCs w:val="24"/>
        </w:rPr>
        <w:t>the S</w:t>
      </w:r>
      <w:r w:rsidRPr="009E1DBA">
        <w:rPr>
          <w:rFonts w:cs="Times New Roman"/>
          <w:szCs w:val="24"/>
        </w:rPr>
        <w:t>O</w:t>
      </w:r>
      <w:r>
        <w:rPr>
          <w:rFonts w:cs="Times New Roman"/>
          <w:szCs w:val="24"/>
        </w:rPr>
        <w:t xml:space="preserve"> model</w:t>
      </w:r>
      <w:r w:rsidRPr="009E1DBA">
        <w:rPr>
          <w:rFonts w:cs="Times New Roman"/>
          <w:szCs w:val="24"/>
        </w:rPr>
        <w:t xml:space="preserve"> </w:t>
      </w:r>
      <w:r>
        <w:rPr>
          <w:rFonts w:cs="Times New Roman"/>
          <w:szCs w:val="24"/>
        </w:rPr>
        <w:t>simulates the</w:t>
      </w:r>
      <w:r w:rsidRPr="009E1DBA">
        <w:rPr>
          <w:rFonts w:cs="Times New Roman"/>
          <w:szCs w:val="24"/>
        </w:rPr>
        <w:t xml:space="preserve"> dispatch </w:t>
      </w:r>
      <w:r>
        <w:rPr>
          <w:rFonts w:cs="Times New Roman"/>
          <w:szCs w:val="24"/>
        </w:rPr>
        <w:t>of</w:t>
      </w:r>
      <w:r w:rsidRPr="009E1DBA">
        <w:rPr>
          <w:rFonts w:cs="Times New Roman"/>
          <w:szCs w:val="24"/>
        </w:rPr>
        <w:t xml:space="preserve"> existing and potential planned generation, while considering cost and performance of existing contracts and new </w:t>
      </w:r>
      <w:r>
        <w:rPr>
          <w:rFonts w:cs="Times New Roman"/>
          <w:szCs w:val="24"/>
        </w:rPr>
        <w:t xml:space="preserve">DSM </w:t>
      </w:r>
      <w:r w:rsidRPr="009E1DBA">
        <w:rPr>
          <w:rFonts w:cs="Times New Roman"/>
          <w:szCs w:val="24"/>
        </w:rPr>
        <w:t>alternatives within PacifiCorp’s transmission system.</w:t>
      </w:r>
      <w:r>
        <w:rPr>
          <w:rFonts w:cs="Times New Roman"/>
          <w:szCs w:val="24"/>
        </w:rPr>
        <w:t xml:space="preserve">  In selecting potential resources, t</w:t>
      </w:r>
      <w:r w:rsidRPr="009E1DBA">
        <w:rPr>
          <w:rFonts w:cs="Times New Roman"/>
          <w:szCs w:val="24"/>
        </w:rPr>
        <w:t xml:space="preserve">he model </w:t>
      </w:r>
      <w:r>
        <w:rPr>
          <w:rFonts w:cs="Times New Roman"/>
          <w:szCs w:val="24"/>
        </w:rPr>
        <w:t xml:space="preserve">seek to </w:t>
      </w:r>
      <w:r w:rsidRPr="009E1DBA">
        <w:rPr>
          <w:rFonts w:cs="Times New Roman"/>
          <w:szCs w:val="24"/>
        </w:rPr>
        <w:t xml:space="preserve">minimize the system </w:t>
      </w:r>
      <w:r>
        <w:rPr>
          <w:rFonts w:cs="Times New Roman"/>
          <w:szCs w:val="24"/>
        </w:rPr>
        <w:t>costs</w:t>
      </w:r>
      <w:r w:rsidRPr="009E1DBA">
        <w:rPr>
          <w:rFonts w:cs="Times New Roman"/>
          <w:szCs w:val="24"/>
        </w:rPr>
        <w:t>, which include the cost</w:t>
      </w:r>
      <w:r>
        <w:rPr>
          <w:rFonts w:cs="Times New Roman"/>
          <w:szCs w:val="24"/>
        </w:rPr>
        <w:t>s</w:t>
      </w:r>
      <w:r w:rsidRPr="009E1DBA">
        <w:rPr>
          <w:rFonts w:cs="Times New Roman"/>
          <w:szCs w:val="24"/>
        </w:rPr>
        <w:t xml:space="preserve"> of existing contracts, spot market purchase costs, spot market sale revenues, generation costs (fuel, fixed and variable operation and maintenance, decommissioning, emissions, unserved energy, and unmet capacity), costs of </w:t>
      </w:r>
      <w:r>
        <w:rPr>
          <w:rFonts w:cs="Times New Roman"/>
          <w:szCs w:val="24"/>
        </w:rPr>
        <w:t>DSM</w:t>
      </w:r>
      <w:r w:rsidRPr="009E1DBA">
        <w:rPr>
          <w:rFonts w:cs="Times New Roman"/>
          <w:szCs w:val="24"/>
        </w:rPr>
        <w:t xml:space="preserve"> resources and amortized capital costs for existing coal resources and potential new resources.</w:t>
      </w:r>
      <w:r>
        <w:rPr>
          <w:rFonts w:cs="Times New Roman"/>
          <w:szCs w:val="24"/>
        </w:rPr>
        <w:t xml:space="preserve">  To reflect the limitation of the transmission resources, </w:t>
      </w:r>
      <w:r w:rsidRPr="004B2D82">
        <w:rPr>
          <w:rFonts w:cs="Times New Roman"/>
          <w:szCs w:val="24"/>
        </w:rPr>
        <w:t>PacifiCorp uses a transmission topology that captures major load centers, generation resources, and market hubs interconnected via firm transmission paths. Transfer capabilities across transmission paths are based upon the firm transmission rights of PacifiCorp’s merchant function, including transmission rights from PacifiCorp’s transmission function and other regional transmission providers.</w:t>
      </w:r>
    </w:p>
    <w:p w:rsidR="00713411" w:rsidRDefault="00713411" w:rsidP="00713411">
      <w:pPr>
        <w:rPr>
          <w:rFonts w:cs="Times New Roman"/>
          <w:szCs w:val="24"/>
          <w:highlight w:val="yellow"/>
        </w:rPr>
      </w:pPr>
    </w:p>
    <w:p w:rsidR="00713411" w:rsidRDefault="00713411" w:rsidP="00713411">
      <w:pPr>
        <w:rPr>
          <w:rFonts w:cs="Times New Roman"/>
          <w:szCs w:val="24"/>
        </w:rPr>
      </w:pPr>
      <w:r>
        <w:rPr>
          <w:rFonts w:cs="Times New Roman"/>
          <w:szCs w:val="24"/>
        </w:rPr>
        <w:t xml:space="preserve">The PaR model evaluates the risk profiles of </w:t>
      </w:r>
      <w:r w:rsidRPr="00862077">
        <w:rPr>
          <w:rFonts w:cs="Times New Roman"/>
          <w:szCs w:val="24"/>
        </w:rPr>
        <w:t>resource portfolio</w:t>
      </w:r>
      <w:r w:rsidR="00857589">
        <w:rPr>
          <w:rFonts w:cs="Times New Roman"/>
          <w:szCs w:val="24"/>
        </w:rPr>
        <w:t>s</w:t>
      </w:r>
      <w:r>
        <w:rPr>
          <w:rFonts w:cs="Times New Roman"/>
          <w:szCs w:val="24"/>
        </w:rPr>
        <w:t xml:space="preserve"> selected by the SO model</w:t>
      </w:r>
      <w:r w:rsidRPr="00862077">
        <w:rPr>
          <w:rFonts w:cs="Times New Roman"/>
          <w:szCs w:val="24"/>
        </w:rPr>
        <w:t>.</w:t>
      </w:r>
      <w:r>
        <w:rPr>
          <w:rFonts w:cs="Times New Roman"/>
          <w:szCs w:val="24"/>
        </w:rPr>
        <w:t xml:space="preserve">  </w:t>
      </w:r>
      <w:r w:rsidRPr="00862077">
        <w:rPr>
          <w:rFonts w:cs="Times New Roman"/>
          <w:szCs w:val="24"/>
        </w:rPr>
        <w:t>The stochastic simulation in PaR produces a dispatch solution that accounts for chronological commitment and dispatch constraints. The PaR simulation incorporates stochastic risk in its production cost estimates by using Monte Carlo random sampling of stochastic variables, which include: load, wholesale electricity and natural gas prices, hydro generation, and thermal unit outages.</w:t>
      </w:r>
      <w:r>
        <w:rPr>
          <w:rFonts w:cs="Times New Roman"/>
          <w:szCs w:val="24"/>
        </w:rPr>
        <w:t xml:space="preserve">  </w:t>
      </w:r>
      <w:r w:rsidRPr="00862077">
        <w:rPr>
          <w:rFonts w:cs="Times New Roman"/>
          <w:szCs w:val="24"/>
        </w:rPr>
        <w:t xml:space="preserve">During model execution, the PaR model makes time-path-dependent Monte Carlo draws for each stochastic variable based on input parameters. The Monte Carlo draws are percentage deviations from the expected forward value of each variable. </w:t>
      </w:r>
      <w:r>
        <w:rPr>
          <w:rFonts w:cs="Times New Roman"/>
          <w:szCs w:val="24"/>
        </w:rPr>
        <w:t xml:space="preserve"> </w:t>
      </w:r>
      <w:r w:rsidRPr="00862077">
        <w:rPr>
          <w:rFonts w:cs="Times New Roman"/>
          <w:szCs w:val="24"/>
        </w:rPr>
        <w:t>In the case of natural gas prices, electricity prices, and regional loads, the PaR model applies Monte Carlo draws on a daily basis. In the case of hydroelectric generation, Monte Carlo draws are applied on a weekly basis.</w:t>
      </w:r>
      <w:r>
        <w:rPr>
          <w:rFonts w:cs="Times New Roman"/>
          <w:szCs w:val="24"/>
        </w:rPr>
        <w:t xml:space="preserve">  </w:t>
      </w:r>
      <w:r w:rsidRPr="00862077">
        <w:rPr>
          <w:rFonts w:cs="Times New Roman"/>
          <w:szCs w:val="24"/>
        </w:rPr>
        <w:t>For the 2015 IRP, PaR is configured to conduct 50 Monte Carlo iterations for the 20-year study period.</w:t>
      </w:r>
    </w:p>
    <w:p w:rsidR="00F52ECE" w:rsidRDefault="00F52ECE" w:rsidP="00B74FFD">
      <w:pPr>
        <w:rPr>
          <w:rFonts w:cs="Times New Roman"/>
          <w:i/>
          <w:szCs w:val="24"/>
        </w:rPr>
      </w:pPr>
    </w:p>
    <w:p w:rsidR="00B74FFD" w:rsidRPr="00432C28" w:rsidRDefault="0051328B" w:rsidP="00B74FFD">
      <w:pPr>
        <w:rPr>
          <w:rFonts w:cs="Times New Roman"/>
          <w:i/>
          <w:szCs w:val="24"/>
        </w:rPr>
      </w:pPr>
      <w:r w:rsidRPr="00432C28">
        <w:rPr>
          <w:rFonts w:cs="Times New Roman"/>
          <w:i/>
          <w:szCs w:val="24"/>
        </w:rPr>
        <w:t>Conservation</w:t>
      </w:r>
    </w:p>
    <w:p w:rsidR="00B74FFD" w:rsidRPr="00432C28" w:rsidRDefault="00B74FFD" w:rsidP="00B74FFD">
      <w:pPr>
        <w:rPr>
          <w:rFonts w:cs="Times New Roman"/>
          <w:szCs w:val="24"/>
        </w:rPr>
      </w:pPr>
    </w:p>
    <w:p w:rsidR="0069241E" w:rsidRPr="00432C28" w:rsidRDefault="0069241E" w:rsidP="0069241E">
      <w:pPr>
        <w:rPr>
          <w:rFonts w:cs="Times New Roman"/>
          <w:szCs w:val="24"/>
        </w:rPr>
      </w:pPr>
      <w:r w:rsidRPr="00432C28">
        <w:rPr>
          <w:rFonts w:cs="Times New Roman"/>
          <w:szCs w:val="24"/>
        </w:rPr>
        <w:t>PacifiCorp models conservation on a comparable basis with supply-side resources in the IRP models, consistent with state IRP standards and guidelines. For resource portfolio development, conservation is structured as a</w:t>
      </w:r>
      <w:r w:rsidR="009545DC">
        <w:rPr>
          <w:rFonts w:cs="Times New Roman"/>
          <w:szCs w:val="24"/>
        </w:rPr>
        <w:t xml:space="preserve"> s</w:t>
      </w:r>
      <w:r w:rsidRPr="00432C28">
        <w:rPr>
          <w:rFonts w:cs="Times New Roman"/>
          <w:szCs w:val="24"/>
        </w:rPr>
        <w:t>upply curve that provides capacity value and energy (based on p</w:t>
      </w:r>
      <w:r w:rsidR="009545DC">
        <w:rPr>
          <w:rFonts w:cs="Times New Roman"/>
          <w:szCs w:val="24"/>
        </w:rPr>
        <w:t>redetermined hourly load shapes</w:t>
      </w:r>
      <w:r w:rsidRPr="00432C28">
        <w:rPr>
          <w:rFonts w:cs="Times New Roman"/>
          <w:szCs w:val="24"/>
        </w:rPr>
        <w:t xml:space="preserve">) at a given marginal levelized cost. The supply curve is specified as </w:t>
      </w:r>
      <w:r w:rsidR="006E3971" w:rsidRPr="00432C28">
        <w:rPr>
          <w:rFonts w:cs="Times New Roman"/>
          <w:szCs w:val="24"/>
        </w:rPr>
        <w:t>189</w:t>
      </w:r>
      <w:r w:rsidRPr="00432C28">
        <w:rPr>
          <w:rStyle w:val="FootnoteReference"/>
          <w:rFonts w:cs="Times New Roman"/>
          <w:szCs w:val="24"/>
        </w:rPr>
        <w:footnoteReference w:id="22"/>
      </w:r>
      <w:r w:rsidR="004640A9" w:rsidRPr="00432C28">
        <w:rPr>
          <w:rFonts w:cs="Times New Roman"/>
          <w:szCs w:val="24"/>
        </w:rPr>
        <w:t xml:space="preserve"> </w:t>
      </w:r>
      <w:r w:rsidRPr="00432C28">
        <w:rPr>
          <w:rFonts w:cs="Times New Roman"/>
          <w:szCs w:val="24"/>
        </w:rPr>
        <w:t xml:space="preserve">distinct resource options, reflecting quantities available by load area, year, and cost.  </w:t>
      </w:r>
    </w:p>
    <w:p w:rsidR="0069241E" w:rsidRPr="00432C28" w:rsidRDefault="0069241E" w:rsidP="0069241E">
      <w:pPr>
        <w:rPr>
          <w:rFonts w:cs="Times New Roman"/>
          <w:szCs w:val="24"/>
        </w:rPr>
      </w:pPr>
    </w:p>
    <w:p w:rsidR="0069241E" w:rsidRPr="00432C28" w:rsidRDefault="0069241E" w:rsidP="0069241E">
      <w:pPr>
        <w:rPr>
          <w:rFonts w:cs="Times New Roman"/>
          <w:szCs w:val="24"/>
        </w:rPr>
      </w:pPr>
      <w:r w:rsidRPr="00432C28">
        <w:rPr>
          <w:rFonts w:cs="Times New Roman"/>
          <w:szCs w:val="24"/>
        </w:rPr>
        <w:t xml:space="preserve">The conservation potential assessment analysis </w:t>
      </w:r>
      <w:r w:rsidR="00AB2B0C" w:rsidRPr="00432C28">
        <w:rPr>
          <w:rFonts w:cs="Times New Roman"/>
          <w:szCs w:val="24"/>
        </w:rPr>
        <w:t xml:space="preserve">(excluding Oregon) </w:t>
      </w:r>
      <w:r w:rsidRPr="00432C28">
        <w:rPr>
          <w:rFonts w:cs="Times New Roman"/>
          <w:szCs w:val="24"/>
        </w:rPr>
        <w:t xml:space="preserve">included a review of </w:t>
      </w:r>
      <w:r w:rsidR="00AE79AA">
        <w:rPr>
          <w:rFonts w:cs="Times New Roman"/>
          <w:szCs w:val="24"/>
        </w:rPr>
        <w:t>458</w:t>
      </w:r>
      <w:r w:rsidRPr="00432C28">
        <w:rPr>
          <w:rFonts w:cs="Times New Roman"/>
          <w:szCs w:val="24"/>
        </w:rPr>
        <w:t xml:space="preserve"> unique measures across the residential, commercial</w:t>
      </w:r>
      <w:r w:rsidR="00AE79AA">
        <w:rPr>
          <w:rFonts w:cs="Times New Roman"/>
          <w:szCs w:val="24"/>
        </w:rPr>
        <w:t>,</w:t>
      </w:r>
      <w:r w:rsidRPr="00432C28">
        <w:rPr>
          <w:rFonts w:cs="Times New Roman"/>
          <w:szCs w:val="24"/>
        </w:rPr>
        <w:t xml:space="preserve"> industrial</w:t>
      </w:r>
      <w:r w:rsidR="00AE79AA">
        <w:rPr>
          <w:rFonts w:cs="Times New Roman"/>
          <w:szCs w:val="24"/>
        </w:rPr>
        <w:t xml:space="preserve">, </w:t>
      </w:r>
      <w:r w:rsidRPr="00432C28">
        <w:rPr>
          <w:rFonts w:cs="Times New Roman"/>
          <w:szCs w:val="24"/>
        </w:rPr>
        <w:t xml:space="preserve">irrigation </w:t>
      </w:r>
      <w:r w:rsidR="00AE79AA">
        <w:rPr>
          <w:rFonts w:cs="Times New Roman"/>
          <w:szCs w:val="24"/>
        </w:rPr>
        <w:t xml:space="preserve">and street lighting </w:t>
      </w:r>
      <w:r w:rsidRPr="00432C28">
        <w:rPr>
          <w:rFonts w:cs="Times New Roman"/>
          <w:szCs w:val="24"/>
        </w:rPr>
        <w:t xml:space="preserve">sectors. Of those </w:t>
      </w:r>
      <w:r w:rsidR="00AE79AA">
        <w:rPr>
          <w:rFonts w:cs="Times New Roman"/>
          <w:szCs w:val="24"/>
        </w:rPr>
        <w:t>458</w:t>
      </w:r>
      <w:r w:rsidRPr="00432C28">
        <w:rPr>
          <w:rFonts w:cs="Times New Roman"/>
          <w:szCs w:val="24"/>
        </w:rPr>
        <w:t xml:space="preserve">, there were </w:t>
      </w:r>
      <w:r w:rsidR="00127037" w:rsidRPr="00432C28">
        <w:rPr>
          <w:rFonts w:cs="Times New Roman"/>
          <w:szCs w:val="24"/>
        </w:rPr>
        <w:t>1</w:t>
      </w:r>
      <w:r w:rsidR="00AE79AA">
        <w:rPr>
          <w:rFonts w:cs="Times New Roman"/>
          <w:szCs w:val="24"/>
        </w:rPr>
        <w:t>09 in the residential sector, 171</w:t>
      </w:r>
      <w:r w:rsidR="00127037" w:rsidRPr="00432C28">
        <w:rPr>
          <w:rFonts w:cs="Times New Roman"/>
          <w:szCs w:val="24"/>
        </w:rPr>
        <w:t xml:space="preserve"> </w:t>
      </w:r>
      <w:r w:rsidRPr="00432C28">
        <w:rPr>
          <w:rFonts w:cs="Times New Roman"/>
          <w:szCs w:val="24"/>
        </w:rPr>
        <w:t xml:space="preserve">in the commercial sector, </w:t>
      </w:r>
      <w:r w:rsidR="00AE79AA">
        <w:rPr>
          <w:rFonts w:cs="Times New Roman"/>
          <w:szCs w:val="24"/>
        </w:rPr>
        <w:t>150</w:t>
      </w:r>
      <w:r w:rsidR="00127037" w:rsidRPr="00432C28">
        <w:rPr>
          <w:rFonts w:cs="Times New Roman"/>
          <w:szCs w:val="24"/>
        </w:rPr>
        <w:t xml:space="preserve"> </w:t>
      </w:r>
      <w:r w:rsidRPr="00432C28">
        <w:rPr>
          <w:rFonts w:cs="Times New Roman"/>
          <w:szCs w:val="24"/>
        </w:rPr>
        <w:t xml:space="preserve">in the industrial sector, </w:t>
      </w:r>
      <w:r w:rsidR="00AE79AA">
        <w:rPr>
          <w:rFonts w:cs="Times New Roman"/>
          <w:szCs w:val="24"/>
        </w:rPr>
        <w:t>19</w:t>
      </w:r>
      <w:r w:rsidRPr="00432C28">
        <w:rPr>
          <w:rFonts w:cs="Times New Roman"/>
          <w:szCs w:val="24"/>
        </w:rPr>
        <w:t xml:space="preserve"> in the irrigation sector and </w:t>
      </w:r>
      <w:r w:rsidR="00F52ECE">
        <w:rPr>
          <w:rFonts w:cs="Times New Roman"/>
          <w:szCs w:val="24"/>
        </w:rPr>
        <w:t>9</w:t>
      </w:r>
      <w:r w:rsidR="00127037" w:rsidRPr="00432C28">
        <w:rPr>
          <w:rFonts w:cs="Times New Roman"/>
          <w:szCs w:val="24"/>
        </w:rPr>
        <w:t xml:space="preserve"> </w:t>
      </w:r>
      <w:r w:rsidRPr="00432C28">
        <w:rPr>
          <w:rFonts w:cs="Times New Roman"/>
          <w:szCs w:val="24"/>
        </w:rPr>
        <w:t xml:space="preserve">in the street lighting sector. Considering all permutations of these measures across all customer sectors, customer segments, and states, customized data was compiled and analyzed for </w:t>
      </w:r>
      <w:r w:rsidR="00410450">
        <w:rPr>
          <w:rFonts w:cs="Times New Roman"/>
          <w:szCs w:val="24"/>
        </w:rPr>
        <w:t>roughly</w:t>
      </w:r>
      <w:r w:rsidR="00127037" w:rsidRPr="00432C28">
        <w:rPr>
          <w:rFonts w:cs="Times New Roman"/>
          <w:szCs w:val="24"/>
        </w:rPr>
        <w:t xml:space="preserve"> </w:t>
      </w:r>
      <w:r w:rsidR="00C23D2E">
        <w:rPr>
          <w:rFonts w:cs="Times New Roman"/>
          <w:szCs w:val="24"/>
        </w:rPr>
        <w:t>50,000</w:t>
      </w:r>
      <w:r w:rsidRPr="00432C28">
        <w:rPr>
          <w:rFonts w:cs="Times New Roman"/>
          <w:szCs w:val="24"/>
        </w:rPr>
        <w:t xml:space="preserve"> measures. For a complete list of measures, see </w:t>
      </w:r>
      <w:r w:rsidR="00410450">
        <w:rPr>
          <w:rFonts w:cs="Times New Roman"/>
          <w:szCs w:val="24"/>
        </w:rPr>
        <w:t xml:space="preserve">PacifiCorp’s 2015 </w:t>
      </w:r>
      <w:r w:rsidR="008B6D20">
        <w:rPr>
          <w:rFonts w:cs="Times New Roman"/>
          <w:szCs w:val="24"/>
        </w:rPr>
        <w:t xml:space="preserve">Conservation Potential Assessment </w:t>
      </w:r>
      <w:r w:rsidR="00C23D2E">
        <w:rPr>
          <w:rFonts w:cs="Times New Roman"/>
          <w:szCs w:val="24"/>
        </w:rPr>
        <w:t xml:space="preserve">Volume 4, Appendix </w:t>
      </w:r>
      <w:r w:rsidR="003C6BD0">
        <w:rPr>
          <w:rFonts w:cs="Times New Roman"/>
          <w:szCs w:val="24"/>
        </w:rPr>
        <w:t>H</w:t>
      </w:r>
      <w:r w:rsidRPr="00432C28">
        <w:rPr>
          <w:rFonts w:cs="Times New Roman"/>
          <w:szCs w:val="24"/>
        </w:rPr>
        <w:t>.</w:t>
      </w:r>
      <w:r w:rsidRPr="00432C28">
        <w:rPr>
          <w:rStyle w:val="FootnoteReference"/>
          <w:rFonts w:cs="Times New Roman"/>
          <w:szCs w:val="24"/>
        </w:rPr>
        <w:footnoteReference w:id="23"/>
      </w:r>
      <w:r w:rsidRPr="00432C28">
        <w:rPr>
          <w:rFonts w:cs="Times New Roman"/>
          <w:szCs w:val="24"/>
        </w:rPr>
        <w:t xml:space="preserve">  </w:t>
      </w:r>
    </w:p>
    <w:p w:rsidR="0069241E" w:rsidRPr="00432C28" w:rsidRDefault="0069241E" w:rsidP="0069241E">
      <w:pPr>
        <w:rPr>
          <w:rFonts w:cs="Times New Roman"/>
          <w:szCs w:val="24"/>
        </w:rPr>
      </w:pPr>
    </w:p>
    <w:p w:rsidR="0069241E" w:rsidRPr="00432C28" w:rsidRDefault="0069241E" w:rsidP="0069241E">
      <w:pPr>
        <w:rPr>
          <w:rFonts w:cs="Times New Roman"/>
          <w:szCs w:val="24"/>
        </w:rPr>
      </w:pPr>
      <w:r w:rsidRPr="00D40A0B">
        <w:rPr>
          <w:rFonts w:cs="Times New Roman"/>
          <w:szCs w:val="24"/>
        </w:rPr>
        <w:t>For conservation resource selection using S</w:t>
      </w:r>
      <w:r w:rsidR="00D40A0B" w:rsidRPr="00410450">
        <w:rPr>
          <w:rFonts w:cs="Times New Roman"/>
          <w:szCs w:val="24"/>
        </w:rPr>
        <w:t>O model</w:t>
      </w:r>
      <w:r w:rsidRPr="00D40A0B">
        <w:rPr>
          <w:rFonts w:cs="Times New Roman"/>
          <w:szCs w:val="24"/>
        </w:rPr>
        <w:t xml:space="preserve">, PacifiCorp used a load forecast that excluded reductions attributable to </w:t>
      </w:r>
      <w:r w:rsidR="00127037" w:rsidRPr="00883A37">
        <w:rPr>
          <w:rFonts w:cs="Times New Roman"/>
          <w:szCs w:val="24"/>
        </w:rPr>
        <w:t xml:space="preserve">projected </w:t>
      </w:r>
      <w:r w:rsidRPr="00883A37">
        <w:rPr>
          <w:rFonts w:cs="Times New Roman"/>
          <w:szCs w:val="24"/>
        </w:rPr>
        <w:t>conservation</w:t>
      </w:r>
      <w:r w:rsidR="00E964EF" w:rsidRPr="00883A37">
        <w:rPr>
          <w:rFonts w:cs="Times New Roman"/>
          <w:szCs w:val="24"/>
        </w:rPr>
        <w:t>.</w:t>
      </w:r>
      <w:r w:rsidRPr="00883A37">
        <w:rPr>
          <w:rFonts w:cs="Times New Roman"/>
          <w:szCs w:val="24"/>
        </w:rPr>
        <w:t xml:space="preserve"> This is necessary because conservation is effectively treated as a supply resource in the model rather than a load </w:t>
      </w:r>
      <w:r w:rsidRPr="00A22E86">
        <w:rPr>
          <w:rFonts w:cs="Times New Roman"/>
          <w:szCs w:val="24"/>
        </w:rPr>
        <w:t>reduction.</w:t>
      </w:r>
    </w:p>
    <w:p w:rsidR="002B04CE" w:rsidRPr="00432C28" w:rsidRDefault="002B04CE" w:rsidP="00B74FFD">
      <w:pPr>
        <w:rPr>
          <w:rFonts w:cs="Times New Roman"/>
          <w:szCs w:val="24"/>
        </w:rPr>
      </w:pPr>
    </w:p>
    <w:p w:rsidR="00B74FFD" w:rsidRPr="00432C28" w:rsidRDefault="000E5C89" w:rsidP="00B74FFD">
      <w:pPr>
        <w:rPr>
          <w:rFonts w:cs="Times New Roman"/>
          <w:i/>
          <w:szCs w:val="24"/>
        </w:rPr>
      </w:pPr>
      <w:r w:rsidRPr="00432C28">
        <w:rPr>
          <w:rFonts w:cs="Times New Roman"/>
          <w:i/>
          <w:szCs w:val="24"/>
        </w:rPr>
        <w:t>Data Collection</w:t>
      </w:r>
    </w:p>
    <w:p w:rsidR="00B74FFD" w:rsidRPr="00432C28" w:rsidRDefault="00B74FFD" w:rsidP="00B74FFD">
      <w:pPr>
        <w:rPr>
          <w:rFonts w:cs="Times New Roman"/>
          <w:szCs w:val="24"/>
        </w:rPr>
      </w:pPr>
    </w:p>
    <w:p w:rsidR="00B74FFD" w:rsidRPr="00432C28" w:rsidRDefault="000E5C89" w:rsidP="00B74FFD">
      <w:pPr>
        <w:rPr>
          <w:rFonts w:cs="Times New Roman"/>
          <w:szCs w:val="24"/>
        </w:rPr>
      </w:pPr>
      <w:r w:rsidRPr="00432C28">
        <w:rPr>
          <w:rFonts w:cs="Times New Roman"/>
          <w:szCs w:val="24"/>
        </w:rPr>
        <w:t xml:space="preserve">Integrated Resource Planning </w:t>
      </w:r>
    </w:p>
    <w:p w:rsidR="00B74FFD" w:rsidRPr="00432C28" w:rsidRDefault="00B74FFD" w:rsidP="00B74FFD">
      <w:pPr>
        <w:rPr>
          <w:rFonts w:cs="Times New Roman"/>
          <w:szCs w:val="24"/>
          <w:highlight w:val="yellow"/>
        </w:rPr>
      </w:pPr>
    </w:p>
    <w:p w:rsidR="00216ECD" w:rsidRPr="00432C28" w:rsidRDefault="00216ECD" w:rsidP="00216ECD">
      <w:pPr>
        <w:rPr>
          <w:rFonts w:cs="Times New Roman"/>
          <w:szCs w:val="24"/>
        </w:rPr>
      </w:pPr>
      <w:r w:rsidRPr="00A22E86">
        <w:rPr>
          <w:rFonts w:cs="Times New Roman"/>
          <w:szCs w:val="24"/>
        </w:rPr>
        <w:t xml:space="preserve">PacifiCorp uses a variety of data sources for development of its IRP, including (1) in-house studies, databases, and monitoring systems, (2) non-IRP model outputs, such as the </w:t>
      </w:r>
      <w:r w:rsidR="00D40A0B" w:rsidRPr="00063A96">
        <w:rPr>
          <w:rFonts w:cs="Times New Roman"/>
          <w:szCs w:val="24"/>
        </w:rPr>
        <w:t xml:space="preserve">Aurora </w:t>
      </w:r>
      <w:r w:rsidRPr="00A22E86">
        <w:rPr>
          <w:rFonts w:cs="Times New Roman"/>
          <w:szCs w:val="24"/>
        </w:rPr>
        <w:t xml:space="preserve">market fundamentals analysis </w:t>
      </w:r>
      <w:r w:rsidR="00D40A0B" w:rsidRPr="00063A96">
        <w:rPr>
          <w:rFonts w:cs="Times New Roman"/>
          <w:szCs w:val="24"/>
        </w:rPr>
        <w:t>model</w:t>
      </w:r>
      <w:r w:rsidRPr="00A22E86">
        <w:rPr>
          <w:rFonts w:cs="Times New Roman"/>
          <w:szCs w:val="24"/>
        </w:rPr>
        <w:t xml:space="preserve">, (3) forecasting services, and (4) studies conducted by engineering and other consulting firms. </w:t>
      </w:r>
      <w:r w:rsidR="00D40A0B" w:rsidRPr="00063A96">
        <w:rPr>
          <w:rFonts w:cs="Times New Roman"/>
          <w:szCs w:val="24"/>
        </w:rPr>
        <w:t xml:space="preserve">Chapter 3 of the 2015 IRP discusses the current planning environment. </w:t>
      </w:r>
      <w:r w:rsidRPr="00A22E86">
        <w:rPr>
          <w:rFonts w:cs="Times New Roman"/>
          <w:szCs w:val="24"/>
        </w:rPr>
        <w:t xml:space="preserve">Chapter 6 </w:t>
      </w:r>
      <w:r w:rsidRPr="002462A3">
        <w:rPr>
          <w:rFonts w:cs="Times New Roman"/>
          <w:szCs w:val="24"/>
        </w:rPr>
        <w:t>summarizes the data resources used to develop the resource options entered into the IRP models</w:t>
      </w:r>
      <w:r w:rsidR="00883A37" w:rsidRPr="00063A96">
        <w:rPr>
          <w:rFonts w:cs="Times New Roman"/>
          <w:szCs w:val="24"/>
        </w:rPr>
        <w:t xml:space="preserve">, and </w:t>
      </w:r>
      <w:r w:rsidRPr="00A22E86">
        <w:rPr>
          <w:rFonts w:cs="Times New Roman"/>
          <w:szCs w:val="24"/>
        </w:rPr>
        <w:t>Chapter 7</w:t>
      </w:r>
      <w:r w:rsidR="00883A37" w:rsidRPr="00063A96">
        <w:rPr>
          <w:rFonts w:cs="Times New Roman"/>
          <w:szCs w:val="24"/>
        </w:rPr>
        <w:t xml:space="preserve"> discusses the modeling approach used</w:t>
      </w:r>
      <w:r w:rsidRPr="009C6A3B">
        <w:rPr>
          <w:rFonts w:cs="Times New Roman"/>
          <w:szCs w:val="24"/>
        </w:rPr>
        <w:t>.</w:t>
      </w:r>
    </w:p>
    <w:p w:rsidR="00B74FFD" w:rsidRPr="00432C28" w:rsidRDefault="00B74FFD" w:rsidP="00B74FFD">
      <w:pPr>
        <w:rPr>
          <w:rFonts w:cs="Times New Roman"/>
          <w:szCs w:val="24"/>
        </w:rPr>
      </w:pPr>
    </w:p>
    <w:p w:rsidR="00B74FFD" w:rsidRPr="00432C28" w:rsidRDefault="000E5C89" w:rsidP="00B74FFD">
      <w:pPr>
        <w:rPr>
          <w:rFonts w:cs="Times New Roman"/>
          <w:szCs w:val="24"/>
        </w:rPr>
      </w:pPr>
      <w:r w:rsidRPr="00432C28">
        <w:rPr>
          <w:rFonts w:cs="Times New Roman"/>
          <w:szCs w:val="24"/>
        </w:rPr>
        <w:t xml:space="preserve">Conservation </w:t>
      </w:r>
    </w:p>
    <w:p w:rsidR="00B74FFD" w:rsidRPr="00432C28" w:rsidRDefault="00B74FFD" w:rsidP="00B74FFD">
      <w:pPr>
        <w:autoSpaceDE w:val="0"/>
        <w:autoSpaceDN w:val="0"/>
        <w:adjustRightInd w:val="0"/>
        <w:rPr>
          <w:rFonts w:cs="Times New Roman"/>
          <w:bCs/>
          <w:iCs/>
          <w:szCs w:val="24"/>
        </w:rPr>
      </w:pPr>
    </w:p>
    <w:p w:rsidR="0069241E" w:rsidRDefault="00677474" w:rsidP="0069241E">
      <w:pPr>
        <w:autoSpaceDE w:val="0"/>
        <w:autoSpaceDN w:val="0"/>
        <w:adjustRightInd w:val="0"/>
        <w:rPr>
          <w:rFonts w:cs="Times New Roman"/>
          <w:szCs w:val="24"/>
        </w:rPr>
      </w:pPr>
      <w:r w:rsidRPr="00432C28">
        <w:rPr>
          <w:rFonts w:cs="Times New Roman"/>
          <w:bCs/>
          <w:iCs/>
          <w:szCs w:val="24"/>
        </w:rPr>
        <w:t>A</w:t>
      </w:r>
      <w:r w:rsidR="0069241E" w:rsidRPr="00432C28">
        <w:rPr>
          <w:rFonts w:cs="Times New Roman"/>
          <w:bCs/>
          <w:iCs/>
          <w:szCs w:val="24"/>
        </w:rPr>
        <w:t xml:space="preserve"> number of data collection approaches were used by the DSM potentials development project team (PacifiCorp and contractor staff)</w:t>
      </w:r>
      <w:r w:rsidRPr="00432C28">
        <w:rPr>
          <w:rFonts w:cs="Times New Roman"/>
          <w:bCs/>
          <w:iCs/>
          <w:szCs w:val="24"/>
        </w:rPr>
        <w:t xml:space="preserve"> to develop the 201</w:t>
      </w:r>
      <w:r w:rsidR="008B6D20">
        <w:rPr>
          <w:rFonts w:cs="Times New Roman"/>
          <w:bCs/>
          <w:iCs/>
          <w:szCs w:val="24"/>
        </w:rPr>
        <w:t>5</w:t>
      </w:r>
      <w:r w:rsidRPr="00432C28">
        <w:rPr>
          <w:rFonts w:cs="Times New Roman"/>
          <w:bCs/>
          <w:iCs/>
          <w:szCs w:val="24"/>
        </w:rPr>
        <w:t xml:space="preserve"> conservation supply curves</w:t>
      </w:r>
      <w:r w:rsidR="0069241E" w:rsidRPr="00432C28">
        <w:rPr>
          <w:rFonts w:cs="Times New Roman"/>
          <w:bCs/>
          <w:iCs/>
          <w:szCs w:val="24"/>
        </w:rPr>
        <w:t>.</w:t>
      </w:r>
      <w:r w:rsidR="0069241E" w:rsidRPr="00432C28">
        <w:rPr>
          <w:rStyle w:val="FootnoteReference"/>
          <w:rFonts w:cs="Times New Roman"/>
          <w:bCs/>
          <w:iCs/>
          <w:szCs w:val="24"/>
        </w:rPr>
        <w:footnoteReference w:id="24"/>
      </w:r>
      <w:r w:rsidR="0069241E" w:rsidRPr="00432C28">
        <w:rPr>
          <w:rFonts w:cs="Times New Roman"/>
          <w:bCs/>
          <w:iCs/>
          <w:szCs w:val="24"/>
        </w:rPr>
        <w:t xml:space="preserve"> P</w:t>
      </w:r>
      <w:r w:rsidR="0069241E" w:rsidRPr="00432C28">
        <w:rPr>
          <w:rFonts w:cs="Times New Roman"/>
          <w:szCs w:val="24"/>
        </w:rPr>
        <w:t xml:space="preserve">acifiCorp provided load forecasts, economic assumptions (discount rates and </w:t>
      </w:r>
      <w:r w:rsidR="00602B71" w:rsidRPr="00432C28">
        <w:rPr>
          <w:rFonts w:cs="Times New Roman"/>
          <w:szCs w:val="24"/>
        </w:rPr>
        <w:t>inflation</w:t>
      </w:r>
      <w:r w:rsidR="0069241E" w:rsidRPr="00432C28">
        <w:rPr>
          <w:rFonts w:cs="Times New Roman"/>
          <w:szCs w:val="24"/>
        </w:rPr>
        <w:t xml:space="preserve">), historical energy-efficiency </w:t>
      </w:r>
      <w:r w:rsidR="0046125E">
        <w:rPr>
          <w:rFonts w:cs="Times New Roman"/>
          <w:szCs w:val="24"/>
        </w:rPr>
        <w:t>acquisition data</w:t>
      </w:r>
      <w:r w:rsidR="0069241E" w:rsidRPr="00432C28">
        <w:rPr>
          <w:rFonts w:cs="Times New Roman"/>
          <w:szCs w:val="24"/>
        </w:rPr>
        <w:t xml:space="preserve">, </w:t>
      </w:r>
      <w:r w:rsidR="0046125E">
        <w:rPr>
          <w:rFonts w:cs="Times New Roman"/>
          <w:szCs w:val="24"/>
        </w:rPr>
        <w:t>updated</w:t>
      </w:r>
      <w:r w:rsidR="0069241E" w:rsidRPr="00432C28">
        <w:rPr>
          <w:rFonts w:cs="Times New Roman"/>
          <w:szCs w:val="24"/>
        </w:rPr>
        <w:t xml:space="preserve"> customer counts and forecasts, </w:t>
      </w:r>
      <w:r w:rsidRPr="00432C28">
        <w:rPr>
          <w:rFonts w:cs="Times New Roman"/>
          <w:szCs w:val="24"/>
        </w:rPr>
        <w:t xml:space="preserve">results of </w:t>
      </w:r>
      <w:r w:rsidR="0069241E" w:rsidRPr="00432C28">
        <w:rPr>
          <w:rFonts w:cs="Times New Roman"/>
          <w:szCs w:val="24"/>
        </w:rPr>
        <w:t>the</w:t>
      </w:r>
      <w:r w:rsidR="00940F4A">
        <w:rPr>
          <w:rFonts w:cs="Times New Roman"/>
          <w:szCs w:val="24"/>
        </w:rPr>
        <w:t xml:space="preserve"> Company’s 2013 </w:t>
      </w:r>
      <w:r w:rsidR="0046125E">
        <w:rPr>
          <w:rFonts w:cs="Times New Roman"/>
          <w:szCs w:val="24"/>
        </w:rPr>
        <w:t xml:space="preserve">Oregon and Utah </w:t>
      </w:r>
      <w:r w:rsidR="00940F4A">
        <w:rPr>
          <w:rFonts w:cs="Times New Roman"/>
          <w:szCs w:val="24"/>
        </w:rPr>
        <w:t xml:space="preserve">residential </w:t>
      </w:r>
      <w:r w:rsidR="00063A96">
        <w:rPr>
          <w:rFonts w:cs="Times New Roman"/>
          <w:szCs w:val="24"/>
        </w:rPr>
        <w:t xml:space="preserve">load forecast </w:t>
      </w:r>
      <w:r w:rsidR="00940F4A">
        <w:rPr>
          <w:rFonts w:cs="Times New Roman"/>
          <w:szCs w:val="24"/>
        </w:rPr>
        <w:t xml:space="preserve">surveys, </w:t>
      </w:r>
      <w:r w:rsidR="0046125E">
        <w:rPr>
          <w:rFonts w:cs="Times New Roman"/>
          <w:szCs w:val="24"/>
        </w:rPr>
        <w:t xml:space="preserve">the </w:t>
      </w:r>
      <w:r w:rsidR="00940F4A">
        <w:rPr>
          <w:rFonts w:cs="Times New Roman"/>
          <w:szCs w:val="24"/>
        </w:rPr>
        <w:t xml:space="preserve">2012 </w:t>
      </w:r>
      <w:r w:rsidR="0046125E">
        <w:rPr>
          <w:rFonts w:cs="Times New Roman"/>
          <w:szCs w:val="24"/>
        </w:rPr>
        <w:t xml:space="preserve">Wyoming residential </w:t>
      </w:r>
      <w:r w:rsidR="00940F4A">
        <w:rPr>
          <w:rFonts w:cs="Times New Roman"/>
          <w:szCs w:val="24"/>
        </w:rPr>
        <w:t>Market Decisions s</w:t>
      </w:r>
      <w:r w:rsidR="0069241E" w:rsidRPr="00432C28">
        <w:rPr>
          <w:rFonts w:cs="Times New Roman"/>
          <w:szCs w:val="24"/>
        </w:rPr>
        <w:t>urvey</w:t>
      </w:r>
      <w:r w:rsidR="00940F4A">
        <w:rPr>
          <w:rFonts w:cs="Times New Roman"/>
          <w:szCs w:val="24"/>
        </w:rPr>
        <w:t xml:space="preserve">, 2007 </w:t>
      </w:r>
      <w:r w:rsidR="0046125E">
        <w:rPr>
          <w:rFonts w:cs="Times New Roman"/>
          <w:szCs w:val="24"/>
        </w:rPr>
        <w:t>multi-state c</w:t>
      </w:r>
      <w:r w:rsidR="00940F4A">
        <w:rPr>
          <w:rFonts w:cs="Times New Roman"/>
          <w:szCs w:val="24"/>
        </w:rPr>
        <w:t>ommercial Energy Decisions surveys,</w:t>
      </w:r>
      <w:r w:rsidR="0046125E">
        <w:rPr>
          <w:rFonts w:cs="Times New Roman"/>
          <w:szCs w:val="24"/>
        </w:rPr>
        <w:t xml:space="preserve"> </w:t>
      </w:r>
      <w:r w:rsidR="00940F4A">
        <w:rPr>
          <w:rFonts w:cs="Times New Roman"/>
          <w:szCs w:val="24"/>
        </w:rPr>
        <w:t xml:space="preserve">and </w:t>
      </w:r>
      <w:r w:rsidR="0046125E">
        <w:rPr>
          <w:rFonts w:cs="Times New Roman"/>
          <w:szCs w:val="24"/>
        </w:rPr>
        <w:t>the 2006 multi-state</w:t>
      </w:r>
      <w:r w:rsidR="00940F4A">
        <w:rPr>
          <w:rFonts w:cs="Times New Roman"/>
          <w:szCs w:val="24"/>
        </w:rPr>
        <w:t xml:space="preserve"> </w:t>
      </w:r>
      <w:r w:rsidR="0046125E">
        <w:rPr>
          <w:rFonts w:cs="Times New Roman"/>
          <w:szCs w:val="24"/>
        </w:rPr>
        <w:t>r</w:t>
      </w:r>
      <w:r w:rsidR="00940F4A">
        <w:rPr>
          <w:rFonts w:cs="Times New Roman"/>
          <w:szCs w:val="24"/>
        </w:rPr>
        <w:t>esidential Energy Decisions surveys</w:t>
      </w:r>
      <w:r w:rsidR="0069241E" w:rsidRPr="00432C28">
        <w:rPr>
          <w:rFonts w:cs="Times New Roman"/>
          <w:szCs w:val="24"/>
        </w:rPr>
        <w:t>. The contractor team</w:t>
      </w:r>
      <w:r w:rsidR="00B46634" w:rsidRPr="00432C28">
        <w:rPr>
          <w:rFonts w:cs="Times New Roman"/>
          <w:szCs w:val="24"/>
        </w:rPr>
        <w:t xml:space="preserve">, </w:t>
      </w:r>
      <w:r w:rsidR="008B6D20">
        <w:rPr>
          <w:rFonts w:cs="Times New Roman"/>
          <w:szCs w:val="24"/>
        </w:rPr>
        <w:t>Applied Energy</w:t>
      </w:r>
      <w:r w:rsidR="00063A96">
        <w:rPr>
          <w:rFonts w:cs="Times New Roman"/>
          <w:szCs w:val="24"/>
        </w:rPr>
        <w:t xml:space="preserve"> Group</w:t>
      </w:r>
      <w:r w:rsidR="0046125E">
        <w:rPr>
          <w:rFonts w:cs="Times New Roman"/>
          <w:szCs w:val="24"/>
        </w:rPr>
        <w:t xml:space="preserve"> and the Brattle Group, </w:t>
      </w:r>
      <w:r w:rsidR="0069241E" w:rsidRPr="00432C28">
        <w:rPr>
          <w:rFonts w:cs="Times New Roman"/>
          <w:szCs w:val="24"/>
        </w:rPr>
        <w:t xml:space="preserve">updated </w:t>
      </w:r>
      <w:r w:rsidR="00AD2C5B">
        <w:rPr>
          <w:rFonts w:cs="Times New Roman"/>
          <w:szCs w:val="24"/>
        </w:rPr>
        <w:t xml:space="preserve">measure lists, </w:t>
      </w:r>
      <w:r w:rsidR="0069241E" w:rsidRPr="00432C28">
        <w:rPr>
          <w:rFonts w:cs="Times New Roman"/>
          <w:szCs w:val="24"/>
        </w:rPr>
        <w:t>costs and savings assumptions</w:t>
      </w:r>
      <w:r w:rsidR="0046125E">
        <w:rPr>
          <w:rFonts w:cs="Times New Roman"/>
          <w:szCs w:val="24"/>
        </w:rPr>
        <w:t xml:space="preserve">, and other relevant data used in the development of the </w:t>
      </w:r>
      <w:r w:rsidR="0069241E" w:rsidRPr="00432C28">
        <w:rPr>
          <w:rFonts w:cs="Times New Roman"/>
          <w:szCs w:val="24"/>
        </w:rPr>
        <w:t>20</w:t>
      </w:r>
      <w:r w:rsidR="00602B71" w:rsidRPr="00432C28">
        <w:rPr>
          <w:rFonts w:cs="Times New Roman"/>
          <w:szCs w:val="24"/>
        </w:rPr>
        <w:t>1</w:t>
      </w:r>
      <w:r w:rsidR="008B6D20">
        <w:rPr>
          <w:rFonts w:cs="Times New Roman"/>
          <w:szCs w:val="24"/>
        </w:rPr>
        <w:t>3</w:t>
      </w:r>
      <w:r w:rsidR="0069241E" w:rsidRPr="00432C28">
        <w:rPr>
          <w:rFonts w:cs="Times New Roman"/>
          <w:szCs w:val="24"/>
        </w:rPr>
        <w:t xml:space="preserve"> </w:t>
      </w:r>
      <w:r w:rsidR="0046125E">
        <w:rPr>
          <w:rFonts w:cs="Times New Roman"/>
          <w:szCs w:val="24"/>
        </w:rPr>
        <w:t xml:space="preserve">Conservation Potential Assessment in the development of the updated </w:t>
      </w:r>
      <w:r w:rsidR="00BE67AF" w:rsidRPr="00432C28">
        <w:rPr>
          <w:rFonts w:cs="Times New Roman"/>
          <w:szCs w:val="24"/>
        </w:rPr>
        <w:t>201</w:t>
      </w:r>
      <w:r w:rsidR="008B6D20">
        <w:rPr>
          <w:rFonts w:cs="Times New Roman"/>
          <w:szCs w:val="24"/>
        </w:rPr>
        <w:t>5</w:t>
      </w:r>
      <w:r w:rsidR="00BE67AF" w:rsidRPr="00432C28">
        <w:rPr>
          <w:rFonts w:cs="Times New Roman"/>
          <w:szCs w:val="24"/>
        </w:rPr>
        <w:t xml:space="preserve"> Conservation</w:t>
      </w:r>
      <w:r w:rsidR="0069241E" w:rsidRPr="00432C28">
        <w:rPr>
          <w:rFonts w:cs="Times New Roman"/>
          <w:szCs w:val="24"/>
        </w:rPr>
        <w:t xml:space="preserve"> </w:t>
      </w:r>
      <w:r w:rsidR="00546667" w:rsidRPr="00432C28">
        <w:rPr>
          <w:rFonts w:cs="Times New Roman"/>
          <w:szCs w:val="24"/>
        </w:rPr>
        <w:t>P</w:t>
      </w:r>
      <w:r w:rsidR="0069241E" w:rsidRPr="00432C28">
        <w:rPr>
          <w:rFonts w:cs="Times New Roman"/>
          <w:szCs w:val="24"/>
        </w:rPr>
        <w:t xml:space="preserve">otential </w:t>
      </w:r>
      <w:r w:rsidR="00BE67AF" w:rsidRPr="00432C28">
        <w:rPr>
          <w:rFonts w:cs="Times New Roman"/>
          <w:szCs w:val="24"/>
        </w:rPr>
        <w:t>Assessment.</w:t>
      </w:r>
    </w:p>
    <w:p w:rsidR="0046125E" w:rsidRDefault="0046125E" w:rsidP="0069241E">
      <w:pPr>
        <w:autoSpaceDE w:val="0"/>
        <w:autoSpaceDN w:val="0"/>
        <w:adjustRightInd w:val="0"/>
        <w:rPr>
          <w:rFonts w:cs="Times New Roman"/>
          <w:szCs w:val="24"/>
        </w:rPr>
      </w:pPr>
    </w:p>
    <w:p w:rsidR="0069241E" w:rsidRPr="00432C28" w:rsidRDefault="0069241E" w:rsidP="0069241E">
      <w:pPr>
        <w:autoSpaceDE w:val="0"/>
        <w:autoSpaceDN w:val="0"/>
        <w:adjustRightInd w:val="0"/>
        <w:rPr>
          <w:rFonts w:cs="Times New Roman"/>
          <w:szCs w:val="24"/>
        </w:rPr>
      </w:pPr>
      <w:r w:rsidRPr="00432C28">
        <w:rPr>
          <w:rFonts w:cs="Times New Roman"/>
          <w:szCs w:val="24"/>
        </w:rPr>
        <w:t>The contractor team also relied on several entities for data, including</w:t>
      </w:r>
      <w:r w:rsidR="004543E2">
        <w:rPr>
          <w:rFonts w:cs="Times New Roman"/>
          <w:szCs w:val="24"/>
        </w:rPr>
        <w:t xml:space="preserve"> but not limited to</w:t>
      </w:r>
      <w:r w:rsidRPr="00432C28">
        <w:rPr>
          <w:rFonts w:cs="Times New Roman"/>
          <w:szCs w:val="24"/>
        </w:rPr>
        <w:t xml:space="preserve"> </w:t>
      </w:r>
      <w:r w:rsidR="00922D93" w:rsidRPr="00432C28">
        <w:rPr>
          <w:rFonts w:cs="Times New Roman"/>
          <w:szCs w:val="24"/>
        </w:rPr>
        <w:t xml:space="preserve">the </w:t>
      </w:r>
      <w:r w:rsidR="0056568D">
        <w:rPr>
          <w:rFonts w:cs="Times New Roman"/>
          <w:szCs w:val="24"/>
        </w:rPr>
        <w:t>Council</w:t>
      </w:r>
      <w:r w:rsidRPr="00432C28">
        <w:rPr>
          <w:rFonts w:cs="Times New Roman"/>
          <w:szCs w:val="24"/>
        </w:rPr>
        <w:t xml:space="preserve">, </w:t>
      </w:r>
      <w:r w:rsidR="00636E21">
        <w:rPr>
          <w:rFonts w:cs="Times New Roman"/>
          <w:szCs w:val="24"/>
        </w:rPr>
        <w:t>RTF</w:t>
      </w:r>
      <w:r w:rsidRPr="00432C28">
        <w:rPr>
          <w:rFonts w:cs="Times New Roman"/>
          <w:szCs w:val="24"/>
        </w:rPr>
        <w:t>, NEEA, California Energy Commission Database of Energy Efficiency Resources</w:t>
      </w:r>
      <w:r w:rsidR="00092202" w:rsidRPr="00432C28">
        <w:rPr>
          <w:rFonts w:cs="Times New Roman"/>
          <w:szCs w:val="24"/>
        </w:rPr>
        <w:t>, Energy Information Administration</w:t>
      </w:r>
      <w:r w:rsidR="00B14503">
        <w:rPr>
          <w:rFonts w:cs="Times New Roman"/>
          <w:szCs w:val="24"/>
        </w:rPr>
        <w:t xml:space="preserve"> and the American Council for an Energy-Efficien</w:t>
      </w:r>
      <w:r w:rsidR="00B32A23">
        <w:rPr>
          <w:rFonts w:cs="Times New Roman"/>
          <w:szCs w:val="24"/>
        </w:rPr>
        <w:t>t</w:t>
      </w:r>
      <w:r w:rsidR="00B14503">
        <w:rPr>
          <w:rFonts w:cs="Times New Roman"/>
          <w:szCs w:val="24"/>
        </w:rPr>
        <w:t xml:space="preserve"> Economy</w:t>
      </w:r>
      <w:r w:rsidR="004543E2">
        <w:rPr>
          <w:rStyle w:val="FootnoteReference"/>
          <w:rFonts w:cs="Times New Roman"/>
          <w:szCs w:val="24"/>
        </w:rPr>
        <w:footnoteReference w:id="25"/>
      </w:r>
      <w:r w:rsidR="00092202" w:rsidRPr="00432C28">
        <w:rPr>
          <w:rFonts w:cs="Times New Roman"/>
          <w:szCs w:val="24"/>
        </w:rPr>
        <w:t xml:space="preserve">. This information included technical information on measure savings, costs, and lives, hourly end-use load shapes, and commercial building and energy characteristics. The contractor team also relied on equipment vendors for cost and technical information, as well as past DSM potential assessments and </w:t>
      </w:r>
      <w:r w:rsidR="00E9625A">
        <w:rPr>
          <w:rFonts w:cs="Times New Roman"/>
          <w:szCs w:val="24"/>
        </w:rPr>
        <w:t xml:space="preserve">Company and </w:t>
      </w:r>
      <w:r w:rsidR="00092202" w:rsidRPr="00432C28">
        <w:rPr>
          <w:rFonts w:cs="Times New Roman"/>
          <w:szCs w:val="24"/>
        </w:rPr>
        <w:t>publicly available survey data. The contractor team was also tasked with ensuring Washington resources were aligned and consistent with the RTF and</w:t>
      </w:r>
      <w:r w:rsidR="00602B71" w:rsidRPr="00432C28">
        <w:rPr>
          <w:rFonts w:cs="Times New Roman"/>
          <w:szCs w:val="24"/>
        </w:rPr>
        <w:t>/or</w:t>
      </w:r>
      <w:r w:rsidR="00092202" w:rsidRPr="00432C28">
        <w:rPr>
          <w:rFonts w:cs="Times New Roman"/>
          <w:szCs w:val="24"/>
        </w:rPr>
        <w:t xml:space="preserve"> 6</w:t>
      </w:r>
      <w:r w:rsidR="00092202" w:rsidRPr="00432C28">
        <w:rPr>
          <w:rFonts w:cs="Times New Roman"/>
          <w:szCs w:val="24"/>
          <w:vertAlign w:val="superscript"/>
        </w:rPr>
        <w:t>th</w:t>
      </w:r>
      <w:r w:rsidR="00092202" w:rsidRPr="00432C28">
        <w:rPr>
          <w:rFonts w:cs="Times New Roman"/>
          <w:szCs w:val="24"/>
        </w:rPr>
        <w:t xml:space="preserve"> Power </w:t>
      </w:r>
      <w:r w:rsidR="00636E21">
        <w:rPr>
          <w:rFonts w:cs="Times New Roman"/>
          <w:szCs w:val="24"/>
        </w:rPr>
        <w:t>P</w:t>
      </w:r>
      <w:r w:rsidR="00092202" w:rsidRPr="00432C28">
        <w:rPr>
          <w:rFonts w:cs="Times New Roman"/>
          <w:szCs w:val="24"/>
        </w:rPr>
        <w:t xml:space="preserve">lan whenever possible. A comparison is provided in Volume </w:t>
      </w:r>
      <w:r w:rsidR="00B14503">
        <w:rPr>
          <w:rFonts w:cs="Times New Roman"/>
          <w:szCs w:val="24"/>
        </w:rPr>
        <w:t>4</w:t>
      </w:r>
      <w:r w:rsidR="00092202" w:rsidRPr="00432C28">
        <w:rPr>
          <w:rFonts w:cs="Times New Roman"/>
          <w:szCs w:val="24"/>
        </w:rPr>
        <w:t xml:space="preserve">, Appendix </w:t>
      </w:r>
      <w:r w:rsidR="00B14503">
        <w:rPr>
          <w:rFonts w:cs="Times New Roman"/>
          <w:szCs w:val="24"/>
        </w:rPr>
        <w:t>G</w:t>
      </w:r>
      <w:r w:rsidR="00092202" w:rsidRPr="00432C28">
        <w:rPr>
          <w:rFonts w:cs="Times New Roman"/>
          <w:szCs w:val="24"/>
        </w:rPr>
        <w:t xml:space="preserve"> of the Company’s 201</w:t>
      </w:r>
      <w:r w:rsidR="00B14503">
        <w:rPr>
          <w:rFonts w:cs="Times New Roman"/>
          <w:szCs w:val="24"/>
        </w:rPr>
        <w:t>5</w:t>
      </w:r>
      <w:r w:rsidR="00092202" w:rsidRPr="00432C28">
        <w:rPr>
          <w:rFonts w:cs="Times New Roman"/>
          <w:szCs w:val="24"/>
        </w:rPr>
        <w:t xml:space="preserve"> Conservation Potential Assessment.</w:t>
      </w:r>
    </w:p>
    <w:p w:rsidR="0069241E" w:rsidRPr="00432C28" w:rsidRDefault="0069241E" w:rsidP="0069241E">
      <w:pPr>
        <w:autoSpaceDE w:val="0"/>
        <w:autoSpaceDN w:val="0"/>
        <w:adjustRightInd w:val="0"/>
        <w:rPr>
          <w:rFonts w:cs="Times New Roman"/>
          <w:szCs w:val="24"/>
        </w:rPr>
      </w:pPr>
    </w:p>
    <w:p w:rsidR="0069241E" w:rsidRPr="00432C28" w:rsidRDefault="00092202" w:rsidP="0069241E">
      <w:pPr>
        <w:autoSpaceDE w:val="0"/>
        <w:autoSpaceDN w:val="0"/>
        <w:adjustRightInd w:val="0"/>
        <w:rPr>
          <w:rFonts w:cs="Times New Roman"/>
          <w:szCs w:val="24"/>
        </w:rPr>
      </w:pPr>
      <w:r w:rsidRPr="00432C28">
        <w:rPr>
          <w:rFonts w:cs="Times New Roman"/>
          <w:szCs w:val="24"/>
        </w:rPr>
        <w:t>The Company’s 201</w:t>
      </w:r>
      <w:r w:rsidR="00B32A23">
        <w:rPr>
          <w:rFonts w:cs="Times New Roman"/>
          <w:szCs w:val="24"/>
        </w:rPr>
        <w:t>5</w:t>
      </w:r>
      <w:r w:rsidRPr="00432C28">
        <w:rPr>
          <w:rFonts w:cs="Times New Roman"/>
          <w:szCs w:val="24"/>
        </w:rPr>
        <w:t xml:space="preserve"> Conservation Potential Assessment is both included as </w:t>
      </w:r>
      <w:r w:rsidR="00F937B0" w:rsidRPr="00636E21">
        <w:rPr>
          <w:rFonts w:cs="Times New Roman"/>
          <w:szCs w:val="24"/>
        </w:rPr>
        <w:t xml:space="preserve">Appendix </w:t>
      </w:r>
      <w:r w:rsidR="0056568D">
        <w:rPr>
          <w:rFonts w:cs="Times New Roman"/>
          <w:szCs w:val="24"/>
        </w:rPr>
        <w:t>2</w:t>
      </w:r>
      <w:r w:rsidRPr="00432C28">
        <w:rPr>
          <w:rFonts w:cs="Times New Roman"/>
          <w:szCs w:val="24"/>
        </w:rPr>
        <w:t xml:space="preserve"> to this report and is available for download at </w:t>
      </w:r>
      <w:hyperlink r:id="rId26" w:history="1">
        <w:r w:rsidR="005C6F1A" w:rsidRPr="00432C28">
          <w:rPr>
            <w:rStyle w:val="Hyperlink"/>
            <w:rFonts w:cs="Times New Roman"/>
            <w:szCs w:val="24"/>
          </w:rPr>
          <w:t>http://www.pacificorp.com/es/dsm.html</w:t>
        </w:r>
      </w:hyperlink>
      <w:r w:rsidR="0069241E" w:rsidRPr="00432C28">
        <w:rPr>
          <w:rFonts w:cs="Times New Roman"/>
          <w:szCs w:val="24"/>
        </w:rPr>
        <w:t>.</w:t>
      </w:r>
    </w:p>
    <w:p w:rsidR="00F40DDA" w:rsidRPr="00432C28" w:rsidRDefault="00F40DDA" w:rsidP="00B74FFD">
      <w:pPr>
        <w:rPr>
          <w:rFonts w:cs="Times New Roman"/>
          <w:szCs w:val="24"/>
        </w:rPr>
      </w:pPr>
    </w:p>
    <w:p w:rsidR="00B74FFD" w:rsidRPr="00432C28" w:rsidRDefault="000E5C89" w:rsidP="00B74FFD">
      <w:pPr>
        <w:rPr>
          <w:rFonts w:cs="Times New Roman"/>
          <w:i/>
          <w:szCs w:val="24"/>
        </w:rPr>
      </w:pPr>
      <w:r w:rsidRPr="00432C28">
        <w:rPr>
          <w:rFonts w:cs="Times New Roman"/>
          <w:i/>
          <w:szCs w:val="24"/>
        </w:rPr>
        <w:t>Processes and Procedures</w:t>
      </w:r>
    </w:p>
    <w:p w:rsidR="00B74FFD" w:rsidRPr="00432C28" w:rsidRDefault="00B74FFD" w:rsidP="00B74FFD">
      <w:pPr>
        <w:rPr>
          <w:rFonts w:cs="Times New Roman"/>
          <w:szCs w:val="24"/>
        </w:rPr>
      </w:pPr>
    </w:p>
    <w:p w:rsidR="00B74FFD" w:rsidRPr="00432C28" w:rsidRDefault="000E5C89" w:rsidP="00B74FFD">
      <w:pPr>
        <w:rPr>
          <w:rFonts w:cs="Times New Roman"/>
          <w:szCs w:val="24"/>
        </w:rPr>
      </w:pPr>
      <w:r w:rsidRPr="00432C28">
        <w:rPr>
          <w:rFonts w:cs="Times New Roman"/>
          <w:szCs w:val="24"/>
        </w:rPr>
        <w:t>Integrated Resource Planning</w:t>
      </w:r>
    </w:p>
    <w:p w:rsidR="00B74FFD" w:rsidRPr="00432C28" w:rsidRDefault="00B74FFD" w:rsidP="00B74FFD">
      <w:pPr>
        <w:rPr>
          <w:rFonts w:cs="Times New Roman"/>
          <w:szCs w:val="24"/>
        </w:rPr>
      </w:pPr>
    </w:p>
    <w:p w:rsidR="00B10D57" w:rsidRPr="0049751C" w:rsidRDefault="00216ECD" w:rsidP="00793F8F">
      <w:pPr>
        <w:rPr>
          <w:rFonts w:cs="Times New Roman"/>
          <w:b/>
          <w:szCs w:val="24"/>
        </w:rPr>
      </w:pPr>
      <w:r w:rsidRPr="00A22E86">
        <w:rPr>
          <w:rFonts w:cs="Times New Roman"/>
          <w:szCs w:val="24"/>
        </w:rPr>
        <w:t>The PacifiCorp IRP modeling process entails the development of many alternative resource portfolios based on different combinations of input forecasts, followed by stochastic production cost simulation of the portfolios to</w:t>
      </w:r>
      <w:r w:rsidRPr="000849D9">
        <w:rPr>
          <w:rFonts w:cs="Times New Roman"/>
          <w:szCs w:val="24"/>
        </w:rPr>
        <w:t xml:space="preserve"> determine their risk-adjusted cost and reliability performance. As indicated above, the portfolios are developed using S</w:t>
      </w:r>
      <w:r w:rsidR="00A242A0" w:rsidRPr="00E9625A">
        <w:rPr>
          <w:rFonts w:cs="Times New Roman"/>
          <w:szCs w:val="24"/>
        </w:rPr>
        <w:t>O model</w:t>
      </w:r>
      <w:r w:rsidRPr="00A22E86">
        <w:rPr>
          <w:rFonts w:cs="Times New Roman"/>
          <w:szCs w:val="24"/>
        </w:rPr>
        <w:t>, and stochastic production cost simulation is conducted with the P</w:t>
      </w:r>
      <w:r w:rsidR="00A242A0" w:rsidRPr="00E9625A">
        <w:rPr>
          <w:rFonts w:cs="Times New Roman"/>
          <w:szCs w:val="24"/>
        </w:rPr>
        <w:t>aR</w:t>
      </w:r>
      <w:r w:rsidR="00E9625A">
        <w:rPr>
          <w:rFonts w:cs="Times New Roman"/>
          <w:szCs w:val="24"/>
        </w:rPr>
        <w:t xml:space="preserve"> </w:t>
      </w:r>
      <w:r w:rsidR="00A242A0" w:rsidRPr="00E9625A">
        <w:rPr>
          <w:rFonts w:cs="Times New Roman"/>
          <w:szCs w:val="24"/>
        </w:rPr>
        <w:t>model</w:t>
      </w:r>
      <w:r w:rsidRPr="00A22E86">
        <w:rPr>
          <w:rFonts w:cs="Times New Roman"/>
          <w:szCs w:val="24"/>
        </w:rPr>
        <w:t xml:space="preserve">. </w:t>
      </w:r>
      <w:bookmarkStart w:id="21" w:name="_Ref367173435"/>
    </w:p>
    <w:bookmarkEnd w:id="21"/>
    <w:p w:rsidR="00216ECD" w:rsidRPr="00432C28" w:rsidRDefault="00216ECD" w:rsidP="00216ECD">
      <w:pPr>
        <w:rPr>
          <w:rFonts w:cs="Times New Roman"/>
          <w:szCs w:val="24"/>
        </w:rPr>
      </w:pPr>
    </w:p>
    <w:p w:rsidR="00216ECD" w:rsidRPr="009C6A3B" w:rsidRDefault="004D5417" w:rsidP="00216ECD">
      <w:pPr>
        <w:rPr>
          <w:rFonts w:cs="Times New Roman"/>
          <w:szCs w:val="24"/>
        </w:rPr>
      </w:pPr>
      <w:r w:rsidRPr="00A22E86">
        <w:rPr>
          <w:rFonts w:cs="Times New Roman"/>
          <w:szCs w:val="24"/>
        </w:rPr>
        <w:t>For the 201</w:t>
      </w:r>
      <w:r w:rsidR="00A242A0" w:rsidRPr="00E9625A">
        <w:rPr>
          <w:rFonts w:cs="Times New Roman"/>
          <w:szCs w:val="24"/>
        </w:rPr>
        <w:t>5</w:t>
      </w:r>
      <w:r w:rsidR="00216ECD" w:rsidRPr="00A22E86">
        <w:rPr>
          <w:rFonts w:cs="Times New Roman"/>
          <w:szCs w:val="24"/>
        </w:rPr>
        <w:t xml:space="preserve"> IRP, PacifiCorp developed </w:t>
      </w:r>
      <w:r w:rsidR="00A242A0" w:rsidRPr="00E9625A">
        <w:rPr>
          <w:rFonts w:cs="Times New Roman"/>
          <w:szCs w:val="24"/>
        </w:rPr>
        <w:t xml:space="preserve">34 unique core case portfolios as well as 15 separate sensitivities </w:t>
      </w:r>
      <w:r w:rsidR="00216ECD" w:rsidRPr="00A22E86">
        <w:rPr>
          <w:rFonts w:cs="Times New Roman"/>
          <w:szCs w:val="24"/>
        </w:rPr>
        <w:t>for analysis, based on a combination of commodity natural gas price forecasts, wholesale electricity price forecasts, load forecasts, carbon dioxide cost</w:t>
      </w:r>
      <w:r w:rsidR="00216ECD" w:rsidRPr="000849D9">
        <w:rPr>
          <w:rFonts w:cs="Times New Roman"/>
          <w:szCs w:val="24"/>
        </w:rPr>
        <w:t>s, and other input assumptions</w:t>
      </w:r>
      <w:r w:rsidR="00A242A0" w:rsidRPr="00E9625A">
        <w:rPr>
          <w:rFonts w:cs="Times New Roman"/>
          <w:szCs w:val="24"/>
        </w:rPr>
        <w:t xml:space="preserve">, including assumptions around the proposed EPA Clean Power Plan. All cases developed </w:t>
      </w:r>
      <w:r w:rsidR="00216ECD" w:rsidRPr="00A22E86">
        <w:rPr>
          <w:rFonts w:cs="Times New Roman"/>
          <w:szCs w:val="24"/>
        </w:rPr>
        <w:t>were subsequently simulated using the P</w:t>
      </w:r>
      <w:r w:rsidR="00A242A0" w:rsidRPr="00E9625A">
        <w:rPr>
          <w:rFonts w:cs="Times New Roman"/>
          <w:szCs w:val="24"/>
        </w:rPr>
        <w:t>aR model</w:t>
      </w:r>
      <w:r w:rsidR="00216ECD" w:rsidRPr="009C6A3B">
        <w:rPr>
          <w:rFonts w:cs="Times New Roman"/>
          <w:szCs w:val="24"/>
        </w:rPr>
        <w:t>.</w:t>
      </w:r>
    </w:p>
    <w:p w:rsidR="00216ECD" w:rsidRPr="002462A3" w:rsidRDefault="00216ECD" w:rsidP="00216ECD">
      <w:pPr>
        <w:rPr>
          <w:rFonts w:cs="Times New Roman"/>
          <w:szCs w:val="24"/>
        </w:rPr>
      </w:pPr>
    </w:p>
    <w:p w:rsidR="00A242A0" w:rsidRPr="00B113E0" w:rsidRDefault="00216ECD" w:rsidP="00B74FFD">
      <w:pPr>
        <w:rPr>
          <w:rFonts w:cs="Times New Roman"/>
          <w:szCs w:val="24"/>
        </w:rPr>
      </w:pPr>
      <w:r w:rsidRPr="002462A3">
        <w:rPr>
          <w:rFonts w:cs="Times New Roman"/>
          <w:szCs w:val="24"/>
        </w:rPr>
        <w:t>To select its 201</w:t>
      </w:r>
      <w:r w:rsidR="00A242A0" w:rsidRPr="00B113E0">
        <w:rPr>
          <w:rFonts w:cs="Times New Roman"/>
          <w:szCs w:val="24"/>
        </w:rPr>
        <w:t>5</w:t>
      </w:r>
      <w:r w:rsidRPr="00A22E86">
        <w:rPr>
          <w:rFonts w:cs="Times New Roman"/>
          <w:szCs w:val="24"/>
        </w:rPr>
        <w:t xml:space="preserve"> IRP preferred resource portfolio, PacifiCorp </w:t>
      </w:r>
      <w:r w:rsidR="0099191B" w:rsidRPr="000849D9">
        <w:rPr>
          <w:rFonts w:cs="Times New Roman"/>
          <w:szCs w:val="24"/>
        </w:rPr>
        <w:t>used a three</w:t>
      </w:r>
      <w:r w:rsidRPr="00543DA8">
        <w:rPr>
          <w:rFonts w:cs="Times New Roman"/>
          <w:szCs w:val="24"/>
        </w:rPr>
        <w:t xml:space="preserve">-phase screening process to select the top-performing portfolio. </w:t>
      </w:r>
    </w:p>
    <w:p w:rsidR="00A242A0" w:rsidRDefault="00A242A0" w:rsidP="00B74FFD">
      <w:pPr>
        <w:rPr>
          <w:rFonts w:cs="Times New Roman"/>
          <w:szCs w:val="24"/>
          <w:highlight w:val="yellow"/>
        </w:rPr>
      </w:pPr>
    </w:p>
    <w:p w:rsidR="00A242A0" w:rsidRDefault="00A242A0" w:rsidP="00A242A0">
      <w:pPr>
        <w:rPr>
          <w:rFonts w:cs="Times New Roman"/>
          <w:szCs w:val="24"/>
        </w:rPr>
      </w:pPr>
      <w:r w:rsidRPr="00D15403">
        <w:rPr>
          <w:rFonts w:cs="Times New Roman"/>
          <w:szCs w:val="24"/>
        </w:rPr>
        <w:t xml:space="preserve">The pre-screening process is the initial step in the preferred portfolio selection process. The pre-screening process plots the mean </w:t>
      </w:r>
      <w:r>
        <w:rPr>
          <w:rFonts w:cs="Times New Roman"/>
          <w:szCs w:val="24"/>
        </w:rPr>
        <w:t>present value revenue requirement (“</w:t>
      </w:r>
      <w:r w:rsidRPr="00D15403">
        <w:rPr>
          <w:rFonts w:cs="Times New Roman"/>
          <w:szCs w:val="24"/>
        </w:rPr>
        <w:t>PVRR</w:t>
      </w:r>
      <w:r>
        <w:rPr>
          <w:rFonts w:cs="Times New Roman"/>
          <w:szCs w:val="24"/>
        </w:rPr>
        <w:t>”)</w:t>
      </w:r>
      <w:r w:rsidRPr="00D15403">
        <w:rPr>
          <w:rFonts w:cs="Times New Roman"/>
          <w:szCs w:val="24"/>
        </w:rPr>
        <w:t xml:space="preserve"> and upper-tail mean PVRR (net of fixed costs) for each unique resource portfolio</w:t>
      </w:r>
      <w:r>
        <w:rPr>
          <w:rFonts w:cs="Times New Roman"/>
          <w:szCs w:val="24"/>
        </w:rPr>
        <w:t xml:space="preserve"> </w:t>
      </w:r>
      <w:r>
        <w:rPr>
          <w:sz w:val="23"/>
          <w:szCs w:val="23"/>
        </w:rPr>
        <w:t>using base, low, and high forward price curve assumptions</w:t>
      </w:r>
      <w:r>
        <w:rPr>
          <w:rFonts w:cs="Times New Roman"/>
          <w:szCs w:val="24"/>
        </w:rPr>
        <w:t xml:space="preserve">, which </w:t>
      </w:r>
      <w:r w:rsidRPr="00D15403">
        <w:rPr>
          <w:rFonts w:cs="Times New Roman"/>
          <w:szCs w:val="24"/>
        </w:rPr>
        <w:t>eliminates outlier portfolios that have substantially higher cost and risk metrics relative to others. Pre-screening also eliminates portfolios pr</w:t>
      </w:r>
      <w:r>
        <w:rPr>
          <w:rFonts w:cs="Times New Roman"/>
          <w:szCs w:val="24"/>
        </w:rPr>
        <w:t xml:space="preserve">oduced for comparison purposes </w:t>
      </w:r>
      <w:r w:rsidRPr="00D15403">
        <w:rPr>
          <w:rFonts w:cs="Times New Roman"/>
          <w:szCs w:val="24"/>
        </w:rPr>
        <w:t>that may not meet future enviro</w:t>
      </w:r>
      <w:r>
        <w:rPr>
          <w:rFonts w:cs="Times New Roman"/>
          <w:szCs w:val="24"/>
        </w:rPr>
        <w:t>nmental compliance requirements.</w:t>
      </w:r>
    </w:p>
    <w:p w:rsidR="00A242A0" w:rsidRDefault="00A242A0" w:rsidP="00A242A0">
      <w:pPr>
        <w:rPr>
          <w:rFonts w:cs="Times New Roman"/>
          <w:szCs w:val="24"/>
        </w:rPr>
      </w:pPr>
    </w:p>
    <w:p w:rsidR="00A242A0" w:rsidRDefault="00A242A0" w:rsidP="00A242A0">
      <w:pPr>
        <w:rPr>
          <w:rFonts w:cs="Times New Roman"/>
          <w:szCs w:val="24"/>
        </w:rPr>
      </w:pPr>
      <w:r w:rsidRPr="00D15403">
        <w:rPr>
          <w:rFonts w:cs="Times New Roman"/>
          <w:szCs w:val="24"/>
        </w:rPr>
        <w:t xml:space="preserve">Initial screening </w:t>
      </w:r>
      <w:r w:rsidR="00B113E0">
        <w:rPr>
          <w:rFonts w:cs="Times New Roman"/>
          <w:szCs w:val="24"/>
        </w:rPr>
        <w:t xml:space="preserve">is step two and </w:t>
      </w:r>
      <w:r w:rsidRPr="00D15403">
        <w:rPr>
          <w:rFonts w:cs="Times New Roman"/>
          <w:szCs w:val="24"/>
        </w:rPr>
        <w:t xml:space="preserve">relies upon plots of the mean PVRR and the upper-tail mean PVRR (net of fixed costs) for each unique resource portfolio remaining after removal of portfolios during the pre-screening step. Based on the data used to produce these plots, PacifiCorp </w:t>
      </w:r>
      <w:r>
        <w:rPr>
          <w:rFonts w:cs="Times New Roman"/>
          <w:szCs w:val="24"/>
        </w:rPr>
        <w:t>identifies</w:t>
      </w:r>
      <w:r w:rsidRPr="00D15403">
        <w:rPr>
          <w:rFonts w:cs="Times New Roman"/>
          <w:szCs w:val="24"/>
        </w:rPr>
        <w:t xml:space="preserve"> </w:t>
      </w:r>
      <w:r>
        <w:rPr>
          <w:rFonts w:cs="Times New Roman"/>
          <w:szCs w:val="24"/>
        </w:rPr>
        <w:t xml:space="preserve">resource </w:t>
      </w:r>
      <w:r w:rsidRPr="00D15403">
        <w:rPr>
          <w:rFonts w:cs="Times New Roman"/>
          <w:szCs w:val="24"/>
        </w:rPr>
        <w:t>portfolios with the best combination of cost and risk</w:t>
      </w:r>
      <w:r>
        <w:rPr>
          <w:rFonts w:cs="Times New Roman"/>
          <w:szCs w:val="24"/>
        </w:rPr>
        <w:t xml:space="preserve">, such as </w:t>
      </w:r>
      <w:r w:rsidRPr="00D15403">
        <w:rPr>
          <w:rFonts w:cs="Times New Roman"/>
          <w:szCs w:val="24"/>
        </w:rPr>
        <w:t>portfolios that fall within the threshold amount as compared to the least cost</w:t>
      </w:r>
      <w:r>
        <w:rPr>
          <w:rFonts w:cs="Times New Roman"/>
          <w:szCs w:val="24"/>
        </w:rPr>
        <w:t xml:space="preserve"> </w:t>
      </w:r>
      <w:r w:rsidRPr="00D15403">
        <w:rPr>
          <w:rFonts w:cs="Times New Roman"/>
          <w:szCs w:val="24"/>
        </w:rPr>
        <w:t>portfolio</w:t>
      </w:r>
      <w:r>
        <w:rPr>
          <w:rFonts w:cs="Times New Roman"/>
          <w:szCs w:val="24"/>
        </w:rPr>
        <w:t xml:space="preserve">, </w:t>
      </w:r>
      <w:r w:rsidRPr="00D15403">
        <w:rPr>
          <w:rFonts w:cs="Times New Roman"/>
          <w:szCs w:val="24"/>
        </w:rPr>
        <w:t>portfolios that fall within the threshold amount as compared to the least risk</w:t>
      </w:r>
      <w:r>
        <w:rPr>
          <w:rFonts w:cs="Times New Roman"/>
          <w:szCs w:val="24"/>
        </w:rPr>
        <w:t xml:space="preserve"> </w:t>
      </w:r>
      <w:r w:rsidRPr="00D15403">
        <w:rPr>
          <w:rFonts w:cs="Times New Roman"/>
          <w:szCs w:val="24"/>
        </w:rPr>
        <w:t xml:space="preserve">portfolio, </w:t>
      </w:r>
      <w:r>
        <w:rPr>
          <w:rFonts w:cs="Times New Roman"/>
          <w:szCs w:val="24"/>
        </w:rPr>
        <w:t xml:space="preserve">and </w:t>
      </w:r>
      <w:r w:rsidRPr="00D15403">
        <w:rPr>
          <w:rFonts w:cs="Times New Roman"/>
          <w:szCs w:val="24"/>
        </w:rPr>
        <w:t>portfolios that fall within the least cost and least risk thresholds among any price</w:t>
      </w:r>
      <w:r>
        <w:rPr>
          <w:rFonts w:cs="Times New Roman"/>
          <w:szCs w:val="24"/>
        </w:rPr>
        <w:t xml:space="preserve"> </w:t>
      </w:r>
      <w:r w:rsidRPr="00D15403">
        <w:rPr>
          <w:rFonts w:cs="Times New Roman"/>
          <w:szCs w:val="24"/>
        </w:rPr>
        <w:t>curve scenario.</w:t>
      </w:r>
    </w:p>
    <w:p w:rsidR="00A242A0" w:rsidRDefault="00A242A0" w:rsidP="00A242A0">
      <w:pPr>
        <w:rPr>
          <w:rFonts w:cs="Times New Roman"/>
          <w:szCs w:val="24"/>
        </w:rPr>
      </w:pPr>
    </w:p>
    <w:p w:rsidR="00A242A0" w:rsidRDefault="00A242A0" w:rsidP="00A242A0">
      <w:pPr>
        <w:rPr>
          <w:rFonts w:cs="Times New Roman"/>
          <w:szCs w:val="24"/>
          <w:highlight w:val="yellow"/>
        </w:rPr>
      </w:pPr>
      <w:r w:rsidRPr="005C31F4">
        <w:rPr>
          <w:rFonts w:cs="Times New Roman"/>
          <w:szCs w:val="24"/>
        </w:rPr>
        <w:t xml:space="preserve">During the final screening process, resource portfolios remaining after the initial screening step are ranked by risk-adjusted mean PVRR, the primary metric used to identify top performing portfolios. Portfolio rankings are reported for the base, low, and high price curve scenarios. Resource portfolios with the lowest risk-adjusted mean PVRR receive the highest rank. </w:t>
      </w:r>
      <w:r>
        <w:rPr>
          <w:rFonts w:cs="Times New Roman"/>
          <w:szCs w:val="24"/>
        </w:rPr>
        <w:t xml:space="preserve"> </w:t>
      </w:r>
      <w:r w:rsidRPr="005C31F4">
        <w:rPr>
          <w:rFonts w:cs="Times New Roman"/>
          <w:szCs w:val="24"/>
        </w:rPr>
        <w:t>The final screening process also includes review of deterministic risk analysis and other comparative portfolio analysis. Additional stochastic metrics from PaR</w:t>
      </w:r>
      <w:r>
        <w:rPr>
          <w:rFonts w:cs="Times New Roman"/>
          <w:szCs w:val="24"/>
        </w:rPr>
        <w:t xml:space="preserve">, such as </w:t>
      </w:r>
      <w:r w:rsidRPr="005C31F4">
        <w:rPr>
          <w:rFonts w:cs="Times New Roman"/>
          <w:szCs w:val="24"/>
        </w:rPr>
        <w:t xml:space="preserve">expected and upper tail </w:t>
      </w:r>
      <w:r>
        <w:rPr>
          <w:rFonts w:cs="Times New Roman"/>
          <w:szCs w:val="24"/>
        </w:rPr>
        <w:t>energy-not-served</w:t>
      </w:r>
      <w:r w:rsidRPr="005C31F4">
        <w:rPr>
          <w:rFonts w:cs="Times New Roman"/>
          <w:szCs w:val="24"/>
        </w:rPr>
        <w:t xml:space="preserve"> results and CO</w:t>
      </w:r>
      <w:r w:rsidRPr="00062822">
        <w:rPr>
          <w:rFonts w:cs="Times New Roman"/>
          <w:szCs w:val="24"/>
          <w:vertAlign w:val="subscript"/>
        </w:rPr>
        <w:t>2</w:t>
      </w:r>
      <w:r w:rsidRPr="005C31F4">
        <w:rPr>
          <w:rFonts w:cs="Times New Roman"/>
          <w:szCs w:val="24"/>
        </w:rPr>
        <w:t xml:space="preserve"> emissions results</w:t>
      </w:r>
      <w:r>
        <w:rPr>
          <w:rFonts w:cs="Times New Roman"/>
          <w:szCs w:val="24"/>
        </w:rPr>
        <w:t xml:space="preserve">, are also </w:t>
      </w:r>
      <w:r w:rsidRPr="005C31F4">
        <w:rPr>
          <w:rFonts w:cs="Times New Roman"/>
          <w:szCs w:val="24"/>
        </w:rPr>
        <w:t>used to differentiate portfolios that might be closely ranked on a risk-adjusted mean PVRR basis. Comparative analysis of fuel source diversity and customer rate impacts is also performed.</w:t>
      </w:r>
    </w:p>
    <w:p w:rsidR="00A242A0" w:rsidRDefault="00A242A0" w:rsidP="00B74FFD">
      <w:pPr>
        <w:rPr>
          <w:rFonts w:cs="Times New Roman"/>
          <w:szCs w:val="24"/>
          <w:highlight w:val="yellow"/>
        </w:rPr>
      </w:pPr>
    </w:p>
    <w:p w:rsidR="0099191B" w:rsidRPr="00432C28" w:rsidRDefault="0099191B" w:rsidP="00B74FFD">
      <w:pPr>
        <w:rPr>
          <w:rFonts w:cs="Times New Roman"/>
          <w:i/>
          <w:szCs w:val="24"/>
        </w:rPr>
      </w:pPr>
    </w:p>
    <w:p w:rsidR="00B74FFD" w:rsidRPr="00432C28" w:rsidRDefault="000E5C89" w:rsidP="00B74FFD">
      <w:pPr>
        <w:rPr>
          <w:rFonts w:cs="Times New Roman"/>
          <w:i/>
          <w:szCs w:val="24"/>
        </w:rPr>
      </w:pPr>
      <w:r w:rsidRPr="00432C28">
        <w:rPr>
          <w:rFonts w:cs="Times New Roman"/>
          <w:i/>
          <w:szCs w:val="24"/>
        </w:rPr>
        <w:t>Conservation</w:t>
      </w:r>
    </w:p>
    <w:p w:rsidR="00877826" w:rsidRDefault="00877826" w:rsidP="0070451E">
      <w:pPr>
        <w:rPr>
          <w:rFonts w:cs="Times New Roman"/>
          <w:szCs w:val="24"/>
        </w:rPr>
      </w:pPr>
    </w:p>
    <w:p w:rsidR="0070451E" w:rsidRPr="00432C28" w:rsidRDefault="0043715C" w:rsidP="0070451E">
      <w:pPr>
        <w:rPr>
          <w:rFonts w:cs="Times New Roman"/>
          <w:szCs w:val="24"/>
        </w:rPr>
      </w:pPr>
      <w:r w:rsidRPr="00432C28">
        <w:rPr>
          <w:rFonts w:cs="Times New Roman"/>
          <w:szCs w:val="24"/>
        </w:rPr>
        <w:t>Th</w:t>
      </w:r>
      <w:r w:rsidR="00B113E0">
        <w:rPr>
          <w:rFonts w:cs="Times New Roman"/>
          <w:szCs w:val="24"/>
        </w:rPr>
        <w:t>e</w:t>
      </w:r>
      <w:r w:rsidRPr="00432C28">
        <w:rPr>
          <w:rFonts w:cs="Times New Roman"/>
          <w:szCs w:val="24"/>
        </w:rPr>
        <w:t xml:space="preserve"> general </w:t>
      </w:r>
      <w:r w:rsidR="00B113E0">
        <w:rPr>
          <w:rFonts w:cs="Times New Roman"/>
          <w:szCs w:val="24"/>
        </w:rPr>
        <w:t xml:space="preserve">methodology used in </w:t>
      </w:r>
      <w:r w:rsidRPr="00432C28">
        <w:rPr>
          <w:rFonts w:cs="Times New Roman"/>
          <w:szCs w:val="24"/>
        </w:rPr>
        <w:t xml:space="preserve">the development of the Conservation Potential Assessment </w:t>
      </w:r>
      <w:r w:rsidR="00812DF2">
        <w:rPr>
          <w:rFonts w:cs="Times New Roman"/>
          <w:szCs w:val="24"/>
        </w:rPr>
        <w:t xml:space="preserve">can </w:t>
      </w:r>
      <w:r w:rsidR="004D5417" w:rsidRPr="00432C28">
        <w:rPr>
          <w:rFonts w:cs="Times New Roman"/>
          <w:szCs w:val="24"/>
        </w:rPr>
        <w:t xml:space="preserve">best </w:t>
      </w:r>
      <w:r w:rsidR="00812DF2">
        <w:rPr>
          <w:rFonts w:cs="Times New Roman"/>
          <w:szCs w:val="24"/>
        </w:rPr>
        <w:t xml:space="preserve">be </w:t>
      </w:r>
      <w:r w:rsidR="004D5417" w:rsidRPr="00432C28">
        <w:rPr>
          <w:rFonts w:cs="Times New Roman"/>
          <w:szCs w:val="24"/>
        </w:rPr>
        <w:t>described as</w:t>
      </w:r>
      <w:r w:rsidR="00B113E0">
        <w:rPr>
          <w:rFonts w:cs="Times New Roman"/>
          <w:szCs w:val="24"/>
        </w:rPr>
        <w:t xml:space="preserve"> a</w:t>
      </w:r>
      <w:r w:rsidR="00812DF2">
        <w:rPr>
          <w:rFonts w:cs="Times New Roman"/>
          <w:szCs w:val="24"/>
        </w:rPr>
        <w:t xml:space="preserve"> </w:t>
      </w:r>
      <w:r w:rsidR="006F02A3">
        <w:rPr>
          <w:rFonts w:cs="Times New Roman"/>
          <w:szCs w:val="24"/>
        </w:rPr>
        <w:t>”</w:t>
      </w:r>
      <w:r w:rsidR="004D5417" w:rsidRPr="00432C28">
        <w:rPr>
          <w:rFonts w:cs="Times New Roman"/>
          <w:szCs w:val="24"/>
        </w:rPr>
        <w:t xml:space="preserve">bottom-up” approach. </w:t>
      </w:r>
      <w:r w:rsidR="00227E80">
        <w:rPr>
          <w:rFonts w:cs="Times New Roman"/>
          <w:szCs w:val="24"/>
        </w:rPr>
        <w:t>It starts with performing market characterizations to describe electricity use for each customer sector</w:t>
      </w:r>
      <w:r w:rsidR="00B113E0">
        <w:rPr>
          <w:rFonts w:cs="Times New Roman"/>
          <w:szCs w:val="24"/>
        </w:rPr>
        <w:t>. Then baseline</w:t>
      </w:r>
      <w:r w:rsidR="00812DF2">
        <w:rPr>
          <w:rFonts w:cs="Times New Roman"/>
          <w:szCs w:val="24"/>
        </w:rPr>
        <w:t xml:space="preserve"> </w:t>
      </w:r>
      <w:r w:rsidR="00227E80">
        <w:rPr>
          <w:rFonts w:cs="Times New Roman"/>
          <w:szCs w:val="24"/>
        </w:rPr>
        <w:t>projections of energy consumption by state, sector, segment, and end use</w:t>
      </w:r>
      <w:r w:rsidR="00B113E0">
        <w:rPr>
          <w:rFonts w:cs="Times New Roman"/>
          <w:szCs w:val="24"/>
        </w:rPr>
        <w:t xml:space="preserve"> are developed</w:t>
      </w:r>
      <w:r w:rsidR="00812DF2">
        <w:rPr>
          <w:rFonts w:cs="Times New Roman"/>
          <w:szCs w:val="24"/>
        </w:rPr>
        <w:t>. As part of this process the vendor defines and characterizes</w:t>
      </w:r>
      <w:r w:rsidR="00227E80">
        <w:rPr>
          <w:rFonts w:cs="Times New Roman"/>
          <w:szCs w:val="24"/>
        </w:rPr>
        <w:t xml:space="preserve"> the energy efficiency measures to be applied </w:t>
      </w:r>
      <w:r w:rsidR="007C476D">
        <w:rPr>
          <w:rFonts w:cs="Times New Roman"/>
          <w:szCs w:val="24"/>
        </w:rPr>
        <w:t>each</w:t>
      </w:r>
      <w:r w:rsidR="00227E80">
        <w:rPr>
          <w:rFonts w:cs="Times New Roman"/>
          <w:szCs w:val="24"/>
        </w:rPr>
        <w:t xml:space="preserve"> sector, segments, and end uses</w:t>
      </w:r>
      <w:r w:rsidR="00812DF2">
        <w:rPr>
          <w:rFonts w:cs="Times New Roman"/>
          <w:szCs w:val="24"/>
        </w:rPr>
        <w:t xml:space="preserve"> and estimates the potential from each measure</w:t>
      </w:r>
      <w:r w:rsidR="004D5417" w:rsidRPr="00432C28">
        <w:rPr>
          <w:rFonts w:cs="Times New Roman"/>
          <w:szCs w:val="24"/>
        </w:rPr>
        <w:t>.</w:t>
      </w:r>
      <w:r w:rsidR="00227E80">
        <w:rPr>
          <w:rFonts w:cs="Times New Roman"/>
          <w:szCs w:val="24"/>
        </w:rPr>
        <w:t xml:space="preserve"> For a full explanation of the analysis approach refer to the Conservation Potential Assessment, Volume 2</w:t>
      </w:r>
      <w:r w:rsidR="00812DF2">
        <w:rPr>
          <w:rFonts w:cs="Times New Roman"/>
          <w:szCs w:val="24"/>
        </w:rPr>
        <w:t xml:space="preserve">, </w:t>
      </w:r>
      <w:r w:rsidR="00227E80">
        <w:rPr>
          <w:rFonts w:cs="Times New Roman"/>
          <w:szCs w:val="24"/>
        </w:rPr>
        <w:t>Chapter 2</w:t>
      </w:r>
      <w:r w:rsidR="00812DF2">
        <w:rPr>
          <w:rFonts w:cs="Times New Roman"/>
          <w:szCs w:val="24"/>
        </w:rPr>
        <w:t>,</w:t>
      </w:r>
      <w:r w:rsidR="00227E80">
        <w:rPr>
          <w:rFonts w:cs="Times New Roman"/>
          <w:szCs w:val="24"/>
        </w:rPr>
        <w:t xml:space="preserve"> </w:t>
      </w:r>
      <w:r w:rsidR="00812DF2">
        <w:rPr>
          <w:rFonts w:cs="Times New Roman"/>
          <w:szCs w:val="24"/>
        </w:rPr>
        <w:t>“</w:t>
      </w:r>
      <w:r w:rsidR="00227E80">
        <w:rPr>
          <w:rFonts w:cs="Times New Roman"/>
          <w:szCs w:val="24"/>
        </w:rPr>
        <w:t>Analysis Approach.</w:t>
      </w:r>
      <w:r w:rsidR="00812DF2">
        <w:rPr>
          <w:rFonts w:cs="Times New Roman"/>
          <w:szCs w:val="24"/>
        </w:rPr>
        <w:t>”</w:t>
      </w:r>
      <w:r w:rsidR="00227E80">
        <w:rPr>
          <w:rFonts w:cs="Times New Roman"/>
          <w:szCs w:val="24"/>
        </w:rPr>
        <w:t xml:space="preserve">  </w:t>
      </w:r>
      <w:r w:rsidR="004D5417" w:rsidRPr="00432C28">
        <w:rPr>
          <w:rFonts w:cs="Times New Roman"/>
          <w:szCs w:val="24"/>
        </w:rPr>
        <w:t xml:space="preserve">Summaries of </w:t>
      </w:r>
      <w:r w:rsidR="007C476D">
        <w:rPr>
          <w:rFonts w:cs="Times New Roman"/>
          <w:szCs w:val="24"/>
        </w:rPr>
        <w:t xml:space="preserve">Class 2 DSM (energy efficiency) </w:t>
      </w:r>
      <w:r w:rsidR="004D5417" w:rsidRPr="00432C28">
        <w:rPr>
          <w:rFonts w:cs="Times New Roman"/>
          <w:szCs w:val="24"/>
        </w:rPr>
        <w:t>resource potential, by state</w:t>
      </w:r>
      <w:r w:rsidR="00992EAE">
        <w:rPr>
          <w:rFonts w:cs="Times New Roman"/>
          <w:szCs w:val="24"/>
        </w:rPr>
        <w:t xml:space="preserve"> and </w:t>
      </w:r>
      <w:r w:rsidR="004D5417" w:rsidRPr="00432C28">
        <w:rPr>
          <w:rFonts w:cs="Times New Roman"/>
          <w:szCs w:val="24"/>
        </w:rPr>
        <w:t>sector</w:t>
      </w:r>
      <w:r w:rsidR="00992EAE">
        <w:rPr>
          <w:rFonts w:cs="Times New Roman"/>
          <w:szCs w:val="24"/>
        </w:rPr>
        <w:t xml:space="preserve"> are available in the Volume 2, Chapter 4</w:t>
      </w:r>
      <w:r w:rsidR="001D0FCD">
        <w:rPr>
          <w:rFonts w:cs="Times New Roman"/>
          <w:szCs w:val="24"/>
        </w:rPr>
        <w:t xml:space="preserve"> in the Conservation Potential Assessment</w:t>
      </w:r>
      <w:r w:rsidR="00992EAE">
        <w:rPr>
          <w:rFonts w:cs="Times New Roman"/>
          <w:szCs w:val="24"/>
        </w:rPr>
        <w:t xml:space="preserve"> with additional end-use detail provided in Volume 4, Appendix C</w:t>
      </w:r>
      <w:r w:rsidR="0070451E" w:rsidRPr="00432C28">
        <w:rPr>
          <w:rFonts w:cs="Times New Roman"/>
          <w:szCs w:val="24"/>
        </w:rPr>
        <w:t>.</w:t>
      </w:r>
      <w:r w:rsidR="0070451E" w:rsidRPr="00432C28">
        <w:rPr>
          <w:rStyle w:val="FootnoteReference"/>
          <w:rFonts w:cs="Times New Roman"/>
          <w:szCs w:val="24"/>
        </w:rPr>
        <w:footnoteReference w:id="26"/>
      </w:r>
    </w:p>
    <w:p w:rsidR="0070451E" w:rsidRPr="00432C28" w:rsidRDefault="0070451E" w:rsidP="0070451E">
      <w:pPr>
        <w:rPr>
          <w:rFonts w:cs="Times New Roman"/>
          <w:szCs w:val="24"/>
        </w:rPr>
      </w:pPr>
    </w:p>
    <w:p w:rsidR="0070451E" w:rsidRPr="00432C28" w:rsidRDefault="00D861AE" w:rsidP="0070451E">
      <w:pPr>
        <w:rPr>
          <w:rFonts w:cs="Times New Roman"/>
          <w:szCs w:val="24"/>
        </w:rPr>
      </w:pPr>
      <w:r w:rsidRPr="00432C28">
        <w:rPr>
          <w:rFonts w:cs="Times New Roman"/>
          <w:szCs w:val="24"/>
        </w:rPr>
        <w:t xml:space="preserve">Using the </w:t>
      </w:r>
      <w:r w:rsidR="003D26EE" w:rsidRPr="00432C28">
        <w:rPr>
          <w:rFonts w:cs="Times New Roman"/>
          <w:szCs w:val="24"/>
        </w:rPr>
        <w:t>C</w:t>
      </w:r>
      <w:r w:rsidRPr="00432C28">
        <w:rPr>
          <w:rFonts w:cs="Times New Roman"/>
          <w:szCs w:val="24"/>
        </w:rPr>
        <w:t xml:space="preserve">onservation </w:t>
      </w:r>
      <w:r w:rsidR="003D26EE" w:rsidRPr="00432C28">
        <w:rPr>
          <w:rFonts w:cs="Times New Roman"/>
          <w:szCs w:val="24"/>
        </w:rPr>
        <w:t>P</w:t>
      </w:r>
      <w:r w:rsidRPr="00432C28">
        <w:rPr>
          <w:rFonts w:cs="Times New Roman"/>
          <w:szCs w:val="24"/>
        </w:rPr>
        <w:t xml:space="preserve">otential </w:t>
      </w:r>
      <w:r w:rsidR="003D26EE" w:rsidRPr="00432C28">
        <w:rPr>
          <w:rFonts w:cs="Times New Roman"/>
          <w:szCs w:val="24"/>
        </w:rPr>
        <w:t>A</w:t>
      </w:r>
      <w:r w:rsidRPr="00432C28">
        <w:rPr>
          <w:rFonts w:cs="Times New Roman"/>
          <w:szCs w:val="24"/>
        </w:rPr>
        <w:t xml:space="preserve">ssessment data as the starting point, conservation resource supply curves by load area, marginal levelized cost, and year </w:t>
      </w:r>
      <w:r w:rsidR="0070451E" w:rsidRPr="00432C28">
        <w:rPr>
          <w:rFonts w:cs="Times New Roman"/>
          <w:szCs w:val="24"/>
        </w:rPr>
        <w:t xml:space="preserve">were developed for input into </w:t>
      </w:r>
      <w:r w:rsidR="00284B86" w:rsidRPr="00432C28">
        <w:rPr>
          <w:rFonts w:cs="Times New Roman"/>
          <w:szCs w:val="24"/>
        </w:rPr>
        <w:t>S</w:t>
      </w:r>
      <w:r w:rsidR="00575B58">
        <w:rPr>
          <w:rFonts w:cs="Times New Roman"/>
          <w:szCs w:val="24"/>
        </w:rPr>
        <w:t>O</w:t>
      </w:r>
      <w:r w:rsidR="00284B86" w:rsidRPr="00432C28">
        <w:rPr>
          <w:rFonts w:cs="Times New Roman"/>
          <w:szCs w:val="24"/>
        </w:rPr>
        <w:t xml:space="preserve"> and the P</w:t>
      </w:r>
      <w:r w:rsidR="00575B58">
        <w:rPr>
          <w:rFonts w:cs="Times New Roman"/>
          <w:szCs w:val="24"/>
        </w:rPr>
        <w:t>aR</w:t>
      </w:r>
      <w:r w:rsidR="0070451E" w:rsidRPr="00432C28">
        <w:rPr>
          <w:rFonts w:cs="Times New Roman"/>
          <w:szCs w:val="24"/>
        </w:rPr>
        <w:t xml:space="preserve"> </w:t>
      </w:r>
      <w:r w:rsidR="00677474" w:rsidRPr="00432C28">
        <w:rPr>
          <w:rFonts w:cs="Times New Roman"/>
          <w:szCs w:val="24"/>
        </w:rPr>
        <w:t>mod</w:t>
      </w:r>
      <w:r w:rsidR="00575B58">
        <w:rPr>
          <w:rFonts w:cs="Times New Roman"/>
          <w:szCs w:val="24"/>
        </w:rPr>
        <w:t>els</w:t>
      </w:r>
      <w:r w:rsidR="0070451E" w:rsidRPr="00432C28">
        <w:rPr>
          <w:rFonts w:cs="Times New Roman"/>
          <w:szCs w:val="24"/>
        </w:rPr>
        <w:t xml:space="preserve"> as discussed above. The prime contractor for the </w:t>
      </w:r>
      <w:r w:rsidR="00992EAE">
        <w:rPr>
          <w:rFonts w:cs="Times New Roman"/>
          <w:szCs w:val="24"/>
        </w:rPr>
        <w:t xml:space="preserve">2015 </w:t>
      </w:r>
      <w:r w:rsidR="003D26EE" w:rsidRPr="00432C28">
        <w:rPr>
          <w:rFonts w:cs="Times New Roman"/>
          <w:szCs w:val="24"/>
        </w:rPr>
        <w:t>C</w:t>
      </w:r>
      <w:r w:rsidR="0070451E" w:rsidRPr="00432C28">
        <w:rPr>
          <w:rFonts w:cs="Times New Roman"/>
          <w:szCs w:val="24"/>
        </w:rPr>
        <w:t xml:space="preserve">onservation </w:t>
      </w:r>
      <w:r w:rsidR="003D26EE" w:rsidRPr="00432C28">
        <w:rPr>
          <w:rFonts w:cs="Times New Roman"/>
          <w:szCs w:val="24"/>
        </w:rPr>
        <w:t>P</w:t>
      </w:r>
      <w:r w:rsidR="0070451E" w:rsidRPr="00432C28">
        <w:rPr>
          <w:rFonts w:cs="Times New Roman"/>
          <w:szCs w:val="24"/>
        </w:rPr>
        <w:t xml:space="preserve">otential </w:t>
      </w:r>
      <w:r w:rsidR="003D26EE" w:rsidRPr="00432C28">
        <w:rPr>
          <w:rFonts w:cs="Times New Roman"/>
          <w:szCs w:val="24"/>
        </w:rPr>
        <w:t>A</w:t>
      </w:r>
      <w:r w:rsidR="0070451E" w:rsidRPr="00432C28">
        <w:rPr>
          <w:rFonts w:cs="Times New Roman"/>
          <w:szCs w:val="24"/>
        </w:rPr>
        <w:t>ssessment study</w:t>
      </w:r>
      <w:r w:rsidR="00992EAE">
        <w:rPr>
          <w:rStyle w:val="FootnoteReference"/>
          <w:rFonts w:cs="Times New Roman"/>
          <w:szCs w:val="24"/>
        </w:rPr>
        <w:footnoteReference w:id="27"/>
      </w:r>
      <w:r w:rsidR="002D2EA9" w:rsidRPr="00432C28">
        <w:rPr>
          <w:rFonts w:cs="Times New Roman"/>
          <w:szCs w:val="24"/>
        </w:rPr>
        <w:t xml:space="preserve"> assisted in</w:t>
      </w:r>
      <w:r w:rsidR="0070451E" w:rsidRPr="00432C28">
        <w:rPr>
          <w:rFonts w:cs="Times New Roman"/>
          <w:szCs w:val="24"/>
        </w:rPr>
        <w:t xml:space="preserve"> convert</w:t>
      </w:r>
      <w:r w:rsidR="002D2EA9" w:rsidRPr="00432C28">
        <w:rPr>
          <w:rFonts w:cs="Times New Roman"/>
          <w:szCs w:val="24"/>
        </w:rPr>
        <w:t>ing</w:t>
      </w:r>
      <w:r w:rsidR="0070451E" w:rsidRPr="00432C28">
        <w:rPr>
          <w:rFonts w:cs="Times New Roman"/>
          <w:szCs w:val="24"/>
        </w:rPr>
        <w:t xml:space="preserve"> the potential study conservation data into resource options suitable for entry into </w:t>
      </w:r>
      <w:r w:rsidR="00284B86" w:rsidRPr="00432C28">
        <w:rPr>
          <w:rFonts w:cs="Times New Roman"/>
          <w:szCs w:val="24"/>
        </w:rPr>
        <w:t>S</w:t>
      </w:r>
      <w:r w:rsidR="00575B58">
        <w:rPr>
          <w:rFonts w:cs="Times New Roman"/>
          <w:szCs w:val="24"/>
        </w:rPr>
        <w:t>O model</w:t>
      </w:r>
      <w:r w:rsidR="0070451E" w:rsidRPr="00432C28">
        <w:rPr>
          <w:rFonts w:cs="Times New Roman"/>
          <w:szCs w:val="24"/>
        </w:rPr>
        <w:t>. A complete description of the derivation and modeling attributes of the conservation resource options are provided in Chapter 6 of the 201</w:t>
      </w:r>
      <w:r w:rsidR="001D0FCD">
        <w:rPr>
          <w:rFonts w:cs="Times New Roman"/>
          <w:szCs w:val="24"/>
        </w:rPr>
        <w:t>5</w:t>
      </w:r>
      <w:r w:rsidR="0070451E" w:rsidRPr="00432C28">
        <w:rPr>
          <w:rFonts w:cs="Times New Roman"/>
          <w:szCs w:val="24"/>
        </w:rPr>
        <w:t xml:space="preserve"> IRP (See pages 1</w:t>
      </w:r>
      <w:r w:rsidR="001D0FCD">
        <w:rPr>
          <w:rFonts w:cs="Times New Roman"/>
          <w:szCs w:val="24"/>
        </w:rPr>
        <w:t>22</w:t>
      </w:r>
      <w:r w:rsidR="0070451E" w:rsidRPr="00432C28">
        <w:rPr>
          <w:rFonts w:cs="Times New Roman"/>
          <w:szCs w:val="24"/>
        </w:rPr>
        <w:t>-1</w:t>
      </w:r>
      <w:r w:rsidR="001D0FCD">
        <w:rPr>
          <w:rFonts w:cs="Times New Roman"/>
          <w:szCs w:val="24"/>
        </w:rPr>
        <w:t>27</w:t>
      </w:r>
      <w:r w:rsidR="0070451E" w:rsidRPr="00432C28">
        <w:rPr>
          <w:rFonts w:cs="Times New Roman"/>
          <w:szCs w:val="24"/>
        </w:rPr>
        <w:t xml:space="preserve">) included as </w:t>
      </w:r>
      <w:r w:rsidR="00284B86" w:rsidRPr="00E30FDD">
        <w:rPr>
          <w:rFonts w:cs="Times New Roman"/>
          <w:szCs w:val="24"/>
        </w:rPr>
        <w:t>Appendix 1</w:t>
      </w:r>
      <w:r w:rsidR="0070451E" w:rsidRPr="00432C28">
        <w:rPr>
          <w:rFonts w:cs="Times New Roman"/>
          <w:szCs w:val="24"/>
        </w:rPr>
        <w:t xml:space="preserve"> of this document. </w:t>
      </w:r>
    </w:p>
    <w:p w:rsidR="0070451E" w:rsidRPr="00432C28" w:rsidRDefault="0070451E" w:rsidP="0070451E">
      <w:pPr>
        <w:rPr>
          <w:rFonts w:cs="Times New Roman"/>
          <w:szCs w:val="24"/>
        </w:rPr>
      </w:pPr>
    </w:p>
    <w:p w:rsidR="0070451E" w:rsidRPr="00432C28" w:rsidRDefault="0070451E" w:rsidP="0070451E">
      <w:pPr>
        <w:rPr>
          <w:rFonts w:cs="Times New Roman"/>
          <w:szCs w:val="24"/>
        </w:rPr>
      </w:pPr>
      <w:r w:rsidRPr="00432C28">
        <w:rPr>
          <w:rFonts w:cs="Times New Roman"/>
          <w:szCs w:val="24"/>
        </w:rPr>
        <w:t xml:space="preserve">The conservation resources entered into </w:t>
      </w:r>
      <w:r w:rsidR="00284B86" w:rsidRPr="00432C28">
        <w:rPr>
          <w:rFonts w:cs="Times New Roman"/>
          <w:szCs w:val="24"/>
        </w:rPr>
        <w:t>S</w:t>
      </w:r>
      <w:r w:rsidR="00575B58">
        <w:rPr>
          <w:rFonts w:cs="Times New Roman"/>
          <w:szCs w:val="24"/>
        </w:rPr>
        <w:t>O model</w:t>
      </w:r>
      <w:r w:rsidRPr="00432C28">
        <w:rPr>
          <w:rFonts w:cs="Times New Roman"/>
          <w:szCs w:val="24"/>
        </w:rPr>
        <w:t xml:space="preserve"> reflect the technical potential adjusted for the impact of market barriers, or so-called </w:t>
      </w:r>
      <w:r w:rsidR="00E52EDE" w:rsidRPr="00432C28">
        <w:rPr>
          <w:rFonts w:cs="Times New Roman"/>
          <w:szCs w:val="24"/>
        </w:rPr>
        <w:t xml:space="preserve">technical </w:t>
      </w:r>
      <w:r w:rsidRPr="00432C28">
        <w:rPr>
          <w:rFonts w:cs="Times New Roman"/>
          <w:szCs w:val="24"/>
        </w:rPr>
        <w:t>achievable potential. PacifiCorp used</w:t>
      </w:r>
      <w:r w:rsidR="00253B0E" w:rsidRPr="00432C28">
        <w:rPr>
          <w:rFonts w:cs="Times New Roman"/>
          <w:szCs w:val="24"/>
        </w:rPr>
        <w:t xml:space="preserve"> </w:t>
      </w:r>
      <w:r w:rsidRPr="00432C28">
        <w:rPr>
          <w:rFonts w:cs="Times New Roman"/>
          <w:szCs w:val="24"/>
        </w:rPr>
        <w:t xml:space="preserve">a </w:t>
      </w:r>
      <w:r w:rsidR="00E52EDE" w:rsidRPr="00432C28">
        <w:rPr>
          <w:rFonts w:cs="Times New Roman"/>
          <w:szCs w:val="24"/>
        </w:rPr>
        <w:t xml:space="preserve">technical </w:t>
      </w:r>
      <w:r w:rsidRPr="00432C28">
        <w:rPr>
          <w:rFonts w:cs="Times New Roman"/>
          <w:szCs w:val="24"/>
        </w:rPr>
        <w:t xml:space="preserve">achievable potential </w:t>
      </w:r>
      <w:r w:rsidR="00E52EDE" w:rsidRPr="00432C28">
        <w:rPr>
          <w:rFonts w:cs="Times New Roman"/>
          <w:szCs w:val="24"/>
        </w:rPr>
        <w:t>assumption</w:t>
      </w:r>
      <w:r w:rsidRPr="00432C28">
        <w:rPr>
          <w:rFonts w:cs="Times New Roman"/>
          <w:szCs w:val="24"/>
        </w:rPr>
        <w:t xml:space="preserve"> of 85 percent for non-lost opportunities and </w:t>
      </w:r>
      <w:r w:rsidR="007D65E7" w:rsidRPr="00432C28">
        <w:rPr>
          <w:rFonts w:cs="Times New Roman"/>
          <w:szCs w:val="24"/>
        </w:rPr>
        <w:t>7</w:t>
      </w:r>
      <w:r w:rsidR="00B0522F">
        <w:rPr>
          <w:rFonts w:cs="Times New Roman"/>
          <w:szCs w:val="24"/>
        </w:rPr>
        <w:t>7</w:t>
      </w:r>
      <w:r w:rsidR="007D65E7" w:rsidRPr="00432C28">
        <w:rPr>
          <w:rFonts w:cs="Times New Roman"/>
          <w:szCs w:val="24"/>
        </w:rPr>
        <w:t xml:space="preserve"> </w:t>
      </w:r>
      <w:r w:rsidRPr="00432C28">
        <w:rPr>
          <w:rFonts w:cs="Times New Roman"/>
          <w:szCs w:val="24"/>
        </w:rPr>
        <w:t xml:space="preserve">percent for lost opportunities which are </w:t>
      </w:r>
      <w:r w:rsidR="00E52EDE" w:rsidRPr="00432C28">
        <w:rPr>
          <w:rFonts w:cs="Times New Roman"/>
          <w:szCs w:val="24"/>
        </w:rPr>
        <w:t>consistent</w:t>
      </w:r>
      <w:r w:rsidRPr="00432C28">
        <w:rPr>
          <w:rFonts w:cs="Times New Roman"/>
          <w:szCs w:val="24"/>
        </w:rPr>
        <w:t xml:space="preserve"> with regional planning assumptions in the</w:t>
      </w:r>
      <w:r w:rsidR="003D26EE" w:rsidRPr="00432C28">
        <w:rPr>
          <w:rFonts w:cs="Times New Roman"/>
          <w:szCs w:val="24"/>
        </w:rPr>
        <w:t xml:space="preserve"> Council’s</w:t>
      </w:r>
      <w:r w:rsidRPr="00432C28">
        <w:rPr>
          <w:rFonts w:cs="Times New Roman"/>
          <w:szCs w:val="24"/>
        </w:rPr>
        <w:t xml:space="preserve"> regional power plan</w:t>
      </w:r>
      <w:r w:rsidR="003D26EE" w:rsidRPr="00432C28">
        <w:rPr>
          <w:rFonts w:cs="Times New Roman"/>
          <w:szCs w:val="24"/>
        </w:rPr>
        <w:t>.</w:t>
      </w:r>
      <w:r w:rsidRPr="00432C28">
        <w:rPr>
          <w:rStyle w:val="FootnoteReference"/>
          <w:rFonts w:cs="Times New Roman"/>
          <w:szCs w:val="24"/>
        </w:rPr>
        <w:footnoteReference w:id="28"/>
      </w:r>
      <w:r w:rsidRPr="00432C28">
        <w:rPr>
          <w:rFonts w:cs="Times New Roman"/>
          <w:szCs w:val="24"/>
        </w:rPr>
        <w:t xml:space="preserve"> </w:t>
      </w:r>
      <w:r w:rsidRPr="00575B58">
        <w:rPr>
          <w:rFonts w:cs="Times New Roman"/>
          <w:szCs w:val="24"/>
        </w:rPr>
        <w:t>The S</w:t>
      </w:r>
      <w:r w:rsidR="00575B58" w:rsidRPr="00992EAE">
        <w:rPr>
          <w:rFonts w:cs="Times New Roman"/>
          <w:szCs w:val="24"/>
        </w:rPr>
        <w:t>O model</w:t>
      </w:r>
      <w:r w:rsidRPr="00575B58">
        <w:rPr>
          <w:rFonts w:cs="Times New Roman"/>
          <w:szCs w:val="24"/>
        </w:rPr>
        <w:t xml:space="preserve"> performs the role of the cost-e</w:t>
      </w:r>
      <w:r w:rsidRPr="0088708F">
        <w:rPr>
          <w:rFonts w:cs="Times New Roman"/>
          <w:szCs w:val="24"/>
        </w:rPr>
        <w:t>ffectiveness screen, directly competing conservation against many other resource options including market purchases. The resulting optimized portfolio consists of conservation and other resources found to be cost-effective based on resource and system char</w:t>
      </w:r>
      <w:r w:rsidRPr="00575B58">
        <w:rPr>
          <w:rFonts w:cs="Times New Roman"/>
          <w:szCs w:val="24"/>
        </w:rPr>
        <w:t>acteristics, load requirements, system constraints, and the set of scenario inputs used for the capacity expansion simulation.</w:t>
      </w:r>
    </w:p>
    <w:p w:rsidR="00E01624" w:rsidRDefault="00E01624" w:rsidP="0070451E">
      <w:pPr>
        <w:rPr>
          <w:rFonts w:cs="Times New Roman"/>
          <w:szCs w:val="24"/>
          <w:u w:val="single"/>
        </w:rPr>
      </w:pPr>
    </w:p>
    <w:p w:rsidR="00137349" w:rsidRPr="00432C28" w:rsidRDefault="00137349" w:rsidP="0070451E">
      <w:pPr>
        <w:rPr>
          <w:rFonts w:cs="Times New Roman"/>
          <w:szCs w:val="24"/>
          <w:u w:val="single"/>
        </w:rPr>
      </w:pPr>
    </w:p>
    <w:p w:rsidR="0070451E" w:rsidRPr="008307D7" w:rsidRDefault="0070451E" w:rsidP="0070451E">
      <w:pPr>
        <w:rPr>
          <w:rFonts w:cs="Times New Roman"/>
          <w:szCs w:val="24"/>
          <w:u w:val="single"/>
        </w:rPr>
      </w:pPr>
      <w:r w:rsidRPr="00DF07D5">
        <w:rPr>
          <w:rFonts w:cs="Times New Roman"/>
          <w:szCs w:val="24"/>
          <w:u w:val="single"/>
        </w:rPr>
        <w:t>Adjustments to the 201</w:t>
      </w:r>
      <w:r w:rsidR="00C342DA" w:rsidRPr="00DF07D5">
        <w:rPr>
          <w:rFonts w:cs="Times New Roman"/>
          <w:szCs w:val="24"/>
          <w:u w:val="single"/>
        </w:rPr>
        <w:t>5</w:t>
      </w:r>
      <w:r w:rsidR="000C5344" w:rsidRPr="00DF07D5">
        <w:rPr>
          <w:rFonts w:cs="Times New Roman"/>
          <w:szCs w:val="24"/>
          <w:u w:val="single"/>
        </w:rPr>
        <w:t xml:space="preserve"> IRP Ten-Year Conservation Potential</w:t>
      </w:r>
    </w:p>
    <w:p w:rsidR="00137349" w:rsidRPr="00DF07D5" w:rsidRDefault="00137349" w:rsidP="0070451E">
      <w:pPr>
        <w:rPr>
          <w:rFonts w:cs="Times New Roman"/>
          <w:szCs w:val="24"/>
        </w:rPr>
      </w:pPr>
    </w:p>
    <w:p w:rsidR="00DD0A4C" w:rsidRPr="00137349" w:rsidRDefault="005B461B" w:rsidP="0070451E">
      <w:pPr>
        <w:rPr>
          <w:rFonts w:cs="Times New Roman"/>
          <w:szCs w:val="24"/>
          <w:highlight w:val="yellow"/>
        </w:rPr>
      </w:pPr>
      <w:r w:rsidRPr="00DF07D5">
        <w:rPr>
          <w:rFonts w:cs="Times New Roman"/>
          <w:szCs w:val="24"/>
        </w:rPr>
        <w:t>Adjustment</w:t>
      </w:r>
      <w:r w:rsidR="00810C40">
        <w:rPr>
          <w:rFonts w:cs="Times New Roman"/>
          <w:szCs w:val="24"/>
        </w:rPr>
        <w:t>s made</w:t>
      </w:r>
      <w:r w:rsidRPr="00DF07D5">
        <w:rPr>
          <w:rFonts w:cs="Times New Roman"/>
          <w:szCs w:val="24"/>
        </w:rPr>
        <w:t xml:space="preserve"> to IRP selections</w:t>
      </w:r>
      <w:r w:rsidR="005E3E36" w:rsidRPr="00DF07D5">
        <w:rPr>
          <w:rFonts w:cs="Times New Roman"/>
          <w:szCs w:val="24"/>
        </w:rPr>
        <w:t xml:space="preserve"> to arrive at ten-year conservation forecast</w:t>
      </w:r>
      <w:r w:rsidR="00810C40">
        <w:rPr>
          <w:rFonts w:cs="Times New Roman"/>
          <w:szCs w:val="24"/>
        </w:rPr>
        <w:t>s</w:t>
      </w:r>
      <w:r w:rsidR="005E3E36" w:rsidRPr="00DF07D5">
        <w:rPr>
          <w:rFonts w:cs="Times New Roman"/>
          <w:szCs w:val="24"/>
        </w:rPr>
        <w:t xml:space="preserve"> and </w:t>
      </w:r>
      <w:r w:rsidR="00810C40">
        <w:rPr>
          <w:rFonts w:cs="Times New Roman"/>
          <w:szCs w:val="24"/>
        </w:rPr>
        <w:t xml:space="preserve">biennium </w:t>
      </w:r>
      <w:r w:rsidR="005E3E36" w:rsidRPr="00DF07D5">
        <w:rPr>
          <w:rFonts w:cs="Times New Roman"/>
          <w:szCs w:val="24"/>
        </w:rPr>
        <w:t>target</w:t>
      </w:r>
      <w:r w:rsidR="00810C40">
        <w:rPr>
          <w:rFonts w:cs="Times New Roman"/>
          <w:szCs w:val="24"/>
        </w:rPr>
        <w:t>s</w:t>
      </w:r>
      <w:r w:rsidRPr="00DF07D5">
        <w:rPr>
          <w:rFonts w:cs="Times New Roman"/>
          <w:szCs w:val="24"/>
        </w:rPr>
        <w:t xml:space="preserve"> </w:t>
      </w:r>
      <w:r w:rsidR="00810C40">
        <w:rPr>
          <w:rFonts w:cs="Times New Roman"/>
          <w:szCs w:val="24"/>
        </w:rPr>
        <w:t xml:space="preserve">generally </w:t>
      </w:r>
      <w:r w:rsidRPr="00DF07D5">
        <w:rPr>
          <w:rFonts w:cs="Times New Roman"/>
          <w:szCs w:val="24"/>
        </w:rPr>
        <w:t xml:space="preserve">fall into </w:t>
      </w:r>
      <w:r w:rsidR="00810C40">
        <w:rPr>
          <w:rFonts w:cs="Times New Roman"/>
          <w:szCs w:val="24"/>
        </w:rPr>
        <w:t xml:space="preserve">one of </w:t>
      </w:r>
      <w:r w:rsidR="004911DC" w:rsidRPr="00DF07D5">
        <w:rPr>
          <w:rFonts w:cs="Times New Roman"/>
          <w:szCs w:val="24"/>
        </w:rPr>
        <w:t>three</w:t>
      </w:r>
      <w:r w:rsidRPr="00DF07D5">
        <w:rPr>
          <w:rFonts w:cs="Times New Roman"/>
          <w:szCs w:val="24"/>
        </w:rPr>
        <w:t xml:space="preserve"> </w:t>
      </w:r>
      <w:r w:rsidR="00DF07D5">
        <w:rPr>
          <w:rFonts w:cs="Times New Roman"/>
          <w:szCs w:val="24"/>
        </w:rPr>
        <w:t>categories</w:t>
      </w:r>
      <w:r w:rsidRPr="00DF07D5">
        <w:rPr>
          <w:rFonts w:cs="Times New Roman"/>
          <w:szCs w:val="24"/>
        </w:rPr>
        <w:t>:</w:t>
      </w:r>
      <w:r w:rsidRPr="00137349">
        <w:rPr>
          <w:rFonts w:cs="Times New Roman"/>
          <w:szCs w:val="24"/>
          <w:highlight w:val="yellow"/>
        </w:rPr>
        <w:t xml:space="preserve"> </w:t>
      </w:r>
    </w:p>
    <w:p w:rsidR="0070451E" w:rsidRPr="00DF07D5" w:rsidRDefault="005B461B" w:rsidP="0070451E">
      <w:pPr>
        <w:rPr>
          <w:rFonts w:cs="Times New Roman"/>
          <w:szCs w:val="24"/>
          <w:highlight w:val="yellow"/>
        </w:rPr>
      </w:pPr>
      <w:r w:rsidRPr="00DF07D5">
        <w:rPr>
          <w:rFonts w:cs="Times New Roman"/>
          <w:szCs w:val="24"/>
          <w:highlight w:val="yellow"/>
        </w:rPr>
        <w:t xml:space="preserve"> </w:t>
      </w:r>
    </w:p>
    <w:p w:rsidR="00B47287" w:rsidRPr="00074AC2" w:rsidRDefault="005E3E36" w:rsidP="00074AC2">
      <w:pPr>
        <w:pStyle w:val="ListParagraph"/>
        <w:numPr>
          <w:ilvl w:val="0"/>
          <w:numId w:val="43"/>
        </w:numPr>
        <w:rPr>
          <w:rFonts w:cs="Times New Roman"/>
          <w:szCs w:val="24"/>
        </w:rPr>
      </w:pPr>
      <w:r w:rsidRPr="00DF07D5">
        <w:rPr>
          <w:rFonts w:cs="Times New Roman"/>
          <w:b/>
          <w:szCs w:val="24"/>
        </w:rPr>
        <w:t>Updates to CPA measure savings and/or costs:</w:t>
      </w:r>
      <w:r w:rsidR="00DD0A4C" w:rsidRPr="00DF07D5">
        <w:rPr>
          <w:rFonts w:cs="Times New Roman"/>
          <w:szCs w:val="24"/>
        </w:rPr>
        <w:t xml:space="preserve"> A</w:t>
      </w:r>
      <w:r w:rsidR="006A2B7D" w:rsidRPr="00DF07D5">
        <w:rPr>
          <w:rFonts w:cs="Times New Roman"/>
          <w:szCs w:val="24"/>
        </w:rPr>
        <w:t xml:space="preserve">s discussed above, the Company’s CPA relied on the most current and </w:t>
      </w:r>
      <w:r w:rsidR="009C2EE3" w:rsidRPr="00DF07D5">
        <w:rPr>
          <w:rFonts w:cs="Times New Roman"/>
          <w:szCs w:val="24"/>
        </w:rPr>
        <w:t>applicable</w:t>
      </w:r>
      <w:r w:rsidR="006A2B7D" w:rsidRPr="00DF07D5">
        <w:rPr>
          <w:rFonts w:cs="Times New Roman"/>
          <w:szCs w:val="24"/>
        </w:rPr>
        <w:t xml:space="preserve"> data available</w:t>
      </w:r>
      <w:r w:rsidR="005B461B" w:rsidRPr="00DF07D5">
        <w:rPr>
          <w:rFonts w:cs="Times New Roman"/>
          <w:szCs w:val="24"/>
        </w:rPr>
        <w:t xml:space="preserve"> at the time of the analysis</w:t>
      </w:r>
      <w:r w:rsidR="006A2B7D" w:rsidRPr="00DF07D5">
        <w:rPr>
          <w:rFonts w:cs="Times New Roman"/>
          <w:szCs w:val="24"/>
        </w:rPr>
        <w:t xml:space="preserve">. </w:t>
      </w:r>
      <w:r w:rsidR="003C5E0C" w:rsidRPr="00DF07D5">
        <w:rPr>
          <w:rFonts w:cs="Times New Roman"/>
          <w:szCs w:val="24"/>
        </w:rPr>
        <w:t>A</w:t>
      </w:r>
      <w:r w:rsidR="0070451E" w:rsidRPr="00DF07D5">
        <w:rPr>
          <w:rFonts w:cs="Times New Roman"/>
          <w:szCs w:val="24"/>
        </w:rPr>
        <w:t xml:space="preserve">s part of the analysis </w:t>
      </w:r>
      <w:r w:rsidR="003C5E0C" w:rsidRPr="00DF07D5">
        <w:rPr>
          <w:rFonts w:cs="Times New Roman"/>
          <w:szCs w:val="24"/>
        </w:rPr>
        <w:t xml:space="preserve">to </w:t>
      </w:r>
      <w:r w:rsidR="0070451E" w:rsidRPr="00DF07D5">
        <w:rPr>
          <w:rFonts w:cs="Times New Roman"/>
          <w:szCs w:val="24"/>
        </w:rPr>
        <w:t xml:space="preserve">identify PacifiCorp’s ten-year conservation potential and biennial </w:t>
      </w:r>
      <w:r w:rsidR="00B10D57" w:rsidRPr="00DF07D5">
        <w:rPr>
          <w:rFonts w:cs="Times New Roman"/>
          <w:szCs w:val="24"/>
        </w:rPr>
        <w:t xml:space="preserve">conservation </w:t>
      </w:r>
      <w:r w:rsidR="0070451E" w:rsidRPr="00DF07D5">
        <w:rPr>
          <w:rFonts w:cs="Times New Roman"/>
          <w:szCs w:val="24"/>
        </w:rPr>
        <w:t xml:space="preserve">target, </w:t>
      </w:r>
      <w:r w:rsidR="003C5E0C" w:rsidRPr="00DF07D5">
        <w:rPr>
          <w:rFonts w:cs="Times New Roman"/>
          <w:szCs w:val="24"/>
        </w:rPr>
        <w:t xml:space="preserve">the Company reviewed updated data sources since the time of that analysis, including </w:t>
      </w:r>
      <w:r w:rsidR="005B461B" w:rsidRPr="00DF07D5">
        <w:rPr>
          <w:rFonts w:cs="Times New Roman"/>
          <w:szCs w:val="24"/>
        </w:rPr>
        <w:t>updates to</w:t>
      </w:r>
      <w:r w:rsidR="0046458E" w:rsidRPr="00DF07D5">
        <w:rPr>
          <w:rFonts w:cs="Times New Roman"/>
          <w:szCs w:val="24"/>
        </w:rPr>
        <w:t xml:space="preserve"> RTF deemed measures </w:t>
      </w:r>
      <w:r w:rsidR="00A920E2" w:rsidRPr="00DF07D5">
        <w:rPr>
          <w:rFonts w:cs="Times New Roman"/>
          <w:szCs w:val="24"/>
        </w:rPr>
        <w:t xml:space="preserve">and </w:t>
      </w:r>
      <w:r w:rsidR="003C5E0C" w:rsidRPr="00DF07D5">
        <w:rPr>
          <w:rFonts w:cs="Times New Roman"/>
          <w:szCs w:val="24"/>
        </w:rPr>
        <w:t>recent</w:t>
      </w:r>
      <w:r w:rsidR="005B461B" w:rsidRPr="00DF07D5">
        <w:rPr>
          <w:rFonts w:cs="Times New Roman"/>
          <w:szCs w:val="24"/>
        </w:rPr>
        <w:t xml:space="preserve"> PacifiCorp program evaluations</w:t>
      </w:r>
      <w:r w:rsidR="002162BD" w:rsidRPr="00DF07D5">
        <w:rPr>
          <w:rFonts w:cs="Times New Roman"/>
          <w:szCs w:val="24"/>
        </w:rPr>
        <w:t>.</w:t>
      </w:r>
    </w:p>
    <w:p w:rsidR="004911DC" w:rsidRPr="00074AC2" w:rsidRDefault="004911DC" w:rsidP="00074AC2">
      <w:pPr>
        <w:pStyle w:val="ListParagraph"/>
        <w:numPr>
          <w:ilvl w:val="0"/>
          <w:numId w:val="43"/>
        </w:numPr>
        <w:rPr>
          <w:rFonts w:cs="Times New Roman"/>
          <w:szCs w:val="24"/>
        </w:rPr>
      </w:pPr>
      <w:r w:rsidRPr="00DF07D5">
        <w:rPr>
          <w:rFonts w:cs="Times New Roman"/>
          <w:b/>
          <w:szCs w:val="24"/>
        </w:rPr>
        <w:t>Energy Efficiency o</w:t>
      </w:r>
      <w:r w:rsidR="00B47287" w:rsidRPr="00DF07D5">
        <w:rPr>
          <w:rFonts w:cs="Times New Roman"/>
          <w:b/>
          <w:szCs w:val="24"/>
        </w:rPr>
        <w:t>pportunities not assessed in the CPA</w:t>
      </w:r>
      <w:r w:rsidR="0074096C" w:rsidRPr="00DF07D5">
        <w:rPr>
          <w:rFonts w:cs="Times New Roman"/>
          <w:b/>
          <w:szCs w:val="24"/>
        </w:rPr>
        <w:t>:</w:t>
      </w:r>
      <w:r w:rsidR="00B47287" w:rsidRPr="00DF07D5">
        <w:rPr>
          <w:rFonts w:cs="Times New Roman"/>
          <w:szCs w:val="24"/>
        </w:rPr>
        <w:t xml:space="preserve"> </w:t>
      </w:r>
      <w:r w:rsidR="004002AB" w:rsidRPr="00DF07D5">
        <w:rPr>
          <w:rFonts w:cs="Times New Roman"/>
          <w:szCs w:val="24"/>
        </w:rPr>
        <w:t xml:space="preserve">Opportunities </w:t>
      </w:r>
      <w:r w:rsidR="00DF07D5" w:rsidRPr="00DF07D5">
        <w:rPr>
          <w:rFonts w:cs="Times New Roman"/>
          <w:szCs w:val="24"/>
        </w:rPr>
        <w:t xml:space="preserve">from </w:t>
      </w:r>
      <w:r w:rsidR="004002AB" w:rsidRPr="00DF07D5">
        <w:rPr>
          <w:rFonts w:cs="Times New Roman"/>
          <w:szCs w:val="24"/>
        </w:rPr>
        <w:t>waste heat to power and regenerative technologies.</w:t>
      </w:r>
    </w:p>
    <w:p w:rsidR="00B47287" w:rsidRPr="00DF07D5" w:rsidRDefault="004911DC" w:rsidP="00DD0A4C">
      <w:pPr>
        <w:pStyle w:val="ListParagraph"/>
        <w:numPr>
          <w:ilvl w:val="0"/>
          <w:numId w:val="43"/>
        </w:numPr>
        <w:rPr>
          <w:rFonts w:cs="Times New Roman"/>
          <w:szCs w:val="24"/>
        </w:rPr>
      </w:pPr>
      <w:r w:rsidRPr="00DF07D5">
        <w:rPr>
          <w:rFonts w:cs="Times New Roman"/>
          <w:b/>
          <w:szCs w:val="24"/>
        </w:rPr>
        <w:t>Conservation opportunities assessed through other studies:</w:t>
      </w:r>
      <w:r w:rsidR="0074096C" w:rsidRPr="00DF07D5">
        <w:rPr>
          <w:rFonts w:cs="Times New Roman"/>
          <w:szCs w:val="24"/>
        </w:rPr>
        <w:t xml:space="preserve"> </w:t>
      </w:r>
      <w:r w:rsidRPr="00DF07D5">
        <w:rPr>
          <w:rFonts w:cs="Times New Roman"/>
          <w:szCs w:val="24"/>
        </w:rPr>
        <w:t>This category includes</w:t>
      </w:r>
      <w:r w:rsidR="004002AB" w:rsidRPr="00DF07D5">
        <w:rPr>
          <w:rFonts w:cs="Times New Roman"/>
          <w:szCs w:val="24"/>
        </w:rPr>
        <w:t>, whe</w:t>
      </w:r>
      <w:r w:rsidR="00DF07D5" w:rsidRPr="00DF07D5">
        <w:rPr>
          <w:rFonts w:cs="Times New Roman"/>
          <w:szCs w:val="24"/>
        </w:rPr>
        <w:t>re</w:t>
      </w:r>
      <w:r w:rsidR="004002AB" w:rsidRPr="00DF07D5">
        <w:rPr>
          <w:rFonts w:cs="Times New Roman"/>
          <w:szCs w:val="24"/>
        </w:rPr>
        <w:t xml:space="preserve"> applicable, </w:t>
      </w:r>
      <w:r w:rsidR="0074096C" w:rsidRPr="00DF07D5">
        <w:rPr>
          <w:rFonts w:cs="Times New Roman"/>
          <w:szCs w:val="24"/>
        </w:rPr>
        <w:t xml:space="preserve">distribution efficiency improvements, production efficiency </w:t>
      </w:r>
      <w:r w:rsidR="00053844" w:rsidRPr="00DF07D5">
        <w:rPr>
          <w:rFonts w:cs="Times New Roman"/>
          <w:szCs w:val="24"/>
        </w:rPr>
        <w:t>(in non-hydro generation facilities)</w:t>
      </w:r>
      <w:r w:rsidR="004002AB" w:rsidRPr="00DF07D5">
        <w:rPr>
          <w:rFonts w:cs="Times New Roman"/>
          <w:szCs w:val="24"/>
        </w:rPr>
        <w:t>, and high-efficiency co-generation</w:t>
      </w:r>
      <w:r w:rsidR="00B47287" w:rsidRPr="00DF07D5">
        <w:rPr>
          <w:rFonts w:cs="Times New Roman"/>
          <w:szCs w:val="24"/>
        </w:rPr>
        <w:t>.</w:t>
      </w:r>
    </w:p>
    <w:p w:rsidR="00DD0A4C" w:rsidRPr="00DF07D5" w:rsidRDefault="00DD0A4C" w:rsidP="000C5344">
      <w:pPr>
        <w:rPr>
          <w:rFonts w:cs="Times New Roman"/>
          <w:szCs w:val="24"/>
        </w:rPr>
      </w:pPr>
    </w:p>
    <w:p w:rsidR="00A920E2" w:rsidRPr="00DF07D5" w:rsidRDefault="00810C40" w:rsidP="00A920E2">
      <w:pPr>
        <w:rPr>
          <w:rFonts w:cs="Times New Roman"/>
          <w:szCs w:val="24"/>
        </w:rPr>
      </w:pPr>
      <w:r>
        <w:rPr>
          <w:rFonts w:cs="Times New Roman"/>
          <w:szCs w:val="24"/>
        </w:rPr>
        <w:t>In the development of the 2016-2025 conservation forecast and 2016-2017 biennium target</w:t>
      </w:r>
      <w:r w:rsidR="00074AC2">
        <w:rPr>
          <w:rFonts w:cs="Times New Roman"/>
          <w:szCs w:val="24"/>
        </w:rPr>
        <w:t>,</w:t>
      </w:r>
      <w:r>
        <w:rPr>
          <w:rFonts w:cs="Times New Roman"/>
          <w:szCs w:val="24"/>
        </w:rPr>
        <w:t xml:space="preserve"> the Company </w:t>
      </w:r>
      <w:r w:rsidR="00074AC2">
        <w:rPr>
          <w:rFonts w:cs="Times New Roman"/>
          <w:szCs w:val="24"/>
        </w:rPr>
        <w:t xml:space="preserve">assessed possible </w:t>
      </w:r>
      <w:r>
        <w:rPr>
          <w:rFonts w:cs="Times New Roman"/>
          <w:szCs w:val="24"/>
        </w:rPr>
        <w:t xml:space="preserve">adjustments </w:t>
      </w:r>
      <w:r w:rsidR="00074AC2">
        <w:rPr>
          <w:rFonts w:cs="Times New Roman"/>
          <w:szCs w:val="24"/>
        </w:rPr>
        <w:t>from each</w:t>
      </w:r>
      <w:r>
        <w:rPr>
          <w:rFonts w:cs="Times New Roman"/>
          <w:szCs w:val="24"/>
        </w:rPr>
        <w:t xml:space="preserve"> categor</w:t>
      </w:r>
      <w:r w:rsidR="00074AC2">
        <w:rPr>
          <w:rFonts w:cs="Times New Roman"/>
          <w:szCs w:val="24"/>
        </w:rPr>
        <w:t xml:space="preserve">y however only found adjustments needed based on category </w:t>
      </w:r>
      <w:r w:rsidR="00571429">
        <w:rPr>
          <w:rFonts w:cs="Times New Roman"/>
          <w:szCs w:val="24"/>
        </w:rPr>
        <w:t>“</w:t>
      </w:r>
      <w:r w:rsidR="00074AC2">
        <w:rPr>
          <w:rFonts w:cs="Times New Roman"/>
          <w:szCs w:val="24"/>
        </w:rPr>
        <w:t>one</w:t>
      </w:r>
      <w:r w:rsidR="00571429">
        <w:rPr>
          <w:rFonts w:cs="Times New Roman"/>
          <w:szCs w:val="24"/>
        </w:rPr>
        <w:t>”</w:t>
      </w:r>
      <w:r w:rsidR="00074AC2">
        <w:rPr>
          <w:rFonts w:cs="Times New Roman"/>
          <w:szCs w:val="24"/>
        </w:rPr>
        <w:t xml:space="preserve"> and </w:t>
      </w:r>
      <w:r w:rsidR="00571429">
        <w:rPr>
          <w:rFonts w:cs="Times New Roman"/>
          <w:szCs w:val="24"/>
        </w:rPr>
        <w:t>“</w:t>
      </w:r>
      <w:r w:rsidR="00074AC2">
        <w:rPr>
          <w:rFonts w:cs="Times New Roman"/>
          <w:szCs w:val="24"/>
        </w:rPr>
        <w:t>two</w:t>
      </w:r>
      <w:r w:rsidR="00571429">
        <w:rPr>
          <w:rFonts w:cs="Times New Roman"/>
          <w:szCs w:val="24"/>
        </w:rPr>
        <w:t>”</w:t>
      </w:r>
      <w:r w:rsidR="00074AC2">
        <w:rPr>
          <w:rFonts w:cs="Times New Roman"/>
          <w:szCs w:val="24"/>
        </w:rPr>
        <w:t xml:space="preserve"> reviews</w:t>
      </w:r>
      <w:r w:rsidR="00E14EDC">
        <w:rPr>
          <w:rFonts w:cs="Times New Roman"/>
          <w:szCs w:val="24"/>
        </w:rPr>
        <w:t xml:space="preserve">; </w:t>
      </w:r>
      <w:r w:rsidR="00074AC2">
        <w:rPr>
          <w:rFonts w:cs="Times New Roman"/>
          <w:szCs w:val="24"/>
        </w:rPr>
        <w:t xml:space="preserve">see </w:t>
      </w:r>
      <w:r w:rsidR="00E14EDC">
        <w:rPr>
          <w:rFonts w:cs="Times New Roman"/>
          <w:szCs w:val="24"/>
        </w:rPr>
        <w:t>a summary of those adjustments in Table 5.</w:t>
      </w:r>
      <w:r>
        <w:rPr>
          <w:rFonts w:cs="Times New Roman"/>
          <w:szCs w:val="24"/>
        </w:rPr>
        <w:t xml:space="preserve"> There were no adjustments or additional opportunities </w:t>
      </w:r>
      <w:r w:rsidR="00074AC2">
        <w:rPr>
          <w:rFonts w:cs="Times New Roman"/>
          <w:szCs w:val="24"/>
        </w:rPr>
        <w:t xml:space="preserve">from category </w:t>
      </w:r>
      <w:r w:rsidR="00571429">
        <w:rPr>
          <w:rFonts w:cs="Times New Roman"/>
          <w:szCs w:val="24"/>
        </w:rPr>
        <w:t>“</w:t>
      </w:r>
      <w:r w:rsidR="00074AC2">
        <w:rPr>
          <w:rFonts w:cs="Times New Roman"/>
          <w:szCs w:val="24"/>
        </w:rPr>
        <w:t>three</w:t>
      </w:r>
      <w:r w:rsidR="00571429">
        <w:rPr>
          <w:rFonts w:cs="Times New Roman"/>
          <w:szCs w:val="24"/>
        </w:rPr>
        <w:t>”</w:t>
      </w:r>
      <w:r w:rsidR="00074AC2">
        <w:rPr>
          <w:rFonts w:cs="Times New Roman"/>
          <w:szCs w:val="24"/>
        </w:rPr>
        <w:t xml:space="preserve"> type adjustments which is explained in more detail below.</w:t>
      </w:r>
      <w:r>
        <w:rPr>
          <w:rFonts w:cs="Times New Roman"/>
          <w:szCs w:val="24"/>
        </w:rPr>
        <w:t xml:space="preserve"> </w:t>
      </w:r>
      <w:r w:rsidR="0046065C">
        <w:rPr>
          <w:rFonts w:cs="Times New Roman"/>
          <w:szCs w:val="24"/>
        </w:rPr>
        <w:t xml:space="preserve"> </w:t>
      </w:r>
      <w:r w:rsidR="000E44C4">
        <w:rPr>
          <w:rFonts w:cs="Times New Roman"/>
          <w:szCs w:val="24"/>
        </w:rPr>
        <w:t xml:space="preserve">Additional detail on </w:t>
      </w:r>
      <w:r>
        <w:rPr>
          <w:rFonts w:cs="Times New Roman"/>
          <w:szCs w:val="24"/>
        </w:rPr>
        <w:t xml:space="preserve">the category </w:t>
      </w:r>
      <w:r w:rsidR="00571429">
        <w:rPr>
          <w:rFonts w:cs="Times New Roman"/>
          <w:szCs w:val="24"/>
        </w:rPr>
        <w:t>“</w:t>
      </w:r>
      <w:r>
        <w:rPr>
          <w:rFonts w:cs="Times New Roman"/>
          <w:szCs w:val="24"/>
        </w:rPr>
        <w:t>one</w:t>
      </w:r>
      <w:r w:rsidR="00571429">
        <w:rPr>
          <w:rFonts w:cs="Times New Roman"/>
          <w:szCs w:val="24"/>
        </w:rPr>
        <w:t>”</w:t>
      </w:r>
      <w:r>
        <w:rPr>
          <w:rFonts w:cs="Times New Roman"/>
          <w:szCs w:val="24"/>
        </w:rPr>
        <w:t xml:space="preserve"> and </w:t>
      </w:r>
      <w:r w:rsidR="00571429">
        <w:rPr>
          <w:rFonts w:cs="Times New Roman"/>
          <w:szCs w:val="24"/>
        </w:rPr>
        <w:t>“</w:t>
      </w:r>
      <w:r>
        <w:rPr>
          <w:rFonts w:cs="Times New Roman"/>
          <w:szCs w:val="24"/>
        </w:rPr>
        <w:t>two</w:t>
      </w:r>
      <w:r w:rsidR="00571429">
        <w:rPr>
          <w:rFonts w:cs="Times New Roman"/>
          <w:szCs w:val="24"/>
        </w:rPr>
        <w:t xml:space="preserve">” type </w:t>
      </w:r>
      <w:r>
        <w:rPr>
          <w:rFonts w:cs="Times New Roman"/>
          <w:szCs w:val="24"/>
        </w:rPr>
        <w:t xml:space="preserve">adjustments </w:t>
      </w:r>
      <w:r w:rsidR="000E44C4">
        <w:rPr>
          <w:rFonts w:cs="Times New Roman"/>
          <w:szCs w:val="24"/>
        </w:rPr>
        <w:t>is provided in Appendix 4 to this report.</w:t>
      </w:r>
    </w:p>
    <w:p w:rsidR="00A920E2" w:rsidRDefault="00A920E2" w:rsidP="00074AC2">
      <w:pPr>
        <w:jc w:val="center"/>
        <w:rPr>
          <w:rFonts w:cs="Times New Roman"/>
          <w:b/>
        </w:rPr>
      </w:pPr>
    </w:p>
    <w:p w:rsidR="00A920E2" w:rsidRPr="00220638" w:rsidRDefault="00220638" w:rsidP="00220638">
      <w:pPr>
        <w:pStyle w:val="Caption"/>
      </w:pPr>
      <w:bookmarkStart w:id="22" w:name="_Toc430706307"/>
      <w:r w:rsidRPr="00220638">
        <w:t xml:space="preserve">Table </w:t>
      </w:r>
      <w:fldSimple w:instr=" SEQ Table \* ARABIC ">
        <w:r w:rsidR="00BC2AF1">
          <w:rPr>
            <w:noProof/>
          </w:rPr>
          <w:t>5</w:t>
        </w:r>
      </w:fldSimple>
      <w:r w:rsidRPr="00220638">
        <w:t xml:space="preserve">: </w:t>
      </w:r>
      <w:r w:rsidR="00A920E2" w:rsidRPr="00220638">
        <w:t>2016-20125 Energy Efficiency Forecast – Summary of Adjustments</w:t>
      </w:r>
      <w:bookmarkEnd w:id="22"/>
      <w:r w:rsidR="00A920E2" w:rsidRPr="00220638">
        <w:t xml:space="preserve"> </w:t>
      </w:r>
    </w:p>
    <w:p w:rsidR="00A920E2" w:rsidRDefault="00A920E2" w:rsidP="00074AC2">
      <w:pPr>
        <w:jc w:val="center"/>
        <w:rPr>
          <w:highlight w:val="yellow"/>
        </w:rPr>
      </w:pPr>
    </w:p>
    <w:p w:rsidR="00911E1D" w:rsidRPr="004002AB" w:rsidRDefault="00A920E2" w:rsidP="000E44C4">
      <w:pPr>
        <w:jc w:val="center"/>
        <w:rPr>
          <w:rFonts w:cs="Times New Roman"/>
          <w:b/>
          <w:szCs w:val="24"/>
          <w:highlight w:val="yellow"/>
        </w:rPr>
      </w:pPr>
      <w:r w:rsidRPr="00A920E2">
        <w:rPr>
          <w:noProof/>
        </w:rPr>
        <w:drawing>
          <wp:inline distT="0" distB="0" distL="0" distR="0" wp14:anchorId="23FA2E9B" wp14:editId="4FDAACC6">
            <wp:extent cx="5678233" cy="3165459"/>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678424" cy="3165565"/>
                    </a:xfrm>
                    <a:prstGeom prst="rect">
                      <a:avLst/>
                    </a:prstGeom>
                    <a:noFill/>
                    <a:ln>
                      <a:noFill/>
                    </a:ln>
                  </pic:spPr>
                </pic:pic>
              </a:graphicData>
            </a:graphic>
          </wp:inline>
        </w:drawing>
      </w:r>
      <w:r w:rsidRPr="00A920E2">
        <w:rPr>
          <w:highlight w:val="yellow"/>
        </w:rPr>
        <w:t xml:space="preserve"> </w:t>
      </w:r>
      <w:bookmarkStart w:id="23" w:name="_Ref367879504"/>
    </w:p>
    <w:bookmarkEnd w:id="23"/>
    <w:p w:rsidR="00074AC2" w:rsidRDefault="00074AC2" w:rsidP="002C1CA0">
      <w:pPr>
        <w:rPr>
          <w:rFonts w:cs="Times New Roman"/>
          <w:i/>
        </w:rPr>
      </w:pPr>
    </w:p>
    <w:p w:rsidR="00571429" w:rsidRDefault="00571429" w:rsidP="002C1CA0">
      <w:pPr>
        <w:rPr>
          <w:rFonts w:cs="Times New Roman"/>
          <w:i/>
        </w:rPr>
      </w:pPr>
    </w:p>
    <w:p w:rsidR="002C1CA0" w:rsidRDefault="009545DC" w:rsidP="002C1CA0">
      <w:pPr>
        <w:rPr>
          <w:rFonts w:cs="Times New Roman"/>
          <w:i/>
        </w:rPr>
      </w:pPr>
      <w:r>
        <w:rPr>
          <w:rFonts w:cs="Times New Roman"/>
          <w:i/>
        </w:rPr>
        <w:t>Conservation O</w:t>
      </w:r>
      <w:r w:rsidR="002C1CA0" w:rsidRPr="002C1CA0">
        <w:rPr>
          <w:rFonts w:cs="Times New Roman"/>
          <w:i/>
        </w:rPr>
        <w:t>pportunities</w:t>
      </w:r>
      <w:r>
        <w:rPr>
          <w:rFonts w:cs="Times New Roman"/>
          <w:i/>
        </w:rPr>
        <w:t xml:space="preserve"> A</w:t>
      </w:r>
      <w:r w:rsidR="002C1CA0" w:rsidRPr="002C1CA0">
        <w:rPr>
          <w:rFonts w:cs="Times New Roman"/>
          <w:i/>
        </w:rPr>
        <w:t xml:space="preserve">ssessed </w:t>
      </w:r>
      <w:r>
        <w:rPr>
          <w:rFonts w:cs="Times New Roman"/>
          <w:i/>
        </w:rPr>
        <w:t>T</w:t>
      </w:r>
      <w:r w:rsidR="002C1CA0" w:rsidRPr="002C1CA0">
        <w:rPr>
          <w:rFonts w:cs="Times New Roman"/>
          <w:i/>
        </w:rPr>
        <w:t xml:space="preserve">hrough </w:t>
      </w:r>
      <w:r>
        <w:rPr>
          <w:rFonts w:cs="Times New Roman"/>
          <w:i/>
        </w:rPr>
        <w:t>O</w:t>
      </w:r>
      <w:r w:rsidR="002C1CA0" w:rsidRPr="002C1CA0">
        <w:rPr>
          <w:rFonts w:cs="Times New Roman"/>
          <w:i/>
        </w:rPr>
        <w:t xml:space="preserve">ther </w:t>
      </w:r>
      <w:r>
        <w:rPr>
          <w:rFonts w:cs="Times New Roman"/>
          <w:i/>
        </w:rPr>
        <w:t>S</w:t>
      </w:r>
      <w:r w:rsidR="002C1CA0" w:rsidRPr="002C1CA0">
        <w:rPr>
          <w:rFonts w:cs="Times New Roman"/>
          <w:i/>
        </w:rPr>
        <w:t>tudie</w:t>
      </w:r>
      <w:r w:rsidR="00D16150">
        <w:rPr>
          <w:rFonts w:cs="Times New Roman"/>
          <w:i/>
        </w:rPr>
        <w:t>s and Action</w:t>
      </w:r>
      <w:r w:rsidR="002C1CA0" w:rsidRPr="002C1CA0">
        <w:rPr>
          <w:rFonts w:cs="Times New Roman"/>
          <w:i/>
        </w:rPr>
        <w:t>s</w:t>
      </w:r>
    </w:p>
    <w:p w:rsidR="00DB27FF" w:rsidRDefault="00DB27FF" w:rsidP="00D22458">
      <w:pPr>
        <w:rPr>
          <w:rFonts w:cs="Times New Roman"/>
          <w:i/>
          <w:szCs w:val="24"/>
        </w:rPr>
      </w:pPr>
    </w:p>
    <w:p w:rsidR="000E44C4" w:rsidRDefault="00E14EDC" w:rsidP="00D22458">
      <w:pPr>
        <w:rPr>
          <w:rFonts w:cs="Times New Roman"/>
          <w:szCs w:val="24"/>
        </w:rPr>
      </w:pPr>
      <w:r>
        <w:rPr>
          <w:rFonts w:cs="Times New Roman"/>
          <w:szCs w:val="24"/>
        </w:rPr>
        <w:t xml:space="preserve">There weren’t adjustments made to the ten-year conservation forecast or biennium target related to category </w:t>
      </w:r>
      <w:r w:rsidR="00571429">
        <w:rPr>
          <w:rFonts w:cs="Times New Roman"/>
          <w:szCs w:val="24"/>
        </w:rPr>
        <w:t>“</w:t>
      </w:r>
      <w:r>
        <w:rPr>
          <w:rFonts w:cs="Times New Roman"/>
          <w:szCs w:val="24"/>
        </w:rPr>
        <w:t>three</w:t>
      </w:r>
      <w:r w:rsidR="00571429">
        <w:rPr>
          <w:rFonts w:cs="Times New Roman"/>
          <w:szCs w:val="24"/>
        </w:rPr>
        <w:t>”</w:t>
      </w:r>
      <w:r>
        <w:rPr>
          <w:rFonts w:cs="Times New Roman"/>
          <w:szCs w:val="24"/>
        </w:rPr>
        <w:t xml:space="preserve"> type </w:t>
      </w:r>
      <w:r w:rsidR="00571429">
        <w:rPr>
          <w:rFonts w:cs="Times New Roman"/>
          <w:szCs w:val="24"/>
        </w:rPr>
        <w:t xml:space="preserve">adjustments, </w:t>
      </w:r>
      <w:r w:rsidR="00571429" w:rsidRPr="00571429">
        <w:rPr>
          <w:rFonts w:cs="Times New Roman"/>
          <w:szCs w:val="24"/>
        </w:rPr>
        <w:t>c</w:t>
      </w:r>
      <w:r w:rsidR="00571429" w:rsidRPr="002E6CC8">
        <w:rPr>
          <w:rFonts w:cs="Times New Roman"/>
          <w:szCs w:val="24"/>
        </w:rPr>
        <w:t>onservation opportunities assessed through other studies</w:t>
      </w:r>
      <w:r>
        <w:rPr>
          <w:rFonts w:cs="Times New Roman"/>
          <w:szCs w:val="24"/>
        </w:rPr>
        <w:t>. The following detail is provided to explain the Company review process and findings</w:t>
      </w:r>
      <w:r w:rsidR="00571429">
        <w:rPr>
          <w:rFonts w:cs="Times New Roman"/>
          <w:szCs w:val="24"/>
        </w:rPr>
        <w:t xml:space="preserve"> related to resource opportunities associated with distribution and production efficiency and high-efficiency cogeneration</w:t>
      </w:r>
      <w:r>
        <w:rPr>
          <w:rFonts w:cs="Times New Roman"/>
          <w:szCs w:val="24"/>
        </w:rPr>
        <w:t xml:space="preserve">. </w:t>
      </w:r>
    </w:p>
    <w:p w:rsidR="00E14EDC" w:rsidRPr="00432C28" w:rsidRDefault="00E14EDC" w:rsidP="00D22458">
      <w:pPr>
        <w:rPr>
          <w:rFonts w:cs="Times New Roman"/>
          <w:i/>
          <w:szCs w:val="24"/>
        </w:rPr>
      </w:pPr>
    </w:p>
    <w:p w:rsidR="005D0929" w:rsidRDefault="00092202" w:rsidP="00872705">
      <w:pPr>
        <w:rPr>
          <w:rFonts w:cs="Times New Roman"/>
          <w:b/>
          <w:szCs w:val="24"/>
        </w:rPr>
      </w:pPr>
      <w:r w:rsidRPr="00D16150">
        <w:rPr>
          <w:rFonts w:cs="Times New Roman"/>
          <w:b/>
          <w:szCs w:val="24"/>
        </w:rPr>
        <w:t>Distribution Efficiency Initiative</w:t>
      </w:r>
    </w:p>
    <w:p w:rsidR="007516A9" w:rsidRPr="00D16150" w:rsidRDefault="00092202" w:rsidP="00872705">
      <w:pPr>
        <w:rPr>
          <w:rFonts w:cs="Times New Roman"/>
          <w:b/>
          <w:szCs w:val="24"/>
        </w:rPr>
      </w:pPr>
      <w:r w:rsidRPr="00D16150">
        <w:rPr>
          <w:rFonts w:cs="Times New Roman"/>
          <w:b/>
          <w:szCs w:val="24"/>
        </w:rPr>
        <w:t xml:space="preserve"> </w:t>
      </w:r>
    </w:p>
    <w:p w:rsidR="004A283B" w:rsidRDefault="004A283B" w:rsidP="00AA2FA8">
      <w:pPr>
        <w:spacing w:after="240"/>
        <w:rPr>
          <w:rFonts w:cs="Times New Roman"/>
          <w:szCs w:val="24"/>
        </w:rPr>
      </w:pPr>
      <w:r w:rsidRPr="00137349">
        <w:rPr>
          <w:rFonts w:cs="Times New Roman"/>
          <w:szCs w:val="24"/>
        </w:rPr>
        <w:t xml:space="preserve">Distribution Efficiency was included in the </w:t>
      </w:r>
      <w:r w:rsidR="002E6CC8">
        <w:rPr>
          <w:rFonts w:cs="Times New Roman"/>
          <w:szCs w:val="24"/>
        </w:rPr>
        <w:t xml:space="preserve">Council’s </w:t>
      </w:r>
      <w:r w:rsidRPr="00137349">
        <w:rPr>
          <w:rFonts w:cs="Times New Roman"/>
          <w:szCs w:val="24"/>
        </w:rPr>
        <w:t xml:space="preserve"> power plan’s conservation assessment; however, this initiative was not part of the Company’s Conservation Potential Assessment, and consequently these resources are not reflected in the 201</w:t>
      </w:r>
      <w:r w:rsidR="00AA6536">
        <w:rPr>
          <w:rFonts w:cs="Times New Roman"/>
          <w:szCs w:val="24"/>
        </w:rPr>
        <w:t>5</w:t>
      </w:r>
      <w:r w:rsidRPr="00137349">
        <w:rPr>
          <w:rFonts w:cs="Times New Roman"/>
          <w:szCs w:val="24"/>
        </w:rPr>
        <w:t xml:space="preserve"> IRP preferred portfolio directly.</w:t>
      </w:r>
    </w:p>
    <w:p w:rsidR="00AA2FA8" w:rsidRDefault="00AA2FA8" w:rsidP="00AA2FA8">
      <w:pPr>
        <w:spacing w:after="240"/>
        <w:rPr>
          <w:b/>
          <w:szCs w:val="24"/>
        </w:rPr>
      </w:pPr>
      <w:r>
        <w:rPr>
          <w:szCs w:val="24"/>
        </w:rPr>
        <w:t xml:space="preserve">Energy savings from distribution efficiency can come from both system improvements and reduced voltage (Conservation Voltage Reduction, or CVR). Improvements to the distribution system typically take the form of better phase balance, better reactive power management, and flattened voltage profile (less voltage drop from one location on the circuit to another location). These improvements result in energy savings from reduced line loss (less energy expended delivering the power to its destination). </w:t>
      </w:r>
    </w:p>
    <w:p w:rsidR="00AA2FA8" w:rsidRDefault="00AA2FA8" w:rsidP="00AA2FA8">
      <w:r>
        <w:t>PacifiCorp began detailed analysis of Washington distribution circuits in 2011 in order to ascertain what energy savings might be achievable from CVR</w:t>
      </w:r>
      <w:r>
        <w:rPr>
          <w:rStyle w:val="FootnoteReference"/>
        </w:rPr>
        <w:footnoteReference w:id="29"/>
      </w:r>
      <w:r>
        <w:t>. The Company’s CVR analysis in Washington resulted in four pilot projects designed to determine whether cost effective savings could be measured. The results of these projects are as follows:</w:t>
      </w:r>
    </w:p>
    <w:p w:rsidR="00AA2FA8" w:rsidRDefault="00AA2FA8" w:rsidP="00AA2FA8"/>
    <w:p w:rsidR="00AA2FA8" w:rsidRDefault="00AA2FA8" w:rsidP="00AA2FA8">
      <w:pPr>
        <w:pStyle w:val="ListParagraph"/>
        <w:numPr>
          <w:ilvl w:val="0"/>
          <w:numId w:val="64"/>
        </w:numPr>
        <w:contextualSpacing w:val="0"/>
      </w:pPr>
      <w:r>
        <w:t>Of the 0.09 aMW predicted to be acquired through the four 2012 pilot circuits, less than 0.01 aMW was achieved. All four circuits failed to meet the protocol efficiency thresholds both before and after voltage reduction. This meant that energy savings could not be verified by an approved method, since the Simplified Protocol scope requires that the thresholds be met. The estimated savings from the metered data, ignoring the threshold violations, is 0.017 aMW at Clinton and zero or negative energy savings at Mill Creek.</w:t>
      </w:r>
    </w:p>
    <w:p w:rsidR="00AA2FA8" w:rsidRDefault="00AA2FA8" w:rsidP="00AA2FA8">
      <w:pPr>
        <w:pStyle w:val="ListParagraph"/>
        <w:numPr>
          <w:ilvl w:val="0"/>
          <w:numId w:val="64"/>
        </w:numPr>
        <w:contextualSpacing w:val="0"/>
      </w:pPr>
      <w:r>
        <w:t>The Clinton pilot was not cost effective. Less than half of the anticipated reduction in average voltage was achieved, and the estimated cost of energy savings was $112.49/MWh, a value 23</w:t>
      </w:r>
      <w:r w:rsidR="00600E96">
        <w:t>percent</w:t>
      </w:r>
      <w:r>
        <w:t xml:space="preserve"> higher than the marginal (avoided) purchase energy rate used in Washington. These values come with the caveat that protocol thresholds were violated and confidence in both the voltage reduction value and energy savings value are consequently very low. </w:t>
      </w:r>
    </w:p>
    <w:p w:rsidR="00AA2FA8" w:rsidRDefault="00AA2FA8" w:rsidP="00AA2FA8"/>
    <w:p w:rsidR="00AA2FA8" w:rsidRDefault="00AA2FA8" w:rsidP="00AA2FA8">
      <w:pPr>
        <w:autoSpaceDE w:val="0"/>
        <w:autoSpaceDN w:val="0"/>
      </w:pPr>
      <w:r>
        <w:t xml:space="preserve">The 2012 pilot on four of the most promising circuits in Washington showed that voltage reduction as a distribution efficiency measure was not cost-effective for PacifiCorp and as a result of these pilots PacifiCorp did not forecast any reliable, feasible and cost-effective opportunity for distribution efficiency in its 2014-2023 conservation forecast. </w:t>
      </w:r>
    </w:p>
    <w:p w:rsidR="00AA2FA8" w:rsidRDefault="00AA2FA8" w:rsidP="00AA2FA8">
      <w:pPr>
        <w:autoSpaceDE w:val="0"/>
        <w:autoSpaceDN w:val="0"/>
      </w:pPr>
    </w:p>
    <w:p w:rsidR="00AA2FA8" w:rsidRDefault="00AA2FA8" w:rsidP="00AA2FA8">
      <w:pPr>
        <w:rPr>
          <w:szCs w:val="24"/>
        </w:rPr>
      </w:pPr>
      <w:r>
        <w:t xml:space="preserve">Since that time the Company has continued to review the marketplace and has remained engaged with the Regional Technical Forum’s voltage optimization subcommittee however is not aware of any substantial improvements in measurement and verification technology that would render its voltage optimization business cost effective. Methods of measurement for energy savings estimates, and specifically the energy/voltage relationship over time, continue to evolve. Where voltage changes are relatively small, as is the case in PacifiCorp’s Washington service area, there is as yet no robust and low-cost mechanism to calculate savings, particularly where detailed end use parameters are unknown. Together with the cost of energy, these are the primary limiting factors that would have to be overcome before PacifiCorp could pursue savings from further voltage reduction. As a result, PacifiCorp is not forecasting any reliable, feasible and cost-effective opportunity for distribution efficiency in its 2016-2025 conservation forecast, and thus, no savings from distribution efficiency are included in the Company’s 2016-2017 Biennial Conservation Target. </w:t>
      </w:r>
      <w:r>
        <w:rPr>
          <w:szCs w:val="24"/>
        </w:rPr>
        <w:t xml:space="preserve">These findings and conclusions were shared with the Company’s Washington DSM Advisory Group at the June 9, 2015 meeting. </w:t>
      </w:r>
      <w:r w:rsidR="00943207">
        <w:rPr>
          <w:szCs w:val="24"/>
        </w:rPr>
        <w:t>The Company will continue to monitor the situation and should conditions change will look to incorporate measurable cost-effective saving</w:t>
      </w:r>
      <w:r w:rsidR="00253D45">
        <w:rPr>
          <w:szCs w:val="24"/>
        </w:rPr>
        <w:t>s</w:t>
      </w:r>
      <w:r w:rsidR="00943207">
        <w:rPr>
          <w:szCs w:val="24"/>
        </w:rPr>
        <w:t xml:space="preserve"> from </w:t>
      </w:r>
      <w:r w:rsidR="00253D45">
        <w:rPr>
          <w:szCs w:val="24"/>
        </w:rPr>
        <w:t xml:space="preserve">distribution efficiency opportunities in future conservation forecasts and targets. </w:t>
      </w:r>
      <w:r>
        <w:rPr>
          <w:szCs w:val="24"/>
        </w:rPr>
        <w:t xml:space="preserve"> </w:t>
      </w:r>
    </w:p>
    <w:p w:rsidR="00AA2FA8" w:rsidRDefault="00AA2FA8" w:rsidP="007D65E7">
      <w:pPr>
        <w:rPr>
          <w:rFonts w:cs="Times New Roman"/>
          <w:szCs w:val="24"/>
          <w:highlight w:val="yellow"/>
        </w:rPr>
      </w:pPr>
    </w:p>
    <w:p w:rsidR="00B5669E" w:rsidRPr="00600E96" w:rsidRDefault="00B5669E" w:rsidP="00EB28BD">
      <w:pPr>
        <w:autoSpaceDE w:val="0"/>
        <w:autoSpaceDN w:val="0"/>
        <w:rPr>
          <w:highlight w:val="yellow"/>
        </w:rPr>
      </w:pPr>
    </w:p>
    <w:p w:rsidR="00F9338A" w:rsidRPr="009209CD" w:rsidRDefault="00F9338A" w:rsidP="00F9338A">
      <w:pPr>
        <w:rPr>
          <w:rFonts w:cs="Times New Roman"/>
          <w:b/>
          <w:szCs w:val="24"/>
        </w:rPr>
      </w:pPr>
      <w:r w:rsidRPr="009209CD">
        <w:rPr>
          <w:rFonts w:cs="Times New Roman"/>
          <w:b/>
          <w:szCs w:val="24"/>
        </w:rPr>
        <w:t>Production Efficiency (in non-hydro generation facilities)</w:t>
      </w:r>
    </w:p>
    <w:p w:rsidR="00F9338A" w:rsidRPr="008343D4" w:rsidRDefault="00F9338A" w:rsidP="00F9338A">
      <w:pPr>
        <w:rPr>
          <w:rFonts w:cs="Times New Roman"/>
          <w:i/>
          <w:szCs w:val="24"/>
        </w:rPr>
      </w:pPr>
    </w:p>
    <w:p w:rsidR="00F9338A" w:rsidRPr="008343D4" w:rsidRDefault="00F9338A" w:rsidP="00F9338A">
      <w:pPr>
        <w:rPr>
          <w:rFonts w:cs="Times New Roman"/>
          <w:i/>
          <w:szCs w:val="24"/>
        </w:rPr>
      </w:pPr>
      <w:r w:rsidRPr="008343D4">
        <w:rPr>
          <w:rFonts w:cs="Times New Roman"/>
          <w:szCs w:val="24"/>
        </w:rPr>
        <w:t>Production Efficiency in non-hydro generation facilities was not included in the Council’s 6</w:t>
      </w:r>
      <w:r w:rsidRPr="008343D4">
        <w:rPr>
          <w:rFonts w:cs="Times New Roman"/>
          <w:szCs w:val="24"/>
          <w:vertAlign w:val="superscript"/>
        </w:rPr>
        <w:t>th</w:t>
      </w:r>
      <w:r w:rsidRPr="008343D4">
        <w:rPr>
          <w:rFonts w:cs="Times New Roman"/>
          <w:szCs w:val="24"/>
        </w:rPr>
        <w:t xml:space="preserve"> Power Plan or the Company’s Conservation Potential Assessment; however, this initiative, along with </w:t>
      </w:r>
      <w:r>
        <w:rPr>
          <w:rFonts w:cs="Times New Roman"/>
          <w:szCs w:val="24"/>
        </w:rPr>
        <w:t>distribution efficiency</w:t>
      </w:r>
      <w:r w:rsidRPr="008343D4">
        <w:rPr>
          <w:rFonts w:cs="Times New Roman"/>
          <w:szCs w:val="24"/>
        </w:rPr>
        <w:t>, fall under the definition of “Conservation” in WAC 480-109-</w:t>
      </w:r>
      <w:r>
        <w:rPr>
          <w:rFonts w:cs="Times New Roman"/>
          <w:szCs w:val="24"/>
        </w:rPr>
        <w:t>060</w:t>
      </w:r>
      <w:r w:rsidRPr="008343D4">
        <w:rPr>
          <w:rFonts w:cs="Times New Roman"/>
          <w:szCs w:val="24"/>
        </w:rPr>
        <w:t xml:space="preserve">, and therefore are included in the </w:t>
      </w:r>
      <w:r>
        <w:rPr>
          <w:rFonts w:cs="Times New Roman"/>
          <w:szCs w:val="24"/>
        </w:rPr>
        <w:t xml:space="preserve">assessment of the </w:t>
      </w:r>
      <w:r w:rsidRPr="008343D4">
        <w:rPr>
          <w:rFonts w:cs="Times New Roman"/>
          <w:szCs w:val="24"/>
        </w:rPr>
        <w:t>Company’s ten-year conservation potential.</w:t>
      </w:r>
    </w:p>
    <w:p w:rsidR="00F9338A" w:rsidRPr="008343D4" w:rsidRDefault="00F9338A" w:rsidP="00F9338A">
      <w:pPr>
        <w:rPr>
          <w:rFonts w:cs="Times New Roman"/>
          <w:szCs w:val="24"/>
        </w:rPr>
      </w:pPr>
    </w:p>
    <w:p w:rsidR="00F9338A" w:rsidRPr="008343D4" w:rsidRDefault="00F9338A" w:rsidP="00F9338A">
      <w:pPr>
        <w:autoSpaceDE w:val="0"/>
        <w:autoSpaceDN w:val="0"/>
      </w:pPr>
      <w:r w:rsidRPr="008343D4">
        <w:t>The Company provides energy to customers in the State of Washington from the following plants:</w:t>
      </w:r>
    </w:p>
    <w:p w:rsidR="00F9338A" w:rsidRPr="008343D4" w:rsidRDefault="00F9338A" w:rsidP="00F9338A">
      <w:pPr>
        <w:autoSpaceDE w:val="0"/>
        <w:autoSpaceDN w:val="0"/>
        <w:jc w:val="left"/>
      </w:pPr>
    </w:p>
    <w:p w:rsidR="00F9338A" w:rsidRPr="008343D4" w:rsidRDefault="00F9338A" w:rsidP="00F9338A">
      <w:pPr>
        <w:pStyle w:val="ListParagraph"/>
        <w:numPr>
          <w:ilvl w:val="0"/>
          <w:numId w:val="28"/>
        </w:numPr>
        <w:autoSpaceDE w:val="0"/>
        <w:autoSpaceDN w:val="0"/>
        <w:jc w:val="left"/>
      </w:pPr>
      <w:r w:rsidRPr="008343D4">
        <w:t>Thermal Plants</w:t>
      </w:r>
    </w:p>
    <w:p w:rsidR="00F9338A" w:rsidRPr="008343D4" w:rsidRDefault="00F9338A" w:rsidP="00F9338A">
      <w:pPr>
        <w:pStyle w:val="ListParagraph"/>
        <w:numPr>
          <w:ilvl w:val="1"/>
          <w:numId w:val="28"/>
        </w:numPr>
        <w:autoSpaceDE w:val="0"/>
        <w:autoSpaceDN w:val="0"/>
        <w:jc w:val="left"/>
      </w:pPr>
      <w:r w:rsidRPr="008343D4">
        <w:t>Jim Bridger (partly owned with Idaho Power)</w:t>
      </w:r>
    </w:p>
    <w:p w:rsidR="00F9338A" w:rsidRPr="008343D4" w:rsidRDefault="00F9338A" w:rsidP="00F9338A">
      <w:pPr>
        <w:pStyle w:val="ListParagraph"/>
        <w:numPr>
          <w:ilvl w:val="1"/>
          <w:numId w:val="28"/>
        </w:numPr>
        <w:autoSpaceDE w:val="0"/>
        <w:autoSpaceDN w:val="0"/>
        <w:jc w:val="left"/>
      </w:pPr>
      <w:r w:rsidRPr="008343D4">
        <w:t>Chehalis</w:t>
      </w:r>
    </w:p>
    <w:p w:rsidR="00F9338A" w:rsidRPr="008343D4" w:rsidRDefault="00F9338A" w:rsidP="00F9338A">
      <w:pPr>
        <w:pStyle w:val="ListParagraph"/>
        <w:numPr>
          <w:ilvl w:val="1"/>
          <w:numId w:val="28"/>
        </w:numPr>
        <w:autoSpaceDE w:val="0"/>
        <w:autoSpaceDN w:val="0"/>
        <w:jc w:val="left"/>
      </w:pPr>
      <w:r w:rsidRPr="008343D4">
        <w:t>Hermiston (partly owned with Hermiston Power)</w:t>
      </w:r>
    </w:p>
    <w:p w:rsidR="00F9338A" w:rsidRPr="008343D4" w:rsidRDefault="00F9338A" w:rsidP="00F9338A">
      <w:pPr>
        <w:pStyle w:val="ListParagraph"/>
        <w:numPr>
          <w:ilvl w:val="1"/>
          <w:numId w:val="28"/>
        </w:numPr>
        <w:autoSpaceDE w:val="0"/>
        <w:autoSpaceDN w:val="0"/>
        <w:jc w:val="left"/>
      </w:pPr>
      <w:r w:rsidRPr="008343D4">
        <w:t>Colstrip (part owner of unit</w:t>
      </w:r>
      <w:r w:rsidR="00817E60">
        <w:t>s</w:t>
      </w:r>
      <w:r w:rsidRPr="008343D4">
        <w:t xml:space="preserve"> </w:t>
      </w:r>
      <w:r w:rsidR="00817E60">
        <w:t xml:space="preserve">3 and </w:t>
      </w:r>
      <w:r w:rsidRPr="008343D4">
        <w:t>4 with other utilities)</w:t>
      </w:r>
    </w:p>
    <w:p w:rsidR="00F9338A" w:rsidRPr="008343D4" w:rsidRDefault="00F9338A" w:rsidP="00F9338A">
      <w:pPr>
        <w:pStyle w:val="ListParagraph"/>
        <w:numPr>
          <w:ilvl w:val="0"/>
          <w:numId w:val="28"/>
        </w:numPr>
        <w:autoSpaceDE w:val="0"/>
        <w:autoSpaceDN w:val="0"/>
        <w:jc w:val="left"/>
      </w:pPr>
      <w:r w:rsidRPr="008343D4">
        <w:t>Wind Projects</w:t>
      </w:r>
    </w:p>
    <w:p w:rsidR="00F9338A" w:rsidRPr="008343D4" w:rsidRDefault="00F9338A" w:rsidP="00F9338A">
      <w:pPr>
        <w:pStyle w:val="ListParagraph"/>
        <w:numPr>
          <w:ilvl w:val="1"/>
          <w:numId w:val="28"/>
        </w:numPr>
        <w:autoSpaceDE w:val="0"/>
        <w:autoSpaceDN w:val="0"/>
        <w:jc w:val="left"/>
      </w:pPr>
      <w:r w:rsidRPr="008343D4">
        <w:t>Goodnoe Hills</w:t>
      </w:r>
    </w:p>
    <w:p w:rsidR="00F9338A" w:rsidRPr="008343D4" w:rsidRDefault="00F9338A" w:rsidP="00F9338A">
      <w:pPr>
        <w:pStyle w:val="ListParagraph"/>
        <w:numPr>
          <w:ilvl w:val="1"/>
          <w:numId w:val="28"/>
        </w:numPr>
        <w:autoSpaceDE w:val="0"/>
        <w:autoSpaceDN w:val="0"/>
        <w:jc w:val="left"/>
      </w:pPr>
      <w:r w:rsidRPr="008343D4">
        <w:t>Marengo I</w:t>
      </w:r>
    </w:p>
    <w:p w:rsidR="00F9338A" w:rsidRPr="008343D4" w:rsidRDefault="00F9338A" w:rsidP="00F9338A">
      <w:pPr>
        <w:pStyle w:val="ListParagraph"/>
        <w:numPr>
          <w:ilvl w:val="1"/>
          <w:numId w:val="28"/>
        </w:numPr>
        <w:autoSpaceDE w:val="0"/>
        <w:autoSpaceDN w:val="0"/>
        <w:jc w:val="left"/>
      </w:pPr>
      <w:r w:rsidRPr="008343D4">
        <w:t>Marengo II</w:t>
      </w:r>
    </w:p>
    <w:p w:rsidR="00F9338A" w:rsidRPr="008343D4" w:rsidRDefault="00F9338A" w:rsidP="00F9338A">
      <w:pPr>
        <w:pStyle w:val="ListParagraph"/>
        <w:numPr>
          <w:ilvl w:val="1"/>
          <w:numId w:val="28"/>
        </w:numPr>
        <w:autoSpaceDE w:val="0"/>
        <w:autoSpaceDN w:val="0"/>
        <w:jc w:val="left"/>
      </w:pPr>
      <w:r w:rsidRPr="008343D4">
        <w:t>Leaning Juniper</w:t>
      </w:r>
    </w:p>
    <w:p w:rsidR="00F9338A" w:rsidRPr="008343D4" w:rsidRDefault="00F9338A" w:rsidP="00F9338A">
      <w:pPr>
        <w:autoSpaceDE w:val="0"/>
        <w:autoSpaceDN w:val="0"/>
        <w:jc w:val="left"/>
      </w:pPr>
    </w:p>
    <w:p w:rsidR="00F9338A" w:rsidRPr="008343D4" w:rsidRDefault="00F9338A" w:rsidP="00F9338A">
      <w:pPr>
        <w:autoSpaceDE w:val="0"/>
        <w:autoSpaceDN w:val="0"/>
      </w:pPr>
      <w:r w:rsidRPr="008343D4">
        <w:t xml:space="preserve">Determining electrical energy savings opportunities and estimating the resultant energy savings for a thermal generation facility is a fairly straightforward process similar to that of </w:t>
      </w:r>
      <w:r>
        <w:t xml:space="preserve">a retail customer’s </w:t>
      </w:r>
      <w:r w:rsidRPr="008343D4">
        <w:t>industrial facilit</w:t>
      </w:r>
      <w:r>
        <w:t>y</w:t>
      </w:r>
      <w:r w:rsidRPr="008343D4">
        <w:t>. As with any industrial facility, the results of the energy savings analysis must be modified to address:</w:t>
      </w:r>
    </w:p>
    <w:p w:rsidR="00F9338A" w:rsidRPr="008343D4" w:rsidRDefault="00F9338A" w:rsidP="00F9338A">
      <w:pPr>
        <w:autoSpaceDE w:val="0"/>
        <w:autoSpaceDN w:val="0"/>
      </w:pPr>
    </w:p>
    <w:p w:rsidR="00F9338A" w:rsidRPr="008343D4" w:rsidRDefault="00F9338A" w:rsidP="00F9338A">
      <w:pPr>
        <w:pStyle w:val="ListParagraph"/>
        <w:numPr>
          <w:ilvl w:val="0"/>
          <w:numId w:val="30"/>
        </w:numPr>
        <w:autoSpaceDE w:val="0"/>
        <w:autoSpaceDN w:val="0"/>
      </w:pPr>
      <w:r w:rsidRPr="008343D4">
        <w:t>The impact of the introduction of new or modified equipment on the availability and reliability of the overall system,</w:t>
      </w:r>
    </w:p>
    <w:p w:rsidR="00F9338A" w:rsidRPr="008343D4" w:rsidRDefault="00F9338A" w:rsidP="00F9338A">
      <w:pPr>
        <w:pStyle w:val="ListParagraph"/>
        <w:numPr>
          <w:ilvl w:val="0"/>
          <w:numId w:val="30"/>
        </w:numPr>
        <w:autoSpaceDE w:val="0"/>
        <w:autoSpaceDN w:val="0"/>
      </w:pPr>
      <w:r w:rsidRPr="008343D4">
        <w:t>The ability to implement the recommendations given space, system compatibility and configuration, etc</w:t>
      </w:r>
      <w:r>
        <w:t>.</w:t>
      </w:r>
      <w:r w:rsidRPr="008343D4">
        <w:t>, and</w:t>
      </w:r>
    </w:p>
    <w:p w:rsidR="00F9338A" w:rsidRPr="008343D4" w:rsidRDefault="00F9338A" w:rsidP="00F9338A">
      <w:pPr>
        <w:pStyle w:val="ListParagraph"/>
        <w:numPr>
          <w:ilvl w:val="0"/>
          <w:numId w:val="30"/>
        </w:numPr>
        <w:autoSpaceDE w:val="0"/>
        <w:autoSpaceDN w:val="0"/>
      </w:pPr>
      <w:r w:rsidRPr="008343D4">
        <w:t xml:space="preserve">Costs refined through a procurement process. </w:t>
      </w:r>
    </w:p>
    <w:p w:rsidR="00F9338A" w:rsidRPr="008343D4" w:rsidRDefault="00F9338A" w:rsidP="00F9338A">
      <w:pPr>
        <w:autoSpaceDE w:val="0"/>
        <w:autoSpaceDN w:val="0"/>
      </w:pPr>
    </w:p>
    <w:p w:rsidR="00F9338A" w:rsidRPr="008343D4" w:rsidRDefault="00F9338A" w:rsidP="00F9338A">
      <w:pPr>
        <w:autoSpaceDE w:val="0"/>
        <w:autoSpaceDN w:val="0"/>
      </w:pPr>
      <w:r>
        <w:t>Starting in 2011 through the end of 2012 d</w:t>
      </w:r>
      <w:r w:rsidRPr="008343D4">
        <w:t>etailed studies</w:t>
      </w:r>
      <w:r>
        <w:rPr>
          <w:rStyle w:val="FootnoteReference"/>
        </w:rPr>
        <w:footnoteReference w:id="30"/>
      </w:r>
      <w:r w:rsidRPr="008343D4">
        <w:t xml:space="preserve"> </w:t>
      </w:r>
      <w:r>
        <w:t>were</w:t>
      </w:r>
      <w:r w:rsidRPr="008343D4">
        <w:t xml:space="preserve"> conducted </w:t>
      </w:r>
      <w:r>
        <w:t xml:space="preserve">by Cascade Energy </w:t>
      </w:r>
      <w:r w:rsidRPr="008343D4">
        <w:t xml:space="preserve">at </w:t>
      </w:r>
      <w:r>
        <w:t xml:space="preserve">seven of the eight </w:t>
      </w:r>
      <w:r w:rsidRPr="008343D4">
        <w:t>non-hydro facilities</w:t>
      </w:r>
      <w:r>
        <w:rPr>
          <w:rStyle w:val="FootnoteReference"/>
        </w:rPr>
        <w:footnoteReference w:id="31"/>
      </w:r>
      <w:r w:rsidRPr="008343D4">
        <w:t xml:space="preserve"> that serve Washington customers. </w:t>
      </w:r>
      <w:r>
        <w:t xml:space="preserve">Initially 22 potential projects were identified for potential cost-effective energy efficiency upgrades. The Company did a comprehensive review of the cost test methodology and found some credits and methods needed to be assessed differently for the production side perspective.  This “production side” cost test model was presented to the Washington Advisory group and accepted.  </w:t>
      </w:r>
      <w:r w:rsidRPr="008343D4">
        <w:t>Identified projects were</w:t>
      </w:r>
      <w:r>
        <w:t xml:space="preserve"> then </w:t>
      </w:r>
      <w:r w:rsidRPr="008343D4">
        <w:t xml:space="preserve">screened using the “production side” cost-effectiveness methodology, </w:t>
      </w:r>
      <w:r>
        <w:t xml:space="preserve">which is </w:t>
      </w:r>
      <w:r w:rsidRPr="008343D4">
        <w:t xml:space="preserve">detailed in </w:t>
      </w:r>
      <w:r w:rsidRPr="00392F92">
        <w:t xml:space="preserve">Appendix 2 to the </w:t>
      </w:r>
      <w:r>
        <w:rPr>
          <w:rFonts w:cs="Times New Roman"/>
          <w:szCs w:val="24"/>
        </w:rPr>
        <w:t>DSM 2016-2017 Business Plan</w:t>
      </w:r>
      <w:r w:rsidRPr="00392F92">
        <w:t xml:space="preserve"> (Appendix 7 </w:t>
      </w:r>
      <w:r w:rsidR="00600E96">
        <w:t>to</w:t>
      </w:r>
      <w:r w:rsidRPr="00392F92">
        <w:t xml:space="preserve"> this document).</w:t>
      </w:r>
      <w:r w:rsidRPr="008343D4">
        <w:t xml:space="preserve"> </w:t>
      </w:r>
      <w:r>
        <w:t xml:space="preserve">Fewer projects were available as a result of the new screening.  </w:t>
      </w:r>
    </w:p>
    <w:p w:rsidR="00F9338A" w:rsidRPr="008343D4" w:rsidRDefault="00F9338A" w:rsidP="00F9338A">
      <w:pPr>
        <w:autoSpaceDE w:val="0"/>
        <w:autoSpaceDN w:val="0"/>
        <w:jc w:val="left"/>
      </w:pPr>
    </w:p>
    <w:p w:rsidR="00F9338A" w:rsidRDefault="00F9338A" w:rsidP="00F9338A">
      <w:pPr>
        <w:autoSpaceDE w:val="0"/>
        <w:autoSpaceDN w:val="0"/>
      </w:pPr>
      <w:r>
        <w:t xml:space="preserve">Of the plants above, only three had cost-effective energy efficiency projects identified: Chehalis, Hermiston and Jim Bridger. All of the cost-effective projects identified at the Company’s wholly owned Chehalis plant have now been completed. The cost-effective projects at the Hermiston facility that were identified are scheduled to be completed in the 2014-2015 biennium. The cost-effective plant-wide capital lighting projects at the Jim Bridger facility were not approved by the joint owner, therefore are not being forecasted as available conservation potential at this time.  However, plant personnel at the Jim Bridger plant have been slowly upgrading the high pressure sodium lighting to light emitting diode (“LED”) lighting upon failure.  This has resulted in a steady upgrade to LED lighting which will eventually capture much of the opportunity that had been identified.  </w:t>
      </w:r>
    </w:p>
    <w:p w:rsidR="00F9338A" w:rsidRDefault="00F9338A" w:rsidP="00F9338A">
      <w:pPr>
        <w:rPr>
          <w:rFonts w:cs="Times New Roman"/>
          <w:b/>
          <w:szCs w:val="24"/>
        </w:rPr>
      </w:pPr>
    </w:p>
    <w:p w:rsidR="00F9338A" w:rsidRDefault="00F9338A" w:rsidP="00F9338A">
      <w:pPr>
        <w:autoSpaceDE w:val="0"/>
        <w:autoSpaceDN w:val="0"/>
      </w:pPr>
      <w:r>
        <w:t>The Company has reviewed costs for projects identified earlier that did not pass the cost test to see if changes in labor costs or equipment prices have changed.  It was found that prices have not changed enough for the cost-effectiveness determination of these projects to have changed.</w:t>
      </w:r>
    </w:p>
    <w:p w:rsidR="00F9338A" w:rsidRDefault="00F9338A" w:rsidP="00F9338A">
      <w:pPr>
        <w:autoSpaceDE w:val="0"/>
        <w:autoSpaceDN w:val="0"/>
      </w:pPr>
    </w:p>
    <w:p w:rsidR="00F9338A" w:rsidRDefault="00F9338A" w:rsidP="00F9338A">
      <w:pPr>
        <w:rPr>
          <w:rFonts w:cs="Times New Roman"/>
          <w:b/>
          <w:szCs w:val="24"/>
          <w:highlight w:val="yellow"/>
        </w:rPr>
      </w:pPr>
      <w:r>
        <w:t xml:space="preserve">While the Company remains committed to installing energy efficient equipment at production facilities when systems are upgraded or replaced, the Company’s review hasn’t identified any additional cost-effective energy efficiency opportunities. This is due to the fairly static nature of production plant systems and processes.  As a result, PacifiCorp is not forecasting any reliable, feasible and cost-effective opportunity for production efficiency in its 2016-2025 conservation forecast, and thus, no savings from production efficiency are included in the Company’s 2016-2017 Biennial Conservation Target. </w:t>
      </w:r>
      <w:r>
        <w:rPr>
          <w:szCs w:val="24"/>
        </w:rPr>
        <w:t>These findings and conclusions were shared with the Company’s Washington DSM Advisory Group at the June 9, 2015 meeting.</w:t>
      </w:r>
    </w:p>
    <w:p w:rsidR="00F9338A" w:rsidRDefault="00F9338A" w:rsidP="00B74FFD">
      <w:pPr>
        <w:rPr>
          <w:rFonts w:cs="Times New Roman"/>
          <w:b/>
          <w:szCs w:val="24"/>
          <w:highlight w:val="yellow"/>
        </w:rPr>
      </w:pPr>
    </w:p>
    <w:p w:rsidR="00275946" w:rsidRDefault="00275946" w:rsidP="003E2B5D">
      <w:pPr>
        <w:rPr>
          <w:rFonts w:cs="Times New Roman"/>
          <w:b/>
          <w:szCs w:val="24"/>
        </w:rPr>
      </w:pPr>
    </w:p>
    <w:p w:rsidR="00275946" w:rsidRDefault="00275946" w:rsidP="003E2B5D">
      <w:pPr>
        <w:rPr>
          <w:rFonts w:cs="Times New Roman"/>
          <w:b/>
          <w:szCs w:val="24"/>
        </w:rPr>
      </w:pPr>
    </w:p>
    <w:p w:rsidR="003E2B5D" w:rsidRPr="00197816" w:rsidRDefault="003E2B5D" w:rsidP="003E2B5D">
      <w:pPr>
        <w:rPr>
          <w:rFonts w:cs="Times New Roman"/>
          <w:b/>
          <w:szCs w:val="24"/>
        </w:rPr>
      </w:pPr>
      <w:r w:rsidRPr="00197816">
        <w:rPr>
          <w:rFonts w:cs="Times New Roman"/>
          <w:b/>
          <w:szCs w:val="24"/>
        </w:rPr>
        <w:t xml:space="preserve">High-Efficiency Cogeneration </w:t>
      </w:r>
    </w:p>
    <w:p w:rsidR="003E2B5D" w:rsidRDefault="003E2B5D" w:rsidP="00D0297B">
      <w:pPr>
        <w:autoSpaceDE w:val="0"/>
        <w:autoSpaceDN w:val="0"/>
        <w:rPr>
          <w:rFonts w:cs="Times New Roman"/>
          <w:b/>
          <w:szCs w:val="24"/>
        </w:rPr>
      </w:pPr>
    </w:p>
    <w:p w:rsidR="00861BBA" w:rsidRDefault="00861BBA" w:rsidP="00861BBA">
      <w:pPr>
        <w:rPr>
          <w:rFonts w:cs="Times New Roman"/>
          <w:szCs w:val="24"/>
        </w:rPr>
      </w:pPr>
      <w:r w:rsidRPr="001F6211">
        <w:rPr>
          <w:rFonts w:cs="Times New Roman"/>
          <w:szCs w:val="24"/>
        </w:rPr>
        <w:t>A utility’s obligation to pursue all available conservation that is cost-effective, reliable and feasible includes the following process:</w:t>
      </w:r>
    </w:p>
    <w:p w:rsidR="00861BBA" w:rsidRPr="003665B7" w:rsidRDefault="00861BBA" w:rsidP="00861BBA">
      <w:pPr>
        <w:pStyle w:val="ListParagraph"/>
        <w:numPr>
          <w:ilvl w:val="0"/>
          <w:numId w:val="65"/>
        </w:numPr>
        <w:spacing w:after="160" w:line="259" w:lineRule="auto"/>
        <w:jc w:val="left"/>
        <w:rPr>
          <w:rFonts w:cs="Times New Roman"/>
          <w:i/>
          <w:szCs w:val="24"/>
        </w:rPr>
      </w:pPr>
      <w:r w:rsidRPr="003665B7">
        <w:rPr>
          <w:rFonts w:cs="Times New Roman"/>
          <w:i/>
          <w:szCs w:val="24"/>
        </w:rPr>
        <w:t>Identify potential</w:t>
      </w:r>
    </w:p>
    <w:p w:rsidR="00861BBA" w:rsidRPr="003665B7" w:rsidRDefault="00861BBA" w:rsidP="00861BBA">
      <w:pPr>
        <w:pStyle w:val="ListParagraph"/>
        <w:numPr>
          <w:ilvl w:val="0"/>
          <w:numId w:val="65"/>
        </w:numPr>
        <w:spacing w:after="160" w:line="259" w:lineRule="auto"/>
        <w:jc w:val="left"/>
        <w:rPr>
          <w:rFonts w:cs="Times New Roman"/>
          <w:i/>
          <w:szCs w:val="24"/>
        </w:rPr>
      </w:pPr>
      <w:r w:rsidRPr="003665B7">
        <w:rPr>
          <w:rFonts w:cs="Times New Roman"/>
          <w:i/>
          <w:szCs w:val="24"/>
        </w:rPr>
        <w:t>Develop Portfolio</w:t>
      </w:r>
    </w:p>
    <w:p w:rsidR="00861BBA" w:rsidRPr="003665B7" w:rsidRDefault="00861BBA" w:rsidP="00861BBA">
      <w:pPr>
        <w:pStyle w:val="ListParagraph"/>
        <w:numPr>
          <w:ilvl w:val="0"/>
          <w:numId w:val="65"/>
        </w:numPr>
        <w:spacing w:after="160" w:line="259" w:lineRule="auto"/>
        <w:jc w:val="left"/>
        <w:rPr>
          <w:rFonts w:cs="Times New Roman"/>
          <w:i/>
          <w:szCs w:val="24"/>
        </w:rPr>
      </w:pPr>
      <w:r w:rsidRPr="003665B7">
        <w:rPr>
          <w:rFonts w:cs="Times New Roman"/>
          <w:i/>
          <w:szCs w:val="24"/>
        </w:rPr>
        <w:t>Implement programs</w:t>
      </w:r>
    </w:p>
    <w:p w:rsidR="00861BBA" w:rsidRPr="003665B7" w:rsidRDefault="00861BBA" w:rsidP="00861BBA">
      <w:pPr>
        <w:pStyle w:val="ListParagraph"/>
        <w:numPr>
          <w:ilvl w:val="0"/>
          <w:numId w:val="65"/>
        </w:numPr>
        <w:spacing w:after="160" w:line="259" w:lineRule="auto"/>
        <w:jc w:val="left"/>
        <w:rPr>
          <w:rFonts w:cs="Times New Roman"/>
          <w:i/>
          <w:szCs w:val="24"/>
        </w:rPr>
      </w:pPr>
      <w:r w:rsidRPr="003665B7">
        <w:rPr>
          <w:rFonts w:cs="Times New Roman"/>
          <w:i/>
          <w:szCs w:val="24"/>
        </w:rPr>
        <w:t>Adaptively manage</w:t>
      </w:r>
    </w:p>
    <w:p w:rsidR="00861BBA" w:rsidRDefault="00861BBA" w:rsidP="00861BBA">
      <w:pPr>
        <w:rPr>
          <w:rFonts w:cs="Times New Roman"/>
          <w:szCs w:val="24"/>
        </w:rPr>
      </w:pPr>
      <w:r w:rsidRPr="003665B7">
        <w:rPr>
          <w:rFonts w:cs="Times New Roman"/>
          <w:i/>
          <w:szCs w:val="24"/>
        </w:rPr>
        <w:t>Identify potential</w:t>
      </w:r>
      <w:r>
        <w:rPr>
          <w:rFonts w:cs="Times New Roman"/>
          <w:szCs w:val="24"/>
        </w:rPr>
        <w:t xml:space="preserve"> is further defined as: </w:t>
      </w:r>
      <w:r w:rsidRPr="003665B7">
        <w:rPr>
          <w:rFonts w:cs="Times New Roman"/>
          <w:i/>
          <w:szCs w:val="24"/>
        </w:rPr>
        <w:t>Identify the cost-effective, reliable and feasible potential of possible technologies and conservation measures in the utility’s service territory</w:t>
      </w:r>
      <w:r w:rsidRPr="001F6211">
        <w:rPr>
          <w:rStyle w:val="FootnoteReference"/>
          <w:rFonts w:cs="Times New Roman"/>
          <w:szCs w:val="24"/>
        </w:rPr>
        <w:footnoteReference w:id="32"/>
      </w:r>
      <w:r w:rsidRPr="001F6211">
        <w:rPr>
          <w:rFonts w:cs="Times New Roman"/>
          <w:szCs w:val="24"/>
        </w:rPr>
        <w:t xml:space="preserve">. </w:t>
      </w:r>
    </w:p>
    <w:p w:rsidR="00861BBA" w:rsidRPr="001F6211" w:rsidRDefault="00861BBA" w:rsidP="00861BBA">
      <w:pPr>
        <w:rPr>
          <w:rFonts w:cs="Times New Roman"/>
          <w:szCs w:val="24"/>
        </w:rPr>
      </w:pPr>
    </w:p>
    <w:p w:rsidR="00861BBA" w:rsidRDefault="00861BBA" w:rsidP="00861BBA">
      <w:pPr>
        <w:rPr>
          <w:rStyle w:val="Hyperlink"/>
          <w:rFonts w:cs="Times New Roman"/>
          <w:szCs w:val="24"/>
          <w:lang w:val="en"/>
        </w:rPr>
      </w:pPr>
      <w:r w:rsidRPr="001F6211">
        <w:rPr>
          <w:rFonts w:cs="Times New Roman"/>
          <w:color w:val="252525"/>
          <w:szCs w:val="24"/>
          <w:lang w:val="en"/>
        </w:rPr>
        <w:t xml:space="preserve">As part of the 2015 IRP process, Navigant Consulting, Inc. prepared </w:t>
      </w:r>
      <w:r>
        <w:rPr>
          <w:rFonts w:cs="Times New Roman"/>
          <w:color w:val="252525"/>
          <w:szCs w:val="24"/>
          <w:lang w:val="en"/>
        </w:rPr>
        <w:t xml:space="preserve">a </w:t>
      </w:r>
      <w:r w:rsidRPr="001F6211">
        <w:rPr>
          <w:rFonts w:cs="Times New Roman"/>
          <w:color w:val="252525"/>
          <w:szCs w:val="24"/>
          <w:lang w:val="en"/>
        </w:rPr>
        <w:t xml:space="preserve">Distributed Generation Resource Assessment for Long-term Planning Study on behalf of PacifiCorp. This study provided information </w:t>
      </w:r>
      <w:r>
        <w:rPr>
          <w:rFonts w:cs="Times New Roman"/>
          <w:color w:val="252525"/>
          <w:szCs w:val="24"/>
          <w:lang w:val="en"/>
        </w:rPr>
        <w:t xml:space="preserve">on </w:t>
      </w:r>
      <w:r w:rsidR="002E6CC8">
        <w:rPr>
          <w:rFonts w:cs="Times New Roman"/>
          <w:color w:val="252525"/>
          <w:szCs w:val="24"/>
          <w:lang w:val="en"/>
        </w:rPr>
        <w:t xml:space="preserve">DG </w:t>
      </w:r>
      <w:r w:rsidRPr="001F6211">
        <w:rPr>
          <w:rFonts w:cs="Times New Roman"/>
          <w:color w:val="252525"/>
          <w:szCs w:val="24"/>
          <w:lang w:val="en"/>
        </w:rPr>
        <w:t>resource penetration forecasts by state and projected the level of distributed resources PacifiCorp’s customers might ins</w:t>
      </w:r>
      <w:r>
        <w:rPr>
          <w:rFonts w:cs="Times New Roman"/>
          <w:color w:val="252525"/>
          <w:szCs w:val="24"/>
          <w:lang w:val="en"/>
        </w:rPr>
        <w:t xml:space="preserve">tall over the next twenty years. The report is available at </w:t>
      </w:r>
      <w:hyperlink r:id="rId28" w:history="1">
        <w:r w:rsidRPr="00FB1FAF">
          <w:rPr>
            <w:rStyle w:val="Hyperlink"/>
            <w:rFonts w:cs="Times New Roman"/>
            <w:szCs w:val="24"/>
            <w:lang w:val="en"/>
          </w:rPr>
          <w:t>http://www.pacificorp.com/es/irp/irpsupport.html</w:t>
        </w:r>
      </w:hyperlink>
      <w:r w:rsidR="00197816" w:rsidRPr="00197816">
        <w:rPr>
          <w:rStyle w:val="Hyperlink"/>
          <w:rFonts w:cs="Times New Roman"/>
          <w:szCs w:val="24"/>
          <w:u w:val="none"/>
          <w:lang w:val="en"/>
        </w:rPr>
        <w:t xml:space="preserve"> </w:t>
      </w:r>
      <w:r w:rsidR="00197816" w:rsidRPr="00197816">
        <w:rPr>
          <w:rStyle w:val="Hyperlink"/>
          <w:rFonts w:cs="Times New Roman"/>
          <w:color w:val="auto"/>
          <w:szCs w:val="24"/>
          <w:u w:val="none"/>
          <w:lang w:val="en"/>
        </w:rPr>
        <w:t xml:space="preserve">and is included as Appendix 12 to this report. </w:t>
      </w:r>
    </w:p>
    <w:p w:rsidR="00197816" w:rsidRDefault="00197816" w:rsidP="00861BBA">
      <w:pPr>
        <w:rPr>
          <w:rFonts w:cs="Times New Roman"/>
          <w:color w:val="252525"/>
          <w:szCs w:val="24"/>
          <w:lang w:val="en"/>
        </w:rPr>
      </w:pPr>
    </w:p>
    <w:p w:rsidR="00861BBA" w:rsidRDefault="00861BBA" w:rsidP="00861BBA">
      <w:pPr>
        <w:rPr>
          <w:rFonts w:cs="Times New Roman"/>
          <w:i/>
          <w:szCs w:val="24"/>
        </w:rPr>
      </w:pPr>
      <w:r w:rsidRPr="001F6211">
        <w:rPr>
          <w:rFonts w:cs="Times New Roman"/>
          <w:szCs w:val="24"/>
        </w:rPr>
        <w:t>Navigant evaluated five D</w:t>
      </w:r>
      <w:r w:rsidR="002E6CC8">
        <w:rPr>
          <w:rFonts w:cs="Times New Roman"/>
          <w:szCs w:val="24"/>
        </w:rPr>
        <w:t xml:space="preserve">G </w:t>
      </w:r>
      <w:r w:rsidRPr="001F6211">
        <w:rPr>
          <w:rFonts w:cs="Times New Roman"/>
          <w:szCs w:val="24"/>
        </w:rPr>
        <w:t xml:space="preserve">resources in detail in the report. Two of the resources evaluated, combined heat and power </w:t>
      </w:r>
      <w:r w:rsidR="00197816">
        <w:rPr>
          <w:rFonts w:cs="Times New Roman"/>
          <w:szCs w:val="24"/>
        </w:rPr>
        <w:t xml:space="preserve">(“CHP”) </w:t>
      </w:r>
      <w:r w:rsidRPr="001F6211">
        <w:rPr>
          <w:rFonts w:cs="Times New Roman"/>
          <w:szCs w:val="24"/>
        </w:rPr>
        <w:t xml:space="preserve">reciprocating engines and </w:t>
      </w:r>
      <w:r w:rsidR="00197816">
        <w:rPr>
          <w:rFonts w:cs="Times New Roman"/>
          <w:szCs w:val="24"/>
        </w:rPr>
        <w:t>CHP</w:t>
      </w:r>
      <w:r w:rsidRPr="001F6211">
        <w:rPr>
          <w:rFonts w:cs="Times New Roman"/>
          <w:szCs w:val="24"/>
        </w:rPr>
        <w:t xml:space="preserve"> micro turbines meet the </w:t>
      </w:r>
      <w:r>
        <w:rPr>
          <w:rFonts w:cs="Times New Roman"/>
          <w:szCs w:val="24"/>
        </w:rPr>
        <w:t xml:space="preserve">WAC </w:t>
      </w:r>
      <w:r w:rsidRPr="001F6211">
        <w:rPr>
          <w:rFonts w:cs="Times New Roman"/>
          <w:szCs w:val="24"/>
        </w:rPr>
        <w:t>definition of high-efficiency cogeneration…. “</w:t>
      </w:r>
      <w:r w:rsidRPr="001F6211">
        <w:rPr>
          <w:rFonts w:cs="Times New Roman"/>
          <w:i/>
          <w:szCs w:val="24"/>
        </w:rPr>
        <w:t>High-efficiency cogeneration” means the sequential production of electricity and useful thermal energy from a common fuel source….</w:t>
      </w:r>
      <w:r w:rsidRPr="001F6211">
        <w:rPr>
          <w:rStyle w:val="FootnoteReference"/>
          <w:rFonts w:cs="Times New Roman"/>
          <w:szCs w:val="24"/>
        </w:rPr>
        <w:footnoteReference w:id="33"/>
      </w:r>
      <w:r w:rsidRPr="001F6211">
        <w:rPr>
          <w:rFonts w:cs="Times New Roman"/>
          <w:i/>
          <w:szCs w:val="24"/>
        </w:rPr>
        <w:t xml:space="preserve"> </w:t>
      </w:r>
    </w:p>
    <w:p w:rsidR="00861BBA" w:rsidRDefault="00861BBA" w:rsidP="00861BBA">
      <w:pPr>
        <w:rPr>
          <w:rFonts w:cs="Times New Roman"/>
          <w:i/>
          <w:szCs w:val="24"/>
        </w:rPr>
      </w:pPr>
    </w:p>
    <w:p w:rsidR="00861BBA" w:rsidRDefault="00861BBA" w:rsidP="00861BBA">
      <w:pPr>
        <w:rPr>
          <w:rFonts w:cs="Times New Roman"/>
          <w:szCs w:val="24"/>
        </w:rPr>
      </w:pPr>
      <w:r w:rsidRPr="001F6211">
        <w:rPr>
          <w:rFonts w:cs="Times New Roman"/>
          <w:szCs w:val="24"/>
        </w:rPr>
        <w:t>The process to identify the potential for these resources is described on page 5-1</w:t>
      </w:r>
      <w:r>
        <w:rPr>
          <w:rFonts w:cs="Times New Roman"/>
          <w:szCs w:val="24"/>
        </w:rPr>
        <w:t xml:space="preserve"> of the Navigant study</w:t>
      </w:r>
      <w:r w:rsidRPr="001F6211">
        <w:rPr>
          <w:rFonts w:cs="Times New Roman"/>
          <w:szCs w:val="24"/>
        </w:rPr>
        <w:t xml:space="preserve">. </w:t>
      </w:r>
      <w:r>
        <w:rPr>
          <w:rFonts w:cs="Times New Roman"/>
          <w:szCs w:val="24"/>
        </w:rPr>
        <w:t>Three market penetration scenarios (low, base, and high) were developed for each resource and are described on page 5-13</w:t>
      </w:r>
      <w:r w:rsidR="00963CC2">
        <w:rPr>
          <w:rFonts w:cs="Times New Roman"/>
          <w:szCs w:val="24"/>
        </w:rPr>
        <w:t xml:space="preserve"> of the study</w:t>
      </w:r>
      <w:r>
        <w:rPr>
          <w:rFonts w:cs="Times New Roman"/>
          <w:szCs w:val="24"/>
        </w:rPr>
        <w:t>. In the 2015 IRP, distributed generation resources are treated as a reduction to load</w:t>
      </w:r>
      <w:r>
        <w:rPr>
          <w:rStyle w:val="FootnoteReference"/>
          <w:rFonts w:cs="Times New Roman"/>
          <w:szCs w:val="24"/>
        </w:rPr>
        <w:footnoteReference w:id="34"/>
      </w:r>
      <w:r>
        <w:rPr>
          <w:rFonts w:cs="Times New Roman"/>
          <w:szCs w:val="24"/>
        </w:rPr>
        <w:t xml:space="preserve">.  The 2015 IRP used the base case assumptions for analysis of the core cases and in its resource needs assessment. </w:t>
      </w:r>
      <w:r>
        <w:rPr>
          <w:rStyle w:val="FootnoteReference"/>
          <w:rFonts w:cs="Times New Roman"/>
          <w:szCs w:val="24"/>
        </w:rPr>
        <w:footnoteReference w:id="35"/>
      </w:r>
    </w:p>
    <w:p w:rsidR="00861BBA" w:rsidRDefault="00861BBA" w:rsidP="00861BBA">
      <w:pPr>
        <w:rPr>
          <w:rFonts w:cs="Times New Roman"/>
          <w:szCs w:val="24"/>
        </w:rPr>
      </w:pPr>
    </w:p>
    <w:p w:rsidR="00861BBA" w:rsidRPr="002760B1" w:rsidRDefault="00861BBA" w:rsidP="00861BBA">
      <w:pPr>
        <w:rPr>
          <w:rFonts w:cs="Times New Roman"/>
          <w:szCs w:val="24"/>
        </w:rPr>
      </w:pPr>
      <w:r w:rsidRPr="001F6211">
        <w:rPr>
          <w:rFonts w:cs="Times New Roman"/>
          <w:szCs w:val="24"/>
        </w:rPr>
        <w:t>Specific information on the poten</w:t>
      </w:r>
      <w:r>
        <w:rPr>
          <w:rFonts w:cs="Times New Roman"/>
          <w:szCs w:val="24"/>
        </w:rPr>
        <w:t xml:space="preserve">tial for the base case scenarios for the two CHP measures for Washington can be found on pages 6-15 and 6-16 </w:t>
      </w:r>
      <w:r w:rsidR="00963CC2">
        <w:rPr>
          <w:rFonts w:cs="Times New Roman"/>
          <w:szCs w:val="24"/>
        </w:rPr>
        <w:t xml:space="preserve">of the Navigant study </w:t>
      </w:r>
      <w:r>
        <w:rPr>
          <w:rFonts w:cs="Times New Roman"/>
          <w:szCs w:val="24"/>
        </w:rPr>
        <w:t xml:space="preserve">and is zero. Since the reliable and feasible potential for these resources is zero, the utility is not obligated to acquire such a resource or include it in its conservation portfolio. </w:t>
      </w:r>
      <w:r>
        <w:rPr>
          <w:rStyle w:val="FootnoteReference"/>
          <w:rFonts w:cs="Times New Roman"/>
          <w:szCs w:val="24"/>
        </w:rPr>
        <w:footnoteReference w:id="36"/>
      </w:r>
      <w:r>
        <w:rPr>
          <w:rFonts w:cs="Times New Roman"/>
          <w:szCs w:val="24"/>
        </w:rPr>
        <w:t xml:space="preserve"> </w:t>
      </w:r>
      <w:r w:rsidR="0049641B">
        <w:rPr>
          <w:szCs w:val="24"/>
        </w:rPr>
        <w:t>These findings and conclusions were shared with the Company’s Washington DSM Advisory Group at the September 15, 2015, teleconference.</w:t>
      </w:r>
    </w:p>
    <w:p w:rsidR="003E2B5D" w:rsidRDefault="003E2B5D" w:rsidP="00D0297B">
      <w:pPr>
        <w:autoSpaceDE w:val="0"/>
        <w:autoSpaceDN w:val="0"/>
        <w:rPr>
          <w:rFonts w:cs="Times New Roman"/>
          <w:b/>
          <w:szCs w:val="24"/>
        </w:rPr>
      </w:pPr>
    </w:p>
    <w:p w:rsidR="00275946" w:rsidRDefault="00275946" w:rsidP="00D0297B">
      <w:pPr>
        <w:autoSpaceDE w:val="0"/>
        <w:autoSpaceDN w:val="0"/>
        <w:rPr>
          <w:rFonts w:cs="Times New Roman"/>
          <w:b/>
          <w:szCs w:val="24"/>
        </w:rPr>
      </w:pPr>
    </w:p>
    <w:p w:rsidR="0030615A" w:rsidRPr="00D0297B" w:rsidRDefault="00F25D54" w:rsidP="00D0297B">
      <w:pPr>
        <w:autoSpaceDE w:val="0"/>
        <w:autoSpaceDN w:val="0"/>
        <w:rPr>
          <w:rFonts w:cs="Times New Roman"/>
          <w:b/>
          <w:szCs w:val="24"/>
        </w:rPr>
      </w:pPr>
      <w:r>
        <w:fldChar w:fldCharType="begin"/>
      </w:r>
      <w:r>
        <w:instrText xml:space="preserve"> REF _Ref370372804 \h  \* MERGEFORMAT </w:instrText>
      </w:r>
      <w:r>
        <w:fldChar w:fldCharType="separate"/>
      </w:r>
      <w:r w:rsidR="00BC2AF1" w:rsidRPr="00C77B38">
        <w:t xml:space="preserve">Table </w:t>
      </w:r>
      <w:r w:rsidR="00BC2AF1">
        <w:t>6</w:t>
      </w:r>
      <w:r>
        <w:fldChar w:fldCharType="end"/>
      </w:r>
      <w:r w:rsidR="006C2BF7">
        <w:t xml:space="preserve"> </w:t>
      </w:r>
      <w:r w:rsidR="006C2BF7" w:rsidRPr="0030615A">
        <w:t xml:space="preserve">provides the </w:t>
      </w:r>
      <w:r w:rsidR="006C2BF7">
        <w:t>energy efficiency, distribution efficiency, production efficiency and</w:t>
      </w:r>
      <w:r w:rsidR="003E2B5D">
        <w:t xml:space="preserve"> high-efficiency cogeneration </w:t>
      </w:r>
      <w:r w:rsidR="006C2BF7">
        <w:t>aggregate ten-year conservation forecast</w:t>
      </w:r>
      <w:r w:rsidR="00387046">
        <w:t xml:space="preserve"> net of all adjustments except the impact of NEEA initiatives in the 2016 and 2017 calendar years</w:t>
      </w:r>
      <w:r w:rsidR="006C2BF7">
        <w:t xml:space="preserve">. </w:t>
      </w:r>
      <w:r w:rsidR="00431A60">
        <w:t>As shown</w:t>
      </w:r>
      <w:r w:rsidR="00963CC2">
        <w:t xml:space="preserve"> in the table</w:t>
      </w:r>
      <w:r w:rsidR="00431A60">
        <w:t xml:space="preserve">, the ten-year conservation forecast is </w:t>
      </w:r>
      <w:r w:rsidR="00226928" w:rsidRPr="00226928">
        <w:t>457,530</w:t>
      </w:r>
      <w:r w:rsidR="00431A60" w:rsidRPr="00226928">
        <w:rPr>
          <w:b/>
        </w:rPr>
        <w:t xml:space="preserve"> MWh</w:t>
      </w:r>
      <w:r w:rsidR="00275946">
        <w:rPr>
          <w:b/>
        </w:rPr>
        <w:t>.</w:t>
      </w:r>
    </w:p>
    <w:p w:rsidR="0030615A" w:rsidRPr="0030615A" w:rsidRDefault="0030615A" w:rsidP="0030615A">
      <w:pPr>
        <w:sectPr w:rsidR="0030615A" w:rsidRPr="0030615A" w:rsidSect="007602EE">
          <w:pgSz w:w="12240" w:h="15840" w:code="1"/>
          <w:pgMar w:top="1440" w:right="1440" w:bottom="1440" w:left="1440" w:header="720" w:footer="720" w:gutter="0"/>
          <w:cols w:space="720"/>
          <w:docGrid w:linePitch="360"/>
        </w:sectPr>
      </w:pPr>
    </w:p>
    <w:p w:rsidR="00670B9D" w:rsidRPr="00C77B38" w:rsidRDefault="00670B9D" w:rsidP="00C77B38">
      <w:pPr>
        <w:pStyle w:val="Caption"/>
      </w:pPr>
      <w:bookmarkStart w:id="24" w:name="_Ref370372804"/>
      <w:bookmarkStart w:id="25" w:name="_Toc430706308"/>
      <w:r w:rsidRPr="00C77B38">
        <w:t xml:space="preserve">Table </w:t>
      </w:r>
      <w:r w:rsidR="003264B1" w:rsidRPr="00C77B38">
        <w:fldChar w:fldCharType="begin"/>
      </w:r>
      <w:r w:rsidRPr="00C77B38">
        <w:instrText xml:space="preserve"> SEQ Table \* ARABIC </w:instrText>
      </w:r>
      <w:r w:rsidR="003264B1" w:rsidRPr="00C77B38">
        <w:fldChar w:fldCharType="separate"/>
      </w:r>
      <w:r w:rsidR="00BC2AF1">
        <w:rPr>
          <w:noProof/>
        </w:rPr>
        <w:t>6</w:t>
      </w:r>
      <w:r w:rsidR="003264B1" w:rsidRPr="00C77B38">
        <w:fldChar w:fldCharType="end"/>
      </w:r>
      <w:bookmarkEnd w:id="24"/>
      <w:r w:rsidR="00220638" w:rsidRPr="00C77B38">
        <w:t xml:space="preserve">: </w:t>
      </w:r>
      <w:r w:rsidRPr="00C77B38">
        <w:t>201</w:t>
      </w:r>
      <w:r w:rsidR="003E2B5D" w:rsidRPr="00C77B38">
        <w:t>6</w:t>
      </w:r>
      <w:r w:rsidR="00B96D49" w:rsidRPr="00C77B38">
        <w:t>-</w:t>
      </w:r>
      <w:r w:rsidRPr="00C77B38">
        <w:t>202</w:t>
      </w:r>
      <w:r w:rsidR="003E2B5D" w:rsidRPr="00C77B38">
        <w:t>5</w:t>
      </w:r>
      <w:r w:rsidRPr="00C77B38">
        <w:t xml:space="preserve"> Annual and Ten-Year </w:t>
      </w:r>
      <w:r w:rsidR="007E6A8D" w:rsidRPr="00C77B38">
        <w:t xml:space="preserve">Conservation </w:t>
      </w:r>
      <w:r w:rsidR="002C1CA0" w:rsidRPr="00C77B38">
        <w:t>Forecast</w:t>
      </w:r>
      <w:bookmarkEnd w:id="25"/>
    </w:p>
    <w:p w:rsidR="00387046" w:rsidRDefault="00387046" w:rsidP="00670B9D">
      <w:pPr>
        <w:jc w:val="center"/>
        <w:rPr>
          <w:rFonts w:cs="Times New Roman"/>
          <w:b/>
          <w:szCs w:val="24"/>
        </w:rPr>
      </w:pPr>
    </w:p>
    <w:p w:rsidR="003434CA" w:rsidRDefault="00387046" w:rsidP="00670B9D">
      <w:pPr>
        <w:jc w:val="center"/>
        <w:rPr>
          <w:rFonts w:cs="Times New Roman"/>
          <w:b/>
          <w:szCs w:val="24"/>
        </w:rPr>
      </w:pPr>
      <w:r w:rsidRPr="003434CA">
        <w:rPr>
          <w:noProof/>
        </w:rPr>
        <w:drawing>
          <wp:inline distT="0" distB="0" distL="0" distR="0" wp14:anchorId="54F0CFDB" wp14:editId="3562E43E">
            <wp:extent cx="5806121" cy="1006992"/>
            <wp:effectExtent l="0" t="0" r="4445"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807550" cy="1007240"/>
                    </a:xfrm>
                    <a:prstGeom prst="rect">
                      <a:avLst/>
                    </a:prstGeom>
                    <a:noFill/>
                    <a:ln>
                      <a:noFill/>
                    </a:ln>
                  </pic:spPr>
                </pic:pic>
              </a:graphicData>
            </a:graphic>
          </wp:inline>
        </w:drawing>
      </w:r>
    </w:p>
    <w:p w:rsidR="003434CA" w:rsidRDefault="003434CA" w:rsidP="00670B9D">
      <w:pPr>
        <w:jc w:val="center"/>
        <w:rPr>
          <w:rFonts w:cs="Times New Roman"/>
          <w:b/>
          <w:szCs w:val="24"/>
        </w:rPr>
      </w:pPr>
    </w:p>
    <w:p w:rsidR="003434CA" w:rsidRDefault="003434CA" w:rsidP="00670B9D">
      <w:pPr>
        <w:jc w:val="center"/>
        <w:rPr>
          <w:rFonts w:cs="Times New Roman"/>
          <w:b/>
          <w:szCs w:val="24"/>
        </w:rPr>
      </w:pPr>
    </w:p>
    <w:p w:rsidR="00B74FFD" w:rsidRPr="00432C28" w:rsidRDefault="00226928" w:rsidP="00F20A50">
      <w:pPr>
        <w:pStyle w:val="Heading2"/>
        <w:spacing w:before="0"/>
        <w:rPr>
          <w:rFonts w:cs="Times New Roman"/>
          <w:szCs w:val="24"/>
        </w:rPr>
      </w:pPr>
      <w:bookmarkStart w:id="26" w:name="_Toc431301348"/>
      <w:r>
        <w:rPr>
          <w:rFonts w:cs="Times New Roman"/>
          <w:szCs w:val="24"/>
        </w:rPr>
        <w:t xml:space="preserve">2016-2017 </w:t>
      </w:r>
      <w:r w:rsidR="00B4294E">
        <w:rPr>
          <w:rFonts w:cs="Times New Roman"/>
          <w:szCs w:val="24"/>
        </w:rPr>
        <w:t xml:space="preserve">Biennial </w:t>
      </w:r>
      <w:r w:rsidR="000E5C89" w:rsidRPr="00432C28">
        <w:rPr>
          <w:rFonts w:cs="Times New Roman"/>
          <w:szCs w:val="24"/>
        </w:rPr>
        <w:t>Conservation Target</w:t>
      </w:r>
      <w:bookmarkEnd w:id="26"/>
    </w:p>
    <w:p w:rsidR="00B74FFD" w:rsidRPr="00432C28" w:rsidRDefault="00B74FFD" w:rsidP="00B74FFD">
      <w:pPr>
        <w:rPr>
          <w:rFonts w:cs="Times New Roman"/>
          <w:szCs w:val="24"/>
        </w:rPr>
      </w:pPr>
    </w:p>
    <w:p w:rsidR="00B74FFD" w:rsidRPr="00432C28" w:rsidRDefault="000E5C89" w:rsidP="00B74FFD">
      <w:pPr>
        <w:rPr>
          <w:rFonts w:cs="Times New Roman"/>
          <w:i/>
          <w:szCs w:val="24"/>
        </w:rPr>
      </w:pPr>
      <w:r w:rsidRPr="00432C28">
        <w:rPr>
          <w:rFonts w:cs="Times New Roman"/>
          <w:i/>
          <w:szCs w:val="24"/>
        </w:rPr>
        <w:t>Conservation Target</w:t>
      </w:r>
    </w:p>
    <w:p w:rsidR="00B74FFD" w:rsidRPr="00432C28" w:rsidRDefault="00B74FFD" w:rsidP="00B74FFD">
      <w:pPr>
        <w:rPr>
          <w:rFonts w:cs="Times New Roman"/>
          <w:szCs w:val="24"/>
        </w:rPr>
      </w:pPr>
    </w:p>
    <w:p w:rsidR="00B74FFD" w:rsidRPr="00432C28" w:rsidRDefault="00B74FFD" w:rsidP="00B74FFD">
      <w:pPr>
        <w:rPr>
          <w:rFonts w:cs="Times New Roman"/>
          <w:szCs w:val="24"/>
          <w:u w:val="single"/>
        </w:rPr>
      </w:pPr>
      <w:r w:rsidRPr="00432C28">
        <w:rPr>
          <w:rFonts w:cs="Times New Roman"/>
          <w:szCs w:val="24"/>
        </w:rPr>
        <w:t>PacifiCorp’s biennial conservation target for 201</w:t>
      </w:r>
      <w:r w:rsidR="005B4710">
        <w:rPr>
          <w:rFonts w:cs="Times New Roman"/>
          <w:szCs w:val="24"/>
        </w:rPr>
        <w:t>6</w:t>
      </w:r>
      <w:r w:rsidRPr="00432C28">
        <w:rPr>
          <w:rFonts w:cs="Times New Roman"/>
          <w:szCs w:val="24"/>
        </w:rPr>
        <w:t xml:space="preserve"> and </w:t>
      </w:r>
      <w:r w:rsidRPr="00684A81">
        <w:rPr>
          <w:rFonts w:cs="Times New Roman"/>
          <w:szCs w:val="24"/>
        </w:rPr>
        <w:t>201</w:t>
      </w:r>
      <w:r w:rsidR="005B4710" w:rsidRPr="00684A81">
        <w:rPr>
          <w:rFonts w:cs="Times New Roman"/>
          <w:szCs w:val="24"/>
        </w:rPr>
        <w:t>7</w:t>
      </w:r>
      <w:r w:rsidRPr="00684A81">
        <w:rPr>
          <w:rFonts w:cs="Times New Roman"/>
          <w:szCs w:val="24"/>
        </w:rPr>
        <w:t xml:space="preserve"> is </w:t>
      </w:r>
      <w:r w:rsidR="00684A81" w:rsidRPr="00226928">
        <w:rPr>
          <w:rFonts w:cs="Times New Roman"/>
          <w:b/>
          <w:szCs w:val="24"/>
        </w:rPr>
        <w:t>87,814</w:t>
      </w:r>
      <w:r w:rsidR="003228B8" w:rsidRPr="00226928">
        <w:rPr>
          <w:b/>
          <w:bCs/>
          <w:color w:val="000000"/>
          <w:sz w:val="20"/>
          <w:szCs w:val="20"/>
        </w:rPr>
        <w:t xml:space="preserve"> </w:t>
      </w:r>
      <w:r w:rsidR="0039481C" w:rsidRPr="00226928">
        <w:rPr>
          <w:rFonts w:cs="Times New Roman"/>
          <w:b/>
          <w:szCs w:val="24"/>
        </w:rPr>
        <w:t>MWh</w:t>
      </w:r>
      <w:r w:rsidRPr="00684A81">
        <w:rPr>
          <w:rStyle w:val="FootnoteReference"/>
          <w:rFonts w:cs="Times New Roman"/>
          <w:szCs w:val="24"/>
        </w:rPr>
        <w:footnoteReference w:id="37"/>
      </w:r>
      <w:r w:rsidR="00167EB3" w:rsidRPr="00684A81">
        <w:rPr>
          <w:rFonts w:cs="Times New Roman"/>
          <w:szCs w:val="24"/>
        </w:rPr>
        <w:t xml:space="preserve"> and</w:t>
      </w:r>
      <w:r w:rsidR="00167EB3">
        <w:rPr>
          <w:rFonts w:cs="Times New Roman"/>
          <w:szCs w:val="24"/>
        </w:rPr>
        <w:t xml:space="preserve"> represents the sum of the first two years of the adjusted ten-year conservation forecast </w:t>
      </w:r>
      <w:r w:rsidR="00226928">
        <w:rPr>
          <w:rFonts w:cs="Times New Roman"/>
          <w:szCs w:val="24"/>
        </w:rPr>
        <w:t xml:space="preserve">after </w:t>
      </w:r>
      <w:r w:rsidR="00167EB3">
        <w:rPr>
          <w:rFonts w:cs="Times New Roman"/>
          <w:szCs w:val="24"/>
        </w:rPr>
        <w:t xml:space="preserve">an adjustment to remove the forecasted impacts of NEEA initiatives.  </w:t>
      </w:r>
      <w:r w:rsidR="00AC499E" w:rsidRPr="00432C28">
        <w:rPr>
          <w:rFonts w:cs="Times New Roman"/>
          <w:szCs w:val="24"/>
        </w:rPr>
        <w:t xml:space="preserve">The </w:t>
      </w:r>
      <w:r w:rsidR="008C1100">
        <w:rPr>
          <w:rFonts w:cs="Times New Roman"/>
          <w:szCs w:val="24"/>
        </w:rPr>
        <w:t>biennial target</w:t>
      </w:r>
      <w:r w:rsidR="00AC499E" w:rsidRPr="00432C28">
        <w:rPr>
          <w:rFonts w:cs="Times New Roman"/>
          <w:szCs w:val="24"/>
        </w:rPr>
        <w:t xml:space="preserve"> </w:t>
      </w:r>
      <w:r w:rsidR="00084008">
        <w:rPr>
          <w:rFonts w:cs="Times New Roman"/>
          <w:szCs w:val="24"/>
        </w:rPr>
        <w:t xml:space="preserve">before the NEEA adjustment </w:t>
      </w:r>
      <w:r w:rsidR="00AC499E" w:rsidRPr="00305149">
        <w:rPr>
          <w:rFonts w:cs="Times New Roman"/>
          <w:szCs w:val="24"/>
        </w:rPr>
        <w:t xml:space="preserve">represents </w:t>
      </w:r>
      <w:r w:rsidR="00084008">
        <w:rPr>
          <w:rFonts w:cs="Times New Roman"/>
          <w:szCs w:val="24"/>
        </w:rPr>
        <w:t>just over 20</w:t>
      </w:r>
      <w:r w:rsidR="00AC499E" w:rsidRPr="00305149">
        <w:rPr>
          <w:rFonts w:cs="Times New Roman"/>
          <w:szCs w:val="24"/>
        </w:rPr>
        <w:t xml:space="preserve"> percent</w:t>
      </w:r>
      <w:r w:rsidR="00D93A9F">
        <w:rPr>
          <w:rStyle w:val="FootnoteReference"/>
          <w:rFonts w:cs="Times New Roman"/>
          <w:szCs w:val="24"/>
        </w:rPr>
        <w:footnoteReference w:id="38"/>
      </w:r>
      <w:r w:rsidR="00AC499E" w:rsidRPr="00305149">
        <w:rPr>
          <w:rFonts w:cs="Times New Roman"/>
          <w:szCs w:val="24"/>
        </w:rPr>
        <w:t xml:space="preserve"> of PacifiCorp’s</w:t>
      </w:r>
      <w:r w:rsidR="00AC499E" w:rsidRPr="00432C28">
        <w:rPr>
          <w:rFonts w:cs="Times New Roman"/>
          <w:szCs w:val="24"/>
        </w:rPr>
        <w:t xml:space="preserve"> </w:t>
      </w:r>
      <w:r w:rsidR="008C1100">
        <w:rPr>
          <w:rFonts w:cs="Times New Roman"/>
          <w:szCs w:val="24"/>
        </w:rPr>
        <w:t>201</w:t>
      </w:r>
      <w:r w:rsidR="005B4710">
        <w:rPr>
          <w:rFonts w:cs="Times New Roman"/>
          <w:szCs w:val="24"/>
        </w:rPr>
        <w:t>6</w:t>
      </w:r>
      <w:r w:rsidR="008C1100">
        <w:rPr>
          <w:rFonts w:cs="Times New Roman"/>
          <w:szCs w:val="24"/>
        </w:rPr>
        <w:t>-20</w:t>
      </w:r>
      <w:r w:rsidR="00EA4D58">
        <w:rPr>
          <w:rFonts w:cs="Times New Roman"/>
          <w:szCs w:val="24"/>
        </w:rPr>
        <w:t>25</w:t>
      </w:r>
      <w:r w:rsidR="008C1100">
        <w:rPr>
          <w:rFonts w:cs="Times New Roman"/>
          <w:szCs w:val="24"/>
        </w:rPr>
        <w:t xml:space="preserve"> </w:t>
      </w:r>
      <w:r w:rsidR="00AC499E" w:rsidRPr="00432C28">
        <w:rPr>
          <w:rFonts w:cs="Times New Roman"/>
          <w:szCs w:val="24"/>
        </w:rPr>
        <w:t>ten-year conservation potential forecast</w:t>
      </w:r>
      <w:r w:rsidR="008C1100">
        <w:rPr>
          <w:rFonts w:cs="Times New Roman"/>
          <w:szCs w:val="24"/>
        </w:rPr>
        <w:t>.</w:t>
      </w:r>
    </w:p>
    <w:p w:rsidR="00D5329F" w:rsidRDefault="00D5329F" w:rsidP="00B74FFD">
      <w:pPr>
        <w:rPr>
          <w:rFonts w:cs="Times New Roman"/>
          <w:i/>
          <w:szCs w:val="24"/>
        </w:rPr>
      </w:pPr>
    </w:p>
    <w:p w:rsidR="00167EB3" w:rsidRDefault="00167EB3" w:rsidP="00B74FFD">
      <w:pPr>
        <w:rPr>
          <w:rFonts w:cs="Times New Roman"/>
          <w:i/>
          <w:szCs w:val="24"/>
        </w:rPr>
      </w:pPr>
    </w:p>
    <w:p w:rsidR="00167EB3" w:rsidRPr="00C77B38" w:rsidRDefault="00167EB3" w:rsidP="00C77B38">
      <w:pPr>
        <w:pStyle w:val="Caption"/>
      </w:pPr>
      <w:bookmarkStart w:id="27" w:name="_Toc430706309"/>
      <w:r w:rsidRPr="00C77B38">
        <w:t xml:space="preserve">Table </w:t>
      </w:r>
      <w:fldSimple w:instr=" SEQ Table \* ARABIC ">
        <w:r w:rsidR="00BC2AF1">
          <w:rPr>
            <w:noProof/>
          </w:rPr>
          <w:t>7</w:t>
        </w:r>
      </w:fldSimple>
      <w:r w:rsidR="00220638" w:rsidRPr="00C77B38">
        <w:t xml:space="preserve">: </w:t>
      </w:r>
      <w:r w:rsidRPr="00C77B38">
        <w:t>2016-2017 Biennial Conservation Target</w:t>
      </w:r>
      <w:bookmarkEnd w:id="27"/>
    </w:p>
    <w:p w:rsidR="00167EB3" w:rsidRPr="00432C28" w:rsidRDefault="00167EB3" w:rsidP="00167EB3">
      <w:pPr>
        <w:jc w:val="center"/>
        <w:rPr>
          <w:rFonts w:cs="Times New Roman"/>
          <w:b/>
          <w:szCs w:val="24"/>
        </w:rPr>
      </w:pPr>
    </w:p>
    <w:tbl>
      <w:tblPr>
        <w:tblW w:w="7088" w:type="dxa"/>
        <w:jc w:val="center"/>
        <w:tblInd w:w="-28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084"/>
        <w:gridCol w:w="900"/>
        <w:gridCol w:w="990"/>
        <w:gridCol w:w="1114"/>
      </w:tblGrid>
      <w:tr w:rsidR="00167EB3" w:rsidRPr="00432C28" w:rsidTr="009961EF">
        <w:trPr>
          <w:trHeight w:val="305"/>
          <w:jc w:val="center"/>
        </w:trPr>
        <w:tc>
          <w:tcPr>
            <w:tcW w:w="4084" w:type="dxa"/>
            <w:tcBorders>
              <w:top w:val="nil"/>
              <w:left w:val="nil"/>
            </w:tcBorders>
            <w:vAlign w:val="center"/>
          </w:tcPr>
          <w:p w:rsidR="00167EB3" w:rsidRPr="00262F0C" w:rsidRDefault="00167EB3" w:rsidP="009961EF">
            <w:pPr>
              <w:jc w:val="center"/>
              <w:rPr>
                <w:rFonts w:eastAsia="Times New Roman" w:cs="Times New Roman"/>
                <w:b/>
                <w:color w:val="000000"/>
                <w:sz w:val="20"/>
                <w:szCs w:val="20"/>
              </w:rPr>
            </w:pPr>
          </w:p>
        </w:tc>
        <w:tc>
          <w:tcPr>
            <w:tcW w:w="3004" w:type="dxa"/>
            <w:gridSpan w:val="3"/>
            <w:vAlign w:val="center"/>
          </w:tcPr>
          <w:p w:rsidR="00167EB3" w:rsidRPr="00262F0C" w:rsidRDefault="00167EB3" w:rsidP="009961EF">
            <w:pPr>
              <w:jc w:val="center"/>
              <w:rPr>
                <w:rFonts w:eastAsia="Times New Roman" w:cs="Times New Roman"/>
                <w:b/>
                <w:color w:val="000000"/>
                <w:sz w:val="20"/>
                <w:szCs w:val="20"/>
              </w:rPr>
            </w:pPr>
            <w:r>
              <w:rPr>
                <w:rFonts w:eastAsia="Times New Roman" w:cs="Times New Roman"/>
                <w:b/>
                <w:color w:val="000000"/>
                <w:sz w:val="20"/>
                <w:szCs w:val="20"/>
              </w:rPr>
              <w:t>MWh</w:t>
            </w:r>
          </w:p>
        </w:tc>
      </w:tr>
      <w:tr w:rsidR="00167EB3" w:rsidRPr="00432C28" w:rsidTr="00226928">
        <w:trPr>
          <w:trHeight w:val="305"/>
          <w:jc w:val="center"/>
        </w:trPr>
        <w:tc>
          <w:tcPr>
            <w:tcW w:w="4084" w:type="dxa"/>
            <w:vAlign w:val="center"/>
          </w:tcPr>
          <w:p w:rsidR="00167EB3" w:rsidRPr="00262F0C" w:rsidRDefault="00167EB3" w:rsidP="009961EF">
            <w:pPr>
              <w:jc w:val="center"/>
              <w:rPr>
                <w:rFonts w:eastAsia="Times New Roman" w:cs="Times New Roman"/>
                <w:b/>
                <w:color w:val="000000"/>
                <w:sz w:val="20"/>
                <w:szCs w:val="20"/>
              </w:rPr>
            </w:pPr>
            <w:r w:rsidRPr="00262F0C">
              <w:rPr>
                <w:rFonts w:eastAsia="Times New Roman" w:cs="Times New Roman"/>
                <w:b/>
                <w:color w:val="000000"/>
                <w:sz w:val="20"/>
                <w:szCs w:val="20"/>
              </w:rPr>
              <w:t>Sector</w:t>
            </w:r>
          </w:p>
        </w:tc>
        <w:tc>
          <w:tcPr>
            <w:tcW w:w="900" w:type="dxa"/>
            <w:vAlign w:val="center"/>
          </w:tcPr>
          <w:p w:rsidR="00167EB3" w:rsidRPr="00262F0C" w:rsidRDefault="00167EB3" w:rsidP="00167EB3">
            <w:pPr>
              <w:jc w:val="center"/>
              <w:rPr>
                <w:rFonts w:eastAsia="Times New Roman" w:cs="Times New Roman"/>
                <w:b/>
                <w:color w:val="000000"/>
                <w:sz w:val="20"/>
                <w:szCs w:val="20"/>
              </w:rPr>
            </w:pPr>
            <w:r w:rsidRPr="00262F0C">
              <w:rPr>
                <w:rFonts w:eastAsia="Times New Roman" w:cs="Times New Roman"/>
                <w:b/>
                <w:color w:val="000000"/>
                <w:sz w:val="20"/>
                <w:szCs w:val="20"/>
              </w:rPr>
              <w:t>201</w:t>
            </w:r>
            <w:r>
              <w:rPr>
                <w:rFonts w:eastAsia="Times New Roman" w:cs="Times New Roman"/>
                <w:b/>
                <w:color w:val="000000"/>
                <w:sz w:val="20"/>
                <w:szCs w:val="20"/>
              </w:rPr>
              <w:t>6</w:t>
            </w:r>
          </w:p>
        </w:tc>
        <w:tc>
          <w:tcPr>
            <w:tcW w:w="990" w:type="dxa"/>
            <w:vAlign w:val="center"/>
          </w:tcPr>
          <w:p w:rsidR="00167EB3" w:rsidRPr="00262F0C" w:rsidRDefault="00167EB3" w:rsidP="00167EB3">
            <w:pPr>
              <w:jc w:val="center"/>
              <w:rPr>
                <w:rFonts w:eastAsia="Times New Roman" w:cs="Times New Roman"/>
                <w:b/>
                <w:color w:val="000000"/>
                <w:sz w:val="20"/>
                <w:szCs w:val="20"/>
              </w:rPr>
            </w:pPr>
            <w:r w:rsidRPr="00262F0C">
              <w:rPr>
                <w:rFonts w:eastAsia="Times New Roman" w:cs="Times New Roman"/>
                <w:b/>
                <w:color w:val="000000"/>
                <w:sz w:val="20"/>
                <w:szCs w:val="20"/>
              </w:rPr>
              <w:t>201</w:t>
            </w:r>
            <w:r>
              <w:rPr>
                <w:rFonts w:eastAsia="Times New Roman" w:cs="Times New Roman"/>
                <w:b/>
                <w:color w:val="000000"/>
                <w:sz w:val="20"/>
                <w:szCs w:val="20"/>
              </w:rPr>
              <w:t>7</w:t>
            </w:r>
          </w:p>
        </w:tc>
        <w:tc>
          <w:tcPr>
            <w:tcW w:w="1114" w:type="dxa"/>
          </w:tcPr>
          <w:p w:rsidR="00167EB3" w:rsidRPr="00262F0C" w:rsidRDefault="00167EB3" w:rsidP="00167EB3">
            <w:pPr>
              <w:jc w:val="center"/>
              <w:rPr>
                <w:rFonts w:eastAsia="Times New Roman" w:cs="Times New Roman"/>
                <w:b/>
                <w:color w:val="000000"/>
                <w:sz w:val="20"/>
                <w:szCs w:val="20"/>
              </w:rPr>
            </w:pPr>
            <w:r>
              <w:rPr>
                <w:rFonts w:eastAsia="Times New Roman" w:cs="Times New Roman"/>
                <w:b/>
                <w:color w:val="000000"/>
                <w:sz w:val="20"/>
                <w:szCs w:val="20"/>
              </w:rPr>
              <w:t>2016-2017 Total</w:t>
            </w:r>
          </w:p>
        </w:tc>
      </w:tr>
      <w:tr w:rsidR="00167EB3" w:rsidRPr="00432C28" w:rsidTr="00226928">
        <w:trPr>
          <w:trHeight w:val="129"/>
          <w:jc w:val="center"/>
        </w:trPr>
        <w:tc>
          <w:tcPr>
            <w:tcW w:w="4084" w:type="dxa"/>
            <w:vAlign w:val="center"/>
          </w:tcPr>
          <w:p w:rsidR="00167EB3" w:rsidRPr="00FD1988" w:rsidRDefault="00167EB3" w:rsidP="00226928">
            <w:pPr>
              <w:jc w:val="left"/>
              <w:rPr>
                <w:rFonts w:cs="Times New Roman"/>
                <w:color w:val="000000"/>
                <w:sz w:val="20"/>
                <w:szCs w:val="20"/>
              </w:rPr>
            </w:pPr>
            <w:r>
              <w:rPr>
                <w:rFonts w:cs="Times New Roman"/>
                <w:color w:val="000000"/>
                <w:sz w:val="20"/>
                <w:szCs w:val="20"/>
              </w:rPr>
              <w:t xml:space="preserve">Ten-Year Energy Efficiency Forecast </w:t>
            </w:r>
            <w:r w:rsidR="00226928">
              <w:rPr>
                <w:rFonts w:cs="Times New Roman"/>
                <w:color w:val="000000"/>
                <w:sz w:val="20"/>
                <w:szCs w:val="20"/>
              </w:rPr>
              <w:t>(Table 7)</w:t>
            </w:r>
          </w:p>
        </w:tc>
        <w:tc>
          <w:tcPr>
            <w:tcW w:w="900" w:type="dxa"/>
            <w:vAlign w:val="center"/>
          </w:tcPr>
          <w:p w:rsidR="00167EB3" w:rsidRPr="00615B33" w:rsidRDefault="00AD086B" w:rsidP="009961EF">
            <w:pPr>
              <w:jc w:val="right"/>
              <w:rPr>
                <w:color w:val="000000"/>
                <w:sz w:val="20"/>
                <w:szCs w:val="20"/>
              </w:rPr>
            </w:pPr>
            <w:r>
              <w:rPr>
                <w:color w:val="000000"/>
                <w:sz w:val="20"/>
                <w:szCs w:val="20"/>
              </w:rPr>
              <w:t>49,292</w:t>
            </w:r>
          </w:p>
        </w:tc>
        <w:tc>
          <w:tcPr>
            <w:tcW w:w="990" w:type="dxa"/>
            <w:vAlign w:val="center"/>
          </w:tcPr>
          <w:p w:rsidR="00167EB3" w:rsidRPr="00615B33" w:rsidRDefault="00AD086B" w:rsidP="009961EF">
            <w:pPr>
              <w:jc w:val="right"/>
              <w:rPr>
                <w:color w:val="000000"/>
                <w:sz w:val="20"/>
                <w:szCs w:val="20"/>
              </w:rPr>
            </w:pPr>
            <w:r>
              <w:rPr>
                <w:color w:val="000000"/>
                <w:sz w:val="20"/>
                <w:szCs w:val="20"/>
              </w:rPr>
              <w:t>43,767</w:t>
            </w:r>
          </w:p>
        </w:tc>
        <w:tc>
          <w:tcPr>
            <w:tcW w:w="1114" w:type="dxa"/>
            <w:vAlign w:val="center"/>
          </w:tcPr>
          <w:p w:rsidR="00167EB3" w:rsidRPr="00615B33" w:rsidRDefault="00AD086B" w:rsidP="009961EF">
            <w:pPr>
              <w:jc w:val="right"/>
              <w:rPr>
                <w:color w:val="000000"/>
                <w:sz w:val="20"/>
                <w:szCs w:val="20"/>
              </w:rPr>
            </w:pPr>
            <w:r>
              <w:rPr>
                <w:color w:val="000000"/>
                <w:sz w:val="20"/>
                <w:szCs w:val="20"/>
              </w:rPr>
              <w:t>93,059</w:t>
            </w:r>
          </w:p>
        </w:tc>
      </w:tr>
      <w:tr w:rsidR="00167EB3" w:rsidRPr="00432C28" w:rsidTr="00226928">
        <w:trPr>
          <w:trHeight w:val="147"/>
          <w:jc w:val="center"/>
        </w:trPr>
        <w:tc>
          <w:tcPr>
            <w:tcW w:w="4084" w:type="dxa"/>
            <w:vAlign w:val="center"/>
          </w:tcPr>
          <w:p w:rsidR="00167EB3" w:rsidRPr="00FD1988" w:rsidRDefault="00167EB3" w:rsidP="00065E37">
            <w:pPr>
              <w:jc w:val="left"/>
              <w:rPr>
                <w:rFonts w:cs="Times New Roman"/>
                <w:color w:val="000000"/>
                <w:sz w:val="20"/>
                <w:szCs w:val="20"/>
              </w:rPr>
            </w:pPr>
            <w:r>
              <w:rPr>
                <w:rFonts w:cs="Times New Roman"/>
                <w:color w:val="000000"/>
                <w:sz w:val="20"/>
                <w:szCs w:val="20"/>
              </w:rPr>
              <w:t xml:space="preserve">NEEA Adjustment </w:t>
            </w:r>
          </w:p>
        </w:tc>
        <w:tc>
          <w:tcPr>
            <w:tcW w:w="900" w:type="dxa"/>
            <w:vAlign w:val="center"/>
          </w:tcPr>
          <w:p w:rsidR="00167EB3" w:rsidRPr="00615B33" w:rsidRDefault="00AD086B" w:rsidP="009961EF">
            <w:pPr>
              <w:jc w:val="right"/>
              <w:rPr>
                <w:color w:val="000000"/>
                <w:sz w:val="20"/>
                <w:szCs w:val="20"/>
              </w:rPr>
            </w:pPr>
            <w:r>
              <w:rPr>
                <w:color w:val="000000"/>
                <w:sz w:val="20"/>
                <w:szCs w:val="20"/>
              </w:rPr>
              <w:t>-2,176</w:t>
            </w:r>
          </w:p>
        </w:tc>
        <w:tc>
          <w:tcPr>
            <w:tcW w:w="990" w:type="dxa"/>
            <w:vAlign w:val="center"/>
          </w:tcPr>
          <w:p w:rsidR="00167EB3" w:rsidRPr="00615B33" w:rsidRDefault="00AD086B" w:rsidP="00684A81">
            <w:pPr>
              <w:jc w:val="right"/>
              <w:rPr>
                <w:color w:val="000000"/>
                <w:sz w:val="20"/>
                <w:szCs w:val="20"/>
              </w:rPr>
            </w:pPr>
            <w:r>
              <w:rPr>
                <w:color w:val="000000"/>
                <w:sz w:val="20"/>
                <w:szCs w:val="20"/>
              </w:rPr>
              <w:t>-3,0</w:t>
            </w:r>
            <w:r w:rsidR="00684A81">
              <w:rPr>
                <w:color w:val="000000"/>
                <w:sz w:val="20"/>
                <w:szCs w:val="20"/>
              </w:rPr>
              <w:t>69</w:t>
            </w:r>
          </w:p>
        </w:tc>
        <w:tc>
          <w:tcPr>
            <w:tcW w:w="1114" w:type="dxa"/>
            <w:vAlign w:val="center"/>
          </w:tcPr>
          <w:p w:rsidR="00167EB3" w:rsidRPr="00615B33" w:rsidRDefault="00AD086B" w:rsidP="00684A81">
            <w:pPr>
              <w:jc w:val="right"/>
              <w:rPr>
                <w:color w:val="000000"/>
                <w:sz w:val="20"/>
                <w:szCs w:val="20"/>
              </w:rPr>
            </w:pPr>
            <w:r>
              <w:rPr>
                <w:color w:val="000000"/>
                <w:sz w:val="20"/>
                <w:szCs w:val="20"/>
              </w:rPr>
              <w:t>-5,24</w:t>
            </w:r>
            <w:r w:rsidR="00684A81">
              <w:rPr>
                <w:color w:val="000000"/>
                <w:sz w:val="20"/>
                <w:szCs w:val="20"/>
              </w:rPr>
              <w:t>5</w:t>
            </w:r>
          </w:p>
        </w:tc>
      </w:tr>
      <w:tr w:rsidR="00167EB3" w:rsidRPr="00432C28" w:rsidTr="00226928">
        <w:trPr>
          <w:trHeight w:val="46"/>
          <w:jc w:val="center"/>
        </w:trPr>
        <w:tc>
          <w:tcPr>
            <w:tcW w:w="4084" w:type="dxa"/>
            <w:vAlign w:val="center"/>
          </w:tcPr>
          <w:p w:rsidR="00167EB3" w:rsidRPr="00883669" w:rsidRDefault="00167EB3" w:rsidP="009961EF">
            <w:pPr>
              <w:jc w:val="left"/>
              <w:rPr>
                <w:rFonts w:cs="Times New Roman"/>
                <w:b/>
                <w:color w:val="000000"/>
                <w:sz w:val="20"/>
                <w:szCs w:val="20"/>
              </w:rPr>
            </w:pPr>
            <w:r w:rsidRPr="00883669">
              <w:rPr>
                <w:rFonts w:cs="Times New Roman"/>
                <w:b/>
                <w:color w:val="000000"/>
                <w:sz w:val="20"/>
                <w:szCs w:val="20"/>
              </w:rPr>
              <w:t>Adjusted Energy Efficiency Target</w:t>
            </w:r>
          </w:p>
        </w:tc>
        <w:tc>
          <w:tcPr>
            <w:tcW w:w="900" w:type="dxa"/>
            <w:vAlign w:val="center"/>
          </w:tcPr>
          <w:p w:rsidR="00167EB3" w:rsidRPr="00684A81" w:rsidRDefault="00AD086B" w:rsidP="009961EF">
            <w:pPr>
              <w:jc w:val="right"/>
              <w:rPr>
                <w:bCs/>
                <w:color w:val="000000"/>
                <w:sz w:val="20"/>
                <w:szCs w:val="20"/>
              </w:rPr>
            </w:pPr>
            <w:r w:rsidRPr="00684A81">
              <w:rPr>
                <w:bCs/>
                <w:color w:val="000000"/>
                <w:sz w:val="20"/>
                <w:szCs w:val="20"/>
              </w:rPr>
              <w:t>47,116</w:t>
            </w:r>
          </w:p>
        </w:tc>
        <w:tc>
          <w:tcPr>
            <w:tcW w:w="990" w:type="dxa"/>
            <w:vAlign w:val="center"/>
          </w:tcPr>
          <w:p w:rsidR="00167EB3" w:rsidRPr="00684A81" w:rsidRDefault="00AD086B" w:rsidP="009961EF">
            <w:pPr>
              <w:jc w:val="right"/>
              <w:rPr>
                <w:bCs/>
                <w:color w:val="000000"/>
                <w:sz w:val="20"/>
                <w:szCs w:val="20"/>
              </w:rPr>
            </w:pPr>
            <w:r w:rsidRPr="00684A81">
              <w:rPr>
                <w:bCs/>
                <w:color w:val="000000"/>
                <w:sz w:val="20"/>
                <w:szCs w:val="20"/>
              </w:rPr>
              <w:t>40,698</w:t>
            </w:r>
          </w:p>
        </w:tc>
        <w:tc>
          <w:tcPr>
            <w:tcW w:w="1114" w:type="dxa"/>
            <w:vAlign w:val="center"/>
          </w:tcPr>
          <w:p w:rsidR="00167EB3" w:rsidRPr="00684A81" w:rsidRDefault="00684A81" w:rsidP="009961EF">
            <w:pPr>
              <w:jc w:val="right"/>
              <w:rPr>
                <w:color w:val="000000"/>
                <w:sz w:val="20"/>
                <w:szCs w:val="20"/>
              </w:rPr>
            </w:pPr>
            <w:r w:rsidRPr="00684A81">
              <w:rPr>
                <w:color w:val="000000"/>
                <w:sz w:val="20"/>
                <w:szCs w:val="20"/>
              </w:rPr>
              <w:t>87,814</w:t>
            </w:r>
          </w:p>
        </w:tc>
      </w:tr>
      <w:tr w:rsidR="00167EB3" w:rsidRPr="00432C28" w:rsidTr="00226928">
        <w:trPr>
          <w:trHeight w:val="46"/>
          <w:jc w:val="center"/>
        </w:trPr>
        <w:tc>
          <w:tcPr>
            <w:tcW w:w="4084" w:type="dxa"/>
            <w:vAlign w:val="center"/>
          </w:tcPr>
          <w:p w:rsidR="00167EB3" w:rsidRPr="00FD1988" w:rsidRDefault="00167EB3" w:rsidP="009961EF">
            <w:pPr>
              <w:jc w:val="left"/>
              <w:rPr>
                <w:rFonts w:cs="Times New Roman"/>
                <w:color w:val="000000"/>
                <w:sz w:val="20"/>
                <w:szCs w:val="20"/>
              </w:rPr>
            </w:pPr>
            <w:r>
              <w:rPr>
                <w:rFonts w:cs="Times New Roman"/>
                <w:color w:val="000000"/>
                <w:sz w:val="20"/>
                <w:szCs w:val="20"/>
              </w:rPr>
              <w:t>Distribution Efficiency</w:t>
            </w:r>
          </w:p>
        </w:tc>
        <w:tc>
          <w:tcPr>
            <w:tcW w:w="900" w:type="dxa"/>
            <w:vAlign w:val="center"/>
          </w:tcPr>
          <w:p w:rsidR="00167EB3" w:rsidRPr="00615B33" w:rsidRDefault="00226928" w:rsidP="009961EF">
            <w:pPr>
              <w:jc w:val="right"/>
              <w:rPr>
                <w:color w:val="000000"/>
                <w:sz w:val="20"/>
                <w:szCs w:val="20"/>
              </w:rPr>
            </w:pPr>
            <w:r>
              <w:rPr>
                <w:color w:val="000000"/>
                <w:sz w:val="20"/>
                <w:szCs w:val="20"/>
              </w:rPr>
              <w:t>-</w:t>
            </w:r>
          </w:p>
        </w:tc>
        <w:tc>
          <w:tcPr>
            <w:tcW w:w="990" w:type="dxa"/>
            <w:vAlign w:val="center"/>
          </w:tcPr>
          <w:p w:rsidR="00167EB3" w:rsidRPr="00615B33" w:rsidRDefault="00226928" w:rsidP="009961EF">
            <w:pPr>
              <w:jc w:val="right"/>
              <w:rPr>
                <w:color w:val="000000"/>
                <w:sz w:val="20"/>
                <w:szCs w:val="20"/>
              </w:rPr>
            </w:pPr>
            <w:r>
              <w:rPr>
                <w:color w:val="000000"/>
                <w:sz w:val="20"/>
                <w:szCs w:val="20"/>
              </w:rPr>
              <w:t>-</w:t>
            </w:r>
          </w:p>
        </w:tc>
        <w:tc>
          <w:tcPr>
            <w:tcW w:w="1114" w:type="dxa"/>
            <w:vAlign w:val="center"/>
          </w:tcPr>
          <w:p w:rsidR="00167EB3" w:rsidRPr="00615B33" w:rsidRDefault="00226928" w:rsidP="009961EF">
            <w:pPr>
              <w:jc w:val="right"/>
              <w:rPr>
                <w:color w:val="000000"/>
                <w:sz w:val="20"/>
                <w:szCs w:val="20"/>
              </w:rPr>
            </w:pPr>
            <w:r>
              <w:rPr>
                <w:color w:val="000000"/>
                <w:sz w:val="20"/>
                <w:szCs w:val="20"/>
              </w:rPr>
              <w:t>-</w:t>
            </w:r>
          </w:p>
        </w:tc>
      </w:tr>
      <w:tr w:rsidR="00167EB3" w:rsidRPr="00432C28" w:rsidTr="00226928">
        <w:trPr>
          <w:trHeight w:val="46"/>
          <w:jc w:val="center"/>
        </w:trPr>
        <w:tc>
          <w:tcPr>
            <w:tcW w:w="4084" w:type="dxa"/>
            <w:vAlign w:val="center"/>
          </w:tcPr>
          <w:p w:rsidR="00167EB3" w:rsidRDefault="00167EB3" w:rsidP="009961EF">
            <w:pPr>
              <w:jc w:val="left"/>
              <w:rPr>
                <w:rFonts w:cs="Times New Roman"/>
                <w:color w:val="000000"/>
                <w:sz w:val="20"/>
                <w:szCs w:val="20"/>
              </w:rPr>
            </w:pPr>
            <w:r>
              <w:rPr>
                <w:rFonts w:cs="Times New Roman"/>
                <w:color w:val="000000"/>
                <w:sz w:val="20"/>
                <w:szCs w:val="20"/>
              </w:rPr>
              <w:t>Production Efficiency</w:t>
            </w:r>
          </w:p>
        </w:tc>
        <w:tc>
          <w:tcPr>
            <w:tcW w:w="900" w:type="dxa"/>
            <w:vAlign w:val="center"/>
          </w:tcPr>
          <w:p w:rsidR="00167EB3" w:rsidRPr="00615B33" w:rsidRDefault="00226928" w:rsidP="009961EF">
            <w:pPr>
              <w:jc w:val="right"/>
              <w:rPr>
                <w:color w:val="000000"/>
                <w:sz w:val="20"/>
                <w:szCs w:val="20"/>
              </w:rPr>
            </w:pPr>
            <w:r>
              <w:rPr>
                <w:color w:val="000000"/>
                <w:sz w:val="20"/>
                <w:szCs w:val="20"/>
              </w:rPr>
              <w:t>-</w:t>
            </w:r>
          </w:p>
        </w:tc>
        <w:tc>
          <w:tcPr>
            <w:tcW w:w="990" w:type="dxa"/>
            <w:vAlign w:val="center"/>
          </w:tcPr>
          <w:p w:rsidR="00167EB3" w:rsidRPr="00615B33" w:rsidRDefault="00226928" w:rsidP="009961EF">
            <w:pPr>
              <w:jc w:val="right"/>
              <w:rPr>
                <w:color w:val="000000"/>
                <w:sz w:val="20"/>
                <w:szCs w:val="20"/>
              </w:rPr>
            </w:pPr>
            <w:r>
              <w:rPr>
                <w:color w:val="000000"/>
                <w:sz w:val="20"/>
                <w:szCs w:val="20"/>
              </w:rPr>
              <w:t>-</w:t>
            </w:r>
          </w:p>
        </w:tc>
        <w:tc>
          <w:tcPr>
            <w:tcW w:w="1114" w:type="dxa"/>
            <w:vAlign w:val="center"/>
          </w:tcPr>
          <w:p w:rsidR="00167EB3" w:rsidRPr="00615B33" w:rsidRDefault="00226928" w:rsidP="009961EF">
            <w:pPr>
              <w:jc w:val="right"/>
              <w:rPr>
                <w:color w:val="000000"/>
                <w:sz w:val="20"/>
                <w:szCs w:val="20"/>
              </w:rPr>
            </w:pPr>
            <w:r>
              <w:rPr>
                <w:color w:val="000000"/>
                <w:sz w:val="20"/>
                <w:szCs w:val="20"/>
              </w:rPr>
              <w:t>-</w:t>
            </w:r>
          </w:p>
        </w:tc>
      </w:tr>
      <w:tr w:rsidR="00167EB3" w:rsidRPr="00432C28" w:rsidTr="00226928">
        <w:trPr>
          <w:trHeight w:val="46"/>
          <w:jc w:val="center"/>
        </w:trPr>
        <w:tc>
          <w:tcPr>
            <w:tcW w:w="4084" w:type="dxa"/>
            <w:vAlign w:val="center"/>
          </w:tcPr>
          <w:p w:rsidR="00167EB3" w:rsidRPr="00AD086B" w:rsidRDefault="00167EB3" w:rsidP="009961EF">
            <w:pPr>
              <w:jc w:val="left"/>
              <w:rPr>
                <w:rFonts w:cs="Times New Roman"/>
                <w:color w:val="000000"/>
                <w:sz w:val="20"/>
                <w:szCs w:val="20"/>
              </w:rPr>
            </w:pPr>
            <w:r w:rsidRPr="00AD086B">
              <w:rPr>
                <w:rFonts w:cs="Times New Roman"/>
                <w:color w:val="000000"/>
                <w:sz w:val="20"/>
                <w:szCs w:val="20"/>
              </w:rPr>
              <w:t>High-Efficiency Cogeneration</w:t>
            </w:r>
          </w:p>
        </w:tc>
        <w:tc>
          <w:tcPr>
            <w:tcW w:w="900" w:type="dxa"/>
            <w:vAlign w:val="center"/>
          </w:tcPr>
          <w:p w:rsidR="00167EB3" w:rsidRPr="00226928" w:rsidRDefault="00226928" w:rsidP="009961EF">
            <w:pPr>
              <w:jc w:val="right"/>
              <w:rPr>
                <w:bCs/>
                <w:color w:val="000000"/>
                <w:sz w:val="20"/>
                <w:szCs w:val="20"/>
              </w:rPr>
            </w:pPr>
            <w:r w:rsidRPr="00226928">
              <w:rPr>
                <w:bCs/>
                <w:color w:val="000000"/>
                <w:sz w:val="20"/>
                <w:szCs w:val="20"/>
              </w:rPr>
              <w:t>-</w:t>
            </w:r>
          </w:p>
        </w:tc>
        <w:tc>
          <w:tcPr>
            <w:tcW w:w="990" w:type="dxa"/>
            <w:vAlign w:val="center"/>
          </w:tcPr>
          <w:p w:rsidR="00167EB3" w:rsidRPr="00226928" w:rsidRDefault="00226928" w:rsidP="009961EF">
            <w:pPr>
              <w:jc w:val="right"/>
              <w:rPr>
                <w:bCs/>
                <w:color w:val="000000"/>
                <w:sz w:val="20"/>
                <w:szCs w:val="20"/>
              </w:rPr>
            </w:pPr>
            <w:r w:rsidRPr="00226928">
              <w:rPr>
                <w:bCs/>
                <w:color w:val="000000"/>
                <w:sz w:val="20"/>
                <w:szCs w:val="20"/>
              </w:rPr>
              <w:t>-</w:t>
            </w:r>
          </w:p>
        </w:tc>
        <w:tc>
          <w:tcPr>
            <w:tcW w:w="1114" w:type="dxa"/>
            <w:vAlign w:val="center"/>
          </w:tcPr>
          <w:p w:rsidR="00167EB3" w:rsidRPr="00226928" w:rsidRDefault="00226928" w:rsidP="00226928">
            <w:pPr>
              <w:jc w:val="right"/>
              <w:rPr>
                <w:bCs/>
                <w:color w:val="000000"/>
                <w:sz w:val="20"/>
                <w:szCs w:val="20"/>
              </w:rPr>
            </w:pPr>
            <w:r>
              <w:rPr>
                <w:bCs/>
                <w:color w:val="000000"/>
                <w:sz w:val="20"/>
                <w:szCs w:val="20"/>
              </w:rPr>
              <w:t>-</w:t>
            </w:r>
          </w:p>
        </w:tc>
      </w:tr>
      <w:tr w:rsidR="00167EB3" w:rsidRPr="00432C28" w:rsidTr="00226928">
        <w:trPr>
          <w:trHeight w:val="46"/>
          <w:jc w:val="center"/>
        </w:trPr>
        <w:tc>
          <w:tcPr>
            <w:tcW w:w="4084" w:type="dxa"/>
            <w:vAlign w:val="center"/>
          </w:tcPr>
          <w:p w:rsidR="00167EB3" w:rsidRPr="00BF2094" w:rsidRDefault="00167EB3" w:rsidP="009961EF">
            <w:pPr>
              <w:jc w:val="left"/>
              <w:rPr>
                <w:rFonts w:cs="Times New Roman"/>
                <w:b/>
                <w:color w:val="000000"/>
                <w:sz w:val="20"/>
                <w:szCs w:val="20"/>
              </w:rPr>
            </w:pPr>
            <w:r w:rsidRPr="00BF2094">
              <w:rPr>
                <w:rFonts w:cs="Times New Roman"/>
                <w:b/>
                <w:color w:val="000000"/>
                <w:sz w:val="20"/>
                <w:szCs w:val="20"/>
              </w:rPr>
              <w:t>Total</w:t>
            </w:r>
            <w:r>
              <w:rPr>
                <w:rFonts w:cs="Times New Roman"/>
                <w:b/>
                <w:color w:val="000000"/>
                <w:sz w:val="20"/>
                <w:szCs w:val="20"/>
              </w:rPr>
              <w:t xml:space="preserve"> Conservation Target</w:t>
            </w:r>
          </w:p>
        </w:tc>
        <w:tc>
          <w:tcPr>
            <w:tcW w:w="900" w:type="dxa"/>
            <w:vAlign w:val="center"/>
          </w:tcPr>
          <w:p w:rsidR="00167EB3" w:rsidRPr="00226928" w:rsidRDefault="00AD086B" w:rsidP="009961EF">
            <w:pPr>
              <w:jc w:val="right"/>
              <w:rPr>
                <w:b/>
                <w:bCs/>
                <w:color w:val="000000"/>
                <w:sz w:val="20"/>
                <w:szCs w:val="20"/>
              </w:rPr>
            </w:pPr>
            <w:r w:rsidRPr="00226928">
              <w:rPr>
                <w:b/>
                <w:bCs/>
                <w:color w:val="000000"/>
                <w:sz w:val="20"/>
                <w:szCs w:val="20"/>
              </w:rPr>
              <w:t>47,116</w:t>
            </w:r>
          </w:p>
        </w:tc>
        <w:tc>
          <w:tcPr>
            <w:tcW w:w="990" w:type="dxa"/>
            <w:vAlign w:val="center"/>
          </w:tcPr>
          <w:p w:rsidR="00167EB3" w:rsidRPr="00226928" w:rsidRDefault="00AD086B" w:rsidP="009961EF">
            <w:pPr>
              <w:jc w:val="right"/>
              <w:rPr>
                <w:b/>
                <w:bCs/>
                <w:color w:val="000000"/>
                <w:sz w:val="20"/>
                <w:szCs w:val="20"/>
              </w:rPr>
            </w:pPr>
            <w:r w:rsidRPr="00226928">
              <w:rPr>
                <w:b/>
                <w:bCs/>
                <w:color w:val="000000"/>
                <w:sz w:val="20"/>
                <w:szCs w:val="20"/>
              </w:rPr>
              <w:t>40,698</w:t>
            </w:r>
          </w:p>
        </w:tc>
        <w:tc>
          <w:tcPr>
            <w:tcW w:w="1114" w:type="dxa"/>
            <w:vAlign w:val="center"/>
          </w:tcPr>
          <w:p w:rsidR="00167EB3" w:rsidRPr="00615B33" w:rsidRDefault="00AD086B" w:rsidP="009961EF">
            <w:pPr>
              <w:jc w:val="right"/>
              <w:rPr>
                <w:b/>
                <w:bCs/>
                <w:color w:val="000000"/>
                <w:sz w:val="20"/>
                <w:szCs w:val="20"/>
              </w:rPr>
            </w:pPr>
            <w:r>
              <w:rPr>
                <w:b/>
                <w:bCs/>
                <w:color w:val="000000"/>
                <w:sz w:val="20"/>
                <w:szCs w:val="20"/>
              </w:rPr>
              <w:t>87,814</w:t>
            </w:r>
          </w:p>
        </w:tc>
      </w:tr>
    </w:tbl>
    <w:p w:rsidR="00167EB3" w:rsidRDefault="00167EB3" w:rsidP="00B74FFD">
      <w:pPr>
        <w:rPr>
          <w:rFonts w:cs="Times New Roman"/>
          <w:i/>
          <w:szCs w:val="24"/>
        </w:rPr>
      </w:pPr>
    </w:p>
    <w:p w:rsidR="00167EB3" w:rsidRDefault="00167EB3" w:rsidP="00B74FFD">
      <w:pPr>
        <w:rPr>
          <w:rFonts w:cs="Times New Roman"/>
          <w:i/>
          <w:szCs w:val="24"/>
        </w:rPr>
      </w:pPr>
    </w:p>
    <w:p w:rsidR="005C778F" w:rsidRDefault="005C778F" w:rsidP="00B74FFD">
      <w:pPr>
        <w:rPr>
          <w:rFonts w:cs="Times New Roman"/>
          <w:i/>
          <w:szCs w:val="24"/>
        </w:rPr>
      </w:pPr>
    </w:p>
    <w:p w:rsidR="005C778F" w:rsidRDefault="005C778F" w:rsidP="00B74FFD">
      <w:pPr>
        <w:rPr>
          <w:rFonts w:cs="Times New Roman"/>
          <w:i/>
          <w:szCs w:val="24"/>
        </w:rPr>
      </w:pPr>
    </w:p>
    <w:p w:rsidR="005C778F" w:rsidRDefault="005C778F" w:rsidP="00B74FFD">
      <w:pPr>
        <w:rPr>
          <w:rFonts w:cs="Times New Roman"/>
          <w:i/>
          <w:szCs w:val="24"/>
        </w:rPr>
      </w:pPr>
    </w:p>
    <w:p w:rsidR="00BA4304" w:rsidRDefault="00BA4304" w:rsidP="00B74FFD">
      <w:pPr>
        <w:rPr>
          <w:rFonts w:cs="Times New Roman"/>
          <w:i/>
          <w:szCs w:val="24"/>
        </w:rPr>
      </w:pPr>
    </w:p>
    <w:p w:rsidR="00BA4304" w:rsidRDefault="00BA4304" w:rsidP="00B74FFD">
      <w:pPr>
        <w:rPr>
          <w:rFonts w:cs="Times New Roman"/>
          <w:i/>
          <w:szCs w:val="24"/>
        </w:rPr>
      </w:pPr>
    </w:p>
    <w:p w:rsidR="005C778F" w:rsidRDefault="005C778F" w:rsidP="00B74FFD">
      <w:pPr>
        <w:rPr>
          <w:rFonts w:cs="Times New Roman"/>
          <w:i/>
          <w:szCs w:val="24"/>
        </w:rPr>
      </w:pPr>
    </w:p>
    <w:p w:rsidR="005C778F" w:rsidRDefault="005C778F" w:rsidP="00B74FFD">
      <w:pPr>
        <w:rPr>
          <w:rFonts w:cs="Times New Roman"/>
          <w:i/>
          <w:szCs w:val="24"/>
        </w:rPr>
      </w:pPr>
    </w:p>
    <w:p w:rsidR="00B74FFD" w:rsidRDefault="000E5C89" w:rsidP="00B74FFD">
      <w:pPr>
        <w:rPr>
          <w:rFonts w:cs="Times New Roman"/>
          <w:i/>
          <w:szCs w:val="24"/>
        </w:rPr>
      </w:pPr>
      <w:r w:rsidRPr="00432C28">
        <w:rPr>
          <w:rFonts w:cs="Times New Roman"/>
          <w:i/>
          <w:szCs w:val="24"/>
        </w:rPr>
        <w:t>How the Target was developed from the Ten-Year Potential</w:t>
      </w:r>
    </w:p>
    <w:p w:rsidR="00131ACE" w:rsidRDefault="00131ACE" w:rsidP="00B74FFD">
      <w:pPr>
        <w:rPr>
          <w:rFonts w:cs="Times New Roman"/>
          <w:i/>
          <w:szCs w:val="24"/>
        </w:rPr>
      </w:pPr>
    </w:p>
    <w:p w:rsidR="00131ACE" w:rsidRPr="00131ACE" w:rsidRDefault="00131ACE" w:rsidP="00B74FFD">
      <w:pPr>
        <w:rPr>
          <w:rFonts w:cs="Times New Roman"/>
          <w:b/>
          <w:szCs w:val="24"/>
        </w:rPr>
      </w:pPr>
      <w:r w:rsidRPr="00131ACE">
        <w:rPr>
          <w:rFonts w:cs="Times New Roman"/>
          <w:b/>
          <w:szCs w:val="24"/>
        </w:rPr>
        <w:t>Energy Efficiency</w:t>
      </w:r>
    </w:p>
    <w:p w:rsidR="00B74FFD" w:rsidRPr="00432C28" w:rsidRDefault="00B74FFD" w:rsidP="00B74FFD">
      <w:pPr>
        <w:rPr>
          <w:rFonts w:cs="Times New Roman"/>
          <w:szCs w:val="24"/>
        </w:rPr>
      </w:pPr>
    </w:p>
    <w:p w:rsidR="00FC6993" w:rsidRDefault="00B74FFD" w:rsidP="00B74FFD">
      <w:pPr>
        <w:rPr>
          <w:rFonts w:cs="Times New Roman"/>
          <w:szCs w:val="24"/>
        </w:rPr>
      </w:pPr>
      <w:r w:rsidRPr="00432C28">
        <w:rPr>
          <w:rFonts w:cs="Times New Roman"/>
          <w:szCs w:val="24"/>
        </w:rPr>
        <w:t xml:space="preserve">The ten-year conservation potential includes an estimate of the potential for each year. </w:t>
      </w:r>
      <w:r w:rsidR="009D1006" w:rsidRPr="00432C28">
        <w:rPr>
          <w:rFonts w:cs="Times New Roman"/>
          <w:szCs w:val="24"/>
        </w:rPr>
        <w:t xml:space="preserve">The </w:t>
      </w:r>
      <w:r w:rsidRPr="00432C28">
        <w:rPr>
          <w:rFonts w:cs="Times New Roman"/>
          <w:szCs w:val="24"/>
        </w:rPr>
        <w:t xml:space="preserve">values </w:t>
      </w:r>
      <w:r w:rsidR="00FC6993">
        <w:rPr>
          <w:rFonts w:cs="Times New Roman"/>
          <w:szCs w:val="24"/>
        </w:rPr>
        <w:t xml:space="preserve">for energy efficiency specifically </w:t>
      </w:r>
      <w:r w:rsidRPr="00432C28">
        <w:rPr>
          <w:rFonts w:cs="Times New Roman"/>
          <w:szCs w:val="24"/>
        </w:rPr>
        <w:t xml:space="preserve">were derived from annual </w:t>
      </w:r>
      <w:r w:rsidR="009D1006" w:rsidRPr="00432C28">
        <w:rPr>
          <w:rFonts w:cs="Times New Roman"/>
          <w:szCs w:val="24"/>
        </w:rPr>
        <w:t xml:space="preserve">resources selections within </w:t>
      </w:r>
      <w:r w:rsidR="00DB3984" w:rsidRPr="00432C28">
        <w:rPr>
          <w:rFonts w:cs="Times New Roman"/>
          <w:szCs w:val="24"/>
        </w:rPr>
        <w:t>the Company’s 201</w:t>
      </w:r>
      <w:r w:rsidR="00411CBC">
        <w:rPr>
          <w:rFonts w:cs="Times New Roman"/>
          <w:szCs w:val="24"/>
        </w:rPr>
        <w:t>5</w:t>
      </w:r>
      <w:r w:rsidR="00DB3984" w:rsidRPr="00432C28">
        <w:rPr>
          <w:rFonts w:cs="Times New Roman"/>
          <w:szCs w:val="24"/>
        </w:rPr>
        <w:t xml:space="preserve"> IRP</w:t>
      </w:r>
      <w:r w:rsidR="00886B4A">
        <w:rPr>
          <w:rFonts w:cs="Times New Roman"/>
          <w:szCs w:val="24"/>
        </w:rPr>
        <w:t>,</w:t>
      </w:r>
      <w:r w:rsidR="009D1006" w:rsidRPr="00432C28">
        <w:rPr>
          <w:rFonts w:cs="Times New Roman"/>
          <w:szCs w:val="24"/>
        </w:rPr>
        <w:t xml:space="preserve"> informed by </w:t>
      </w:r>
      <w:r w:rsidR="00B4294E">
        <w:rPr>
          <w:rFonts w:cs="Times New Roman"/>
          <w:szCs w:val="24"/>
        </w:rPr>
        <w:t>the 201</w:t>
      </w:r>
      <w:r w:rsidR="00411CBC">
        <w:rPr>
          <w:rFonts w:cs="Times New Roman"/>
          <w:szCs w:val="24"/>
        </w:rPr>
        <w:t>5</w:t>
      </w:r>
      <w:r w:rsidR="00B4294E">
        <w:rPr>
          <w:rFonts w:cs="Times New Roman"/>
          <w:szCs w:val="24"/>
        </w:rPr>
        <w:t xml:space="preserve"> </w:t>
      </w:r>
      <w:r w:rsidR="00520435" w:rsidRPr="00432C28">
        <w:rPr>
          <w:rFonts w:cs="Times New Roman"/>
          <w:szCs w:val="24"/>
        </w:rPr>
        <w:t>C</w:t>
      </w:r>
      <w:r w:rsidR="00DB3984" w:rsidRPr="00432C28">
        <w:rPr>
          <w:rFonts w:cs="Times New Roman"/>
          <w:szCs w:val="24"/>
        </w:rPr>
        <w:t xml:space="preserve">onservation </w:t>
      </w:r>
      <w:r w:rsidR="00520435" w:rsidRPr="00432C28">
        <w:rPr>
          <w:rFonts w:cs="Times New Roman"/>
          <w:szCs w:val="24"/>
        </w:rPr>
        <w:t>P</w:t>
      </w:r>
      <w:r w:rsidR="00DB3984" w:rsidRPr="00432C28">
        <w:rPr>
          <w:rFonts w:cs="Times New Roman"/>
          <w:szCs w:val="24"/>
        </w:rPr>
        <w:t xml:space="preserve">otential </w:t>
      </w:r>
      <w:r w:rsidR="00520435" w:rsidRPr="0051052F">
        <w:rPr>
          <w:rFonts w:cs="Times New Roman"/>
          <w:szCs w:val="24"/>
        </w:rPr>
        <w:t>A</w:t>
      </w:r>
      <w:r w:rsidR="00DB3984" w:rsidRPr="0051052F">
        <w:rPr>
          <w:rFonts w:cs="Times New Roman"/>
          <w:szCs w:val="24"/>
        </w:rPr>
        <w:t>ssessment</w:t>
      </w:r>
      <w:r w:rsidR="00FC6993">
        <w:rPr>
          <w:rFonts w:cs="Times New Roman"/>
          <w:szCs w:val="24"/>
        </w:rPr>
        <w:t>. These economic selections were then adjusted, as allowed by WAC 480-100</w:t>
      </w:r>
      <w:r w:rsidR="00084008">
        <w:rPr>
          <w:rFonts w:cs="Times New Roman"/>
          <w:szCs w:val="24"/>
        </w:rPr>
        <w:t xml:space="preserve"> </w:t>
      </w:r>
      <w:r w:rsidR="00FC6993">
        <w:rPr>
          <w:rFonts w:cs="Times New Roman"/>
          <w:szCs w:val="24"/>
        </w:rPr>
        <w:t>(2)</w:t>
      </w:r>
      <w:r w:rsidR="00084008">
        <w:rPr>
          <w:rFonts w:cs="Times New Roman"/>
          <w:szCs w:val="24"/>
        </w:rPr>
        <w:t xml:space="preserve"> </w:t>
      </w:r>
      <w:r w:rsidR="00FC6993">
        <w:rPr>
          <w:rFonts w:cs="Times New Roman"/>
          <w:szCs w:val="24"/>
        </w:rPr>
        <w:t xml:space="preserve">(b), for information learned in </w:t>
      </w:r>
      <w:r w:rsidR="00084008">
        <w:rPr>
          <w:rFonts w:cs="Times New Roman"/>
          <w:szCs w:val="24"/>
        </w:rPr>
        <w:t xml:space="preserve">the Company’s </w:t>
      </w:r>
      <w:r w:rsidR="00FC6993">
        <w:rPr>
          <w:rFonts w:cs="Times New Roman"/>
          <w:szCs w:val="24"/>
        </w:rPr>
        <w:t xml:space="preserve">subsequent resource acquisition </w:t>
      </w:r>
      <w:r w:rsidR="00084008">
        <w:rPr>
          <w:rFonts w:cs="Times New Roman"/>
          <w:szCs w:val="24"/>
        </w:rPr>
        <w:t xml:space="preserve">process </w:t>
      </w:r>
      <w:r w:rsidR="00FC6993">
        <w:rPr>
          <w:rFonts w:cs="Times New Roman"/>
          <w:szCs w:val="24"/>
        </w:rPr>
        <w:t xml:space="preserve">as documented in Appendix 4 to this </w:t>
      </w:r>
      <w:r w:rsidR="006437A9">
        <w:rPr>
          <w:rFonts w:cs="Times New Roman"/>
          <w:szCs w:val="24"/>
        </w:rPr>
        <w:t>report</w:t>
      </w:r>
      <w:r w:rsidR="00FC6993">
        <w:rPr>
          <w:rFonts w:cs="Times New Roman"/>
          <w:szCs w:val="24"/>
        </w:rPr>
        <w:t xml:space="preserve">. </w:t>
      </w:r>
    </w:p>
    <w:p w:rsidR="00841DB9" w:rsidRPr="00432C28" w:rsidRDefault="00841DB9" w:rsidP="00B74FFD">
      <w:pPr>
        <w:rPr>
          <w:rFonts w:cs="Times New Roman"/>
          <w:szCs w:val="24"/>
        </w:rPr>
      </w:pPr>
    </w:p>
    <w:p w:rsidR="00131ACE" w:rsidRDefault="00131ACE" w:rsidP="00670B9D">
      <w:pPr>
        <w:rPr>
          <w:rFonts w:cs="Times New Roman"/>
          <w:b/>
          <w:szCs w:val="24"/>
        </w:rPr>
      </w:pPr>
      <w:r>
        <w:rPr>
          <w:rFonts w:cs="Times New Roman"/>
          <w:b/>
          <w:szCs w:val="24"/>
        </w:rPr>
        <w:t>Treatment of</w:t>
      </w:r>
      <w:r w:rsidR="00670B9D" w:rsidRPr="000C5344">
        <w:rPr>
          <w:rFonts w:cs="Times New Roman"/>
          <w:b/>
          <w:szCs w:val="24"/>
        </w:rPr>
        <w:t xml:space="preserve"> N</w:t>
      </w:r>
      <w:r w:rsidR="00230D2C">
        <w:rPr>
          <w:rFonts w:cs="Times New Roman"/>
          <w:b/>
          <w:szCs w:val="24"/>
        </w:rPr>
        <w:t xml:space="preserve">EEA </w:t>
      </w:r>
      <w:r w:rsidR="00A43D13">
        <w:rPr>
          <w:rFonts w:cs="Times New Roman"/>
          <w:b/>
          <w:szCs w:val="24"/>
        </w:rPr>
        <w:t>I</w:t>
      </w:r>
      <w:r w:rsidR="00670B9D" w:rsidRPr="000C5344">
        <w:rPr>
          <w:rFonts w:cs="Times New Roman"/>
          <w:b/>
          <w:szCs w:val="24"/>
        </w:rPr>
        <w:t>nitiatives</w:t>
      </w:r>
    </w:p>
    <w:p w:rsidR="005C778F" w:rsidRDefault="005C778F" w:rsidP="00670B9D">
      <w:pPr>
        <w:rPr>
          <w:rFonts w:cs="Times New Roman"/>
          <w:b/>
          <w:szCs w:val="24"/>
        </w:rPr>
      </w:pPr>
    </w:p>
    <w:p w:rsidR="00131ACE" w:rsidRDefault="00670B9D" w:rsidP="00670B9D">
      <w:pPr>
        <w:rPr>
          <w:rFonts w:cs="Times New Roman"/>
          <w:szCs w:val="24"/>
        </w:rPr>
      </w:pPr>
      <w:r w:rsidRPr="000C5344">
        <w:rPr>
          <w:rFonts w:cs="Times New Roman"/>
          <w:szCs w:val="24"/>
        </w:rPr>
        <w:t>The 201</w:t>
      </w:r>
      <w:r w:rsidR="00C147AB">
        <w:rPr>
          <w:rFonts w:cs="Times New Roman"/>
          <w:szCs w:val="24"/>
        </w:rPr>
        <w:t>5</w:t>
      </w:r>
      <w:r w:rsidRPr="000C5344">
        <w:rPr>
          <w:rFonts w:cs="Times New Roman"/>
          <w:szCs w:val="24"/>
        </w:rPr>
        <w:t xml:space="preserve"> I</w:t>
      </w:r>
      <w:r w:rsidR="00C27FAC">
        <w:rPr>
          <w:rFonts w:cs="Times New Roman"/>
          <w:szCs w:val="24"/>
        </w:rPr>
        <w:t xml:space="preserve">RP energy efficiency selections, and thus, the ten-year energy efficiency forecast presented in the previous section of this document, </w:t>
      </w:r>
      <w:r w:rsidRPr="000C5344">
        <w:rPr>
          <w:rFonts w:cs="Times New Roman"/>
          <w:szCs w:val="24"/>
        </w:rPr>
        <w:t xml:space="preserve">represent savings that may be acquired through a number of means, including Company programs, market transformation, and improved building codes and equipment efficiency standards. </w:t>
      </w:r>
      <w:r w:rsidR="00131ACE">
        <w:rPr>
          <w:rFonts w:cs="Times New Roman"/>
          <w:szCs w:val="24"/>
        </w:rPr>
        <w:t xml:space="preserve">Because of this, the forecasted potential implicitly includes both savings reasonably achievable through Company programs and those that will be acquired through </w:t>
      </w:r>
      <w:r w:rsidR="00131ACE" w:rsidRPr="00131ACE">
        <w:rPr>
          <w:rFonts w:cs="Times New Roman"/>
          <w:szCs w:val="24"/>
        </w:rPr>
        <w:t>NEEA market transformation initiatives.</w:t>
      </w:r>
    </w:p>
    <w:p w:rsidR="00CD1271" w:rsidRDefault="00CD1271" w:rsidP="00670B9D">
      <w:pPr>
        <w:rPr>
          <w:rFonts w:cs="Times New Roman"/>
          <w:szCs w:val="24"/>
        </w:rPr>
      </w:pPr>
    </w:p>
    <w:p w:rsidR="00CD1271" w:rsidRDefault="00CD1271" w:rsidP="00670B9D">
      <w:pPr>
        <w:rPr>
          <w:rFonts w:cs="Times New Roman"/>
          <w:szCs w:val="24"/>
        </w:rPr>
      </w:pPr>
      <w:r>
        <w:rPr>
          <w:rFonts w:cs="Times New Roman"/>
          <w:szCs w:val="24"/>
        </w:rPr>
        <w:t xml:space="preserve">Section 4 of Order 03 in Docket UE-100170 directed PacifiCorp to collaborate with Puget Sound Energy and Avista Corporation to develop a consistent approach to claiming NEEA savings in the 2014-2015 biennium. The three utilities </w:t>
      </w:r>
      <w:r w:rsidR="00A0185A">
        <w:rPr>
          <w:rFonts w:cs="Times New Roman"/>
          <w:szCs w:val="24"/>
        </w:rPr>
        <w:t>met multiple times in the fall of 2012, arriving at and submitting a joint proposal for how savings from NEEA initiatives would be treated in the 2014-2015 biennium.</w:t>
      </w:r>
      <w:r w:rsidR="00A0185A">
        <w:rPr>
          <w:rStyle w:val="FootnoteReference"/>
          <w:rFonts w:cs="Times New Roman"/>
          <w:szCs w:val="24"/>
        </w:rPr>
        <w:footnoteReference w:id="39"/>
      </w:r>
      <w:r w:rsidR="00A0185A">
        <w:rPr>
          <w:rFonts w:cs="Times New Roman"/>
          <w:szCs w:val="24"/>
        </w:rPr>
        <w:t xml:space="preserve"> </w:t>
      </w:r>
      <w:r w:rsidR="001139DB">
        <w:rPr>
          <w:rFonts w:cs="Times New Roman"/>
          <w:szCs w:val="24"/>
        </w:rPr>
        <w:t>The key component of the joint proposal are:</w:t>
      </w:r>
    </w:p>
    <w:p w:rsidR="00A0185A" w:rsidRDefault="00A0185A" w:rsidP="00670B9D">
      <w:pPr>
        <w:pStyle w:val="ListParagraph"/>
        <w:numPr>
          <w:ilvl w:val="0"/>
          <w:numId w:val="54"/>
        </w:numPr>
        <w:rPr>
          <w:rFonts w:cs="Times New Roman"/>
          <w:szCs w:val="24"/>
        </w:rPr>
      </w:pPr>
      <w:r>
        <w:rPr>
          <w:rFonts w:cs="Times New Roman"/>
          <w:szCs w:val="24"/>
        </w:rPr>
        <w:t>E</w:t>
      </w:r>
      <w:r w:rsidRPr="00A0185A">
        <w:rPr>
          <w:rFonts w:cs="Times New Roman"/>
          <w:szCs w:val="24"/>
        </w:rPr>
        <w:t xml:space="preserve">ach utility </w:t>
      </w:r>
      <w:r>
        <w:rPr>
          <w:rFonts w:cs="Times New Roman"/>
          <w:szCs w:val="24"/>
        </w:rPr>
        <w:t>w</w:t>
      </w:r>
      <w:r w:rsidRPr="00A0185A">
        <w:rPr>
          <w:rFonts w:cs="Times New Roman"/>
          <w:szCs w:val="24"/>
        </w:rPr>
        <w:t>ill work with NEEA to obtain a</w:t>
      </w:r>
      <w:r w:rsidR="00200C12">
        <w:rPr>
          <w:rFonts w:cs="Times New Roman"/>
          <w:szCs w:val="24"/>
        </w:rPr>
        <w:t xml:space="preserve"> forecast of savings over the biennial period </w:t>
      </w:r>
      <w:r>
        <w:rPr>
          <w:rFonts w:cs="Times New Roman"/>
          <w:szCs w:val="24"/>
        </w:rPr>
        <w:t>based on</w:t>
      </w:r>
      <w:r w:rsidRPr="00A0185A">
        <w:rPr>
          <w:rFonts w:cs="Times New Roman"/>
          <w:szCs w:val="24"/>
        </w:rPr>
        <w:t xml:space="preserve"> baseline and technical assumptions consistent with those found in the </w:t>
      </w:r>
      <w:r w:rsidR="00230D2C">
        <w:rPr>
          <w:rFonts w:cs="Times New Roman"/>
          <w:szCs w:val="24"/>
        </w:rPr>
        <w:t xml:space="preserve">Council’s </w:t>
      </w:r>
      <w:r w:rsidRPr="00A0185A">
        <w:rPr>
          <w:rFonts w:cs="Times New Roman"/>
          <w:szCs w:val="24"/>
        </w:rPr>
        <w:t xml:space="preserve">current Power Plan. </w:t>
      </w:r>
    </w:p>
    <w:p w:rsidR="00200C12" w:rsidRDefault="00200C12" w:rsidP="00670B9D">
      <w:pPr>
        <w:pStyle w:val="ListParagraph"/>
        <w:numPr>
          <w:ilvl w:val="0"/>
          <w:numId w:val="54"/>
        </w:numPr>
        <w:rPr>
          <w:rFonts w:cs="Times New Roman"/>
          <w:szCs w:val="24"/>
        </w:rPr>
      </w:pPr>
      <w:r>
        <w:rPr>
          <w:rFonts w:cs="Times New Roman"/>
          <w:szCs w:val="24"/>
        </w:rPr>
        <w:t>To avoid double-counting savings claimed through utility programs, the forecast provided by NEEA will represent the utility’s share of Total Regional Savings (</w:t>
      </w:r>
      <w:r w:rsidR="001139DB">
        <w:rPr>
          <w:rFonts w:cs="Times New Roman"/>
          <w:szCs w:val="24"/>
        </w:rPr>
        <w:t>“</w:t>
      </w:r>
      <w:r>
        <w:rPr>
          <w:rFonts w:cs="Times New Roman"/>
          <w:szCs w:val="24"/>
        </w:rPr>
        <w:t>TRS</w:t>
      </w:r>
      <w:r w:rsidR="001139DB">
        <w:rPr>
          <w:rFonts w:cs="Times New Roman"/>
          <w:szCs w:val="24"/>
        </w:rPr>
        <w:t>”</w:t>
      </w:r>
      <w:r>
        <w:rPr>
          <w:rFonts w:cs="Times New Roman"/>
          <w:szCs w:val="24"/>
        </w:rPr>
        <w:t>) less projected local utility program savings.</w:t>
      </w:r>
    </w:p>
    <w:p w:rsidR="00131ACE" w:rsidRDefault="00A0185A" w:rsidP="00670B9D">
      <w:pPr>
        <w:pStyle w:val="ListParagraph"/>
        <w:numPr>
          <w:ilvl w:val="0"/>
          <w:numId w:val="54"/>
        </w:numPr>
        <w:rPr>
          <w:rFonts w:cs="Times New Roman"/>
          <w:szCs w:val="24"/>
        </w:rPr>
      </w:pPr>
      <w:r w:rsidRPr="00200C12">
        <w:rPr>
          <w:rFonts w:cs="Times New Roman"/>
          <w:szCs w:val="24"/>
        </w:rPr>
        <w:t>Each utility will then subtract its adjusted estimate of TRS from the first two years of its ten-year electric conservation potential to determine its Bienn</w:t>
      </w:r>
      <w:r w:rsidR="00200C12">
        <w:rPr>
          <w:rFonts w:cs="Times New Roman"/>
          <w:szCs w:val="24"/>
        </w:rPr>
        <w:t xml:space="preserve">ial Conservation Target (BCT). </w:t>
      </w:r>
    </w:p>
    <w:p w:rsidR="00200C12" w:rsidRDefault="00200C12" w:rsidP="00066175">
      <w:pPr>
        <w:pStyle w:val="ListParagraph"/>
        <w:numPr>
          <w:ilvl w:val="0"/>
          <w:numId w:val="54"/>
        </w:numPr>
        <w:rPr>
          <w:szCs w:val="24"/>
        </w:rPr>
      </w:pPr>
      <w:r>
        <w:rPr>
          <w:szCs w:val="24"/>
        </w:rPr>
        <w:t>E</w:t>
      </w:r>
      <w:r w:rsidRPr="00794163">
        <w:rPr>
          <w:szCs w:val="24"/>
        </w:rPr>
        <w:t xml:space="preserve">ach utility will report actual NEEA savings </w:t>
      </w:r>
      <w:r>
        <w:rPr>
          <w:szCs w:val="24"/>
        </w:rPr>
        <w:t xml:space="preserve">(using the same methodology and baseline assumptions used in the forecast), </w:t>
      </w:r>
      <w:r w:rsidRPr="00794163">
        <w:rPr>
          <w:szCs w:val="24"/>
        </w:rPr>
        <w:t xml:space="preserve">however </w:t>
      </w:r>
      <w:r>
        <w:rPr>
          <w:szCs w:val="24"/>
        </w:rPr>
        <w:t xml:space="preserve">NEEA savings will not </w:t>
      </w:r>
      <w:r w:rsidRPr="00794163">
        <w:rPr>
          <w:szCs w:val="24"/>
        </w:rPr>
        <w:t>be</w:t>
      </w:r>
      <w:r>
        <w:rPr>
          <w:szCs w:val="24"/>
        </w:rPr>
        <w:t xml:space="preserve"> credited to utilities for the purpose of achieving a utility’s </w:t>
      </w:r>
      <w:r w:rsidR="001139DB">
        <w:rPr>
          <w:szCs w:val="24"/>
        </w:rPr>
        <w:t>Biennial Conservation Target.</w:t>
      </w:r>
    </w:p>
    <w:p w:rsidR="00200C12" w:rsidRDefault="00200C12" w:rsidP="008427C2">
      <w:pPr>
        <w:rPr>
          <w:rFonts w:cs="Times New Roman"/>
          <w:szCs w:val="24"/>
        </w:rPr>
      </w:pPr>
    </w:p>
    <w:p w:rsidR="00D86FD7" w:rsidRDefault="008427C2" w:rsidP="008427C2">
      <w:pPr>
        <w:rPr>
          <w:rFonts w:cs="Times New Roman"/>
          <w:szCs w:val="24"/>
        </w:rPr>
      </w:pPr>
      <w:r>
        <w:rPr>
          <w:rFonts w:cs="Times New Roman"/>
          <w:szCs w:val="24"/>
        </w:rPr>
        <w:t>In preparation for th</w:t>
      </w:r>
      <w:r w:rsidR="00084008">
        <w:rPr>
          <w:rFonts w:cs="Times New Roman"/>
          <w:szCs w:val="24"/>
        </w:rPr>
        <w:t>e</w:t>
      </w:r>
      <w:r>
        <w:rPr>
          <w:rFonts w:cs="Times New Roman"/>
          <w:szCs w:val="24"/>
        </w:rPr>
        <w:t xml:space="preserve"> 201</w:t>
      </w:r>
      <w:r w:rsidR="00C147AB">
        <w:rPr>
          <w:rFonts w:cs="Times New Roman"/>
          <w:szCs w:val="24"/>
        </w:rPr>
        <w:t>6</w:t>
      </w:r>
      <w:r>
        <w:rPr>
          <w:rFonts w:cs="Times New Roman"/>
          <w:szCs w:val="24"/>
        </w:rPr>
        <w:t>-201</w:t>
      </w:r>
      <w:r w:rsidR="00C147AB">
        <w:rPr>
          <w:rFonts w:cs="Times New Roman"/>
          <w:szCs w:val="24"/>
        </w:rPr>
        <w:t>7</w:t>
      </w:r>
      <w:r>
        <w:rPr>
          <w:rFonts w:cs="Times New Roman"/>
          <w:szCs w:val="24"/>
        </w:rPr>
        <w:t xml:space="preserve"> bienni</w:t>
      </w:r>
      <w:r w:rsidR="00D86FD7">
        <w:rPr>
          <w:rFonts w:cs="Times New Roman"/>
          <w:szCs w:val="24"/>
        </w:rPr>
        <w:t>um</w:t>
      </w:r>
      <w:r w:rsidR="00084008">
        <w:rPr>
          <w:rFonts w:cs="Times New Roman"/>
          <w:szCs w:val="24"/>
        </w:rPr>
        <w:t xml:space="preserve"> target setting process</w:t>
      </w:r>
      <w:r>
        <w:rPr>
          <w:rFonts w:cs="Times New Roman"/>
          <w:szCs w:val="24"/>
        </w:rPr>
        <w:t xml:space="preserve">, the three utilities </w:t>
      </w:r>
      <w:r w:rsidR="00985EAE">
        <w:rPr>
          <w:rFonts w:cs="Times New Roman"/>
          <w:szCs w:val="24"/>
        </w:rPr>
        <w:t xml:space="preserve">met in August 2015 and </w:t>
      </w:r>
      <w:r w:rsidR="00C147AB">
        <w:rPr>
          <w:rFonts w:cs="Times New Roman"/>
          <w:szCs w:val="24"/>
        </w:rPr>
        <w:t>revisited th</w:t>
      </w:r>
      <w:r w:rsidR="00985EAE">
        <w:rPr>
          <w:rFonts w:cs="Times New Roman"/>
          <w:szCs w:val="24"/>
        </w:rPr>
        <w:t>e</w:t>
      </w:r>
      <w:r w:rsidR="00C147AB">
        <w:rPr>
          <w:rFonts w:cs="Times New Roman"/>
          <w:szCs w:val="24"/>
        </w:rPr>
        <w:t xml:space="preserve"> treatment and methodology with Commission staff and DSM advisory groups. It was determined that although there could be reporting clarifications</w:t>
      </w:r>
      <w:r w:rsidR="00D86FD7">
        <w:rPr>
          <w:rFonts w:cs="Times New Roman"/>
          <w:szCs w:val="24"/>
        </w:rPr>
        <w:t xml:space="preserve"> made, particularly </w:t>
      </w:r>
      <w:r w:rsidR="00084008">
        <w:rPr>
          <w:rFonts w:cs="Times New Roman"/>
          <w:szCs w:val="24"/>
        </w:rPr>
        <w:t xml:space="preserve">with </w:t>
      </w:r>
      <w:r w:rsidR="00D86FD7">
        <w:rPr>
          <w:rFonts w:cs="Times New Roman"/>
          <w:szCs w:val="24"/>
        </w:rPr>
        <w:t xml:space="preserve">how NEEA savings related to percent of goal achievement tracked by the Department of Commerce, the </w:t>
      </w:r>
      <w:r w:rsidR="00C147AB">
        <w:rPr>
          <w:rFonts w:cs="Times New Roman"/>
          <w:szCs w:val="24"/>
        </w:rPr>
        <w:t>methodology</w:t>
      </w:r>
      <w:r w:rsidR="00D86FD7">
        <w:rPr>
          <w:rFonts w:cs="Times New Roman"/>
          <w:szCs w:val="24"/>
        </w:rPr>
        <w:t xml:space="preserve"> worked well and would be used again for the </w:t>
      </w:r>
      <w:r w:rsidR="00084008">
        <w:rPr>
          <w:rFonts w:cs="Times New Roman"/>
          <w:szCs w:val="24"/>
        </w:rPr>
        <w:t>coming</w:t>
      </w:r>
      <w:r w:rsidR="00D86FD7">
        <w:rPr>
          <w:rFonts w:cs="Times New Roman"/>
          <w:szCs w:val="24"/>
        </w:rPr>
        <w:t xml:space="preserve"> biennium. As a result, PacifiCorp requested NEEA prepare a 2016-2017 savings forecast for the Company’s Washington service area for use in </w:t>
      </w:r>
      <w:r w:rsidR="003D32D1">
        <w:rPr>
          <w:rFonts w:cs="Times New Roman"/>
          <w:szCs w:val="24"/>
        </w:rPr>
        <w:t xml:space="preserve">adjusting our 2016-2017 </w:t>
      </w:r>
      <w:r w:rsidR="00D86FD7">
        <w:rPr>
          <w:rFonts w:cs="Times New Roman"/>
          <w:szCs w:val="24"/>
        </w:rPr>
        <w:t>biennial target</w:t>
      </w:r>
      <w:r>
        <w:rPr>
          <w:rFonts w:cs="Times New Roman"/>
          <w:szCs w:val="24"/>
        </w:rPr>
        <w:t xml:space="preserve">. </w:t>
      </w:r>
    </w:p>
    <w:p w:rsidR="00D86FD7" w:rsidRDefault="00D86FD7" w:rsidP="008427C2">
      <w:pPr>
        <w:rPr>
          <w:rFonts w:cs="Times New Roman"/>
          <w:szCs w:val="24"/>
        </w:rPr>
      </w:pPr>
    </w:p>
    <w:p w:rsidR="00D80844" w:rsidRDefault="0090517A" w:rsidP="008427C2">
      <w:pPr>
        <w:rPr>
          <w:rFonts w:cs="Times New Roman"/>
          <w:szCs w:val="24"/>
        </w:rPr>
      </w:pPr>
      <w:r>
        <w:rPr>
          <w:rFonts w:cs="Times New Roman"/>
          <w:szCs w:val="24"/>
        </w:rPr>
        <w:t xml:space="preserve">The forecast provided by NEEA to PacifiCorp detailing the methodology and forecast is included as Appendix 9 to this </w:t>
      </w:r>
      <w:r w:rsidR="0021638E">
        <w:rPr>
          <w:rFonts w:cs="Times New Roman"/>
          <w:szCs w:val="24"/>
        </w:rPr>
        <w:t>report</w:t>
      </w:r>
      <w:r>
        <w:rPr>
          <w:rFonts w:cs="Times New Roman"/>
          <w:szCs w:val="24"/>
        </w:rPr>
        <w:t xml:space="preserve">. </w:t>
      </w:r>
      <w:r w:rsidR="00C72E0C">
        <w:rPr>
          <w:rFonts w:cs="Times New Roman"/>
          <w:szCs w:val="24"/>
        </w:rPr>
        <w:t xml:space="preserve">As NEEA forecasts savings at the customer site, the </w:t>
      </w:r>
      <w:r w:rsidR="00AD52FB">
        <w:rPr>
          <w:rFonts w:cs="Times New Roman"/>
          <w:szCs w:val="24"/>
        </w:rPr>
        <w:t xml:space="preserve">Company </w:t>
      </w:r>
      <w:r w:rsidR="00C72E0C">
        <w:rPr>
          <w:rFonts w:cs="Times New Roman"/>
          <w:szCs w:val="24"/>
        </w:rPr>
        <w:t>gross</w:t>
      </w:r>
      <w:r w:rsidR="00AD52FB">
        <w:rPr>
          <w:rFonts w:cs="Times New Roman"/>
          <w:szCs w:val="24"/>
        </w:rPr>
        <w:t>ed</w:t>
      </w:r>
      <w:r w:rsidR="00C72E0C">
        <w:rPr>
          <w:rFonts w:cs="Times New Roman"/>
          <w:szCs w:val="24"/>
        </w:rPr>
        <w:t xml:space="preserve"> the forecast up to the generator using PacifiCorp’s sector-specific line losses, for consistency with the other numbers presented in this document. </w:t>
      </w:r>
      <w:r w:rsidR="0021638E">
        <w:rPr>
          <w:rFonts w:cs="Times New Roman"/>
          <w:szCs w:val="24"/>
        </w:rPr>
        <w:t xml:space="preserve">The generator-level savings  are  </w:t>
      </w:r>
      <w:r w:rsidR="003D32D1">
        <w:rPr>
          <w:rFonts w:cs="Times New Roman"/>
          <w:szCs w:val="24"/>
        </w:rPr>
        <w:t>2,176</w:t>
      </w:r>
      <w:r w:rsidR="00D21319">
        <w:rPr>
          <w:rFonts w:cs="Times New Roman"/>
          <w:szCs w:val="24"/>
        </w:rPr>
        <w:t xml:space="preserve"> MWh</w:t>
      </w:r>
      <w:r w:rsidR="003D32D1">
        <w:rPr>
          <w:rFonts w:cs="Times New Roman"/>
          <w:szCs w:val="24"/>
        </w:rPr>
        <w:t xml:space="preserve"> and 3,069 MWh</w:t>
      </w:r>
      <w:r w:rsidR="00D21319">
        <w:rPr>
          <w:rFonts w:cs="Times New Roman"/>
          <w:szCs w:val="24"/>
        </w:rPr>
        <w:t xml:space="preserve"> for 201</w:t>
      </w:r>
      <w:r w:rsidR="00AD52FB">
        <w:rPr>
          <w:rFonts w:cs="Times New Roman"/>
          <w:szCs w:val="24"/>
        </w:rPr>
        <w:t>6</w:t>
      </w:r>
      <w:r w:rsidR="00D21319">
        <w:rPr>
          <w:rFonts w:cs="Times New Roman"/>
          <w:szCs w:val="24"/>
        </w:rPr>
        <w:t xml:space="preserve"> and 201</w:t>
      </w:r>
      <w:r w:rsidR="00AD52FB">
        <w:rPr>
          <w:rFonts w:cs="Times New Roman"/>
          <w:szCs w:val="24"/>
        </w:rPr>
        <w:t>7</w:t>
      </w:r>
      <w:r w:rsidR="00D21319">
        <w:rPr>
          <w:rFonts w:cs="Times New Roman"/>
          <w:szCs w:val="24"/>
        </w:rPr>
        <w:t xml:space="preserve">, respectively. As specified in the joint utility proposal, these savings are subtracted from </w:t>
      </w:r>
      <w:r w:rsidR="0021638E">
        <w:rPr>
          <w:rFonts w:cs="Times New Roman"/>
          <w:szCs w:val="24"/>
        </w:rPr>
        <w:t xml:space="preserve">the first two years of </w:t>
      </w:r>
      <w:r w:rsidR="00D21319">
        <w:rPr>
          <w:rFonts w:cs="Times New Roman"/>
          <w:szCs w:val="24"/>
        </w:rPr>
        <w:t xml:space="preserve">PacifiCorp’s conservation forecast to arrive at the energy efficiency component of the </w:t>
      </w:r>
      <w:r w:rsidR="0021638E">
        <w:rPr>
          <w:rFonts w:cs="Times New Roman"/>
          <w:szCs w:val="24"/>
        </w:rPr>
        <w:t xml:space="preserve">Company’s </w:t>
      </w:r>
      <w:r w:rsidR="00D21319">
        <w:rPr>
          <w:rFonts w:cs="Times New Roman"/>
          <w:szCs w:val="24"/>
        </w:rPr>
        <w:t>201</w:t>
      </w:r>
      <w:r w:rsidR="00AD52FB">
        <w:rPr>
          <w:rFonts w:cs="Times New Roman"/>
          <w:szCs w:val="24"/>
        </w:rPr>
        <w:t>6</w:t>
      </w:r>
      <w:r w:rsidR="00D21319">
        <w:rPr>
          <w:rFonts w:cs="Times New Roman"/>
          <w:szCs w:val="24"/>
        </w:rPr>
        <w:t>-201</w:t>
      </w:r>
      <w:r w:rsidR="00AD52FB">
        <w:rPr>
          <w:rFonts w:cs="Times New Roman"/>
          <w:szCs w:val="24"/>
        </w:rPr>
        <w:t>7</w:t>
      </w:r>
      <w:r w:rsidR="00615B33">
        <w:rPr>
          <w:rFonts w:cs="Times New Roman"/>
          <w:szCs w:val="24"/>
        </w:rPr>
        <w:t xml:space="preserve"> biennial conservation </w:t>
      </w:r>
      <w:r w:rsidR="0021638E">
        <w:rPr>
          <w:rFonts w:cs="Times New Roman"/>
          <w:szCs w:val="24"/>
        </w:rPr>
        <w:t>target</w:t>
      </w:r>
      <w:r w:rsidR="00615B33">
        <w:rPr>
          <w:rFonts w:cs="Times New Roman"/>
          <w:szCs w:val="24"/>
        </w:rPr>
        <w:t>.</w:t>
      </w:r>
    </w:p>
    <w:p w:rsidR="00200C12" w:rsidRPr="00200C12" w:rsidRDefault="00200C12" w:rsidP="00200C12">
      <w:pPr>
        <w:rPr>
          <w:rFonts w:cs="Times New Roman"/>
          <w:szCs w:val="24"/>
        </w:rPr>
      </w:pPr>
    </w:p>
    <w:p w:rsidR="009209CD" w:rsidRPr="000C5344" w:rsidRDefault="009209CD" w:rsidP="00670B9D">
      <w:pPr>
        <w:rPr>
          <w:rFonts w:cs="Times New Roman"/>
          <w:b/>
          <w:szCs w:val="24"/>
        </w:rPr>
      </w:pPr>
      <w:r>
        <w:rPr>
          <w:rFonts w:cs="Times New Roman"/>
          <w:b/>
          <w:szCs w:val="24"/>
        </w:rPr>
        <w:t>Distribution</w:t>
      </w:r>
      <w:r w:rsidRPr="009209CD">
        <w:rPr>
          <w:rFonts w:cs="Times New Roman"/>
          <w:b/>
          <w:szCs w:val="24"/>
        </w:rPr>
        <w:t xml:space="preserve"> Efficiency</w:t>
      </w:r>
    </w:p>
    <w:p w:rsidR="00670B9D" w:rsidRDefault="00670B9D" w:rsidP="00A80155">
      <w:pPr>
        <w:rPr>
          <w:rFonts w:cs="Times New Roman"/>
          <w:szCs w:val="24"/>
          <w:u w:val="single"/>
        </w:rPr>
      </w:pPr>
    </w:p>
    <w:p w:rsidR="00670B9D" w:rsidRPr="00432C28" w:rsidRDefault="00AC499E" w:rsidP="00670B9D">
      <w:pPr>
        <w:rPr>
          <w:rFonts w:cs="Times New Roman"/>
          <w:szCs w:val="24"/>
        </w:rPr>
      </w:pPr>
      <w:r>
        <w:rPr>
          <w:rFonts w:cs="Times New Roman"/>
          <w:szCs w:val="24"/>
        </w:rPr>
        <w:t xml:space="preserve">For the reasons discussed </w:t>
      </w:r>
      <w:r w:rsidR="00634938">
        <w:rPr>
          <w:rFonts w:cs="Times New Roman"/>
          <w:szCs w:val="24"/>
        </w:rPr>
        <w:t>in the previous section of this document</w:t>
      </w:r>
      <w:r>
        <w:rPr>
          <w:rFonts w:cs="Times New Roman"/>
          <w:szCs w:val="24"/>
        </w:rPr>
        <w:t xml:space="preserve">, no cost-effective, reliable, and feasible distribution efficiency potential </w:t>
      </w:r>
      <w:r w:rsidR="0027089F">
        <w:rPr>
          <w:rFonts w:cs="Times New Roman"/>
          <w:szCs w:val="24"/>
        </w:rPr>
        <w:t xml:space="preserve">was identified for inclusion in the Company’s </w:t>
      </w:r>
      <w:r>
        <w:rPr>
          <w:rFonts w:cs="Times New Roman"/>
          <w:szCs w:val="24"/>
        </w:rPr>
        <w:t>201</w:t>
      </w:r>
      <w:r w:rsidR="00EA3370">
        <w:rPr>
          <w:rFonts w:cs="Times New Roman"/>
          <w:szCs w:val="24"/>
        </w:rPr>
        <w:t>6</w:t>
      </w:r>
      <w:r>
        <w:rPr>
          <w:rFonts w:cs="Times New Roman"/>
          <w:szCs w:val="24"/>
        </w:rPr>
        <w:t>-202</w:t>
      </w:r>
      <w:r w:rsidR="00EA3370">
        <w:rPr>
          <w:rFonts w:cs="Times New Roman"/>
          <w:szCs w:val="24"/>
        </w:rPr>
        <w:t>5</w:t>
      </w:r>
      <w:r>
        <w:rPr>
          <w:rFonts w:cs="Times New Roman"/>
          <w:szCs w:val="24"/>
        </w:rPr>
        <w:t xml:space="preserve"> </w:t>
      </w:r>
      <w:r w:rsidR="0027089F">
        <w:rPr>
          <w:rFonts w:cs="Times New Roman"/>
          <w:szCs w:val="24"/>
        </w:rPr>
        <w:t>conservation forecast</w:t>
      </w:r>
      <w:r>
        <w:rPr>
          <w:rFonts w:cs="Times New Roman"/>
          <w:szCs w:val="24"/>
        </w:rPr>
        <w:t>. Thus, distribution efficiency is not included in the 201</w:t>
      </w:r>
      <w:r w:rsidR="00EA3370">
        <w:rPr>
          <w:rFonts w:cs="Times New Roman"/>
          <w:szCs w:val="24"/>
        </w:rPr>
        <w:t>6</w:t>
      </w:r>
      <w:r>
        <w:rPr>
          <w:rFonts w:cs="Times New Roman"/>
          <w:szCs w:val="24"/>
        </w:rPr>
        <w:t>-201</w:t>
      </w:r>
      <w:r w:rsidR="00EA3370">
        <w:rPr>
          <w:rFonts w:cs="Times New Roman"/>
          <w:szCs w:val="24"/>
        </w:rPr>
        <w:t>7</w:t>
      </w:r>
      <w:r>
        <w:rPr>
          <w:rFonts w:cs="Times New Roman"/>
          <w:szCs w:val="24"/>
        </w:rPr>
        <w:t xml:space="preserve"> biennial conservation target. </w:t>
      </w:r>
    </w:p>
    <w:p w:rsidR="00670B9D" w:rsidRPr="00432C28" w:rsidRDefault="00670B9D" w:rsidP="00A80155">
      <w:pPr>
        <w:rPr>
          <w:rFonts w:cs="Times New Roman"/>
          <w:szCs w:val="24"/>
          <w:u w:val="single"/>
        </w:rPr>
      </w:pPr>
    </w:p>
    <w:p w:rsidR="009209CD" w:rsidRPr="009209CD" w:rsidRDefault="009209CD" w:rsidP="009209CD">
      <w:pPr>
        <w:rPr>
          <w:rFonts w:cs="Times New Roman"/>
          <w:b/>
          <w:szCs w:val="24"/>
        </w:rPr>
      </w:pPr>
      <w:r w:rsidRPr="009209CD">
        <w:rPr>
          <w:rFonts w:cs="Times New Roman"/>
          <w:b/>
          <w:szCs w:val="24"/>
        </w:rPr>
        <w:t>Production Efficiency (in non-hydro generation facilities)</w:t>
      </w:r>
    </w:p>
    <w:p w:rsidR="009209CD" w:rsidRDefault="009209CD" w:rsidP="009545DC">
      <w:pPr>
        <w:autoSpaceDE w:val="0"/>
        <w:autoSpaceDN w:val="0"/>
        <w:rPr>
          <w:highlight w:val="yellow"/>
        </w:rPr>
      </w:pPr>
    </w:p>
    <w:p w:rsidR="00EA3370" w:rsidRPr="00432C28" w:rsidRDefault="0027089F" w:rsidP="00EA3370">
      <w:pPr>
        <w:rPr>
          <w:rFonts w:cs="Times New Roman"/>
          <w:szCs w:val="24"/>
        </w:rPr>
      </w:pPr>
      <w:r>
        <w:rPr>
          <w:rFonts w:cs="Times New Roman"/>
          <w:szCs w:val="24"/>
        </w:rPr>
        <w:t>For the reasons discussed in the previous section of this document, no cost-effective, reliable, and feasible production efficiency potential was identified for inclusion in the Company’s 2016-2025 conservation forecast.</w:t>
      </w:r>
      <w:r w:rsidR="00EA3370">
        <w:rPr>
          <w:rFonts w:cs="Times New Roman"/>
          <w:szCs w:val="24"/>
        </w:rPr>
        <w:t xml:space="preserve"> Thus, production efficiency is not included in the 2016-2017 biennial conservation target. </w:t>
      </w:r>
    </w:p>
    <w:p w:rsidR="0051052F" w:rsidRPr="00432C28" w:rsidRDefault="0051052F" w:rsidP="0051052F">
      <w:pPr>
        <w:rPr>
          <w:rFonts w:cs="Times New Roman"/>
          <w:szCs w:val="24"/>
        </w:rPr>
      </w:pPr>
    </w:p>
    <w:p w:rsidR="00EA3370" w:rsidRDefault="00EA3370" w:rsidP="00A80155">
      <w:pPr>
        <w:rPr>
          <w:rFonts w:cs="Times New Roman"/>
          <w:b/>
          <w:szCs w:val="24"/>
        </w:rPr>
      </w:pPr>
      <w:r>
        <w:rPr>
          <w:rFonts w:cs="Times New Roman"/>
          <w:b/>
          <w:szCs w:val="24"/>
        </w:rPr>
        <w:t>High-Efficiency Cogeneration</w:t>
      </w:r>
    </w:p>
    <w:p w:rsidR="00EA3370" w:rsidRDefault="00EA3370" w:rsidP="00A80155">
      <w:pPr>
        <w:rPr>
          <w:rFonts w:cs="Times New Roman"/>
          <w:b/>
          <w:szCs w:val="24"/>
        </w:rPr>
      </w:pPr>
    </w:p>
    <w:p w:rsidR="00EA3370" w:rsidRDefault="0027089F" w:rsidP="00A80155">
      <w:pPr>
        <w:rPr>
          <w:rFonts w:cs="Times New Roman"/>
          <w:b/>
          <w:szCs w:val="24"/>
        </w:rPr>
      </w:pPr>
      <w:r>
        <w:rPr>
          <w:rFonts w:cs="Times New Roman"/>
          <w:szCs w:val="24"/>
        </w:rPr>
        <w:t xml:space="preserve">For the reasons discussed in the previous section of this document, no cost-effective, reliable, and feasible high-efficiency cogeneration potential was identified for inclusion in the Company’s 2016-2025 conservation forecast. </w:t>
      </w:r>
      <w:r w:rsidR="00EA3370">
        <w:rPr>
          <w:rFonts w:cs="Times New Roman"/>
          <w:szCs w:val="24"/>
        </w:rPr>
        <w:t>Thus, high-efficiency cogeneration is not included in the 2016-2017 biennial conservation target.</w:t>
      </w:r>
    </w:p>
    <w:p w:rsidR="00EA3370" w:rsidRDefault="00EA3370" w:rsidP="00A80155">
      <w:pPr>
        <w:rPr>
          <w:rFonts w:cs="Times New Roman"/>
          <w:i/>
          <w:szCs w:val="24"/>
        </w:rPr>
      </w:pPr>
    </w:p>
    <w:p w:rsidR="005C778F" w:rsidRDefault="005C778F" w:rsidP="005C778F">
      <w:pPr>
        <w:jc w:val="left"/>
        <w:rPr>
          <w:rFonts w:cs="Times New Roman"/>
        </w:rPr>
      </w:pPr>
      <w:bookmarkStart w:id="28" w:name="_Toc294088290"/>
    </w:p>
    <w:p w:rsidR="005C778F" w:rsidRDefault="005C778F" w:rsidP="005C778F">
      <w:pPr>
        <w:jc w:val="left"/>
        <w:rPr>
          <w:rFonts w:cs="Times New Roman"/>
        </w:rPr>
      </w:pPr>
    </w:p>
    <w:p w:rsidR="005C778F" w:rsidRDefault="005C778F" w:rsidP="005C778F">
      <w:pPr>
        <w:jc w:val="left"/>
        <w:rPr>
          <w:rFonts w:cs="Times New Roman"/>
        </w:rPr>
      </w:pPr>
    </w:p>
    <w:p w:rsidR="005C778F" w:rsidRDefault="005C778F" w:rsidP="005C778F">
      <w:pPr>
        <w:jc w:val="left"/>
        <w:rPr>
          <w:rFonts w:cs="Times New Roman"/>
        </w:rPr>
      </w:pPr>
    </w:p>
    <w:p w:rsidR="005C778F" w:rsidRDefault="005C778F" w:rsidP="005C778F">
      <w:pPr>
        <w:jc w:val="left"/>
        <w:rPr>
          <w:rFonts w:cs="Times New Roman"/>
        </w:rPr>
      </w:pPr>
    </w:p>
    <w:p w:rsidR="005C778F" w:rsidRDefault="005C778F" w:rsidP="005C778F">
      <w:pPr>
        <w:jc w:val="left"/>
        <w:rPr>
          <w:rFonts w:cs="Times New Roman"/>
        </w:rPr>
      </w:pPr>
    </w:p>
    <w:p w:rsidR="005C778F" w:rsidRDefault="005C778F" w:rsidP="005C778F">
      <w:pPr>
        <w:jc w:val="left"/>
        <w:rPr>
          <w:rFonts w:cs="Times New Roman"/>
        </w:rPr>
      </w:pPr>
    </w:p>
    <w:p w:rsidR="005C778F" w:rsidRDefault="005C778F" w:rsidP="005C778F">
      <w:pPr>
        <w:jc w:val="left"/>
        <w:rPr>
          <w:rFonts w:cs="Times New Roman"/>
        </w:rPr>
      </w:pPr>
    </w:p>
    <w:p w:rsidR="005C778F" w:rsidRDefault="005C778F" w:rsidP="005C778F">
      <w:pPr>
        <w:jc w:val="left"/>
        <w:rPr>
          <w:rFonts w:cs="Times New Roman"/>
        </w:rPr>
      </w:pPr>
    </w:p>
    <w:p w:rsidR="005C778F" w:rsidRDefault="005C778F" w:rsidP="005C778F">
      <w:pPr>
        <w:jc w:val="left"/>
        <w:rPr>
          <w:rFonts w:cs="Times New Roman"/>
        </w:rPr>
      </w:pPr>
    </w:p>
    <w:p w:rsidR="005C778F" w:rsidRDefault="005C778F" w:rsidP="005C778F">
      <w:pPr>
        <w:jc w:val="left"/>
        <w:rPr>
          <w:rFonts w:cs="Times New Roman"/>
        </w:rPr>
      </w:pPr>
    </w:p>
    <w:p w:rsidR="005C778F" w:rsidRDefault="005C778F" w:rsidP="005C778F">
      <w:pPr>
        <w:jc w:val="left"/>
        <w:rPr>
          <w:rFonts w:cs="Times New Roman"/>
        </w:rPr>
      </w:pPr>
    </w:p>
    <w:p w:rsidR="005C778F" w:rsidRDefault="005C778F" w:rsidP="005C778F">
      <w:pPr>
        <w:jc w:val="left"/>
        <w:rPr>
          <w:rFonts w:cs="Times New Roman"/>
        </w:rPr>
      </w:pPr>
    </w:p>
    <w:p w:rsidR="005C778F" w:rsidRDefault="005C778F" w:rsidP="005C778F">
      <w:pPr>
        <w:jc w:val="left"/>
        <w:rPr>
          <w:rFonts w:cs="Times New Roman"/>
        </w:rPr>
      </w:pPr>
    </w:p>
    <w:p w:rsidR="001D60A9" w:rsidRDefault="000E5C89" w:rsidP="005C778F">
      <w:pPr>
        <w:jc w:val="left"/>
        <w:rPr>
          <w:rFonts w:cs="Times New Roman"/>
          <w:u w:val="single"/>
        </w:rPr>
      </w:pPr>
      <w:r w:rsidRPr="00EA7191">
        <w:rPr>
          <w:rFonts w:cs="Times New Roman"/>
          <w:u w:val="single"/>
        </w:rPr>
        <w:t>Business Plan Summary Data</w:t>
      </w:r>
    </w:p>
    <w:p w:rsidR="00EA7191" w:rsidRDefault="00EA7191" w:rsidP="005C778F">
      <w:pPr>
        <w:jc w:val="left"/>
        <w:rPr>
          <w:rFonts w:cs="Times New Roman"/>
          <w:u w:val="single"/>
        </w:rPr>
      </w:pPr>
    </w:p>
    <w:p w:rsidR="00EA7191" w:rsidRDefault="00220638" w:rsidP="00EA7191">
      <w:pPr>
        <w:rPr>
          <w:rFonts w:cs="Times New Roman"/>
        </w:rPr>
      </w:pPr>
      <w:r>
        <w:fldChar w:fldCharType="begin"/>
      </w:r>
      <w:r>
        <w:instrText xml:space="preserve"> REF _Ref430705920 \h </w:instrText>
      </w:r>
      <w:r>
        <w:fldChar w:fldCharType="separate"/>
      </w:r>
      <w:r w:rsidR="00BC2AF1" w:rsidRPr="00220638">
        <w:t xml:space="preserve">Table </w:t>
      </w:r>
      <w:r w:rsidR="00BC2AF1">
        <w:rPr>
          <w:noProof/>
        </w:rPr>
        <w:t>8</w:t>
      </w:r>
      <w:r>
        <w:fldChar w:fldCharType="end"/>
      </w:r>
      <w:r w:rsidR="00EA7191" w:rsidRPr="00432C28">
        <w:rPr>
          <w:rFonts w:cs="Times New Roman"/>
        </w:rPr>
        <w:t xml:space="preserve"> provides individual program summary data for the Company’s proposed programs for the 201</w:t>
      </w:r>
      <w:r w:rsidR="00EA7191">
        <w:rPr>
          <w:rFonts w:cs="Times New Roman"/>
        </w:rPr>
        <w:t>6</w:t>
      </w:r>
      <w:r w:rsidR="00EA7191" w:rsidRPr="00432C28">
        <w:rPr>
          <w:rFonts w:cs="Times New Roman"/>
        </w:rPr>
        <w:t>-201</w:t>
      </w:r>
      <w:r w:rsidR="00EA7191">
        <w:rPr>
          <w:rFonts w:cs="Times New Roman"/>
        </w:rPr>
        <w:t>7</w:t>
      </w:r>
      <w:r w:rsidR="00EA7191" w:rsidRPr="00432C28">
        <w:rPr>
          <w:rFonts w:cs="Times New Roman"/>
        </w:rPr>
        <w:t xml:space="preserve"> biennial period. The table provides projected costs, savings, and savings forecast as a percentage of customer sector and total portfolio savings. Actual savings and costs may vary over the course of the biennial period. Circumstances which result in significant variations will be addressed in a manner or process as described in the adaptive management strategies section of this report. The Business Plan in its entirety is provided as Appendix 7 to this report.</w:t>
      </w:r>
    </w:p>
    <w:p w:rsidR="00EA7191" w:rsidRDefault="00EA7191" w:rsidP="00EA7191">
      <w:pPr>
        <w:rPr>
          <w:rFonts w:cs="Times New Roman"/>
          <w:i/>
          <w:szCs w:val="24"/>
        </w:rPr>
      </w:pPr>
    </w:p>
    <w:p w:rsidR="00EA7191" w:rsidRPr="00220638" w:rsidRDefault="00220638" w:rsidP="00220638">
      <w:pPr>
        <w:pStyle w:val="Caption"/>
      </w:pPr>
      <w:bookmarkStart w:id="29" w:name="_Ref430705920"/>
      <w:bookmarkStart w:id="30" w:name="_Toc430706310"/>
      <w:r w:rsidRPr="00220638">
        <w:t xml:space="preserve">Table </w:t>
      </w:r>
      <w:fldSimple w:instr=" SEQ Table \* ARABIC ">
        <w:r w:rsidR="00BC2AF1">
          <w:rPr>
            <w:noProof/>
          </w:rPr>
          <w:t>8</w:t>
        </w:r>
      </w:fldSimple>
      <w:bookmarkEnd w:id="29"/>
      <w:r w:rsidRPr="00220638">
        <w:t xml:space="preserve">: </w:t>
      </w:r>
      <w:r w:rsidR="00EA7191" w:rsidRPr="00220638">
        <w:t>2016-2017 Demand-Side Management Business Plan Summary</w:t>
      </w:r>
      <w:bookmarkEnd w:id="30"/>
    </w:p>
    <w:p w:rsidR="00EA7191" w:rsidRDefault="00EA7191" w:rsidP="005C778F">
      <w:pPr>
        <w:jc w:val="left"/>
        <w:rPr>
          <w:rFonts w:cs="Times New Roman"/>
          <w:u w:val="single"/>
        </w:rPr>
      </w:pPr>
    </w:p>
    <w:p w:rsidR="00361918" w:rsidRDefault="00361918" w:rsidP="00EA7191">
      <w:pPr>
        <w:rPr>
          <w:rFonts w:cs="Times New Roman"/>
        </w:rPr>
      </w:pPr>
    </w:p>
    <w:p w:rsidR="00597FCE" w:rsidRDefault="00597FCE" w:rsidP="00EA7191">
      <w:pPr>
        <w:rPr>
          <w:rFonts w:cs="Times New Roman"/>
        </w:rPr>
      </w:pPr>
    </w:p>
    <w:p w:rsidR="00597FCE" w:rsidRDefault="00597FCE" w:rsidP="00EA7191">
      <w:pPr>
        <w:rPr>
          <w:rFonts w:cs="Times New Roman"/>
        </w:rPr>
      </w:pPr>
      <w:r w:rsidRPr="00597FCE">
        <w:rPr>
          <w:noProof/>
        </w:rPr>
        <w:drawing>
          <wp:inline distT="0" distB="0" distL="0" distR="0" wp14:anchorId="274A3859" wp14:editId="656069E6">
            <wp:extent cx="5943600" cy="3898929"/>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43600" cy="3898929"/>
                    </a:xfrm>
                    <a:prstGeom prst="rect">
                      <a:avLst/>
                    </a:prstGeom>
                    <a:noFill/>
                    <a:ln>
                      <a:noFill/>
                    </a:ln>
                  </pic:spPr>
                </pic:pic>
              </a:graphicData>
            </a:graphic>
          </wp:inline>
        </w:drawing>
      </w:r>
    </w:p>
    <w:bookmarkEnd w:id="28"/>
    <w:p w:rsidR="003B3777" w:rsidRPr="00E17BD7" w:rsidRDefault="003B3777" w:rsidP="00B74FFD">
      <w:pPr>
        <w:rPr>
          <w:rFonts w:cs="Times New Roman"/>
          <w:szCs w:val="24"/>
          <w:highlight w:val="yellow"/>
        </w:rPr>
      </w:pPr>
    </w:p>
    <w:p w:rsidR="008D616F" w:rsidRPr="00E107CD" w:rsidRDefault="003B3777">
      <w:pPr>
        <w:rPr>
          <w:rFonts w:cs="Times New Roman"/>
          <w:sz w:val="20"/>
          <w:szCs w:val="20"/>
        </w:rPr>
      </w:pPr>
      <w:r w:rsidRPr="00E107CD">
        <w:rPr>
          <w:rFonts w:cs="Times New Roman"/>
          <w:sz w:val="20"/>
          <w:szCs w:val="20"/>
        </w:rPr>
        <w:t>Note</w:t>
      </w:r>
      <w:r w:rsidR="00906DA7">
        <w:rPr>
          <w:rFonts w:cs="Times New Roman"/>
          <w:sz w:val="20"/>
          <w:szCs w:val="20"/>
        </w:rPr>
        <w:t>(</w:t>
      </w:r>
      <w:r w:rsidRPr="00E107CD">
        <w:rPr>
          <w:rFonts w:cs="Times New Roman"/>
          <w:sz w:val="20"/>
          <w:szCs w:val="20"/>
        </w:rPr>
        <w:t>s</w:t>
      </w:r>
      <w:r w:rsidR="00906DA7">
        <w:rPr>
          <w:rFonts w:cs="Times New Roman"/>
          <w:sz w:val="20"/>
          <w:szCs w:val="20"/>
        </w:rPr>
        <w:t>)</w:t>
      </w:r>
      <w:r w:rsidRPr="00E107CD">
        <w:rPr>
          <w:rFonts w:cs="Times New Roman"/>
          <w:sz w:val="20"/>
          <w:szCs w:val="20"/>
        </w:rPr>
        <w:t>:</w:t>
      </w:r>
    </w:p>
    <w:p w:rsidR="003B3777" w:rsidRDefault="00E107CD" w:rsidP="003B3777">
      <w:pPr>
        <w:pStyle w:val="ListParagraph"/>
        <w:numPr>
          <w:ilvl w:val="0"/>
          <w:numId w:val="25"/>
        </w:numPr>
        <w:rPr>
          <w:rFonts w:cs="Times New Roman"/>
          <w:sz w:val="20"/>
          <w:szCs w:val="20"/>
        </w:rPr>
      </w:pPr>
      <w:r>
        <w:rPr>
          <w:rFonts w:cs="Times New Roman"/>
          <w:sz w:val="20"/>
          <w:szCs w:val="20"/>
        </w:rPr>
        <w:t>The three totals presented in this table are defined as follows:</w:t>
      </w:r>
    </w:p>
    <w:p w:rsidR="00E107CD" w:rsidRPr="00E107CD" w:rsidRDefault="00E107CD" w:rsidP="00E107CD">
      <w:pPr>
        <w:pStyle w:val="ListParagraph"/>
        <w:numPr>
          <w:ilvl w:val="1"/>
          <w:numId w:val="25"/>
        </w:numPr>
        <w:rPr>
          <w:rFonts w:cs="Times New Roman"/>
          <w:b/>
          <w:sz w:val="20"/>
          <w:szCs w:val="20"/>
        </w:rPr>
      </w:pPr>
      <w:r w:rsidRPr="00E107CD">
        <w:rPr>
          <w:rFonts w:cs="Times New Roman"/>
          <w:b/>
          <w:sz w:val="20"/>
          <w:szCs w:val="20"/>
        </w:rPr>
        <w:t>Total PacifiCorp Conservation</w:t>
      </w:r>
      <w:r>
        <w:rPr>
          <w:rFonts w:cs="Times New Roman"/>
          <w:b/>
          <w:sz w:val="20"/>
          <w:szCs w:val="20"/>
        </w:rPr>
        <w:t xml:space="preserve">: </w:t>
      </w:r>
      <w:r w:rsidRPr="00E107CD">
        <w:rPr>
          <w:rFonts w:cs="Times New Roman"/>
          <w:sz w:val="20"/>
          <w:szCs w:val="20"/>
        </w:rPr>
        <w:t xml:space="preserve">All expenditures and savings attributed to PacifiCorp’s direct conservation efforts </w:t>
      </w:r>
      <w:r>
        <w:rPr>
          <w:rFonts w:cs="Times New Roman"/>
          <w:sz w:val="20"/>
          <w:szCs w:val="20"/>
        </w:rPr>
        <w:t>(excludes</w:t>
      </w:r>
      <w:r w:rsidRPr="00E107CD">
        <w:rPr>
          <w:rFonts w:cs="Times New Roman"/>
          <w:sz w:val="20"/>
          <w:szCs w:val="20"/>
        </w:rPr>
        <w:t xml:space="preserve"> NEEA initiatives</w:t>
      </w:r>
      <w:r>
        <w:rPr>
          <w:rFonts w:cs="Times New Roman"/>
          <w:sz w:val="20"/>
          <w:szCs w:val="20"/>
        </w:rPr>
        <w:t>)</w:t>
      </w:r>
      <w:r w:rsidRPr="00E107CD">
        <w:rPr>
          <w:rFonts w:cs="Times New Roman"/>
          <w:sz w:val="20"/>
          <w:szCs w:val="20"/>
        </w:rPr>
        <w:t>.</w:t>
      </w:r>
      <w:r>
        <w:rPr>
          <w:rFonts w:cs="Times New Roman"/>
          <w:sz w:val="20"/>
          <w:szCs w:val="20"/>
        </w:rPr>
        <w:t xml:space="preserve"> Forecasted savings are directly comparable to the Biennial Conservation Target.</w:t>
      </w:r>
    </w:p>
    <w:p w:rsidR="00E107CD" w:rsidRPr="00E107CD" w:rsidRDefault="00E107CD" w:rsidP="00E107CD">
      <w:pPr>
        <w:pStyle w:val="ListParagraph"/>
        <w:numPr>
          <w:ilvl w:val="1"/>
          <w:numId w:val="25"/>
        </w:numPr>
        <w:rPr>
          <w:rFonts w:cs="Times New Roman"/>
          <w:b/>
          <w:sz w:val="20"/>
          <w:szCs w:val="20"/>
        </w:rPr>
      </w:pPr>
      <w:r>
        <w:rPr>
          <w:rFonts w:cs="Times New Roman"/>
          <w:b/>
          <w:sz w:val="20"/>
          <w:szCs w:val="20"/>
        </w:rPr>
        <w:t xml:space="preserve">Total </w:t>
      </w:r>
      <w:r w:rsidRPr="00E107CD">
        <w:rPr>
          <w:rFonts w:cs="Times New Roman"/>
          <w:b/>
          <w:sz w:val="20"/>
          <w:szCs w:val="20"/>
        </w:rPr>
        <w:t>System Benefit Charge Conservation:</w:t>
      </w:r>
      <w:r>
        <w:rPr>
          <w:rFonts w:cs="Times New Roman"/>
          <w:b/>
          <w:sz w:val="20"/>
          <w:szCs w:val="20"/>
        </w:rPr>
        <w:t xml:space="preserve"> </w:t>
      </w:r>
      <w:r w:rsidRPr="00E107CD">
        <w:rPr>
          <w:rFonts w:cs="Times New Roman"/>
          <w:sz w:val="20"/>
          <w:szCs w:val="20"/>
        </w:rPr>
        <w:t>All expenditures and associated savings that will be recovered through the System Benefit Charge.</w:t>
      </w:r>
    </w:p>
    <w:p w:rsidR="00E107CD" w:rsidRPr="00E107CD" w:rsidRDefault="00E107CD" w:rsidP="00E107CD">
      <w:pPr>
        <w:pStyle w:val="ListParagraph"/>
        <w:numPr>
          <w:ilvl w:val="1"/>
          <w:numId w:val="25"/>
        </w:numPr>
        <w:rPr>
          <w:rFonts w:cs="Times New Roman"/>
          <w:b/>
          <w:sz w:val="20"/>
          <w:szCs w:val="20"/>
        </w:rPr>
      </w:pPr>
      <w:r w:rsidRPr="00E107CD">
        <w:rPr>
          <w:rFonts w:cs="Times New Roman"/>
          <w:b/>
          <w:sz w:val="20"/>
          <w:szCs w:val="20"/>
        </w:rPr>
        <w:t xml:space="preserve">Total Conservation: </w:t>
      </w:r>
      <w:r w:rsidRPr="00E107CD">
        <w:rPr>
          <w:rFonts w:cs="Times New Roman"/>
          <w:sz w:val="20"/>
          <w:szCs w:val="20"/>
        </w:rPr>
        <w:t>All expenditures and savings from all programs and initiatives shown in the table.</w:t>
      </w:r>
    </w:p>
    <w:p w:rsidR="001D60A9" w:rsidRPr="00E17BD7" w:rsidRDefault="003E5254">
      <w:pPr>
        <w:pStyle w:val="ListParagraph"/>
        <w:numPr>
          <w:ilvl w:val="0"/>
          <w:numId w:val="25"/>
        </w:numPr>
        <w:rPr>
          <w:rFonts w:cs="Times New Roman"/>
          <w:szCs w:val="24"/>
          <w:highlight w:val="yellow"/>
        </w:rPr>
      </w:pPr>
      <w:r w:rsidRPr="00E17BD7">
        <w:rPr>
          <w:rFonts w:cs="Times New Roman"/>
          <w:szCs w:val="24"/>
          <w:highlight w:val="yellow"/>
        </w:rPr>
        <w:br w:type="page"/>
      </w:r>
    </w:p>
    <w:p w:rsidR="003E5254" w:rsidRPr="00432C28" w:rsidRDefault="003E5254" w:rsidP="00BB210D">
      <w:pPr>
        <w:pStyle w:val="Heading1"/>
        <w:rPr>
          <w:rFonts w:ascii="Times New Roman" w:hAnsi="Times New Roman" w:cs="Times New Roman"/>
        </w:rPr>
      </w:pPr>
      <w:bookmarkStart w:id="31" w:name="_Toc294088291"/>
      <w:bookmarkStart w:id="32" w:name="_Toc431301349"/>
      <w:r w:rsidRPr="00432C28">
        <w:rPr>
          <w:rFonts w:ascii="Times New Roman" w:hAnsi="Times New Roman" w:cs="Times New Roman"/>
        </w:rPr>
        <w:t>Stakeholder Engagement</w:t>
      </w:r>
      <w:bookmarkStart w:id="33" w:name="_Toc294087423"/>
      <w:bookmarkStart w:id="34" w:name="_Toc294087670"/>
      <w:bookmarkEnd w:id="31"/>
      <w:bookmarkEnd w:id="33"/>
      <w:bookmarkEnd w:id="34"/>
      <w:bookmarkEnd w:id="32"/>
    </w:p>
    <w:p w:rsidR="00D01F0D" w:rsidRPr="00432C28" w:rsidRDefault="00D01F0D" w:rsidP="00D01F0D">
      <w:pPr>
        <w:rPr>
          <w:rFonts w:cs="Times New Roman"/>
          <w:szCs w:val="24"/>
        </w:rPr>
      </w:pPr>
    </w:p>
    <w:p w:rsidR="00851C7D" w:rsidRPr="00432C28" w:rsidRDefault="000510AB" w:rsidP="00851C7D">
      <w:pPr>
        <w:rPr>
          <w:rFonts w:cs="Times New Roman"/>
          <w:szCs w:val="24"/>
        </w:rPr>
      </w:pPr>
      <w:r w:rsidRPr="00432C28">
        <w:rPr>
          <w:rFonts w:cs="Times New Roman"/>
          <w:bCs/>
          <w:szCs w:val="24"/>
        </w:rPr>
        <w:t>To demonstrate</w:t>
      </w:r>
      <w:r w:rsidR="00E81DC2" w:rsidRPr="00432C28">
        <w:rPr>
          <w:rFonts w:cs="Times New Roman"/>
          <w:bCs/>
          <w:szCs w:val="24"/>
        </w:rPr>
        <w:t xml:space="preserve"> the C</w:t>
      </w:r>
      <w:r w:rsidR="00251422">
        <w:rPr>
          <w:rFonts w:cs="Times New Roman"/>
          <w:bCs/>
          <w:szCs w:val="24"/>
        </w:rPr>
        <w:t>ompany’s compliance with Order 01</w:t>
      </w:r>
      <w:r w:rsidR="00E81DC2" w:rsidRPr="00432C28">
        <w:rPr>
          <w:rFonts w:cs="Times New Roman"/>
          <w:bCs/>
          <w:szCs w:val="24"/>
        </w:rPr>
        <w:t xml:space="preserve"> </w:t>
      </w:r>
      <w:r w:rsidR="00D22EE8" w:rsidRPr="00432C28">
        <w:rPr>
          <w:rFonts w:cs="Times New Roman"/>
          <w:bCs/>
          <w:szCs w:val="24"/>
        </w:rPr>
        <w:t>(</w:t>
      </w:r>
      <w:r w:rsidR="00D22EE8" w:rsidRPr="00432C28">
        <w:rPr>
          <w:rFonts w:cs="Times New Roman"/>
        </w:rPr>
        <w:t xml:space="preserve">section 9 of the ordering section) </w:t>
      </w:r>
      <w:r w:rsidR="00D22EE8" w:rsidRPr="00432C28">
        <w:rPr>
          <w:rFonts w:cs="Times New Roman"/>
          <w:bCs/>
          <w:szCs w:val="24"/>
        </w:rPr>
        <w:t>in</w:t>
      </w:r>
      <w:r w:rsidR="00E81DC2" w:rsidRPr="00432C28">
        <w:rPr>
          <w:rFonts w:cs="Times New Roman"/>
          <w:bCs/>
          <w:szCs w:val="24"/>
        </w:rPr>
        <w:t xml:space="preserve"> Docket </w:t>
      </w:r>
      <w:r w:rsidR="00EC283F" w:rsidRPr="00432C28">
        <w:rPr>
          <w:rFonts w:cs="Times New Roman"/>
          <w:bCs/>
          <w:szCs w:val="24"/>
        </w:rPr>
        <w:t>UE-</w:t>
      </w:r>
      <w:r w:rsidR="00251422">
        <w:rPr>
          <w:rFonts w:cs="Times New Roman"/>
          <w:bCs/>
          <w:szCs w:val="24"/>
        </w:rPr>
        <w:t>1</w:t>
      </w:r>
      <w:r w:rsidR="00C70CD9">
        <w:rPr>
          <w:rFonts w:cs="Times New Roman"/>
          <w:bCs/>
          <w:szCs w:val="24"/>
        </w:rPr>
        <w:t>32047</w:t>
      </w:r>
      <w:r w:rsidR="00E81DC2" w:rsidRPr="00432C28">
        <w:rPr>
          <w:rFonts w:cs="Times New Roman"/>
          <w:bCs/>
          <w:szCs w:val="24"/>
        </w:rPr>
        <w:t>, “Required Public Involvement</w:t>
      </w:r>
      <w:r w:rsidR="00251422">
        <w:rPr>
          <w:rFonts w:cs="Times New Roman"/>
          <w:bCs/>
          <w:szCs w:val="24"/>
        </w:rPr>
        <w:t xml:space="preserve"> in Preparation for the 201</w:t>
      </w:r>
      <w:r w:rsidR="00C70CD9">
        <w:rPr>
          <w:rFonts w:cs="Times New Roman"/>
          <w:bCs/>
          <w:szCs w:val="24"/>
        </w:rPr>
        <w:t>6</w:t>
      </w:r>
      <w:r w:rsidR="00251422">
        <w:rPr>
          <w:rFonts w:cs="Times New Roman"/>
          <w:bCs/>
          <w:szCs w:val="24"/>
        </w:rPr>
        <w:t>-201</w:t>
      </w:r>
      <w:r w:rsidR="00C70CD9">
        <w:rPr>
          <w:rFonts w:cs="Times New Roman"/>
          <w:bCs/>
          <w:szCs w:val="24"/>
        </w:rPr>
        <w:t>7</w:t>
      </w:r>
      <w:r w:rsidR="00E81DC2" w:rsidRPr="00432C28">
        <w:rPr>
          <w:rFonts w:cs="Times New Roman"/>
          <w:bCs/>
          <w:szCs w:val="24"/>
        </w:rPr>
        <w:t xml:space="preserve"> Biennium”</w:t>
      </w:r>
      <w:r w:rsidR="0013289A" w:rsidRPr="00432C28">
        <w:rPr>
          <w:rFonts w:cs="Times New Roman"/>
          <w:bCs/>
          <w:szCs w:val="24"/>
        </w:rPr>
        <w:t>,</w:t>
      </w:r>
      <w:r w:rsidR="00E81DC2" w:rsidRPr="00432C28">
        <w:rPr>
          <w:rFonts w:cs="Times New Roman"/>
          <w:bCs/>
          <w:szCs w:val="24"/>
        </w:rPr>
        <w:t xml:space="preserve"> PacifiCorp provides the following summary of preparatory work and public involvement in the p</w:t>
      </w:r>
      <w:r w:rsidR="00251422">
        <w:rPr>
          <w:rFonts w:cs="Times New Roman"/>
          <w:bCs/>
          <w:szCs w:val="24"/>
        </w:rPr>
        <w:t>reparation of the Company’s 201</w:t>
      </w:r>
      <w:r w:rsidR="00C70CD9">
        <w:rPr>
          <w:rFonts w:cs="Times New Roman"/>
          <w:bCs/>
          <w:szCs w:val="24"/>
        </w:rPr>
        <w:t>6</w:t>
      </w:r>
      <w:r w:rsidR="00251422">
        <w:rPr>
          <w:rFonts w:cs="Times New Roman"/>
          <w:bCs/>
          <w:szCs w:val="24"/>
        </w:rPr>
        <w:t>-201</w:t>
      </w:r>
      <w:r w:rsidR="00C70CD9">
        <w:rPr>
          <w:rFonts w:cs="Times New Roman"/>
          <w:bCs/>
          <w:szCs w:val="24"/>
        </w:rPr>
        <w:t>7</w:t>
      </w:r>
      <w:r w:rsidR="00E81DC2" w:rsidRPr="00432C28">
        <w:rPr>
          <w:rFonts w:cs="Times New Roman"/>
          <w:bCs/>
          <w:szCs w:val="24"/>
        </w:rPr>
        <w:t xml:space="preserve"> Biennial Conservation Plan.</w:t>
      </w:r>
      <w:r w:rsidR="00251422">
        <w:rPr>
          <w:rFonts w:cs="Times New Roman"/>
          <w:bCs/>
          <w:szCs w:val="24"/>
        </w:rPr>
        <w:t xml:space="preserve"> In compliance with the Order’s requirement to consult with the DSM Advisory Group </w:t>
      </w:r>
      <w:r w:rsidR="00851C7D">
        <w:rPr>
          <w:rFonts w:cs="Times New Roman"/>
          <w:bCs/>
          <w:szCs w:val="24"/>
        </w:rPr>
        <w:t>by July 1, 201</w:t>
      </w:r>
      <w:r w:rsidR="00C70CD9">
        <w:rPr>
          <w:rFonts w:cs="Times New Roman"/>
          <w:bCs/>
          <w:szCs w:val="24"/>
        </w:rPr>
        <w:t>5</w:t>
      </w:r>
      <w:r w:rsidR="00851C7D">
        <w:rPr>
          <w:rFonts w:cs="Times New Roman"/>
          <w:bCs/>
          <w:szCs w:val="24"/>
        </w:rPr>
        <w:t xml:space="preserve"> to facilitate the completion of a ten-year conservation forecast, the company held six DSM Advisory Group meetings</w:t>
      </w:r>
      <w:r w:rsidR="00C74BC4">
        <w:rPr>
          <w:rFonts w:cs="Times New Roman"/>
          <w:bCs/>
          <w:szCs w:val="24"/>
        </w:rPr>
        <w:t xml:space="preserve">, 7 IRP public input meetings, and one confidential technical conference </w:t>
      </w:r>
      <w:r w:rsidR="00851C7D">
        <w:rPr>
          <w:rFonts w:cs="Times New Roman"/>
          <w:bCs/>
          <w:szCs w:val="24"/>
        </w:rPr>
        <w:t xml:space="preserve">between </w:t>
      </w:r>
      <w:r w:rsidR="003E4414">
        <w:rPr>
          <w:rFonts w:cs="Times New Roman"/>
          <w:bCs/>
          <w:szCs w:val="24"/>
        </w:rPr>
        <w:t>Ju</w:t>
      </w:r>
      <w:r w:rsidR="00C74BC4">
        <w:rPr>
          <w:rFonts w:cs="Times New Roman"/>
          <w:bCs/>
          <w:szCs w:val="24"/>
        </w:rPr>
        <w:t>ne</w:t>
      </w:r>
      <w:r w:rsidR="003E4414">
        <w:rPr>
          <w:rFonts w:cs="Times New Roman"/>
          <w:bCs/>
          <w:szCs w:val="24"/>
        </w:rPr>
        <w:t xml:space="preserve"> 2014</w:t>
      </w:r>
      <w:r w:rsidR="00851C7D">
        <w:rPr>
          <w:rFonts w:cs="Times New Roman"/>
          <w:bCs/>
          <w:szCs w:val="24"/>
        </w:rPr>
        <w:t xml:space="preserve"> and </w:t>
      </w:r>
      <w:r w:rsidR="003E4414">
        <w:rPr>
          <w:rFonts w:cs="Times New Roman"/>
          <w:bCs/>
          <w:szCs w:val="24"/>
        </w:rPr>
        <w:t>September</w:t>
      </w:r>
      <w:r w:rsidR="00851C7D">
        <w:rPr>
          <w:rFonts w:cs="Times New Roman"/>
          <w:bCs/>
          <w:szCs w:val="24"/>
        </w:rPr>
        <w:t xml:space="preserve"> 201</w:t>
      </w:r>
      <w:r w:rsidR="003E4414">
        <w:rPr>
          <w:rFonts w:cs="Times New Roman"/>
          <w:bCs/>
          <w:szCs w:val="24"/>
        </w:rPr>
        <w:t>5</w:t>
      </w:r>
      <w:r w:rsidR="00851C7D">
        <w:rPr>
          <w:rFonts w:cs="Times New Roman"/>
          <w:bCs/>
          <w:szCs w:val="24"/>
        </w:rPr>
        <w:t>.</w:t>
      </w:r>
      <w:r w:rsidR="00C74BC4">
        <w:rPr>
          <w:rFonts w:cs="Times New Roman"/>
          <w:bCs/>
          <w:szCs w:val="24"/>
        </w:rPr>
        <w:t xml:space="preserve"> </w:t>
      </w:r>
      <w:r w:rsidR="00851C7D">
        <w:rPr>
          <w:rFonts w:cs="Times New Roman"/>
          <w:bCs/>
          <w:szCs w:val="24"/>
        </w:rPr>
        <w:t xml:space="preserve"> </w:t>
      </w:r>
      <w:r w:rsidR="00851C7D" w:rsidRPr="00432C28">
        <w:rPr>
          <w:rFonts w:cs="Times New Roman"/>
          <w:szCs w:val="24"/>
        </w:rPr>
        <w:t xml:space="preserve">These meetings, coupled with numerous email communications in which supporting information was shared, were pivotal in helping the Company </w:t>
      </w:r>
      <w:r w:rsidR="00851C7D">
        <w:rPr>
          <w:rFonts w:cs="Times New Roman"/>
          <w:szCs w:val="24"/>
        </w:rPr>
        <w:t>develop</w:t>
      </w:r>
      <w:r w:rsidR="00851C7D" w:rsidRPr="00432C28">
        <w:rPr>
          <w:rFonts w:cs="Times New Roman"/>
          <w:szCs w:val="24"/>
        </w:rPr>
        <w:t xml:space="preserve"> the conservation forecast and biennial target. </w:t>
      </w:r>
      <w:r w:rsidR="00851C7D">
        <w:rPr>
          <w:rFonts w:cs="Times New Roman"/>
          <w:szCs w:val="24"/>
        </w:rPr>
        <w:t>Dates and brief summaries</w:t>
      </w:r>
      <w:r w:rsidR="00FE6DDF">
        <w:rPr>
          <w:rFonts w:cs="Times New Roman"/>
          <w:szCs w:val="24"/>
        </w:rPr>
        <w:t xml:space="preserve"> of relevant </w:t>
      </w:r>
      <w:r w:rsidR="007B6478">
        <w:rPr>
          <w:rFonts w:cs="Times New Roman"/>
          <w:szCs w:val="24"/>
        </w:rPr>
        <w:t xml:space="preserve">biennial conservation forecast related </w:t>
      </w:r>
      <w:r w:rsidR="00FE6DDF">
        <w:rPr>
          <w:rFonts w:cs="Times New Roman"/>
          <w:szCs w:val="24"/>
        </w:rPr>
        <w:t>topics</w:t>
      </w:r>
      <w:r w:rsidR="00851C7D">
        <w:rPr>
          <w:rFonts w:cs="Times New Roman"/>
          <w:szCs w:val="24"/>
        </w:rPr>
        <w:t xml:space="preserve"> of each meeting are provided below.</w:t>
      </w:r>
    </w:p>
    <w:p w:rsidR="00E81DC2" w:rsidRPr="00432C28" w:rsidRDefault="00E81DC2" w:rsidP="003E5254">
      <w:pPr>
        <w:rPr>
          <w:rFonts w:cs="Times New Roman"/>
          <w:bCs/>
          <w:szCs w:val="24"/>
        </w:rPr>
      </w:pPr>
    </w:p>
    <w:p w:rsidR="00C74BC4" w:rsidRDefault="00C74BC4" w:rsidP="00251422">
      <w:pPr>
        <w:rPr>
          <w:rFonts w:cs="Times New Roman"/>
          <w:szCs w:val="24"/>
        </w:rPr>
      </w:pPr>
      <w:r>
        <w:rPr>
          <w:rFonts w:cs="Times New Roman"/>
          <w:szCs w:val="24"/>
        </w:rPr>
        <w:t>June 5, 2014 – IRP Public Input Meeting</w:t>
      </w:r>
    </w:p>
    <w:p w:rsidR="00C74BC4" w:rsidRPr="00C74BC4" w:rsidRDefault="00C74BC4" w:rsidP="007B6478">
      <w:pPr>
        <w:pStyle w:val="ListParagraph"/>
        <w:numPr>
          <w:ilvl w:val="0"/>
          <w:numId w:val="70"/>
        </w:numPr>
        <w:rPr>
          <w:rFonts w:cs="Times New Roman"/>
          <w:szCs w:val="24"/>
        </w:rPr>
      </w:pPr>
      <w:r>
        <w:rPr>
          <w:rFonts w:cs="Times New Roman"/>
          <w:szCs w:val="24"/>
        </w:rPr>
        <w:t>Kickoff meeting where IRP schedule was reviewed as well as status of 2013 IRP Action Plan items were reviewed</w:t>
      </w:r>
    </w:p>
    <w:p w:rsidR="00C74BC4" w:rsidRDefault="00C74BC4" w:rsidP="00251422">
      <w:pPr>
        <w:rPr>
          <w:rFonts w:cs="Times New Roman"/>
          <w:szCs w:val="24"/>
        </w:rPr>
      </w:pPr>
    </w:p>
    <w:p w:rsidR="00C74BC4" w:rsidRDefault="00C74BC4" w:rsidP="00251422">
      <w:pPr>
        <w:rPr>
          <w:rFonts w:cs="Times New Roman"/>
          <w:szCs w:val="24"/>
        </w:rPr>
      </w:pPr>
      <w:r>
        <w:rPr>
          <w:rFonts w:cs="Times New Roman"/>
          <w:szCs w:val="24"/>
        </w:rPr>
        <w:t>July 17, 2014 – IRP Public Input Meeting</w:t>
      </w:r>
    </w:p>
    <w:p w:rsidR="00C74BC4" w:rsidRDefault="00C74BC4" w:rsidP="007B6478">
      <w:pPr>
        <w:pStyle w:val="ListParagraph"/>
        <w:numPr>
          <w:ilvl w:val="0"/>
          <w:numId w:val="70"/>
        </w:numPr>
        <w:rPr>
          <w:rFonts w:cs="Times New Roman"/>
          <w:szCs w:val="24"/>
        </w:rPr>
      </w:pPr>
      <w:r>
        <w:rPr>
          <w:rFonts w:cs="Times New Roman"/>
          <w:szCs w:val="24"/>
        </w:rPr>
        <w:t>DSM resource planning overview</w:t>
      </w:r>
    </w:p>
    <w:p w:rsidR="00C74BC4" w:rsidRPr="00C74BC4" w:rsidRDefault="00DD35A7" w:rsidP="007B6478">
      <w:pPr>
        <w:pStyle w:val="ListParagraph"/>
        <w:numPr>
          <w:ilvl w:val="0"/>
          <w:numId w:val="70"/>
        </w:numPr>
        <w:rPr>
          <w:rFonts w:cs="Times New Roman"/>
          <w:szCs w:val="24"/>
        </w:rPr>
      </w:pPr>
      <w:r>
        <w:rPr>
          <w:rFonts w:cs="Times New Roman"/>
          <w:szCs w:val="24"/>
        </w:rPr>
        <w:t xml:space="preserve">2015 DSM </w:t>
      </w:r>
      <w:r w:rsidR="00C74BC4">
        <w:rPr>
          <w:rFonts w:cs="Times New Roman"/>
          <w:szCs w:val="24"/>
        </w:rPr>
        <w:t>C</w:t>
      </w:r>
      <w:r>
        <w:rPr>
          <w:rFonts w:cs="Times New Roman"/>
          <w:szCs w:val="24"/>
        </w:rPr>
        <w:t xml:space="preserve">PA initial results and comparison to 2013 DSM CPA results </w:t>
      </w:r>
    </w:p>
    <w:p w:rsidR="00C74BC4" w:rsidRDefault="00C74BC4" w:rsidP="00251422">
      <w:pPr>
        <w:rPr>
          <w:rFonts w:cs="Times New Roman"/>
          <w:szCs w:val="24"/>
        </w:rPr>
      </w:pPr>
    </w:p>
    <w:p w:rsidR="00C70CD9" w:rsidRDefault="00C70CD9" w:rsidP="00251422">
      <w:pPr>
        <w:rPr>
          <w:rFonts w:cs="Times New Roman"/>
          <w:szCs w:val="24"/>
        </w:rPr>
      </w:pPr>
      <w:r>
        <w:rPr>
          <w:rFonts w:cs="Times New Roman"/>
          <w:szCs w:val="24"/>
        </w:rPr>
        <w:t>July 31, 2014</w:t>
      </w:r>
      <w:r w:rsidR="00C74BC4">
        <w:rPr>
          <w:rFonts w:cs="Times New Roman"/>
          <w:szCs w:val="24"/>
        </w:rPr>
        <w:t xml:space="preserve"> – DSM Advisory Group Meeting</w:t>
      </w:r>
    </w:p>
    <w:p w:rsidR="0075220E" w:rsidRDefault="004F788C" w:rsidP="007B6478">
      <w:pPr>
        <w:pStyle w:val="ListParagraph"/>
        <w:numPr>
          <w:ilvl w:val="0"/>
          <w:numId w:val="66"/>
        </w:numPr>
        <w:rPr>
          <w:rFonts w:cs="Times New Roman"/>
          <w:szCs w:val="24"/>
        </w:rPr>
      </w:pPr>
      <w:r>
        <w:rPr>
          <w:rFonts w:cs="Times New Roman"/>
          <w:szCs w:val="24"/>
        </w:rPr>
        <w:t>Cursory re</w:t>
      </w:r>
      <w:r w:rsidR="00C70CD9">
        <w:rPr>
          <w:rFonts w:cs="Times New Roman"/>
          <w:szCs w:val="24"/>
        </w:rPr>
        <w:t xml:space="preserve">viewed 2015 conservation potential assessment (“CPA”) scope of work and </w:t>
      </w:r>
      <w:r>
        <w:rPr>
          <w:rFonts w:cs="Times New Roman"/>
          <w:szCs w:val="24"/>
        </w:rPr>
        <w:t xml:space="preserve">preliminary </w:t>
      </w:r>
      <w:r w:rsidR="00C70CD9">
        <w:rPr>
          <w:rFonts w:cs="Times New Roman"/>
          <w:szCs w:val="24"/>
        </w:rPr>
        <w:t>findings</w:t>
      </w:r>
      <w:r w:rsidR="0075220E">
        <w:rPr>
          <w:rFonts w:cs="Times New Roman"/>
          <w:szCs w:val="24"/>
        </w:rPr>
        <w:t xml:space="preserve"> (data used to inform t</w:t>
      </w:r>
      <w:r w:rsidR="00C70CD9">
        <w:rPr>
          <w:rFonts w:cs="Times New Roman"/>
          <w:szCs w:val="24"/>
        </w:rPr>
        <w:t xml:space="preserve">he 2015 IRP </w:t>
      </w:r>
      <w:r w:rsidR="0075220E">
        <w:rPr>
          <w:rFonts w:cs="Times New Roman"/>
          <w:szCs w:val="24"/>
        </w:rPr>
        <w:t xml:space="preserve">inputs </w:t>
      </w:r>
      <w:r w:rsidR="00C70CD9">
        <w:rPr>
          <w:rFonts w:cs="Times New Roman"/>
          <w:szCs w:val="24"/>
        </w:rPr>
        <w:t>and 2016</w:t>
      </w:r>
      <w:r w:rsidR="00E3146B">
        <w:rPr>
          <w:rFonts w:cs="Times New Roman"/>
          <w:szCs w:val="24"/>
        </w:rPr>
        <w:t>-2025 energy efficiency conservation forecast</w:t>
      </w:r>
      <w:r>
        <w:rPr>
          <w:rFonts w:cs="Times New Roman"/>
          <w:szCs w:val="24"/>
        </w:rPr>
        <w:t>)</w:t>
      </w:r>
    </w:p>
    <w:p w:rsidR="0075220E" w:rsidRDefault="0075220E" w:rsidP="0075220E">
      <w:pPr>
        <w:rPr>
          <w:rFonts w:cs="Times New Roman"/>
          <w:szCs w:val="24"/>
        </w:rPr>
      </w:pPr>
    </w:p>
    <w:p w:rsidR="00DD35A7" w:rsidRDefault="00DD35A7" w:rsidP="0075220E">
      <w:pPr>
        <w:rPr>
          <w:rFonts w:cs="Times New Roman"/>
          <w:szCs w:val="24"/>
        </w:rPr>
      </w:pPr>
      <w:r>
        <w:rPr>
          <w:rFonts w:cs="Times New Roman"/>
          <w:szCs w:val="24"/>
        </w:rPr>
        <w:t>August 7-8, 2014 – IRP Public Input Meeting</w:t>
      </w:r>
    </w:p>
    <w:p w:rsidR="00DD35A7" w:rsidRDefault="00DD35A7" w:rsidP="007B6478">
      <w:pPr>
        <w:pStyle w:val="ListParagraph"/>
        <w:numPr>
          <w:ilvl w:val="0"/>
          <w:numId w:val="66"/>
        </w:numPr>
        <w:rPr>
          <w:rFonts w:cs="Times New Roman"/>
          <w:szCs w:val="24"/>
        </w:rPr>
      </w:pPr>
      <w:r>
        <w:rPr>
          <w:rFonts w:cs="Times New Roman"/>
          <w:szCs w:val="24"/>
        </w:rPr>
        <w:t>Navigant study overview (high-efficiency cogeneration)</w:t>
      </w:r>
    </w:p>
    <w:p w:rsidR="00DD35A7" w:rsidRDefault="00DD35A7" w:rsidP="007B6478">
      <w:pPr>
        <w:pStyle w:val="ListParagraph"/>
        <w:numPr>
          <w:ilvl w:val="0"/>
          <w:numId w:val="66"/>
        </w:numPr>
        <w:rPr>
          <w:rFonts w:cs="Times New Roman"/>
          <w:szCs w:val="24"/>
        </w:rPr>
      </w:pPr>
      <w:r>
        <w:rPr>
          <w:rFonts w:cs="Times New Roman"/>
          <w:szCs w:val="24"/>
        </w:rPr>
        <w:t xml:space="preserve">Plant Efficiency overview/review </w:t>
      </w:r>
    </w:p>
    <w:p w:rsidR="00DD35A7" w:rsidRDefault="00DD35A7" w:rsidP="00DD35A7">
      <w:pPr>
        <w:rPr>
          <w:rFonts w:cs="Times New Roman"/>
          <w:szCs w:val="24"/>
        </w:rPr>
      </w:pPr>
    </w:p>
    <w:p w:rsidR="00DD35A7" w:rsidRDefault="00DD35A7" w:rsidP="00DD35A7">
      <w:pPr>
        <w:rPr>
          <w:rFonts w:cs="Times New Roman"/>
          <w:szCs w:val="24"/>
        </w:rPr>
      </w:pPr>
      <w:r>
        <w:rPr>
          <w:rFonts w:cs="Times New Roman"/>
          <w:szCs w:val="24"/>
        </w:rPr>
        <w:t>September 25-26, 2014 – IRP Public Input Meeting</w:t>
      </w:r>
    </w:p>
    <w:p w:rsidR="00DD35A7" w:rsidRDefault="00DD35A7" w:rsidP="007B6478">
      <w:pPr>
        <w:pStyle w:val="ListParagraph"/>
        <w:numPr>
          <w:ilvl w:val="0"/>
          <w:numId w:val="71"/>
        </w:numPr>
        <w:rPr>
          <w:rFonts w:cs="Times New Roman"/>
          <w:szCs w:val="24"/>
        </w:rPr>
      </w:pPr>
      <w:r>
        <w:rPr>
          <w:rFonts w:cs="Times New Roman"/>
          <w:szCs w:val="24"/>
        </w:rPr>
        <w:t xml:space="preserve">Smart-Grid activity status </w:t>
      </w:r>
    </w:p>
    <w:p w:rsidR="00DD35A7" w:rsidRPr="00DD35A7" w:rsidRDefault="00DD35A7" w:rsidP="007B6478">
      <w:pPr>
        <w:pStyle w:val="ListParagraph"/>
        <w:numPr>
          <w:ilvl w:val="0"/>
          <w:numId w:val="71"/>
        </w:numPr>
        <w:rPr>
          <w:rFonts w:cs="Times New Roman"/>
          <w:szCs w:val="24"/>
        </w:rPr>
      </w:pPr>
      <w:r>
        <w:rPr>
          <w:rFonts w:cs="Times New Roman"/>
          <w:szCs w:val="24"/>
        </w:rPr>
        <w:t>Conservation voltage reduction overview/review</w:t>
      </w:r>
    </w:p>
    <w:p w:rsidR="00DD35A7" w:rsidRDefault="00DD35A7" w:rsidP="0075220E">
      <w:pPr>
        <w:rPr>
          <w:rFonts w:cs="Times New Roman"/>
          <w:szCs w:val="24"/>
        </w:rPr>
      </w:pPr>
    </w:p>
    <w:p w:rsidR="00C70CD9" w:rsidRPr="0075220E" w:rsidRDefault="0075220E" w:rsidP="0075220E">
      <w:pPr>
        <w:rPr>
          <w:rFonts w:cs="Times New Roman"/>
          <w:szCs w:val="24"/>
        </w:rPr>
      </w:pPr>
      <w:r>
        <w:rPr>
          <w:rFonts w:cs="Times New Roman"/>
          <w:szCs w:val="24"/>
        </w:rPr>
        <w:t>October 30, 2014</w:t>
      </w:r>
      <w:r w:rsidR="00C70CD9" w:rsidRPr="0075220E">
        <w:rPr>
          <w:rFonts w:cs="Times New Roman"/>
          <w:szCs w:val="24"/>
        </w:rPr>
        <w:t xml:space="preserve"> </w:t>
      </w:r>
      <w:r w:rsidR="00DD35A7">
        <w:rPr>
          <w:rFonts w:cs="Times New Roman"/>
          <w:szCs w:val="24"/>
        </w:rPr>
        <w:t>– DSM Advisory Group Meeting</w:t>
      </w:r>
    </w:p>
    <w:p w:rsidR="00C70CD9" w:rsidRDefault="0075220E" w:rsidP="007B6478">
      <w:pPr>
        <w:pStyle w:val="ListParagraph"/>
        <w:numPr>
          <w:ilvl w:val="0"/>
          <w:numId w:val="66"/>
        </w:numPr>
        <w:rPr>
          <w:rFonts w:cs="Times New Roman"/>
          <w:szCs w:val="24"/>
        </w:rPr>
      </w:pPr>
      <w:r>
        <w:rPr>
          <w:rFonts w:cs="Times New Roman"/>
          <w:szCs w:val="24"/>
        </w:rPr>
        <w:t xml:space="preserve">Provided a production efficiency work plan progress report on identified projects (data used to inform likely residual projects </w:t>
      </w:r>
      <w:r w:rsidR="004F788C">
        <w:rPr>
          <w:rFonts w:cs="Times New Roman"/>
          <w:szCs w:val="24"/>
        </w:rPr>
        <w:t>available in the next biennial period)</w:t>
      </w:r>
    </w:p>
    <w:p w:rsidR="0075220E" w:rsidRDefault="0075220E" w:rsidP="0075220E">
      <w:pPr>
        <w:rPr>
          <w:rFonts w:cs="Times New Roman"/>
          <w:szCs w:val="24"/>
        </w:rPr>
      </w:pPr>
    </w:p>
    <w:p w:rsidR="00DD35A7" w:rsidRDefault="00DD35A7" w:rsidP="0075220E">
      <w:pPr>
        <w:rPr>
          <w:rFonts w:cs="Times New Roman"/>
          <w:szCs w:val="24"/>
        </w:rPr>
      </w:pPr>
      <w:r>
        <w:rPr>
          <w:rFonts w:cs="Times New Roman"/>
          <w:szCs w:val="24"/>
        </w:rPr>
        <w:t>November 14, 2014</w:t>
      </w:r>
      <w:r w:rsidR="007B6478">
        <w:rPr>
          <w:rFonts w:cs="Times New Roman"/>
          <w:szCs w:val="24"/>
        </w:rPr>
        <w:t xml:space="preserve"> – IRP Public Input Meeting</w:t>
      </w:r>
    </w:p>
    <w:p w:rsidR="00DD35A7" w:rsidRDefault="00DD35A7" w:rsidP="007B6478">
      <w:pPr>
        <w:pStyle w:val="ListParagraph"/>
        <w:numPr>
          <w:ilvl w:val="0"/>
          <w:numId w:val="66"/>
        </w:numPr>
        <w:rPr>
          <w:rFonts w:cs="Times New Roman"/>
          <w:szCs w:val="24"/>
        </w:rPr>
      </w:pPr>
      <w:r>
        <w:rPr>
          <w:rFonts w:cs="Times New Roman"/>
          <w:szCs w:val="24"/>
        </w:rPr>
        <w:t>Resource portfolio development draft results</w:t>
      </w:r>
    </w:p>
    <w:p w:rsidR="00DD35A7" w:rsidRDefault="00DD35A7" w:rsidP="00DD35A7">
      <w:pPr>
        <w:rPr>
          <w:rFonts w:cs="Times New Roman"/>
          <w:szCs w:val="24"/>
        </w:rPr>
      </w:pPr>
    </w:p>
    <w:p w:rsidR="00DD35A7" w:rsidRDefault="00DD35A7" w:rsidP="00DD35A7">
      <w:pPr>
        <w:rPr>
          <w:rFonts w:cs="Times New Roman"/>
          <w:szCs w:val="24"/>
        </w:rPr>
      </w:pPr>
      <w:r>
        <w:rPr>
          <w:rFonts w:cs="Times New Roman"/>
          <w:szCs w:val="24"/>
        </w:rPr>
        <w:t xml:space="preserve">December 10, 2014 – Westside </w:t>
      </w:r>
      <w:r w:rsidR="00FE6DDF">
        <w:rPr>
          <w:rFonts w:cs="Times New Roman"/>
          <w:szCs w:val="24"/>
        </w:rPr>
        <w:t xml:space="preserve">2015 </w:t>
      </w:r>
      <w:r>
        <w:rPr>
          <w:rFonts w:cs="Times New Roman"/>
          <w:szCs w:val="24"/>
        </w:rPr>
        <w:t xml:space="preserve">IRP </w:t>
      </w:r>
      <w:r w:rsidR="00FE6DDF">
        <w:rPr>
          <w:rFonts w:cs="Times New Roman"/>
          <w:szCs w:val="24"/>
        </w:rPr>
        <w:t xml:space="preserve">Confidential </w:t>
      </w:r>
      <w:r>
        <w:rPr>
          <w:rFonts w:cs="Times New Roman"/>
          <w:szCs w:val="24"/>
        </w:rPr>
        <w:t>Technical Conference</w:t>
      </w:r>
    </w:p>
    <w:p w:rsidR="00DD35A7" w:rsidRDefault="00FE6DDF" w:rsidP="007B6478">
      <w:pPr>
        <w:pStyle w:val="ListParagraph"/>
        <w:numPr>
          <w:ilvl w:val="0"/>
          <w:numId w:val="66"/>
        </w:numPr>
        <w:rPr>
          <w:rFonts w:cs="Times New Roman"/>
          <w:szCs w:val="24"/>
        </w:rPr>
      </w:pPr>
      <w:r>
        <w:rPr>
          <w:rFonts w:cs="Times New Roman"/>
          <w:szCs w:val="24"/>
        </w:rPr>
        <w:t xml:space="preserve">Federal carbon emissions (111d) modeling workshops  </w:t>
      </w:r>
    </w:p>
    <w:p w:rsidR="00DD35A7" w:rsidRDefault="00DD35A7" w:rsidP="00DD35A7">
      <w:pPr>
        <w:rPr>
          <w:rFonts w:cs="Times New Roman"/>
          <w:szCs w:val="24"/>
        </w:rPr>
      </w:pPr>
    </w:p>
    <w:p w:rsidR="007B6478" w:rsidRDefault="007B6478" w:rsidP="00DD35A7">
      <w:pPr>
        <w:rPr>
          <w:rFonts w:cs="Times New Roman"/>
          <w:szCs w:val="24"/>
        </w:rPr>
      </w:pPr>
    </w:p>
    <w:p w:rsidR="00DD35A7" w:rsidRDefault="00DD35A7" w:rsidP="00DD35A7">
      <w:pPr>
        <w:rPr>
          <w:rFonts w:cs="Times New Roman"/>
          <w:szCs w:val="24"/>
        </w:rPr>
      </w:pPr>
      <w:r>
        <w:rPr>
          <w:rFonts w:cs="Times New Roman"/>
          <w:szCs w:val="24"/>
        </w:rPr>
        <w:t>January 29-30, 2015 – IRP Public Input Meeting</w:t>
      </w:r>
    </w:p>
    <w:p w:rsidR="00DD35A7" w:rsidRPr="00DD35A7" w:rsidRDefault="00DD35A7" w:rsidP="007B6478">
      <w:pPr>
        <w:pStyle w:val="ListParagraph"/>
        <w:numPr>
          <w:ilvl w:val="0"/>
          <w:numId w:val="66"/>
        </w:numPr>
        <w:rPr>
          <w:rFonts w:cs="Times New Roman"/>
          <w:szCs w:val="24"/>
        </w:rPr>
      </w:pPr>
      <w:r>
        <w:rPr>
          <w:rFonts w:cs="Times New Roman"/>
          <w:szCs w:val="24"/>
        </w:rPr>
        <w:t>2015 IRP Preferred Portfolio selection and sensitivity studies</w:t>
      </w:r>
    </w:p>
    <w:p w:rsidR="00DD35A7" w:rsidRDefault="00DD35A7" w:rsidP="0075220E">
      <w:pPr>
        <w:rPr>
          <w:rFonts w:cs="Times New Roman"/>
          <w:szCs w:val="24"/>
        </w:rPr>
      </w:pPr>
    </w:p>
    <w:p w:rsidR="00DD35A7" w:rsidRDefault="00DD35A7" w:rsidP="0075220E">
      <w:pPr>
        <w:rPr>
          <w:rFonts w:cs="Times New Roman"/>
          <w:szCs w:val="24"/>
        </w:rPr>
      </w:pPr>
      <w:r>
        <w:rPr>
          <w:rFonts w:cs="Times New Roman"/>
          <w:szCs w:val="24"/>
        </w:rPr>
        <w:t>February 26, 2015 – IRP Public Input Meeting</w:t>
      </w:r>
    </w:p>
    <w:p w:rsidR="00DD35A7" w:rsidRDefault="00DD35A7" w:rsidP="007B6478">
      <w:pPr>
        <w:pStyle w:val="ListParagraph"/>
        <w:numPr>
          <w:ilvl w:val="0"/>
          <w:numId w:val="66"/>
        </w:numPr>
        <w:rPr>
          <w:rFonts w:cs="Times New Roman"/>
          <w:szCs w:val="24"/>
        </w:rPr>
      </w:pPr>
      <w:r>
        <w:rPr>
          <w:rFonts w:cs="Times New Roman"/>
          <w:szCs w:val="24"/>
        </w:rPr>
        <w:t>2015 IRP Action Plan</w:t>
      </w:r>
    </w:p>
    <w:p w:rsidR="00DD35A7" w:rsidRPr="00DD35A7" w:rsidRDefault="00DD35A7" w:rsidP="007B6478">
      <w:pPr>
        <w:pStyle w:val="ListParagraph"/>
        <w:numPr>
          <w:ilvl w:val="0"/>
          <w:numId w:val="66"/>
        </w:numPr>
        <w:rPr>
          <w:rFonts w:cs="Times New Roman"/>
          <w:szCs w:val="24"/>
        </w:rPr>
      </w:pPr>
      <w:r w:rsidRPr="00DD35A7">
        <w:rPr>
          <w:rFonts w:cs="Times New Roman"/>
          <w:szCs w:val="24"/>
        </w:rPr>
        <w:t>Review of additional/revised sensitivity studies</w:t>
      </w:r>
    </w:p>
    <w:p w:rsidR="00DD35A7" w:rsidRDefault="00DD35A7" w:rsidP="0075220E">
      <w:pPr>
        <w:rPr>
          <w:rFonts w:cs="Times New Roman"/>
          <w:szCs w:val="24"/>
        </w:rPr>
      </w:pPr>
    </w:p>
    <w:p w:rsidR="0075220E" w:rsidRDefault="0075220E" w:rsidP="0075220E">
      <w:pPr>
        <w:rPr>
          <w:rFonts w:cs="Times New Roman"/>
          <w:szCs w:val="24"/>
        </w:rPr>
      </w:pPr>
      <w:r>
        <w:rPr>
          <w:rFonts w:cs="Times New Roman"/>
          <w:szCs w:val="24"/>
        </w:rPr>
        <w:t>March 18, 2015</w:t>
      </w:r>
      <w:r w:rsidR="00DD35A7">
        <w:rPr>
          <w:rFonts w:cs="Times New Roman"/>
          <w:szCs w:val="24"/>
        </w:rPr>
        <w:t xml:space="preserve"> – DSM Advisory Group Meeting</w:t>
      </w:r>
    </w:p>
    <w:p w:rsidR="004F788C" w:rsidRDefault="004F788C" w:rsidP="007B6478">
      <w:pPr>
        <w:pStyle w:val="ListParagraph"/>
        <w:numPr>
          <w:ilvl w:val="0"/>
          <w:numId w:val="66"/>
        </w:numPr>
        <w:rPr>
          <w:rFonts w:cs="Times New Roman"/>
          <w:szCs w:val="24"/>
        </w:rPr>
      </w:pPr>
      <w:r>
        <w:rPr>
          <w:rFonts w:cs="Times New Roman"/>
          <w:szCs w:val="24"/>
        </w:rPr>
        <w:t xml:space="preserve">Presented results of 2015 CPA </w:t>
      </w:r>
      <w:r w:rsidR="00514B22">
        <w:rPr>
          <w:rFonts w:cs="Times New Roman"/>
          <w:szCs w:val="24"/>
        </w:rPr>
        <w:t xml:space="preserve">and </w:t>
      </w:r>
      <w:r>
        <w:rPr>
          <w:rFonts w:cs="Times New Roman"/>
          <w:szCs w:val="24"/>
        </w:rPr>
        <w:t xml:space="preserve">compared to </w:t>
      </w:r>
      <w:r w:rsidR="00514B22">
        <w:rPr>
          <w:rFonts w:cs="Times New Roman"/>
          <w:szCs w:val="24"/>
        </w:rPr>
        <w:t xml:space="preserve">the </w:t>
      </w:r>
      <w:r>
        <w:rPr>
          <w:rFonts w:cs="Times New Roman"/>
          <w:szCs w:val="24"/>
        </w:rPr>
        <w:t>2011 and 2013 CPA stud</w:t>
      </w:r>
      <w:r w:rsidR="00514B22">
        <w:rPr>
          <w:rFonts w:cs="Times New Roman"/>
          <w:szCs w:val="24"/>
        </w:rPr>
        <w:t>y results</w:t>
      </w:r>
    </w:p>
    <w:p w:rsidR="004F788C" w:rsidRDefault="004F788C" w:rsidP="007B6478">
      <w:pPr>
        <w:pStyle w:val="ListParagraph"/>
        <w:numPr>
          <w:ilvl w:val="0"/>
          <w:numId w:val="66"/>
        </w:numPr>
        <w:rPr>
          <w:rFonts w:cs="Times New Roman"/>
          <w:szCs w:val="24"/>
        </w:rPr>
      </w:pPr>
      <w:r>
        <w:rPr>
          <w:rFonts w:cs="Times New Roman"/>
          <w:szCs w:val="24"/>
        </w:rPr>
        <w:t xml:space="preserve">Presented </w:t>
      </w:r>
      <w:r w:rsidR="00514B22">
        <w:rPr>
          <w:rFonts w:cs="Times New Roman"/>
          <w:szCs w:val="24"/>
        </w:rPr>
        <w:t xml:space="preserve">economic energy efficiency selections in the </w:t>
      </w:r>
      <w:r>
        <w:rPr>
          <w:rFonts w:cs="Times New Roman"/>
          <w:szCs w:val="24"/>
        </w:rPr>
        <w:t>2015 IRP</w:t>
      </w:r>
      <w:r w:rsidR="00514B22">
        <w:rPr>
          <w:rFonts w:cs="Times New Roman"/>
          <w:szCs w:val="24"/>
        </w:rPr>
        <w:t>; 2016-2025</w:t>
      </w:r>
    </w:p>
    <w:p w:rsidR="00514B22" w:rsidRDefault="00514B22" w:rsidP="007B6478">
      <w:pPr>
        <w:pStyle w:val="ListParagraph"/>
        <w:numPr>
          <w:ilvl w:val="0"/>
          <w:numId w:val="66"/>
        </w:numPr>
        <w:rPr>
          <w:rFonts w:cs="Times New Roman"/>
          <w:szCs w:val="24"/>
        </w:rPr>
      </w:pPr>
      <w:r>
        <w:rPr>
          <w:rFonts w:cs="Times New Roman"/>
          <w:szCs w:val="24"/>
        </w:rPr>
        <w:t>Presented 2015 IRP action plan and implementation plan for DSM resources</w:t>
      </w:r>
    </w:p>
    <w:p w:rsidR="00514B22" w:rsidRDefault="00514B22" w:rsidP="007B6478">
      <w:pPr>
        <w:pStyle w:val="ListParagraph"/>
        <w:numPr>
          <w:ilvl w:val="0"/>
          <w:numId w:val="66"/>
        </w:numPr>
        <w:rPr>
          <w:rFonts w:cs="Times New Roman"/>
          <w:szCs w:val="24"/>
        </w:rPr>
      </w:pPr>
      <w:r>
        <w:rPr>
          <w:rFonts w:cs="Times New Roman"/>
          <w:szCs w:val="24"/>
        </w:rPr>
        <w:t>Identified “next steps” in development of 2016-2025 conservation forecast/biennial target</w:t>
      </w:r>
    </w:p>
    <w:p w:rsidR="008963F3" w:rsidRDefault="00514B22" w:rsidP="007B6478">
      <w:pPr>
        <w:pStyle w:val="ListParagraph"/>
        <w:numPr>
          <w:ilvl w:val="0"/>
          <w:numId w:val="66"/>
        </w:numPr>
        <w:rPr>
          <w:rFonts w:cs="Times New Roman"/>
          <w:szCs w:val="24"/>
        </w:rPr>
      </w:pPr>
      <w:r>
        <w:rPr>
          <w:rFonts w:cs="Times New Roman"/>
          <w:szCs w:val="24"/>
        </w:rPr>
        <w:t xml:space="preserve">Presented estimation of impact in 2014-2015 biennial period of application of a frozen verses flexible Unit Energy Savings </w:t>
      </w:r>
      <w:r w:rsidR="00BF1DEC">
        <w:rPr>
          <w:rFonts w:cs="Times New Roman"/>
          <w:szCs w:val="24"/>
        </w:rPr>
        <w:t xml:space="preserve">(“UES”) </w:t>
      </w:r>
      <w:r>
        <w:rPr>
          <w:rFonts w:cs="Times New Roman"/>
          <w:szCs w:val="24"/>
        </w:rPr>
        <w:t>baseline (used to inform baseline approach in the 2016-2017 biennium)</w:t>
      </w:r>
    </w:p>
    <w:p w:rsidR="008963F3" w:rsidRDefault="008963F3" w:rsidP="008963F3">
      <w:pPr>
        <w:rPr>
          <w:rFonts w:cs="Times New Roman"/>
          <w:szCs w:val="24"/>
        </w:rPr>
      </w:pPr>
    </w:p>
    <w:p w:rsidR="008963F3" w:rsidRDefault="008963F3" w:rsidP="008963F3">
      <w:pPr>
        <w:rPr>
          <w:rFonts w:cs="Times New Roman"/>
          <w:szCs w:val="24"/>
        </w:rPr>
      </w:pPr>
      <w:r>
        <w:rPr>
          <w:rFonts w:cs="Times New Roman"/>
          <w:szCs w:val="24"/>
        </w:rPr>
        <w:t>June 9, 2015</w:t>
      </w:r>
      <w:r w:rsidR="00DD35A7">
        <w:rPr>
          <w:rFonts w:cs="Times New Roman"/>
          <w:szCs w:val="24"/>
        </w:rPr>
        <w:t xml:space="preserve"> – DSM Advisory Group Meeting</w:t>
      </w:r>
    </w:p>
    <w:p w:rsidR="008963F3" w:rsidRDefault="008963F3" w:rsidP="007B6478">
      <w:pPr>
        <w:pStyle w:val="ListParagraph"/>
        <w:numPr>
          <w:ilvl w:val="0"/>
          <w:numId w:val="67"/>
        </w:numPr>
        <w:rPr>
          <w:rFonts w:cs="Times New Roman"/>
          <w:szCs w:val="24"/>
        </w:rPr>
      </w:pPr>
      <w:r>
        <w:rPr>
          <w:rFonts w:cs="Times New Roman"/>
          <w:szCs w:val="24"/>
        </w:rPr>
        <w:t>Reviewed company’s understanding of revised WAC 480-109 rules</w:t>
      </w:r>
    </w:p>
    <w:p w:rsidR="008963F3" w:rsidRDefault="008963F3" w:rsidP="007B6478">
      <w:pPr>
        <w:pStyle w:val="ListParagraph"/>
        <w:numPr>
          <w:ilvl w:val="0"/>
          <w:numId w:val="67"/>
        </w:numPr>
        <w:rPr>
          <w:rFonts w:cs="Times New Roman"/>
          <w:szCs w:val="24"/>
        </w:rPr>
      </w:pPr>
      <w:r>
        <w:rPr>
          <w:rFonts w:cs="Times New Roman"/>
          <w:szCs w:val="24"/>
        </w:rPr>
        <w:t>Presented types of adjustments and proposed criteria for adjustments in the development of the company’s 2016-2025 conservation forecast</w:t>
      </w:r>
    </w:p>
    <w:p w:rsidR="008963F3" w:rsidRDefault="008963F3" w:rsidP="008963F3">
      <w:pPr>
        <w:numPr>
          <w:ilvl w:val="0"/>
          <w:numId w:val="67"/>
        </w:numPr>
        <w:rPr>
          <w:rFonts w:cs="Times New Roman"/>
          <w:szCs w:val="24"/>
        </w:rPr>
      </w:pPr>
      <w:r>
        <w:rPr>
          <w:rFonts w:cs="Times New Roman"/>
          <w:szCs w:val="24"/>
        </w:rPr>
        <w:t>Distribution efficiency overview and explanation of why distribution efficiency would not be included in the conservation forecast or biennial target</w:t>
      </w:r>
    </w:p>
    <w:p w:rsidR="008963F3" w:rsidRDefault="008963F3" w:rsidP="008963F3">
      <w:pPr>
        <w:numPr>
          <w:ilvl w:val="0"/>
          <w:numId w:val="67"/>
        </w:numPr>
        <w:rPr>
          <w:rFonts w:cs="Times New Roman"/>
          <w:szCs w:val="24"/>
        </w:rPr>
      </w:pPr>
      <w:r>
        <w:rPr>
          <w:rFonts w:cs="Times New Roman"/>
          <w:szCs w:val="24"/>
        </w:rPr>
        <w:t>Production efficiency overview and explanation of why production efficiency would not be included in the conservation forecast or biennial target</w:t>
      </w:r>
    </w:p>
    <w:p w:rsidR="00BF1DEC" w:rsidRDefault="008963F3" w:rsidP="008963F3">
      <w:pPr>
        <w:numPr>
          <w:ilvl w:val="0"/>
          <w:numId w:val="67"/>
        </w:numPr>
        <w:rPr>
          <w:rFonts w:cs="Times New Roman"/>
          <w:szCs w:val="24"/>
        </w:rPr>
      </w:pPr>
      <w:r>
        <w:rPr>
          <w:rFonts w:cs="Times New Roman"/>
          <w:szCs w:val="24"/>
        </w:rPr>
        <w:t xml:space="preserve">Company’s plan </w:t>
      </w:r>
      <w:r w:rsidR="00BF1DEC">
        <w:rPr>
          <w:rFonts w:cs="Times New Roman"/>
          <w:szCs w:val="24"/>
        </w:rPr>
        <w:t xml:space="preserve">on </w:t>
      </w:r>
      <w:r>
        <w:rPr>
          <w:rFonts w:cs="Times New Roman"/>
          <w:szCs w:val="24"/>
        </w:rPr>
        <w:t>incorporat</w:t>
      </w:r>
      <w:r w:rsidR="00BF1DEC">
        <w:rPr>
          <w:rFonts w:cs="Times New Roman"/>
          <w:szCs w:val="24"/>
        </w:rPr>
        <w:t>ing</w:t>
      </w:r>
      <w:r>
        <w:rPr>
          <w:rFonts w:cs="Times New Roman"/>
          <w:szCs w:val="24"/>
        </w:rPr>
        <w:t xml:space="preserve"> high-efficiency cogeneration in conservation forecast</w:t>
      </w:r>
    </w:p>
    <w:p w:rsidR="008963F3" w:rsidRDefault="008640A0" w:rsidP="008963F3">
      <w:pPr>
        <w:numPr>
          <w:ilvl w:val="0"/>
          <w:numId w:val="67"/>
        </w:numPr>
        <w:rPr>
          <w:rFonts w:cs="Times New Roman"/>
          <w:szCs w:val="24"/>
        </w:rPr>
      </w:pPr>
      <w:r>
        <w:rPr>
          <w:rFonts w:cs="Times New Roman"/>
          <w:szCs w:val="24"/>
        </w:rPr>
        <w:t>M</w:t>
      </w:r>
      <w:r w:rsidR="00BF1DEC">
        <w:rPr>
          <w:rFonts w:cs="Times New Roman"/>
          <w:szCs w:val="24"/>
        </w:rPr>
        <w:t>arket transformation</w:t>
      </w:r>
      <w:r>
        <w:rPr>
          <w:rFonts w:cs="Times New Roman"/>
          <w:szCs w:val="24"/>
        </w:rPr>
        <w:t xml:space="preserve">/NEEA </w:t>
      </w:r>
      <w:r w:rsidR="00BF1DEC">
        <w:rPr>
          <w:rFonts w:cs="Times New Roman"/>
          <w:szCs w:val="24"/>
        </w:rPr>
        <w:t xml:space="preserve">baseline </w:t>
      </w:r>
      <w:r>
        <w:rPr>
          <w:rFonts w:cs="Times New Roman"/>
          <w:szCs w:val="24"/>
        </w:rPr>
        <w:t xml:space="preserve">overview </w:t>
      </w:r>
      <w:r w:rsidR="00BF1DEC">
        <w:rPr>
          <w:rFonts w:cs="Times New Roman"/>
          <w:szCs w:val="24"/>
        </w:rPr>
        <w:t xml:space="preserve">and </w:t>
      </w:r>
      <w:r>
        <w:rPr>
          <w:rFonts w:cs="Times New Roman"/>
          <w:szCs w:val="24"/>
        </w:rPr>
        <w:t xml:space="preserve">proposed </w:t>
      </w:r>
      <w:r w:rsidR="00BF1DEC">
        <w:rPr>
          <w:rFonts w:cs="Times New Roman"/>
          <w:szCs w:val="24"/>
        </w:rPr>
        <w:t xml:space="preserve">handling </w:t>
      </w:r>
      <w:r>
        <w:rPr>
          <w:rFonts w:cs="Times New Roman"/>
          <w:szCs w:val="24"/>
        </w:rPr>
        <w:t xml:space="preserve">of savings in  </w:t>
      </w:r>
      <w:r w:rsidR="00BF1DEC">
        <w:rPr>
          <w:rFonts w:cs="Times New Roman"/>
          <w:szCs w:val="24"/>
        </w:rPr>
        <w:t>conservation forecast</w:t>
      </w:r>
    </w:p>
    <w:p w:rsidR="00BF1DEC" w:rsidRDefault="00BF1DEC" w:rsidP="008963F3">
      <w:pPr>
        <w:numPr>
          <w:ilvl w:val="0"/>
          <w:numId w:val="67"/>
        </w:numPr>
        <w:rPr>
          <w:rFonts w:cs="Times New Roman"/>
          <w:szCs w:val="24"/>
        </w:rPr>
      </w:pPr>
      <w:r>
        <w:rPr>
          <w:rFonts w:cs="Times New Roman"/>
          <w:szCs w:val="24"/>
        </w:rPr>
        <w:t>Review of preliminary scope of work for 2017 CPA (data to inform 2017 IRP and 2018-2027 conservation forecast and 2018-2019 biennial target) and CPA timeline</w:t>
      </w:r>
    </w:p>
    <w:p w:rsidR="00BF1DEC" w:rsidRDefault="00BF1DEC" w:rsidP="008963F3">
      <w:pPr>
        <w:numPr>
          <w:ilvl w:val="0"/>
          <w:numId w:val="67"/>
        </w:numPr>
        <w:rPr>
          <w:rFonts w:cs="Times New Roman"/>
          <w:szCs w:val="24"/>
        </w:rPr>
      </w:pPr>
      <w:r>
        <w:rPr>
          <w:rFonts w:cs="Times New Roman"/>
          <w:szCs w:val="24"/>
        </w:rPr>
        <w:t xml:space="preserve">Provided second update on frozen verses fixed UES analysis; results still preliminary </w:t>
      </w:r>
    </w:p>
    <w:p w:rsidR="00BF1DEC" w:rsidRDefault="00BF1DEC" w:rsidP="007B6478">
      <w:pPr>
        <w:pStyle w:val="ListParagraph"/>
        <w:ind w:left="780"/>
        <w:rPr>
          <w:rFonts w:cs="Times New Roman"/>
          <w:szCs w:val="24"/>
        </w:rPr>
      </w:pPr>
    </w:p>
    <w:p w:rsidR="00BF1DEC" w:rsidRDefault="00BF1DEC" w:rsidP="00BF1DEC">
      <w:pPr>
        <w:rPr>
          <w:rFonts w:cs="Times New Roman"/>
          <w:szCs w:val="24"/>
        </w:rPr>
      </w:pPr>
      <w:r>
        <w:rPr>
          <w:rFonts w:cs="Times New Roman"/>
          <w:szCs w:val="24"/>
        </w:rPr>
        <w:t>August 20, 2015</w:t>
      </w:r>
      <w:r w:rsidR="00DD35A7">
        <w:rPr>
          <w:rFonts w:cs="Times New Roman"/>
          <w:szCs w:val="24"/>
        </w:rPr>
        <w:t xml:space="preserve"> – DSM Advisory Group Meeting</w:t>
      </w:r>
    </w:p>
    <w:p w:rsidR="008640A0" w:rsidRDefault="008B72FA" w:rsidP="007B6478">
      <w:pPr>
        <w:pStyle w:val="ListParagraph"/>
        <w:numPr>
          <w:ilvl w:val="0"/>
          <w:numId w:val="68"/>
        </w:numPr>
        <w:rPr>
          <w:rFonts w:cs="Times New Roman"/>
          <w:szCs w:val="24"/>
        </w:rPr>
      </w:pPr>
      <w:r>
        <w:rPr>
          <w:rFonts w:cs="Times New Roman"/>
          <w:szCs w:val="24"/>
        </w:rPr>
        <w:t>Presented proposed conservation forecast adjustments and preliminary target</w:t>
      </w:r>
      <w:r w:rsidR="008640A0">
        <w:rPr>
          <w:rFonts w:cs="Times New Roman"/>
          <w:szCs w:val="24"/>
        </w:rPr>
        <w:t xml:space="preserve"> calculation</w:t>
      </w:r>
    </w:p>
    <w:p w:rsidR="00000A88" w:rsidRPr="008640A0" w:rsidRDefault="00000A88" w:rsidP="007B6478">
      <w:pPr>
        <w:pStyle w:val="ListParagraph"/>
        <w:numPr>
          <w:ilvl w:val="0"/>
          <w:numId w:val="68"/>
        </w:numPr>
        <w:rPr>
          <w:rFonts w:cs="Times New Roman"/>
          <w:szCs w:val="24"/>
        </w:rPr>
      </w:pPr>
      <w:r>
        <w:rPr>
          <w:rFonts w:cs="Times New Roman"/>
          <w:szCs w:val="24"/>
        </w:rPr>
        <w:t>Presented thinking on the continuation of appliance recycling and home energy report programs in the 2016-2017 biennium</w:t>
      </w:r>
    </w:p>
    <w:p w:rsidR="008640A0" w:rsidRPr="008640A0" w:rsidRDefault="008640A0" w:rsidP="007B6478">
      <w:pPr>
        <w:pStyle w:val="ListParagraph"/>
        <w:numPr>
          <w:ilvl w:val="0"/>
          <w:numId w:val="68"/>
        </w:numPr>
        <w:rPr>
          <w:rFonts w:cs="Times New Roman"/>
          <w:szCs w:val="24"/>
        </w:rPr>
      </w:pPr>
      <w:r>
        <w:rPr>
          <w:rFonts w:cs="Times New Roman"/>
          <w:szCs w:val="24"/>
        </w:rPr>
        <w:t>Discussed treatment of savings from market transformation activities/NEEA</w:t>
      </w:r>
    </w:p>
    <w:p w:rsidR="00514B22" w:rsidRDefault="008640A0" w:rsidP="007B6478">
      <w:pPr>
        <w:pStyle w:val="ListParagraph"/>
        <w:numPr>
          <w:ilvl w:val="0"/>
          <w:numId w:val="68"/>
        </w:numPr>
        <w:rPr>
          <w:rFonts w:cs="Times New Roman"/>
          <w:szCs w:val="24"/>
        </w:rPr>
      </w:pPr>
      <w:r w:rsidRPr="008640A0">
        <w:rPr>
          <w:rFonts w:cs="Times New Roman"/>
          <w:szCs w:val="24"/>
        </w:rPr>
        <w:t>Overview of revised decrement values/avoided costs</w:t>
      </w:r>
      <w:r w:rsidR="00000A88">
        <w:rPr>
          <w:rFonts w:cs="Times New Roman"/>
          <w:szCs w:val="24"/>
        </w:rPr>
        <w:t xml:space="preserve"> and discussed anticipated impacts</w:t>
      </w:r>
      <w:r w:rsidRPr="008640A0">
        <w:rPr>
          <w:rFonts w:cs="Times New Roman"/>
          <w:szCs w:val="24"/>
        </w:rPr>
        <w:t xml:space="preserve"> </w:t>
      </w:r>
    </w:p>
    <w:p w:rsidR="00DD35A7" w:rsidRDefault="00DD35A7" w:rsidP="008640A0">
      <w:pPr>
        <w:rPr>
          <w:rFonts w:cs="Times New Roman"/>
          <w:szCs w:val="24"/>
        </w:rPr>
      </w:pPr>
    </w:p>
    <w:p w:rsidR="008640A0" w:rsidRDefault="008640A0" w:rsidP="008640A0">
      <w:pPr>
        <w:rPr>
          <w:rFonts w:cs="Times New Roman"/>
          <w:szCs w:val="24"/>
        </w:rPr>
      </w:pPr>
      <w:r>
        <w:rPr>
          <w:rFonts w:cs="Times New Roman"/>
          <w:szCs w:val="24"/>
        </w:rPr>
        <w:t>September 14, 2015 (teleconference)</w:t>
      </w:r>
      <w:r w:rsidR="00DD35A7">
        <w:rPr>
          <w:rFonts w:cs="Times New Roman"/>
          <w:szCs w:val="24"/>
        </w:rPr>
        <w:t xml:space="preserve"> – DSM Advisory Group Meeting</w:t>
      </w:r>
    </w:p>
    <w:p w:rsidR="008640A0" w:rsidRDefault="00000A88" w:rsidP="007B6478">
      <w:pPr>
        <w:pStyle w:val="ListParagraph"/>
        <w:numPr>
          <w:ilvl w:val="0"/>
          <w:numId w:val="69"/>
        </w:numPr>
        <w:rPr>
          <w:rFonts w:cs="Times New Roman"/>
          <w:szCs w:val="24"/>
        </w:rPr>
      </w:pPr>
      <w:r w:rsidRPr="00000A88">
        <w:rPr>
          <w:rFonts w:cs="Times New Roman"/>
          <w:szCs w:val="24"/>
        </w:rPr>
        <w:t xml:space="preserve">Presented revised economics on home energy reports </w:t>
      </w:r>
      <w:r>
        <w:rPr>
          <w:rFonts w:cs="Times New Roman"/>
          <w:szCs w:val="24"/>
        </w:rPr>
        <w:t xml:space="preserve">(follow-up </w:t>
      </w:r>
      <w:r w:rsidR="003E4414">
        <w:rPr>
          <w:rFonts w:cs="Times New Roman"/>
          <w:szCs w:val="24"/>
        </w:rPr>
        <w:t xml:space="preserve">to </w:t>
      </w:r>
      <w:r>
        <w:rPr>
          <w:rFonts w:cs="Times New Roman"/>
          <w:szCs w:val="24"/>
        </w:rPr>
        <w:t xml:space="preserve">August 20 </w:t>
      </w:r>
      <w:r w:rsidR="003E4414">
        <w:rPr>
          <w:rFonts w:cs="Times New Roman"/>
          <w:szCs w:val="24"/>
        </w:rPr>
        <w:t>meeting)</w:t>
      </w:r>
    </w:p>
    <w:p w:rsidR="00000A88" w:rsidRDefault="00000A88" w:rsidP="007B6478">
      <w:pPr>
        <w:pStyle w:val="ListParagraph"/>
        <w:numPr>
          <w:ilvl w:val="0"/>
          <w:numId w:val="69"/>
        </w:numPr>
        <w:rPr>
          <w:rFonts w:cs="Times New Roman"/>
          <w:szCs w:val="24"/>
        </w:rPr>
      </w:pPr>
      <w:r>
        <w:rPr>
          <w:rFonts w:cs="Times New Roman"/>
          <w:szCs w:val="24"/>
        </w:rPr>
        <w:t>Reviewed final round of proposed adjustments</w:t>
      </w:r>
      <w:r w:rsidR="003E4414">
        <w:rPr>
          <w:rFonts w:cs="Times New Roman"/>
          <w:szCs w:val="24"/>
        </w:rPr>
        <w:t xml:space="preserve"> to ten-year conservation forecast</w:t>
      </w:r>
    </w:p>
    <w:p w:rsidR="0040087E" w:rsidRPr="0040087E" w:rsidRDefault="0040087E" w:rsidP="007B6478">
      <w:pPr>
        <w:numPr>
          <w:ilvl w:val="0"/>
          <w:numId w:val="69"/>
        </w:numPr>
        <w:rPr>
          <w:rFonts w:cs="Times New Roman"/>
          <w:szCs w:val="24"/>
        </w:rPr>
      </w:pPr>
      <w:r>
        <w:rPr>
          <w:rFonts w:cs="Times New Roman"/>
          <w:szCs w:val="24"/>
        </w:rPr>
        <w:t>Explanation of why high-efficiency cogeneration would not be included in the conservation forecast or biennial target</w:t>
      </w:r>
    </w:p>
    <w:p w:rsidR="00000A88" w:rsidRDefault="00000A88" w:rsidP="007B6478">
      <w:pPr>
        <w:pStyle w:val="ListParagraph"/>
        <w:numPr>
          <w:ilvl w:val="0"/>
          <w:numId w:val="69"/>
        </w:numPr>
        <w:rPr>
          <w:rFonts w:cs="Times New Roman"/>
          <w:szCs w:val="24"/>
        </w:rPr>
      </w:pPr>
      <w:r>
        <w:rPr>
          <w:rFonts w:cs="Times New Roman"/>
          <w:szCs w:val="24"/>
        </w:rPr>
        <w:t>Resolved understanding of around how to calculate biennial target</w:t>
      </w:r>
    </w:p>
    <w:p w:rsidR="00000A88" w:rsidRDefault="00000A88" w:rsidP="007B6478">
      <w:pPr>
        <w:pStyle w:val="ListParagraph"/>
        <w:numPr>
          <w:ilvl w:val="0"/>
          <w:numId w:val="69"/>
        </w:numPr>
        <w:rPr>
          <w:rFonts w:cs="Times New Roman"/>
          <w:szCs w:val="24"/>
        </w:rPr>
      </w:pPr>
      <w:r>
        <w:rPr>
          <w:rFonts w:cs="Times New Roman"/>
          <w:szCs w:val="24"/>
        </w:rPr>
        <w:t xml:space="preserve">Identified possible 2016-2017 pilot measures i.e. heat pump dryers, </w:t>
      </w:r>
      <w:r w:rsidR="003E4414">
        <w:rPr>
          <w:rFonts w:cs="Times New Roman"/>
          <w:szCs w:val="24"/>
        </w:rPr>
        <w:t>manufactured homes</w:t>
      </w:r>
    </w:p>
    <w:p w:rsidR="00000A88" w:rsidRDefault="003E4414" w:rsidP="007B6478">
      <w:pPr>
        <w:pStyle w:val="ListParagraph"/>
        <w:numPr>
          <w:ilvl w:val="0"/>
          <w:numId w:val="69"/>
        </w:numPr>
        <w:rPr>
          <w:rFonts w:cs="Times New Roman"/>
          <w:szCs w:val="24"/>
        </w:rPr>
      </w:pPr>
      <w:r>
        <w:rPr>
          <w:rFonts w:cs="Times New Roman"/>
          <w:szCs w:val="24"/>
        </w:rPr>
        <w:t xml:space="preserve">Discussed </w:t>
      </w:r>
      <w:r w:rsidR="00000A88">
        <w:rPr>
          <w:rFonts w:cs="Times New Roman"/>
          <w:szCs w:val="24"/>
        </w:rPr>
        <w:t>low-income economics based on revised rules</w:t>
      </w:r>
    </w:p>
    <w:p w:rsidR="00000A88" w:rsidRDefault="003E4414" w:rsidP="007B6478">
      <w:pPr>
        <w:pStyle w:val="ListParagraph"/>
        <w:numPr>
          <w:ilvl w:val="0"/>
          <w:numId w:val="69"/>
        </w:numPr>
        <w:rPr>
          <w:rFonts w:cs="Times New Roman"/>
          <w:szCs w:val="24"/>
        </w:rPr>
      </w:pPr>
      <w:r>
        <w:rPr>
          <w:rFonts w:cs="Times New Roman"/>
          <w:szCs w:val="24"/>
        </w:rPr>
        <w:t>Discussed use of f</w:t>
      </w:r>
      <w:r w:rsidR="00000A88">
        <w:rPr>
          <w:rFonts w:cs="Times New Roman"/>
          <w:szCs w:val="24"/>
        </w:rPr>
        <w:t>rozen verses fixed UES baseline</w:t>
      </w:r>
      <w:r>
        <w:rPr>
          <w:rFonts w:cs="Times New Roman"/>
          <w:szCs w:val="24"/>
        </w:rPr>
        <w:t xml:space="preserve"> for 2017-2018 biennium </w:t>
      </w:r>
    </w:p>
    <w:p w:rsidR="00000A88" w:rsidRDefault="00000A88" w:rsidP="007B6478">
      <w:pPr>
        <w:pStyle w:val="ListParagraph"/>
        <w:numPr>
          <w:ilvl w:val="0"/>
          <w:numId w:val="69"/>
        </w:numPr>
        <w:rPr>
          <w:rFonts w:cs="Times New Roman"/>
          <w:szCs w:val="24"/>
        </w:rPr>
      </w:pPr>
      <w:r>
        <w:rPr>
          <w:rFonts w:cs="Times New Roman"/>
          <w:szCs w:val="24"/>
        </w:rPr>
        <w:t xml:space="preserve">Reviewed changes to the Company’s evaluation, measurement, and valuation framework </w:t>
      </w:r>
    </w:p>
    <w:p w:rsidR="00000A88" w:rsidRDefault="00000A88" w:rsidP="00000A88">
      <w:pPr>
        <w:rPr>
          <w:rFonts w:cs="Times New Roman"/>
          <w:szCs w:val="24"/>
        </w:rPr>
      </w:pPr>
    </w:p>
    <w:p w:rsidR="00000A88" w:rsidRPr="00000A88" w:rsidRDefault="00000A88" w:rsidP="00000A88">
      <w:pPr>
        <w:rPr>
          <w:rFonts w:cs="Times New Roman"/>
          <w:szCs w:val="24"/>
        </w:rPr>
      </w:pPr>
      <w:r w:rsidRPr="00000A88">
        <w:rPr>
          <w:rFonts w:cs="Times New Roman"/>
          <w:szCs w:val="24"/>
        </w:rPr>
        <w:t xml:space="preserve"> </w:t>
      </w:r>
    </w:p>
    <w:p w:rsidR="0051328B" w:rsidRPr="00A96D25" w:rsidRDefault="0051328B" w:rsidP="00A96D25">
      <w:pPr>
        <w:rPr>
          <w:rFonts w:cs="Times New Roman"/>
          <w:szCs w:val="24"/>
        </w:rPr>
      </w:pPr>
    </w:p>
    <w:p w:rsidR="003E5254" w:rsidRPr="00432C28" w:rsidRDefault="00F03E19" w:rsidP="003E5254">
      <w:pPr>
        <w:pStyle w:val="Heading1"/>
        <w:rPr>
          <w:rFonts w:ascii="Times New Roman" w:hAnsi="Times New Roman" w:cs="Times New Roman"/>
          <w:szCs w:val="24"/>
        </w:rPr>
      </w:pPr>
      <w:r w:rsidRPr="00432C28">
        <w:rPr>
          <w:rFonts w:ascii="Times New Roman" w:hAnsi="Times New Roman" w:cs="Times New Roman"/>
        </w:rPr>
        <w:br w:type="page"/>
      </w:r>
      <w:bookmarkStart w:id="35" w:name="_Toc294088292"/>
      <w:bookmarkStart w:id="36" w:name="_Toc431301350"/>
      <w:r w:rsidR="003E5254" w:rsidRPr="00432C28">
        <w:rPr>
          <w:rFonts w:ascii="Times New Roman" w:hAnsi="Times New Roman" w:cs="Times New Roman"/>
          <w:szCs w:val="24"/>
        </w:rPr>
        <w:t>Program Descriptions</w:t>
      </w:r>
      <w:bookmarkEnd w:id="35"/>
      <w:bookmarkEnd w:id="36"/>
    </w:p>
    <w:p w:rsidR="003E5254" w:rsidRPr="00432C28" w:rsidRDefault="003E5254" w:rsidP="003E5254">
      <w:pPr>
        <w:rPr>
          <w:rFonts w:cs="Times New Roman"/>
          <w:szCs w:val="24"/>
        </w:rPr>
      </w:pPr>
    </w:p>
    <w:p w:rsidR="003E5254" w:rsidRPr="00432C28" w:rsidRDefault="000E5C89" w:rsidP="003E5254">
      <w:pPr>
        <w:rPr>
          <w:rFonts w:cs="Times New Roman"/>
          <w:szCs w:val="24"/>
          <w:u w:val="single"/>
        </w:rPr>
      </w:pPr>
      <w:r w:rsidRPr="00432C28">
        <w:rPr>
          <w:rFonts w:cs="Times New Roman"/>
          <w:szCs w:val="24"/>
          <w:u w:val="single"/>
        </w:rPr>
        <w:t>Program Details</w:t>
      </w:r>
    </w:p>
    <w:p w:rsidR="003E5254" w:rsidRPr="00432C28" w:rsidRDefault="003E5254" w:rsidP="003E5254">
      <w:pPr>
        <w:rPr>
          <w:rFonts w:cs="Times New Roman"/>
          <w:b/>
          <w:szCs w:val="24"/>
        </w:rPr>
      </w:pPr>
    </w:p>
    <w:p w:rsidR="00250FF7" w:rsidRPr="00432C28" w:rsidRDefault="00250FF7" w:rsidP="00250FF7">
      <w:pPr>
        <w:rPr>
          <w:rFonts w:cs="Times New Roman"/>
        </w:rPr>
      </w:pPr>
      <w:r w:rsidRPr="00432C28">
        <w:rPr>
          <w:rFonts w:cs="Times New Roman"/>
          <w:szCs w:val="24"/>
        </w:rPr>
        <w:t>Program det</w:t>
      </w:r>
      <w:r w:rsidRPr="00432C28">
        <w:rPr>
          <w:rFonts w:cs="Times New Roman"/>
        </w:rPr>
        <w:t xml:space="preserve">ails, including specific measures, incentives, and eligibility requirements are provided by program in the Washington Demand-side Management Business Plan attached to this </w:t>
      </w:r>
      <w:r w:rsidR="00AB3EFF" w:rsidRPr="00432C28">
        <w:rPr>
          <w:rFonts w:cs="Times New Roman"/>
        </w:rPr>
        <w:t>report</w:t>
      </w:r>
      <w:r w:rsidRPr="00432C28">
        <w:rPr>
          <w:rFonts w:cs="Times New Roman"/>
        </w:rPr>
        <w:t xml:space="preserve"> as Appendix </w:t>
      </w:r>
      <w:r w:rsidR="00845078" w:rsidRPr="00432C28">
        <w:rPr>
          <w:rFonts w:cs="Times New Roman"/>
        </w:rPr>
        <w:t>7</w:t>
      </w:r>
      <w:r w:rsidRPr="00432C28">
        <w:rPr>
          <w:rFonts w:cs="Times New Roman"/>
        </w:rPr>
        <w:t xml:space="preserve">. Also included is a program description, a description of planned program changes, program </w:t>
      </w:r>
      <w:r w:rsidR="00EA3F96" w:rsidRPr="00432C28">
        <w:rPr>
          <w:rFonts w:cs="Times New Roman"/>
        </w:rPr>
        <w:t xml:space="preserve">specific </w:t>
      </w:r>
      <w:r w:rsidRPr="00432C28">
        <w:rPr>
          <w:rFonts w:cs="Times New Roman"/>
        </w:rPr>
        <w:t xml:space="preserve">evaluation </w:t>
      </w:r>
      <w:r w:rsidR="00EA3F96" w:rsidRPr="00432C28">
        <w:rPr>
          <w:rFonts w:cs="Times New Roman"/>
        </w:rPr>
        <w:t>schedules</w:t>
      </w:r>
      <w:r w:rsidR="00D12BBE" w:rsidRPr="00432C28">
        <w:rPr>
          <w:rFonts w:cs="Times New Roman"/>
        </w:rPr>
        <w:t xml:space="preserve"> and </w:t>
      </w:r>
      <w:r w:rsidR="00A27E1B" w:rsidRPr="00432C28">
        <w:rPr>
          <w:rFonts w:cs="Times New Roman"/>
        </w:rPr>
        <w:t xml:space="preserve">program and portfolio </w:t>
      </w:r>
      <w:r w:rsidR="00D12BBE" w:rsidRPr="00432C28">
        <w:rPr>
          <w:rFonts w:cs="Times New Roman"/>
        </w:rPr>
        <w:t>cost-effectiveness results</w:t>
      </w:r>
      <w:r w:rsidR="00A27E1B" w:rsidRPr="00432C28">
        <w:rPr>
          <w:rFonts w:cs="Times New Roman"/>
        </w:rPr>
        <w:t>.</w:t>
      </w:r>
      <w:r w:rsidRPr="00432C28">
        <w:rPr>
          <w:rFonts w:cs="Times New Roman"/>
        </w:rPr>
        <w:t xml:space="preserve"> </w:t>
      </w:r>
    </w:p>
    <w:p w:rsidR="005C0692" w:rsidRPr="00432C28" w:rsidRDefault="005C0692" w:rsidP="00250FF7">
      <w:pPr>
        <w:rPr>
          <w:rFonts w:cs="Times New Roman"/>
          <w:szCs w:val="24"/>
        </w:rPr>
      </w:pPr>
    </w:p>
    <w:p w:rsidR="00436022" w:rsidRPr="00432C28" w:rsidRDefault="00436022" w:rsidP="00250FF7">
      <w:pPr>
        <w:rPr>
          <w:rFonts w:cs="Times New Roman"/>
          <w:i/>
        </w:rPr>
      </w:pPr>
      <w:r w:rsidRPr="00432C28">
        <w:rPr>
          <w:rFonts w:cs="Times New Roman"/>
          <w:i/>
        </w:rPr>
        <w:t>Outreach on Programs</w:t>
      </w:r>
    </w:p>
    <w:p w:rsidR="00436022" w:rsidRPr="00432C28" w:rsidRDefault="00436022" w:rsidP="00250FF7">
      <w:pPr>
        <w:rPr>
          <w:rFonts w:cs="Times New Roman"/>
        </w:rPr>
      </w:pPr>
    </w:p>
    <w:p w:rsidR="007504D7" w:rsidRPr="00432C28" w:rsidRDefault="007B532F" w:rsidP="007504D7">
      <w:pPr>
        <w:rPr>
          <w:rFonts w:cs="Times New Roman"/>
        </w:rPr>
      </w:pPr>
      <w:r>
        <w:rPr>
          <w:rFonts w:cs="Times New Roman"/>
        </w:rPr>
        <w:t xml:space="preserve">As required by </w:t>
      </w:r>
      <w:r w:rsidR="006B331E" w:rsidRPr="006B331E">
        <w:rPr>
          <w:rFonts w:cs="Times New Roman"/>
        </w:rPr>
        <w:t>Order 01 in Docket UE-</w:t>
      </w:r>
      <w:r w:rsidR="00302D51">
        <w:rPr>
          <w:rFonts w:cs="Times New Roman"/>
        </w:rPr>
        <w:t>132047</w:t>
      </w:r>
      <w:r w:rsidR="00436022" w:rsidRPr="006B331E">
        <w:rPr>
          <w:rFonts w:cs="Times New Roman"/>
        </w:rPr>
        <w:t xml:space="preserve"> </w:t>
      </w:r>
      <w:r w:rsidR="00AB3EFF" w:rsidRPr="006B331E">
        <w:rPr>
          <w:rFonts w:cs="Times New Roman"/>
        </w:rPr>
        <w:t xml:space="preserve">(section </w:t>
      </w:r>
      <w:r w:rsidR="00436022" w:rsidRPr="006B331E">
        <w:rPr>
          <w:rFonts w:cs="Times New Roman"/>
        </w:rPr>
        <w:t>7(b)</w:t>
      </w:r>
      <w:r w:rsidR="00AB3EFF" w:rsidRPr="006B331E">
        <w:rPr>
          <w:rFonts w:cs="Times New Roman"/>
        </w:rPr>
        <w:t xml:space="preserve"> of the ordering section),</w:t>
      </w:r>
      <w:r w:rsidR="00436022" w:rsidRPr="006B331E">
        <w:rPr>
          <w:rFonts w:cs="Times New Roman"/>
        </w:rPr>
        <w:t xml:space="preserve"> the Company </w:t>
      </w:r>
      <w:r w:rsidR="00AB3EFF" w:rsidRPr="006B331E">
        <w:rPr>
          <w:rFonts w:cs="Times New Roman"/>
        </w:rPr>
        <w:t>develop</w:t>
      </w:r>
      <w:r w:rsidR="00FB00FD" w:rsidRPr="006B331E">
        <w:rPr>
          <w:rFonts w:cs="Times New Roman"/>
        </w:rPr>
        <w:t>ed</w:t>
      </w:r>
      <w:r w:rsidR="00436022" w:rsidRPr="006B331E">
        <w:rPr>
          <w:rFonts w:cs="Times New Roman"/>
        </w:rPr>
        <w:t xml:space="preserve"> a</w:t>
      </w:r>
      <w:r w:rsidR="00AB3EFF" w:rsidRPr="006B331E">
        <w:rPr>
          <w:rFonts w:cs="Times New Roman"/>
        </w:rPr>
        <w:t>n</w:t>
      </w:r>
      <w:r w:rsidR="00436022" w:rsidRPr="006B331E">
        <w:rPr>
          <w:rFonts w:cs="Times New Roman"/>
        </w:rPr>
        <w:t xml:space="preserve"> </w:t>
      </w:r>
      <w:r w:rsidR="00AB3EFF" w:rsidRPr="006B331E">
        <w:rPr>
          <w:rFonts w:cs="Times New Roman"/>
        </w:rPr>
        <w:t>o</w:t>
      </w:r>
      <w:r w:rsidR="00436022" w:rsidRPr="006B331E">
        <w:rPr>
          <w:rFonts w:cs="Times New Roman"/>
        </w:rPr>
        <w:t xml:space="preserve">utreach and </w:t>
      </w:r>
      <w:r w:rsidR="00AB3EFF" w:rsidRPr="006B331E">
        <w:rPr>
          <w:rFonts w:cs="Times New Roman"/>
        </w:rPr>
        <w:t>c</w:t>
      </w:r>
      <w:r w:rsidR="00436022" w:rsidRPr="006B331E">
        <w:rPr>
          <w:rFonts w:cs="Times New Roman"/>
        </w:rPr>
        <w:t>ommunication strategy</w:t>
      </w:r>
      <w:r w:rsidR="00AB3EFF" w:rsidRPr="006B331E">
        <w:rPr>
          <w:rFonts w:cs="Times New Roman"/>
        </w:rPr>
        <w:t xml:space="preserve"> complementary</w:t>
      </w:r>
      <w:r w:rsidR="00436022" w:rsidRPr="006B331E">
        <w:rPr>
          <w:rFonts w:cs="Times New Roman"/>
        </w:rPr>
        <w:t xml:space="preserve"> to the Company’s existing customer communications efforts with the objective of increasing customer awareness of conservation program opportunities.</w:t>
      </w:r>
      <w:r w:rsidR="00AB3EFF" w:rsidRPr="006B331E">
        <w:rPr>
          <w:rFonts w:cs="Times New Roman"/>
        </w:rPr>
        <w:t xml:space="preserve"> </w:t>
      </w:r>
      <w:r w:rsidR="00AC0773">
        <w:rPr>
          <w:rFonts w:cs="Times New Roman"/>
        </w:rPr>
        <w:t xml:space="preserve">The Company provided information regarding communications and outreach efforts in </w:t>
      </w:r>
      <w:r w:rsidR="00F24A30">
        <w:rPr>
          <w:rFonts w:cs="Times New Roman"/>
        </w:rPr>
        <w:t>its</w:t>
      </w:r>
      <w:r w:rsidR="00AC0773">
        <w:rPr>
          <w:rFonts w:cs="Times New Roman"/>
        </w:rPr>
        <w:t xml:space="preserve"> 201</w:t>
      </w:r>
      <w:r w:rsidR="00302D51">
        <w:rPr>
          <w:rFonts w:cs="Times New Roman"/>
        </w:rPr>
        <w:t>4</w:t>
      </w:r>
      <w:r w:rsidR="00AC0773">
        <w:rPr>
          <w:rFonts w:cs="Times New Roman"/>
        </w:rPr>
        <w:t xml:space="preserve"> annual report and will do so again in the 201</w:t>
      </w:r>
      <w:r w:rsidR="00302D51">
        <w:rPr>
          <w:rFonts w:cs="Times New Roman"/>
        </w:rPr>
        <w:t>5</w:t>
      </w:r>
      <w:r w:rsidR="00AC0773">
        <w:rPr>
          <w:rFonts w:cs="Times New Roman"/>
        </w:rPr>
        <w:t xml:space="preserve"> annual report</w:t>
      </w:r>
      <w:r w:rsidR="00302D51">
        <w:rPr>
          <w:rFonts w:cs="Times New Roman"/>
        </w:rPr>
        <w:t xml:space="preserve"> and/or 2014-2015 Biennial Conservation Report</w:t>
      </w:r>
      <w:r w:rsidR="00302D51">
        <w:rPr>
          <w:rStyle w:val="FootnoteReference"/>
          <w:rFonts w:cs="Times New Roman"/>
        </w:rPr>
        <w:footnoteReference w:id="40"/>
      </w:r>
      <w:r w:rsidR="00AC0773">
        <w:rPr>
          <w:rFonts w:cs="Times New Roman"/>
        </w:rPr>
        <w:t>.  For the upcoming biennial period,</w:t>
      </w:r>
      <w:r w:rsidR="00EA3F96" w:rsidRPr="006B331E">
        <w:rPr>
          <w:rFonts w:cs="Times New Roman"/>
        </w:rPr>
        <w:t xml:space="preserve"> </w:t>
      </w:r>
      <w:r w:rsidR="007504D7">
        <w:rPr>
          <w:rFonts w:cs="Times New Roman"/>
        </w:rPr>
        <w:t xml:space="preserve">information on </w:t>
      </w:r>
      <w:r w:rsidR="00EA3F96" w:rsidRPr="006B331E">
        <w:rPr>
          <w:rFonts w:cs="Times New Roman"/>
        </w:rPr>
        <w:t xml:space="preserve">the </w:t>
      </w:r>
      <w:r w:rsidR="00F35BB1">
        <w:rPr>
          <w:rFonts w:cs="Times New Roman"/>
        </w:rPr>
        <w:t xml:space="preserve">preliminary 2016 </w:t>
      </w:r>
      <w:r w:rsidR="00EA3F96" w:rsidRPr="006B331E">
        <w:rPr>
          <w:rFonts w:cs="Times New Roman"/>
        </w:rPr>
        <w:t>Outreach and Communications plan</w:t>
      </w:r>
      <w:r w:rsidR="00F35BB1">
        <w:rPr>
          <w:rStyle w:val="FootnoteReference"/>
          <w:rFonts w:cs="Times New Roman"/>
        </w:rPr>
        <w:footnoteReference w:id="41"/>
      </w:r>
      <w:r w:rsidR="00EA3F96" w:rsidRPr="006B331E">
        <w:rPr>
          <w:rFonts w:cs="Times New Roman"/>
        </w:rPr>
        <w:t xml:space="preserve"> </w:t>
      </w:r>
      <w:r w:rsidR="00F35BB1">
        <w:rPr>
          <w:rFonts w:cs="Times New Roman"/>
        </w:rPr>
        <w:t xml:space="preserve">is </w:t>
      </w:r>
      <w:r w:rsidR="00EA3F96" w:rsidRPr="006B331E">
        <w:rPr>
          <w:rFonts w:cs="Times New Roman"/>
        </w:rPr>
        <w:t xml:space="preserve">provided in the DSM </w:t>
      </w:r>
      <w:r w:rsidR="00601A01">
        <w:rPr>
          <w:rFonts w:cs="Times New Roman"/>
        </w:rPr>
        <w:t>201</w:t>
      </w:r>
      <w:r w:rsidR="00302D51">
        <w:rPr>
          <w:rFonts w:cs="Times New Roman"/>
        </w:rPr>
        <w:t>6</w:t>
      </w:r>
      <w:r w:rsidR="00601A01">
        <w:rPr>
          <w:rFonts w:cs="Times New Roman"/>
        </w:rPr>
        <w:t>-201</w:t>
      </w:r>
      <w:r w:rsidR="00302D51">
        <w:rPr>
          <w:rFonts w:cs="Times New Roman"/>
        </w:rPr>
        <w:t>7</w:t>
      </w:r>
      <w:r w:rsidR="00601A01">
        <w:rPr>
          <w:rFonts w:cs="Times New Roman"/>
        </w:rPr>
        <w:t xml:space="preserve"> </w:t>
      </w:r>
      <w:r w:rsidR="00EA3F96" w:rsidRPr="006B331E">
        <w:rPr>
          <w:rFonts w:cs="Times New Roman"/>
        </w:rPr>
        <w:t xml:space="preserve">Business Plan, Appendix 7 to this </w:t>
      </w:r>
      <w:r w:rsidR="00F35BB1">
        <w:rPr>
          <w:rFonts w:cs="Times New Roman"/>
        </w:rPr>
        <w:t>report</w:t>
      </w:r>
      <w:r w:rsidR="00EA3F96" w:rsidRPr="006B331E">
        <w:rPr>
          <w:rFonts w:cs="Times New Roman"/>
        </w:rPr>
        <w:t xml:space="preserve">. </w:t>
      </w:r>
      <w:r w:rsidR="00AC0773">
        <w:rPr>
          <w:rFonts w:cs="Times New Roman"/>
        </w:rPr>
        <w:t xml:space="preserve">Forecasted expenditures </w:t>
      </w:r>
      <w:r w:rsidR="00436022" w:rsidRPr="006B331E">
        <w:rPr>
          <w:rFonts w:cs="Times New Roman"/>
        </w:rPr>
        <w:t>ha</w:t>
      </w:r>
      <w:r w:rsidR="00AC0773">
        <w:rPr>
          <w:rFonts w:cs="Times New Roman"/>
        </w:rPr>
        <w:t xml:space="preserve">ve </w:t>
      </w:r>
      <w:r w:rsidR="00436022" w:rsidRPr="006B331E">
        <w:rPr>
          <w:rFonts w:cs="Times New Roman"/>
        </w:rPr>
        <w:t xml:space="preserve">been included as a line item </w:t>
      </w:r>
      <w:r w:rsidR="007504D7" w:rsidRPr="006B331E">
        <w:rPr>
          <w:rFonts w:cs="Times New Roman"/>
        </w:rPr>
        <w:t>in</w:t>
      </w:r>
      <w:r w:rsidR="007504D7">
        <w:rPr>
          <w:rFonts w:cs="Times New Roman"/>
        </w:rPr>
        <w:t xml:space="preserve"> Table </w:t>
      </w:r>
      <w:r w:rsidR="00F35BB1">
        <w:rPr>
          <w:rFonts w:cs="Times New Roman"/>
        </w:rPr>
        <w:t>9</w:t>
      </w:r>
      <w:r w:rsidR="007504D7">
        <w:rPr>
          <w:rFonts w:cs="Times New Roman"/>
        </w:rPr>
        <w:t xml:space="preserve"> above and </w:t>
      </w:r>
      <w:r w:rsidR="001B2E69">
        <w:rPr>
          <w:rFonts w:cs="Times New Roman"/>
        </w:rPr>
        <w:t xml:space="preserve">in </w:t>
      </w:r>
      <w:r w:rsidR="007504D7">
        <w:rPr>
          <w:rFonts w:cs="Times New Roman"/>
        </w:rPr>
        <w:t xml:space="preserve">Table 1 of the </w:t>
      </w:r>
      <w:r w:rsidR="007504D7" w:rsidRPr="006B331E">
        <w:rPr>
          <w:rFonts w:cs="Times New Roman"/>
        </w:rPr>
        <w:t xml:space="preserve">DSM </w:t>
      </w:r>
      <w:r w:rsidR="007504D7">
        <w:rPr>
          <w:rFonts w:cs="Times New Roman"/>
        </w:rPr>
        <w:t xml:space="preserve">2016-2017 </w:t>
      </w:r>
      <w:r w:rsidR="007504D7" w:rsidRPr="006B331E">
        <w:rPr>
          <w:rFonts w:cs="Times New Roman"/>
        </w:rPr>
        <w:t>Business Plan.</w:t>
      </w:r>
    </w:p>
    <w:p w:rsidR="00C74254" w:rsidRPr="00432C28" w:rsidRDefault="00EB617A" w:rsidP="00DB27FF">
      <w:pPr>
        <w:pStyle w:val="Heading1"/>
        <w:spacing w:before="0"/>
        <w:rPr>
          <w:rFonts w:ascii="Times New Roman" w:hAnsi="Times New Roman" w:cs="Times New Roman"/>
          <w:color w:val="000000" w:themeColor="text1"/>
        </w:rPr>
      </w:pPr>
      <w:r w:rsidRPr="00432C28">
        <w:rPr>
          <w:rFonts w:ascii="Times New Roman" w:hAnsi="Times New Roman" w:cs="Times New Roman"/>
        </w:rPr>
        <w:br w:type="page"/>
      </w:r>
      <w:bookmarkStart w:id="37" w:name="_Toc294088294"/>
      <w:bookmarkStart w:id="38" w:name="_Toc431301351"/>
      <w:r w:rsidR="00C74254" w:rsidRPr="00432C28">
        <w:rPr>
          <w:rFonts w:ascii="Times New Roman" w:hAnsi="Times New Roman" w:cs="Times New Roman"/>
          <w:color w:val="000000" w:themeColor="text1"/>
        </w:rPr>
        <w:t>Adaptive Management and Implementation Strategies</w:t>
      </w:r>
      <w:bookmarkEnd w:id="37"/>
      <w:bookmarkEnd w:id="38"/>
    </w:p>
    <w:p w:rsidR="004601C0" w:rsidRPr="00432C28" w:rsidRDefault="004601C0" w:rsidP="00330981">
      <w:pPr>
        <w:rPr>
          <w:rFonts w:cs="Times New Roman"/>
          <w:szCs w:val="24"/>
        </w:rPr>
      </w:pPr>
    </w:p>
    <w:p w:rsidR="00DD5C0F" w:rsidRPr="00432C28" w:rsidRDefault="003529E5" w:rsidP="00EB5AE4">
      <w:pPr>
        <w:rPr>
          <w:rFonts w:cs="Times New Roman"/>
          <w:bCs/>
          <w:szCs w:val="24"/>
        </w:rPr>
      </w:pPr>
      <w:r w:rsidRPr="00432C28">
        <w:rPr>
          <w:rFonts w:cs="Times New Roman"/>
          <w:szCs w:val="24"/>
        </w:rPr>
        <w:t xml:space="preserve">Changes to conservation programs within the biennium are contemplated in </w:t>
      </w:r>
      <w:r w:rsidR="00FE1C9E">
        <w:rPr>
          <w:rFonts w:cs="Times New Roman"/>
          <w:szCs w:val="24"/>
        </w:rPr>
        <w:t>Order 01</w:t>
      </w:r>
      <w:r w:rsidR="00F15B19" w:rsidRPr="00432C28">
        <w:rPr>
          <w:rFonts w:cs="Times New Roman"/>
          <w:szCs w:val="24"/>
        </w:rPr>
        <w:t xml:space="preserve"> </w:t>
      </w:r>
      <w:r w:rsidR="00F27230">
        <w:rPr>
          <w:rFonts w:cs="Times New Roman"/>
          <w:szCs w:val="24"/>
        </w:rPr>
        <w:t xml:space="preserve">Attachment A </w:t>
      </w:r>
      <w:r w:rsidR="00F15B19" w:rsidRPr="00432C28">
        <w:rPr>
          <w:rFonts w:cs="Times New Roman"/>
          <w:szCs w:val="24"/>
        </w:rPr>
        <w:t>in Docket UE-</w:t>
      </w:r>
      <w:r w:rsidR="00FE1C9E">
        <w:rPr>
          <w:rFonts w:cs="Times New Roman"/>
          <w:szCs w:val="24"/>
        </w:rPr>
        <w:t>1</w:t>
      </w:r>
      <w:r w:rsidR="00D15D3C">
        <w:rPr>
          <w:rFonts w:cs="Times New Roman"/>
          <w:szCs w:val="24"/>
        </w:rPr>
        <w:t>32047</w:t>
      </w:r>
      <w:r w:rsidR="00FE1C9E">
        <w:rPr>
          <w:rFonts w:cs="Times New Roman"/>
          <w:szCs w:val="24"/>
        </w:rPr>
        <w:t>, in which PacifiCorp’s 201</w:t>
      </w:r>
      <w:r w:rsidR="00D15D3C">
        <w:rPr>
          <w:rFonts w:cs="Times New Roman"/>
          <w:szCs w:val="24"/>
        </w:rPr>
        <w:t>4</w:t>
      </w:r>
      <w:r w:rsidR="00FE1C9E">
        <w:rPr>
          <w:rFonts w:cs="Times New Roman"/>
          <w:szCs w:val="24"/>
        </w:rPr>
        <w:t>-201</w:t>
      </w:r>
      <w:r w:rsidR="00D15D3C">
        <w:rPr>
          <w:rFonts w:cs="Times New Roman"/>
          <w:szCs w:val="24"/>
        </w:rPr>
        <w:t>5</w:t>
      </w:r>
      <w:r w:rsidR="00F15B19" w:rsidRPr="00432C28">
        <w:rPr>
          <w:rFonts w:cs="Times New Roman"/>
          <w:szCs w:val="24"/>
        </w:rPr>
        <w:t xml:space="preserve"> biennial conservation targets were approved</w:t>
      </w:r>
      <w:r w:rsidR="00D15D3C">
        <w:rPr>
          <w:rFonts w:cs="Times New Roman"/>
          <w:szCs w:val="24"/>
        </w:rPr>
        <w:t>, and WAC 480-109-100 (1) (a) (iv) which requires the Company’s continuously review and update as appropriate its conservation portfolio to adapt to changing market conditions and developing technologies</w:t>
      </w:r>
      <w:r w:rsidR="00F15B19" w:rsidRPr="00432C28">
        <w:rPr>
          <w:rFonts w:cs="Times New Roman"/>
          <w:szCs w:val="24"/>
        </w:rPr>
        <w:t xml:space="preserve">. Sections 5 and 7(a) of </w:t>
      </w:r>
      <w:r w:rsidR="00FE1C9E">
        <w:rPr>
          <w:rFonts w:cs="Times New Roman"/>
          <w:szCs w:val="24"/>
        </w:rPr>
        <w:t>the ordering section of Order 01</w:t>
      </w:r>
      <w:r w:rsidR="00F15B19" w:rsidRPr="00432C28">
        <w:rPr>
          <w:rFonts w:cs="Times New Roman"/>
          <w:szCs w:val="24"/>
        </w:rPr>
        <w:t xml:space="preserve"> provide for the following:</w:t>
      </w:r>
    </w:p>
    <w:p w:rsidR="00AC5AD0" w:rsidRPr="00432C28" w:rsidRDefault="00AC5AD0" w:rsidP="00EB5AE4">
      <w:pPr>
        <w:rPr>
          <w:rFonts w:cs="Times New Roman"/>
          <w:bCs/>
          <w:szCs w:val="24"/>
        </w:rPr>
      </w:pPr>
    </w:p>
    <w:p w:rsidR="00AB69E8" w:rsidRPr="00432C28" w:rsidRDefault="00092202" w:rsidP="00EB5AE4">
      <w:pPr>
        <w:ind w:left="720"/>
        <w:rPr>
          <w:rFonts w:cs="Times New Roman"/>
          <w:szCs w:val="24"/>
        </w:rPr>
      </w:pPr>
      <w:r w:rsidRPr="00432C28">
        <w:rPr>
          <w:rFonts w:cs="Times New Roman"/>
          <w:bCs/>
          <w:szCs w:val="24"/>
        </w:rPr>
        <w:t>(5) “</w:t>
      </w:r>
      <w:r w:rsidR="00FE1C9E" w:rsidRPr="00FE1C9E">
        <w:rPr>
          <w:rFonts w:cs="Times New Roman"/>
          <w:szCs w:val="24"/>
        </w:rPr>
        <w:t xml:space="preserve">Program </w:t>
      </w:r>
      <w:r w:rsidR="00F27230">
        <w:rPr>
          <w:rFonts w:cs="Times New Roman"/>
          <w:szCs w:val="24"/>
        </w:rPr>
        <w:t>D</w:t>
      </w:r>
      <w:r w:rsidR="00FE1C9E" w:rsidRPr="00FE1C9E">
        <w:rPr>
          <w:rFonts w:cs="Times New Roman"/>
          <w:szCs w:val="24"/>
        </w:rPr>
        <w:t>etails</w:t>
      </w:r>
      <w:r w:rsidR="00F27230">
        <w:rPr>
          <w:rFonts w:cs="Times New Roman"/>
          <w:szCs w:val="24"/>
        </w:rPr>
        <w:t>. PacifiCorp must maintain its conservation tariffs, with program descriptions, on file with the Commission. Program details</w:t>
      </w:r>
      <w:r w:rsidR="00FE1C9E" w:rsidRPr="00FE1C9E">
        <w:rPr>
          <w:rFonts w:cs="Times New Roman"/>
          <w:szCs w:val="24"/>
        </w:rPr>
        <w:t xml:space="preserve"> about specific measures, incentives, and eligibility requirements must be filed as tariff attachments or as revisions to PacifiCorp’s DSM Business Plan.  PacifiCorp may propose other methods for managing its program details in the Biennial Conservation Plan required under Paragraph 8(f) below, after consultation with the Advisory Group as provided in Paragraph 9(b) below</w:t>
      </w:r>
      <w:r w:rsidRPr="00432C28">
        <w:rPr>
          <w:rFonts w:cs="Times New Roman"/>
          <w:szCs w:val="24"/>
        </w:rPr>
        <w:t>.”</w:t>
      </w:r>
      <w:r w:rsidR="00F15B19" w:rsidRPr="00432C28">
        <w:rPr>
          <w:rStyle w:val="FootnoteReference"/>
          <w:rFonts w:cs="Times New Roman"/>
          <w:szCs w:val="24"/>
        </w:rPr>
        <w:footnoteReference w:id="42"/>
      </w:r>
    </w:p>
    <w:p w:rsidR="00DD5C0F" w:rsidRPr="00432C28" w:rsidRDefault="00DD5C0F" w:rsidP="00EB5AE4">
      <w:pPr>
        <w:rPr>
          <w:rFonts w:cs="Times New Roman"/>
          <w:szCs w:val="24"/>
        </w:rPr>
      </w:pPr>
    </w:p>
    <w:p w:rsidR="00D25EA7" w:rsidRDefault="00DD5C0F" w:rsidP="007C3AF7">
      <w:pPr>
        <w:ind w:left="720"/>
        <w:rPr>
          <w:rFonts w:cs="Times New Roman"/>
          <w:szCs w:val="24"/>
        </w:rPr>
      </w:pPr>
      <w:r w:rsidRPr="00432C28">
        <w:rPr>
          <w:rFonts w:cs="Times New Roman"/>
          <w:szCs w:val="24"/>
        </w:rPr>
        <w:t>(7)(a)</w:t>
      </w:r>
      <w:r w:rsidR="00F15B19" w:rsidRPr="00432C28">
        <w:rPr>
          <w:rFonts w:cs="Times New Roman"/>
          <w:szCs w:val="24"/>
        </w:rPr>
        <w:t xml:space="preserve"> </w:t>
      </w:r>
      <w:r w:rsidRPr="00432C28">
        <w:rPr>
          <w:rFonts w:cs="Times New Roman"/>
          <w:szCs w:val="24"/>
        </w:rPr>
        <w:t>“</w:t>
      </w:r>
      <w:r w:rsidR="00FE1C9E" w:rsidRPr="00FE1C9E">
        <w:rPr>
          <w:rFonts w:cs="Times New Roman"/>
          <w:szCs w:val="24"/>
        </w:rPr>
        <w:t xml:space="preserve">Modifications to the programs must be filed with the Commission as revisions to tariffs, as revisions to PacifiCorp’s DSM Business Plan, or revisions as summarized in the process described in </w:t>
      </w:r>
      <w:r w:rsidR="00F27230">
        <w:rPr>
          <w:rFonts w:cs="Times New Roman"/>
          <w:szCs w:val="24"/>
        </w:rPr>
        <w:t>the DSM Business Plan</w:t>
      </w:r>
      <w:r w:rsidR="00F27230">
        <w:rPr>
          <w:rStyle w:val="FootnoteReference"/>
          <w:rFonts w:cs="Times New Roman"/>
          <w:szCs w:val="24"/>
        </w:rPr>
        <w:footnoteReference w:id="43"/>
      </w:r>
      <w:r w:rsidR="00F27230">
        <w:rPr>
          <w:rFonts w:cs="Times New Roman"/>
          <w:szCs w:val="24"/>
        </w:rPr>
        <w:t>.”</w:t>
      </w:r>
    </w:p>
    <w:p w:rsidR="007C3AF7" w:rsidRPr="00432C28" w:rsidRDefault="007C3AF7" w:rsidP="007C3AF7">
      <w:pPr>
        <w:ind w:left="720"/>
        <w:rPr>
          <w:rFonts w:cs="Times New Roman"/>
          <w:bCs/>
          <w:szCs w:val="24"/>
        </w:rPr>
      </w:pPr>
    </w:p>
    <w:p w:rsidR="00D25EA7" w:rsidRPr="00432C28" w:rsidRDefault="00AC5AD0">
      <w:pPr>
        <w:rPr>
          <w:rFonts w:cs="Times New Roman"/>
          <w:bCs/>
          <w:szCs w:val="24"/>
        </w:rPr>
      </w:pPr>
      <w:r w:rsidRPr="00432C28">
        <w:rPr>
          <w:rFonts w:cs="Times New Roman"/>
          <w:bCs/>
          <w:szCs w:val="24"/>
        </w:rPr>
        <w:t>The Company intends to exercise changes as needed to maintain or improve the performance of programs or capitalize on opportunities not yet realized</w:t>
      </w:r>
      <w:r w:rsidR="00F15B19" w:rsidRPr="00432C28">
        <w:rPr>
          <w:rFonts w:cs="Times New Roman"/>
          <w:bCs/>
          <w:szCs w:val="24"/>
        </w:rPr>
        <w:t>,</w:t>
      </w:r>
      <w:r w:rsidRPr="00432C28">
        <w:rPr>
          <w:rFonts w:cs="Times New Roman"/>
          <w:bCs/>
          <w:szCs w:val="24"/>
        </w:rPr>
        <w:t xml:space="preserve"> however will only do so after consultation with the DSM Advisory Group.</w:t>
      </w:r>
      <w:r w:rsidR="00FE1C9E">
        <w:rPr>
          <w:rFonts w:cs="Times New Roman"/>
          <w:bCs/>
          <w:szCs w:val="24"/>
        </w:rPr>
        <w:t xml:space="preserve"> Updates to program tariffs and/</w:t>
      </w:r>
      <w:r w:rsidRPr="00432C28">
        <w:rPr>
          <w:rFonts w:cs="Times New Roman"/>
          <w:bCs/>
          <w:szCs w:val="24"/>
        </w:rPr>
        <w:t xml:space="preserve">or Business Plan revisions will accompany </w:t>
      </w:r>
      <w:r w:rsidR="00F15B19" w:rsidRPr="00432C28">
        <w:rPr>
          <w:rFonts w:cs="Times New Roman"/>
          <w:bCs/>
          <w:szCs w:val="24"/>
        </w:rPr>
        <w:t>modifications made to programs</w:t>
      </w:r>
      <w:r w:rsidRPr="00432C28">
        <w:rPr>
          <w:rFonts w:cs="Times New Roman"/>
          <w:bCs/>
          <w:szCs w:val="24"/>
        </w:rPr>
        <w:t>.</w:t>
      </w:r>
    </w:p>
    <w:p w:rsidR="00D25EA7" w:rsidRPr="00432C28" w:rsidRDefault="00D25EA7">
      <w:pPr>
        <w:rPr>
          <w:rFonts w:cs="Times New Roman"/>
          <w:bCs/>
          <w:szCs w:val="24"/>
        </w:rPr>
      </w:pPr>
    </w:p>
    <w:p w:rsidR="00D25EA7" w:rsidRPr="00432C28" w:rsidRDefault="00092202">
      <w:pPr>
        <w:rPr>
          <w:rFonts w:cs="Times New Roman"/>
          <w:bCs/>
          <w:szCs w:val="24"/>
        </w:rPr>
      </w:pPr>
      <w:r w:rsidRPr="00432C28">
        <w:rPr>
          <w:rFonts w:cs="Times New Roman"/>
          <w:bCs/>
          <w:szCs w:val="24"/>
        </w:rPr>
        <w:t>Two programs within PacifiCorp’s program portfolio for which tariff revisions are not required for measure and incentive changes are Schedule 118, the Home Energy Savings Program, and Schedule 1</w:t>
      </w:r>
      <w:r w:rsidR="002138F9">
        <w:rPr>
          <w:rFonts w:cs="Times New Roman"/>
          <w:bCs/>
          <w:szCs w:val="24"/>
        </w:rPr>
        <w:t>40, Non-Residential Energy Efficiency (“</w:t>
      </w:r>
      <w:r w:rsidR="002138F9" w:rsidRPr="007C3AF7">
        <w:rPr>
          <w:rFonts w:cs="Times New Roman"/>
          <w:b/>
          <w:bCs/>
          <w:i/>
          <w:szCs w:val="24"/>
        </w:rPr>
        <w:t>watt</w:t>
      </w:r>
      <w:r w:rsidR="002138F9">
        <w:rPr>
          <w:rFonts w:cs="Times New Roman"/>
          <w:bCs/>
          <w:szCs w:val="24"/>
        </w:rPr>
        <w:t>smart Business”)</w:t>
      </w:r>
      <w:r w:rsidRPr="00432C28">
        <w:rPr>
          <w:rFonts w:cs="Times New Roman"/>
          <w:bCs/>
          <w:szCs w:val="24"/>
        </w:rPr>
        <w:t xml:space="preserve">. The Commission approved </w:t>
      </w:r>
      <w:r w:rsidR="00980FED" w:rsidRPr="00432C28">
        <w:rPr>
          <w:rFonts w:cs="Times New Roman"/>
          <w:bCs/>
          <w:szCs w:val="24"/>
        </w:rPr>
        <w:t>process to modify these programs is</w:t>
      </w:r>
      <w:r w:rsidRPr="00432C28">
        <w:rPr>
          <w:rFonts w:cs="Times New Roman"/>
          <w:bCs/>
          <w:szCs w:val="24"/>
        </w:rPr>
        <w:t xml:space="preserve"> defined in Schedules 115 and 1</w:t>
      </w:r>
      <w:r w:rsidR="002138F9">
        <w:rPr>
          <w:rFonts w:cs="Times New Roman"/>
          <w:bCs/>
          <w:szCs w:val="24"/>
        </w:rPr>
        <w:t>40</w:t>
      </w:r>
      <w:r w:rsidRPr="00432C28">
        <w:rPr>
          <w:rFonts w:cs="Times New Roman"/>
          <w:bCs/>
          <w:szCs w:val="24"/>
        </w:rPr>
        <w:t xml:space="preserve"> as detailed below.</w:t>
      </w:r>
      <w:r w:rsidR="00093AB2">
        <w:rPr>
          <w:rFonts w:cs="Times New Roman"/>
          <w:bCs/>
          <w:szCs w:val="24"/>
        </w:rPr>
        <w:t xml:space="preserve"> </w:t>
      </w:r>
    </w:p>
    <w:p w:rsidR="00D25EA7" w:rsidRPr="00432C28" w:rsidRDefault="00D25EA7">
      <w:pPr>
        <w:rPr>
          <w:rFonts w:cs="Times New Roman"/>
          <w:szCs w:val="24"/>
        </w:rPr>
      </w:pPr>
    </w:p>
    <w:p w:rsidR="00D25EA7" w:rsidRPr="00432C28" w:rsidRDefault="00092202">
      <w:pPr>
        <w:autoSpaceDE w:val="0"/>
        <w:autoSpaceDN w:val="0"/>
        <w:adjustRightInd w:val="0"/>
        <w:rPr>
          <w:rFonts w:cs="Times New Roman"/>
          <w:bCs/>
          <w:color w:val="000000"/>
          <w:szCs w:val="24"/>
          <w:u w:val="single"/>
        </w:rPr>
      </w:pPr>
      <w:r w:rsidRPr="00432C28">
        <w:rPr>
          <w:rFonts w:cs="Times New Roman"/>
          <w:bCs/>
          <w:color w:val="000000"/>
          <w:szCs w:val="24"/>
          <w:u w:val="single"/>
        </w:rPr>
        <w:t>Home Energy Savings (Schedule 118)</w:t>
      </w:r>
    </w:p>
    <w:p w:rsidR="00D25EA7" w:rsidRPr="00432C28" w:rsidRDefault="00D25EA7">
      <w:pPr>
        <w:autoSpaceDE w:val="0"/>
        <w:autoSpaceDN w:val="0"/>
        <w:adjustRightInd w:val="0"/>
        <w:rPr>
          <w:rFonts w:cs="Times New Roman"/>
          <w:bCs/>
          <w:color w:val="000000"/>
          <w:szCs w:val="24"/>
          <w:u w:val="single"/>
        </w:rPr>
      </w:pPr>
    </w:p>
    <w:p w:rsidR="00D25EA7" w:rsidRPr="00432C28" w:rsidRDefault="00092202">
      <w:pPr>
        <w:autoSpaceDE w:val="0"/>
        <w:autoSpaceDN w:val="0"/>
        <w:adjustRightInd w:val="0"/>
        <w:rPr>
          <w:rFonts w:cs="Times New Roman"/>
          <w:color w:val="000000"/>
          <w:szCs w:val="24"/>
        </w:rPr>
      </w:pPr>
      <w:r w:rsidRPr="00432C28">
        <w:rPr>
          <w:rFonts w:cs="Times New Roman"/>
          <w:color w:val="000000"/>
          <w:szCs w:val="24"/>
        </w:rPr>
        <w:t xml:space="preserve">Details for this program are contained in the program tariff provided as a part of the DSM </w:t>
      </w:r>
      <w:r w:rsidR="00601A01">
        <w:rPr>
          <w:rFonts w:cs="Times New Roman"/>
          <w:color w:val="000000"/>
          <w:szCs w:val="24"/>
        </w:rPr>
        <w:t>201</w:t>
      </w:r>
      <w:r w:rsidR="002138F9">
        <w:rPr>
          <w:rFonts w:cs="Times New Roman"/>
          <w:color w:val="000000"/>
          <w:szCs w:val="24"/>
        </w:rPr>
        <w:t>6</w:t>
      </w:r>
      <w:r w:rsidR="00601A01">
        <w:rPr>
          <w:rFonts w:cs="Times New Roman"/>
          <w:color w:val="000000"/>
          <w:szCs w:val="24"/>
        </w:rPr>
        <w:t>-201</w:t>
      </w:r>
      <w:r w:rsidR="002138F9">
        <w:rPr>
          <w:rFonts w:cs="Times New Roman"/>
          <w:color w:val="000000"/>
          <w:szCs w:val="24"/>
        </w:rPr>
        <w:t>7</w:t>
      </w:r>
      <w:r w:rsidR="00601A01">
        <w:rPr>
          <w:rFonts w:cs="Times New Roman"/>
          <w:color w:val="000000"/>
          <w:szCs w:val="24"/>
        </w:rPr>
        <w:t xml:space="preserve"> </w:t>
      </w:r>
      <w:r w:rsidRPr="00432C28">
        <w:rPr>
          <w:rFonts w:cs="Times New Roman"/>
          <w:color w:val="000000"/>
          <w:szCs w:val="24"/>
        </w:rPr>
        <w:t>Business Plan in Appendix 7 to this report. Any changes to the details included in the program tariff must be filed and approved by the Commission prior to becoming effective; however, as noted, there are program details managed outside of the program tariff as well. The program tariff and the text below from the Advice Letter through which the program was originally proposed and approved (Docket UE-061297) describe the information that is managed outside of the tariff and the process for changes:</w:t>
      </w:r>
    </w:p>
    <w:p w:rsidR="00D25EA7" w:rsidRPr="00432C28" w:rsidRDefault="00D25EA7">
      <w:pPr>
        <w:autoSpaceDE w:val="0"/>
        <w:autoSpaceDN w:val="0"/>
        <w:adjustRightInd w:val="0"/>
        <w:rPr>
          <w:rFonts w:cs="Times New Roman"/>
          <w:color w:val="000000"/>
          <w:szCs w:val="24"/>
        </w:rPr>
      </w:pPr>
    </w:p>
    <w:p w:rsidR="00D25EA7" w:rsidRPr="00CA0D45" w:rsidRDefault="002138F9">
      <w:pPr>
        <w:autoSpaceDE w:val="0"/>
        <w:autoSpaceDN w:val="0"/>
        <w:adjustRightInd w:val="0"/>
        <w:ind w:left="720"/>
        <w:rPr>
          <w:rFonts w:cs="Times New Roman"/>
          <w:color w:val="000000"/>
          <w:szCs w:val="24"/>
        </w:rPr>
      </w:pPr>
      <w:r w:rsidRPr="007C3AF7">
        <w:rPr>
          <w:rFonts w:cs="Times New Roman"/>
          <w:color w:val="000000"/>
          <w:szCs w:val="24"/>
        </w:rPr>
        <w:t>“</w:t>
      </w:r>
      <w:r w:rsidR="00092202" w:rsidRPr="00A23DE1">
        <w:rPr>
          <w:rFonts w:cs="Times New Roman"/>
          <w:color w:val="000000"/>
          <w:szCs w:val="24"/>
        </w:rPr>
        <w:t>The comprehensive nature of the program and changing equipment standards indicate a flexible and</w:t>
      </w:r>
      <w:r w:rsidR="00092202" w:rsidRPr="003B36E8">
        <w:rPr>
          <w:rFonts w:cs="Times New Roman"/>
          <w:color w:val="000000"/>
          <w:szCs w:val="24"/>
        </w:rPr>
        <w:t xml:space="preserve"> market-driven program delivery is required. The Company is proposing that Schedule 118 outline the basic program elements including customer eligibility, use of a program administrator for delivery, the seasonal nature of selected incentive offers, and th</w:t>
      </w:r>
      <w:r w:rsidR="00092202" w:rsidRPr="00CA0D45">
        <w:rPr>
          <w:rFonts w:cs="Times New Roman"/>
          <w:color w:val="000000"/>
          <w:szCs w:val="24"/>
        </w:rPr>
        <w:t>at current incentive levels may change. Specific details such as incentive levels, eligible equipment specifications and dates for incentive availability would be managed by the program administrator using a dedicated program Web site with easy links from the Company web site.</w:t>
      </w:r>
    </w:p>
    <w:p w:rsidR="00D25EA7" w:rsidRPr="007C3AF7" w:rsidRDefault="00D25EA7">
      <w:pPr>
        <w:autoSpaceDE w:val="0"/>
        <w:autoSpaceDN w:val="0"/>
        <w:adjustRightInd w:val="0"/>
        <w:rPr>
          <w:rFonts w:cs="Times New Roman"/>
          <w:color w:val="000000"/>
          <w:szCs w:val="24"/>
        </w:rPr>
      </w:pPr>
    </w:p>
    <w:p w:rsidR="00D25EA7" w:rsidRPr="00A23DE1" w:rsidRDefault="00092202">
      <w:pPr>
        <w:autoSpaceDE w:val="0"/>
        <w:autoSpaceDN w:val="0"/>
        <w:adjustRightInd w:val="0"/>
        <w:ind w:left="720"/>
        <w:rPr>
          <w:rFonts w:cs="Times New Roman"/>
          <w:color w:val="000000"/>
          <w:szCs w:val="24"/>
        </w:rPr>
      </w:pPr>
      <w:r w:rsidRPr="00A23DE1">
        <w:rPr>
          <w:rFonts w:cs="Times New Roman"/>
          <w:color w:val="000000"/>
          <w:szCs w:val="24"/>
        </w:rPr>
        <w:t>Changes in equipment eligibility or minimum efficiency levels would be driven by program and market data. The Company and program administrator will be assessing program performance on an on-going basis and proposing changes at least</w:t>
      </w:r>
      <w:r w:rsidRPr="003B36E8">
        <w:rPr>
          <w:rFonts w:cs="Times New Roman"/>
          <w:color w:val="000000"/>
          <w:szCs w:val="24"/>
        </w:rPr>
        <w:t xml:space="preserve"> once per year. Changes may be proposed more frequently if there is compelling market feedback that changes need to occur ahead of the annual changes. Similar to the filing process, the Company would present information on proposed changes to its Advisory </w:t>
      </w:r>
      <w:r w:rsidRPr="00CA0D45">
        <w:rPr>
          <w:rFonts w:cs="Times New Roman"/>
          <w:color w:val="000000"/>
          <w:szCs w:val="24"/>
        </w:rPr>
        <w:t>Group and seek comments prior to making changes. Changes in equipment specifications or incentive levels would be clearly posted on the Web site and emailed to the appropriate Commission staff person with at least 45 days advance notice.</w:t>
      </w:r>
      <w:r w:rsidR="002138F9" w:rsidRPr="007C3AF7">
        <w:rPr>
          <w:rFonts w:cs="Times New Roman"/>
          <w:color w:val="000000"/>
          <w:szCs w:val="24"/>
        </w:rPr>
        <w:t>”</w:t>
      </w:r>
    </w:p>
    <w:p w:rsidR="00D25EA7" w:rsidRPr="00432C28" w:rsidRDefault="00D25EA7">
      <w:pPr>
        <w:autoSpaceDE w:val="0"/>
        <w:autoSpaceDN w:val="0"/>
        <w:adjustRightInd w:val="0"/>
        <w:rPr>
          <w:rFonts w:cs="Times New Roman"/>
          <w:color w:val="000000"/>
          <w:szCs w:val="24"/>
        </w:rPr>
      </w:pPr>
    </w:p>
    <w:p w:rsidR="00D25EA7" w:rsidRPr="00432C28" w:rsidRDefault="00092202">
      <w:pPr>
        <w:autoSpaceDE w:val="0"/>
        <w:autoSpaceDN w:val="0"/>
        <w:adjustRightInd w:val="0"/>
        <w:rPr>
          <w:rFonts w:cs="Times New Roman"/>
          <w:color w:val="000000"/>
          <w:szCs w:val="24"/>
        </w:rPr>
      </w:pPr>
      <w:r w:rsidRPr="00432C28">
        <w:rPr>
          <w:rFonts w:cs="Times New Roman"/>
          <w:color w:val="000000"/>
          <w:szCs w:val="24"/>
        </w:rPr>
        <w:t xml:space="preserve">Program details, including specific measures, incentives, and eligibility requirements are posted on the Company’s Web site at </w:t>
      </w:r>
      <w:hyperlink r:id="rId31" w:history="1">
        <w:r w:rsidR="00641387" w:rsidRPr="00432C28">
          <w:rPr>
            <w:rStyle w:val="Hyperlink"/>
            <w:rFonts w:cs="Times New Roman"/>
            <w:szCs w:val="24"/>
          </w:rPr>
          <w:t>www.pacificpower.net/wattsmart</w:t>
        </w:r>
      </w:hyperlink>
      <w:r w:rsidR="003529E5" w:rsidRPr="00432C28">
        <w:rPr>
          <w:rFonts w:cs="Times New Roman"/>
          <w:color w:val="000000"/>
          <w:szCs w:val="24"/>
        </w:rPr>
        <w:t xml:space="preserve">. A summary table of incentives is </w:t>
      </w:r>
      <w:r w:rsidR="000E1C26" w:rsidRPr="00432C28">
        <w:rPr>
          <w:rFonts w:cs="Times New Roman"/>
          <w:color w:val="000000"/>
          <w:szCs w:val="24"/>
        </w:rPr>
        <w:t xml:space="preserve">also </w:t>
      </w:r>
      <w:r w:rsidR="003529E5" w:rsidRPr="00432C28">
        <w:rPr>
          <w:rFonts w:cs="Times New Roman"/>
          <w:color w:val="000000"/>
          <w:szCs w:val="24"/>
        </w:rPr>
        <w:t xml:space="preserve">available at </w:t>
      </w:r>
      <w:hyperlink r:id="rId32" w:history="1">
        <w:r w:rsidR="003529E5" w:rsidRPr="00432C28">
          <w:rPr>
            <w:rStyle w:val="Hyperlink"/>
            <w:rFonts w:cs="Times New Roman"/>
            <w:szCs w:val="24"/>
          </w:rPr>
          <w:t>www.homeenergysavings.net/Washington/forms.html</w:t>
        </w:r>
      </w:hyperlink>
      <w:r w:rsidR="00E95C31" w:rsidRPr="00432C28">
        <w:rPr>
          <w:rFonts w:cs="Times New Roman"/>
          <w:szCs w:val="24"/>
        </w:rPr>
        <w:t xml:space="preserve"> and is contained within Appendix 7</w:t>
      </w:r>
      <w:r w:rsidR="00E95C31" w:rsidRPr="00432C28">
        <w:rPr>
          <w:rFonts w:cs="Times New Roman"/>
          <w:color w:val="000000"/>
          <w:szCs w:val="24"/>
        </w:rPr>
        <w:t>, DSM Business Plan</w:t>
      </w:r>
      <w:r w:rsidR="00641387" w:rsidRPr="00432C28">
        <w:rPr>
          <w:rFonts w:cs="Times New Roman"/>
          <w:color w:val="000000"/>
          <w:szCs w:val="24"/>
        </w:rPr>
        <w:t>, to this report</w:t>
      </w:r>
      <w:r w:rsidR="00E95C31" w:rsidRPr="00432C28">
        <w:rPr>
          <w:rFonts w:cs="Times New Roman"/>
          <w:color w:val="000000"/>
          <w:szCs w:val="24"/>
        </w:rPr>
        <w:t>.</w:t>
      </w:r>
    </w:p>
    <w:p w:rsidR="00D25EA7" w:rsidRPr="00432C28" w:rsidRDefault="00D25EA7">
      <w:pPr>
        <w:rPr>
          <w:rFonts w:cs="Times New Roman"/>
          <w:color w:val="000000"/>
          <w:szCs w:val="24"/>
        </w:rPr>
      </w:pPr>
    </w:p>
    <w:p w:rsidR="00D25EA7" w:rsidRPr="00432C28" w:rsidRDefault="002138F9">
      <w:pPr>
        <w:autoSpaceDE w:val="0"/>
        <w:autoSpaceDN w:val="0"/>
        <w:adjustRightInd w:val="0"/>
        <w:rPr>
          <w:rFonts w:cs="Times New Roman"/>
          <w:bCs/>
          <w:color w:val="000000"/>
          <w:szCs w:val="24"/>
          <w:u w:val="single"/>
        </w:rPr>
      </w:pPr>
      <w:r w:rsidRPr="007C3AF7">
        <w:rPr>
          <w:rFonts w:cs="Times New Roman"/>
          <w:b/>
          <w:bCs/>
          <w:i/>
          <w:color w:val="000000"/>
          <w:szCs w:val="24"/>
          <w:u w:val="single"/>
        </w:rPr>
        <w:t>watt</w:t>
      </w:r>
      <w:r>
        <w:rPr>
          <w:rFonts w:cs="Times New Roman"/>
          <w:bCs/>
          <w:color w:val="000000"/>
          <w:szCs w:val="24"/>
          <w:u w:val="single"/>
        </w:rPr>
        <w:t xml:space="preserve">smart Business </w:t>
      </w:r>
      <w:r w:rsidR="003529E5" w:rsidRPr="00432C28">
        <w:rPr>
          <w:rFonts w:cs="Times New Roman"/>
          <w:bCs/>
          <w:color w:val="000000"/>
          <w:szCs w:val="24"/>
          <w:u w:val="single"/>
        </w:rPr>
        <w:t>(Schedule 1</w:t>
      </w:r>
      <w:r>
        <w:rPr>
          <w:rFonts w:cs="Times New Roman"/>
          <w:bCs/>
          <w:color w:val="000000"/>
          <w:szCs w:val="24"/>
          <w:u w:val="single"/>
        </w:rPr>
        <w:t>40</w:t>
      </w:r>
      <w:r w:rsidR="003529E5" w:rsidRPr="00432C28">
        <w:rPr>
          <w:rFonts w:cs="Times New Roman"/>
          <w:bCs/>
          <w:color w:val="000000"/>
          <w:szCs w:val="24"/>
          <w:u w:val="single"/>
        </w:rPr>
        <w:t>)</w:t>
      </w:r>
    </w:p>
    <w:p w:rsidR="00D25EA7" w:rsidRPr="00432C28" w:rsidRDefault="00D25EA7">
      <w:pPr>
        <w:autoSpaceDE w:val="0"/>
        <w:autoSpaceDN w:val="0"/>
        <w:adjustRightInd w:val="0"/>
        <w:rPr>
          <w:rFonts w:cs="Times New Roman"/>
          <w:bCs/>
          <w:color w:val="000000"/>
          <w:szCs w:val="24"/>
          <w:u w:val="single"/>
        </w:rPr>
      </w:pPr>
    </w:p>
    <w:p w:rsidR="00D25EA7" w:rsidRPr="00432C28" w:rsidRDefault="00092202" w:rsidP="003A12D6">
      <w:pPr>
        <w:autoSpaceDE w:val="0"/>
        <w:autoSpaceDN w:val="0"/>
        <w:adjustRightInd w:val="0"/>
        <w:ind w:left="720"/>
        <w:rPr>
          <w:rFonts w:cs="Times New Roman"/>
          <w:color w:val="000000"/>
          <w:szCs w:val="24"/>
        </w:rPr>
      </w:pPr>
      <w:r w:rsidRPr="00432C28">
        <w:rPr>
          <w:rFonts w:cs="Times New Roman"/>
          <w:color w:val="000000"/>
          <w:szCs w:val="24"/>
        </w:rPr>
        <w:t xml:space="preserve">Details for this program are contained in the program tariff provided as a part of the DSM </w:t>
      </w:r>
      <w:r w:rsidR="00601A01">
        <w:rPr>
          <w:rFonts w:cs="Times New Roman"/>
          <w:color w:val="000000"/>
          <w:szCs w:val="24"/>
        </w:rPr>
        <w:t>201</w:t>
      </w:r>
      <w:r w:rsidR="002138F9">
        <w:rPr>
          <w:rFonts w:cs="Times New Roman"/>
          <w:color w:val="000000"/>
          <w:szCs w:val="24"/>
        </w:rPr>
        <w:t>6</w:t>
      </w:r>
      <w:r w:rsidR="00601A01">
        <w:rPr>
          <w:rFonts w:cs="Times New Roman"/>
          <w:color w:val="000000"/>
          <w:szCs w:val="24"/>
        </w:rPr>
        <w:t>-201</w:t>
      </w:r>
      <w:r w:rsidR="002138F9">
        <w:rPr>
          <w:rFonts w:cs="Times New Roman"/>
          <w:color w:val="000000"/>
          <w:szCs w:val="24"/>
        </w:rPr>
        <w:t>7</w:t>
      </w:r>
      <w:r w:rsidR="00601A01">
        <w:rPr>
          <w:rFonts w:cs="Times New Roman"/>
          <w:color w:val="000000"/>
          <w:szCs w:val="24"/>
        </w:rPr>
        <w:t xml:space="preserve"> </w:t>
      </w:r>
      <w:r w:rsidRPr="00432C28">
        <w:rPr>
          <w:rFonts w:cs="Times New Roman"/>
          <w:color w:val="000000"/>
          <w:szCs w:val="24"/>
        </w:rPr>
        <w:t>Business Plan in Appendix 7 to this report. Any changes to the details included in the program tariff must be filed and approved by the Commission prior to becoming effective; however, as noted, there are program details managed outside of the program tariff as well. The program tariff describe</w:t>
      </w:r>
      <w:r w:rsidR="00A23DE1">
        <w:rPr>
          <w:rFonts w:cs="Times New Roman"/>
          <w:color w:val="000000"/>
          <w:szCs w:val="24"/>
        </w:rPr>
        <w:t>s</w:t>
      </w:r>
      <w:r w:rsidRPr="00432C28">
        <w:rPr>
          <w:rFonts w:cs="Times New Roman"/>
          <w:color w:val="000000"/>
          <w:szCs w:val="24"/>
        </w:rPr>
        <w:t xml:space="preserve"> the information that is managed outside of the tariff and the process for changes.</w:t>
      </w:r>
      <w:r w:rsidR="00A23DE1">
        <w:rPr>
          <w:rFonts w:cs="Times New Roman"/>
          <w:color w:val="000000"/>
          <w:szCs w:val="24"/>
        </w:rPr>
        <w:t xml:space="preserve"> </w:t>
      </w:r>
      <w:r w:rsidRPr="00432C28">
        <w:rPr>
          <w:rFonts w:cs="Times New Roman"/>
          <w:color w:val="000000"/>
          <w:szCs w:val="24"/>
        </w:rPr>
        <w:t>Future changes in the incentive tables and definitions would be driven by program and market data. The Company assesses program performance on an ongoing basis and would propose changes at least annually. Changes may be proposed more frequently if there is compelling market data. Similar to the filing process, the Company would present information on proposed changes to its Advisory Group and seek comments prior to making changes. Changes would be clearly posted on the program web site and emailed to the appropriate Commission staff person with at least 45 days advance notice.</w:t>
      </w:r>
    </w:p>
    <w:p w:rsidR="00D25EA7" w:rsidRPr="00432C28" w:rsidRDefault="00D25EA7">
      <w:pPr>
        <w:autoSpaceDE w:val="0"/>
        <w:autoSpaceDN w:val="0"/>
        <w:adjustRightInd w:val="0"/>
        <w:rPr>
          <w:rFonts w:cs="Times New Roman"/>
          <w:color w:val="000000"/>
          <w:szCs w:val="24"/>
        </w:rPr>
      </w:pPr>
    </w:p>
    <w:p w:rsidR="00D25EA7" w:rsidRPr="007C3AF7" w:rsidRDefault="00092202">
      <w:pPr>
        <w:autoSpaceDE w:val="0"/>
        <w:autoSpaceDN w:val="0"/>
        <w:adjustRightInd w:val="0"/>
        <w:rPr>
          <w:rFonts w:cs="Times New Roman"/>
          <w:szCs w:val="24"/>
        </w:rPr>
      </w:pPr>
      <w:r w:rsidRPr="007C3AF7">
        <w:rPr>
          <w:rFonts w:cs="Times New Roman"/>
          <w:color w:val="000000"/>
          <w:szCs w:val="24"/>
        </w:rPr>
        <w:t xml:space="preserve">The following </w:t>
      </w:r>
      <w:r w:rsidRPr="007C3AF7">
        <w:rPr>
          <w:rFonts w:cs="Times New Roman"/>
          <w:szCs w:val="24"/>
        </w:rPr>
        <w:t>program details are managed outside of the program tariff on the Company Website via the process described above:</w:t>
      </w:r>
    </w:p>
    <w:p w:rsidR="00D25EA7" w:rsidRPr="007C3AF7" w:rsidRDefault="00D25EA7">
      <w:pPr>
        <w:autoSpaceDE w:val="0"/>
        <w:autoSpaceDN w:val="0"/>
        <w:adjustRightInd w:val="0"/>
        <w:rPr>
          <w:rFonts w:cs="Times New Roman"/>
          <w:szCs w:val="24"/>
        </w:rPr>
      </w:pPr>
    </w:p>
    <w:p w:rsidR="00D25EA7" w:rsidRPr="007C3AF7" w:rsidRDefault="00092202">
      <w:pPr>
        <w:autoSpaceDE w:val="0"/>
        <w:autoSpaceDN w:val="0"/>
        <w:adjustRightInd w:val="0"/>
        <w:ind w:firstLine="720"/>
        <w:rPr>
          <w:rFonts w:cs="Times New Roman"/>
          <w:szCs w:val="24"/>
        </w:rPr>
      </w:pPr>
      <w:r w:rsidRPr="007C3AF7">
        <w:rPr>
          <w:rFonts w:eastAsia="SymbolMT" w:cs="Times New Roman"/>
          <w:szCs w:val="24"/>
        </w:rPr>
        <w:t xml:space="preserve">• </w:t>
      </w:r>
      <w:r w:rsidRPr="007C3AF7">
        <w:rPr>
          <w:rFonts w:cs="Times New Roman"/>
          <w:szCs w:val="24"/>
        </w:rPr>
        <w:t>Incentive tables</w:t>
      </w:r>
    </w:p>
    <w:p w:rsidR="00D25EA7" w:rsidRPr="007C3AF7" w:rsidRDefault="00092202">
      <w:pPr>
        <w:autoSpaceDE w:val="0"/>
        <w:autoSpaceDN w:val="0"/>
        <w:adjustRightInd w:val="0"/>
        <w:ind w:firstLine="720"/>
        <w:rPr>
          <w:rFonts w:cs="Times New Roman"/>
          <w:szCs w:val="24"/>
        </w:rPr>
      </w:pPr>
      <w:r w:rsidRPr="007C3AF7">
        <w:rPr>
          <w:rFonts w:eastAsia="SymbolMT" w:cs="Times New Roman"/>
          <w:szCs w:val="24"/>
        </w:rPr>
        <w:t xml:space="preserve">• </w:t>
      </w:r>
      <w:r w:rsidRPr="007C3AF7">
        <w:rPr>
          <w:rFonts w:cs="Times New Roman"/>
          <w:szCs w:val="24"/>
        </w:rPr>
        <w:t>Program definitions</w:t>
      </w:r>
    </w:p>
    <w:p w:rsidR="00D25EA7" w:rsidRPr="007C3AF7" w:rsidRDefault="00092202">
      <w:pPr>
        <w:autoSpaceDE w:val="0"/>
        <w:autoSpaceDN w:val="0"/>
        <w:adjustRightInd w:val="0"/>
        <w:ind w:firstLine="720"/>
        <w:rPr>
          <w:rFonts w:cs="Times New Roman"/>
          <w:szCs w:val="24"/>
        </w:rPr>
      </w:pPr>
      <w:r w:rsidRPr="007C3AF7">
        <w:rPr>
          <w:rFonts w:eastAsia="SymbolMT" w:cs="Times New Roman"/>
          <w:szCs w:val="24"/>
        </w:rPr>
        <w:t xml:space="preserve">• </w:t>
      </w:r>
      <w:r w:rsidRPr="007C3AF7">
        <w:rPr>
          <w:rFonts w:cs="Times New Roman"/>
          <w:szCs w:val="24"/>
        </w:rPr>
        <w:t>Custom incentive offering</w:t>
      </w:r>
    </w:p>
    <w:p w:rsidR="00D25EA7" w:rsidRPr="007C3AF7" w:rsidRDefault="00D25EA7">
      <w:pPr>
        <w:autoSpaceDE w:val="0"/>
        <w:autoSpaceDN w:val="0"/>
        <w:adjustRightInd w:val="0"/>
        <w:rPr>
          <w:rFonts w:cs="Times New Roman"/>
          <w:szCs w:val="24"/>
          <w:highlight w:val="yellow"/>
        </w:rPr>
      </w:pPr>
    </w:p>
    <w:p w:rsidR="0070528D" w:rsidRPr="007C3AF7" w:rsidRDefault="0070528D">
      <w:pPr>
        <w:autoSpaceDE w:val="0"/>
        <w:autoSpaceDN w:val="0"/>
        <w:adjustRightInd w:val="0"/>
        <w:rPr>
          <w:rFonts w:cs="Times New Roman"/>
          <w:szCs w:val="24"/>
          <w:highlight w:val="yellow"/>
        </w:rPr>
      </w:pPr>
    </w:p>
    <w:p w:rsidR="0070528D" w:rsidRPr="007C3AF7" w:rsidRDefault="0070528D">
      <w:pPr>
        <w:autoSpaceDE w:val="0"/>
        <w:autoSpaceDN w:val="0"/>
        <w:adjustRightInd w:val="0"/>
        <w:rPr>
          <w:rFonts w:cs="Times New Roman"/>
          <w:szCs w:val="24"/>
          <w:highlight w:val="yellow"/>
        </w:rPr>
      </w:pPr>
    </w:p>
    <w:p w:rsidR="003A12D6" w:rsidRPr="007C3AF7" w:rsidRDefault="003A12D6">
      <w:pPr>
        <w:autoSpaceDE w:val="0"/>
        <w:autoSpaceDN w:val="0"/>
        <w:adjustRightInd w:val="0"/>
        <w:rPr>
          <w:rFonts w:cs="Times New Roman"/>
          <w:szCs w:val="24"/>
        </w:rPr>
      </w:pPr>
      <w:r w:rsidRPr="007C3AF7">
        <w:rPr>
          <w:rFonts w:cs="Times New Roman"/>
          <w:szCs w:val="24"/>
        </w:rPr>
        <w:t>This information, incentive tables, program definitions, and custom incentive offerings can all be found through the following link on the Company website:</w:t>
      </w:r>
    </w:p>
    <w:p w:rsidR="003A12D6" w:rsidRDefault="003A12D6">
      <w:pPr>
        <w:autoSpaceDE w:val="0"/>
        <w:autoSpaceDN w:val="0"/>
        <w:adjustRightInd w:val="0"/>
        <w:rPr>
          <w:rFonts w:cs="Times New Roman"/>
          <w:szCs w:val="24"/>
          <w:highlight w:val="yellow"/>
        </w:rPr>
      </w:pPr>
    </w:p>
    <w:p w:rsidR="003A12D6" w:rsidRDefault="0091731F" w:rsidP="003A12D6">
      <w:pPr>
        <w:rPr>
          <w:color w:val="1F497D"/>
        </w:rPr>
      </w:pPr>
      <w:hyperlink r:id="rId33" w:history="1">
        <w:r w:rsidR="003A12D6">
          <w:rPr>
            <w:rStyle w:val="Hyperlink"/>
          </w:rPr>
          <w:t>https://www.pacificpower.net/content/dam/pacific_power/doc/Business/Save_Energy_Money/WA_wattsmartBusiness_Incentive_tables_information.pdf</w:t>
        </w:r>
      </w:hyperlink>
    </w:p>
    <w:p w:rsidR="00D25EA7" w:rsidRPr="007C3AF7" w:rsidRDefault="00D25EA7">
      <w:pPr>
        <w:autoSpaceDE w:val="0"/>
        <w:autoSpaceDN w:val="0"/>
        <w:adjustRightInd w:val="0"/>
        <w:rPr>
          <w:rFonts w:cs="Times New Roman"/>
          <w:color w:val="000000"/>
          <w:szCs w:val="24"/>
          <w:highlight w:val="yellow"/>
        </w:rPr>
      </w:pPr>
    </w:p>
    <w:p w:rsidR="00D25EA7" w:rsidRPr="007C3AF7" w:rsidRDefault="00092202">
      <w:pPr>
        <w:autoSpaceDE w:val="0"/>
        <w:autoSpaceDN w:val="0"/>
        <w:adjustRightInd w:val="0"/>
        <w:rPr>
          <w:rFonts w:cs="Times New Roman"/>
          <w:color w:val="000000"/>
          <w:szCs w:val="24"/>
        </w:rPr>
      </w:pPr>
      <w:r w:rsidRPr="007C3AF7">
        <w:rPr>
          <w:rFonts w:cs="Times New Roman"/>
          <w:color w:val="000000"/>
          <w:szCs w:val="24"/>
        </w:rPr>
        <w:t>Th</w:t>
      </w:r>
      <w:r w:rsidR="002E360E" w:rsidRPr="007C3AF7">
        <w:rPr>
          <w:rFonts w:cs="Times New Roman"/>
          <w:color w:val="000000"/>
          <w:szCs w:val="24"/>
        </w:rPr>
        <w:t>is</w:t>
      </w:r>
      <w:r w:rsidRPr="007C3AF7">
        <w:rPr>
          <w:rFonts w:cs="Times New Roman"/>
          <w:color w:val="000000"/>
          <w:szCs w:val="24"/>
        </w:rPr>
        <w:t xml:space="preserve"> information</w:t>
      </w:r>
      <w:r w:rsidR="002E360E" w:rsidRPr="007C3AF7">
        <w:rPr>
          <w:rFonts w:cs="Times New Roman"/>
          <w:color w:val="000000"/>
          <w:szCs w:val="24"/>
        </w:rPr>
        <w:t xml:space="preserve"> is</w:t>
      </w:r>
      <w:r w:rsidRPr="007C3AF7">
        <w:rPr>
          <w:rFonts w:cs="Times New Roman"/>
          <w:color w:val="000000"/>
          <w:szCs w:val="24"/>
        </w:rPr>
        <w:t xml:space="preserve"> also included following the program tariff provided in Appendix 7 to this report.</w:t>
      </w:r>
    </w:p>
    <w:p w:rsidR="00D25EA7" w:rsidRPr="007C3AF7" w:rsidRDefault="00D25EA7">
      <w:pPr>
        <w:rPr>
          <w:rFonts w:cs="Times New Roman"/>
          <w:color w:val="000000"/>
          <w:szCs w:val="24"/>
          <w:highlight w:val="yellow"/>
        </w:rPr>
      </w:pPr>
    </w:p>
    <w:p w:rsidR="00D25EA7" w:rsidRPr="00B97A85" w:rsidRDefault="00092202">
      <w:pPr>
        <w:rPr>
          <w:rFonts w:cs="Times New Roman"/>
          <w:bCs/>
          <w:szCs w:val="24"/>
        </w:rPr>
      </w:pPr>
      <w:r w:rsidRPr="00B97A85">
        <w:rPr>
          <w:rFonts w:cs="Times New Roman"/>
          <w:bCs/>
          <w:szCs w:val="24"/>
        </w:rPr>
        <w:t xml:space="preserve">The Company intends to follow these provisions when exercising changes to </w:t>
      </w:r>
      <w:r w:rsidR="00B97A85">
        <w:rPr>
          <w:rFonts w:cs="Times New Roman"/>
          <w:bCs/>
          <w:szCs w:val="24"/>
        </w:rPr>
        <w:t xml:space="preserve">these </w:t>
      </w:r>
      <w:r w:rsidRPr="00B97A85">
        <w:rPr>
          <w:rFonts w:cs="Times New Roman"/>
          <w:bCs/>
          <w:szCs w:val="24"/>
        </w:rPr>
        <w:t>programs</w:t>
      </w:r>
      <w:r w:rsidR="00E16B48" w:rsidRPr="00B97A85">
        <w:rPr>
          <w:rFonts w:cs="Times New Roman"/>
          <w:bCs/>
          <w:szCs w:val="24"/>
        </w:rPr>
        <w:t xml:space="preserve"> within the 201</w:t>
      </w:r>
      <w:r w:rsidR="00B97A85">
        <w:rPr>
          <w:rFonts w:cs="Times New Roman"/>
          <w:bCs/>
          <w:szCs w:val="24"/>
        </w:rPr>
        <w:t>6</w:t>
      </w:r>
      <w:r w:rsidR="00E16B48" w:rsidRPr="00B97A85">
        <w:rPr>
          <w:rFonts w:cs="Times New Roman"/>
          <w:bCs/>
          <w:szCs w:val="24"/>
        </w:rPr>
        <w:t>-201</w:t>
      </w:r>
      <w:r w:rsidR="00B97A85">
        <w:rPr>
          <w:rFonts w:cs="Times New Roman"/>
          <w:bCs/>
          <w:szCs w:val="24"/>
        </w:rPr>
        <w:t>7</w:t>
      </w:r>
      <w:r w:rsidRPr="00B97A85">
        <w:rPr>
          <w:rFonts w:cs="Times New Roman"/>
          <w:bCs/>
          <w:szCs w:val="24"/>
        </w:rPr>
        <w:t xml:space="preserve"> bienn</w:t>
      </w:r>
      <w:r w:rsidR="009D0EBD">
        <w:rPr>
          <w:rFonts w:cs="Times New Roman"/>
          <w:bCs/>
          <w:szCs w:val="24"/>
        </w:rPr>
        <w:t xml:space="preserve">ium </w:t>
      </w:r>
      <w:r w:rsidRPr="00B97A85">
        <w:rPr>
          <w:rFonts w:cs="Times New Roman"/>
          <w:bCs/>
          <w:szCs w:val="24"/>
        </w:rPr>
        <w:t>unless the Commission directs otherwise</w:t>
      </w:r>
      <w:r w:rsidR="009C4D31" w:rsidRPr="00B97A85">
        <w:rPr>
          <w:rFonts w:cs="Times New Roman"/>
          <w:bCs/>
          <w:szCs w:val="24"/>
        </w:rPr>
        <w:t xml:space="preserve">. </w:t>
      </w:r>
    </w:p>
    <w:p w:rsidR="00D25EA7" w:rsidRPr="007C3AF7" w:rsidRDefault="00D25EA7">
      <w:pPr>
        <w:rPr>
          <w:rFonts w:cs="Times New Roman"/>
          <w:bCs/>
          <w:szCs w:val="24"/>
          <w:highlight w:val="yellow"/>
        </w:rPr>
      </w:pPr>
    </w:p>
    <w:p w:rsidR="001D60A9" w:rsidRPr="00432C28" w:rsidRDefault="00092202">
      <w:pPr>
        <w:rPr>
          <w:rFonts w:eastAsiaTheme="majorEastAsia" w:cs="Times New Roman"/>
          <w:b/>
          <w:bCs/>
          <w:szCs w:val="24"/>
          <w:u w:val="single"/>
        </w:rPr>
      </w:pPr>
      <w:bookmarkStart w:id="39" w:name="_Toc294088295"/>
      <w:r w:rsidRPr="00432C28">
        <w:rPr>
          <w:rFonts w:cs="Times New Roman"/>
          <w:szCs w:val="24"/>
        </w:rPr>
        <w:br w:type="page"/>
      </w:r>
    </w:p>
    <w:p w:rsidR="009F5B66" w:rsidRPr="00432C28" w:rsidRDefault="009F5B66" w:rsidP="009F5B66">
      <w:pPr>
        <w:pStyle w:val="Heading1"/>
        <w:rPr>
          <w:rFonts w:ascii="Times New Roman" w:hAnsi="Times New Roman" w:cs="Times New Roman"/>
        </w:rPr>
      </w:pPr>
      <w:bookmarkStart w:id="40" w:name="_Toc367255344"/>
      <w:bookmarkStart w:id="41" w:name="_Toc431301352"/>
      <w:bookmarkStart w:id="42" w:name="_Toc294088296"/>
      <w:bookmarkEnd w:id="39"/>
      <w:r w:rsidRPr="00432C28">
        <w:rPr>
          <w:rFonts w:ascii="Times New Roman" w:hAnsi="Times New Roman" w:cs="Times New Roman"/>
        </w:rPr>
        <w:t>Utility Evaluation, Measurement and Verification Activities</w:t>
      </w:r>
      <w:bookmarkEnd w:id="40"/>
      <w:bookmarkEnd w:id="41"/>
      <w:r w:rsidRPr="00432C28">
        <w:rPr>
          <w:rFonts w:ascii="Times New Roman" w:hAnsi="Times New Roman" w:cs="Times New Roman"/>
        </w:rPr>
        <w:t xml:space="preserve"> </w:t>
      </w:r>
    </w:p>
    <w:p w:rsidR="009F5B66" w:rsidRPr="00432C28" w:rsidRDefault="009F5B66" w:rsidP="009F5B66">
      <w:pPr>
        <w:rPr>
          <w:rFonts w:cs="Times New Roman"/>
        </w:rPr>
      </w:pPr>
    </w:p>
    <w:p w:rsidR="009F5B66" w:rsidRPr="00432C28" w:rsidRDefault="009F5B66" w:rsidP="009F5B66">
      <w:pPr>
        <w:rPr>
          <w:rFonts w:cs="Times New Roman"/>
          <w:szCs w:val="24"/>
        </w:rPr>
      </w:pPr>
      <w:r w:rsidRPr="00432C28">
        <w:rPr>
          <w:rFonts w:cs="Times New Roman"/>
          <w:szCs w:val="24"/>
        </w:rPr>
        <w:t xml:space="preserve">An evaluation, measurement and verification (“EM&amp;V”) framework document </w:t>
      </w:r>
      <w:r>
        <w:rPr>
          <w:rFonts w:cs="Times New Roman"/>
          <w:szCs w:val="24"/>
        </w:rPr>
        <w:t>w</w:t>
      </w:r>
      <w:r w:rsidRPr="00432C28">
        <w:rPr>
          <w:rFonts w:cs="Times New Roman"/>
          <w:szCs w:val="24"/>
        </w:rPr>
        <w:t>as prepared in response to the Commission’s Order 02 in UE-100170</w:t>
      </w:r>
      <w:r>
        <w:rPr>
          <w:rFonts w:cs="Times New Roman"/>
          <w:szCs w:val="24"/>
        </w:rPr>
        <w:t xml:space="preserve"> and updated in response to additional requirements noted in Docket UE-1</w:t>
      </w:r>
      <w:r w:rsidR="0033623F">
        <w:rPr>
          <w:rFonts w:cs="Times New Roman"/>
          <w:szCs w:val="24"/>
        </w:rPr>
        <w:t>32047</w:t>
      </w:r>
      <w:r>
        <w:rPr>
          <w:rFonts w:cs="Times New Roman"/>
          <w:szCs w:val="24"/>
        </w:rPr>
        <w:t xml:space="preserve"> Order 01</w:t>
      </w:r>
      <w:r w:rsidRPr="00432C28">
        <w:rPr>
          <w:rFonts w:cs="Times New Roman"/>
          <w:szCs w:val="24"/>
        </w:rPr>
        <w:t>. This document is intended to provide overall guidelines including principles, objectives, methods, responsibilities and reporting requirements to direct PacifiCorp’s energy efficiency EM&amp;V activities.</w:t>
      </w:r>
    </w:p>
    <w:p w:rsidR="009F5B66" w:rsidRPr="00432C28" w:rsidRDefault="009F5B66" w:rsidP="009F5B66">
      <w:pPr>
        <w:rPr>
          <w:rFonts w:cs="Times New Roman"/>
          <w:szCs w:val="24"/>
        </w:rPr>
      </w:pPr>
    </w:p>
    <w:p w:rsidR="009F5B66" w:rsidRPr="00432C28" w:rsidRDefault="009F5B66" w:rsidP="009F5B66">
      <w:pPr>
        <w:rPr>
          <w:rFonts w:cs="Times New Roman"/>
          <w:szCs w:val="24"/>
        </w:rPr>
      </w:pPr>
      <w:r>
        <w:rPr>
          <w:rFonts w:cs="Times New Roman"/>
          <w:szCs w:val="24"/>
        </w:rPr>
        <w:t xml:space="preserve">During the September </w:t>
      </w:r>
      <w:r w:rsidR="007C3AF7">
        <w:rPr>
          <w:rFonts w:cs="Times New Roman"/>
          <w:szCs w:val="24"/>
        </w:rPr>
        <w:t>14</w:t>
      </w:r>
      <w:r>
        <w:rPr>
          <w:rFonts w:cs="Times New Roman"/>
          <w:szCs w:val="24"/>
        </w:rPr>
        <w:t>, 201</w:t>
      </w:r>
      <w:r w:rsidR="0033623F">
        <w:rPr>
          <w:rFonts w:cs="Times New Roman"/>
          <w:szCs w:val="24"/>
        </w:rPr>
        <w:t>5</w:t>
      </w:r>
      <w:r>
        <w:rPr>
          <w:rFonts w:cs="Times New Roman"/>
          <w:szCs w:val="24"/>
        </w:rPr>
        <w:t xml:space="preserve"> </w:t>
      </w:r>
      <w:r w:rsidRPr="00432C28">
        <w:rPr>
          <w:rFonts w:cs="Times New Roman"/>
          <w:szCs w:val="24"/>
        </w:rPr>
        <w:t>DSM Advisory Group</w:t>
      </w:r>
      <w:r>
        <w:rPr>
          <w:rFonts w:cs="Times New Roman"/>
          <w:szCs w:val="24"/>
        </w:rPr>
        <w:t xml:space="preserve"> meeting, </w:t>
      </w:r>
      <w:r w:rsidRPr="000D3B3F">
        <w:rPr>
          <w:rFonts w:cs="Times New Roman"/>
          <w:szCs w:val="24"/>
        </w:rPr>
        <w:t>PacifiCorp</w:t>
      </w:r>
      <w:r>
        <w:rPr>
          <w:rFonts w:cs="Times New Roman"/>
          <w:szCs w:val="24"/>
        </w:rPr>
        <w:t xml:space="preserve"> shared proposed changes to the EM&amp;V Framework in an effort to update and capture current requirements from Docket UE-1</w:t>
      </w:r>
      <w:r w:rsidR="0033623F">
        <w:rPr>
          <w:rFonts w:cs="Times New Roman"/>
          <w:szCs w:val="24"/>
        </w:rPr>
        <w:t>32047</w:t>
      </w:r>
      <w:r>
        <w:rPr>
          <w:rFonts w:cs="Times New Roman"/>
          <w:szCs w:val="24"/>
        </w:rPr>
        <w:t xml:space="preserve"> Order 01</w:t>
      </w:r>
      <w:r w:rsidR="00164882">
        <w:rPr>
          <w:rFonts w:cs="Times New Roman"/>
          <w:szCs w:val="24"/>
        </w:rPr>
        <w:t xml:space="preserve"> and </w:t>
      </w:r>
      <w:r w:rsidR="0033623F">
        <w:rPr>
          <w:rFonts w:cs="Times New Roman"/>
          <w:szCs w:val="24"/>
        </w:rPr>
        <w:t>Docke</w:t>
      </w:r>
      <w:r w:rsidR="00164882">
        <w:rPr>
          <w:rFonts w:cs="Times New Roman"/>
          <w:szCs w:val="24"/>
        </w:rPr>
        <w:t>t</w:t>
      </w:r>
      <w:r w:rsidR="0033623F">
        <w:rPr>
          <w:rFonts w:cs="Times New Roman"/>
          <w:szCs w:val="24"/>
        </w:rPr>
        <w:t xml:space="preserve"> UE-131723 General Order R-578</w:t>
      </w:r>
      <w:r w:rsidR="00C467A3">
        <w:rPr>
          <w:rStyle w:val="FootnoteReference"/>
          <w:rFonts w:cs="Times New Roman"/>
          <w:szCs w:val="24"/>
        </w:rPr>
        <w:t xml:space="preserve"> </w:t>
      </w:r>
      <w:r w:rsidR="00C467A3">
        <w:rPr>
          <w:rFonts w:cs="Times New Roman"/>
          <w:szCs w:val="24"/>
        </w:rPr>
        <w:t xml:space="preserve">. </w:t>
      </w:r>
      <w:r w:rsidRPr="00432C28">
        <w:rPr>
          <w:rFonts w:cs="Times New Roman"/>
          <w:szCs w:val="24"/>
        </w:rPr>
        <w:t xml:space="preserve">Those in attendance participated in </w:t>
      </w:r>
      <w:r>
        <w:rPr>
          <w:rFonts w:cs="Times New Roman"/>
          <w:szCs w:val="24"/>
        </w:rPr>
        <w:t xml:space="preserve">the </w:t>
      </w:r>
      <w:r w:rsidRPr="00432C28">
        <w:rPr>
          <w:rFonts w:cs="Times New Roman"/>
          <w:szCs w:val="24"/>
        </w:rPr>
        <w:t>discussion</w:t>
      </w:r>
      <w:r>
        <w:rPr>
          <w:rFonts w:cs="Times New Roman"/>
          <w:szCs w:val="24"/>
        </w:rPr>
        <w:t xml:space="preserve"> and followed up with comments on the proposed changes. The updated version was finalized on </w:t>
      </w:r>
      <w:r w:rsidR="007C3AF7">
        <w:rPr>
          <w:rFonts w:cs="Times New Roman"/>
          <w:szCs w:val="24"/>
        </w:rPr>
        <w:t>September</w:t>
      </w:r>
      <w:r>
        <w:rPr>
          <w:rFonts w:cs="Times New Roman"/>
          <w:szCs w:val="24"/>
        </w:rPr>
        <w:t xml:space="preserve"> </w:t>
      </w:r>
      <w:r w:rsidR="00196AA4">
        <w:rPr>
          <w:rFonts w:cs="Times New Roman"/>
          <w:szCs w:val="24"/>
        </w:rPr>
        <w:t>28</w:t>
      </w:r>
      <w:r>
        <w:rPr>
          <w:rFonts w:cs="Times New Roman"/>
          <w:szCs w:val="24"/>
        </w:rPr>
        <w:t>, 201</w:t>
      </w:r>
      <w:r w:rsidR="00164882">
        <w:rPr>
          <w:rFonts w:cs="Times New Roman"/>
          <w:szCs w:val="24"/>
        </w:rPr>
        <w:t>5</w:t>
      </w:r>
      <w:r>
        <w:rPr>
          <w:rFonts w:cs="Times New Roman"/>
          <w:szCs w:val="24"/>
        </w:rPr>
        <w:t xml:space="preserve"> and is provided as Appendix 8 to this document</w:t>
      </w:r>
      <w:r w:rsidRPr="00432C28">
        <w:rPr>
          <w:rFonts w:cs="Times New Roman"/>
          <w:szCs w:val="24"/>
        </w:rPr>
        <w:t>.</w:t>
      </w:r>
    </w:p>
    <w:p w:rsidR="009F5B66" w:rsidRDefault="009F5B66" w:rsidP="009F5B66">
      <w:pPr>
        <w:rPr>
          <w:rFonts w:cs="Times New Roman"/>
          <w:szCs w:val="24"/>
        </w:rPr>
      </w:pPr>
    </w:p>
    <w:p w:rsidR="009F5B66" w:rsidRDefault="009F5B66" w:rsidP="009F5B66">
      <w:pPr>
        <w:rPr>
          <w:rFonts w:cs="Times New Roman"/>
          <w:szCs w:val="24"/>
        </w:rPr>
      </w:pPr>
      <w:r>
        <w:rPr>
          <w:rFonts w:cs="Times New Roman"/>
          <w:szCs w:val="24"/>
        </w:rPr>
        <w:t xml:space="preserve">The EM&amp;V Framework is considered to be a “living document” that will require modifications as appropriate. The DSM Advisory Group will be given the opportunity to participate in the discussions of the proposed changes and provide feedback that will be considered by the Company. </w:t>
      </w:r>
    </w:p>
    <w:p w:rsidR="009F5B66" w:rsidRDefault="009F5B66" w:rsidP="009F5B66">
      <w:pPr>
        <w:rPr>
          <w:rFonts w:cs="Times New Roman"/>
          <w:szCs w:val="24"/>
        </w:rPr>
      </w:pPr>
    </w:p>
    <w:p w:rsidR="009F5B66" w:rsidRDefault="009F5B66" w:rsidP="009F5B66">
      <w:pPr>
        <w:rPr>
          <w:rFonts w:cs="Times New Roman"/>
          <w:szCs w:val="24"/>
        </w:rPr>
      </w:pPr>
      <w:r w:rsidRPr="008833D2">
        <w:rPr>
          <w:rFonts w:cs="Times New Roman"/>
          <w:szCs w:val="24"/>
        </w:rPr>
        <w:t>PacifiCorp</w:t>
      </w:r>
      <w:r>
        <w:rPr>
          <w:rFonts w:cs="Times New Roman"/>
          <w:szCs w:val="24"/>
        </w:rPr>
        <w:t xml:space="preserve"> continues to seek out cost-effective opportunities to improve its EM&amp;V activities. Representative ongoing initiatives include</w:t>
      </w:r>
      <w:r w:rsidR="00F5498D">
        <w:rPr>
          <w:rFonts w:cs="Times New Roman"/>
          <w:szCs w:val="24"/>
        </w:rPr>
        <w:t>d</w:t>
      </w:r>
      <w:r>
        <w:rPr>
          <w:rFonts w:cs="Times New Roman"/>
          <w:szCs w:val="24"/>
        </w:rPr>
        <w:t xml:space="preserve"> are summarized below:</w:t>
      </w:r>
    </w:p>
    <w:p w:rsidR="009F5B66" w:rsidRDefault="009F5B66" w:rsidP="009F5B66">
      <w:pPr>
        <w:rPr>
          <w:rFonts w:cs="Times New Roman"/>
          <w:szCs w:val="24"/>
        </w:rPr>
      </w:pPr>
    </w:p>
    <w:p w:rsidR="009F5B66" w:rsidRDefault="009F5B66" w:rsidP="009F5B66">
      <w:pPr>
        <w:pStyle w:val="ListParagraph"/>
        <w:numPr>
          <w:ilvl w:val="0"/>
          <w:numId w:val="62"/>
        </w:numPr>
        <w:rPr>
          <w:rFonts w:cs="Times New Roman"/>
          <w:szCs w:val="24"/>
        </w:rPr>
      </w:pPr>
      <w:r>
        <w:rPr>
          <w:rFonts w:cs="Times New Roman"/>
          <w:szCs w:val="24"/>
        </w:rPr>
        <w:t xml:space="preserve">Through a Request </w:t>
      </w:r>
      <w:r w:rsidR="00164882">
        <w:rPr>
          <w:rFonts w:cs="Times New Roman"/>
          <w:szCs w:val="24"/>
        </w:rPr>
        <w:t>for Proposal</w:t>
      </w:r>
      <w:r>
        <w:rPr>
          <w:rFonts w:cs="Times New Roman"/>
          <w:szCs w:val="24"/>
        </w:rPr>
        <w:t xml:space="preserve"> process, the Company awarded an independent third-party consulting firm the task of reviewing the portfolio-level energy savings reported for the 201</w:t>
      </w:r>
      <w:r w:rsidR="00164882">
        <w:rPr>
          <w:rFonts w:cs="Times New Roman"/>
          <w:szCs w:val="24"/>
        </w:rPr>
        <w:t>4</w:t>
      </w:r>
      <w:r>
        <w:rPr>
          <w:rFonts w:cs="Times New Roman"/>
          <w:szCs w:val="24"/>
        </w:rPr>
        <w:t>-201</w:t>
      </w:r>
      <w:r w:rsidR="00164882">
        <w:rPr>
          <w:rFonts w:cs="Times New Roman"/>
          <w:szCs w:val="24"/>
        </w:rPr>
        <w:t>5</w:t>
      </w:r>
      <w:r>
        <w:rPr>
          <w:rFonts w:cs="Times New Roman"/>
          <w:szCs w:val="24"/>
        </w:rPr>
        <w:t xml:space="preserve"> biennial period. Results of this review will be submitted in the June 1, 201</w:t>
      </w:r>
      <w:r w:rsidR="00164882">
        <w:rPr>
          <w:rFonts w:cs="Times New Roman"/>
          <w:szCs w:val="24"/>
        </w:rPr>
        <w:t>6</w:t>
      </w:r>
      <w:r>
        <w:rPr>
          <w:rFonts w:cs="Times New Roman"/>
          <w:szCs w:val="24"/>
        </w:rPr>
        <w:t xml:space="preserve"> </w:t>
      </w:r>
      <w:r w:rsidR="00CC0D51">
        <w:rPr>
          <w:rFonts w:cs="Times New Roman"/>
          <w:szCs w:val="24"/>
        </w:rPr>
        <w:t xml:space="preserve">biennial </w:t>
      </w:r>
      <w:r>
        <w:rPr>
          <w:rFonts w:cs="Times New Roman"/>
          <w:szCs w:val="24"/>
        </w:rPr>
        <w:t>conservation report. This meets the requirements set forth in UE-</w:t>
      </w:r>
      <w:r w:rsidR="00164882">
        <w:rPr>
          <w:rFonts w:cs="Times New Roman"/>
          <w:szCs w:val="24"/>
        </w:rPr>
        <w:t xml:space="preserve">132047 </w:t>
      </w:r>
      <w:r>
        <w:rPr>
          <w:rFonts w:cs="Times New Roman"/>
          <w:szCs w:val="24"/>
        </w:rPr>
        <w:t>Order 01 (6) (f)</w:t>
      </w:r>
      <w:r w:rsidR="00164882">
        <w:rPr>
          <w:rFonts w:cs="Times New Roman"/>
          <w:szCs w:val="24"/>
        </w:rPr>
        <w:t xml:space="preserve"> and UE-131723 General Order R-578</w:t>
      </w:r>
      <w:r>
        <w:rPr>
          <w:rFonts w:cs="Times New Roman"/>
          <w:szCs w:val="24"/>
        </w:rPr>
        <w:t>.</w:t>
      </w:r>
    </w:p>
    <w:p w:rsidR="009F5B66" w:rsidRDefault="009F5B66" w:rsidP="009F5B66">
      <w:pPr>
        <w:pStyle w:val="ListParagraph"/>
        <w:rPr>
          <w:rFonts w:cs="Times New Roman"/>
          <w:szCs w:val="24"/>
        </w:rPr>
      </w:pPr>
    </w:p>
    <w:p w:rsidR="009F5B66" w:rsidRDefault="00164882" w:rsidP="009F5B66">
      <w:pPr>
        <w:pStyle w:val="ListParagraph"/>
        <w:numPr>
          <w:ilvl w:val="0"/>
          <w:numId w:val="62"/>
        </w:numPr>
        <w:rPr>
          <w:rFonts w:cs="Times New Roman"/>
          <w:szCs w:val="24"/>
        </w:rPr>
      </w:pPr>
      <w:r>
        <w:rPr>
          <w:rFonts w:cs="Times New Roman"/>
          <w:szCs w:val="24"/>
        </w:rPr>
        <w:t>The Company has implemented a new</w:t>
      </w:r>
      <w:r w:rsidR="009F5B66">
        <w:rPr>
          <w:rFonts w:cs="Times New Roman"/>
          <w:szCs w:val="24"/>
        </w:rPr>
        <w:t xml:space="preserve"> system that will track project and/or program specific information at a more granular and process centric level.  The enhanced functionality will help reduce compliance risk by enforcing business rules associated with each program; alert program managers of non-tariffed measures being offered by third party administrators; </w:t>
      </w:r>
      <w:r>
        <w:rPr>
          <w:rFonts w:cs="Times New Roman"/>
          <w:szCs w:val="24"/>
        </w:rPr>
        <w:t xml:space="preserve">and </w:t>
      </w:r>
      <w:r w:rsidR="009F5B66">
        <w:rPr>
          <w:rFonts w:cs="Times New Roman"/>
          <w:szCs w:val="24"/>
        </w:rPr>
        <w:t xml:space="preserve">system control of claimed savings using an interface with the </w:t>
      </w:r>
      <w:r w:rsidR="00CC0D51">
        <w:rPr>
          <w:rFonts w:cs="Times New Roman"/>
          <w:szCs w:val="24"/>
        </w:rPr>
        <w:t>Company’s Technical Reference Library database</w:t>
      </w:r>
      <w:r w:rsidR="009F5B66">
        <w:rPr>
          <w:rFonts w:cs="Times New Roman"/>
          <w:szCs w:val="24"/>
        </w:rPr>
        <w:t>.</w:t>
      </w:r>
    </w:p>
    <w:p w:rsidR="007C3AF7" w:rsidRDefault="007C3AF7" w:rsidP="00CC0D51">
      <w:pPr>
        <w:pStyle w:val="ListParagraph"/>
        <w:rPr>
          <w:rFonts w:cs="Times New Roman"/>
          <w:szCs w:val="24"/>
        </w:rPr>
      </w:pPr>
    </w:p>
    <w:p w:rsidR="00164882" w:rsidRPr="008833D2" w:rsidRDefault="005C2D38" w:rsidP="009F5B66">
      <w:pPr>
        <w:pStyle w:val="ListParagraph"/>
        <w:numPr>
          <w:ilvl w:val="0"/>
          <w:numId w:val="62"/>
        </w:numPr>
        <w:rPr>
          <w:rFonts w:cs="Times New Roman"/>
          <w:szCs w:val="24"/>
        </w:rPr>
      </w:pPr>
      <w:r>
        <w:rPr>
          <w:rFonts w:cs="Times New Roman"/>
          <w:szCs w:val="24"/>
        </w:rPr>
        <w:t xml:space="preserve">The Company has adopted a </w:t>
      </w:r>
      <w:r w:rsidR="00164882">
        <w:rPr>
          <w:rFonts w:cs="Times New Roman"/>
          <w:szCs w:val="24"/>
        </w:rPr>
        <w:t xml:space="preserve">methodology for tracking floating </w:t>
      </w:r>
      <w:r w:rsidR="00CC0D51">
        <w:rPr>
          <w:rFonts w:cs="Times New Roman"/>
          <w:szCs w:val="24"/>
        </w:rPr>
        <w:t>unit energy savings</w:t>
      </w:r>
      <w:r w:rsidR="00164882">
        <w:rPr>
          <w:rFonts w:cs="Times New Roman"/>
          <w:szCs w:val="24"/>
        </w:rPr>
        <w:t xml:space="preserve"> values</w:t>
      </w:r>
      <w:r>
        <w:rPr>
          <w:rFonts w:cs="Times New Roman"/>
          <w:szCs w:val="24"/>
        </w:rPr>
        <w:t xml:space="preserve"> that change after the approval of biennial conservation forecasts and targets. These values will be updated on January 1 of the second year of a biennial period with information that is available by October 1 of the first year</w:t>
      </w:r>
      <w:r w:rsidR="00CC0D51">
        <w:rPr>
          <w:rFonts w:cs="Times New Roman"/>
          <w:szCs w:val="24"/>
        </w:rPr>
        <w:t xml:space="preserve"> of the biennium</w:t>
      </w:r>
      <w:r>
        <w:rPr>
          <w:rFonts w:cs="Times New Roman"/>
          <w:szCs w:val="24"/>
        </w:rPr>
        <w:t xml:space="preserve">. </w:t>
      </w:r>
      <w:r w:rsidR="00164882">
        <w:rPr>
          <w:rFonts w:cs="Times New Roman"/>
          <w:szCs w:val="24"/>
        </w:rPr>
        <w:t xml:space="preserve"> </w:t>
      </w:r>
    </w:p>
    <w:p w:rsidR="00EB77F2" w:rsidRDefault="00EB77F2" w:rsidP="00EB77F2">
      <w:pPr>
        <w:rPr>
          <w:rFonts w:cs="Times New Roman"/>
          <w:szCs w:val="24"/>
        </w:rPr>
      </w:pPr>
    </w:p>
    <w:p w:rsidR="00EB77F2" w:rsidRPr="00432C28" w:rsidRDefault="00EB77F2" w:rsidP="00EB77F2">
      <w:pPr>
        <w:rPr>
          <w:rFonts w:cs="Times New Roman"/>
          <w:szCs w:val="24"/>
        </w:rPr>
      </w:pPr>
      <w:r w:rsidRPr="00432C28">
        <w:rPr>
          <w:rFonts w:cs="Times New Roman"/>
          <w:szCs w:val="24"/>
        </w:rPr>
        <w:t xml:space="preserve"> </w:t>
      </w:r>
    </w:p>
    <w:p w:rsidR="00EB77F2" w:rsidRDefault="00EB77F2" w:rsidP="00EB77F2"/>
    <w:p w:rsidR="00EB77F2" w:rsidRDefault="00EB77F2" w:rsidP="00DB27FF">
      <w:pPr>
        <w:pStyle w:val="Heading1"/>
        <w:spacing w:before="0"/>
        <w:rPr>
          <w:rFonts w:ascii="Times New Roman" w:hAnsi="Times New Roman" w:cs="Times New Roman"/>
        </w:rPr>
      </w:pPr>
    </w:p>
    <w:p w:rsidR="00C467A3" w:rsidRDefault="00C467A3" w:rsidP="00DB27FF">
      <w:pPr>
        <w:pStyle w:val="Heading1"/>
        <w:spacing w:before="0"/>
        <w:rPr>
          <w:rFonts w:ascii="Times New Roman" w:hAnsi="Times New Roman" w:cs="Times New Roman"/>
        </w:rPr>
      </w:pPr>
    </w:p>
    <w:p w:rsidR="001A0430" w:rsidRPr="00432C28" w:rsidRDefault="001A0430" w:rsidP="00DB27FF">
      <w:pPr>
        <w:pStyle w:val="Heading1"/>
        <w:spacing w:before="0"/>
        <w:rPr>
          <w:rFonts w:ascii="Times New Roman" w:hAnsi="Times New Roman" w:cs="Times New Roman"/>
        </w:rPr>
      </w:pPr>
      <w:bookmarkStart w:id="43" w:name="_Toc431301353"/>
      <w:r w:rsidRPr="00432C28">
        <w:rPr>
          <w:rFonts w:ascii="Times New Roman" w:hAnsi="Times New Roman" w:cs="Times New Roman"/>
        </w:rPr>
        <w:t>Cost Recovery Mechanism</w:t>
      </w:r>
      <w:bookmarkEnd w:id="42"/>
      <w:bookmarkEnd w:id="43"/>
      <w:r w:rsidRPr="00432C28">
        <w:rPr>
          <w:rFonts w:ascii="Times New Roman" w:hAnsi="Times New Roman" w:cs="Times New Roman"/>
        </w:rPr>
        <w:t xml:space="preserve"> </w:t>
      </w:r>
    </w:p>
    <w:p w:rsidR="001A0430" w:rsidRPr="00432C28" w:rsidRDefault="001A0430" w:rsidP="001A0430">
      <w:pPr>
        <w:rPr>
          <w:rFonts w:cs="Times New Roman"/>
          <w:color w:val="FF0000"/>
        </w:rPr>
      </w:pPr>
    </w:p>
    <w:p w:rsidR="00A60742" w:rsidRDefault="00A60742" w:rsidP="00A60742">
      <w:pPr>
        <w:pStyle w:val="Default"/>
        <w:jc w:val="both"/>
        <w:rPr>
          <w:rFonts w:ascii="Times New Roman" w:hAnsi="Times New Roman" w:cs="Times New Roman"/>
        </w:rPr>
      </w:pPr>
      <w:r w:rsidRPr="00A60742">
        <w:rPr>
          <w:rFonts w:ascii="Times New Roman" w:hAnsi="Times New Roman" w:cs="Times New Roman"/>
        </w:rPr>
        <w:t>PacifiCorp recovers costs associated with its demand-side management programs through the System Benefits Charge</w:t>
      </w:r>
      <w:r w:rsidR="0026307D">
        <w:rPr>
          <w:rFonts w:ascii="Times New Roman" w:hAnsi="Times New Roman" w:cs="Times New Roman"/>
        </w:rPr>
        <w:t xml:space="preserve"> (</w:t>
      </w:r>
      <w:r w:rsidR="00EA78FB">
        <w:rPr>
          <w:rFonts w:ascii="Times New Roman" w:hAnsi="Times New Roman" w:cs="Times New Roman"/>
        </w:rPr>
        <w:t>“</w:t>
      </w:r>
      <w:r w:rsidR="0026307D">
        <w:rPr>
          <w:rFonts w:ascii="Times New Roman" w:hAnsi="Times New Roman" w:cs="Times New Roman"/>
        </w:rPr>
        <w:t>SBC</w:t>
      </w:r>
      <w:r w:rsidR="00EA78FB">
        <w:rPr>
          <w:rFonts w:ascii="Times New Roman" w:hAnsi="Times New Roman" w:cs="Times New Roman"/>
        </w:rPr>
        <w:t>”</w:t>
      </w:r>
      <w:r w:rsidR="0026307D">
        <w:rPr>
          <w:rFonts w:ascii="Times New Roman" w:hAnsi="Times New Roman" w:cs="Times New Roman"/>
        </w:rPr>
        <w:t>)</w:t>
      </w:r>
      <w:r w:rsidRPr="00A60742">
        <w:rPr>
          <w:rFonts w:ascii="Times New Roman" w:hAnsi="Times New Roman" w:cs="Times New Roman"/>
        </w:rPr>
        <w:t>, which is administered through Schedule 191. The S</w:t>
      </w:r>
      <w:r w:rsidR="0026307D">
        <w:rPr>
          <w:rFonts w:ascii="Times New Roman" w:hAnsi="Times New Roman" w:cs="Times New Roman"/>
        </w:rPr>
        <w:t>BC</w:t>
      </w:r>
      <w:r w:rsidRPr="00A60742">
        <w:rPr>
          <w:rFonts w:ascii="Times New Roman" w:hAnsi="Times New Roman" w:cs="Times New Roman"/>
        </w:rPr>
        <w:t xml:space="preserve"> was originally approved by the Commission in Docket UE-001457. The SBC was last adjusted in </w:t>
      </w:r>
      <w:r w:rsidR="008F35AD">
        <w:rPr>
          <w:rFonts w:ascii="Times New Roman" w:hAnsi="Times New Roman" w:cs="Times New Roman"/>
        </w:rPr>
        <w:t>August 2015</w:t>
      </w:r>
      <w:r w:rsidRPr="00A60742">
        <w:rPr>
          <w:rFonts w:ascii="Times New Roman" w:hAnsi="Times New Roman" w:cs="Times New Roman"/>
        </w:rPr>
        <w:t xml:space="preserve"> when it was </w:t>
      </w:r>
      <w:r w:rsidR="008F35AD">
        <w:rPr>
          <w:rFonts w:ascii="Times New Roman" w:hAnsi="Times New Roman" w:cs="Times New Roman"/>
        </w:rPr>
        <w:t xml:space="preserve">increased </w:t>
      </w:r>
      <w:r w:rsidRPr="00A60742">
        <w:rPr>
          <w:rFonts w:ascii="Times New Roman" w:hAnsi="Times New Roman" w:cs="Times New Roman"/>
        </w:rPr>
        <w:t>from an annual collection rate of $</w:t>
      </w:r>
      <w:r w:rsidR="008F35AD">
        <w:rPr>
          <w:rFonts w:ascii="Times New Roman" w:hAnsi="Times New Roman" w:cs="Times New Roman"/>
        </w:rPr>
        <w:t>10</w:t>
      </w:r>
      <w:r w:rsidR="00CA2A1D">
        <w:rPr>
          <w:rFonts w:ascii="Times New Roman" w:hAnsi="Times New Roman" w:cs="Times New Roman"/>
        </w:rPr>
        <w:t>.2</w:t>
      </w:r>
      <w:r w:rsidRPr="00A60742">
        <w:rPr>
          <w:rFonts w:ascii="Times New Roman" w:hAnsi="Times New Roman" w:cs="Times New Roman"/>
        </w:rPr>
        <w:t xml:space="preserve"> million to the current collection rate of $</w:t>
      </w:r>
      <w:r w:rsidR="00CA2A1D">
        <w:rPr>
          <w:rFonts w:ascii="Times New Roman" w:hAnsi="Times New Roman" w:cs="Times New Roman"/>
        </w:rPr>
        <w:t>10.7</w:t>
      </w:r>
      <w:r w:rsidRPr="00A60742">
        <w:rPr>
          <w:rFonts w:ascii="Times New Roman" w:hAnsi="Times New Roman" w:cs="Times New Roman"/>
        </w:rPr>
        <w:t xml:space="preserve"> million. The current SBC collection rate was approved in Docket UE-</w:t>
      </w:r>
      <w:r w:rsidR="00CA2A1D">
        <w:rPr>
          <w:rFonts w:ascii="Times New Roman" w:hAnsi="Times New Roman" w:cs="Times New Roman"/>
        </w:rPr>
        <w:t>151157</w:t>
      </w:r>
      <w:r w:rsidRPr="00A60742">
        <w:rPr>
          <w:rFonts w:ascii="Times New Roman" w:hAnsi="Times New Roman" w:cs="Times New Roman"/>
        </w:rPr>
        <w:t xml:space="preserve"> with an effective date of </w:t>
      </w:r>
      <w:r w:rsidR="00CA2A1D">
        <w:rPr>
          <w:rFonts w:ascii="Times New Roman" w:hAnsi="Times New Roman" w:cs="Times New Roman"/>
        </w:rPr>
        <w:t xml:space="preserve">August 1, </w:t>
      </w:r>
      <w:r w:rsidRPr="00A60742">
        <w:rPr>
          <w:rFonts w:ascii="Times New Roman" w:hAnsi="Times New Roman" w:cs="Times New Roman"/>
        </w:rPr>
        <w:t>201</w:t>
      </w:r>
      <w:r w:rsidR="00286393">
        <w:rPr>
          <w:rFonts w:ascii="Times New Roman" w:hAnsi="Times New Roman" w:cs="Times New Roman"/>
        </w:rPr>
        <w:t>5. T</w:t>
      </w:r>
      <w:r w:rsidRPr="00A60742">
        <w:rPr>
          <w:rFonts w:ascii="Times New Roman" w:hAnsi="Times New Roman" w:cs="Times New Roman"/>
        </w:rPr>
        <w:t xml:space="preserve">he </w:t>
      </w:r>
      <w:r w:rsidR="00286393">
        <w:rPr>
          <w:rFonts w:ascii="Times New Roman" w:hAnsi="Times New Roman" w:cs="Times New Roman"/>
        </w:rPr>
        <w:t xml:space="preserve">current </w:t>
      </w:r>
      <w:r w:rsidRPr="00A60742">
        <w:rPr>
          <w:rFonts w:ascii="Times New Roman" w:hAnsi="Times New Roman" w:cs="Times New Roman"/>
        </w:rPr>
        <w:t>SBC collection rate represents approximately 3.3</w:t>
      </w:r>
      <w:r w:rsidR="00286393">
        <w:rPr>
          <w:rFonts w:ascii="Times New Roman" w:hAnsi="Times New Roman" w:cs="Times New Roman"/>
        </w:rPr>
        <w:t>5</w:t>
      </w:r>
      <w:r w:rsidRPr="00A60742">
        <w:rPr>
          <w:rFonts w:ascii="Times New Roman" w:hAnsi="Times New Roman" w:cs="Times New Roman"/>
        </w:rPr>
        <w:t xml:space="preserve"> percent of Washington retail electric revenues. </w:t>
      </w:r>
    </w:p>
    <w:p w:rsidR="00A60742" w:rsidRDefault="00A60742" w:rsidP="00A60742">
      <w:pPr>
        <w:pStyle w:val="Default"/>
        <w:jc w:val="both"/>
        <w:rPr>
          <w:rFonts w:ascii="Times New Roman" w:hAnsi="Times New Roman" w:cs="Times New Roman"/>
        </w:rPr>
      </w:pPr>
    </w:p>
    <w:p w:rsidR="00513761" w:rsidRPr="00432C28" w:rsidRDefault="00EA6FD8" w:rsidP="00262C79">
      <w:pPr>
        <w:pStyle w:val="Default"/>
        <w:jc w:val="both"/>
        <w:rPr>
          <w:rFonts w:ascii="Times New Roman" w:hAnsi="Times New Roman" w:cs="Times New Roman"/>
          <w:color w:val="000000" w:themeColor="text1"/>
          <w:sz w:val="20"/>
          <w:szCs w:val="20"/>
        </w:rPr>
      </w:pPr>
      <w:r>
        <w:rPr>
          <w:rFonts w:ascii="Times New Roman" w:hAnsi="Times New Roman" w:cs="Times New Roman"/>
        </w:rPr>
        <w:t>For the 201</w:t>
      </w:r>
      <w:r w:rsidR="00286393">
        <w:rPr>
          <w:rFonts w:ascii="Times New Roman" w:hAnsi="Times New Roman" w:cs="Times New Roman"/>
        </w:rPr>
        <w:t>6</w:t>
      </w:r>
      <w:r>
        <w:rPr>
          <w:rFonts w:ascii="Times New Roman" w:hAnsi="Times New Roman" w:cs="Times New Roman"/>
        </w:rPr>
        <w:t>-201</w:t>
      </w:r>
      <w:r w:rsidR="00286393">
        <w:rPr>
          <w:rFonts w:ascii="Times New Roman" w:hAnsi="Times New Roman" w:cs="Times New Roman"/>
        </w:rPr>
        <w:t>7</w:t>
      </w:r>
      <w:r w:rsidR="00A60742">
        <w:rPr>
          <w:rFonts w:ascii="Times New Roman" w:hAnsi="Times New Roman" w:cs="Times New Roman"/>
        </w:rPr>
        <w:t xml:space="preserve"> biennium</w:t>
      </w:r>
      <w:r w:rsidR="00520A09" w:rsidRPr="00432C28">
        <w:rPr>
          <w:rFonts w:ascii="Times New Roman" w:hAnsi="Times New Roman" w:cs="Times New Roman"/>
        </w:rPr>
        <w:t xml:space="preserve">, PacifiCorp intends to recover through the SBC costs associated with approved conservation programs, planning and program administrative costs, and costs associated with compliance with </w:t>
      </w:r>
      <w:r w:rsidR="006C7C8E">
        <w:rPr>
          <w:rFonts w:ascii="Times New Roman" w:hAnsi="Times New Roman" w:cs="Times New Roman"/>
        </w:rPr>
        <w:t xml:space="preserve">Chapter </w:t>
      </w:r>
      <w:r w:rsidR="00520A09" w:rsidRPr="00432C28">
        <w:rPr>
          <w:rFonts w:ascii="Times New Roman" w:hAnsi="Times New Roman" w:cs="Times New Roman"/>
        </w:rPr>
        <w:t>480-109</w:t>
      </w:r>
      <w:r w:rsidR="006C7C8E">
        <w:rPr>
          <w:rFonts w:ascii="Times New Roman" w:hAnsi="Times New Roman" w:cs="Times New Roman"/>
        </w:rPr>
        <w:t xml:space="preserve"> WAC</w:t>
      </w:r>
      <w:r w:rsidR="00520A09" w:rsidRPr="00432C28">
        <w:rPr>
          <w:rFonts w:ascii="Times New Roman" w:hAnsi="Times New Roman" w:cs="Times New Roman"/>
        </w:rPr>
        <w:t xml:space="preserve"> and conditions consistent with the Commission’s O</w:t>
      </w:r>
      <w:r>
        <w:rPr>
          <w:rFonts w:ascii="Times New Roman" w:hAnsi="Times New Roman" w:cs="Times New Roman"/>
        </w:rPr>
        <w:t>rder 01 in Docket UE-</w:t>
      </w:r>
      <w:r w:rsidR="00286393">
        <w:rPr>
          <w:rFonts w:ascii="Times New Roman" w:hAnsi="Times New Roman" w:cs="Times New Roman"/>
        </w:rPr>
        <w:t>132047</w:t>
      </w:r>
      <w:r w:rsidR="00520A09" w:rsidRPr="00432C28">
        <w:rPr>
          <w:rFonts w:ascii="Times New Roman" w:hAnsi="Times New Roman" w:cs="Times New Roman"/>
        </w:rPr>
        <w:t>.</w:t>
      </w:r>
      <w:r w:rsidR="00520A09" w:rsidRPr="00432C28">
        <w:rPr>
          <w:rStyle w:val="FootnoteReference"/>
          <w:rFonts w:ascii="Times New Roman" w:hAnsi="Times New Roman" w:cs="Times New Roman"/>
        </w:rPr>
        <w:footnoteReference w:id="44"/>
      </w:r>
      <w:r>
        <w:rPr>
          <w:rFonts w:ascii="Times New Roman" w:hAnsi="Times New Roman" w:cs="Times New Roman"/>
        </w:rPr>
        <w:t xml:space="preserve"> </w:t>
      </w:r>
      <w:r w:rsidR="00BE44BB">
        <w:rPr>
          <w:rFonts w:ascii="Times New Roman" w:hAnsi="Times New Roman" w:cs="Times New Roman"/>
        </w:rPr>
        <w:t>As specified in section (11)</w:t>
      </w:r>
      <w:r w:rsidR="00F5498D">
        <w:rPr>
          <w:rFonts w:ascii="Times New Roman" w:hAnsi="Times New Roman" w:cs="Times New Roman"/>
        </w:rPr>
        <w:t>-</w:t>
      </w:r>
      <w:r w:rsidR="00BE44BB">
        <w:rPr>
          <w:rFonts w:ascii="Times New Roman" w:hAnsi="Times New Roman" w:cs="Times New Roman"/>
        </w:rPr>
        <w:t xml:space="preserve">(d) of that order, costs associated with </w:t>
      </w:r>
      <w:r w:rsidR="00B0171B">
        <w:rPr>
          <w:rFonts w:ascii="Times New Roman" w:hAnsi="Times New Roman" w:cs="Times New Roman"/>
        </w:rPr>
        <w:t>d</w:t>
      </w:r>
      <w:r w:rsidR="006C7C8E">
        <w:rPr>
          <w:rFonts w:ascii="Times New Roman" w:hAnsi="Times New Roman" w:cs="Times New Roman"/>
        </w:rPr>
        <w:t>i</w:t>
      </w:r>
      <w:r w:rsidR="00B0171B">
        <w:rPr>
          <w:rFonts w:ascii="Times New Roman" w:hAnsi="Times New Roman" w:cs="Times New Roman"/>
        </w:rPr>
        <w:t>stribution</w:t>
      </w:r>
      <w:r w:rsidR="00BE44BB">
        <w:rPr>
          <w:rFonts w:ascii="Times New Roman" w:hAnsi="Times New Roman" w:cs="Times New Roman"/>
        </w:rPr>
        <w:t xml:space="preserve"> and production efficiency will be recovered through a general rate case, rather than through the SBC. </w:t>
      </w:r>
      <w:r>
        <w:rPr>
          <w:rFonts w:ascii="Times New Roman" w:hAnsi="Times New Roman" w:cs="Times New Roman"/>
        </w:rPr>
        <w:t>Projected costs for the 201</w:t>
      </w:r>
      <w:r w:rsidR="006C7C8E">
        <w:rPr>
          <w:rFonts w:ascii="Times New Roman" w:hAnsi="Times New Roman" w:cs="Times New Roman"/>
        </w:rPr>
        <w:t>6</w:t>
      </w:r>
      <w:r>
        <w:rPr>
          <w:rFonts w:ascii="Times New Roman" w:hAnsi="Times New Roman" w:cs="Times New Roman"/>
        </w:rPr>
        <w:t>-201</w:t>
      </w:r>
      <w:r w:rsidR="006C7C8E">
        <w:rPr>
          <w:rFonts w:ascii="Times New Roman" w:hAnsi="Times New Roman" w:cs="Times New Roman"/>
        </w:rPr>
        <w:t>7</w:t>
      </w:r>
      <w:r w:rsidR="00BE44BB">
        <w:rPr>
          <w:rFonts w:ascii="Times New Roman" w:hAnsi="Times New Roman" w:cs="Times New Roman"/>
        </w:rPr>
        <w:t xml:space="preserve"> bienni</w:t>
      </w:r>
      <w:r w:rsidR="00EA78FB">
        <w:rPr>
          <w:rFonts w:ascii="Times New Roman" w:hAnsi="Times New Roman" w:cs="Times New Roman"/>
        </w:rPr>
        <w:t>um</w:t>
      </w:r>
      <w:r w:rsidR="00520A09" w:rsidRPr="00432C28">
        <w:rPr>
          <w:rFonts w:ascii="Times New Roman" w:hAnsi="Times New Roman" w:cs="Times New Roman"/>
        </w:rPr>
        <w:t xml:space="preserve"> are provided in</w:t>
      </w:r>
      <w:r w:rsidR="00262C79">
        <w:rPr>
          <w:rFonts w:ascii="Times New Roman" w:hAnsi="Times New Roman" w:cs="Times New Roman"/>
        </w:rPr>
        <w:t xml:space="preserve"> Table </w:t>
      </w:r>
      <w:r w:rsidR="00EA78FB">
        <w:rPr>
          <w:rFonts w:ascii="Times New Roman" w:hAnsi="Times New Roman" w:cs="Times New Roman"/>
        </w:rPr>
        <w:t xml:space="preserve">9 of this report </w:t>
      </w:r>
      <w:r w:rsidR="00262C79">
        <w:rPr>
          <w:rFonts w:ascii="Times New Roman" w:hAnsi="Times New Roman" w:cs="Times New Roman"/>
        </w:rPr>
        <w:t xml:space="preserve">as well as in the DSM 2016-2017 Business Plan, Appendix 7 (Table 1) </w:t>
      </w:r>
      <w:r w:rsidR="00EA78FB">
        <w:rPr>
          <w:rFonts w:ascii="Times New Roman" w:hAnsi="Times New Roman" w:cs="Times New Roman"/>
        </w:rPr>
        <w:t xml:space="preserve">to </w:t>
      </w:r>
      <w:r w:rsidR="00262C79">
        <w:rPr>
          <w:rFonts w:ascii="Times New Roman" w:hAnsi="Times New Roman" w:cs="Times New Roman"/>
        </w:rPr>
        <w:t xml:space="preserve">this </w:t>
      </w:r>
      <w:r w:rsidR="00873B50">
        <w:rPr>
          <w:rFonts w:ascii="Times New Roman" w:hAnsi="Times New Roman" w:cs="Times New Roman"/>
        </w:rPr>
        <w:t>report</w:t>
      </w:r>
      <w:r w:rsidR="00262C79">
        <w:rPr>
          <w:rFonts w:ascii="Times New Roman" w:hAnsi="Times New Roman" w:cs="Times New Roman"/>
        </w:rPr>
        <w:t xml:space="preserve">.  </w:t>
      </w:r>
      <w:r w:rsidR="006C7C8E">
        <w:rPr>
          <w:rFonts w:ascii="Times New Roman" w:hAnsi="Times New Roman" w:cs="Times New Roman"/>
        </w:rPr>
        <w:t xml:space="preserve"> </w:t>
      </w:r>
    </w:p>
    <w:p w:rsidR="00513761" w:rsidRPr="00432C28" w:rsidRDefault="00513761">
      <w:pPr>
        <w:pStyle w:val="Default"/>
        <w:jc w:val="both"/>
        <w:rPr>
          <w:rFonts w:ascii="Times New Roman" w:hAnsi="Times New Roman" w:cs="Times New Roman"/>
        </w:rPr>
      </w:pPr>
    </w:p>
    <w:p w:rsidR="00213EFE" w:rsidRDefault="009D0EBD">
      <w:pPr>
        <w:jc w:val="left"/>
        <w:rPr>
          <w:rFonts w:cs="Times New Roman"/>
          <w:bCs/>
          <w:color w:val="000000"/>
          <w:szCs w:val="24"/>
        </w:rPr>
      </w:pPr>
      <w:bookmarkStart w:id="44" w:name="_Toc294088297"/>
      <w:bookmarkStart w:id="45" w:name="_Toc302398322"/>
      <w:r>
        <w:rPr>
          <w:rFonts w:cs="Times New Roman"/>
          <w:bCs/>
          <w:color w:val="000000"/>
          <w:szCs w:val="24"/>
        </w:rPr>
        <w:t xml:space="preserve">Consistent with WAC 480-109-130, </w:t>
      </w:r>
      <w:r w:rsidR="00F5498D">
        <w:rPr>
          <w:rFonts w:cs="Times New Roman"/>
          <w:bCs/>
          <w:color w:val="000000"/>
          <w:szCs w:val="24"/>
        </w:rPr>
        <w:t>related to c</w:t>
      </w:r>
      <w:r>
        <w:rPr>
          <w:rFonts w:cs="Times New Roman"/>
          <w:bCs/>
          <w:color w:val="000000"/>
          <w:szCs w:val="24"/>
        </w:rPr>
        <w:t xml:space="preserve">onservation cost recovery adjustment, PacifiCorp will review the adequacy of Schedule 191 collections </w:t>
      </w:r>
      <w:r w:rsidR="001E7445">
        <w:rPr>
          <w:rFonts w:cs="Times New Roman"/>
          <w:bCs/>
          <w:color w:val="000000"/>
          <w:szCs w:val="24"/>
        </w:rPr>
        <w:t xml:space="preserve">each year and </w:t>
      </w:r>
      <w:r>
        <w:rPr>
          <w:rFonts w:cs="Times New Roman"/>
          <w:bCs/>
          <w:color w:val="000000"/>
          <w:szCs w:val="24"/>
        </w:rPr>
        <w:t xml:space="preserve">make a filing, if necessary, to adjust the collection rate no later than June 1, </w:t>
      </w:r>
      <w:r w:rsidR="001E7445">
        <w:rPr>
          <w:rFonts w:cs="Times New Roman"/>
          <w:bCs/>
          <w:color w:val="000000"/>
          <w:szCs w:val="24"/>
        </w:rPr>
        <w:t>with an effective date of at least sixty days after the filing</w:t>
      </w:r>
      <w:r>
        <w:rPr>
          <w:rFonts w:cs="Times New Roman"/>
          <w:bCs/>
          <w:color w:val="000000"/>
          <w:szCs w:val="24"/>
        </w:rPr>
        <w:t>.</w:t>
      </w:r>
      <w:r w:rsidR="001E7445">
        <w:rPr>
          <w:rFonts w:cs="Times New Roman"/>
          <w:bCs/>
          <w:color w:val="000000"/>
          <w:szCs w:val="24"/>
        </w:rPr>
        <w:t xml:space="preserve"> If no adjustment is needed the Company will file a request for exception and supporting documents (in support of why no adjustment is needed) no later than May 1</w:t>
      </w:r>
      <w:r w:rsidR="00F5498D">
        <w:rPr>
          <w:rFonts w:cs="Times New Roman"/>
          <w:bCs/>
          <w:color w:val="000000"/>
          <w:szCs w:val="24"/>
        </w:rPr>
        <w:t>.</w:t>
      </w:r>
    </w:p>
    <w:p w:rsidR="00213EFE" w:rsidRDefault="00213EFE">
      <w:pPr>
        <w:jc w:val="left"/>
        <w:rPr>
          <w:rFonts w:cs="Times New Roman"/>
          <w:bCs/>
          <w:color w:val="000000"/>
          <w:szCs w:val="24"/>
        </w:rPr>
      </w:pPr>
    </w:p>
    <w:p w:rsidR="00213EFE" w:rsidRDefault="00213EFE">
      <w:pPr>
        <w:jc w:val="left"/>
        <w:rPr>
          <w:rFonts w:cs="Times New Roman"/>
          <w:bCs/>
          <w:color w:val="000000"/>
          <w:szCs w:val="24"/>
        </w:rPr>
      </w:pPr>
    </w:p>
    <w:p w:rsidR="00BE44BB" w:rsidRDefault="00BE44BB">
      <w:pPr>
        <w:jc w:val="left"/>
        <w:rPr>
          <w:rFonts w:cs="Times New Roman"/>
          <w:color w:val="000000"/>
          <w:szCs w:val="24"/>
        </w:rPr>
      </w:pPr>
    </w:p>
    <w:p w:rsidR="00213EFE" w:rsidRDefault="001C59A7" w:rsidP="00213EFE">
      <w:pPr>
        <w:pStyle w:val="Heading1"/>
        <w:spacing w:before="0"/>
        <w:rPr>
          <w:rFonts w:ascii="Times New Roman" w:hAnsi="Times New Roman" w:cs="Times New Roman"/>
        </w:rPr>
      </w:pPr>
      <w:bookmarkStart w:id="46" w:name="_Toc431301354"/>
      <w:r w:rsidRPr="00A25659">
        <w:rPr>
          <w:rFonts w:ascii="Times New Roman" w:hAnsi="Times New Roman" w:cs="Times New Roman"/>
        </w:rPr>
        <w:t>Plan Compliance Information and Other Key Issues</w:t>
      </w:r>
      <w:bookmarkEnd w:id="44"/>
      <w:bookmarkEnd w:id="45"/>
      <w:bookmarkEnd w:id="46"/>
    </w:p>
    <w:p w:rsidR="00213EFE" w:rsidRDefault="00213EFE" w:rsidP="00213EFE">
      <w:pPr>
        <w:pStyle w:val="Heading1"/>
        <w:spacing w:before="0"/>
        <w:rPr>
          <w:rFonts w:ascii="Times New Roman" w:hAnsi="Times New Roman" w:cs="Times New Roman"/>
        </w:rPr>
      </w:pPr>
    </w:p>
    <w:p w:rsidR="00BC2AF1" w:rsidRDefault="003264B1" w:rsidP="00213EFE">
      <w:pPr>
        <w:pStyle w:val="Heading1"/>
        <w:spacing w:before="0"/>
        <w:rPr>
          <w:rFonts w:cs="Times New Roman"/>
          <w:b w:val="0"/>
          <w:szCs w:val="24"/>
        </w:rPr>
      </w:pPr>
      <w:r>
        <w:rPr>
          <w:rFonts w:cs="Times New Roman"/>
          <w:szCs w:val="24"/>
        </w:rPr>
        <w:fldChar w:fldCharType="begin"/>
      </w:r>
      <w:r w:rsidR="002C51E0">
        <w:rPr>
          <w:rFonts w:cs="Times New Roman"/>
          <w:szCs w:val="24"/>
        </w:rPr>
        <w:instrText xml:space="preserve"> REF _Ref369765399 \h </w:instrText>
      </w:r>
      <w:r>
        <w:rPr>
          <w:rFonts w:cs="Times New Roman"/>
          <w:szCs w:val="24"/>
        </w:rPr>
      </w:r>
      <w:r>
        <w:rPr>
          <w:rFonts w:cs="Times New Roman"/>
          <w:szCs w:val="24"/>
        </w:rPr>
        <w:fldChar w:fldCharType="separate"/>
      </w:r>
    </w:p>
    <w:p w:rsidR="001C59A7" w:rsidRPr="00432C28" w:rsidRDefault="00BC2AF1" w:rsidP="001E7445">
      <w:pPr>
        <w:jc w:val="left"/>
        <w:rPr>
          <w:rFonts w:cs="Times New Roman"/>
          <w:szCs w:val="24"/>
        </w:rPr>
      </w:pPr>
      <w:r w:rsidRPr="00220638">
        <w:t xml:space="preserve">Table </w:t>
      </w:r>
      <w:r>
        <w:rPr>
          <w:noProof/>
        </w:rPr>
        <w:t>9</w:t>
      </w:r>
      <w:r w:rsidR="003264B1">
        <w:rPr>
          <w:rFonts w:cs="Times New Roman"/>
          <w:szCs w:val="24"/>
        </w:rPr>
        <w:fldChar w:fldCharType="end"/>
      </w:r>
      <w:r w:rsidR="00772A1A" w:rsidRPr="00432C28">
        <w:rPr>
          <w:rFonts w:cs="Times New Roman"/>
          <w:szCs w:val="24"/>
        </w:rPr>
        <w:t xml:space="preserve"> </w:t>
      </w:r>
      <w:r w:rsidR="001C59A7" w:rsidRPr="00432C28">
        <w:rPr>
          <w:rFonts w:cs="Times New Roman"/>
          <w:szCs w:val="24"/>
        </w:rPr>
        <w:t xml:space="preserve">identifies a listing of </w:t>
      </w:r>
      <w:r w:rsidR="00BF5D9E">
        <w:rPr>
          <w:rFonts w:cs="Times New Roman"/>
          <w:szCs w:val="24"/>
        </w:rPr>
        <w:t xml:space="preserve">key </w:t>
      </w:r>
      <w:r w:rsidR="001C59A7" w:rsidRPr="00432C28">
        <w:rPr>
          <w:rFonts w:cs="Times New Roman"/>
          <w:szCs w:val="24"/>
        </w:rPr>
        <w:t>complian</w:t>
      </w:r>
      <w:r w:rsidR="00611C1E">
        <w:rPr>
          <w:rFonts w:cs="Times New Roman"/>
          <w:szCs w:val="24"/>
        </w:rPr>
        <w:t>ce requirements from Order No. 1</w:t>
      </w:r>
      <w:r w:rsidR="009A71A4">
        <w:rPr>
          <w:rFonts w:cs="Times New Roman"/>
          <w:szCs w:val="24"/>
        </w:rPr>
        <w:t>, Attachment A</w:t>
      </w:r>
      <w:r w:rsidR="001C59A7" w:rsidRPr="00432C28">
        <w:rPr>
          <w:rFonts w:cs="Times New Roman"/>
          <w:szCs w:val="24"/>
        </w:rPr>
        <w:t xml:space="preserve"> received in Docket UE-</w:t>
      </w:r>
      <w:r w:rsidR="003D3029" w:rsidRPr="00EA78FB">
        <w:rPr>
          <w:rFonts w:cs="Times New Roman"/>
          <w:szCs w:val="24"/>
        </w:rPr>
        <w:t>132047</w:t>
      </w:r>
      <w:r w:rsidR="001C59A7" w:rsidRPr="00432C28">
        <w:rPr>
          <w:rFonts w:cs="Times New Roman"/>
          <w:szCs w:val="24"/>
        </w:rPr>
        <w:t xml:space="preserve"> and</w:t>
      </w:r>
      <w:r w:rsidR="00E8146E" w:rsidRPr="00432C28">
        <w:rPr>
          <w:rFonts w:cs="Times New Roman"/>
          <w:szCs w:val="24"/>
        </w:rPr>
        <w:t xml:space="preserve"> from</w:t>
      </w:r>
      <w:r w:rsidR="001C59A7" w:rsidRPr="00432C28">
        <w:rPr>
          <w:rFonts w:cs="Times New Roman"/>
          <w:szCs w:val="24"/>
        </w:rPr>
        <w:t xml:space="preserve"> WAC 480-109 </w:t>
      </w:r>
      <w:r w:rsidR="00090536">
        <w:rPr>
          <w:rFonts w:cs="Times New Roman"/>
          <w:szCs w:val="24"/>
        </w:rPr>
        <w:t xml:space="preserve">(requirements for the development of ten-year forecasts and biennial targets) </w:t>
      </w:r>
      <w:r w:rsidR="001C59A7" w:rsidRPr="00432C28">
        <w:rPr>
          <w:rFonts w:cs="Times New Roman"/>
          <w:szCs w:val="24"/>
        </w:rPr>
        <w:t xml:space="preserve">and how the Company has addressed each requirement in the preparation of </w:t>
      </w:r>
      <w:r w:rsidR="00E8146E" w:rsidRPr="00432C28">
        <w:rPr>
          <w:rFonts w:cs="Times New Roman"/>
          <w:szCs w:val="24"/>
        </w:rPr>
        <w:t>this report</w:t>
      </w:r>
      <w:r w:rsidR="001C59A7" w:rsidRPr="00432C28">
        <w:rPr>
          <w:rFonts w:cs="Times New Roman"/>
          <w:szCs w:val="24"/>
        </w:rPr>
        <w:t>.</w:t>
      </w:r>
    </w:p>
    <w:p w:rsidR="001C59A7" w:rsidRPr="00432C28" w:rsidRDefault="001C59A7" w:rsidP="001C59A7">
      <w:pPr>
        <w:rPr>
          <w:rFonts w:cs="Times New Roman"/>
          <w:szCs w:val="24"/>
        </w:rPr>
      </w:pPr>
    </w:p>
    <w:p w:rsidR="000422F4" w:rsidRDefault="000422F4">
      <w:pPr>
        <w:jc w:val="left"/>
        <w:rPr>
          <w:rFonts w:cs="Times New Roman"/>
          <w:b/>
          <w:szCs w:val="24"/>
        </w:rPr>
      </w:pPr>
      <w:bookmarkStart w:id="47" w:name="_Ref369765399"/>
      <w:r>
        <w:rPr>
          <w:rFonts w:cs="Times New Roman"/>
          <w:bCs/>
          <w:szCs w:val="24"/>
        </w:rPr>
        <w:br w:type="page"/>
      </w:r>
    </w:p>
    <w:p w:rsidR="001C59A7" w:rsidRPr="00432C28" w:rsidRDefault="002C51E0" w:rsidP="00220638">
      <w:pPr>
        <w:pStyle w:val="Caption"/>
        <w:rPr>
          <w:rFonts w:cs="Times New Roman"/>
          <w:b w:val="0"/>
          <w:szCs w:val="24"/>
        </w:rPr>
      </w:pPr>
      <w:bookmarkStart w:id="48" w:name="_Toc430706311"/>
      <w:r w:rsidRPr="00220638">
        <w:t xml:space="preserve">Table </w:t>
      </w:r>
      <w:r w:rsidR="003264B1" w:rsidRPr="00220638">
        <w:fldChar w:fldCharType="begin"/>
      </w:r>
      <w:r w:rsidRPr="00220638">
        <w:instrText xml:space="preserve"> SEQ Table \* ARABIC </w:instrText>
      </w:r>
      <w:r w:rsidR="003264B1" w:rsidRPr="00220638">
        <w:fldChar w:fldCharType="separate"/>
      </w:r>
      <w:r w:rsidR="00BC2AF1">
        <w:rPr>
          <w:noProof/>
        </w:rPr>
        <w:t>9</w:t>
      </w:r>
      <w:r w:rsidR="003264B1" w:rsidRPr="00220638">
        <w:fldChar w:fldCharType="end"/>
      </w:r>
      <w:bookmarkEnd w:id="47"/>
      <w:r w:rsidR="00220638">
        <w:t xml:space="preserve">: </w:t>
      </w:r>
      <w:r w:rsidR="00BE44BB" w:rsidRPr="00220638">
        <w:t>201</w:t>
      </w:r>
      <w:r w:rsidR="001625CA" w:rsidRPr="00220638">
        <w:t>6</w:t>
      </w:r>
      <w:r w:rsidR="00372FB9" w:rsidRPr="00220638">
        <w:t>-201</w:t>
      </w:r>
      <w:r w:rsidR="001625CA" w:rsidRPr="00220638">
        <w:t>7</w:t>
      </w:r>
      <w:r w:rsidR="00372FB9" w:rsidRPr="00220638">
        <w:t xml:space="preserve"> </w:t>
      </w:r>
      <w:r w:rsidR="006F58DE" w:rsidRPr="00220638">
        <w:t xml:space="preserve">Plan Development </w:t>
      </w:r>
      <w:r w:rsidR="00C73BD5" w:rsidRPr="00220638">
        <w:t>Compliance Requirements</w:t>
      </w:r>
      <w:r w:rsidR="00220638">
        <w:rPr>
          <w:rStyle w:val="FootnoteReference"/>
          <w:rFonts w:cs="Times New Roman"/>
          <w:bCs w:val="0"/>
          <w:szCs w:val="24"/>
        </w:rPr>
        <w:footnoteReference w:id="45"/>
      </w:r>
      <w:bookmarkEnd w:id="48"/>
    </w:p>
    <w:p w:rsidR="001C59A7" w:rsidRPr="00432C28" w:rsidRDefault="001C59A7" w:rsidP="001C59A7">
      <w:pPr>
        <w:rPr>
          <w:rFonts w:cs="Times New Roman"/>
          <w:szCs w:val="24"/>
        </w:rPr>
      </w:pPr>
    </w:p>
    <w:tbl>
      <w:tblPr>
        <w:tblStyle w:val="TableGrid"/>
        <w:tblW w:w="0" w:type="auto"/>
        <w:tblLook w:val="04A0" w:firstRow="1" w:lastRow="0" w:firstColumn="1" w:lastColumn="0" w:noHBand="0" w:noVBand="1"/>
      </w:tblPr>
      <w:tblGrid>
        <w:gridCol w:w="4645"/>
        <w:gridCol w:w="4931"/>
      </w:tblGrid>
      <w:tr w:rsidR="00E93BD3" w:rsidRPr="00432C28" w:rsidTr="002E6C6E">
        <w:trPr>
          <w:trHeight w:val="134"/>
        </w:trPr>
        <w:tc>
          <w:tcPr>
            <w:tcW w:w="0" w:type="auto"/>
            <w:gridSpan w:val="2"/>
          </w:tcPr>
          <w:p w:rsidR="00E93BD3" w:rsidRPr="00432C28" w:rsidRDefault="00E93BD3" w:rsidP="001625CA">
            <w:pPr>
              <w:rPr>
                <w:rFonts w:cs="Times New Roman"/>
                <w:b/>
                <w:szCs w:val="24"/>
              </w:rPr>
            </w:pPr>
            <w:r w:rsidRPr="00432C28">
              <w:rPr>
                <w:rFonts w:cs="Times New Roman"/>
                <w:b/>
                <w:szCs w:val="24"/>
              </w:rPr>
              <w:t>Docket UE-</w:t>
            </w:r>
            <w:r w:rsidR="00611C1E">
              <w:rPr>
                <w:rFonts w:cs="Times New Roman"/>
                <w:b/>
                <w:szCs w:val="24"/>
              </w:rPr>
              <w:t>1</w:t>
            </w:r>
            <w:r w:rsidR="001625CA">
              <w:rPr>
                <w:rFonts w:cs="Times New Roman"/>
                <w:b/>
                <w:szCs w:val="24"/>
              </w:rPr>
              <w:t>32047</w:t>
            </w:r>
            <w:r w:rsidRPr="00432C28">
              <w:rPr>
                <w:rFonts w:cs="Times New Roman"/>
                <w:b/>
                <w:szCs w:val="24"/>
              </w:rPr>
              <w:t xml:space="preserve"> </w:t>
            </w:r>
            <w:r w:rsidR="00611C1E">
              <w:rPr>
                <w:rFonts w:cs="Times New Roman"/>
                <w:b/>
                <w:szCs w:val="24"/>
              </w:rPr>
              <w:t>Order 01</w:t>
            </w:r>
            <w:r w:rsidRPr="00432C28">
              <w:rPr>
                <w:rFonts w:cs="Times New Roman"/>
                <w:b/>
                <w:szCs w:val="24"/>
              </w:rPr>
              <w:t xml:space="preserve"> (2)</w:t>
            </w:r>
            <w:r w:rsidR="00BF5D9E">
              <w:rPr>
                <w:rFonts w:cs="Times New Roman"/>
                <w:b/>
                <w:szCs w:val="24"/>
              </w:rPr>
              <w:t xml:space="preserve"> &amp; WAC 480-109-100 (2) (b)</w:t>
            </w:r>
          </w:p>
        </w:tc>
      </w:tr>
      <w:tr w:rsidR="00087833" w:rsidRPr="00432C28">
        <w:tc>
          <w:tcPr>
            <w:tcW w:w="0" w:type="auto"/>
          </w:tcPr>
          <w:p w:rsidR="0051328B" w:rsidRPr="00432C28" w:rsidRDefault="001C59A7" w:rsidP="004D621A">
            <w:pPr>
              <w:rPr>
                <w:rFonts w:cs="Times New Roman"/>
                <w:szCs w:val="24"/>
              </w:rPr>
            </w:pPr>
            <w:r w:rsidRPr="00432C28">
              <w:rPr>
                <w:rFonts w:cs="Times New Roman"/>
                <w:szCs w:val="24"/>
              </w:rPr>
              <w:t>Requires PacifiCorp to use methodologies consistent with those used by the Council.</w:t>
            </w:r>
          </w:p>
        </w:tc>
        <w:tc>
          <w:tcPr>
            <w:tcW w:w="0" w:type="auto"/>
          </w:tcPr>
          <w:p w:rsidR="0051328B" w:rsidRPr="00432C28" w:rsidRDefault="001860CD" w:rsidP="001860CD">
            <w:pPr>
              <w:rPr>
                <w:rFonts w:cs="Times New Roman"/>
                <w:szCs w:val="24"/>
              </w:rPr>
            </w:pPr>
            <w:r>
              <w:t>Appendix 3 contains an outline of the methodology used and provided by the Northwest Power and Conservation Council in the development of the 6</w:t>
            </w:r>
            <w:r>
              <w:rPr>
                <w:vertAlign w:val="superscript"/>
              </w:rPr>
              <w:t>th</w:t>
            </w:r>
            <w:r>
              <w:t xml:space="preserve"> regional power plan along with a description of the Company’s aligning </w:t>
            </w:r>
            <w:r w:rsidRPr="001860CD">
              <w:t>methodology (2013 IRP</w:t>
            </w:r>
            <w:r>
              <w:t xml:space="preserve"> reference, 2015 relevant</w:t>
            </w:r>
            <w:r w:rsidRPr="001860CD">
              <w:t xml:space="preserve">). These and the other regional documents are work products developed by the Methodology Sub-Committee of the Washington Collaborative Working group on Avoided Costs and Total Resource Cost determinants. Together these documents demonstrate the general consistency of the methodologies used in the development of both resource plans and development of </w:t>
            </w:r>
            <w:r>
              <w:t>utility</w:t>
            </w:r>
            <w:r w:rsidRPr="001860CD">
              <w:t xml:space="preserve"> ten-year conservation forecasts. In preparation for this report, the company reached out to the Council and requested a cursory review, in advance of the 7</w:t>
            </w:r>
            <w:r w:rsidRPr="001860CD">
              <w:rPr>
                <w:vertAlign w:val="superscript"/>
              </w:rPr>
              <w:t>th</w:t>
            </w:r>
            <w:r w:rsidRPr="001860CD">
              <w:t xml:space="preserve"> Power Plan, of notable </w:t>
            </w:r>
            <w:r w:rsidRPr="001860CD">
              <w:rPr>
                <w:color w:val="000000" w:themeColor="text1"/>
              </w:rPr>
              <w:t>changes. No meaningful differences in methodologies relevant to the development of this report were identified</w:t>
            </w:r>
            <w:r>
              <w:t>. Upon the issuance of the 7</w:t>
            </w:r>
            <w:r>
              <w:rPr>
                <w:vertAlign w:val="superscript"/>
              </w:rPr>
              <w:t>th</w:t>
            </w:r>
            <w:r>
              <w:t xml:space="preserve"> Power Plan PacifiCorp suggests the utilities in the region and the Council update these comparisons for future reference and demonstration of alignment.</w:t>
            </w:r>
          </w:p>
        </w:tc>
      </w:tr>
      <w:tr w:rsidR="00E93BD3" w:rsidRPr="00432C28" w:rsidTr="002E6C6E">
        <w:trPr>
          <w:trHeight w:val="161"/>
        </w:trPr>
        <w:tc>
          <w:tcPr>
            <w:tcW w:w="0" w:type="auto"/>
            <w:gridSpan w:val="2"/>
          </w:tcPr>
          <w:p w:rsidR="00E93BD3" w:rsidRPr="00432C28" w:rsidRDefault="00E93BD3" w:rsidP="00BF5D9E">
            <w:pPr>
              <w:rPr>
                <w:rFonts w:cs="Times New Roman"/>
                <w:b/>
                <w:szCs w:val="24"/>
              </w:rPr>
            </w:pPr>
            <w:r w:rsidRPr="00432C28">
              <w:rPr>
                <w:rFonts w:cs="Times New Roman"/>
                <w:b/>
                <w:szCs w:val="24"/>
              </w:rPr>
              <w:t>Docket UE-</w:t>
            </w:r>
            <w:r w:rsidR="00611C1E">
              <w:rPr>
                <w:rFonts w:cs="Times New Roman"/>
                <w:b/>
                <w:szCs w:val="24"/>
              </w:rPr>
              <w:t>1</w:t>
            </w:r>
            <w:r w:rsidR="001625CA">
              <w:rPr>
                <w:rFonts w:cs="Times New Roman"/>
                <w:b/>
                <w:szCs w:val="24"/>
              </w:rPr>
              <w:t>32047</w:t>
            </w:r>
            <w:r w:rsidR="00611C1E">
              <w:rPr>
                <w:rFonts w:cs="Times New Roman"/>
                <w:b/>
                <w:szCs w:val="24"/>
              </w:rPr>
              <w:t xml:space="preserve"> Order 01</w:t>
            </w:r>
            <w:r w:rsidRPr="00432C28">
              <w:rPr>
                <w:rFonts w:cs="Times New Roman"/>
                <w:b/>
                <w:szCs w:val="24"/>
              </w:rPr>
              <w:t xml:space="preserve"> (3) (a) (i)</w:t>
            </w:r>
            <w:r w:rsidR="00AA7C58">
              <w:rPr>
                <w:rFonts w:cs="Times New Roman"/>
                <w:b/>
                <w:szCs w:val="24"/>
              </w:rPr>
              <w:t xml:space="preserve"> &amp; WAC 480-109-</w:t>
            </w:r>
            <w:r w:rsidR="00BF5D9E">
              <w:rPr>
                <w:rFonts w:cs="Times New Roman"/>
                <w:b/>
                <w:szCs w:val="24"/>
              </w:rPr>
              <w:t xml:space="preserve">110 </w:t>
            </w:r>
            <w:r w:rsidR="00AA7C58">
              <w:rPr>
                <w:rFonts w:cs="Times New Roman"/>
                <w:b/>
                <w:szCs w:val="24"/>
              </w:rPr>
              <w:t>(1)</w:t>
            </w:r>
            <w:r w:rsidR="00BF5D9E">
              <w:rPr>
                <w:rFonts w:cs="Times New Roman"/>
                <w:b/>
                <w:szCs w:val="24"/>
              </w:rPr>
              <w:t xml:space="preserve"> </w:t>
            </w:r>
            <w:r w:rsidR="00AA7C58">
              <w:rPr>
                <w:rFonts w:cs="Times New Roman"/>
                <w:b/>
                <w:szCs w:val="24"/>
              </w:rPr>
              <w:t>(b)</w:t>
            </w:r>
            <w:r w:rsidR="00BF5D9E">
              <w:rPr>
                <w:rFonts w:cs="Times New Roman"/>
                <w:b/>
                <w:szCs w:val="24"/>
              </w:rPr>
              <w:t xml:space="preserve"> and (c)</w:t>
            </w:r>
          </w:p>
        </w:tc>
      </w:tr>
      <w:tr w:rsidR="00087833" w:rsidRPr="00432C28">
        <w:tc>
          <w:tcPr>
            <w:tcW w:w="0" w:type="auto"/>
          </w:tcPr>
          <w:p w:rsidR="0051328B" w:rsidRPr="00432C28" w:rsidRDefault="001C59A7" w:rsidP="004D621A">
            <w:pPr>
              <w:rPr>
                <w:rFonts w:cs="Times New Roman"/>
                <w:szCs w:val="24"/>
              </w:rPr>
            </w:pPr>
            <w:r w:rsidRPr="00432C28">
              <w:rPr>
                <w:rFonts w:cs="Times New Roman"/>
                <w:szCs w:val="24"/>
              </w:rPr>
              <w:t xml:space="preserve">The Company will consult with the DSM Advisory Group on </w:t>
            </w:r>
            <w:r w:rsidR="003F0444">
              <w:rPr>
                <w:rFonts w:cs="Times New Roman"/>
                <w:szCs w:val="24"/>
              </w:rPr>
              <w:t>m</w:t>
            </w:r>
            <w:r w:rsidR="003F0444" w:rsidRPr="003F0444">
              <w:rPr>
                <w:rFonts w:cs="Times New Roman"/>
                <w:szCs w:val="24"/>
              </w:rPr>
              <w:t>odification of existing or development of new evaluation, measurement, and verification (EM&amp;V) conservation protocols based on PacifiCorp’s current evaluation, measurement and verification approach.</w:t>
            </w:r>
          </w:p>
        </w:tc>
        <w:tc>
          <w:tcPr>
            <w:tcW w:w="0" w:type="auto"/>
          </w:tcPr>
          <w:p w:rsidR="0051328B" w:rsidRPr="003F0444" w:rsidRDefault="001C59A7" w:rsidP="004D621A">
            <w:pPr>
              <w:rPr>
                <w:rFonts w:cs="Times New Roman"/>
                <w:szCs w:val="24"/>
                <w:highlight w:val="yellow"/>
              </w:rPr>
            </w:pPr>
            <w:r w:rsidRPr="00F82BAF">
              <w:rPr>
                <w:rFonts w:cs="Times New Roman"/>
                <w:szCs w:val="24"/>
              </w:rPr>
              <w:t xml:space="preserve">The development of a written EM&amp;V framework in collaboration with the DSM Advisory Group is described in this Conservation Plan in the section entitled “Utility Evaluation, Measurement and Verification Activities”; a copy of the EM&amp;V framework is provided </w:t>
            </w:r>
            <w:r w:rsidR="002866E0" w:rsidRPr="00F82BAF">
              <w:rPr>
                <w:rFonts w:cs="Times New Roman"/>
                <w:szCs w:val="24"/>
              </w:rPr>
              <w:t>as</w:t>
            </w:r>
            <w:r w:rsidRPr="00F82BAF">
              <w:rPr>
                <w:rFonts w:cs="Times New Roman"/>
                <w:szCs w:val="24"/>
              </w:rPr>
              <w:t xml:space="preserve"> Appendix </w:t>
            </w:r>
            <w:r w:rsidRPr="00213EFE">
              <w:rPr>
                <w:rFonts w:cs="Times New Roman"/>
                <w:szCs w:val="24"/>
              </w:rPr>
              <w:t>8</w:t>
            </w:r>
            <w:r w:rsidR="002866E0" w:rsidRPr="00F82BAF">
              <w:rPr>
                <w:rFonts w:cs="Times New Roman"/>
                <w:szCs w:val="24"/>
              </w:rPr>
              <w:t xml:space="preserve"> to this report</w:t>
            </w:r>
            <w:r w:rsidRPr="00F82BAF">
              <w:rPr>
                <w:rFonts w:cs="Times New Roman"/>
                <w:szCs w:val="24"/>
              </w:rPr>
              <w:t>.</w:t>
            </w:r>
          </w:p>
        </w:tc>
      </w:tr>
      <w:tr w:rsidR="00684148" w:rsidRPr="00432C28" w:rsidTr="002E6C6E">
        <w:trPr>
          <w:trHeight w:val="170"/>
        </w:trPr>
        <w:tc>
          <w:tcPr>
            <w:tcW w:w="0" w:type="auto"/>
            <w:gridSpan w:val="2"/>
          </w:tcPr>
          <w:p w:rsidR="00684148" w:rsidRPr="00432C28" w:rsidRDefault="00684148" w:rsidP="005A35F0">
            <w:pPr>
              <w:rPr>
                <w:rFonts w:cs="Times New Roman"/>
                <w:b/>
                <w:szCs w:val="24"/>
              </w:rPr>
            </w:pPr>
            <w:r w:rsidRPr="00432C28">
              <w:rPr>
                <w:rFonts w:cs="Times New Roman"/>
                <w:b/>
                <w:szCs w:val="24"/>
              </w:rPr>
              <w:t>Docket UE-</w:t>
            </w:r>
            <w:r w:rsidR="003F0444">
              <w:rPr>
                <w:rFonts w:cs="Times New Roman"/>
                <w:b/>
                <w:szCs w:val="24"/>
              </w:rPr>
              <w:t>1</w:t>
            </w:r>
            <w:r w:rsidR="001625CA">
              <w:rPr>
                <w:rFonts w:cs="Times New Roman"/>
                <w:b/>
                <w:szCs w:val="24"/>
              </w:rPr>
              <w:t>32047</w:t>
            </w:r>
            <w:r w:rsidR="003F0444">
              <w:rPr>
                <w:rFonts w:cs="Times New Roman"/>
                <w:b/>
                <w:szCs w:val="24"/>
              </w:rPr>
              <w:t xml:space="preserve"> Order 01</w:t>
            </w:r>
            <w:r w:rsidRPr="00432C28">
              <w:rPr>
                <w:rFonts w:cs="Times New Roman"/>
                <w:b/>
                <w:szCs w:val="24"/>
              </w:rPr>
              <w:t xml:space="preserve"> (3) (a) (ii)</w:t>
            </w:r>
            <w:r w:rsidR="00AA7C58">
              <w:rPr>
                <w:rFonts w:cs="Times New Roman"/>
                <w:b/>
                <w:szCs w:val="24"/>
              </w:rPr>
              <w:t xml:space="preserve"> &amp; WAC 480-109-110</w:t>
            </w:r>
            <w:r w:rsidR="00A92CAC">
              <w:rPr>
                <w:rFonts w:cs="Times New Roman"/>
                <w:b/>
                <w:szCs w:val="24"/>
              </w:rPr>
              <w:t xml:space="preserve"> </w:t>
            </w:r>
            <w:r w:rsidR="00AA7C58">
              <w:rPr>
                <w:rFonts w:cs="Times New Roman"/>
                <w:b/>
                <w:szCs w:val="24"/>
              </w:rPr>
              <w:t>(1)</w:t>
            </w:r>
            <w:r w:rsidR="00A92CAC">
              <w:rPr>
                <w:rFonts w:cs="Times New Roman"/>
                <w:b/>
                <w:szCs w:val="24"/>
              </w:rPr>
              <w:t xml:space="preserve"> </w:t>
            </w:r>
            <w:r w:rsidR="00AA7C58">
              <w:rPr>
                <w:rFonts w:cs="Times New Roman"/>
                <w:b/>
                <w:szCs w:val="24"/>
              </w:rPr>
              <w:t>(e)</w:t>
            </w:r>
          </w:p>
        </w:tc>
      </w:tr>
      <w:tr w:rsidR="00087833" w:rsidRPr="00432C28">
        <w:trPr>
          <w:trHeight w:val="395"/>
        </w:trPr>
        <w:tc>
          <w:tcPr>
            <w:tcW w:w="0" w:type="auto"/>
          </w:tcPr>
          <w:p w:rsidR="0051328B" w:rsidRDefault="00684148" w:rsidP="004D621A">
            <w:pPr>
              <w:rPr>
                <w:rFonts w:cs="Times New Roman"/>
              </w:rPr>
            </w:pPr>
            <w:r w:rsidRPr="00432C28">
              <w:rPr>
                <w:rFonts w:cs="Times New Roman"/>
                <w:szCs w:val="24"/>
              </w:rPr>
              <w:t>The Company will consult with the DSM Advisory Group</w:t>
            </w:r>
            <w:r w:rsidRPr="00432C28">
              <w:rPr>
                <w:rFonts w:cs="Times New Roman"/>
              </w:rPr>
              <w:t xml:space="preserve"> on development of conservation potential assessments under RCW 19.285.040(1</w:t>
            </w:r>
            <w:r w:rsidR="00863D95" w:rsidRPr="00432C28">
              <w:rPr>
                <w:rFonts w:cs="Times New Roman"/>
              </w:rPr>
              <w:t>) (</w:t>
            </w:r>
            <w:r w:rsidRPr="00432C28">
              <w:rPr>
                <w:rFonts w:cs="Times New Roman"/>
              </w:rPr>
              <w:t>a) and WAC 480</w:t>
            </w:r>
            <w:r w:rsidRPr="00432C28">
              <w:rPr>
                <w:rFonts w:cs="Times New Roman"/>
              </w:rPr>
              <w:noBreakHyphen/>
              <w:t>109</w:t>
            </w:r>
            <w:r w:rsidRPr="00432C28">
              <w:rPr>
                <w:rFonts w:cs="Times New Roman"/>
              </w:rPr>
              <w:noBreakHyphen/>
            </w:r>
            <w:r w:rsidR="00863D95">
              <w:rPr>
                <w:rFonts w:cs="Times New Roman"/>
              </w:rPr>
              <w:t>100 (</w:t>
            </w:r>
            <w:r w:rsidR="00AA7C58">
              <w:rPr>
                <w:rFonts w:cs="Times New Roman"/>
              </w:rPr>
              <w:t>2)</w:t>
            </w:r>
            <w:r w:rsidRPr="00432C28">
              <w:rPr>
                <w:rFonts w:cs="Times New Roman"/>
              </w:rPr>
              <w:t>.</w:t>
            </w:r>
          </w:p>
          <w:p w:rsidR="001015E5" w:rsidRPr="00432C28" w:rsidRDefault="001015E5" w:rsidP="004D621A">
            <w:pPr>
              <w:rPr>
                <w:rFonts w:cs="Times New Roman"/>
                <w:b/>
                <w:szCs w:val="24"/>
              </w:rPr>
            </w:pPr>
          </w:p>
        </w:tc>
        <w:tc>
          <w:tcPr>
            <w:tcW w:w="0" w:type="auto"/>
          </w:tcPr>
          <w:p w:rsidR="0051328B" w:rsidRPr="00432C28" w:rsidRDefault="004E16A1" w:rsidP="004D621A">
            <w:pPr>
              <w:rPr>
                <w:rFonts w:cs="Times New Roman"/>
                <w:szCs w:val="24"/>
              </w:rPr>
            </w:pPr>
            <w:r>
              <w:rPr>
                <w:rFonts w:cs="Times New Roman"/>
                <w:szCs w:val="24"/>
              </w:rPr>
              <w:t>The DSM Advisory G</w:t>
            </w:r>
            <w:r w:rsidR="000E6C43" w:rsidRPr="00432C28">
              <w:rPr>
                <w:rFonts w:cs="Times New Roman"/>
                <w:szCs w:val="24"/>
              </w:rPr>
              <w:t xml:space="preserve">roup was consulted in </w:t>
            </w:r>
            <w:r w:rsidR="00AA7C58">
              <w:rPr>
                <w:rFonts w:cs="Times New Roman"/>
                <w:szCs w:val="24"/>
              </w:rPr>
              <w:t xml:space="preserve">the preparatory work for the 2015 Conservation Potential Assessment, </w:t>
            </w:r>
            <w:r w:rsidR="007E0F4C">
              <w:rPr>
                <w:rFonts w:cs="Times New Roman"/>
                <w:szCs w:val="24"/>
              </w:rPr>
              <w:t xml:space="preserve">participated in the </w:t>
            </w:r>
            <w:r w:rsidR="00AA7C58">
              <w:rPr>
                <w:rFonts w:cs="Times New Roman"/>
                <w:szCs w:val="24"/>
              </w:rPr>
              <w:t>2015 IRP public process,</w:t>
            </w:r>
            <w:r w:rsidR="007E0F4C">
              <w:rPr>
                <w:rFonts w:cs="Times New Roman"/>
                <w:szCs w:val="24"/>
              </w:rPr>
              <w:t xml:space="preserve"> was consulted on the</w:t>
            </w:r>
            <w:r w:rsidR="00AA7C58">
              <w:rPr>
                <w:rFonts w:cs="Times New Roman"/>
                <w:szCs w:val="24"/>
              </w:rPr>
              <w:t xml:space="preserve"> </w:t>
            </w:r>
            <w:r w:rsidR="000E6C43" w:rsidRPr="00432C28">
              <w:rPr>
                <w:rFonts w:cs="Times New Roman"/>
                <w:szCs w:val="24"/>
              </w:rPr>
              <w:t xml:space="preserve">adjustments to the </w:t>
            </w:r>
            <w:r w:rsidR="003F0444">
              <w:rPr>
                <w:rFonts w:cs="Times New Roman"/>
                <w:szCs w:val="24"/>
              </w:rPr>
              <w:t>201</w:t>
            </w:r>
            <w:r w:rsidR="00AA7C58">
              <w:rPr>
                <w:rFonts w:cs="Times New Roman"/>
                <w:szCs w:val="24"/>
              </w:rPr>
              <w:t>5</w:t>
            </w:r>
            <w:r w:rsidR="000E6C43" w:rsidRPr="00432C28">
              <w:rPr>
                <w:rFonts w:cs="Times New Roman"/>
                <w:szCs w:val="24"/>
              </w:rPr>
              <w:t xml:space="preserve"> IRP selections</w:t>
            </w:r>
            <w:r w:rsidR="00AA7C58">
              <w:rPr>
                <w:rFonts w:cs="Times New Roman"/>
                <w:szCs w:val="24"/>
              </w:rPr>
              <w:t xml:space="preserve"> (</w:t>
            </w:r>
            <w:r w:rsidR="000E6C43" w:rsidRPr="00432C28">
              <w:rPr>
                <w:rFonts w:cs="Times New Roman"/>
                <w:szCs w:val="24"/>
              </w:rPr>
              <w:t>as outlined in “Conservation Potential and Conservation Target” section of thi</w:t>
            </w:r>
            <w:r>
              <w:rPr>
                <w:rFonts w:cs="Times New Roman"/>
                <w:szCs w:val="24"/>
              </w:rPr>
              <w:t>s report</w:t>
            </w:r>
            <w:r w:rsidR="00AA7C58">
              <w:rPr>
                <w:rFonts w:cs="Times New Roman"/>
                <w:szCs w:val="24"/>
              </w:rPr>
              <w:t xml:space="preserve">) and </w:t>
            </w:r>
            <w:r w:rsidR="007E0F4C">
              <w:rPr>
                <w:rFonts w:cs="Times New Roman"/>
                <w:szCs w:val="24"/>
              </w:rPr>
              <w:t xml:space="preserve">participated in </w:t>
            </w:r>
            <w:r w:rsidR="000E6C43" w:rsidRPr="00432C28">
              <w:rPr>
                <w:rFonts w:cs="Times New Roman"/>
                <w:szCs w:val="24"/>
              </w:rPr>
              <w:t>the development of the Company’s 201</w:t>
            </w:r>
            <w:r w:rsidR="00AA7C58">
              <w:rPr>
                <w:rFonts w:cs="Times New Roman"/>
                <w:szCs w:val="24"/>
              </w:rPr>
              <w:t>6</w:t>
            </w:r>
            <w:r w:rsidR="003F0444">
              <w:rPr>
                <w:rFonts w:cs="Times New Roman"/>
                <w:szCs w:val="24"/>
              </w:rPr>
              <w:t>-202</w:t>
            </w:r>
            <w:r w:rsidR="00AA7C58">
              <w:rPr>
                <w:rFonts w:cs="Times New Roman"/>
                <w:szCs w:val="24"/>
              </w:rPr>
              <w:t>5</w:t>
            </w:r>
            <w:r w:rsidR="000E6C43" w:rsidRPr="00432C28">
              <w:rPr>
                <w:rFonts w:cs="Times New Roman"/>
                <w:szCs w:val="24"/>
              </w:rPr>
              <w:t xml:space="preserve"> conservation forecast as detailed in the “Stakeholder Engagement” </w:t>
            </w:r>
            <w:r w:rsidR="0090369D" w:rsidRPr="00432C28">
              <w:rPr>
                <w:rFonts w:cs="Times New Roman"/>
                <w:szCs w:val="24"/>
              </w:rPr>
              <w:t>section of this report</w:t>
            </w:r>
            <w:r w:rsidR="00153C4B" w:rsidRPr="00432C28">
              <w:rPr>
                <w:rFonts w:cs="Times New Roman"/>
                <w:szCs w:val="24"/>
              </w:rPr>
              <w:t>.</w:t>
            </w:r>
          </w:p>
        </w:tc>
      </w:tr>
      <w:tr w:rsidR="00E93BD3" w:rsidRPr="00432C28" w:rsidTr="002E6C6E">
        <w:trPr>
          <w:trHeight w:val="125"/>
        </w:trPr>
        <w:tc>
          <w:tcPr>
            <w:tcW w:w="0" w:type="auto"/>
            <w:gridSpan w:val="2"/>
          </w:tcPr>
          <w:p w:rsidR="00863D95" w:rsidRDefault="00863D95" w:rsidP="003D3029">
            <w:pPr>
              <w:rPr>
                <w:rFonts w:cs="Times New Roman"/>
                <w:b/>
                <w:szCs w:val="24"/>
              </w:rPr>
            </w:pPr>
          </w:p>
          <w:p w:rsidR="00863D95" w:rsidRDefault="00863D95" w:rsidP="003D3029">
            <w:pPr>
              <w:rPr>
                <w:rFonts w:cs="Times New Roman"/>
                <w:b/>
                <w:szCs w:val="24"/>
              </w:rPr>
            </w:pPr>
          </w:p>
          <w:p w:rsidR="00C47CA7" w:rsidRDefault="00C47CA7" w:rsidP="003D3029">
            <w:pPr>
              <w:rPr>
                <w:rFonts w:cs="Times New Roman"/>
                <w:b/>
                <w:szCs w:val="24"/>
              </w:rPr>
            </w:pPr>
          </w:p>
          <w:p w:rsidR="00863D95" w:rsidRDefault="00863D95" w:rsidP="003D3029">
            <w:pPr>
              <w:rPr>
                <w:rFonts w:cs="Times New Roman"/>
                <w:b/>
                <w:szCs w:val="24"/>
              </w:rPr>
            </w:pPr>
          </w:p>
          <w:p w:rsidR="00E93BD3" w:rsidRPr="00432C28" w:rsidRDefault="003F0444" w:rsidP="003D3029">
            <w:pPr>
              <w:rPr>
                <w:rFonts w:cs="Times New Roman"/>
                <w:b/>
                <w:szCs w:val="24"/>
              </w:rPr>
            </w:pPr>
            <w:r>
              <w:rPr>
                <w:rFonts w:cs="Times New Roman"/>
                <w:b/>
                <w:szCs w:val="24"/>
              </w:rPr>
              <w:t>Docket UE-</w:t>
            </w:r>
            <w:r w:rsidR="003D3029">
              <w:rPr>
                <w:rFonts w:cs="Times New Roman"/>
                <w:b/>
                <w:szCs w:val="24"/>
              </w:rPr>
              <w:t>132047</w:t>
            </w:r>
            <w:r w:rsidR="00E93BD3" w:rsidRPr="00432C28">
              <w:rPr>
                <w:rFonts w:cs="Times New Roman"/>
                <w:b/>
                <w:szCs w:val="24"/>
              </w:rPr>
              <w:t xml:space="preserve"> Order 0</w:t>
            </w:r>
            <w:r>
              <w:rPr>
                <w:rFonts w:cs="Times New Roman"/>
                <w:b/>
                <w:szCs w:val="24"/>
              </w:rPr>
              <w:t>1</w:t>
            </w:r>
            <w:r w:rsidR="00E93BD3" w:rsidRPr="00432C28">
              <w:rPr>
                <w:rFonts w:cs="Times New Roman"/>
                <w:b/>
                <w:szCs w:val="24"/>
              </w:rPr>
              <w:t xml:space="preserve"> (3) (c)</w:t>
            </w:r>
            <w:r w:rsidR="00090536">
              <w:rPr>
                <w:rFonts w:cs="Times New Roman"/>
                <w:b/>
                <w:szCs w:val="24"/>
              </w:rPr>
              <w:t xml:space="preserve"> &amp; WAC</w:t>
            </w:r>
            <w:r w:rsidR="00087833">
              <w:rPr>
                <w:rFonts w:cs="Times New Roman"/>
                <w:b/>
                <w:szCs w:val="24"/>
              </w:rPr>
              <w:t xml:space="preserve"> 480-110-110 (2)</w:t>
            </w:r>
          </w:p>
        </w:tc>
      </w:tr>
      <w:tr w:rsidR="00087833" w:rsidRPr="00432C28">
        <w:tc>
          <w:tcPr>
            <w:tcW w:w="0" w:type="auto"/>
          </w:tcPr>
          <w:p w:rsidR="0051328B" w:rsidRPr="00432C28" w:rsidRDefault="001C59A7" w:rsidP="004D621A">
            <w:pPr>
              <w:rPr>
                <w:rFonts w:cs="Times New Roman"/>
                <w:szCs w:val="24"/>
              </w:rPr>
            </w:pPr>
            <w:r w:rsidRPr="00432C28">
              <w:rPr>
                <w:rFonts w:cs="Times New Roman"/>
                <w:szCs w:val="24"/>
              </w:rPr>
              <w:t>The Advisory Group should meet quarterly at a minimum.</w:t>
            </w:r>
          </w:p>
        </w:tc>
        <w:tc>
          <w:tcPr>
            <w:tcW w:w="0" w:type="auto"/>
          </w:tcPr>
          <w:p w:rsidR="0051328B" w:rsidRPr="00432C28" w:rsidRDefault="001C59A7" w:rsidP="004D621A">
            <w:pPr>
              <w:rPr>
                <w:rFonts w:cs="Times New Roman"/>
                <w:szCs w:val="24"/>
              </w:rPr>
            </w:pPr>
            <w:r w:rsidRPr="00432C28">
              <w:rPr>
                <w:rFonts w:cs="Times New Roman"/>
                <w:szCs w:val="24"/>
              </w:rPr>
              <w:t xml:space="preserve">A list of </w:t>
            </w:r>
            <w:r w:rsidR="00090536">
              <w:rPr>
                <w:rFonts w:cs="Times New Roman"/>
                <w:szCs w:val="24"/>
              </w:rPr>
              <w:t xml:space="preserve">the relevant </w:t>
            </w:r>
            <w:r w:rsidR="00DA78AB">
              <w:rPr>
                <w:rFonts w:cs="Times New Roman"/>
                <w:szCs w:val="24"/>
              </w:rPr>
              <w:t>201</w:t>
            </w:r>
            <w:r w:rsidR="00090536">
              <w:rPr>
                <w:rFonts w:cs="Times New Roman"/>
                <w:szCs w:val="24"/>
              </w:rPr>
              <w:t>4 and 2015</w:t>
            </w:r>
            <w:r w:rsidR="00DA78AB">
              <w:rPr>
                <w:rFonts w:cs="Times New Roman"/>
                <w:szCs w:val="24"/>
              </w:rPr>
              <w:t xml:space="preserve"> Advisory Group meetings</w:t>
            </w:r>
            <w:r w:rsidR="006F149B">
              <w:rPr>
                <w:rFonts w:cs="Times New Roman"/>
                <w:szCs w:val="24"/>
              </w:rPr>
              <w:t xml:space="preserve"> </w:t>
            </w:r>
            <w:r w:rsidR="00090536">
              <w:rPr>
                <w:rFonts w:cs="Times New Roman"/>
                <w:szCs w:val="24"/>
              </w:rPr>
              <w:t xml:space="preserve">and IRP Public Input meetings </w:t>
            </w:r>
            <w:r w:rsidR="00863D95">
              <w:rPr>
                <w:rFonts w:cs="Times New Roman"/>
                <w:szCs w:val="24"/>
              </w:rPr>
              <w:t>are</w:t>
            </w:r>
            <w:r w:rsidRPr="00432C28">
              <w:rPr>
                <w:rFonts w:cs="Times New Roman"/>
                <w:szCs w:val="24"/>
              </w:rPr>
              <w:t xml:space="preserve"> provided in this </w:t>
            </w:r>
            <w:r w:rsidR="00863D95">
              <w:rPr>
                <w:rFonts w:cs="Times New Roman"/>
                <w:szCs w:val="24"/>
              </w:rPr>
              <w:t>biennial conservation plan</w:t>
            </w:r>
            <w:r w:rsidRPr="00432C28">
              <w:rPr>
                <w:rFonts w:cs="Times New Roman"/>
                <w:szCs w:val="24"/>
              </w:rPr>
              <w:t xml:space="preserve"> in the section entitled “Stakeholder Engagement”.</w:t>
            </w:r>
            <w:r w:rsidR="00C47CA7">
              <w:rPr>
                <w:rFonts w:cs="Times New Roman"/>
                <w:szCs w:val="24"/>
              </w:rPr>
              <w:t xml:space="preserve"> To date the DSM advisory group has met its required 4 times in 2015 however in total there have been 6 relevant advisory group meetings including meetings in 2014 and 7 IRP public input meetings held in which information relevant to the preparation of this report was discussed. </w:t>
            </w:r>
          </w:p>
        </w:tc>
      </w:tr>
      <w:tr w:rsidR="00090536" w:rsidRPr="00432C28" w:rsidTr="00365032">
        <w:tc>
          <w:tcPr>
            <w:tcW w:w="0" w:type="auto"/>
            <w:gridSpan w:val="2"/>
          </w:tcPr>
          <w:p w:rsidR="00090536" w:rsidRPr="00432C28" w:rsidRDefault="00090536" w:rsidP="00090536">
            <w:pPr>
              <w:rPr>
                <w:rFonts w:cs="Times New Roman"/>
                <w:szCs w:val="24"/>
              </w:rPr>
            </w:pPr>
            <w:r>
              <w:rPr>
                <w:rFonts w:cs="Times New Roman"/>
                <w:b/>
                <w:szCs w:val="24"/>
              </w:rPr>
              <w:t>Docket UE-132047</w:t>
            </w:r>
            <w:r w:rsidRPr="00432C28">
              <w:rPr>
                <w:rFonts w:cs="Times New Roman"/>
                <w:b/>
                <w:szCs w:val="24"/>
              </w:rPr>
              <w:t xml:space="preserve"> Order 0</w:t>
            </w:r>
            <w:r>
              <w:rPr>
                <w:rFonts w:cs="Times New Roman"/>
                <w:b/>
                <w:szCs w:val="24"/>
              </w:rPr>
              <w:t>1</w:t>
            </w:r>
            <w:r w:rsidRPr="00432C28">
              <w:rPr>
                <w:rFonts w:cs="Times New Roman"/>
                <w:b/>
                <w:szCs w:val="24"/>
              </w:rPr>
              <w:t xml:space="preserve"> (3) (</w:t>
            </w:r>
            <w:r>
              <w:rPr>
                <w:rFonts w:cs="Times New Roman"/>
                <w:b/>
                <w:szCs w:val="24"/>
              </w:rPr>
              <w:t>e</w:t>
            </w:r>
            <w:r w:rsidRPr="00432C28">
              <w:rPr>
                <w:rFonts w:cs="Times New Roman"/>
                <w:b/>
                <w:szCs w:val="24"/>
              </w:rPr>
              <w:t>)</w:t>
            </w:r>
            <w:r>
              <w:rPr>
                <w:rFonts w:cs="Times New Roman"/>
                <w:b/>
                <w:szCs w:val="24"/>
              </w:rPr>
              <w:t xml:space="preserve"> &amp; WAC 480-109-</w:t>
            </w:r>
            <w:r w:rsidR="00F4342A">
              <w:rPr>
                <w:rFonts w:cs="Times New Roman"/>
                <w:b/>
                <w:szCs w:val="24"/>
              </w:rPr>
              <w:t>110 (4)</w:t>
            </w:r>
          </w:p>
        </w:tc>
      </w:tr>
      <w:tr w:rsidR="00AC4D25" w:rsidRPr="00432C28">
        <w:tc>
          <w:tcPr>
            <w:tcW w:w="0" w:type="auto"/>
          </w:tcPr>
          <w:p w:rsidR="003A0963" w:rsidRDefault="00090536" w:rsidP="004D621A">
            <w:pPr>
              <w:rPr>
                <w:rFonts w:cs="Times New Roman"/>
                <w:szCs w:val="24"/>
              </w:rPr>
            </w:pPr>
            <w:r>
              <w:rPr>
                <w:rFonts w:cs="Times New Roman"/>
                <w:szCs w:val="24"/>
              </w:rPr>
              <w:t>Company will notify the Advisory Group of pu</w:t>
            </w:r>
            <w:r w:rsidR="00DD4329">
              <w:rPr>
                <w:rFonts w:cs="Times New Roman"/>
                <w:szCs w:val="24"/>
              </w:rPr>
              <w:t>b</w:t>
            </w:r>
            <w:r>
              <w:rPr>
                <w:rFonts w:cs="Times New Roman"/>
                <w:szCs w:val="24"/>
              </w:rPr>
              <w:t>lic meetings scheduled to address the Company’s integrated resource plan</w:t>
            </w:r>
            <w:r w:rsidR="00AC4D25">
              <w:rPr>
                <w:rFonts w:cs="Times New Roman"/>
                <w:szCs w:val="24"/>
              </w:rPr>
              <w:t xml:space="preserve"> and provide relevant assumptions and information utilized in the development of the integrated resource plan as they apply to development and/or modification of the ten-year conservation potential.  </w:t>
            </w:r>
          </w:p>
          <w:p w:rsidR="00090536" w:rsidRPr="00432C28" w:rsidRDefault="00AC4D25" w:rsidP="004D621A">
            <w:pPr>
              <w:rPr>
                <w:rFonts w:cs="Times New Roman"/>
                <w:szCs w:val="24"/>
              </w:rPr>
            </w:pPr>
            <w:r>
              <w:rPr>
                <w:rFonts w:cs="Times New Roman"/>
                <w:szCs w:val="24"/>
              </w:rPr>
              <w:t xml:space="preserve"> </w:t>
            </w:r>
          </w:p>
        </w:tc>
        <w:tc>
          <w:tcPr>
            <w:tcW w:w="0" w:type="auto"/>
          </w:tcPr>
          <w:p w:rsidR="00090536" w:rsidRPr="00432C28" w:rsidRDefault="00AC4D25" w:rsidP="004D621A">
            <w:pPr>
              <w:rPr>
                <w:rFonts w:cs="Times New Roman"/>
                <w:szCs w:val="24"/>
              </w:rPr>
            </w:pPr>
            <w:r>
              <w:rPr>
                <w:rFonts w:cs="Times New Roman"/>
                <w:szCs w:val="24"/>
              </w:rPr>
              <w:t xml:space="preserve">Upon the issuance of Order 01 in Docket UE-132047 </w:t>
            </w:r>
            <w:r w:rsidR="00C47CA7">
              <w:rPr>
                <w:rFonts w:cs="Times New Roman"/>
                <w:szCs w:val="24"/>
              </w:rPr>
              <w:t xml:space="preserve">the Company confirmed that </w:t>
            </w:r>
            <w:r w:rsidR="00087833">
              <w:rPr>
                <w:rFonts w:cs="Times New Roman"/>
                <w:szCs w:val="24"/>
              </w:rPr>
              <w:t xml:space="preserve">all </w:t>
            </w:r>
            <w:r>
              <w:rPr>
                <w:rFonts w:cs="Times New Roman"/>
                <w:szCs w:val="24"/>
              </w:rPr>
              <w:t xml:space="preserve">members of the Company’s DSM Advisory Group </w:t>
            </w:r>
            <w:r w:rsidR="00087833">
              <w:rPr>
                <w:rFonts w:cs="Times New Roman"/>
                <w:szCs w:val="24"/>
              </w:rPr>
              <w:t xml:space="preserve">were </w:t>
            </w:r>
            <w:r w:rsidR="00C47CA7">
              <w:rPr>
                <w:rFonts w:cs="Times New Roman"/>
                <w:szCs w:val="24"/>
              </w:rPr>
              <w:t xml:space="preserve">included on </w:t>
            </w:r>
            <w:r w:rsidR="00087833">
              <w:rPr>
                <w:rFonts w:cs="Times New Roman"/>
                <w:szCs w:val="24"/>
              </w:rPr>
              <w:t xml:space="preserve">the Company’s </w:t>
            </w:r>
            <w:r>
              <w:rPr>
                <w:rFonts w:cs="Times New Roman"/>
                <w:szCs w:val="24"/>
              </w:rPr>
              <w:t xml:space="preserve">IRP stakeholder </w:t>
            </w:r>
            <w:r w:rsidR="00087833">
              <w:rPr>
                <w:rFonts w:cs="Times New Roman"/>
                <w:szCs w:val="24"/>
              </w:rPr>
              <w:t xml:space="preserve">contact/email </w:t>
            </w:r>
            <w:r>
              <w:rPr>
                <w:rFonts w:cs="Times New Roman"/>
                <w:szCs w:val="24"/>
              </w:rPr>
              <w:t>list</w:t>
            </w:r>
            <w:r w:rsidR="00087833">
              <w:rPr>
                <w:rFonts w:cs="Times New Roman"/>
                <w:szCs w:val="24"/>
              </w:rPr>
              <w:t xml:space="preserve">. </w:t>
            </w:r>
            <w:r>
              <w:rPr>
                <w:rFonts w:cs="Times New Roman"/>
                <w:szCs w:val="24"/>
              </w:rPr>
              <w:t xml:space="preserve">See section entitled “Stakeholder Engagement” in this </w:t>
            </w:r>
            <w:r w:rsidR="00087833">
              <w:rPr>
                <w:rFonts w:cs="Times New Roman"/>
                <w:szCs w:val="24"/>
              </w:rPr>
              <w:t>Conservation Plan</w:t>
            </w:r>
            <w:r>
              <w:rPr>
                <w:rFonts w:cs="Times New Roman"/>
                <w:szCs w:val="24"/>
              </w:rPr>
              <w:t xml:space="preserve"> for</w:t>
            </w:r>
            <w:r w:rsidR="00087833">
              <w:rPr>
                <w:rFonts w:cs="Times New Roman"/>
                <w:szCs w:val="24"/>
              </w:rPr>
              <w:t xml:space="preserve"> the</w:t>
            </w:r>
            <w:r>
              <w:rPr>
                <w:rFonts w:cs="Times New Roman"/>
                <w:szCs w:val="24"/>
              </w:rPr>
              <w:t xml:space="preserve"> list of meetings</w:t>
            </w:r>
            <w:r w:rsidR="00087833">
              <w:rPr>
                <w:rFonts w:cs="Times New Roman"/>
                <w:szCs w:val="24"/>
              </w:rPr>
              <w:t xml:space="preserve"> where information relevant to the </w:t>
            </w:r>
            <w:r>
              <w:rPr>
                <w:rFonts w:cs="Times New Roman"/>
                <w:szCs w:val="24"/>
              </w:rPr>
              <w:t>development of the ten-year conservation potential</w:t>
            </w:r>
            <w:r w:rsidR="00087833">
              <w:rPr>
                <w:rFonts w:cs="Times New Roman"/>
                <w:szCs w:val="24"/>
              </w:rPr>
              <w:t xml:space="preserve"> was presented</w:t>
            </w:r>
            <w:r>
              <w:rPr>
                <w:rFonts w:cs="Times New Roman"/>
                <w:szCs w:val="24"/>
              </w:rPr>
              <w:t>.</w:t>
            </w:r>
          </w:p>
        </w:tc>
      </w:tr>
      <w:tr w:rsidR="003A0963" w:rsidRPr="00432C28" w:rsidTr="00365032">
        <w:tc>
          <w:tcPr>
            <w:tcW w:w="0" w:type="auto"/>
            <w:gridSpan w:val="2"/>
          </w:tcPr>
          <w:p w:rsidR="003A0963" w:rsidRDefault="003A0963" w:rsidP="003A0963">
            <w:pPr>
              <w:rPr>
                <w:rFonts w:cs="Times New Roman"/>
                <w:szCs w:val="24"/>
              </w:rPr>
            </w:pPr>
            <w:r>
              <w:rPr>
                <w:rFonts w:cs="Times New Roman"/>
                <w:b/>
                <w:szCs w:val="24"/>
              </w:rPr>
              <w:t>Docket UE-132047</w:t>
            </w:r>
            <w:r w:rsidRPr="00432C28">
              <w:rPr>
                <w:rFonts w:cs="Times New Roman"/>
                <w:b/>
                <w:szCs w:val="24"/>
              </w:rPr>
              <w:t xml:space="preserve"> Order 0</w:t>
            </w:r>
            <w:r>
              <w:rPr>
                <w:rFonts w:cs="Times New Roman"/>
                <w:b/>
                <w:szCs w:val="24"/>
              </w:rPr>
              <w:t>1</w:t>
            </w:r>
            <w:r w:rsidRPr="00432C28">
              <w:rPr>
                <w:rFonts w:cs="Times New Roman"/>
                <w:b/>
                <w:szCs w:val="24"/>
              </w:rPr>
              <w:t xml:space="preserve"> (</w:t>
            </w:r>
            <w:r>
              <w:rPr>
                <w:rFonts w:cs="Times New Roman"/>
                <w:b/>
                <w:szCs w:val="24"/>
              </w:rPr>
              <w:t>4</w:t>
            </w:r>
            <w:r w:rsidRPr="00432C28">
              <w:rPr>
                <w:rFonts w:cs="Times New Roman"/>
                <w:b/>
                <w:szCs w:val="24"/>
              </w:rPr>
              <w:t xml:space="preserve">) </w:t>
            </w:r>
          </w:p>
        </w:tc>
      </w:tr>
      <w:tr w:rsidR="003A0963" w:rsidRPr="00432C28">
        <w:tc>
          <w:tcPr>
            <w:tcW w:w="0" w:type="auto"/>
          </w:tcPr>
          <w:p w:rsidR="003A0963" w:rsidRDefault="003A0963" w:rsidP="004D621A">
            <w:pPr>
              <w:rPr>
                <w:rFonts w:cs="Times New Roman"/>
                <w:szCs w:val="24"/>
              </w:rPr>
            </w:pPr>
            <w:r>
              <w:rPr>
                <w:rFonts w:cs="Times New Roman"/>
                <w:szCs w:val="24"/>
              </w:rPr>
              <w:t>The Company must provide “Annual Budgets and Energy Savings” (planned budgets and savings)</w:t>
            </w:r>
            <w:r w:rsidR="00F11341">
              <w:rPr>
                <w:rFonts w:cs="Times New Roman"/>
                <w:szCs w:val="24"/>
              </w:rPr>
              <w:t>.</w:t>
            </w:r>
          </w:p>
        </w:tc>
        <w:tc>
          <w:tcPr>
            <w:tcW w:w="0" w:type="auto"/>
          </w:tcPr>
          <w:p w:rsidR="003A0963" w:rsidRDefault="003A0963" w:rsidP="004D621A">
            <w:pPr>
              <w:rPr>
                <w:rFonts w:cs="Times New Roman"/>
                <w:szCs w:val="24"/>
              </w:rPr>
            </w:pPr>
            <w:r w:rsidRPr="00432C28">
              <w:rPr>
                <w:rFonts w:cs="Times New Roman"/>
                <w:szCs w:val="24"/>
              </w:rPr>
              <w:t>See Appendix 7 to this report, “PacifiCorp’s Washin</w:t>
            </w:r>
            <w:r>
              <w:rPr>
                <w:rFonts w:cs="Times New Roman"/>
                <w:szCs w:val="24"/>
              </w:rPr>
              <w:t xml:space="preserve">gton Demand-side Management 2016-2017 </w:t>
            </w:r>
            <w:r w:rsidRPr="00432C28">
              <w:rPr>
                <w:rFonts w:cs="Times New Roman"/>
                <w:szCs w:val="24"/>
              </w:rPr>
              <w:t>Business Plan.”</w:t>
            </w:r>
          </w:p>
        </w:tc>
      </w:tr>
    </w:tbl>
    <w:p w:rsidR="0051328B" w:rsidRPr="00432C28" w:rsidRDefault="0051328B" w:rsidP="0051328B">
      <w:pPr>
        <w:rPr>
          <w:rFonts w:cs="Times New Roman"/>
        </w:rPr>
      </w:pPr>
    </w:p>
    <w:tbl>
      <w:tblPr>
        <w:tblStyle w:val="TableGrid"/>
        <w:tblW w:w="0" w:type="auto"/>
        <w:tblLook w:val="04A0" w:firstRow="1" w:lastRow="0" w:firstColumn="1" w:lastColumn="0" w:noHBand="0" w:noVBand="1"/>
      </w:tblPr>
      <w:tblGrid>
        <w:gridCol w:w="4427"/>
        <w:gridCol w:w="5149"/>
      </w:tblGrid>
      <w:tr w:rsidR="00E93BD3" w:rsidRPr="00432C28" w:rsidTr="002E6C6E">
        <w:trPr>
          <w:trHeight w:val="51"/>
        </w:trPr>
        <w:tc>
          <w:tcPr>
            <w:tcW w:w="0" w:type="auto"/>
            <w:gridSpan w:val="2"/>
          </w:tcPr>
          <w:p w:rsidR="0051328B" w:rsidRPr="00432C28" w:rsidRDefault="00E93BD3" w:rsidP="00090536">
            <w:pPr>
              <w:rPr>
                <w:rFonts w:cs="Times New Roman"/>
                <w:b/>
                <w:szCs w:val="24"/>
              </w:rPr>
            </w:pPr>
            <w:r w:rsidRPr="00432C28">
              <w:rPr>
                <w:rFonts w:cs="Times New Roman"/>
                <w:b/>
                <w:szCs w:val="24"/>
              </w:rPr>
              <w:t>Docket UE-</w:t>
            </w:r>
            <w:r w:rsidR="003F0444">
              <w:rPr>
                <w:rFonts w:cs="Times New Roman"/>
                <w:b/>
                <w:szCs w:val="24"/>
              </w:rPr>
              <w:t>1</w:t>
            </w:r>
            <w:r w:rsidR="00090536">
              <w:rPr>
                <w:rFonts w:cs="Times New Roman"/>
                <w:b/>
                <w:szCs w:val="24"/>
              </w:rPr>
              <w:t>32047</w:t>
            </w:r>
            <w:r w:rsidR="003F0444">
              <w:rPr>
                <w:rFonts w:cs="Times New Roman"/>
                <w:b/>
                <w:szCs w:val="24"/>
              </w:rPr>
              <w:t xml:space="preserve"> Order 01</w:t>
            </w:r>
            <w:r w:rsidRPr="00432C28">
              <w:rPr>
                <w:rFonts w:cs="Times New Roman"/>
                <w:b/>
                <w:szCs w:val="24"/>
              </w:rPr>
              <w:t xml:space="preserve"> (5)</w:t>
            </w:r>
          </w:p>
        </w:tc>
      </w:tr>
      <w:tr w:rsidR="00C62892" w:rsidRPr="00432C28">
        <w:tc>
          <w:tcPr>
            <w:tcW w:w="0" w:type="auto"/>
          </w:tcPr>
          <w:p w:rsidR="0051328B" w:rsidRPr="00432C28" w:rsidRDefault="001C59A7" w:rsidP="004D621A">
            <w:pPr>
              <w:rPr>
                <w:rFonts w:cs="Times New Roman"/>
                <w:szCs w:val="24"/>
              </w:rPr>
            </w:pPr>
            <w:r w:rsidRPr="00432C28">
              <w:rPr>
                <w:rFonts w:cs="Times New Roman"/>
                <w:szCs w:val="24"/>
              </w:rPr>
              <w:t>Company must maintain its conservation tariffs with program descriptions on file with the Commission. Program details about specific measures, incentives, and eligibility requirements must be filed as tariff attachments or as revisions to the Company DSM Business Plan.</w:t>
            </w:r>
          </w:p>
        </w:tc>
        <w:tc>
          <w:tcPr>
            <w:tcW w:w="0" w:type="auto"/>
          </w:tcPr>
          <w:p w:rsidR="0051328B" w:rsidRPr="00432C28" w:rsidRDefault="001C59A7" w:rsidP="004D621A">
            <w:pPr>
              <w:rPr>
                <w:rFonts w:cs="Times New Roman"/>
                <w:szCs w:val="24"/>
              </w:rPr>
            </w:pPr>
            <w:r w:rsidRPr="00432C28">
              <w:rPr>
                <w:rFonts w:cs="Times New Roman"/>
                <w:szCs w:val="24"/>
              </w:rPr>
              <w:t>See Appendix 7</w:t>
            </w:r>
            <w:r w:rsidR="00CD6EFF" w:rsidRPr="00432C28">
              <w:rPr>
                <w:rFonts w:cs="Times New Roman"/>
                <w:szCs w:val="24"/>
              </w:rPr>
              <w:t xml:space="preserve"> to this report</w:t>
            </w:r>
            <w:r w:rsidRPr="00432C28">
              <w:rPr>
                <w:rFonts w:cs="Times New Roman"/>
                <w:szCs w:val="24"/>
              </w:rPr>
              <w:t>, “PacifiCorp’s Washin</w:t>
            </w:r>
            <w:r w:rsidR="00DA78AB">
              <w:rPr>
                <w:rFonts w:cs="Times New Roman"/>
                <w:szCs w:val="24"/>
              </w:rPr>
              <w:t>gton Demand-side Management 201</w:t>
            </w:r>
            <w:r w:rsidR="00F11341">
              <w:rPr>
                <w:rFonts w:cs="Times New Roman"/>
                <w:szCs w:val="24"/>
              </w:rPr>
              <w:t>6</w:t>
            </w:r>
            <w:r w:rsidR="00DA78AB">
              <w:rPr>
                <w:rFonts w:cs="Times New Roman"/>
                <w:szCs w:val="24"/>
              </w:rPr>
              <w:t>-201</w:t>
            </w:r>
            <w:r w:rsidR="00F11341">
              <w:rPr>
                <w:rFonts w:cs="Times New Roman"/>
                <w:szCs w:val="24"/>
              </w:rPr>
              <w:t>7</w:t>
            </w:r>
            <w:r w:rsidR="00DA78AB">
              <w:rPr>
                <w:rFonts w:cs="Times New Roman"/>
                <w:szCs w:val="24"/>
              </w:rPr>
              <w:t xml:space="preserve"> </w:t>
            </w:r>
            <w:r w:rsidRPr="00432C28">
              <w:rPr>
                <w:rFonts w:cs="Times New Roman"/>
                <w:szCs w:val="24"/>
              </w:rPr>
              <w:t>Business Plan</w:t>
            </w:r>
            <w:r w:rsidR="00CD6EFF" w:rsidRPr="00432C28">
              <w:rPr>
                <w:rFonts w:cs="Times New Roman"/>
                <w:szCs w:val="24"/>
              </w:rPr>
              <w:t>.</w:t>
            </w:r>
            <w:r w:rsidRPr="00432C28">
              <w:rPr>
                <w:rFonts w:cs="Times New Roman"/>
                <w:szCs w:val="24"/>
              </w:rPr>
              <w:t>”</w:t>
            </w:r>
          </w:p>
        </w:tc>
      </w:tr>
      <w:tr w:rsidR="00E93BD3" w:rsidRPr="00432C28" w:rsidTr="002E6C6E">
        <w:trPr>
          <w:trHeight w:val="179"/>
        </w:trPr>
        <w:tc>
          <w:tcPr>
            <w:tcW w:w="0" w:type="auto"/>
            <w:gridSpan w:val="2"/>
          </w:tcPr>
          <w:p w:rsidR="00E93BD3" w:rsidRPr="00432C28" w:rsidRDefault="00E93BD3" w:rsidP="00A92CAC">
            <w:pPr>
              <w:rPr>
                <w:rFonts w:cs="Times New Roman"/>
                <w:b/>
                <w:szCs w:val="24"/>
              </w:rPr>
            </w:pPr>
            <w:r w:rsidRPr="00432C28">
              <w:rPr>
                <w:rFonts w:cs="Times New Roman"/>
                <w:b/>
                <w:szCs w:val="24"/>
              </w:rPr>
              <w:t>Docket UE-</w:t>
            </w:r>
            <w:r w:rsidR="00DA78AB">
              <w:rPr>
                <w:rFonts w:cs="Times New Roman"/>
                <w:b/>
                <w:szCs w:val="24"/>
              </w:rPr>
              <w:t>1</w:t>
            </w:r>
            <w:r w:rsidR="00A92CAC">
              <w:rPr>
                <w:rFonts w:cs="Times New Roman"/>
                <w:b/>
                <w:szCs w:val="24"/>
              </w:rPr>
              <w:t>32047</w:t>
            </w:r>
            <w:r w:rsidR="00DA78AB">
              <w:rPr>
                <w:rFonts w:cs="Times New Roman"/>
                <w:b/>
                <w:szCs w:val="24"/>
              </w:rPr>
              <w:t xml:space="preserve"> Order 01</w:t>
            </w:r>
            <w:r w:rsidRPr="00432C28">
              <w:rPr>
                <w:rFonts w:cs="Times New Roman"/>
                <w:b/>
                <w:szCs w:val="24"/>
              </w:rPr>
              <w:t xml:space="preserve"> (6) (b) &amp; (c)</w:t>
            </w:r>
            <w:r w:rsidR="00A92CAC">
              <w:rPr>
                <w:rFonts w:cs="Times New Roman"/>
                <w:b/>
                <w:szCs w:val="24"/>
              </w:rPr>
              <w:t xml:space="preserve"> &amp; WAC 480-109-100 (5) (a) &amp; (b)</w:t>
            </w:r>
          </w:p>
        </w:tc>
      </w:tr>
      <w:tr w:rsidR="00C62892" w:rsidRPr="00432C28">
        <w:tc>
          <w:tcPr>
            <w:tcW w:w="0" w:type="auto"/>
          </w:tcPr>
          <w:p w:rsidR="0051328B" w:rsidRPr="00432C28" w:rsidRDefault="001C59A7" w:rsidP="004D621A">
            <w:pPr>
              <w:rPr>
                <w:rFonts w:cs="Times New Roman"/>
                <w:szCs w:val="24"/>
              </w:rPr>
            </w:pPr>
            <w:r w:rsidRPr="00432C28">
              <w:rPr>
                <w:rFonts w:cs="Times New Roman"/>
                <w:szCs w:val="24"/>
              </w:rPr>
              <w:t>PacifiCorp must use RTF deemed savings or other reliable and relevant source data that has verified savings level</w:t>
            </w:r>
            <w:r w:rsidR="00CD6EFF" w:rsidRPr="00432C28">
              <w:rPr>
                <w:rFonts w:cs="Times New Roman"/>
                <w:szCs w:val="24"/>
              </w:rPr>
              <w:t>s</w:t>
            </w:r>
            <w:r w:rsidRPr="00432C28">
              <w:rPr>
                <w:rFonts w:cs="Times New Roman"/>
                <w:szCs w:val="24"/>
              </w:rPr>
              <w:t xml:space="preserve"> and be</w:t>
            </w:r>
            <w:r w:rsidR="00DA78AB">
              <w:rPr>
                <w:rFonts w:cs="Times New Roman"/>
                <w:szCs w:val="24"/>
              </w:rPr>
              <w:t>en</w:t>
            </w:r>
            <w:r w:rsidRPr="00432C28">
              <w:rPr>
                <w:rFonts w:cs="Times New Roman"/>
                <w:szCs w:val="24"/>
              </w:rPr>
              <w:t xml:space="preserve"> presented to the Advisory </w:t>
            </w:r>
            <w:r w:rsidR="00CD6EFF" w:rsidRPr="00432C28">
              <w:rPr>
                <w:rFonts w:cs="Times New Roman"/>
                <w:szCs w:val="24"/>
              </w:rPr>
              <w:t>G</w:t>
            </w:r>
            <w:r w:rsidRPr="00432C28">
              <w:rPr>
                <w:rFonts w:cs="Times New Roman"/>
                <w:szCs w:val="24"/>
              </w:rPr>
              <w:t>roup for comment.</w:t>
            </w:r>
          </w:p>
        </w:tc>
        <w:tc>
          <w:tcPr>
            <w:tcW w:w="0" w:type="auto"/>
          </w:tcPr>
          <w:p w:rsidR="0051328B" w:rsidRPr="00432C28" w:rsidRDefault="00E51CAE" w:rsidP="004D621A">
            <w:pPr>
              <w:rPr>
                <w:rFonts w:cs="Times New Roman"/>
                <w:b/>
              </w:rPr>
            </w:pPr>
            <w:r w:rsidRPr="00432C28">
              <w:rPr>
                <w:rFonts w:cs="Times New Roman"/>
              </w:rPr>
              <w:t xml:space="preserve">Data sources are outlined beginning on page </w:t>
            </w:r>
            <w:r w:rsidR="00C62892">
              <w:rPr>
                <w:rFonts w:cs="Times New Roman"/>
              </w:rPr>
              <w:t>3-1</w:t>
            </w:r>
            <w:r w:rsidRPr="00432C28">
              <w:rPr>
                <w:rFonts w:cs="Times New Roman"/>
              </w:rPr>
              <w:t xml:space="preserve"> of Volume </w:t>
            </w:r>
            <w:r w:rsidR="00C62892">
              <w:rPr>
                <w:rFonts w:cs="Times New Roman"/>
              </w:rPr>
              <w:t>2</w:t>
            </w:r>
            <w:r w:rsidRPr="00432C28">
              <w:rPr>
                <w:rFonts w:cs="Times New Roman"/>
              </w:rPr>
              <w:t xml:space="preserve"> of </w:t>
            </w:r>
            <w:r w:rsidR="001C59A7" w:rsidRPr="00432C28">
              <w:rPr>
                <w:rFonts w:cs="Times New Roman"/>
              </w:rPr>
              <w:t>“</w:t>
            </w:r>
            <w:r w:rsidR="00C62892">
              <w:rPr>
                <w:rFonts w:cs="Times New Roman"/>
              </w:rPr>
              <w:t>PacifiCorp’s Demand-Side Resource Potential Assessment For 2015-2034</w:t>
            </w:r>
            <w:r w:rsidR="001C59A7" w:rsidRPr="00432C28">
              <w:rPr>
                <w:rFonts w:cs="Times New Roman"/>
              </w:rPr>
              <w:t>”</w:t>
            </w:r>
            <w:r w:rsidR="00CD6EFF" w:rsidRPr="00432C28">
              <w:rPr>
                <w:rFonts w:cs="Times New Roman"/>
              </w:rPr>
              <w:t xml:space="preserve"> which is provided as </w:t>
            </w:r>
            <w:r w:rsidR="00CD6EFF" w:rsidRPr="00165F90">
              <w:rPr>
                <w:rFonts w:cs="Times New Roman"/>
              </w:rPr>
              <w:t xml:space="preserve">Appendix </w:t>
            </w:r>
            <w:r w:rsidR="00CD6EFF" w:rsidRPr="00213EFE">
              <w:rPr>
                <w:rFonts w:cs="Times New Roman"/>
              </w:rPr>
              <w:t>2</w:t>
            </w:r>
            <w:r w:rsidR="00CD6EFF" w:rsidRPr="00165F90">
              <w:rPr>
                <w:rFonts w:cs="Times New Roman"/>
              </w:rPr>
              <w:t xml:space="preserve"> to</w:t>
            </w:r>
            <w:r w:rsidR="00CD6EFF" w:rsidRPr="00432C28">
              <w:rPr>
                <w:rFonts w:cs="Times New Roman"/>
              </w:rPr>
              <w:t xml:space="preserve"> this </w:t>
            </w:r>
            <w:r w:rsidR="00DA1CF5">
              <w:rPr>
                <w:rFonts w:cs="Times New Roman"/>
              </w:rPr>
              <w:t>document</w:t>
            </w:r>
            <w:r w:rsidR="001C59A7" w:rsidRPr="00432C28">
              <w:rPr>
                <w:rFonts w:cs="Times New Roman"/>
              </w:rPr>
              <w:t xml:space="preserve">. </w:t>
            </w:r>
            <w:r w:rsidR="00DA78AB">
              <w:rPr>
                <w:rFonts w:cs="Times New Roman"/>
              </w:rPr>
              <w:t xml:space="preserve">Volume </w:t>
            </w:r>
            <w:r w:rsidR="00C62892">
              <w:rPr>
                <w:rFonts w:cs="Times New Roman"/>
              </w:rPr>
              <w:t>4</w:t>
            </w:r>
            <w:r w:rsidR="00DA78AB">
              <w:rPr>
                <w:rFonts w:cs="Times New Roman"/>
              </w:rPr>
              <w:t xml:space="preserve">, Appendix </w:t>
            </w:r>
            <w:r w:rsidR="00C62892">
              <w:rPr>
                <w:rFonts w:cs="Times New Roman"/>
              </w:rPr>
              <w:t>G</w:t>
            </w:r>
            <w:r w:rsidRPr="00432C28">
              <w:rPr>
                <w:rFonts w:cs="Times New Roman"/>
              </w:rPr>
              <w:t xml:space="preserve"> </w:t>
            </w:r>
            <w:r w:rsidR="005F758D" w:rsidRPr="00432C28">
              <w:rPr>
                <w:rFonts w:cs="Times New Roman"/>
              </w:rPr>
              <w:t xml:space="preserve">of that report </w:t>
            </w:r>
            <w:r w:rsidRPr="00432C28">
              <w:rPr>
                <w:rFonts w:cs="Times New Roman"/>
              </w:rPr>
              <w:t>provides a</w:t>
            </w:r>
            <w:r w:rsidR="001C59A7" w:rsidRPr="00432C28">
              <w:rPr>
                <w:rFonts w:cs="Times New Roman"/>
              </w:rPr>
              <w:t xml:space="preserve"> comparison of savings values. </w:t>
            </w:r>
            <w:r w:rsidRPr="00432C28">
              <w:rPr>
                <w:rFonts w:cs="Times New Roman"/>
              </w:rPr>
              <w:t xml:space="preserve">Current </w:t>
            </w:r>
            <w:r w:rsidR="001C59A7" w:rsidRPr="00432C28">
              <w:rPr>
                <w:rFonts w:cs="Times New Roman"/>
              </w:rPr>
              <w:t xml:space="preserve">RTF savings data also informed several of the adjustments to the Company’s current ten-year conservation forecast; after consultation with the DSM Advisory Group. Adjustments are described in both the “Conservation Potential and Conservation Targets” section </w:t>
            </w:r>
            <w:r w:rsidR="00DA1CF5">
              <w:rPr>
                <w:rFonts w:cs="Times New Roman"/>
              </w:rPr>
              <w:t>and i</w:t>
            </w:r>
            <w:r w:rsidR="001C59A7" w:rsidRPr="00432C28">
              <w:rPr>
                <w:rFonts w:cs="Times New Roman"/>
              </w:rPr>
              <w:t>n Appendix 4</w:t>
            </w:r>
            <w:r w:rsidR="00273D7A" w:rsidRPr="00432C28">
              <w:rPr>
                <w:rFonts w:cs="Times New Roman"/>
              </w:rPr>
              <w:t xml:space="preserve"> to this </w:t>
            </w:r>
            <w:r w:rsidR="00C47CA7">
              <w:rPr>
                <w:rFonts w:cs="Times New Roman"/>
              </w:rPr>
              <w:t>report</w:t>
            </w:r>
            <w:r w:rsidR="001C59A7" w:rsidRPr="00432C28">
              <w:rPr>
                <w:rFonts w:cs="Times New Roman"/>
              </w:rPr>
              <w:t>.</w:t>
            </w:r>
            <w:r w:rsidRPr="00432C28">
              <w:rPr>
                <w:rFonts w:cs="Times New Roman"/>
              </w:rPr>
              <w:t xml:space="preserve"> </w:t>
            </w:r>
            <w:r w:rsidR="00AC0773">
              <w:rPr>
                <w:rFonts w:cs="Times New Roman"/>
              </w:rPr>
              <w:t xml:space="preserve"> </w:t>
            </w:r>
          </w:p>
        </w:tc>
      </w:tr>
      <w:tr w:rsidR="00E93BD3" w:rsidRPr="00432C28" w:rsidTr="002E6C6E">
        <w:trPr>
          <w:trHeight w:val="98"/>
        </w:trPr>
        <w:tc>
          <w:tcPr>
            <w:tcW w:w="0" w:type="auto"/>
            <w:gridSpan w:val="2"/>
          </w:tcPr>
          <w:p w:rsidR="00E93BD3" w:rsidRPr="00432C28" w:rsidRDefault="00E93BD3" w:rsidP="009A71A4">
            <w:pPr>
              <w:rPr>
                <w:rFonts w:cs="Times New Roman"/>
                <w:b/>
                <w:szCs w:val="24"/>
              </w:rPr>
            </w:pPr>
            <w:r w:rsidRPr="00432C28">
              <w:rPr>
                <w:rFonts w:cs="Times New Roman"/>
                <w:b/>
                <w:szCs w:val="24"/>
              </w:rPr>
              <w:t>Docket UE-</w:t>
            </w:r>
            <w:r w:rsidR="00DA78AB">
              <w:rPr>
                <w:rFonts w:cs="Times New Roman"/>
                <w:b/>
                <w:szCs w:val="24"/>
              </w:rPr>
              <w:t>1</w:t>
            </w:r>
            <w:r w:rsidR="009A71A4">
              <w:rPr>
                <w:rFonts w:cs="Times New Roman"/>
                <w:b/>
                <w:szCs w:val="24"/>
              </w:rPr>
              <w:t>32047</w:t>
            </w:r>
            <w:r w:rsidRPr="00432C28">
              <w:rPr>
                <w:rFonts w:cs="Times New Roman"/>
                <w:b/>
                <w:szCs w:val="24"/>
              </w:rPr>
              <w:t xml:space="preserve"> Order 0</w:t>
            </w:r>
            <w:r w:rsidR="00DA78AB">
              <w:rPr>
                <w:rFonts w:cs="Times New Roman"/>
                <w:b/>
                <w:szCs w:val="24"/>
              </w:rPr>
              <w:t>1</w:t>
            </w:r>
            <w:r w:rsidRPr="00432C28">
              <w:rPr>
                <w:rFonts w:cs="Times New Roman"/>
                <w:b/>
                <w:szCs w:val="24"/>
              </w:rPr>
              <w:t xml:space="preserve"> (6) (f)</w:t>
            </w:r>
          </w:p>
        </w:tc>
      </w:tr>
      <w:tr w:rsidR="00C62892" w:rsidRPr="00432C28">
        <w:trPr>
          <w:trHeight w:val="395"/>
        </w:trPr>
        <w:tc>
          <w:tcPr>
            <w:tcW w:w="0" w:type="auto"/>
          </w:tcPr>
          <w:p w:rsidR="0051328B" w:rsidRDefault="001C59A7" w:rsidP="004D621A">
            <w:pPr>
              <w:rPr>
                <w:rFonts w:cs="Times New Roman"/>
                <w:szCs w:val="24"/>
              </w:rPr>
            </w:pPr>
            <w:r w:rsidRPr="00432C28">
              <w:rPr>
                <w:rFonts w:cs="Times New Roman"/>
                <w:szCs w:val="24"/>
              </w:rPr>
              <w:t xml:space="preserve">PacifiCorp must spend </w:t>
            </w:r>
            <w:r w:rsidR="00DA78AB">
              <w:rPr>
                <w:rFonts w:cs="Times New Roman"/>
                <w:szCs w:val="24"/>
              </w:rPr>
              <w:t xml:space="preserve">a reasonable amount </w:t>
            </w:r>
            <w:r w:rsidRPr="00432C28">
              <w:rPr>
                <w:rFonts w:cs="Times New Roman"/>
                <w:szCs w:val="24"/>
              </w:rPr>
              <w:t>of its conservation budget on EM&amp;V.</w:t>
            </w:r>
          </w:p>
          <w:p w:rsidR="008F7228" w:rsidRDefault="008F7228" w:rsidP="004D621A">
            <w:pPr>
              <w:rPr>
                <w:rFonts w:cs="Times New Roman"/>
                <w:szCs w:val="24"/>
              </w:rPr>
            </w:pPr>
          </w:p>
          <w:p w:rsidR="008F7228" w:rsidRPr="00432C28" w:rsidRDefault="008F7228" w:rsidP="004D621A">
            <w:pPr>
              <w:rPr>
                <w:rFonts w:cs="Times New Roman"/>
                <w:szCs w:val="24"/>
              </w:rPr>
            </w:pPr>
            <w:r>
              <w:rPr>
                <w:rFonts w:cs="Times New Roman"/>
                <w:szCs w:val="24"/>
              </w:rPr>
              <w:t>PacifiCorp must have completed an independent third-party review of portfolio level electric energy savings reported by PacifiCorp for the 201</w:t>
            </w:r>
            <w:r w:rsidR="009A71A4">
              <w:rPr>
                <w:rFonts w:cs="Times New Roman"/>
                <w:szCs w:val="24"/>
              </w:rPr>
              <w:t>4</w:t>
            </w:r>
            <w:r>
              <w:rPr>
                <w:rFonts w:cs="Times New Roman"/>
                <w:szCs w:val="24"/>
              </w:rPr>
              <w:t>-201</w:t>
            </w:r>
            <w:r w:rsidR="009A71A4">
              <w:rPr>
                <w:rFonts w:cs="Times New Roman"/>
                <w:szCs w:val="24"/>
              </w:rPr>
              <w:t>5</w:t>
            </w:r>
            <w:r>
              <w:rPr>
                <w:rFonts w:cs="Times New Roman"/>
                <w:szCs w:val="24"/>
              </w:rPr>
              <w:t xml:space="preserve"> bienni</w:t>
            </w:r>
            <w:r w:rsidR="00863D95">
              <w:rPr>
                <w:rFonts w:cs="Times New Roman"/>
                <w:szCs w:val="24"/>
              </w:rPr>
              <w:t>um</w:t>
            </w:r>
            <w:r>
              <w:rPr>
                <w:rFonts w:cs="Times New Roman"/>
                <w:szCs w:val="24"/>
              </w:rPr>
              <w:t xml:space="preserve"> from existing conservation programs operated during that period. </w:t>
            </w:r>
          </w:p>
        </w:tc>
        <w:tc>
          <w:tcPr>
            <w:tcW w:w="0" w:type="auto"/>
          </w:tcPr>
          <w:p w:rsidR="008F7228" w:rsidRDefault="001C59A7" w:rsidP="004D621A">
            <w:pPr>
              <w:rPr>
                <w:rFonts w:cs="Times New Roman"/>
                <w:szCs w:val="24"/>
              </w:rPr>
            </w:pPr>
            <w:r w:rsidRPr="002A70F0">
              <w:rPr>
                <w:rFonts w:cs="Times New Roman"/>
                <w:szCs w:val="24"/>
              </w:rPr>
              <w:t>See Appendix 7, “PacifiCorp’s Washin</w:t>
            </w:r>
            <w:r w:rsidR="00DA78AB" w:rsidRPr="002A70F0">
              <w:rPr>
                <w:rFonts w:cs="Times New Roman"/>
                <w:szCs w:val="24"/>
              </w:rPr>
              <w:t>gton Demand-side Management 201</w:t>
            </w:r>
            <w:r w:rsidR="009A71A4" w:rsidRPr="002A70F0">
              <w:rPr>
                <w:rFonts w:cs="Times New Roman"/>
                <w:szCs w:val="24"/>
              </w:rPr>
              <w:t>6</w:t>
            </w:r>
            <w:r w:rsidR="00DA78AB" w:rsidRPr="002A70F0">
              <w:rPr>
                <w:rFonts w:cs="Times New Roman"/>
                <w:szCs w:val="24"/>
              </w:rPr>
              <w:t>-201</w:t>
            </w:r>
            <w:r w:rsidR="009A71A4" w:rsidRPr="002A70F0">
              <w:rPr>
                <w:rFonts w:cs="Times New Roman"/>
                <w:szCs w:val="24"/>
              </w:rPr>
              <w:t>7</w:t>
            </w:r>
            <w:r w:rsidRPr="002A70F0">
              <w:rPr>
                <w:rFonts w:cs="Times New Roman"/>
                <w:szCs w:val="24"/>
              </w:rPr>
              <w:t xml:space="preserve"> Business Plan</w:t>
            </w:r>
            <w:r w:rsidR="003C1E25" w:rsidRPr="002A70F0">
              <w:rPr>
                <w:rFonts w:cs="Times New Roman"/>
                <w:szCs w:val="24"/>
              </w:rPr>
              <w:t>.</w:t>
            </w:r>
            <w:r w:rsidRPr="002A70F0">
              <w:rPr>
                <w:rFonts w:cs="Times New Roman"/>
                <w:szCs w:val="24"/>
              </w:rPr>
              <w:t>” The Business Plan provides an estimate of the evaluation expense and total expenditures for the next biennial period. The evaluation expenditures</w:t>
            </w:r>
            <w:r w:rsidR="00DA1CF5" w:rsidRPr="002A70F0">
              <w:rPr>
                <w:rFonts w:cs="Times New Roman"/>
                <w:szCs w:val="24"/>
              </w:rPr>
              <w:t xml:space="preserve"> of </w:t>
            </w:r>
            <w:r w:rsidR="00092202" w:rsidRPr="002A70F0">
              <w:rPr>
                <w:rFonts w:cs="Times New Roman"/>
                <w:szCs w:val="24"/>
              </w:rPr>
              <w:t>$</w:t>
            </w:r>
            <w:r w:rsidR="00B4700B" w:rsidRPr="002A70F0">
              <w:rPr>
                <w:rFonts w:cs="Times New Roman"/>
                <w:szCs w:val="24"/>
              </w:rPr>
              <w:t>921,363</w:t>
            </w:r>
            <w:r w:rsidR="00092202" w:rsidRPr="002A70F0">
              <w:rPr>
                <w:rFonts w:cs="Times New Roman"/>
                <w:szCs w:val="24"/>
              </w:rPr>
              <w:t xml:space="preserve"> represent </w:t>
            </w:r>
            <w:r w:rsidR="00C47CA7" w:rsidRPr="002A70F0">
              <w:rPr>
                <w:rFonts w:cs="Times New Roman"/>
                <w:szCs w:val="24"/>
              </w:rPr>
              <w:t>3.</w:t>
            </w:r>
            <w:r w:rsidR="00213EFE" w:rsidRPr="002A70F0">
              <w:rPr>
                <w:rFonts w:cs="Times New Roman"/>
                <w:szCs w:val="24"/>
              </w:rPr>
              <w:t>8</w:t>
            </w:r>
            <w:r w:rsidR="00C47CA7" w:rsidRPr="002A70F0">
              <w:rPr>
                <w:rFonts w:cs="Times New Roman"/>
                <w:szCs w:val="24"/>
              </w:rPr>
              <w:t xml:space="preserve"> percent</w:t>
            </w:r>
            <w:r w:rsidR="00092202" w:rsidRPr="002A70F0">
              <w:rPr>
                <w:rFonts w:cs="Times New Roman"/>
                <w:szCs w:val="24"/>
              </w:rPr>
              <w:t xml:space="preserve"> of the preliminary budget of $</w:t>
            </w:r>
            <w:r w:rsidR="00C47CA7" w:rsidRPr="002A70F0">
              <w:rPr>
                <w:rFonts w:cs="Times New Roman"/>
                <w:szCs w:val="24"/>
              </w:rPr>
              <w:t>2</w:t>
            </w:r>
            <w:r w:rsidR="00213EFE" w:rsidRPr="002A70F0">
              <w:rPr>
                <w:rFonts w:cs="Times New Roman"/>
                <w:szCs w:val="24"/>
              </w:rPr>
              <w:t>4,560,530</w:t>
            </w:r>
            <w:r w:rsidR="001F367D" w:rsidRPr="002A70F0">
              <w:rPr>
                <w:rFonts w:cs="Times New Roman"/>
                <w:szCs w:val="24"/>
              </w:rPr>
              <w:t xml:space="preserve"> </w:t>
            </w:r>
            <w:r w:rsidR="00F82BAF" w:rsidRPr="002A70F0">
              <w:rPr>
                <w:rFonts w:cs="Times New Roman"/>
                <w:szCs w:val="24"/>
              </w:rPr>
              <w:t xml:space="preserve">or </w:t>
            </w:r>
            <w:r w:rsidR="00213EFE" w:rsidRPr="002A70F0">
              <w:rPr>
                <w:rFonts w:cs="Times New Roman"/>
                <w:szCs w:val="24"/>
              </w:rPr>
              <w:t>4</w:t>
            </w:r>
            <w:r w:rsidR="00800F59" w:rsidRPr="002A70F0">
              <w:rPr>
                <w:rFonts w:cs="Times New Roman"/>
                <w:szCs w:val="24"/>
              </w:rPr>
              <w:t>.</w:t>
            </w:r>
            <w:r w:rsidR="00213EFE" w:rsidRPr="002A70F0">
              <w:rPr>
                <w:rFonts w:cs="Times New Roman"/>
                <w:szCs w:val="24"/>
              </w:rPr>
              <w:t>1</w:t>
            </w:r>
            <w:r w:rsidR="00800F59" w:rsidRPr="002A70F0">
              <w:rPr>
                <w:rFonts w:cs="Times New Roman"/>
                <w:szCs w:val="24"/>
              </w:rPr>
              <w:t xml:space="preserve"> </w:t>
            </w:r>
            <w:r w:rsidR="00600E96" w:rsidRPr="002A70F0">
              <w:rPr>
                <w:rFonts w:cs="Times New Roman"/>
                <w:szCs w:val="24"/>
              </w:rPr>
              <w:t>percent</w:t>
            </w:r>
            <w:r w:rsidR="00F82BAF" w:rsidRPr="002A70F0">
              <w:rPr>
                <w:rFonts w:cs="Times New Roman"/>
                <w:szCs w:val="24"/>
              </w:rPr>
              <w:t xml:space="preserve"> </w:t>
            </w:r>
            <w:r w:rsidR="00092202" w:rsidRPr="002A70F0">
              <w:rPr>
                <w:rFonts w:cs="Times New Roman"/>
                <w:szCs w:val="24"/>
              </w:rPr>
              <w:t>of the preliminary budget if NEEA costs are removed</w:t>
            </w:r>
            <w:r w:rsidRPr="002A70F0">
              <w:rPr>
                <w:rFonts w:cs="Times New Roman"/>
                <w:szCs w:val="24"/>
              </w:rPr>
              <w:t xml:space="preserve"> (NEEA conducts their own evaluation efforts and reports savings to the Company).</w:t>
            </w:r>
          </w:p>
          <w:p w:rsidR="008F7228" w:rsidRDefault="008F7228" w:rsidP="004D621A">
            <w:pPr>
              <w:rPr>
                <w:rFonts w:cs="Times New Roman"/>
                <w:szCs w:val="24"/>
              </w:rPr>
            </w:pPr>
          </w:p>
          <w:p w:rsidR="001D60A9" w:rsidRPr="00CC2948" w:rsidRDefault="008F7228" w:rsidP="004D621A">
            <w:pPr>
              <w:rPr>
                <w:rFonts w:cs="Times New Roman"/>
                <w:szCs w:val="24"/>
              </w:rPr>
            </w:pPr>
            <w:r>
              <w:rPr>
                <w:rFonts w:cs="Times New Roman"/>
                <w:szCs w:val="24"/>
              </w:rPr>
              <w:t xml:space="preserve">Third-party review has been commissioned and is currently </w:t>
            </w:r>
            <w:r w:rsidR="00863D95">
              <w:rPr>
                <w:rFonts w:cs="Times New Roman"/>
                <w:szCs w:val="24"/>
              </w:rPr>
              <w:t>underway;</w:t>
            </w:r>
            <w:r>
              <w:rPr>
                <w:rFonts w:cs="Times New Roman"/>
                <w:szCs w:val="24"/>
              </w:rPr>
              <w:t xml:space="preserve"> results will be provided in the June, 201</w:t>
            </w:r>
            <w:r w:rsidR="00BF2904">
              <w:rPr>
                <w:rFonts w:cs="Times New Roman"/>
                <w:szCs w:val="24"/>
              </w:rPr>
              <w:t>6</w:t>
            </w:r>
            <w:r>
              <w:rPr>
                <w:rFonts w:cs="Times New Roman"/>
                <w:szCs w:val="24"/>
              </w:rPr>
              <w:t>, 201</w:t>
            </w:r>
            <w:r w:rsidR="00BF2904">
              <w:rPr>
                <w:rFonts w:cs="Times New Roman"/>
                <w:szCs w:val="24"/>
              </w:rPr>
              <w:t>4</w:t>
            </w:r>
            <w:r>
              <w:rPr>
                <w:rFonts w:cs="Times New Roman"/>
                <w:szCs w:val="24"/>
              </w:rPr>
              <w:t>-201</w:t>
            </w:r>
            <w:r w:rsidR="00BF2904">
              <w:rPr>
                <w:rFonts w:cs="Times New Roman"/>
                <w:szCs w:val="24"/>
              </w:rPr>
              <w:t>5</w:t>
            </w:r>
            <w:r>
              <w:rPr>
                <w:rFonts w:cs="Times New Roman"/>
                <w:szCs w:val="24"/>
              </w:rPr>
              <w:t xml:space="preserve"> biennial period performance report.</w:t>
            </w:r>
            <w:r w:rsidR="001C59A7" w:rsidRPr="00DA1CF5">
              <w:rPr>
                <w:rFonts w:cs="Times New Roman"/>
                <w:szCs w:val="24"/>
              </w:rPr>
              <w:t xml:space="preserve"> </w:t>
            </w:r>
            <w:r w:rsidR="00CD21B2">
              <w:rPr>
                <w:rFonts w:cs="Times New Roman"/>
                <w:szCs w:val="24"/>
              </w:rPr>
              <w:t xml:space="preserve"> </w:t>
            </w:r>
          </w:p>
        </w:tc>
      </w:tr>
    </w:tbl>
    <w:p w:rsidR="000422F4" w:rsidRDefault="000422F4">
      <w:r>
        <w:br w:type="page"/>
      </w:r>
    </w:p>
    <w:tbl>
      <w:tblPr>
        <w:tblStyle w:val="TableGrid"/>
        <w:tblW w:w="0" w:type="auto"/>
        <w:tblLook w:val="04A0" w:firstRow="1" w:lastRow="0" w:firstColumn="1" w:lastColumn="0" w:noHBand="0" w:noVBand="1"/>
      </w:tblPr>
      <w:tblGrid>
        <w:gridCol w:w="3461"/>
        <w:gridCol w:w="6115"/>
      </w:tblGrid>
      <w:tr w:rsidR="00CC2948" w:rsidRPr="00432C28" w:rsidTr="002E6C6E">
        <w:trPr>
          <w:trHeight w:val="98"/>
        </w:trPr>
        <w:tc>
          <w:tcPr>
            <w:tcW w:w="0" w:type="auto"/>
            <w:gridSpan w:val="2"/>
          </w:tcPr>
          <w:p w:rsidR="00CC2948" w:rsidRPr="00CC2948" w:rsidRDefault="00CC2948" w:rsidP="00365032">
            <w:pPr>
              <w:rPr>
                <w:rFonts w:cs="Times New Roman"/>
                <w:szCs w:val="24"/>
              </w:rPr>
            </w:pPr>
            <w:r w:rsidRPr="00432C28">
              <w:rPr>
                <w:rFonts w:cs="Times New Roman"/>
                <w:b/>
                <w:szCs w:val="24"/>
              </w:rPr>
              <w:t>Docket UE-</w:t>
            </w:r>
            <w:r>
              <w:rPr>
                <w:rFonts w:cs="Times New Roman"/>
                <w:b/>
                <w:szCs w:val="24"/>
              </w:rPr>
              <w:t>1</w:t>
            </w:r>
            <w:r w:rsidR="00365032">
              <w:rPr>
                <w:rFonts w:cs="Times New Roman"/>
                <w:b/>
                <w:szCs w:val="24"/>
              </w:rPr>
              <w:t>32047</w:t>
            </w:r>
            <w:r w:rsidRPr="00432C28">
              <w:rPr>
                <w:rFonts w:cs="Times New Roman"/>
                <w:b/>
                <w:szCs w:val="24"/>
              </w:rPr>
              <w:t xml:space="preserve"> Order 0</w:t>
            </w:r>
            <w:r>
              <w:rPr>
                <w:rFonts w:cs="Times New Roman"/>
                <w:b/>
                <w:szCs w:val="24"/>
              </w:rPr>
              <w:t>1 (6) (h</w:t>
            </w:r>
            <w:r w:rsidRPr="00432C28">
              <w:rPr>
                <w:rFonts w:cs="Times New Roman"/>
                <w:b/>
                <w:szCs w:val="24"/>
              </w:rPr>
              <w:t>)</w:t>
            </w:r>
            <w:r w:rsidR="00B45C16">
              <w:rPr>
                <w:rFonts w:cs="Times New Roman"/>
                <w:b/>
                <w:szCs w:val="24"/>
              </w:rPr>
              <w:t xml:space="preserve"> &amp; WAC  480-109-100 (1) (b)</w:t>
            </w:r>
          </w:p>
        </w:tc>
      </w:tr>
      <w:tr w:rsidR="00365032" w:rsidRPr="00432C28">
        <w:trPr>
          <w:trHeight w:val="395"/>
        </w:trPr>
        <w:tc>
          <w:tcPr>
            <w:tcW w:w="0" w:type="auto"/>
          </w:tcPr>
          <w:p w:rsidR="00CC2948" w:rsidRPr="00432C28" w:rsidRDefault="00365032" w:rsidP="004D621A">
            <w:pPr>
              <w:rPr>
                <w:rFonts w:cs="Times New Roman"/>
                <w:szCs w:val="24"/>
              </w:rPr>
            </w:pPr>
            <w:r>
              <w:rPr>
                <w:rFonts w:cs="Times New Roman"/>
                <w:szCs w:val="24"/>
              </w:rPr>
              <w:t xml:space="preserve">As part of PacifiCorp’s biennial conservation acquisition efforts, PacifiCorp will continue to pursue regional electric market transformation. </w:t>
            </w:r>
          </w:p>
        </w:tc>
        <w:tc>
          <w:tcPr>
            <w:tcW w:w="0" w:type="auto"/>
          </w:tcPr>
          <w:p w:rsidR="00365032" w:rsidRDefault="00365032" w:rsidP="004D621A">
            <w:pPr>
              <w:rPr>
                <w:rFonts w:cs="Times New Roman"/>
                <w:szCs w:val="24"/>
              </w:rPr>
            </w:pPr>
            <w:r>
              <w:rPr>
                <w:rFonts w:cs="Times New Roman"/>
                <w:szCs w:val="24"/>
              </w:rPr>
              <w:t>The Company is a contributing funder to the NEEA, holds a seat on its Board of Directors, and participants on several key advisory committees</w:t>
            </w:r>
            <w:r w:rsidR="001E2825">
              <w:rPr>
                <w:rFonts w:cs="Times New Roman"/>
                <w:szCs w:val="24"/>
              </w:rPr>
              <w:t>. For additional information on the NEEA within this report see “Treatment of Northwest Energy Efficiency Alliance Initiatives” in the “Conservation Potential and Conservation Target” section</w:t>
            </w:r>
            <w:r w:rsidR="00800F59">
              <w:rPr>
                <w:rFonts w:cs="Times New Roman"/>
                <w:szCs w:val="24"/>
              </w:rPr>
              <w:t xml:space="preserve"> of this report, in </w:t>
            </w:r>
            <w:r w:rsidR="001E2825">
              <w:rPr>
                <w:rFonts w:cs="Times New Roman"/>
                <w:szCs w:val="24"/>
              </w:rPr>
              <w:t xml:space="preserve">Appendix 7, </w:t>
            </w:r>
            <w:r w:rsidR="001E2825" w:rsidRPr="00CC2948">
              <w:rPr>
                <w:rFonts w:cs="Times New Roman"/>
                <w:szCs w:val="24"/>
              </w:rPr>
              <w:t>“PacifiCorp’s Washington Demand-side Management 201</w:t>
            </w:r>
            <w:r w:rsidR="001E2825">
              <w:rPr>
                <w:rFonts w:cs="Times New Roman"/>
                <w:szCs w:val="24"/>
              </w:rPr>
              <w:t>6</w:t>
            </w:r>
            <w:r w:rsidR="001E2825" w:rsidRPr="00CC2948">
              <w:rPr>
                <w:rFonts w:cs="Times New Roman"/>
                <w:szCs w:val="24"/>
              </w:rPr>
              <w:t>-201</w:t>
            </w:r>
            <w:r w:rsidR="001E2825">
              <w:rPr>
                <w:rFonts w:cs="Times New Roman"/>
                <w:szCs w:val="24"/>
              </w:rPr>
              <w:t>7</w:t>
            </w:r>
            <w:r w:rsidR="001E2825" w:rsidRPr="00CC2948">
              <w:rPr>
                <w:rFonts w:cs="Times New Roman"/>
                <w:szCs w:val="24"/>
              </w:rPr>
              <w:t xml:space="preserve"> Business Plan</w:t>
            </w:r>
            <w:r w:rsidR="001E2825">
              <w:rPr>
                <w:rFonts w:cs="Times New Roman"/>
                <w:szCs w:val="24"/>
              </w:rPr>
              <w:t>”, and Appendix 9, “</w:t>
            </w:r>
            <w:r w:rsidR="001E2825" w:rsidRPr="00863D95">
              <w:rPr>
                <w:rFonts w:cs="Times New Roman"/>
                <w:szCs w:val="24"/>
              </w:rPr>
              <w:t>Northwest</w:t>
            </w:r>
            <w:r w:rsidR="001E2825">
              <w:rPr>
                <w:rFonts w:cs="Times New Roman"/>
                <w:szCs w:val="24"/>
              </w:rPr>
              <w:t xml:space="preserve"> </w:t>
            </w:r>
            <w:r w:rsidR="001E2825" w:rsidRPr="00863D95">
              <w:rPr>
                <w:rFonts w:cs="Times New Roman"/>
                <w:szCs w:val="24"/>
              </w:rPr>
              <w:t>Energy Efficiency Alliance</w:t>
            </w:r>
            <w:r w:rsidR="001E2825">
              <w:rPr>
                <w:rFonts w:cs="Times New Roman"/>
                <w:szCs w:val="24"/>
              </w:rPr>
              <w:t xml:space="preserve"> </w:t>
            </w:r>
            <w:r w:rsidR="001E2825" w:rsidRPr="00863D95">
              <w:rPr>
                <w:rFonts w:cs="Times New Roman"/>
                <w:szCs w:val="24"/>
              </w:rPr>
              <w:t>2016-2017 PacifiCorp Forecast and</w:t>
            </w:r>
            <w:r w:rsidR="00800F59">
              <w:rPr>
                <w:rFonts w:cs="Times New Roman"/>
                <w:szCs w:val="24"/>
              </w:rPr>
              <w:t xml:space="preserve"> </w:t>
            </w:r>
            <w:r w:rsidR="001E2825" w:rsidRPr="00863D95">
              <w:rPr>
                <w:rFonts w:cs="Times New Roman"/>
                <w:szCs w:val="24"/>
              </w:rPr>
              <w:t>Forecast Methodology</w:t>
            </w:r>
            <w:r w:rsidR="001E2825">
              <w:rPr>
                <w:rFonts w:cs="Times New Roman"/>
                <w:szCs w:val="24"/>
              </w:rPr>
              <w:t xml:space="preserve">.” </w:t>
            </w:r>
            <w:r>
              <w:rPr>
                <w:rFonts w:cs="Times New Roman"/>
                <w:szCs w:val="24"/>
              </w:rPr>
              <w:t xml:space="preserve"> </w:t>
            </w:r>
          </w:p>
          <w:p w:rsidR="00365032" w:rsidRDefault="00365032" w:rsidP="00800F59">
            <w:pPr>
              <w:jc w:val="left"/>
              <w:rPr>
                <w:rFonts w:cs="Times New Roman"/>
                <w:szCs w:val="24"/>
              </w:rPr>
            </w:pPr>
          </w:p>
          <w:p w:rsidR="00CC2948" w:rsidRPr="00CC2948" w:rsidRDefault="00CC2948" w:rsidP="00800F59">
            <w:pPr>
              <w:jc w:val="left"/>
              <w:rPr>
                <w:rFonts w:cs="Times New Roman"/>
                <w:szCs w:val="24"/>
              </w:rPr>
            </w:pPr>
          </w:p>
        </w:tc>
      </w:tr>
    </w:tbl>
    <w:p w:rsidR="00E93BD3" w:rsidRPr="00432C28" w:rsidRDefault="00E93BD3" w:rsidP="00405424">
      <w:pPr>
        <w:rPr>
          <w:rFonts w:cs="Times New Roman"/>
        </w:rPr>
      </w:pPr>
    </w:p>
    <w:tbl>
      <w:tblPr>
        <w:tblStyle w:val="TableGrid"/>
        <w:tblW w:w="0" w:type="auto"/>
        <w:tblLook w:val="04A0" w:firstRow="1" w:lastRow="0" w:firstColumn="1" w:lastColumn="0" w:noHBand="0" w:noVBand="1"/>
      </w:tblPr>
      <w:tblGrid>
        <w:gridCol w:w="4669"/>
        <w:gridCol w:w="4907"/>
      </w:tblGrid>
      <w:tr w:rsidR="00E93BD3" w:rsidRPr="00432C28" w:rsidTr="002E6C6E">
        <w:trPr>
          <w:trHeight w:val="143"/>
        </w:trPr>
        <w:tc>
          <w:tcPr>
            <w:tcW w:w="0" w:type="auto"/>
            <w:gridSpan w:val="2"/>
          </w:tcPr>
          <w:p w:rsidR="00E93BD3" w:rsidRPr="00432C28" w:rsidRDefault="00E93BD3" w:rsidP="00507AF7">
            <w:pPr>
              <w:rPr>
                <w:rFonts w:cs="Times New Roman"/>
                <w:b/>
                <w:szCs w:val="24"/>
              </w:rPr>
            </w:pPr>
            <w:r w:rsidRPr="00432C28">
              <w:rPr>
                <w:rFonts w:cs="Times New Roman"/>
                <w:b/>
                <w:szCs w:val="24"/>
              </w:rPr>
              <w:t>Docket UE-</w:t>
            </w:r>
            <w:r w:rsidR="00DA78AB">
              <w:rPr>
                <w:rFonts w:cs="Times New Roman"/>
                <w:b/>
                <w:szCs w:val="24"/>
              </w:rPr>
              <w:t>1</w:t>
            </w:r>
            <w:r w:rsidR="00507AF7">
              <w:rPr>
                <w:rFonts w:cs="Times New Roman"/>
                <w:b/>
                <w:szCs w:val="24"/>
              </w:rPr>
              <w:t>32047</w:t>
            </w:r>
            <w:r w:rsidR="00DA78AB">
              <w:rPr>
                <w:rFonts w:cs="Times New Roman"/>
                <w:b/>
                <w:szCs w:val="24"/>
              </w:rPr>
              <w:t xml:space="preserve"> Order 01</w:t>
            </w:r>
            <w:r w:rsidRPr="00432C28">
              <w:rPr>
                <w:rFonts w:cs="Times New Roman"/>
                <w:b/>
                <w:szCs w:val="24"/>
              </w:rPr>
              <w:t xml:space="preserve"> (7) (a)</w:t>
            </w:r>
            <w:r w:rsidR="00351EFD">
              <w:rPr>
                <w:rFonts w:cs="Times New Roman"/>
                <w:b/>
                <w:szCs w:val="24"/>
              </w:rPr>
              <w:t xml:space="preserve"> &amp; WAC 480-109-100 (7)</w:t>
            </w:r>
          </w:p>
        </w:tc>
      </w:tr>
      <w:tr w:rsidR="006B17D2" w:rsidRPr="00432C28">
        <w:trPr>
          <w:trHeight w:val="395"/>
        </w:trPr>
        <w:tc>
          <w:tcPr>
            <w:tcW w:w="0" w:type="auto"/>
          </w:tcPr>
          <w:p w:rsidR="0051328B" w:rsidRPr="00432C28" w:rsidRDefault="001C59A7" w:rsidP="0051328B">
            <w:pPr>
              <w:rPr>
                <w:rFonts w:cs="Times New Roman"/>
                <w:szCs w:val="24"/>
              </w:rPr>
            </w:pPr>
            <w:r w:rsidRPr="00432C28">
              <w:rPr>
                <w:rFonts w:cs="Times New Roman"/>
                <w:szCs w:val="24"/>
              </w:rPr>
              <w:t>PacifiCorp must offer a mix of tariff-based programs that ensure it is serving each customer sector, including limited income customers.</w:t>
            </w:r>
          </w:p>
        </w:tc>
        <w:tc>
          <w:tcPr>
            <w:tcW w:w="0" w:type="auto"/>
          </w:tcPr>
          <w:p w:rsidR="0051328B" w:rsidRPr="00432C28" w:rsidRDefault="001C59A7" w:rsidP="00800F59">
            <w:pPr>
              <w:rPr>
                <w:rFonts w:cs="Times New Roman"/>
                <w:szCs w:val="24"/>
              </w:rPr>
            </w:pPr>
            <w:r w:rsidRPr="00432C28">
              <w:rPr>
                <w:rFonts w:cs="Times New Roman"/>
                <w:szCs w:val="24"/>
              </w:rPr>
              <w:t>See Appendix 7</w:t>
            </w:r>
            <w:r w:rsidR="00273D7A" w:rsidRPr="00432C28">
              <w:rPr>
                <w:rFonts w:cs="Times New Roman"/>
                <w:szCs w:val="24"/>
              </w:rPr>
              <w:t xml:space="preserve"> to this report</w:t>
            </w:r>
            <w:r w:rsidRPr="00432C28">
              <w:rPr>
                <w:rFonts w:cs="Times New Roman"/>
                <w:szCs w:val="24"/>
              </w:rPr>
              <w:t>, “PacifiCorp’s Washin</w:t>
            </w:r>
            <w:r w:rsidR="00DA78AB">
              <w:rPr>
                <w:rFonts w:cs="Times New Roman"/>
                <w:szCs w:val="24"/>
              </w:rPr>
              <w:t>gton Demand-side Management 201</w:t>
            </w:r>
            <w:r w:rsidR="00507AF7">
              <w:rPr>
                <w:rFonts w:cs="Times New Roman"/>
                <w:szCs w:val="24"/>
              </w:rPr>
              <w:t>6</w:t>
            </w:r>
            <w:r w:rsidR="00DA78AB">
              <w:rPr>
                <w:rFonts w:cs="Times New Roman"/>
                <w:szCs w:val="24"/>
              </w:rPr>
              <w:t>-201</w:t>
            </w:r>
            <w:r w:rsidR="00507AF7">
              <w:rPr>
                <w:rFonts w:cs="Times New Roman"/>
                <w:szCs w:val="24"/>
              </w:rPr>
              <w:t>7</w:t>
            </w:r>
            <w:r w:rsidRPr="00432C28">
              <w:rPr>
                <w:rFonts w:cs="Times New Roman"/>
                <w:szCs w:val="24"/>
              </w:rPr>
              <w:t xml:space="preserve"> Business Plan</w:t>
            </w:r>
            <w:r w:rsidR="003C1E25" w:rsidRPr="00432C28">
              <w:rPr>
                <w:rFonts w:cs="Times New Roman"/>
                <w:szCs w:val="24"/>
              </w:rPr>
              <w:t>.</w:t>
            </w:r>
            <w:r w:rsidRPr="00432C28">
              <w:rPr>
                <w:rFonts w:cs="Times New Roman"/>
                <w:szCs w:val="24"/>
              </w:rPr>
              <w:t xml:space="preserve">” </w:t>
            </w:r>
            <w:r w:rsidR="00507AF7">
              <w:rPr>
                <w:rFonts w:cs="Times New Roman"/>
                <w:szCs w:val="24"/>
              </w:rPr>
              <w:t xml:space="preserve">The </w:t>
            </w:r>
            <w:r w:rsidR="00863D95">
              <w:rPr>
                <w:rFonts w:cs="Times New Roman"/>
                <w:szCs w:val="24"/>
              </w:rPr>
              <w:t>comprehensive portfolio</w:t>
            </w:r>
            <w:r w:rsidR="00351EFD">
              <w:rPr>
                <w:rFonts w:cs="Times New Roman"/>
                <w:szCs w:val="24"/>
              </w:rPr>
              <w:t xml:space="preserve"> of programs</w:t>
            </w:r>
            <w:r w:rsidR="00507AF7">
              <w:rPr>
                <w:rFonts w:cs="Times New Roman"/>
                <w:szCs w:val="24"/>
              </w:rPr>
              <w:t xml:space="preserve"> and available services and incentives are relevant to all customer sectors, including limited income customers. </w:t>
            </w:r>
          </w:p>
        </w:tc>
      </w:tr>
      <w:tr w:rsidR="00E93BD3" w:rsidRPr="00432C28">
        <w:trPr>
          <w:trHeight w:val="395"/>
        </w:trPr>
        <w:tc>
          <w:tcPr>
            <w:tcW w:w="0" w:type="auto"/>
            <w:gridSpan w:val="2"/>
          </w:tcPr>
          <w:p w:rsidR="00E93BD3" w:rsidRPr="00432C28" w:rsidRDefault="00E93BD3" w:rsidP="00D828BD">
            <w:pPr>
              <w:rPr>
                <w:rFonts w:cs="Times New Roman"/>
                <w:b/>
                <w:szCs w:val="24"/>
              </w:rPr>
            </w:pPr>
            <w:r w:rsidRPr="00432C28">
              <w:rPr>
                <w:rFonts w:cs="Times New Roman"/>
                <w:b/>
                <w:szCs w:val="24"/>
              </w:rPr>
              <w:t>Docket UE-</w:t>
            </w:r>
            <w:r w:rsidR="006E5D50">
              <w:rPr>
                <w:rFonts w:cs="Times New Roman"/>
                <w:b/>
                <w:szCs w:val="24"/>
              </w:rPr>
              <w:t>1</w:t>
            </w:r>
            <w:r w:rsidR="00180C29">
              <w:rPr>
                <w:rFonts w:cs="Times New Roman"/>
                <w:b/>
                <w:szCs w:val="24"/>
              </w:rPr>
              <w:t>32047</w:t>
            </w:r>
            <w:r w:rsidR="006E5D50">
              <w:rPr>
                <w:rFonts w:cs="Times New Roman"/>
                <w:b/>
                <w:szCs w:val="24"/>
              </w:rPr>
              <w:t xml:space="preserve"> Order 01</w:t>
            </w:r>
            <w:r w:rsidRPr="00432C28">
              <w:rPr>
                <w:rFonts w:cs="Times New Roman"/>
                <w:b/>
                <w:szCs w:val="24"/>
              </w:rPr>
              <w:t xml:space="preserve"> (7) (b)</w:t>
            </w:r>
            <w:r w:rsidR="00180C29">
              <w:rPr>
                <w:rFonts w:cs="Times New Roman"/>
                <w:b/>
                <w:szCs w:val="24"/>
              </w:rPr>
              <w:t xml:space="preserve"> </w:t>
            </w:r>
          </w:p>
        </w:tc>
      </w:tr>
      <w:tr w:rsidR="006B17D2" w:rsidRPr="00432C28">
        <w:trPr>
          <w:trHeight w:val="395"/>
        </w:trPr>
        <w:tc>
          <w:tcPr>
            <w:tcW w:w="0" w:type="auto"/>
          </w:tcPr>
          <w:p w:rsidR="0051328B" w:rsidRPr="00432C28" w:rsidRDefault="00273D7A" w:rsidP="0051328B">
            <w:pPr>
              <w:rPr>
                <w:rFonts w:cs="Times New Roman"/>
                <w:szCs w:val="24"/>
              </w:rPr>
            </w:pPr>
            <w:r w:rsidRPr="00432C28">
              <w:rPr>
                <w:rFonts w:cs="Times New Roman"/>
              </w:rPr>
              <w:t>PacifiCorp must establish a strategy and proposed total planned expenditures for informing participants about program opportunities.  The planned expenditures will include expenditures by PacifiCorp directly and not those of the Company’s third party program delivery administrators who are primarily or solely contracted for program delivery.  PacifiCorp will share these strategies and expenditures with the Advisory Group for review and comments.</w:t>
            </w:r>
          </w:p>
        </w:tc>
        <w:tc>
          <w:tcPr>
            <w:tcW w:w="0" w:type="auto"/>
          </w:tcPr>
          <w:p w:rsidR="0051328B" w:rsidRPr="00432C28" w:rsidRDefault="00F61B08" w:rsidP="00800F59">
            <w:pPr>
              <w:rPr>
                <w:rFonts w:cs="Times New Roman"/>
                <w:szCs w:val="24"/>
              </w:rPr>
            </w:pPr>
            <w:r w:rsidRPr="00E964EF">
              <w:rPr>
                <w:rFonts w:cs="Times New Roman"/>
              </w:rPr>
              <w:t xml:space="preserve">A </w:t>
            </w:r>
            <w:r w:rsidR="00800F59">
              <w:rPr>
                <w:rFonts w:cs="Times New Roman"/>
              </w:rPr>
              <w:t>preliminary</w:t>
            </w:r>
            <w:r w:rsidR="00092B29">
              <w:rPr>
                <w:rFonts w:cs="Times New Roman"/>
              </w:rPr>
              <w:t xml:space="preserve"> </w:t>
            </w:r>
            <w:r w:rsidRPr="00E964EF">
              <w:rPr>
                <w:rFonts w:cs="Times New Roman"/>
              </w:rPr>
              <w:t xml:space="preserve">copy of </w:t>
            </w:r>
            <w:r w:rsidR="009273B3" w:rsidRPr="00E964EF">
              <w:rPr>
                <w:rFonts w:cs="Times New Roman"/>
              </w:rPr>
              <w:t xml:space="preserve">the Company’s </w:t>
            </w:r>
            <w:r w:rsidR="00800F59">
              <w:rPr>
                <w:rFonts w:cs="Times New Roman"/>
              </w:rPr>
              <w:t xml:space="preserve">2016 </w:t>
            </w:r>
            <w:r w:rsidRPr="00E964EF">
              <w:rPr>
                <w:rFonts w:cs="Times New Roman"/>
              </w:rPr>
              <w:t xml:space="preserve">Outreach and Communications plan has been provided in </w:t>
            </w:r>
            <w:r w:rsidR="00AA17D5" w:rsidRPr="00432C28">
              <w:rPr>
                <w:rFonts w:cs="Times New Roman"/>
                <w:szCs w:val="24"/>
              </w:rPr>
              <w:t>“PacifiCorp’s Washin</w:t>
            </w:r>
            <w:r w:rsidR="00AA17D5">
              <w:rPr>
                <w:rFonts w:cs="Times New Roman"/>
                <w:szCs w:val="24"/>
              </w:rPr>
              <w:t>gton Demand-side Management 201</w:t>
            </w:r>
            <w:r w:rsidR="00180C29">
              <w:rPr>
                <w:rFonts w:cs="Times New Roman"/>
                <w:szCs w:val="24"/>
              </w:rPr>
              <w:t>6</w:t>
            </w:r>
            <w:r w:rsidR="00AA17D5">
              <w:rPr>
                <w:rFonts w:cs="Times New Roman"/>
                <w:szCs w:val="24"/>
              </w:rPr>
              <w:t>-201</w:t>
            </w:r>
            <w:r w:rsidR="00180C29">
              <w:rPr>
                <w:rFonts w:cs="Times New Roman"/>
                <w:szCs w:val="24"/>
              </w:rPr>
              <w:t>7</w:t>
            </w:r>
            <w:r w:rsidR="00AA17D5" w:rsidRPr="00432C28">
              <w:rPr>
                <w:rFonts w:cs="Times New Roman"/>
                <w:szCs w:val="24"/>
              </w:rPr>
              <w:t xml:space="preserve"> Business Plan.</w:t>
            </w:r>
            <w:r w:rsidR="00863D95" w:rsidRPr="00432C28">
              <w:rPr>
                <w:rFonts w:cs="Times New Roman"/>
                <w:szCs w:val="24"/>
              </w:rPr>
              <w:t>”,</w:t>
            </w:r>
            <w:r w:rsidRPr="00E964EF">
              <w:rPr>
                <w:rFonts w:cs="Times New Roman"/>
              </w:rPr>
              <w:t xml:space="preserve"> Appendix 7 to this report. </w:t>
            </w:r>
            <w:r w:rsidR="001E5053">
              <w:rPr>
                <w:rFonts w:cs="Times New Roman"/>
              </w:rPr>
              <w:t xml:space="preserve">Forecasted expenses for the plan </w:t>
            </w:r>
            <w:r w:rsidR="00092B29">
              <w:rPr>
                <w:rFonts w:cs="Times New Roman"/>
              </w:rPr>
              <w:t xml:space="preserve">are </w:t>
            </w:r>
            <w:r w:rsidR="00863D95">
              <w:rPr>
                <w:rFonts w:cs="Times New Roman"/>
              </w:rPr>
              <w:t xml:space="preserve">provided </w:t>
            </w:r>
            <w:r w:rsidR="00863D95" w:rsidRPr="00E964EF">
              <w:rPr>
                <w:rFonts w:cs="Times New Roman"/>
              </w:rPr>
              <w:t>as</w:t>
            </w:r>
            <w:r w:rsidRPr="00E964EF">
              <w:rPr>
                <w:rFonts w:cs="Times New Roman"/>
              </w:rPr>
              <w:t xml:space="preserve"> a line item in the DSM Business Plan budget (Appendix 7, Table 1).</w:t>
            </w:r>
            <w:r w:rsidR="001E5053">
              <w:rPr>
                <w:rFonts w:cs="Times New Roman"/>
              </w:rPr>
              <w:t xml:space="preserve"> </w:t>
            </w:r>
            <w:r w:rsidR="006B17D2">
              <w:rPr>
                <w:rFonts w:cs="Times New Roman"/>
              </w:rPr>
              <w:t xml:space="preserve">Outreach and </w:t>
            </w:r>
            <w:r w:rsidR="00863D95">
              <w:rPr>
                <w:rFonts w:cs="Times New Roman"/>
              </w:rPr>
              <w:t>Communication</w:t>
            </w:r>
            <w:r w:rsidR="006B17D2">
              <w:rPr>
                <w:rFonts w:cs="Times New Roman"/>
              </w:rPr>
              <w:t xml:space="preserve"> Plans for coming calendar years are presented for comment at the Company’s 4</w:t>
            </w:r>
            <w:r w:rsidR="006B17D2" w:rsidRPr="00863D95">
              <w:rPr>
                <w:rFonts w:cs="Times New Roman"/>
                <w:vertAlign w:val="superscript"/>
              </w:rPr>
              <w:t>th</w:t>
            </w:r>
            <w:r w:rsidR="006B17D2">
              <w:rPr>
                <w:rFonts w:cs="Times New Roman"/>
              </w:rPr>
              <w:t xml:space="preserve"> quarter DSM Advisory Group meetings each year. The 2015 plan was presented at the October 30, 2014 meeting.</w:t>
            </w:r>
            <w:r w:rsidR="00800F59">
              <w:rPr>
                <w:rFonts w:cs="Times New Roman"/>
              </w:rPr>
              <w:t xml:space="preserve"> </w:t>
            </w:r>
          </w:p>
        </w:tc>
      </w:tr>
    </w:tbl>
    <w:p w:rsidR="000422F4" w:rsidRDefault="000422F4">
      <w:r>
        <w:br w:type="page"/>
      </w:r>
    </w:p>
    <w:tbl>
      <w:tblPr>
        <w:tblStyle w:val="TableGrid"/>
        <w:tblW w:w="0" w:type="auto"/>
        <w:tblLook w:val="04A0" w:firstRow="1" w:lastRow="0" w:firstColumn="1" w:lastColumn="0" w:noHBand="0" w:noVBand="1"/>
      </w:tblPr>
      <w:tblGrid>
        <w:gridCol w:w="4824"/>
        <w:gridCol w:w="4752"/>
      </w:tblGrid>
      <w:tr w:rsidR="00E93BD3" w:rsidRPr="00432C28" w:rsidTr="00D11194">
        <w:trPr>
          <w:trHeight w:val="296"/>
        </w:trPr>
        <w:tc>
          <w:tcPr>
            <w:tcW w:w="0" w:type="auto"/>
            <w:gridSpan w:val="2"/>
          </w:tcPr>
          <w:p w:rsidR="0051328B" w:rsidRPr="00432C28" w:rsidRDefault="00E93BD3" w:rsidP="00A9246B">
            <w:pPr>
              <w:rPr>
                <w:rFonts w:cs="Times New Roman"/>
                <w:b/>
                <w:szCs w:val="24"/>
              </w:rPr>
            </w:pPr>
            <w:r w:rsidRPr="00432C28">
              <w:rPr>
                <w:rFonts w:cs="Times New Roman"/>
                <w:b/>
                <w:szCs w:val="24"/>
              </w:rPr>
              <w:t>Docket UE-</w:t>
            </w:r>
            <w:r w:rsidR="006E5D50">
              <w:rPr>
                <w:rFonts w:cs="Times New Roman"/>
                <w:b/>
                <w:szCs w:val="24"/>
              </w:rPr>
              <w:t>1</w:t>
            </w:r>
            <w:r w:rsidR="00A9246B">
              <w:rPr>
                <w:rFonts w:cs="Times New Roman"/>
                <w:b/>
                <w:szCs w:val="24"/>
              </w:rPr>
              <w:t>32047</w:t>
            </w:r>
            <w:r w:rsidRPr="00432C28">
              <w:rPr>
                <w:rFonts w:cs="Times New Roman"/>
                <w:b/>
                <w:szCs w:val="24"/>
              </w:rPr>
              <w:t xml:space="preserve"> Order 0</w:t>
            </w:r>
            <w:r w:rsidR="006E5D50">
              <w:rPr>
                <w:rFonts w:cs="Times New Roman"/>
                <w:b/>
                <w:szCs w:val="24"/>
              </w:rPr>
              <w:t>1</w:t>
            </w:r>
            <w:r w:rsidRPr="00432C28">
              <w:rPr>
                <w:rFonts w:cs="Times New Roman"/>
                <w:b/>
                <w:szCs w:val="24"/>
              </w:rPr>
              <w:t xml:space="preserve"> (7) (c)</w:t>
            </w:r>
          </w:p>
        </w:tc>
      </w:tr>
      <w:tr w:rsidR="001C59A7" w:rsidRPr="00432C28">
        <w:trPr>
          <w:trHeight w:val="395"/>
        </w:trPr>
        <w:tc>
          <w:tcPr>
            <w:tcW w:w="0" w:type="auto"/>
          </w:tcPr>
          <w:p w:rsidR="0051328B" w:rsidRPr="00432C28" w:rsidRDefault="001C59A7" w:rsidP="0051328B">
            <w:pPr>
              <w:rPr>
                <w:rFonts w:cs="Times New Roman"/>
              </w:rPr>
            </w:pPr>
            <w:r w:rsidRPr="00432C28">
              <w:rPr>
                <w:rFonts w:cs="Times New Roman"/>
              </w:rPr>
              <w:t>PacifiCorp must offer a cost-effective portfolio of programs in order to achieve all available conservation that is cost-effective, reliable and feasible.</w:t>
            </w:r>
            <w:r w:rsidR="00273D7A" w:rsidRPr="00432C28">
              <w:rPr>
                <w:rFonts w:cs="Times New Roman"/>
              </w:rPr>
              <w:t xml:space="preserve"> Programs, program services, and incentives may be directed to consumers, retailers, manufacturers, trade allies or other relevant market actors as appropriate for measures or activities that lead to electric energy savings.  Incentive levels and other methods of encouraging energy conservation need to be examined periodically for effectiveness in fulfilling the Company’s obligation under WAC 480</w:t>
            </w:r>
            <w:r w:rsidR="00273D7A" w:rsidRPr="00432C28">
              <w:rPr>
                <w:rFonts w:cs="Times New Roman"/>
              </w:rPr>
              <w:noBreakHyphen/>
              <w:t>109.  To the degree the portfolio remains cost-effective, incentive levels and implementation methods should not unnecessarily limit the acquisition of all achievable energy conservation.</w:t>
            </w:r>
          </w:p>
        </w:tc>
        <w:tc>
          <w:tcPr>
            <w:tcW w:w="0" w:type="auto"/>
          </w:tcPr>
          <w:p w:rsidR="0051328B" w:rsidRPr="00432C28" w:rsidRDefault="001C59A7" w:rsidP="00A9246B">
            <w:pPr>
              <w:rPr>
                <w:rFonts w:cs="Times New Roman"/>
                <w:szCs w:val="24"/>
              </w:rPr>
            </w:pPr>
            <w:r w:rsidRPr="00432C28">
              <w:rPr>
                <w:rFonts w:cs="Times New Roman"/>
                <w:szCs w:val="24"/>
              </w:rPr>
              <w:t>See Appendix 7</w:t>
            </w:r>
            <w:r w:rsidR="003C1E25" w:rsidRPr="00432C28">
              <w:rPr>
                <w:rFonts w:cs="Times New Roman"/>
                <w:szCs w:val="24"/>
              </w:rPr>
              <w:t xml:space="preserve"> to this report</w:t>
            </w:r>
            <w:r w:rsidRPr="00432C28">
              <w:rPr>
                <w:rFonts w:cs="Times New Roman"/>
                <w:szCs w:val="24"/>
              </w:rPr>
              <w:t>, “PacifiCorp’s Washin</w:t>
            </w:r>
            <w:r w:rsidR="006E5D50">
              <w:rPr>
                <w:rFonts w:cs="Times New Roman"/>
                <w:szCs w:val="24"/>
              </w:rPr>
              <w:t>gton Demand-side Management 201</w:t>
            </w:r>
            <w:r w:rsidR="00A9246B">
              <w:rPr>
                <w:rFonts w:cs="Times New Roman"/>
                <w:szCs w:val="24"/>
              </w:rPr>
              <w:t>6</w:t>
            </w:r>
            <w:r w:rsidR="006E5D50">
              <w:rPr>
                <w:rFonts w:cs="Times New Roman"/>
                <w:szCs w:val="24"/>
              </w:rPr>
              <w:t>-201</w:t>
            </w:r>
            <w:r w:rsidR="00A9246B">
              <w:rPr>
                <w:rFonts w:cs="Times New Roman"/>
                <w:szCs w:val="24"/>
              </w:rPr>
              <w:t>7</w:t>
            </w:r>
            <w:r w:rsidRPr="00432C28">
              <w:rPr>
                <w:rFonts w:cs="Times New Roman"/>
                <w:szCs w:val="24"/>
              </w:rPr>
              <w:t xml:space="preserve"> Business Plan</w:t>
            </w:r>
            <w:r w:rsidR="003C1E25" w:rsidRPr="00432C28">
              <w:rPr>
                <w:rFonts w:cs="Times New Roman"/>
                <w:szCs w:val="24"/>
              </w:rPr>
              <w:t>.</w:t>
            </w:r>
            <w:r w:rsidRPr="00432C28">
              <w:rPr>
                <w:rFonts w:cs="Times New Roman"/>
                <w:szCs w:val="24"/>
              </w:rPr>
              <w:t xml:space="preserve">” All the Company’s programs are evaluated for cost-effectiveness on a prospective </w:t>
            </w:r>
            <w:r w:rsidR="006F1904" w:rsidRPr="00432C28">
              <w:rPr>
                <w:rFonts w:cs="Times New Roman"/>
                <w:szCs w:val="24"/>
              </w:rPr>
              <w:t>or</w:t>
            </w:r>
            <w:r w:rsidRPr="00432C28">
              <w:rPr>
                <w:rFonts w:cs="Times New Roman"/>
                <w:szCs w:val="24"/>
              </w:rPr>
              <w:t xml:space="preserve"> filed basis, retrospectively each year in </w:t>
            </w:r>
            <w:r w:rsidR="00A9246B">
              <w:rPr>
                <w:rFonts w:cs="Times New Roman"/>
                <w:szCs w:val="24"/>
              </w:rPr>
              <w:t>June</w:t>
            </w:r>
            <w:r w:rsidRPr="00432C28">
              <w:rPr>
                <w:rFonts w:cs="Times New Roman"/>
                <w:szCs w:val="24"/>
              </w:rPr>
              <w:t xml:space="preserve"> in the Company’s annual activity reports, and in the course of the completion of impact evaluations. Incentives are established to promote customer participation</w:t>
            </w:r>
            <w:r w:rsidR="003C1E25" w:rsidRPr="00432C28">
              <w:rPr>
                <w:rFonts w:cs="Times New Roman"/>
                <w:szCs w:val="24"/>
              </w:rPr>
              <w:t>, while maintaining the cost effectiveness of the program and portfolio.</w:t>
            </w:r>
            <w:r w:rsidR="00A9246B">
              <w:rPr>
                <w:rFonts w:cs="Times New Roman"/>
                <w:szCs w:val="24"/>
              </w:rPr>
              <w:t xml:space="preserve">  </w:t>
            </w:r>
          </w:p>
        </w:tc>
      </w:tr>
      <w:tr w:rsidR="00E93BD3" w:rsidRPr="00432C28" w:rsidTr="002E6C6E">
        <w:trPr>
          <w:trHeight w:val="62"/>
        </w:trPr>
        <w:tc>
          <w:tcPr>
            <w:tcW w:w="0" w:type="auto"/>
            <w:gridSpan w:val="2"/>
          </w:tcPr>
          <w:p w:rsidR="00E93BD3" w:rsidRPr="00432C28" w:rsidRDefault="00E93BD3" w:rsidP="00504C73">
            <w:pPr>
              <w:rPr>
                <w:rFonts w:cs="Times New Roman"/>
                <w:b/>
                <w:szCs w:val="24"/>
              </w:rPr>
            </w:pPr>
            <w:r w:rsidRPr="00432C28">
              <w:rPr>
                <w:rFonts w:cs="Times New Roman"/>
              </w:rPr>
              <w:br w:type="page"/>
            </w:r>
            <w:r w:rsidRPr="00432C28">
              <w:rPr>
                <w:rFonts w:cs="Times New Roman"/>
                <w:b/>
                <w:szCs w:val="24"/>
              </w:rPr>
              <w:t>Docket UE-</w:t>
            </w:r>
            <w:r w:rsidR="006E5D50">
              <w:rPr>
                <w:rFonts w:cs="Times New Roman"/>
                <w:b/>
                <w:szCs w:val="24"/>
              </w:rPr>
              <w:t>1</w:t>
            </w:r>
            <w:r w:rsidR="00504C73">
              <w:rPr>
                <w:rFonts w:cs="Times New Roman"/>
                <w:b/>
                <w:szCs w:val="24"/>
              </w:rPr>
              <w:t>32047</w:t>
            </w:r>
            <w:r w:rsidR="006E5D50">
              <w:rPr>
                <w:rFonts w:cs="Times New Roman"/>
                <w:b/>
                <w:szCs w:val="24"/>
              </w:rPr>
              <w:t xml:space="preserve"> Order 01</w:t>
            </w:r>
            <w:r w:rsidRPr="00432C28">
              <w:rPr>
                <w:rFonts w:cs="Times New Roman"/>
                <w:b/>
                <w:szCs w:val="24"/>
              </w:rPr>
              <w:t xml:space="preserve"> (7) (d)</w:t>
            </w:r>
          </w:p>
        </w:tc>
      </w:tr>
      <w:tr w:rsidR="001C59A7" w:rsidRPr="00432C28">
        <w:trPr>
          <w:trHeight w:val="395"/>
        </w:trPr>
        <w:tc>
          <w:tcPr>
            <w:tcW w:w="0" w:type="auto"/>
          </w:tcPr>
          <w:p w:rsidR="0051328B" w:rsidRPr="00432C28" w:rsidRDefault="003C1E25" w:rsidP="006E5D50">
            <w:pPr>
              <w:rPr>
                <w:rFonts w:cs="Times New Roman"/>
              </w:rPr>
            </w:pPr>
            <w:r w:rsidRPr="00432C28">
              <w:rPr>
                <w:rFonts w:cs="Times New Roman"/>
              </w:rPr>
              <w:t>PacifiCorp may spend up to 10 percent of its conservation budget on programs whose savings impact has not yet been measured, as long as the overall portfolio of conservation passes the Total Resource Cost (TRC) test. These programs may include educational, behavior change, and pilot projects. The Company may ask the Commission to modify this spending limit following full Advisory Group consultation.</w:t>
            </w:r>
          </w:p>
        </w:tc>
        <w:tc>
          <w:tcPr>
            <w:tcW w:w="0" w:type="auto"/>
          </w:tcPr>
          <w:p w:rsidR="0051328B" w:rsidRPr="00432C28" w:rsidRDefault="001C59A7" w:rsidP="002A70F0">
            <w:pPr>
              <w:rPr>
                <w:rFonts w:cs="Times New Roman"/>
                <w:szCs w:val="24"/>
              </w:rPr>
            </w:pPr>
            <w:r w:rsidRPr="002A70F0">
              <w:rPr>
                <w:rFonts w:cs="Times New Roman"/>
                <w:szCs w:val="24"/>
              </w:rPr>
              <w:t>See Appendix 7</w:t>
            </w:r>
            <w:r w:rsidR="003C1E25" w:rsidRPr="002A70F0">
              <w:rPr>
                <w:rFonts w:cs="Times New Roman"/>
                <w:szCs w:val="24"/>
              </w:rPr>
              <w:t xml:space="preserve"> to this report</w:t>
            </w:r>
            <w:r w:rsidRPr="002A70F0">
              <w:rPr>
                <w:rFonts w:cs="Times New Roman"/>
                <w:szCs w:val="24"/>
              </w:rPr>
              <w:t>, “PacifiCorp’s Washin</w:t>
            </w:r>
            <w:r w:rsidR="006E5D50" w:rsidRPr="002A70F0">
              <w:rPr>
                <w:rFonts w:cs="Times New Roman"/>
                <w:szCs w:val="24"/>
              </w:rPr>
              <w:t>gton Demand-side Management 201</w:t>
            </w:r>
            <w:r w:rsidR="00504C73" w:rsidRPr="002A70F0">
              <w:rPr>
                <w:rFonts w:cs="Times New Roman"/>
                <w:szCs w:val="24"/>
              </w:rPr>
              <w:t>6</w:t>
            </w:r>
            <w:r w:rsidR="006E5D50" w:rsidRPr="002A70F0">
              <w:rPr>
                <w:rFonts w:cs="Times New Roman"/>
                <w:szCs w:val="24"/>
              </w:rPr>
              <w:t>-201</w:t>
            </w:r>
            <w:r w:rsidR="00504C73" w:rsidRPr="002A70F0">
              <w:rPr>
                <w:rFonts w:cs="Times New Roman"/>
                <w:szCs w:val="24"/>
              </w:rPr>
              <w:t>7</w:t>
            </w:r>
            <w:r w:rsidRPr="002A70F0">
              <w:rPr>
                <w:rFonts w:cs="Times New Roman"/>
                <w:szCs w:val="24"/>
              </w:rPr>
              <w:t xml:space="preserve"> Business Plan</w:t>
            </w:r>
            <w:r w:rsidR="003C1E25" w:rsidRPr="002A70F0">
              <w:rPr>
                <w:rFonts w:cs="Times New Roman"/>
                <w:szCs w:val="24"/>
              </w:rPr>
              <w:t>.</w:t>
            </w:r>
            <w:r w:rsidRPr="002A70F0">
              <w:rPr>
                <w:rFonts w:cs="Times New Roman"/>
                <w:szCs w:val="24"/>
              </w:rPr>
              <w:t xml:space="preserve">” As described in the Business Plan, the only conservation effort without EM&amp;V is the </w:t>
            </w:r>
            <w:r w:rsidR="00BA686B" w:rsidRPr="002A70F0">
              <w:rPr>
                <w:rFonts w:cs="Times New Roman"/>
                <w:szCs w:val="24"/>
              </w:rPr>
              <w:t>“</w:t>
            </w:r>
            <w:r w:rsidR="001E5053" w:rsidRPr="002A70F0">
              <w:rPr>
                <w:rFonts w:cs="Times New Roman"/>
                <w:szCs w:val="24"/>
              </w:rPr>
              <w:t xml:space="preserve">Be </w:t>
            </w:r>
            <w:r w:rsidR="00E32FC0" w:rsidRPr="002A70F0">
              <w:rPr>
                <w:rFonts w:cs="Times New Roman"/>
                <w:b/>
                <w:i/>
                <w:szCs w:val="24"/>
              </w:rPr>
              <w:t>watt</w:t>
            </w:r>
            <w:r w:rsidR="00BA686B" w:rsidRPr="002A70F0">
              <w:rPr>
                <w:rFonts w:cs="Times New Roman"/>
                <w:szCs w:val="24"/>
              </w:rPr>
              <w:t>s</w:t>
            </w:r>
            <w:r w:rsidR="001E5053" w:rsidRPr="002A70F0">
              <w:rPr>
                <w:rFonts w:cs="Times New Roman"/>
                <w:szCs w:val="24"/>
              </w:rPr>
              <w:t>mart, Begin at Home</w:t>
            </w:r>
            <w:r w:rsidR="00BA686B" w:rsidRPr="002A70F0">
              <w:rPr>
                <w:rFonts w:cs="Times New Roman"/>
                <w:szCs w:val="24"/>
              </w:rPr>
              <w:t>”</w:t>
            </w:r>
            <w:r w:rsidR="001E5053" w:rsidRPr="002A70F0">
              <w:rPr>
                <w:rFonts w:cs="Times New Roman"/>
                <w:szCs w:val="24"/>
              </w:rPr>
              <w:t xml:space="preserve"> school initiative. </w:t>
            </w:r>
            <w:r w:rsidR="00E32FC0" w:rsidRPr="002A70F0">
              <w:rPr>
                <w:rFonts w:cs="Times New Roman"/>
                <w:szCs w:val="24"/>
              </w:rPr>
              <w:t xml:space="preserve">Forecasted </w:t>
            </w:r>
            <w:r w:rsidR="00092202" w:rsidRPr="002A70F0">
              <w:rPr>
                <w:rFonts w:cs="Times New Roman"/>
                <w:szCs w:val="24"/>
              </w:rPr>
              <w:t>expenditures for this effort during the biennial period are $</w:t>
            </w:r>
            <w:r w:rsidR="00800F59" w:rsidRPr="002A70F0">
              <w:rPr>
                <w:rFonts w:cs="Times New Roman"/>
                <w:szCs w:val="24"/>
              </w:rPr>
              <w:t>121,894 and</w:t>
            </w:r>
            <w:r w:rsidR="00092202" w:rsidRPr="002A70F0">
              <w:rPr>
                <w:rFonts w:cs="Times New Roman"/>
                <w:szCs w:val="24"/>
              </w:rPr>
              <w:t xml:space="preserve"> represent </w:t>
            </w:r>
            <w:r w:rsidR="002A70F0" w:rsidRPr="002A70F0">
              <w:rPr>
                <w:rFonts w:cs="Times New Roman"/>
                <w:szCs w:val="24"/>
              </w:rPr>
              <w:t>0</w:t>
            </w:r>
            <w:r w:rsidR="00800F59" w:rsidRPr="002A70F0">
              <w:rPr>
                <w:rFonts w:cs="Times New Roman"/>
                <w:szCs w:val="24"/>
              </w:rPr>
              <w:t xml:space="preserve">.5 </w:t>
            </w:r>
            <w:r w:rsidR="00600E96" w:rsidRPr="002A70F0">
              <w:rPr>
                <w:rFonts w:cs="Times New Roman"/>
                <w:szCs w:val="24"/>
              </w:rPr>
              <w:t>percent</w:t>
            </w:r>
            <w:r w:rsidR="00092202" w:rsidRPr="002A70F0">
              <w:rPr>
                <w:rFonts w:cs="Times New Roman"/>
                <w:szCs w:val="24"/>
              </w:rPr>
              <w:t xml:space="preserve"> of the preliminary </w:t>
            </w:r>
            <w:r w:rsidR="00800F59" w:rsidRPr="002A70F0">
              <w:rPr>
                <w:rFonts w:cs="Times New Roman"/>
                <w:szCs w:val="24"/>
              </w:rPr>
              <w:t xml:space="preserve">PacifiCorp conservation </w:t>
            </w:r>
            <w:r w:rsidR="00092202" w:rsidRPr="002A70F0">
              <w:rPr>
                <w:rFonts w:cs="Times New Roman"/>
                <w:szCs w:val="24"/>
              </w:rPr>
              <w:t>budget of $</w:t>
            </w:r>
            <w:r w:rsidR="002A70F0" w:rsidRPr="002A70F0">
              <w:rPr>
                <w:rFonts w:cs="Times New Roman"/>
                <w:szCs w:val="24"/>
              </w:rPr>
              <w:t>22,739,078</w:t>
            </w:r>
            <w:r w:rsidR="00092202" w:rsidRPr="002A70F0">
              <w:rPr>
                <w:rFonts w:cs="Times New Roman"/>
                <w:szCs w:val="24"/>
              </w:rPr>
              <w:t>.</w:t>
            </w:r>
          </w:p>
        </w:tc>
      </w:tr>
    </w:tbl>
    <w:p w:rsidR="00412577" w:rsidRPr="00432C28" w:rsidRDefault="00412577" w:rsidP="00405424">
      <w:pPr>
        <w:rPr>
          <w:rFonts w:cs="Times New Roman"/>
        </w:rPr>
      </w:pPr>
      <w:r w:rsidRPr="00432C28">
        <w:rPr>
          <w:rFonts w:cs="Times New Roman"/>
        </w:rPr>
        <w:br w:type="page"/>
      </w:r>
    </w:p>
    <w:tbl>
      <w:tblPr>
        <w:tblStyle w:val="TableGrid"/>
        <w:tblW w:w="0" w:type="auto"/>
        <w:tblLook w:val="04A0" w:firstRow="1" w:lastRow="0" w:firstColumn="1" w:lastColumn="0" w:noHBand="0" w:noVBand="1"/>
      </w:tblPr>
      <w:tblGrid>
        <w:gridCol w:w="4918"/>
        <w:gridCol w:w="4658"/>
      </w:tblGrid>
      <w:tr w:rsidR="00E93BD3" w:rsidRPr="00432C28" w:rsidTr="002E6C6E">
        <w:trPr>
          <w:trHeight w:val="170"/>
        </w:trPr>
        <w:tc>
          <w:tcPr>
            <w:tcW w:w="0" w:type="auto"/>
            <w:gridSpan w:val="2"/>
          </w:tcPr>
          <w:p w:rsidR="00E93BD3" w:rsidRPr="00432C28" w:rsidRDefault="00E93BD3" w:rsidP="00EE4DBE">
            <w:pPr>
              <w:rPr>
                <w:rFonts w:cs="Times New Roman"/>
                <w:b/>
                <w:szCs w:val="24"/>
              </w:rPr>
            </w:pPr>
            <w:r w:rsidRPr="00432C28">
              <w:rPr>
                <w:rFonts w:cs="Times New Roman"/>
                <w:b/>
                <w:szCs w:val="24"/>
              </w:rPr>
              <w:t>Docket UE-</w:t>
            </w:r>
            <w:r w:rsidR="006E5D50">
              <w:rPr>
                <w:rFonts w:cs="Times New Roman"/>
                <w:b/>
                <w:szCs w:val="24"/>
              </w:rPr>
              <w:t>1</w:t>
            </w:r>
            <w:r w:rsidR="00EE4DBE">
              <w:rPr>
                <w:rFonts w:cs="Times New Roman"/>
                <w:b/>
                <w:szCs w:val="24"/>
              </w:rPr>
              <w:t>32047</w:t>
            </w:r>
            <w:r w:rsidR="006E5D50">
              <w:rPr>
                <w:rFonts w:cs="Times New Roman"/>
                <w:b/>
                <w:szCs w:val="24"/>
              </w:rPr>
              <w:t xml:space="preserve"> Order 01</w:t>
            </w:r>
            <w:r w:rsidRPr="00432C28">
              <w:rPr>
                <w:rFonts w:cs="Times New Roman"/>
                <w:b/>
                <w:szCs w:val="24"/>
              </w:rPr>
              <w:t xml:space="preserve"> (8) (</w:t>
            </w:r>
            <w:r w:rsidR="00EE4DBE">
              <w:rPr>
                <w:rFonts w:cs="Times New Roman"/>
                <w:b/>
                <w:szCs w:val="24"/>
              </w:rPr>
              <w:t>d</w:t>
            </w:r>
            <w:r w:rsidRPr="00432C28">
              <w:rPr>
                <w:rFonts w:cs="Times New Roman"/>
                <w:b/>
                <w:szCs w:val="24"/>
              </w:rPr>
              <w:t>)</w:t>
            </w:r>
            <w:r w:rsidR="00692368">
              <w:rPr>
                <w:rFonts w:cs="Times New Roman"/>
                <w:b/>
                <w:szCs w:val="24"/>
              </w:rPr>
              <w:t xml:space="preserve"> &amp; WAC 480-109-120 (1)</w:t>
            </w:r>
            <w:r w:rsidR="00AE6AFC">
              <w:rPr>
                <w:rFonts w:cs="Times New Roman"/>
                <w:b/>
                <w:szCs w:val="24"/>
              </w:rPr>
              <w:t xml:space="preserve"> (a) &amp; (2)</w:t>
            </w:r>
            <w:r w:rsidRPr="00432C28">
              <w:rPr>
                <w:rFonts w:cs="Times New Roman"/>
                <w:b/>
                <w:szCs w:val="24"/>
              </w:rPr>
              <w:t xml:space="preserve"> </w:t>
            </w:r>
          </w:p>
        </w:tc>
      </w:tr>
      <w:tr w:rsidR="009B7D7C" w:rsidRPr="00432C28" w:rsidTr="00E32FC0">
        <w:trPr>
          <w:trHeight w:val="2492"/>
        </w:trPr>
        <w:tc>
          <w:tcPr>
            <w:tcW w:w="0" w:type="auto"/>
          </w:tcPr>
          <w:p w:rsidR="0051328B" w:rsidRPr="00432C28" w:rsidRDefault="001C59A7" w:rsidP="0051328B">
            <w:pPr>
              <w:rPr>
                <w:rFonts w:cs="Times New Roman"/>
                <w:szCs w:val="24"/>
              </w:rPr>
            </w:pPr>
            <w:r w:rsidRPr="00432C28">
              <w:rPr>
                <w:rFonts w:cs="Times New Roman"/>
                <w:szCs w:val="24"/>
              </w:rPr>
              <w:t xml:space="preserve">Required </w:t>
            </w:r>
            <w:r w:rsidR="003C1E25" w:rsidRPr="00432C28">
              <w:rPr>
                <w:rFonts w:cs="Times New Roman"/>
                <w:szCs w:val="24"/>
              </w:rPr>
              <w:t>r</w:t>
            </w:r>
            <w:r w:rsidRPr="00432C28">
              <w:rPr>
                <w:rFonts w:cs="Times New Roman"/>
                <w:szCs w:val="24"/>
              </w:rPr>
              <w:t xml:space="preserve">eports and </w:t>
            </w:r>
            <w:r w:rsidR="003C1E25" w:rsidRPr="00432C28">
              <w:rPr>
                <w:rFonts w:cs="Times New Roman"/>
                <w:szCs w:val="24"/>
              </w:rPr>
              <w:t>f</w:t>
            </w:r>
            <w:r w:rsidRPr="00432C28">
              <w:rPr>
                <w:rFonts w:cs="Times New Roman"/>
                <w:szCs w:val="24"/>
              </w:rPr>
              <w:t>ilings.</w:t>
            </w:r>
            <w:r w:rsidR="00EE4DBE">
              <w:rPr>
                <w:rFonts w:cs="Times New Roman"/>
                <w:szCs w:val="24"/>
              </w:rPr>
              <w:t xml:space="preserve"> A Biennial Conservation Plan, including revised program details and program tariffs together with identification of 2016-2025 achievable conservation potential, by November 1, 2015.</w:t>
            </w:r>
          </w:p>
        </w:tc>
        <w:tc>
          <w:tcPr>
            <w:tcW w:w="0" w:type="auto"/>
          </w:tcPr>
          <w:p w:rsidR="009861AF" w:rsidRPr="007D0E7F" w:rsidRDefault="009861AF" w:rsidP="009861AF">
            <w:pPr>
              <w:spacing w:after="100" w:afterAutospacing="1"/>
              <w:rPr>
                <w:rFonts w:eastAsiaTheme="majorEastAsia" w:cs="Times New Roman"/>
                <w:szCs w:val="24"/>
              </w:rPr>
            </w:pPr>
            <w:r>
              <w:rPr>
                <w:rFonts w:cs="Times New Roman"/>
              </w:rPr>
              <w:t>The filing by October 30, 2015 of “</w:t>
            </w:r>
            <w:r w:rsidRPr="007D0E7F">
              <w:rPr>
                <w:rFonts w:eastAsiaTheme="majorEastAsia" w:cs="Times New Roman"/>
                <w:szCs w:val="24"/>
              </w:rPr>
              <w:t>PacifiCorp’s Ten-Year Conservation Potential and 2016 - 2017 Biennial Conservation Target for its Washington Service Area</w:t>
            </w:r>
            <w:r>
              <w:rPr>
                <w:rFonts w:eastAsiaTheme="majorEastAsia" w:cs="Times New Roman"/>
                <w:szCs w:val="24"/>
              </w:rPr>
              <w:t xml:space="preserve">,” this </w:t>
            </w:r>
            <w:r w:rsidR="009334E9">
              <w:rPr>
                <w:rFonts w:eastAsiaTheme="majorEastAsia" w:cs="Times New Roman"/>
                <w:szCs w:val="24"/>
              </w:rPr>
              <w:t>report</w:t>
            </w:r>
            <w:r>
              <w:rPr>
                <w:rFonts w:eastAsiaTheme="majorEastAsia" w:cs="Times New Roman"/>
                <w:szCs w:val="24"/>
              </w:rPr>
              <w:t xml:space="preserve">, and its supporting materials, satisfies the Company’s requirement for 2015. </w:t>
            </w:r>
          </w:p>
          <w:p w:rsidR="0051328B" w:rsidRPr="00E32FC0" w:rsidRDefault="00AA5C95" w:rsidP="00EE4DBE">
            <w:pPr>
              <w:rPr>
                <w:color w:val="1F497D"/>
              </w:rPr>
            </w:pPr>
            <w:r>
              <w:rPr>
                <w:color w:val="1F497D"/>
              </w:rPr>
              <w:t xml:space="preserve"> </w:t>
            </w:r>
          </w:p>
        </w:tc>
      </w:tr>
      <w:tr w:rsidR="00E93BD3" w:rsidRPr="00432C28" w:rsidTr="002E6C6E">
        <w:trPr>
          <w:trHeight w:val="71"/>
        </w:trPr>
        <w:tc>
          <w:tcPr>
            <w:tcW w:w="0" w:type="auto"/>
            <w:gridSpan w:val="2"/>
          </w:tcPr>
          <w:p w:rsidR="00E93BD3" w:rsidRPr="00432C28" w:rsidRDefault="00E93BD3" w:rsidP="00AE6AFC">
            <w:pPr>
              <w:rPr>
                <w:rFonts w:cs="Times New Roman"/>
                <w:b/>
                <w:szCs w:val="24"/>
              </w:rPr>
            </w:pPr>
            <w:r w:rsidRPr="00432C28">
              <w:rPr>
                <w:rFonts w:cs="Times New Roman"/>
                <w:b/>
                <w:szCs w:val="24"/>
              </w:rPr>
              <w:t>Docket UE-</w:t>
            </w:r>
            <w:r w:rsidR="00EA68E4">
              <w:rPr>
                <w:rFonts w:cs="Times New Roman"/>
                <w:b/>
                <w:szCs w:val="24"/>
              </w:rPr>
              <w:t>1</w:t>
            </w:r>
            <w:r w:rsidR="00AE6AFC">
              <w:rPr>
                <w:rFonts w:cs="Times New Roman"/>
                <w:b/>
                <w:szCs w:val="24"/>
              </w:rPr>
              <w:t>32047</w:t>
            </w:r>
            <w:r w:rsidR="00EA68E4">
              <w:rPr>
                <w:rFonts w:cs="Times New Roman"/>
                <w:b/>
                <w:szCs w:val="24"/>
              </w:rPr>
              <w:t xml:space="preserve"> Order 01</w:t>
            </w:r>
            <w:r w:rsidRPr="00432C28">
              <w:rPr>
                <w:rFonts w:cs="Times New Roman"/>
                <w:b/>
                <w:szCs w:val="24"/>
              </w:rPr>
              <w:t xml:space="preserve"> (9) (a) &amp; (b)</w:t>
            </w:r>
            <w:r w:rsidR="00AE6AFC">
              <w:rPr>
                <w:rFonts w:cs="Times New Roman"/>
                <w:b/>
                <w:szCs w:val="24"/>
              </w:rPr>
              <w:t xml:space="preserve"> &amp; WAC 480-109-110 (1) (k)</w:t>
            </w:r>
          </w:p>
        </w:tc>
      </w:tr>
      <w:tr w:rsidR="009B7D7C" w:rsidRPr="00432C28">
        <w:trPr>
          <w:trHeight w:val="395"/>
        </w:trPr>
        <w:tc>
          <w:tcPr>
            <w:tcW w:w="0" w:type="auto"/>
          </w:tcPr>
          <w:p w:rsidR="0051328B" w:rsidRPr="00432C28" w:rsidRDefault="001C59A7" w:rsidP="00AE6AFC">
            <w:pPr>
              <w:rPr>
                <w:rFonts w:cs="Times New Roman"/>
                <w:szCs w:val="24"/>
              </w:rPr>
            </w:pPr>
            <w:r w:rsidRPr="00432C28">
              <w:rPr>
                <w:rFonts w:cs="Times New Roman"/>
                <w:szCs w:val="24"/>
              </w:rPr>
              <w:t>Required Public Involve</w:t>
            </w:r>
            <w:r w:rsidR="00EA68E4">
              <w:rPr>
                <w:rFonts w:cs="Times New Roman"/>
                <w:szCs w:val="24"/>
              </w:rPr>
              <w:t>ment in Preparation for the 201</w:t>
            </w:r>
            <w:r w:rsidR="00AE6AFC">
              <w:rPr>
                <w:rFonts w:cs="Times New Roman"/>
                <w:szCs w:val="24"/>
              </w:rPr>
              <w:t>6</w:t>
            </w:r>
            <w:r w:rsidR="00EA68E4">
              <w:rPr>
                <w:rFonts w:cs="Times New Roman"/>
                <w:szCs w:val="24"/>
              </w:rPr>
              <w:t>-201</w:t>
            </w:r>
            <w:r w:rsidR="00AE6AFC">
              <w:rPr>
                <w:rFonts w:cs="Times New Roman"/>
                <w:szCs w:val="24"/>
              </w:rPr>
              <w:t>7</w:t>
            </w:r>
            <w:r w:rsidRPr="00432C28">
              <w:rPr>
                <w:rFonts w:cs="Times New Roman"/>
                <w:szCs w:val="24"/>
              </w:rPr>
              <w:t xml:space="preserve"> Biennium.</w:t>
            </w:r>
          </w:p>
        </w:tc>
        <w:tc>
          <w:tcPr>
            <w:tcW w:w="0" w:type="auto"/>
          </w:tcPr>
          <w:p w:rsidR="0051328B" w:rsidRPr="00432C28" w:rsidRDefault="001C59A7" w:rsidP="00AE6AFC">
            <w:pPr>
              <w:rPr>
                <w:rFonts w:cs="Times New Roman"/>
                <w:szCs w:val="24"/>
              </w:rPr>
            </w:pPr>
            <w:r w:rsidRPr="00432C28">
              <w:rPr>
                <w:rFonts w:cs="Times New Roman"/>
                <w:szCs w:val="24"/>
              </w:rPr>
              <w:t>See “Stakeholder Engagement” section of this report for an outline of the public process</w:t>
            </w:r>
            <w:r w:rsidR="00DA278E" w:rsidRPr="00432C28">
              <w:rPr>
                <w:rFonts w:cs="Times New Roman"/>
                <w:szCs w:val="24"/>
              </w:rPr>
              <w:t xml:space="preserve"> the Company facilitated in the </w:t>
            </w:r>
            <w:r w:rsidR="00EA68E4">
              <w:rPr>
                <w:rFonts w:cs="Times New Roman"/>
                <w:szCs w:val="24"/>
              </w:rPr>
              <w:t>development of its proposed 201</w:t>
            </w:r>
            <w:r w:rsidR="00AE6AFC">
              <w:rPr>
                <w:rFonts w:cs="Times New Roman"/>
                <w:szCs w:val="24"/>
              </w:rPr>
              <w:t>6</w:t>
            </w:r>
            <w:r w:rsidR="00EA68E4">
              <w:rPr>
                <w:rFonts w:cs="Times New Roman"/>
                <w:szCs w:val="24"/>
              </w:rPr>
              <w:t>-202</w:t>
            </w:r>
            <w:r w:rsidR="00AE6AFC">
              <w:rPr>
                <w:rFonts w:cs="Times New Roman"/>
                <w:szCs w:val="24"/>
              </w:rPr>
              <w:t>5</w:t>
            </w:r>
            <w:r w:rsidR="00DA278E" w:rsidRPr="00432C28">
              <w:rPr>
                <w:rFonts w:cs="Times New Roman"/>
                <w:szCs w:val="24"/>
              </w:rPr>
              <w:t xml:space="preserve"> ten year conservation </w:t>
            </w:r>
            <w:r w:rsidR="00EA68E4">
              <w:rPr>
                <w:rFonts w:cs="Times New Roman"/>
                <w:szCs w:val="24"/>
              </w:rPr>
              <w:t>potential forecast and 201</w:t>
            </w:r>
            <w:r w:rsidR="00AE6AFC">
              <w:rPr>
                <w:rFonts w:cs="Times New Roman"/>
                <w:szCs w:val="24"/>
              </w:rPr>
              <w:t>6</w:t>
            </w:r>
            <w:r w:rsidR="00EA68E4">
              <w:rPr>
                <w:rFonts w:cs="Times New Roman"/>
                <w:szCs w:val="24"/>
              </w:rPr>
              <w:t>-201</w:t>
            </w:r>
            <w:r w:rsidR="00AE6AFC">
              <w:rPr>
                <w:rFonts w:cs="Times New Roman"/>
                <w:szCs w:val="24"/>
              </w:rPr>
              <w:t>7</w:t>
            </w:r>
            <w:r w:rsidR="00DA278E" w:rsidRPr="00432C28">
              <w:rPr>
                <w:rFonts w:cs="Times New Roman"/>
                <w:szCs w:val="24"/>
              </w:rPr>
              <w:t xml:space="preserve"> biennial target.</w:t>
            </w:r>
          </w:p>
        </w:tc>
      </w:tr>
      <w:tr w:rsidR="00E93BD3" w:rsidRPr="00432C28" w:rsidTr="002E6C6E">
        <w:trPr>
          <w:trHeight w:val="62"/>
        </w:trPr>
        <w:tc>
          <w:tcPr>
            <w:tcW w:w="0" w:type="auto"/>
            <w:gridSpan w:val="2"/>
          </w:tcPr>
          <w:p w:rsidR="00E93BD3" w:rsidRPr="00432C28" w:rsidRDefault="00E93BD3" w:rsidP="00283B6F">
            <w:pPr>
              <w:rPr>
                <w:rFonts w:cs="Times New Roman"/>
                <w:b/>
                <w:szCs w:val="24"/>
              </w:rPr>
            </w:pPr>
            <w:r w:rsidRPr="00432C28">
              <w:rPr>
                <w:rFonts w:cs="Times New Roman"/>
                <w:b/>
                <w:szCs w:val="24"/>
              </w:rPr>
              <w:t>Docket UE-</w:t>
            </w:r>
            <w:r w:rsidR="00857013">
              <w:rPr>
                <w:rFonts w:cs="Times New Roman"/>
                <w:b/>
                <w:szCs w:val="24"/>
              </w:rPr>
              <w:t>1</w:t>
            </w:r>
            <w:r w:rsidR="00283B6F">
              <w:rPr>
                <w:rFonts w:cs="Times New Roman"/>
                <w:b/>
                <w:szCs w:val="24"/>
              </w:rPr>
              <w:t>32047</w:t>
            </w:r>
            <w:r w:rsidR="00857013">
              <w:rPr>
                <w:rFonts w:cs="Times New Roman"/>
                <w:b/>
                <w:szCs w:val="24"/>
              </w:rPr>
              <w:t xml:space="preserve"> Order 01</w:t>
            </w:r>
            <w:r w:rsidRPr="00432C28">
              <w:rPr>
                <w:rFonts w:cs="Times New Roman"/>
                <w:b/>
                <w:szCs w:val="24"/>
              </w:rPr>
              <w:t xml:space="preserve"> (10) (a) - (c)</w:t>
            </w:r>
            <w:r w:rsidR="00283B6F">
              <w:rPr>
                <w:rFonts w:cs="Times New Roman"/>
                <w:b/>
                <w:szCs w:val="24"/>
              </w:rPr>
              <w:t xml:space="preserve"> &amp; WAC 480-109-100 (8) &amp; (10)</w:t>
            </w:r>
          </w:p>
        </w:tc>
      </w:tr>
      <w:tr w:rsidR="009B7D7C" w:rsidRPr="00432C28">
        <w:trPr>
          <w:trHeight w:val="395"/>
        </w:trPr>
        <w:tc>
          <w:tcPr>
            <w:tcW w:w="0" w:type="auto"/>
          </w:tcPr>
          <w:p w:rsidR="0051328B" w:rsidRDefault="001C59A7" w:rsidP="004D621A">
            <w:pPr>
              <w:rPr>
                <w:rFonts w:cs="Times New Roman"/>
                <w:szCs w:val="24"/>
              </w:rPr>
            </w:pPr>
            <w:r w:rsidRPr="00432C28">
              <w:rPr>
                <w:rFonts w:cs="Times New Roman"/>
                <w:szCs w:val="24"/>
              </w:rPr>
              <w:t>Cost effectiveness Test is the Total Resource Cost Test</w:t>
            </w:r>
            <w:r w:rsidR="000B23D1">
              <w:rPr>
                <w:rFonts w:cs="Times New Roman"/>
                <w:szCs w:val="24"/>
              </w:rPr>
              <w:t>, as modified by the Council</w:t>
            </w:r>
            <w:r w:rsidRPr="00432C28">
              <w:rPr>
                <w:rFonts w:cs="Times New Roman"/>
                <w:szCs w:val="24"/>
              </w:rPr>
              <w:t>.</w:t>
            </w:r>
          </w:p>
          <w:p w:rsidR="00283B6F" w:rsidRDefault="00283B6F" w:rsidP="004D621A">
            <w:pPr>
              <w:rPr>
                <w:rFonts w:cs="Times New Roman"/>
                <w:szCs w:val="24"/>
              </w:rPr>
            </w:pPr>
          </w:p>
          <w:p w:rsidR="00283B6F" w:rsidRPr="00432C28" w:rsidRDefault="00283B6F" w:rsidP="004D621A">
            <w:pPr>
              <w:rPr>
                <w:rFonts w:cs="Times New Roman"/>
                <w:szCs w:val="24"/>
              </w:rPr>
            </w:pPr>
            <w:r>
              <w:rPr>
                <w:rFonts w:cs="Times New Roman"/>
                <w:szCs w:val="24"/>
              </w:rPr>
              <w:t>WAC 480-109-100 (10) provides alternative agency cost justification tests for low-income conservation measures/programs.</w:t>
            </w:r>
          </w:p>
        </w:tc>
        <w:tc>
          <w:tcPr>
            <w:tcW w:w="0" w:type="auto"/>
          </w:tcPr>
          <w:p w:rsidR="0051328B" w:rsidRPr="00432C28" w:rsidRDefault="001C59A7" w:rsidP="00165F90">
            <w:pPr>
              <w:rPr>
                <w:rFonts w:cs="Times New Roman"/>
                <w:szCs w:val="24"/>
              </w:rPr>
            </w:pPr>
            <w:r w:rsidRPr="002A70F0">
              <w:rPr>
                <w:rFonts w:cs="Times New Roman"/>
                <w:szCs w:val="24"/>
              </w:rPr>
              <w:t>See Appendix 3</w:t>
            </w:r>
            <w:r w:rsidR="00A11D98" w:rsidRPr="00432C28">
              <w:rPr>
                <w:rFonts w:cs="Times New Roman"/>
                <w:szCs w:val="24"/>
              </w:rPr>
              <w:t xml:space="preserve"> to this report</w:t>
            </w:r>
            <w:r w:rsidRPr="00432C28">
              <w:rPr>
                <w:rFonts w:cs="Times New Roman"/>
                <w:szCs w:val="24"/>
              </w:rPr>
              <w:t>, “Comparison of Regional Methodologies</w:t>
            </w:r>
            <w:r w:rsidR="00A11D98" w:rsidRPr="00432C28">
              <w:rPr>
                <w:rFonts w:cs="Times New Roman"/>
                <w:szCs w:val="24"/>
              </w:rPr>
              <w:t>.</w:t>
            </w:r>
            <w:r w:rsidRPr="00432C28">
              <w:rPr>
                <w:rFonts w:cs="Times New Roman"/>
                <w:szCs w:val="24"/>
              </w:rPr>
              <w:t>” In addition to resource planning and avoided cost development methodology comparisons provides information on how the Company’s Total Resource Cost calculation complies with the cost-effectiveness definition (RCW 80.52.030(8)</w:t>
            </w:r>
            <w:r w:rsidR="00A11D98" w:rsidRPr="00432C28">
              <w:rPr>
                <w:rFonts w:cs="Times New Roman"/>
                <w:szCs w:val="24"/>
              </w:rPr>
              <w:t>)</w:t>
            </w:r>
            <w:r w:rsidRPr="00432C28">
              <w:rPr>
                <w:rFonts w:cs="Times New Roman"/>
                <w:szCs w:val="24"/>
              </w:rPr>
              <w:t xml:space="preserve"> and incorporates the </w:t>
            </w:r>
            <w:r w:rsidR="00E430C9">
              <w:rPr>
                <w:rFonts w:cs="Times New Roman"/>
                <w:szCs w:val="24"/>
              </w:rPr>
              <w:t>ten</w:t>
            </w:r>
            <w:r w:rsidRPr="00432C28">
              <w:rPr>
                <w:rFonts w:cs="Times New Roman"/>
                <w:szCs w:val="24"/>
              </w:rPr>
              <w:t xml:space="preserve"> percent conservation benefit and a risk adder consistent with the Council’s approach. </w:t>
            </w:r>
            <w:r w:rsidR="003D240A" w:rsidRPr="00432C28">
              <w:rPr>
                <w:rFonts w:cs="Times New Roman"/>
                <w:szCs w:val="24"/>
              </w:rPr>
              <w:t xml:space="preserve">Cost effectiveness </w:t>
            </w:r>
            <w:r w:rsidR="007555A2" w:rsidRPr="00432C28">
              <w:rPr>
                <w:rFonts w:cs="Times New Roman"/>
                <w:szCs w:val="24"/>
              </w:rPr>
              <w:t>assessments</w:t>
            </w:r>
            <w:r w:rsidR="000B23D1">
              <w:rPr>
                <w:rFonts w:cs="Times New Roman"/>
                <w:szCs w:val="24"/>
              </w:rPr>
              <w:t xml:space="preserve"> at </w:t>
            </w:r>
            <w:r w:rsidR="00196605">
              <w:rPr>
                <w:rFonts w:cs="Times New Roman"/>
                <w:szCs w:val="24"/>
              </w:rPr>
              <w:t xml:space="preserve">program </w:t>
            </w:r>
            <w:r w:rsidR="000B23D1">
              <w:rPr>
                <w:rFonts w:cs="Times New Roman"/>
                <w:szCs w:val="24"/>
              </w:rPr>
              <w:t xml:space="preserve">and portfolio level are </w:t>
            </w:r>
            <w:r w:rsidR="00863D95">
              <w:rPr>
                <w:rFonts w:cs="Times New Roman"/>
                <w:szCs w:val="24"/>
              </w:rPr>
              <w:t>provided in</w:t>
            </w:r>
            <w:r w:rsidR="00196605">
              <w:rPr>
                <w:rFonts w:cs="Times New Roman"/>
                <w:szCs w:val="24"/>
              </w:rPr>
              <w:t xml:space="preserve"> the </w:t>
            </w:r>
            <w:r w:rsidR="00165F90">
              <w:rPr>
                <w:rFonts w:cs="Times New Roman"/>
                <w:szCs w:val="24"/>
              </w:rPr>
              <w:t xml:space="preserve">DSM </w:t>
            </w:r>
            <w:r w:rsidR="00196605">
              <w:rPr>
                <w:rFonts w:cs="Times New Roman"/>
                <w:szCs w:val="24"/>
              </w:rPr>
              <w:t>201</w:t>
            </w:r>
            <w:r w:rsidR="000B23D1">
              <w:rPr>
                <w:rFonts w:cs="Times New Roman"/>
                <w:szCs w:val="24"/>
              </w:rPr>
              <w:t>6</w:t>
            </w:r>
            <w:r w:rsidR="00196605">
              <w:rPr>
                <w:rFonts w:cs="Times New Roman"/>
                <w:szCs w:val="24"/>
              </w:rPr>
              <w:t>-201</w:t>
            </w:r>
            <w:r w:rsidR="000B23D1">
              <w:rPr>
                <w:rFonts w:cs="Times New Roman"/>
                <w:szCs w:val="24"/>
              </w:rPr>
              <w:t>7</w:t>
            </w:r>
            <w:r w:rsidR="003D240A" w:rsidRPr="00432C28">
              <w:rPr>
                <w:rFonts w:cs="Times New Roman"/>
                <w:szCs w:val="24"/>
              </w:rPr>
              <w:t xml:space="preserve"> </w:t>
            </w:r>
            <w:r w:rsidR="00165F90">
              <w:rPr>
                <w:rFonts w:cs="Times New Roman"/>
                <w:szCs w:val="24"/>
              </w:rPr>
              <w:t>Business Plan</w:t>
            </w:r>
            <w:r w:rsidR="00863D95">
              <w:rPr>
                <w:rFonts w:cs="Times New Roman"/>
                <w:szCs w:val="24"/>
              </w:rPr>
              <w:t xml:space="preserve">, </w:t>
            </w:r>
            <w:r w:rsidR="00863D95" w:rsidRPr="00432C28">
              <w:rPr>
                <w:rFonts w:cs="Times New Roman"/>
                <w:szCs w:val="24"/>
              </w:rPr>
              <w:t>Appendix</w:t>
            </w:r>
            <w:r w:rsidR="007555A2" w:rsidRPr="00432C28">
              <w:rPr>
                <w:rFonts w:cs="Times New Roman"/>
                <w:szCs w:val="24"/>
              </w:rPr>
              <w:t xml:space="preserve"> 7</w:t>
            </w:r>
            <w:r w:rsidR="00831D74">
              <w:rPr>
                <w:rFonts w:cs="Times New Roman"/>
                <w:szCs w:val="24"/>
              </w:rPr>
              <w:t xml:space="preserve"> to this </w:t>
            </w:r>
            <w:r w:rsidR="009334E9">
              <w:rPr>
                <w:rFonts w:cs="Times New Roman"/>
                <w:szCs w:val="24"/>
              </w:rPr>
              <w:t>report</w:t>
            </w:r>
            <w:r w:rsidR="007555A2" w:rsidRPr="00432C28">
              <w:rPr>
                <w:rFonts w:cs="Times New Roman"/>
                <w:szCs w:val="24"/>
              </w:rPr>
              <w:t xml:space="preserve">. </w:t>
            </w:r>
            <w:r w:rsidR="00196605">
              <w:rPr>
                <w:rFonts w:cs="Times New Roman"/>
                <w:szCs w:val="24"/>
              </w:rPr>
              <w:t>Quantifiable non</w:t>
            </w:r>
            <w:r w:rsidRPr="00432C28">
              <w:rPr>
                <w:rFonts w:cs="Times New Roman"/>
                <w:szCs w:val="24"/>
              </w:rPr>
              <w:t xml:space="preserve">-energy benefits were included in these calculations. </w:t>
            </w:r>
            <w:r w:rsidR="00196605">
              <w:rPr>
                <w:rFonts w:cs="Times New Roman"/>
                <w:szCs w:val="24"/>
              </w:rPr>
              <w:t>The 201</w:t>
            </w:r>
            <w:r w:rsidR="00831D74">
              <w:rPr>
                <w:rFonts w:cs="Times New Roman"/>
                <w:szCs w:val="24"/>
              </w:rPr>
              <w:t>5</w:t>
            </w:r>
            <w:r w:rsidRPr="00432C28">
              <w:rPr>
                <w:rFonts w:cs="Times New Roman"/>
                <w:szCs w:val="24"/>
              </w:rPr>
              <w:t xml:space="preserve"> potential study included the effects of non-energy benefits as a reduction to energy efficiency measure costs.</w:t>
            </w:r>
          </w:p>
        </w:tc>
      </w:tr>
      <w:tr w:rsidR="00E93BD3" w:rsidRPr="00432C28" w:rsidTr="002E6C6E">
        <w:trPr>
          <w:trHeight w:val="116"/>
        </w:trPr>
        <w:tc>
          <w:tcPr>
            <w:tcW w:w="0" w:type="auto"/>
            <w:gridSpan w:val="2"/>
          </w:tcPr>
          <w:p w:rsidR="00E93BD3" w:rsidRPr="00863D95" w:rsidRDefault="00E93BD3" w:rsidP="009B7D7C">
            <w:pPr>
              <w:rPr>
                <w:rFonts w:cs="Times New Roman"/>
                <w:b/>
                <w:color w:val="FF0000"/>
                <w:szCs w:val="24"/>
              </w:rPr>
            </w:pPr>
            <w:r w:rsidRPr="00432C28">
              <w:rPr>
                <w:rFonts w:cs="Times New Roman"/>
              </w:rPr>
              <w:br w:type="page"/>
            </w:r>
            <w:r w:rsidRPr="00432C28">
              <w:rPr>
                <w:rFonts w:cs="Times New Roman"/>
                <w:b/>
                <w:szCs w:val="24"/>
              </w:rPr>
              <w:t>WAC</w:t>
            </w:r>
            <w:r w:rsidR="00F846AB" w:rsidRPr="00432C28">
              <w:rPr>
                <w:rFonts w:cs="Times New Roman"/>
                <w:b/>
                <w:szCs w:val="24"/>
              </w:rPr>
              <w:t xml:space="preserve"> </w:t>
            </w:r>
            <w:r w:rsidRPr="00432C28">
              <w:rPr>
                <w:rFonts w:cs="Times New Roman"/>
                <w:b/>
                <w:szCs w:val="24"/>
              </w:rPr>
              <w:t>480-109-</w:t>
            </w:r>
            <w:r w:rsidR="009B7D7C">
              <w:rPr>
                <w:rFonts w:cs="Times New Roman"/>
                <w:b/>
                <w:szCs w:val="24"/>
              </w:rPr>
              <w:t xml:space="preserve">100 (2) (a) – (c) </w:t>
            </w:r>
          </w:p>
        </w:tc>
      </w:tr>
      <w:tr w:rsidR="009B7D7C" w:rsidRPr="00432C28">
        <w:tc>
          <w:tcPr>
            <w:tcW w:w="0" w:type="auto"/>
            <w:tcBorders>
              <w:bottom w:val="single" w:sz="4" w:space="0" w:color="000000" w:themeColor="text1"/>
            </w:tcBorders>
          </w:tcPr>
          <w:p w:rsidR="009B7D7C" w:rsidRDefault="001C59A7" w:rsidP="0051328B">
            <w:pPr>
              <w:rPr>
                <w:rFonts w:cs="Times New Roman"/>
                <w:szCs w:val="24"/>
              </w:rPr>
            </w:pPr>
            <w:r w:rsidRPr="00432C28">
              <w:rPr>
                <w:rFonts w:cs="Times New Roman"/>
                <w:szCs w:val="24"/>
              </w:rPr>
              <w:t>(</w:t>
            </w:r>
            <w:r w:rsidR="009B7D7C">
              <w:rPr>
                <w:rFonts w:cs="Times New Roman"/>
                <w:szCs w:val="24"/>
              </w:rPr>
              <w:t>2</w:t>
            </w:r>
            <w:r w:rsidR="00F846AB" w:rsidRPr="00432C28">
              <w:rPr>
                <w:rFonts w:cs="Times New Roman"/>
                <w:szCs w:val="24"/>
              </w:rPr>
              <w:t>)(</w:t>
            </w:r>
            <w:r w:rsidRPr="00432C28">
              <w:rPr>
                <w:rFonts w:cs="Times New Roman"/>
                <w:szCs w:val="24"/>
              </w:rPr>
              <w:t xml:space="preserve">a) </w:t>
            </w:r>
            <w:r w:rsidR="00F11341">
              <w:rPr>
                <w:rFonts w:cs="Times New Roman"/>
                <w:szCs w:val="24"/>
              </w:rPr>
              <w:t>Beginning January 2010, and e</w:t>
            </w:r>
            <w:r w:rsidR="009B7D7C">
              <w:rPr>
                <w:rFonts w:cs="Times New Roman"/>
                <w:szCs w:val="24"/>
              </w:rPr>
              <w:t>very two years</w:t>
            </w:r>
            <w:r w:rsidR="00F11341">
              <w:rPr>
                <w:rFonts w:cs="Times New Roman"/>
                <w:szCs w:val="24"/>
              </w:rPr>
              <w:t xml:space="preserve"> thereafter,</w:t>
            </w:r>
            <w:r w:rsidR="009B7D7C">
              <w:rPr>
                <w:rFonts w:cs="Times New Roman"/>
                <w:szCs w:val="24"/>
              </w:rPr>
              <w:t xml:space="preserve"> a utility must project its cumulative ten-year conservation resources that are cost</w:t>
            </w:r>
            <w:r w:rsidR="00F11341">
              <w:rPr>
                <w:rFonts w:cs="Times New Roman"/>
                <w:szCs w:val="24"/>
              </w:rPr>
              <w:t>-</w:t>
            </w:r>
            <w:r w:rsidR="009B7D7C">
              <w:rPr>
                <w:rFonts w:cs="Times New Roman"/>
                <w:szCs w:val="24"/>
              </w:rPr>
              <w:t xml:space="preserve">effective, reliable, and feasible. </w:t>
            </w:r>
          </w:p>
          <w:p w:rsidR="009B7D7C" w:rsidRDefault="009B7D7C" w:rsidP="0051328B">
            <w:pPr>
              <w:rPr>
                <w:rFonts w:cs="Times New Roman"/>
                <w:szCs w:val="24"/>
              </w:rPr>
            </w:pPr>
          </w:p>
          <w:p w:rsidR="009B7D7C" w:rsidRDefault="009B7D7C" w:rsidP="0051328B">
            <w:pPr>
              <w:rPr>
                <w:rFonts w:cs="Times New Roman"/>
                <w:szCs w:val="24"/>
              </w:rPr>
            </w:pPr>
            <w:r>
              <w:rPr>
                <w:rFonts w:cs="Times New Roman"/>
                <w:szCs w:val="24"/>
              </w:rPr>
              <w:t xml:space="preserve">(2) (b) This projection must be derived from the utility’s most recent IRP, including any information learned in its subsequent resource acquisition process, or the utility must document the reasons for any differences. When developing this projection, utilities must use methodologies that are consistent with those used in the Northwest Conservation and Electric Power Plan. </w:t>
            </w:r>
          </w:p>
          <w:p w:rsidR="009B7D7C" w:rsidRDefault="009B7D7C" w:rsidP="0051328B">
            <w:pPr>
              <w:rPr>
                <w:rFonts w:cs="Times New Roman"/>
                <w:szCs w:val="24"/>
              </w:rPr>
            </w:pPr>
          </w:p>
          <w:p w:rsidR="009B7D7C" w:rsidRDefault="009B7D7C" w:rsidP="0051328B">
            <w:pPr>
              <w:rPr>
                <w:rFonts w:cs="Times New Roman"/>
                <w:szCs w:val="24"/>
              </w:rPr>
            </w:pPr>
            <w:r>
              <w:rPr>
                <w:rFonts w:cs="Times New Roman"/>
                <w:szCs w:val="24"/>
              </w:rPr>
              <w:t xml:space="preserve">(2) (c) The projection must include a list of each measure used in the potential, its unit energy savings value, and the source of that value. </w:t>
            </w:r>
          </w:p>
          <w:p w:rsidR="009B7D7C" w:rsidRDefault="009B7D7C" w:rsidP="0051328B">
            <w:pPr>
              <w:rPr>
                <w:rFonts w:cs="Times New Roman"/>
                <w:szCs w:val="24"/>
              </w:rPr>
            </w:pPr>
          </w:p>
          <w:p w:rsidR="0051328B" w:rsidRPr="00432C28" w:rsidRDefault="0051328B" w:rsidP="0051328B">
            <w:pPr>
              <w:rPr>
                <w:rFonts w:cs="Times New Roman"/>
                <w:szCs w:val="24"/>
              </w:rPr>
            </w:pPr>
          </w:p>
        </w:tc>
        <w:tc>
          <w:tcPr>
            <w:tcW w:w="0" w:type="auto"/>
            <w:tcBorders>
              <w:bottom w:val="single" w:sz="4" w:space="0" w:color="000000" w:themeColor="text1"/>
            </w:tcBorders>
          </w:tcPr>
          <w:p w:rsidR="00706929" w:rsidRDefault="001918D8" w:rsidP="00D30941">
            <w:pPr>
              <w:rPr>
                <w:rFonts w:cs="Times New Roman"/>
                <w:szCs w:val="24"/>
              </w:rPr>
            </w:pPr>
            <w:r w:rsidRPr="00432C28">
              <w:rPr>
                <w:rFonts w:cs="Times New Roman"/>
                <w:szCs w:val="24"/>
              </w:rPr>
              <w:t xml:space="preserve">See </w:t>
            </w:r>
            <w:r w:rsidRPr="00165F90">
              <w:rPr>
                <w:rFonts w:cs="Times New Roman"/>
                <w:szCs w:val="24"/>
              </w:rPr>
              <w:t xml:space="preserve">Appendix </w:t>
            </w:r>
            <w:r w:rsidRPr="002A70F0">
              <w:rPr>
                <w:rFonts w:cs="Times New Roman"/>
                <w:szCs w:val="24"/>
              </w:rPr>
              <w:t>1</w:t>
            </w:r>
            <w:r w:rsidRPr="00165F90">
              <w:rPr>
                <w:rFonts w:cs="Times New Roman"/>
                <w:szCs w:val="24"/>
              </w:rPr>
              <w:t>, “201</w:t>
            </w:r>
            <w:r w:rsidR="009B7D7C" w:rsidRPr="006D551B">
              <w:rPr>
                <w:rFonts w:cs="Times New Roman"/>
                <w:szCs w:val="24"/>
              </w:rPr>
              <w:t>5</w:t>
            </w:r>
            <w:r w:rsidRPr="00DB4F5E">
              <w:rPr>
                <w:rFonts w:cs="Times New Roman"/>
                <w:szCs w:val="24"/>
              </w:rPr>
              <w:t xml:space="preserve"> Integrated Resource Plan,” Appendix </w:t>
            </w:r>
            <w:r w:rsidRPr="002A70F0">
              <w:rPr>
                <w:rFonts w:cs="Times New Roman"/>
                <w:szCs w:val="24"/>
              </w:rPr>
              <w:t>2</w:t>
            </w:r>
            <w:r w:rsidR="00863D95" w:rsidRPr="00165F90">
              <w:rPr>
                <w:rFonts w:cs="Times New Roman"/>
                <w:szCs w:val="24"/>
              </w:rPr>
              <w:t>, “</w:t>
            </w:r>
            <w:r w:rsidR="009B7D7C" w:rsidRPr="006D551B">
              <w:rPr>
                <w:rFonts w:cs="Times New Roman"/>
                <w:szCs w:val="24"/>
              </w:rPr>
              <w:t>PacifiCorp’s Demand-Side Resource Potential Assessment for 2015-2034</w:t>
            </w:r>
            <w:r w:rsidR="00196605" w:rsidRPr="00DB4F5E">
              <w:rPr>
                <w:rFonts w:cs="Times New Roman"/>
                <w:szCs w:val="24"/>
              </w:rPr>
              <w:t>,</w:t>
            </w:r>
            <w:r w:rsidR="001C59A7" w:rsidRPr="00B61A9D">
              <w:rPr>
                <w:rFonts w:cs="Times New Roman"/>
                <w:szCs w:val="24"/>
              </w:rPr>
              <w:t>”</w:t>
            </w:r>
            <w:r w:rsidRPr="006D551B">
              <w:rPr>
                <w:rFonts w:cs="Times New Roman"/>
                <w:szCs w:val="24"/>
              </w:rPr>
              <w:t xml:space="preserve"> </w:t>
            </w:r>
            <w:r w:rsidR="00E32FC0" w:rsidRPr="006D551B">
              <w:rPr>
                <w:rFonts w:cs="Times New Roman"/>
                <w:szCs w:val="24"/>
              </w:rPr>
              <w:t>Appendix 10</w:t>
            </w:r>
            <w:r w:rsidR="00E32FC0" w:rsidRPr="00165F90">
              <w:rPr>
                <w:rFonts w:cs="Times New Roman"/>
                <w:szCs w:val="24"/>
              </w:rPr>
              <w:t>,</w:t>
            </w:r>
            <w:r w:rsidR="00092202" w:rsidRPr="006D551B">
              <w:rPr>
                <w:rFonts w:cs="Times New Roman"/>
                <w:szCs w:val="24"/>
              </w:rPr>
              <w:t xml:space="preserve"> “Cascade Energy, Inc. Study,”</w:t>
            </w:r>
            <w:r w:rsidR="009B7D7C" w:rsidRPr="00DB4F5E">
              <w:rPr>
                <w:rFonts w:cs="Times New Roman"/>
                <w:szCs w:val="24"/>
              </w:rPr>
              <w:t xml:space="preserve"> Appendix </w:t>
            </w:r>
            <w:r w:rsidR="00C535AC" w:rsidRPr="002A70F0">
              <w:rPr>
                <w:rFonts w:cs="Times New Roman"/>
                <w:szCs w:val="24"/>
              </w:rPr>
              <w:t>11</w:t>
            </w:r>
            <w:r w:rsidR="009B7D7C" w:rsidRPr="00165F90">
              <w:rPr>
                <w:rFonts w:cs="Times New Roman"/>
                <w:szCs w:val="24"/>
              </w:rPr>
              <w:t>, “</w:t>
            </w:r>
            <w:r w:rsidR="009B7D7C" w:rsidRPr="006D551B">
              <w:rPr>
                <w:rFonts w:cs="Times New Roman"/>
                <w:szCs w:val="24"/>
                <w:u w:val="single"/>
              </w:rPr>
              <w:t xml:space="preserve">Commonwealth </w:t>
            </w:r>
            <w:r w:rsidR="009B7D7C" w:rsidRPr="00DB4F5E">
              <w:rPr>
                <w:rFonts w:cs="Times New Roman"/>
                <w:szCs w:val="24"/>
              </w:rPr>
              <w:t xml:space="preserve">Associates, Inc. Study,” and Appendix </w:t>
            </w:r>
            <w:r w:rsidR="00C535AC" w:rsidRPr="002A70F0">
              <w:rPr>
                <w:rFonts w:cs="Times New Roman"/>
                <w:szCs w:val="24"/>
              </w:rPr>
              <w:t>12</w:t>
            </w:r>
            <w:r w:rsidR="009B7D7C" w:rsidRPr="00DB4F15">
              <w:rPr>
                <w:rFonts w:cs="Times New Roman"/>
                <w:szCs w:val="24"/>
              </w:rPr>
              <w:t>, “Navigant Consulting Inc. Study.”</w:t>
            </w:r>
            <w:r w:rsidR="001C59A7" w:rsidRPr="00BE7B7C">
              <w:rPr>
                <w:rFonts w:cs="Times New Roman"/>
                <w:szCs w:val="24"/>
              </w:rPr>
              <w:t xml:space="preserve"> These appendices</w:t>
            </w:r>
            <w:r w:rsidR="001C59A7" w:rsidRPr="00432C28">
              <w:rPr>
                <w:rFonts w:cs="Times New Roman"/>
                <w:szCs w:val="24"/>
              </w:rPr>
              <w:t xml:space="preserve"> provide evidence the Company</w:t>
            </w:r>
            <w:r w:rsidR="00F846AB" w:rsidRPr="00432C28">
              <w:rPr>
                <w:rFonts w:cs="Times New Roman"/>
                <w:szCs w:val="24"/>
              </w:rPr>
              <w:t xml:space="preserve"> has</w:t>
            </w:r>
            <w:r w:rsidR="001C59A7" w:rsidRPr="00432C28">
              <w:rPr>
                <w:rFonts w:cs="Times New Roman"/>
                <w:szCs w:val="24"/>
              </w:rPr>
              <w:t xml:space="preserve"> identifie</w:t>
            </w:r>
            <w:r w:rsidR="00F846AB" w:rsidRPr="00432C28">
              <w:rPr>
                <w:rFonts w:cs="Times New Roman"/>
                <w:szCs w:val="24"/>
              </w:rPr>
              <w:t>d</w:t>
            </w:r>
            <w:r w:rsidR="001C59A7" w:rsidRPr="00432C28">
              <w:rPr>
                <w:rFonts w:cs="Times New Roman"/>
                <w:szCs w:val="24"/>
              </w:rPr>
              <w:t xml:space="preserve"> and appropriately screen</w:t>
            </w:r>
            <w:r w:rsidR="00F846AB" w:rsidRPr="00432C28">
              <w:rPr>
                <w:rFonts w:cs="Times New Roman"/>
                <w:szCs w:val="24"/>
              </w:rPr>
              <w:t>ed</w:t>
            </w:r>
            <w:r w:rsidR="001C59A7" w:rsidRPr="00432C28">
              <w:rPr>
                <w:rFonts w:cs="Times New Roman"/>
                <w:szCs w:val="24"/>
              </w:rPr>
              <w:t xml:space="preserve"> for all available conservation that is cost-effective, reliable and feasible. The “Conservation Potential and Conservation Targets” section of this report provides an overview of the </w:t>
            </w:r>
            <w:r w:rsidR="00D3389E" w:rsidRPr="00432C28">
              <w:rPr>
                <w:rFonts w:cs="Times New Roman"/>
                <w:szCs w:val="24"/>
              </w:rPr>
              <w:t>Conservation P</w:t>
            </w:r>
            <w:r w:rsidR="001C59A7" w:rsidRPr="00432C28">
              <w:rPr>
                <w:rFonts w:cs="Times New Roman"/>
                <w:szCs w:val="24"/>
              </w:rPr>
              <w:t xml:space="preserve">otential </w:t>
            </w:r>
            <w:r w:rsidR="00D3389E" w:rsidRPr="00432C28">
              <w:rPr>
                <w:rFonts w:cs="Times New Roman"/>
                <w:szCs w:val="24"/>
              </w:rPr>
              <w:t>A</w:t>
            </w:r>
            <w:r w:rsidR="001C59A7" w:rsidRPr="00432C28">
              <w:rPr>
                <w:rFonts w:cs="Times New Roman"/>
                <w:szCs w:val="24"/>
              </w:rPr>
              <w:t>ssessment and 201</w:t>
            </w:r>
            <w:r w:rsidR="009B7D7C">
              <w:rPr>
                <w:rFonts w:cs="Times New Roman"/>
                <w:szCs w:val="24"/>
              </w:rPr>
              <w:t>5</w:t>
            </w:r>
            <w:r w:rsidR="001C59A7" w:rsidRPr="00432C28">
              <w:rPr>
                <w:rFonts w:cs="Times New Roman"/>
                <w:szCs w:val="24"/>
              </w:rPr>
              <w:t xml:space="preserve"> IRP proc</w:t>
            </w:r>
            <w:r w:rsidR="001C59A7" w:rsidRPr="009209CD">
              <w:rPr>
                <w:rFonts w:cs="Times New Roman"/>
                <w:szCs w:val="24"/>
              </w:rPr>
              <w:t>esses</w:t>
            </w:r>
            <w:r w:rsidR="005C2354" w:rsidRPr="009209CD">
              <w:rPr>
                <w:rFonts w:cs="Times New Roman"/>
                <w:szCs w:val="24"/>
              </w:rPr>
              <w:t xml:space="preserve"> as well as </w:t>
            </w:r>
            <w:r w:rsidR="009B7D7C">
              <w:rPr>
                <w:rFonts w:cs="Times New Roman"/>
                <w:szCs w:val="24"/>
              </w:rPr>
              <w:t xml:space="preserve">how the Cascade, </w:t>
            </w:r>
            <w:r w:rsidR="005C2354" w:rsidRPr="009209CD">
              <w:rPr>
                <w:rFonts w:cs="Times New Roman"/>
                <w:szCs w:val="24"/>
              </w:rPr>
              <w:t>Commonwealth</w:t>
            </w:r>
            <w:r w:rsidR="009B7D7C">
              <w:rPr>
                <w:rFonts w:cs="Times New Roman"/>
                <w:szCs w:val="24"/>
              </w:rPr>
              <w:t xml:space="preserve">, and Navigant studies were </w:t>
            </w:r>
            <w:r w:rsidR="001C59A7" w:rsidRPr="009209CD">
              <w:rPr>
                <w:rFonts w:cs="Times New Roman"/>
                <w:szCs w:val="24"/>
              </w:rPr>
              <w:t>used to arrive</w:t>
            </w:r>
            <w:r w:rsidR="001C59A7" w:rsidRPr="00432C28">
              <w:rPr>
                <w:rFonts w:cs="Times New Roman"/>
                <w:szCs w:val="24"/>
              </w:rPr>
              <w:t xml:space="preserve"> at the Company’s ten-year conservation </w:t>
            </w:r>
            <w:r w:rsidR="00D3389E" w:rsidRPr="00432C28">
              <w:rPr>
                <w:rFonts w:cs="Times New Roman"/>
                <w:szCs w:val="24"/>
              </w:rPr>
              <w:t>forecast provided</w:t>
            </w:r>
            <w:r w:rsidR="00F846AB" w:rsidRPr="00432C28">
              <w:rPr>
                <w:rFonts w:cs="Times New Roman"/>
                <w:szCs w:val="24"/>
              </w:rPr>
              <w:t xml:space="preserve"> in this report.</w:t>
            </w:r>
            <w:r w:rsidR="00D30941">
              <w:rPr>
                <w:rFonts w:cs="Times New Roman"/>
                <w:szCs w:val="24"/>
              </w:rPr>
              <w:t xml:space="preserve"> </w:t>
            </w:r>
          </w:p>
          <w:p w:rsidR="00706929" w:rsidRDefault="00706929" w:rsidP="00D30941">
            <w:pPr>
              <w:rPr>
                <w:rFonts w:cs="Times New Roman"/>
                <w:szCs w:val="24"/>
              </w:rPr>
            </w:pPr>
          </w:p>
          <w:p w:rsidR="00706929" w:rsidRDefault="00706929" w:rsidP="00D30941">
            <w:pPr>
              <w:rPr>
                <w:rFonts w:cs="Times New Roman"/>
                <w:szCs w:val="24"/>
              </w:rPr>
            </w:pPr>
            <w:r w:rsidRPr="00432C28">
              <w:rPr>
                <w:rFonts w:cs="Times New Roman"/>
                <w:szCs w:val="24"/>
              </w:rPr>
              <w:t xml:space="preserve">Appendices </w:t>
            </w:r>
            <w:r>
              <w:rPr>
                <w:rFonts w:cs="Times New Roman"/>
                <w:szCs w:val="24"/>
              </w:rPr>
              <w:t>A</w:t>
            </w:r>
            <w:r w:rsidRPr="00432C28">
              <w:rPr>
                <w:rFonts w:cs="Times New Roman"/>
                <w:szCs w:val="24"/>
              </w:rPr>
              <w:t xml:space="preserve"> through </w:t>
            </w:r>
            <w:r>
              <w:rPr>
                <w:rFonts w:cs="Times New Roman"/>
                <w:szCs w:val="24"/>
              </w:rPr>
              <w:t>H</w:t>
            </w:r>
            <w:r w:rsidRPr="00432C28">
              <w:rPr>
                <w:rFonts w:cs="Times New Roman"/>
                <w:szCs w:val="24"/>
              </w:rPr>
              <w:t xml:space="preserve"> in Volume </w:t>
            </w:r>
            <w:r>
              <w:rPr>
                <w:rFonts w:cs="Times New Roman"/>
                <w:szCs w:val="24"/>
              </w:rPr>
              <w:t>4 of</w:t>
            </w:r>
            <w:r w:rsidRPr="00432C28">
              <w:rPr>
                <w:rFonts w:cs="Times New Roman"/>
                <w:szCs w:val="24"/>
              </w:rPr>
              <w:t xml:space="preserve"> </w:t>
            </w:r>
            <w:r>
              <w:rPr>
                <w:rFonts w:cs="Times New Roman"/>
                <w:szCs w:val="24"/>
              </w:rPr>
              <w:t xml:space="preserve">“PacifiCorp’s Demand-Side Resource Potential Assessment for 2015-2034” </w:t>
            </w:r>
            <w:r w:rsidR="00C535AC">
              <w:rPr>
                <w:rFonts w:cs="Times New Roman"/>
                <w:szCs w:val="24"/>
              </w:rPr>
              <w:t>(</w:t>
            </w:r>
            <w:r w:rsidR="00C535AC" w:rsidRPr="00165F90">
              <w:rPr>
                <w:rFonts w:cs="Times New Roman"/>
                <w:szCs w:val="24"/>
              </w:rPr>
              <w:t xml:space="preserve">Appendix </w:t>
            </w:r>
            <w:r w:rsidR="00C535AC" w:rsidRPr="002A70F0">
              <w:rPr>
                <w:rFonts w:cs="Times New Roman"/>
                <w:szCs w:val="24"/>
              </w:rPr>
              <w:t>2</w:t>
            </w:r>
            <w:r w:rsidR="00C535AC" w:rsidRPr="00165F90">
              <w:rPr>
                <w:rFonts w:cs="Times New Roman"/>
                <w:szCs w:val="24"/>
              </w:rPr>
              <w:t xml:space="preserve"> to</w:t>
            </w:r>
            <w:r w:rsidR="00C535AC">
              <w:rPr>
                <w:rFonts w:cs="Times New Roman"/>
                <w:szCs w:val="24"/>
              </w:rPr>
              <w:t xml:space="preserve"> this </w:t>
            </w:r>
            <w:r w:rsidR="009334E9">
              <w:rPr>
                <w:rFonts w:cs="Times New Roman"/>
                <w:szCs w:val="24"/>
              </w:rPr>
              <w:t>report</w:t>
            </w:r>
            <w:r w:rsidR="00C535AC">
              <w:rPr>
                <w:rFonts w:cs="Times New Roman"/>
                <w:szCs w:val="24"/>
              </w:rPr>
              <w:t xml:space="preserve">) </w:t>
            </w:r>
            <w:r w:rsidRPr="00432C28">
              <w:rPr>
                <w:rFonts w:cs="Times New Roman"/>
                <w:szCs w:val="24"/>
              </w:rPr>
              <w:t>provide</w:t>
            </w:r>
            <w:r w:rsidR="00C535AC">
              <w:rPr>
                <w:rFonts w:cs="Times New Roman"/>
                <w:szCs w:val="24"/>
              </w:rPr>
              <w:t>s</w:t>
            </w:r>
            <w:r w:rsidRPr="00432C28">
              <w:rPr>
                <w:rFonts w:cs="Times New Roman"/>
                <w:szCs w:val="24"/>
              </w:rPr>
              <w:t xml:space="preserve"> detailed supplementary information for conservation resources including assumed measure</w:t>
            </w:r>
            <w:r>
              <w:rPr>
                <w:rFonts w:cs="Times New Roman"/>
                <w:szCs w:val="24"/>
              </w:rPr>
              <w:t>s, measure</w:t>
            </w:r>
            <w:r w:rsidRPr="00432C28">
              <w:rPr>
                <w:rFonts w:cs="Times New Roman"/>
                <w:szCs w:val="24"/>
              </w:rPr>
              <w:t xml:space="preserve"> costs and savings, end-use saturations, electric fuel shares, current market shares, calculated 203</w:t>
            </w:r>
            <w:r>
              <w:rPr>
                <w:rFonts w:cs="Times New Roman"/>
                <w:szCs w:val="24"/>
              </w:rPr>
              <w:t>4</w:t>
            </w:r>
            <w:r w:rsidRPr="00432C28">
              <w:rPr>
                <w:rFonts w:cs="Times New Roman"/>
                <w:szCs w:val="24"/>
              </w:rPr>
              <w:t xml:space="preserve"> measure potential by state, sector, and market segment</w:t>
            </w:r>
            <w:r>
              <w:rPr>
                <w:rFonts w:cs="Times New Roman"/>
                <w:szCs w:val="24"/>
              </w:rPr>
              <w:t>, and savings source.</w:t>
            </w:r>
          </w:p>
          <w:p w:rsidR="0051328B" w:rsidRPr="00432C28" w:rsidRDefault="00D30941" w:rsidP="00D30941">
            <w:pPr>
              <w:rPr>
                <w:rFonts w:cs="Times New Roman"/>
                <w:szCs w:val="24"/>
              </w:rPr>
            </w:pPr>
            <w:r>
              <w:rPr>
                <w:rFonts w:cs="Times New Roman"/>
                <w:szCs w:val="24"/>
              </w:rPr>
              <w:t xml:space="preserve"> </w:t>
            </w:r>
          </w:p>
        </w:tc>
      </w:tr>
    </w:tbl>
    <w:p w:rsidR="000422F4" w:rsidRDefault="000422F4" w:rsidP="00405424">
      <w:pPr>
        <w:rPr>
          <w:rFonts w:cs="Times New Roman"/>
        </w:rPr>
      </w:pPr>
    </w:p>
    <w:p w:rsidR="000422F4" w:rsidRDefault="000422F4">
      <w:pPr>
        <w:jc w:val="left"/>
        <w:rPr>
          <w:rFonts w:cs="Times New Roman"/>
        </w:rPr>
      </w:pPr>
      <w:r>
        <w:rPr>
          <w:rFonts w:cs="Times New Roman"/>
        </w:rPr>
        <w:br w:type="page"/>
      </w:r>
    </w:p>
    <w:p w:rsidR="00412577" w:rsidRPr="00432C28" w:rsidRDefault="00412577" w:rsidP="00405424">
      <w:pPr>
        <w:rPr>
          <w:rFonts w:cs="Times New Roman"/>
        </w:rPr>
      </w:pPr>
    </w:p>
    <w:tbl>
      <w:tblPr>
        <w:tblStyle w:val="TableGrid"/>
        <w:tblW w:w="0" w:type="auto"/>
        <w:tblLook w:val="04A0" w:firstRow="1" w:lastRow="0" w:firstColumn="1" w:lastColumn="0" w:noHBand="0" w:noVBand="1"/>
      </w:tblPr>
      <w:tblGrid>
        <w:gridCol w:w="3497"/>
        <w:gridCol w:w="6079"/>
      </w:tblGrid>
      <w:tr w:rsidR="00E93BD3" w:rsidRPr="00432C28" w:rsidTr="002E6C6E">
        <w:trPr>
          <w:trHeight w:val="161"/>
        </w:trPr>
        <w:tc>
          <w:tcPr>
            <w:tcW w:w="0" w:type="auto"/>
            <w:gridSpan w:val="2"/>
            <w:tcBorders>
              <w:bottom w:val="single" w:sz="4" w:space="0" w:color="auto"/>
            </w:tcBorders>
          </w:tcPr>
          <w:p w:rsidR="00E93BD3" w:rsidRPr="00432C28" w:rsidRDefault="00E93BD3" w:rsidP="00F11341">
            <w:pPr>
              <w:rPr>
                <w:rFonts w:cs="Times New Roman"/>
                <w:b/>
                <w:szCs w:val="24"/>
              </w:rPr>
            </w:pPr>
            <w:r w:rsidRPr="00432C28">
              <w:rPr>
                <w:rFonts w:cs="Times New Roman"/>
                <w:b/>
                <w:szCs w:val="24"/>
              </w:rPr>
              <w:t>WAC-480-109-</w:t>
            </w:r>
            <w:r w:rsidR="00F11341">
              <w:rPr>
                <w:rFonts w:cs="Times New Roman"/>
                <w:b/>
                <w:szCs w:val="24"/>
              </w:rPr>
              <w:t>100 (3) (a) &amp; (b)</w:t>
            </w:r>
          </w:p>
        </w:tc>
      </w:tr>
      <w:tr w:rsidR="00F11341" w:rsidRPr="00432C28">
        <w:trPr>
          <w:trHeight w:val="2997"/>
        </w:trPr>
        <w:tc>
          <w:tcPr>
            <w:tcW w:w="0" w:type="auto"/>
            <w:tcBorders>
              <w:top w:val="single" w:sz="4" w:space="0" w:color="auto"/>
            </w:tcBorders>
          </w:tcPr>
          <w:p w:rsidR="00F11341" w:rsidRDefault="00F11341" w:rsidP="0051328B">
            <w:pPr>
              <w:spacing w:after="100" w:afterAutospacing="1"/>
              <w:rPr>
                <w:rFonts w:cs="Times New Roman"/>
                <w:szCs w:val="24"/>
              </w:rPr>
            </w:pPr>
            <w:r>
              <w:rPr>
                <w:rFonts w:cs="Times New Roman"/>
                <w:szCs w:val="24"/>
              </w:rPr>
              <w:t>Beginning January 2010, and every two years thereafter, a utility must establish a biennial conservation target.</w:t>
            </w:r>
          </w:p>
          <w:p w:rsidR="00F11341" w:rsidRDefault="00F11341" w:rsidP="0051328B">
            <w:pPr>
              <w:spacing w:after="100" w:afterAutospacing="1"/>
              <w:rPr>
                <w:rFonts w:cs="Times New Roman"/>
                <w:szCs w:val="24"/>
              </w:rPr>
            </w:pPr>
            <w:r>
              <w:rPr>
                <w:rFonts w:cs="Times New Roman"/>
                <w:szCs w:val="24"/>
              </w:rPr>
              <w:t xml:space="preserve">(3) (a) The biennial conservation target must identify, and quantify in megawatt-hours, all available conservation that is cost-effective, reliable, and feasible. </w:t>
            </w:r>
          </w:p>
          <w:p w:rsidR="00F11341" w:rsidRDefault="00F11341" w:rsidP="0051328B">
            <w:pPr>
              <w:spacing w:after="100" w:afterAutospacing="1"/>
              <w:rPr>
                <w:rFonts w:cs="Times New Roman"/>
                <w:szCs w:val="24"/>
              </w:rPr>
            </w:pPr>
            <w:r>
              <w:rPr>
                <w:rFonts w:cs="Times New Roman"/>
                <w:szCs w:val="24"/>
              </w:rPr>
              <w:t>(3) (b) The biennial conservation target must be no lower than a pro rata share of the util</w:t>
            </w:r>
            <w:r w:rsidR="00375A44">
              <w:rPr>
                <w:rFonts w:cs="Times New Roman"/>
                <w:szCs w:val="24"/>
              </w:rPr>
              <w:t>i</w:t>
            </w:r>
            <w:r>
              <w:rPr>
                <w:rFonts w:cs="Times New Roman"/>
                <w:szCs w:val="24"/>
              </w:rPr>
              <w:t xml:space="preserve">ty’s ten-year conservation potential.  </w:t>
            </w:r>
          </w:p>
          <w:p w:rsidR="00F11341" w:rsidRDefault="00F11341" w:rsidP="0051328B">
            <w:pPr>
              <w:spacing w:after="100" w:afterAutospacing="1"/>
              <w:rPr>
                <w:rFonts w:cs="Times New Roman"/>
                <w:szCs w:val="24"/>
              </w:rPr>
            </w:pPr>
          </w:p>
          <w:p w:rsidR="0051328B" w:rsidRPr="00432C28" w:rsidRDefault="0051328B" w:rsidP="00F11341">
            <w:pPr>
              <w:spacing w:after="100" w:afterAutospacing="1"/>
              <w:rPr>
                <w:rFonts w:cs="Times New Roman"/>
                <w:szCs w:val="24"/>
              </w:rPr>
            </w:pPr>
          </w:p>
        </w:tc>
        <w:tc>
          <w:tcPr>
            <w:tcW w:w="0" w:type="auto"/>
            <w:tcBorders>
              <w:top w:val="single" w:sz="4" w:space="0" w:color="auto"/>
            </w:tcBorders>
          </w:tcPr>
          <w:p w:rsidR="00F11341" w:rsidRDefault="00F11341" w:rsidP="000E4631">
            <w:pPr>
              <w:spacing w:after="100" w:afterAutospacing="1"/>
              <w:rPr>
                <w:rFonts w:cs="Times New Roman"/>
              </w:rPr>
            </w:pPr>
            <w:r>
              <w:rPr>
                <w:rFonts w:cs="Times New Roman"/>
              </w:rPr>
              <w:t>The filing by October 30, 2015 of “</w:t>
            </w:r>
            <w:r w:rsidRPr="00863D95">
              <w:rPr>
                <w:rFonts w:eastAsiaTheme="majorEastAsia" w:cs="Times New Roman"/>
                <w:szCs w:val="24"/>
              </w:rPr>
              <w:t>PacifiCorp’s Ten-Year Conservation Potential and 2016 - 2017 Biennial Conservation Target for its Washington Service Area</w:t>
            </w:r>
            <w:r w:rsidR="009861AF">
              <w:rPr>
                <w:rFonts w:eastAsiaTheme="majorEastAsia" w:cs="Times New Roman"/>
                <w:szCs w:val="24"/>
              </w:rPr>
              <w:t xml:space="preserve">,” this </w:t>
            </w:r>
            <w:r w:rsidR="009334E9">
              <w:rPr>
                <w:rFonts w:eastAsiaTheme="majorEastAsia" w:cs="Times New Roman"/>
                <w:szCs w:val="24"/>
              </w:rPr>
              <w:t>report</w:t>
            </w:r>
            <w:r w:rsidR="009861AF">
              <w:rPr>
                <w:rFonts w:eastAsiaTheme="majorEastAsia" w:cs="Times New Roman"/>
                <w:szCs w:val="24"/>
              </w:rPr>
              <w:t xml:space="preserve">, and its supporting materials, satisfies the Company’s requirement for the 2016 and 2017 biennial period. </w:t>
            </w:r>
            <w:r w:rsidR="00375A44">
              <w:rPr>
                <w:rFonts w:cs="Times New Roman"/>
              </w:rPr>
              <w:t xml:space="preserve">As describe in more detail in the </w:t>
            </w:r>
            <w:r w:rsidR="00375A44">
              <w:rPr>
                <w:rFonts w:cs="Times New Roman"/>
                <w:szCs w:val="24"/>
              </w:rPr>
              <w:t>“Conservation Potential and Conservation Target” section</w:t>
            </w:r>
            <w:r w:rsidR="00375A44">
              <w:rPr>
                <w:rFonts w:cs="Times New Roman"/>
              </w:rPr>
              <w:t xml:space="preserve"> of this document, the Company chose the first two years of its ten-year conservation potential, net of the detailed adjustments documented in Appendix 4 of this this </w:t>
            </w:r>
            <w:r w:rsidR="009334E9">
              <w:rPr>
                <w:rFonts w:cs="Times New Roman"/>
              </w:rPr>
              <w:t>report</w:t>
            </w:r>
            <w:r w:rsidR="00375A44">
              <w:rPr>
                <w:rFonts w:cs="Times New Roman"/>
              </w:rPr>
              <w:t>, as its 2016-2017 biennial target (total potential in the first two years</w:t>
            </w:r>
            <w:r w:rsidR="00DB4F15">
              <w:rPr>
                <w:rFonts w:cs="Times New Roman"/>
              </w:rPr>
              <w:t xml:space="preserve"> of the ten-year conservation forecast, prior to the removal NEEA savings from the target, </w:t>
            </w:r>
            <w:r w:rsidR="00375A44">
              <w:rPr>
                <w:rFonts w:cs="Times New Roman"/>
              </w:rPr>
              <w:t xml:space="preserve">were greater than the </w:t>
            </w:r>
            <w:r w:rsidR="00DB4F15">
              <w:rPr>
                <w:rFonts w:cs="Times New Roman"/>
              </w:rPr>
              <w:t>“</w:t>
            </w:r>
            <w:r w:rsidR="00375A44">
              <w:rPr>
                <w:rFonts w:cs="Times New Roman"/>
              </w:rPr>
              <w:t>pro rata</w:t>
            </w:r>
            <w:r w:rsidR="00DB4F15">
              <w:rPr>
                <w:rFonts w:cs="Times New Roman"/>
              </w:rPr>
              <w:t>”</w:t>
            </w:r>
            <w:r w:rsidR="00375A44">
              <w:rPr>
                <w:rFonts w:cs="Times New Roman"/>
              </w:rPr>
              <w:t xml:space="preserve"> share). </w:t>
            </w:r>
          </w:p>
          <w:p w:rsidR="00F11341" w:rsidRDefault="00F11341" w:rsidP="000E4631">
            <w:pPr>
              <w:spacing w:after="100" w:afterAutospacing="1"/>
              <w:rPr>
                <w:rFonts w:cs="Times New Roman"/>
              </w:rPr>
            </w:pPr>
          </w:p>
          <w:p w:rsidR="0051328B" w:rsidRPr="00432C28" w:rsidRDefault="0051328B" w:rsidP="000E4631">
            <w:pPr>
              <w:spacing w:after="100" w:afterAutospacing="1"/>
              <w:rPr>
                <w:rFonts w:cs="Times New Roman"/>
                <w:szCs w:val="24"/>
              </w:rPr>
            </w:pPr>
          </w:p>
        </w:tc>
      </w:tr>
    </w:tbl>
    <w:p w:rsidR="008A4409" w:rsidRPr="00432C28" w:rsidRDefault="008A4409">
      <w:pPr>
        <w:rPr>
          <w:rFonts w:cs="Times New Roman"/>
        </w:rPr>
      </w:pPr>
      <w:r w:rsidRPr="00432C28">
        <w:rPr>
          <w:rFonts w:cs="Times New Roman"/>
        </w:rPr>
        <w:br w:type="page"/>
      </w:r>
    </w:p>
    <w:p w:rsidR="00C75D53" w:rsidRPr="00F24E1C" w:rsidRDefault="00C75D53" w:rsidP="00F24E1C">
      <w:pPr>
        <w:pStyle w:val="Heading1"/>
        <w:rPr>
          <w:rFonts w:ascii="Times New Roman" w:hAnsi="Times New Roman" w:cs="Times New Roman"/>
        </w:rPr>
      </w:pPr>
      <w:bookmarkStart w:id="49" w:name="_Toc431301355"/>
      <w:r w:rsidRPr="00F24E1C">
        <w:rPr>
          <w:rFonts w:ascii="Times New Roman" w:hAnsi="Times New Roman" w:cs="Times New Roman"/>
        </w:rPr>
        <w:t>List of Appendices</w:t>
      </w:r>
      <w:bookmarkEnd w:id="49"/>
    </w:p>
    <w:p w:rsidR="00C75D53" w:rsidRPr="006050ED" w:rsidRDefault="00C75D53" w:rsidP="00405424">
      <w:pPr>
        <w:rPr>
          <w:rFonts w:cs="Times New Roman"/>
          <w:b/>
          <w:szCs w:val="24"/>
          <w:u w:val="single"/>
        </w:rPr>
      </w:pPr>
    </w:p>
    <w:p w:rsidR="0051328B" w:rsidRPr="006050ED" w:rsidRDefault="00C75D53" w:rsidP="002473C2">
      <w:pPr>
        <w:pStyle w:val="ListParagraph"/>
        <w:numPr>
          <w:ilvl w:val="0"/>
          <w:numId w:val="40"/>
        </w:numPr>
        <w:rPr>
          <w:rFonts w:cs="Times New Roman"/>
          <w:szCs w:val="24"/>
        </w:rPr>
      </w:pPr>
      <w:r w:rsidRPr="006050ED">
        <w:rPr>
          <w:rFonts w:cs="Times New Roman"/>
          <w:szCs w:val="24"/>
          <w:u w:val="single"/>
        </w:rPr>
        <w:t>201</w:t>
      </w:r>
      <w:r w:rsidR="000377DC">
        <w:rPr>
          <w:rFonts w:cs="Times New Roman"/>
          <w:szCs w:val="24"/>
          <w:u w:val="single"/>
        </w:rPr>
        <w:t>5</w:t>
      </w:r>
      <w:r w:rsidRPr="006050ED">
        <w:rPr>
          <w:rFonts w:cs="Times New Roman"/>
          <w:szCs w:val="24"/>
          <w:u w:val="single"/>
        </w:rPr>
        <w:t xml:space="preserve"> Integrated Resource Plan</w:t>
      </w:r>
      <w:r w:rsidRPr="006050ED">
        <w:rPr>
          <w:rFonts w:cs="Times New Roman"/>
          <w:szCs w:val="24"/>
        </w:rPr>
        <w:t xml:space="preserve"> - PacifiCorp’s 201</w:t>
      </w:r>
      <w:r w:rsidR="000377DC">
        <w:rPr>
          <w:rFonts w:cs="Times New Roman"/>
          <w:szCs w:val="24"/>
        </w:rPr>
        <w:t>5</w:t>
      </w:r>
      <w:r w:rsidRPr="006050ED">
        <w:rPr>
          <w:rFonts w:cs="Times New Roman"/>
          <w:szCs w:val="24"/>
        </w:rPr>
        <w:t xml:space="preserve"> Integrated Resource Plan filed on </w:t>
      </w:r>
      <w:r w:rsidR="000377DC">
        <w:rPr>
          <w:rFonts w:cs="Times New Roman"/>
          <w:szCs w:val="24"/>
        </w:rPr>
        <w:t>March 31</w:t>
      </w:r>
      <w:r w:rsidRPr="006050ED">
        <w:rPr>
          <w:rFonts w:cs="Times New Roman"/>
          <w:szCs w:val="24"/>
        </w:rPr>
        <w:t>,</w:t>
      </w:r>
      <w:r w:rsidR="00C014B6" w:rsidRPr="006050ED">
        <w:rPr>
          <w:rFonts w:cs="Times New Roman"/>
          <w:szCs w:val="24"/>
        </w:rPr>
        <w:t xml:space="preserve"> </w:t>
      </w:r>
      <w:r w:rsidRPr="006050ED">
        <w:rPr>
          <w:rFonts w:cs="Times New Roman"/>
          <w:szCs w:val="24"/>
        </w:rPr>
        <w:t>201</w:t>
      </w:r>
      <w:r w:rsidR="000377DC">
        <w:rPr>
          <w:rFonts w:cs="Times New Roman"/>
          <w:szCs w:val="24"/>
        </w:rPr>
        <w:t>5</w:t>
      </w:r>
      <w:r w:rsidRPr="006050ED">
        <w:rPr>
          <w:rFonts w:cs="Times New Roman"/>
          <w:szCs w:val="24"/>
        </w:rPr>
        <w:t xml:space="preserve"> (Docket </w:t>
      </w:r>
      <w:r w:rsidRPr="00B57A6A">
        <w:rPr>
          <w:rFonts w:cs="Times New Roman"/>
          <w:szCs w:val="24"/>
        </w:rPr>
        <w:t xml:space="preserve">No. </w:t>
      </w:r>
      <w:r w:rsidR="00B57A6A" w:rsidRPr="00B57A6A">
        <w:rPr>
          <w:rFonts w:cs="Times New Roman"/>
          <w:szCs w:val="24"/>
        </w:rPr>
        <w:t>UE-1</w:t>
      </w:r>
      <w:r w:rsidR="000377DC">
        <w:rPr>
          <w:rFonts w:cs="Times New Roman"/>
          <w:szCs w:val="24"/>
        </w:rPr>
        <w:t>40546</w:t>
      </w:r>
      <w:r w:rsidRPr="006050ED">
        <w:rPr>
          <w:rFonts w:cs="Times New Roman"/>
          <w:szCs w:val="24"/>
        </w:rPr>
        <w:t>). The 201</w:t>
      </w:r>
      <w:r w:rsidR="000377DC">
        <w:rPr>
          <w:rFonts w:cs="Times New Roman"/>
          <w:szCs w:val="24"/>
        </w:rPr>
        <w:t>5</w:t>
      </w:r>
      <w:r w:rsidRPr="006050ED">
        <w:rPr>
          <w:rFonts w:cs="Times New Roman"/>
          <w:szCs w:val="24"/>
        </w:rPr>
        <w:t xml:space="preserve"> IRP is available at </w:t>
      </w:r>
      <w:hyperlink r:id="rId34" w:history="1">
        <w:r w:rsidRPr="006050ED">
          <w:rPr>
            <w:rStyle w:val="Hyperlink"/>
            <w:rFonts w:cs="Times New Roman"/>
            <w:szCs w:val="24"/>
          </w:rPr>
          <w:t>http://www.pacificorp.com/es/irp.html</w:t>
        </w:r>
      </w:hyperlink>
    </w:p>
    <w:p w:rsidR="0051328B" w:rsidRPr="004D45C1" w:rsidRDefault="0051328B">
      <w:pPr>
        <w:pStyle w:val="ListParagraph"/>
        <w:rPr>
          <w:rFonts w:cs="Times New Roman"/>
          <w:szCs w:val="24"/>
          <w:highlight w:val="yellow"/>
        </w:rPr>
      </w:pPr>
    </w:p>
    <w:p w:rsidR="0051328B" w:rsidRPr="006050ED" w:rsidRDefault="001D5418" w:rsidP="002473C2">
      <w:pPr>
        <w:pStyle w:val="ListParagraph"/>
        <w:numPr>
          <w:ilvl w:val="0"/>
          <w:numId w:val="40"/>
        </w:numPr>
        <w:rPr>
          <w:rFonts w:cs="Times New Roman"/>
          <w:szCs w:val="24"/>
        </w:rPr>
      </w:pPr>
      <w:r>
        <w:rPr>
          <w:rFonts w:cs="Times New Roman"/>
          <w:szCs w:val="24"/>
          <w:u w:val="single"/>
        </w:rPr>
        <w:t>PacifiCorp Demand-Side Resource Potential Assessment for 2015-2034</w:t>
      </w:r>
      <w:r>
        <w:rPr>
          <w:rFonts w:cs="Times New Roman"/>
          <w:szCs w:val="24"/>
        </w:rPr>
        <w:t xml:space="preserve">. </w:t>
      </w:r>
      <w:r w:rsidR="00A32FB7" w:rsidRPr="006050ED">
        <w:rPr>
          <w:rFonts w:cs="Times New Roman"/>
          <w:szCs w:val="24"/>
        </w:rPr>
        <w:t xml:space="preserve">This report is available at </w:t>
      </w:r>
      <w:hyperlink r:id="rId35" w:history="1">
        <w:r w:rsidR="00F37ACE" w:rsidRPr="006050ED">
          <w:rPr>
            <w:rStyle w:val="Hyperlink"/>
            <w:rFonts w:cs="Times New Roman"/>
            <w:szCs w:val="24"/>
          </w:rPr>
          <w:t>http://www.pacificorp.com/env/dsm.html</w:t>
        </w:r>
      </w:hyperlink>
    </w:p>
    <w:p w:rsidR="0051328B" w:rsidRPr="006050ED" w:rsidRDefault="0051328B">
      <w:pPr>
        <w:pStyle w:val="ListParagraph"/>
        <w:rPr>
          <w:rFonts w:cs="Times New Roman"/>
          <w:szCs w:val="24"/>
        </w:rPr>
      </w:pPr>
    </w:p>
    <w:p w:rsidR="0051328B" w:rsidRPr="006050ED" w:rsidRDefault="006D0605" w:rsidP="002473C2">
      <w:pPr>
        <w:pStyle w:val="ListParagraph"/>
        <w:numPr>
          <w:ilvl w:val="0"/>
          <w:numId w:val="40"/>
        </w:numPr>
        <w:rPr>
          <w:rFonts w:cs="Times New Roman"/>
          <w:szCs w:val="24"/>
        </w:rPr>
      </w:pPr>
      <w:r w:rsidRPr="006050ED">
        <w:rPr>
          <w:rFonts w:cs="Times New Roman"/>
          <w:szCs w:val="24"/>
          <w:u w:val="single"/>
        </w:rPr>
        <w:t xml:space="preserve">Comparison of </w:t>
      </w:r>
      <w:r w:rsidR="00F7709B" w:rsidRPr="006050ED">
        <w:rPr>
          <w:rFonts w:cs="Times New Roman"/>
          <w:szCs w:val="24"/>
          <w:u w:val="single"/>
        </w:rPr>
        <w:t>Regional M</w:t>
      </w:r>
      <w:r w:rsidRPr="006050ED">
        <w:rPr>
          <w:rFonts w:cs="Times New Roman"/>
          <w:szCs w:val="24"/>
          <w:u w:val="single"/>
        </w:rPr>
        <w:t>ethodologies</w:t>
      </w:r>
      <w:r w:rsidRPr="006050ED">
        <w:rPr>
          <w:rFonts w:cs="Times New Roman"/>
          <w:szCs w:val="24"/>
        </w:rPr>
        <w:t xml:space="preserve"> – Northwest Power and Conservation Council’s Regional Power Plan and PacifiCorp’s Integrated Resource Plan</w:t>
      </w:r>
      <w:r w:rsidR="00A32FB7" w:rsidRPr="006050ED">
        <w:rPr>
          <w:rFonts w:cs="Times New Roman"/>
          <w:szCs w:val="24"/>
        </w:rPr>
        <w:t>, relevant Washington Collaborative Working Group documents on compar</w:t>
      </w:r>
      <w:r w:rsidR="00273FCE" w:rsidRPr="006050ED">
        <w:rPr>
          <w:rFonts w:cs="Times New Roman"/>
          <w:szCs w:val="24"/>
        </w:rPr>
        <w:t>i</w:t>
      </w:r>
      <w:r w:rsidR="00A32FB7" w:rsidRPr="006050ED">
        <w:rPr>
          <w:rFonts w:cs="Times New Roman"/>
          <w:szCs w:val="24"/>
        </w:rPr>
        <w:t>son</w:t>
      </w:r>
      <w:r w:rsidR="00273FCE" w:rsidRPr="006050ED">
        <w:rPr>
          <w:rFonts w:cs="Times New Roman"/>
          <w:szCs w:val="24"/>
        </w:rPr>
        <w:t>s</w:t>
      </w:r>
    </w:p>
    <w:p w:rsidR="0051328B" w:rsidRPr="00BE7B7C" w:rsidRDefault="0051328B">
      <w:pPr>
        <w:pStyle w:val="ListParagraph"/>
        <w:rPr>
          <w:rFonts w:cs="Times New Roman"/>
          <w:szCs w:val="24"/>
        </w:rPr>
      </w:pPr>
    </w:p>
    <w:p w:rsidR="0051328B" w:rsidRPr="00BE7B7C" w:rsidRDefault="006D0605" w:rsidP="002473C2">
      <w:pPr>
        <w:pStyle w:val="ListParagraph"/>
        <w:numPr>
          <w:ilvl w:val="0"/>
          <w:numId w:val="40"/>
        </w:numPr>
        <w:rPr>
          <w:rFonts w:cs="Times New Roman"/>
          <w:szCs w:val="24"/>
        </w:rPr>
      </w:pPr>
      <w:r w:rsidRPr="00BE7B7C">
        <w:rPr>
          <w:rFonts w:cs="Times New Roman"/>
          <w:szCs w:val="24"/>
          <w:u w:val="single"/>
        </w:rPr>
        <w:t xml:space="preserve">Additional Detail </w:t>
      </w:r>
      <w:r w:rsidR="0013519A" w:rsidRPr="00BE7B7C">
        <w:rPr>
          <w:rFonts w:cs="Times New Roman"/>
          <w:szCs w:val="24"/>
          <w:u w:val="single"/>
        </w:rPr>
        <w:t>- Forecast</w:t>
      </w:r>
      <w:r w:rsidRPr="00BE7B7C">
        <w:rPr>
          <w:rFonts w:cs="Times New Roman"/>
          <w:szCs w:val="24"/>
          <w:u w:val="single"/>
        </w:rPr>
        <w:t xml:space="preserve"> Adjustments</w:t>
      </w:r>
      <w:r w:rsidRPr="00BE7B7C">
        <w:rPr>
          <w:rFonts w:cs="Times New Roman"/>
          <w:szCs w:val="24"/>
        </w:rPr>
        <w:t xml:space="preserve"> made to PacifiCorp’s </w:t>
      </w:r>
      <w:r w:rsidR="0013519A" w:rsidRPr="00BE7B7C">
        <w:rPr>
          <w:rFonts w:cs="Times New Roman"/>
          <w:szCs w:val="24"/>
        </w:rPr>
        <w:t xml:space="preserve">Ten-Year </w:t>
      </w:r>
      <w:r w:rsidRPr="00BE7B7C">
        <w:rPr>
          <w:rFonts w:cs="Times New Roman"/>
          <w:szCs w:val="24"/>
        </w:rPr>
        <w:t xml:space="preserve">Conservation </w:t>
      </w:r>
      <w:r w:rsidR="0013519A" w:rsidRPr="00BE7B7C">
        <w:rPr>
          <w:rFonts w:cs="Times New Roman"/>
          <w:szCs w:val="24"/>
        </w:rPr>
        <w:t>Forecast (adjustments to 201</w:t>
      </w:r>
      <w:r w:rsidR="000377DC">
        <w:rPr>
          <w:rFonts w:cs="Times New Roman"/>
          <w:szCs w:val="24"/>
        </w:rPr>
        <w:t>5</w:t>
      </w:r>
      <w:r w:rsidR="0013519A" w:rsidRPr="00BE7B7C">
        <w:rPr>
          <w:rFonts w:cs="Times New Roman"/>
          <w:szCs w:val="24"/>
        </w:rPr>
        <w:t xml:space="preserve"> IRP selections</w:t>
      </w:r>
      <w:r w:rsidR="000377DC">
        <w:rPr>
          <w:rFonts w:cs="Times New Roman"/>
          <w:szCs w:val="24"/>
        </w:rPr>
        <w:t>, among others</w:t>
      </w:r>
      <w:r w:rsidR="0013519A" w:rsidRPr="00BE7B7C">
        <w:rPr>
          <w:rFonts w:cs="Times New Roman"/>
          <w:szCs w:val="24"/>
        </w:rPr>
        <w:t>)</w:t>
      </w:r>
    </w:p>
    <w:p w:rsidR="0051328B" w:rsidRPr="004D45C1" w:rsidRDefault="0051328B">
      <w:pPr>
        <w:rPr>
          <w:rFonts w:cs="Times New Roman"/>
          <w:szCs w:val="24"/>
          <w:highlight w:val="yellow"/>
        </w:rPr>
      </w:pPr>
    </w:p>
    <w:p w:rsidR="0051328B" w:rsidRPr="006050ED" w:rsidRDefault="001321A5" w:rsidP="002473C2">
      <w:pPr>
        <w:pStyle w:val="ListParagraph"/>
        <w:numPr>
          <w:ilvl w:val="0"/>
          <w:numId w:val="40"/>
        </w:numPr>
        <w:rPr>
          <w:rFonts w:cs="Times New Roman"/>
          <w:szCs w:val="24"/>
        </w:rPr>
      </w:pPr>
      <w:r w:rsidRPr="006050ED">
        <w:rPr>
          <w:rFonts w:cs="Times New Roman"/>
          <w:szCs w:val="24"/>
          <w:u w:val="single"/>
        </w:rPr>
        <w:t>Li</w:t>
      </w:r>
      <w:r w:rsidR="006050ED" w:rsidRPr="006050ED">
        <w:rPr>
          <w:rFonts w:cs="Times New Roman"/>
          <w:szCs w:val="24"/>
          <w:u w:val="single"/>
        </w:rPr>
        <w:t>st of Measures selected for 201</w:t>
      </w:r>
      <w:r w:rsidR="000377DC">
        <w:rPr>
          <w:rFonts w:cs="Times New Roman"/>
          <w:szCs w:val="24"/>
          <w:u w:val="single"/>
        </w:rPr>
        <w:t>6</w:t>
      </w:r>
      <w:r w:rsidRPr="006050ED">
        <w:rPr>
          <w:rFonts w:cs="Times New Roman"/>
          <w:szCs w:val="24"/>
          <w:u w:val="single"/>
        </w:rPr>
        <w:t xml:space="preserve"> and 201</w:t>
      </w:r>
      <w:r w:rsidR="000377DC">
        <w:rPr>
          <w:rFonts w:cs="Times New Roman"/>
          <w:szCs w:val="24"/>
          <w:u w:val="single"/>
        </w:rPr>
        <w:t>7</w:t>
      </w:r>
      <w:r w:rsidRPr="006050ED">
        <w:rPr>
          <w:rFonts w:cs="Times New Roman"/>
          <w:szCs w:val="24"/>
        </w:rPr>
        <w:t xml:space="preserve"> in the Preferred Portfolio during PacifiCorp’s 201</w:t>
      </w:r>
      <w:r w:rsidR="000377DC">
        <w:rPr>
          <w:rFonts w:cs="Times New Roman"/>
          <w:szCs w:val="24"/>
        </w:rPr>
        <w:t>5</w:t>
      </w:r>
      <w:r w:rsidRPr="006050ED">
        <w:rPr>
          <w:rFonts w:cs="Times New Roman"/>
          <w:szCs w:val="24"/>
        </w:rPr>
        <w:t xml:space="preserve"> IRP Process</w:t>
      </w:r>
    </w:p>
    <w:p w:rsidR="0051328B" w:rsidRPr="004D45C1" w:rsidRDefault="0051328B">
      <w:pPr>
        <w:pStyle w:val="ListParagraph"/>
        <w:rPr>
          <w:rFonts w:cs="Times New Roman"/>
          <w:szCs w:val="24"/>
          <w:highlight w:val="yellow"/>
        </w:rPr>
      </w:pPr>
    </w:p>
    <w:p w:rsidR="0051328B" w:rsidRPr="001E7445" w:rsidRDefault="001E7445" w:rsidP="002473C2">
      <w:pPr>
        <w:pStyle w:val="ListParagraph"/>
        <w:numPr>
          <w:ilvl w:val="0"/>
          <w:numId w:val="40"/>
        </w:numPr>
        <w:rPr>
          <w:rFonts w:cs="Times New Roman"/>
          <w:szCs w:val="24"/>
        </w:rPr>
      </w:pPr>
      <w:r>
        <w:rPr>
          <w:rFonts w:cs="Times New Roman"/>
          <w:szCs w:val="24"/>
          <w:u w:val="single"/>
        </w:rPr>
        <w:t xml:space="preserve">CLEAResult 2014 </w:t>
      </w:r>
      <w:r w:rsidRPr="001E7445">
        <w:rPr>
          <w:rFonts w:cs="Times New Roman"/>
          <w:szCs w:val="24"/>
          <w:u w:val="single"/>
        </w:rPr>
        <w:t>evaluation</w:t>
      </w:r>
      <w:r w:rsidRPr="001769F0">
        <w:rPr>
          <w:rFonts w:cs="Times New Roman"/>
          <w:szCs w:val="24"/>
        </w:rPr>
        <w:t xml:space="preserve"> of Waste Heat to Power and Regenerative Technology opportunities</w:t>
      </w:r>
    </w:p>
    <w:p w:rsidR="0051328B" w:rsidRPr="004D45C1" w:rsidRDefault="0051328B">
      <w:pPr>
        <w:pStyle w:val="ListParagraph"/>
        <w:rPr>
          <w:rFonts w:cs="Times New Roman"/>
          <w:szCs w:val="24"/>
          <w:highlight w:val="yellow"/>
        </w:rPr>
      </w:pPr>
    </w:p>
    <w:p w:rsidR="0051328B" w:rsidRPr="006050ED" w:rsidRDefault="00E67400" w:rsidP="002473C2">
      <w:pPr>
        <w:pStyle w:val="ListParagraph"/>
        <w:numPr>
          <w:ilvl w:val="0"/>
          <w:numId w:val="40"/>
        </w:numPr>
        <w:rPr>
          <w:rFonts w:cs="Times New Roman"/>
          <w:szCs w:val="24"/>
        </w:rPr>
      </w:pPr>
      <w:r w:rsidRPr="006050ED">
        <w:rPr>
          <w:rFonts w:cs="Times New Roman"/>
          <w:szCs w:val="24"/>
        </w:rPr>
        <w:t xml:space="preserve">PacifiCorp’s Washington Demand-side Management </w:t>
      </w:r>
      <w:r w:rsidR="006050ED" w:rsidRPr="006050ED">
        <w:rPr>
          <w:rFonts w:cs="Times New Roman"/>
          <w:szCs w:val="24"/>
          <w:u w:val="single"/>
        </w:rPr>
        <w:t>201</w:t>
      </w:r>
      <w:r w:rsidR="000377DC">
        <w:rPr>
          <w:rFonts w:cs="Times New Roman"/>
          <w:szCs w:val="24"/>
          <w:u w:val="single"/>
        </w:rPr>
        <w:t>6</w:t>
      </w:r>
      <w:r w:rsidR="006050ED" w:rsidRPr="006050ED">
        <w:rPr>
          <w:rFonts w:cs="Times New Roman"/>
          <w:szCs w:val="24"/>
          <w:u w:val="single"/>
        </w:rPr>
        <w:t>-201</w:t>
      </w:r>
      <w:r w:rsidR="000377DC">
        <w:rPr>
          <w:rFonts w:cs="Times New Roman"/>
          <w:szCs w:val="24"/>
          <w:u w:val="single"/>
        </w:rPr>
        <w:t>7</w:t>
      </w:r>
      <w:r w:rsidR="00A32FB7" w:rsidRPr="006050ED">
        <w:rPr>
          <w:rFonts w:cs="Times New Roman"/>
          <w:szCs w:val="24"/>
          <w:u w:val="single"/>
        </w:rPr>
        <w:t xml:space="preserve"> </w:t>
      </w:r>
      <w:r w:rsidRPr="006050ED">
        <w:rPr>
          <w:rFonts w:cs="Times New Roman"/>
          <w:szCs w:val="24"/>
          <w:u w:val="single"/>
        </w:rPr>
        <w:t>Business Plan</w:t>
      </w:r>
    </w:p>
    <w:p w:rsidR="0051328B" w:rsidRPr="004D45C1" w:rsidRDefault="0051328B">
      <w:pPr>
        <w:pStyle w:val="ListParagraph"/>
        <w:rPr>
          <w:rFonts w:cs="Times New Roman"/>
          <w:szCs w:val="24"/>
          <w:highlight w:val="yellow"/>
        </w:rPr>
      </w:pPr>
    </w:p>
    <w:p w:rsidR="0051328B" w:rsidRPr="00F82BAF" w:rsidRDefault="005A49C0" w:rsidP="002473C2">
      <w:pPr>
        <w:pStyle w:val="ListParagraph"/>
        <w:numPr>
          <w:ilvl w:val="0"/>
          <w:numId w:val="40"/>
        </w:numPr>
        <w:rPr>
          <w:rFonts w:cs="Times New Roman"/>
          <w:szCs w:val="24"/>
        </w:rPr>
      </w:pPr>
      <w:r w:rsidRPr="00F82BAF">
        <w:rPr>
          <w:rFonts w:cs="Times New Roman"/>
          <w:szCs w:val="24"/>
        </w:rPr>
        <w:t xml:space="preserve">PacifiCorp’s </w:t>
      </w:r>
      <w:r w:rsidRPr="00F82BAF">
        <w:rPr>
          <w:rFonts w:cs="Times New Roman"/>
          <w:szCs w:val="24"/>
          <w:u w:val="single"/>
        </w:rPr>
        <w:t>Evaluation, Mea</w:t>
      </w:r>
      <w:r w:rsidR="006D0605" w:rsidRPr="00F82BAF">
        <w:rPr>
          <w:rFonts w:cs="Times New Roman"/>
          <w:szCs w:val="24"/>
          <w:u w:val="single"/>
        </w:rPr>
        <w:t>sure</w:t>
      </w:r>
      <w:r w:rsidRPr="00F82BAF">
        <w:rPr>
          <w:rFonts w:cs="Times New Roman"/>
          <w:szCs w:val="24"/>
          <w:u w:val="single"/>
        </w:rPr>
        <w:t>ment, and V</w:t>
      </w:r>
      <w:r w:rsidR="004E54E4" w:rsidRPr="00F82BAF">
        <w:rPr>
          <w:rFonts w:cs="Times New Roman"/>
          <w:szCs w:val="24"/>
          <w:u w:val="single"/>
        </w:rPr>
        <w:t>erification</w:t>
      </w:r>
      <w:r w:rsidRPr="00F82BAF">
        <w:rPr>
          <w:rFonts w:cs="Times New Roman"/>
          <w:szCs w:val="24"/>
          <w:u w:val="single"/>
        </w:rPr>
        <w:t xml:space="preserve"> Framework</w:t>
      </w:r>
      <w:r w:rsidRPr="00F82BAF">
        <w:rPr>
          <w:rFonts w:cs="Times New Roman"/>
          <w:szCs w:val="24"/>
        </w:rPr>
        <w:t xml:space="preserve"> (E,M&amp;V)</w:t>
      </w:r>
    </w:p>
    <w:p w:rsidR="0051328B" w:rsidRPr="004D45C1" w:rsidRDefault="0051328B">
      <w:pPr>
        <w:pStyle w:val="ListParagraph"/>
        <w:rPr>
          <w:rFonts w:cs="Times New Roman"/>
          <w:szCs w:val="24"/>
          <w:highlight w:val="yellow"/>
        </w:rPr>
      </w:pPr>
    </w:p>
    <w:p w:rsidR="0051328B" w:rsidRPr="00E32FC0" w:rsidRDefault="006D0605" w:rsidP="00E32FC0">
      <w:pPr>
        <w:pStyle w:val="ListParagraph"/>
        <w:numPr>
          <w:ilvl w:val="0"/>
          <w:numId w:val="40"/>
        </w:numPr>
        <w:rPr>
          <w:rFonts w:cs="Times New Roman"/>
          <w:szCs w:val="24"/>
        </w:rPr>
      </w:pPr>
      <w:r w:rsidRPr="006050ED">
        <w:rPr>
          <w:rFonts w:cs="Times New Roman"/>
          <w:szCs w:val="24"/>
          <w:u w:val="single"/>
        </w:rPr>
        <w:t>Northwest</w:t>
      </w:r>
      <w:r w:rsidR="006050ED" w:rsidRPr="006050ED">
        <w:rPr>
          <w:rFonts w:cs="Times New Roman"/>
          <w:szCs w:val="24"/>
          <w:u w:val="single"/>
        </w:rPr>
        <w:t xml:space="preserve"> Energy Efficiency Alliance 201</w:t>
      </w:r>
      <w:r w:rsidR="000377DC">
        <w:rPr>
          <w:rFonts w:cs="Times New Roman"/>
          <w:szCs w:val="24"/>
          <w:u w:val="single"/>
        </w:rPr>
        <w:t>6</w:t>
      </w:r>
      <w:r w:rsidR="006050ED" w:rsidRPr="006050ED">
        <w:rPr>
          <w:rFonts w:cs="Times New Roman"/>
          <w:szCs w:val="24"/>
          <w:u w:val="single"/>
        </w:rPr>
        <w:t>-201</w:t>
      </w:r>
      <w:r w:rsidR="000377DC">
        <w:rPr>
          <w:rFonts w:cs="Times New Roman"/>
          <w:szCs w:val="24"/>
          <w:u w:val="single"/>
        </w:rPr>
        <w:t>7</w:t>
      </w:r>
      <w:r w:rsidRPr="006050ED">
        <w:rPr>
          <w:rFonts w:cs="Times New Roman"/>
          <w:szCs w:val="24"/>
          <w:u w:val="single"/>
        </w:rPr>
        <w:t xml:space="preserve"> forecast</w:t>
      </w:r>
      <w:r w:rsidRPr="006050ED">
        <w:rPr>
          <w:rFonts w:cs="Times New Roman"/>
          <w:szCs w:val="24"/>
        </w:rPr>
        <w:t xml:space="preserve"> for PacifiCorp’s Washington service territory, forecast and forecast methodology</w:t>
      </w:r>
    </w:p>
    <w:p w:rsidR="0051328B" w:rsidRPr="00BE7B7C" w:rsidRDefault="0051328B">
      <w:pPr>
        <w:pStyle w:val="ListParagraph"/>
        <w:rPr>
          <w:rFonts w:cs="Times New Roman"/>
          <w:szCs w:val="24"/>
        </w:rPr>
      </w:pPr>
    </w:p>
    <w:p w:rsidR="0051328B" w:rsidRDefault="00092202" w:rsidP="00E32FC0">
      <w:pPr>
        <w:pStyle w:val="ListParagraph"/>
        <w:numPr>
          <w:ilvl w:val="0"/>
          <w:numId w:val="40"/>
        </w:numPr>
        <w:rPr>
          <w:rFonts w:cs="Times New Roman"/>
          <w:szCs w:val="24"/>
        </w:rPr>
      </w:pPr>
      <w:r w:rsidRPr="00BE7B7C">
        <w:rPr>
          <w:rFonts w:cs="Times New Roman"/>
          <w:szCs w:val="24"/>
          <w:u w:val="single"/>
        </w:rPr>
        <w:t>Cascade Energy Inc. Stud</w:t>
      </w:r>
      <w:r w:rsidR="00E01FCA">
        <w:rPr>
          <w:rFonts w:cs="Times New Roman"/>
          <w:szCs w:val="24"/>
          <w:u w:val="single"/>
        </w:rPr>
        <w:t>ies</w:t>
      </w:r>
      <w:r w:rsidR="0021546B" w:rsidRPr="00BE7B7C">
        <w:rPr>
          <w:rFonts w:cs="Times New Roman"/>
          <w:szCs w:val="24"/>
        </w:rPr>
        <w:t xml:space="preserve"> of production efficiency opportunities in Washington</w:t>
      </w:r>
    </w:p>
    <w:p w:rsidR="000377DC" w:rsidRDefault="000377DC" w:rsidP="000377DC">
      <w:pPr>
        <w:ind w:left="720"/>
        <w:rPr>
          <w:rFonts w:cs="Times New Roman"/>
          <w:szCs w:val="24"/>
        </w:rPr>
      </w:pPr>
    </w:p>
    <w:p w:rsidR="00B1104C" w:rsidRDefault="00B1104C" w:rsidP="000377DC">
      <w:pPr>
        <w:ind w:left="720" w:hanging="360"/>
        <w:rPr>
          <w:rFonts w:cs="Times New Roman"/>
          <w:szCs w:val="24"/>
        </w:rPr>
      </w:pPr>
      <w:r>
        <w:rPr>
          <w:rFonts w:cs="Times New Roman"/>
          <w:szCs w:val="24"/>
        </w:rPr>
        <w:t xml:space="preserve">11) </w:t>
      </w:r>
      <w:r w:rsidRPr="00A12EA6">
        <w:rPr>
          <w:rFonts w:cs="Times New Roman"/>
          <w:szCs w:val="24"/>
          <w:u w:val="single"/>
        </w:rPr>
        <w:t>Commonwealth</w:t>
      </w:r>
      <w:r w:rsidR="000377DC" w:rsidRPr="00A12EA6">
        <w:rPr>
          <w:rFonts w:cs="Times New Roman"/>
          <w:szCs w:val="24"/>
          <w:u w:val="single"/>
        </w:rPr>
        <w:t xml:space="preserve"> Associates, Inc. Study</w:t>
      </w:r>
      <w:r w:rsidR="000377DC">
        <w:rPr>
          <w:rFonts w:cs="Times New Roman"/>
          <w:szCs w:val="24"/>
        </w:rPr>
        <w:t xml:space="preserve"> of DEI opportunities in Washington</w:t>
      </w:r>
    </w:p>
    <w:p w:rsidR="00B1104C" w:rsidRDefault="00B1104C" w:rsidP="000377DC">
      <w:pPr>
        <w:rPr>
          <w:rFonts w:cs="Times New Roman"/>
          <w:szCs w:val="24"/>
        </w:rPr>
      </w:pPr>
    </w:p>
    <w:p w:rsidR="00B1104C" w:rsidRDefault="00B1104C" w:rsidP="000377DC">
      <w:pPr>
        <w:ind w:left="720" w:hanging="360"/>
        <w:rPr>
          <w:rFonts w:cs="Times New Roman"/>
          <w:szCs w:val="24"/>
        </w:rPr>
      </w:pPr>
      <w:r>
        <w:rPr>
          <w:rFonts w:cs="Times New Roman"/>
          <w:szCs w:val="24"/>
        </w:rPr>
        <w:t xml:space="preserve">12) </w:t>
      </w:r>
      <w:r w:rsidRPr="00A12EA6">
        <w:rPr>
          <w:rFonts w:cs="Times New Roman"/>
          <w:szCs w:val="24"/>
          <w:u w:val="single"/>
        </w:rPr>
        <w:t>Navigant Consulting, Inc. Study</w:t>
      </w:r>
      <w:r>
        <w:rPr>
          <w:rFonts w:cs="Times New Roman"/>
          <w:szCs w:val="24"/>
        </w:rPr>
        <w:t xml:space="preserve"> of distributed generation resource opportunities including high-efficiency cogeneration in Washington</w:t>
      </w:r>
    </w:p>
    <w:p w:rsidR="00535181" w:rsidRDefault="00535181" w:rsidP="000377DC">
      <w:pPr>
        <w:ind w:left="720" w:hanging="360"/>
        <w:rPr>
          <w:rFonts w:cs="Times New Roman"/>
          <w:szCs w:val="24"/>
        </w:rPr>
      </w:pPr>
    </w:p>
    <w:p w:rsidR="00535181" w:rsidRPr="00B1104C" w:rsidRDefault="00535181" w:rsidP="000377DC">
      <w:pPr>
        <w:ind w:left="720" w:hanging="360"/>
        <w:rPr>
          <w:rFonts w:cs="Times New Roman"/>
          <w:szCs w:val="24"/>
        </w:rPr>
      </w:pPr>
    </w:p>
    <w:p w:rsidR="0051328B" w:rsidRPr="00432C28" w:rsidRDefault="0051328B">
      <w:pPr>
        <w:pStyle w:val="ListParagraph"/>
        <w:rPr>
          <w:rFonts w:cs="Times New Roman"/>
          <w:szCs w:val="24"/>
          <w:u w:val="single"/>
        </w:rPr>
      </w:pPr>
    </w:p>
    <w:p w:rsidR="00D53222" w:rsidRPr="00432C28" w:rsidRDefault="00A33439" w:rsidP="00405424">
      <w:pPr>
        <w:rPr>
          <w:rFonts w:cs="Times New Roman"/>
          <w:szCs w:val="24"/>
        </w:rPr>
        <w:sectPr w:rsidR="00D53222" w:rsidRPr="00432C28" w:rsidSect="004E0958">
          <w:pgSz w:w="12240" w:h="15840" w:code="1"/>
          <w:pgMar w:top="1440" w:right="1440" w:bottom="1440" w:left="1440" w:header="720" w:footer="720" w:gutter="0"/>
          <w:cols w:space="720"/>
          <w:docGrid w:linePitch="360"/>
        </w:sectPr>
      </w:pPr>
      <w:r w:rsidRPr="00432C28">
        <w:rPr>
          <w:rFonts w:cs="Times New Roman"/>
          <w:szCs w:val="24"/>
        </w:rPr>
        <w:br w:type="page"/>
      </w:r>
    </w:p>
    <w:p w:rsidR="0051328B" w:rsidRPr="00432C28" w:rsidRDefault="0051328B" w:rsidP="0051328B">
      <w:pPr>
        <w:rPr>
          <w:rFonts w:cs="Times New Roman"/>
          <w:szCs w:val="24"/>
        </w:rPr>
      </w:pPr>
    </w:p>
    <w:p w:rsidR="00A33439" w:rsidRPr="00432C28" w:rsidRDefault="00A33439" w:rsidP="00A33439">
      <w:pPr>
        <w:ind w:left="720"/>
        <w:rPr>
          <w:rFonts w:cs="Times New Roman"/>
          <w:szCs w:val="24"/>
        </w:rPr>
      </w:pPr>
    </w:p>
    <w:p w:rsidR="00A33439" w:rsidRPr="00432C28" w:rsidRDefault="00A33439" w:rsidP="00A33439">
      <w:pPr>
        <w:rPr>
          <w:rFonts w:cs="Times New Roman"/>
          <w:szCs w:val="24"/>
        </w:rPr>
      </w:pPr>
    </w:p>
    <w:p w:rsidR="00A33439" w:rsidRPr="00432C28" w:rsidRDefault="00A33439" w:rsidP="00A33439">
      <w:pPr>
        <w:rPr>
          <w:rFonts w:cs="Times New Roman"/>
          <w:szCs w:val="24"/>
        </w:rPr>
      </w:pPr>
    </w:p>
    <w:p w:rsidR="00A33439" w:rsidRPr="00432C28" w:rsidRDefault="00A33439" w:rsidP="00A33439">
      <w:pPr>
        <w:rPr>
          <w:rFonts w:cs="Times New Roman"/>
          <w:szCs w:val="24"/>
        </w:rPr>
      </w:pPr>
    </w:p>
    <w:p w:rsidR="00A33439" w:rsidRPr="00432C28" w:rsidRDefault="00A33439" w:rsidP="00A33439">
      <w:pPr>
        <w:rPr>
          <w:rFonts w:cs="Times New Roman"/>
          <w:szCs w:val="24"/>
        </w:rPr>
      </w:pPr>
    </w:p>
    <w:p w:rsidR="00A33439" w:rsidRPr="00432C28" w:rsidRDefault="00A33439" w:rsidP="00A33439">
      <w:pPr>
        <w:rPr>
          <w:rFonts w:cs="Times New Roman"/>
          <w:szCs w:val="24"/>
        </w:rPr>
      </w:pPr>
    </w:p>
    <w:p w:rsidR="00A33439" w:rsidRPr="00432C28" w:rsidRDefault="00A33439" w:rsidP="00A33439">
      <w:pPr>
        <w:rPr>
          <w:rFonts w:cs="Times New Roman"/>
          <w:szCs w:val="24"/>
        </w:rPr>
      </w:pPr>
    </w:p>
    <w:p w:rsidR="00A33439" w:rsidRPr="00432C28" w:rsidRDefault="00A33439" w:rsidP="00A33439">
      <w:pPr>
        <w:rPr>
          <w:rFonts w:cs="Times New Roman"/>
          <w:szCs w:val="24"/>
        </w:rPr>
      </w:pPr>
    </w:p>
    <w:p w:rsidR="00A33439" w:rsidRPr="00432C28" w:rsidRDefault="00A33439" w:rsidP="00A33439">
      <w:pPr>
        <w:rPr>
          <w:rFonts w:cs="Times New Roman"/>
          <w:szCs w:val="24"/>
        </w:rPr>
      </w:pPr>
    </w:p>
    <w:p w:rsidR="00A33439" w:rsidRPr="00432C28" w:rsidRDefault="00A33439" w:rsidP="00A33439">
      <w:pPr>
        <w:rPr>
          <w:rFonts w:cs="Times New Roman"/>
          <w:szCs w:val="24"/>
        </w:rPr>
      </w:pPr>
    </w:p>
    <w:p w:rsidR="00A33439" w:rsidRPr="00432C28" w:rsidRDefault="00A33439" w:rsidP="00A33439">
      <w:pPr>
        <w:jc w:val="center"/>
        <w:rPr>
          <w:rFonts w:cs="Times New Roman"/>
          <w:sz w:val="48"/>
          <w:szCs w:val="48"/>
        </w:rPr>
      </w:pPr>
      <w:r w:rsidRPr="00432C28">
        <w:rPr>
          <w:rFonts w:cs="Times New Roman"/>
          <w:sz w:val="48"/>
          <w:szCs w:val="48"/>
        </w:rPr>
        <w:t>Appendix 1</w:t>
      </w:r>
    </w:p>
    <w:p w:rsidR="00A33439" w:rsidRPr="00432C28" w:rsidRDefault="00A33439" w:rsidP="00A33439">
      <w:pPr>
        <w:jc w:val="center"/>
        <w:rPr>
          <w:rFonts w:cs="Times New Roman"/>
          <w:sz w:val="48"/>
          <w:szCs w:val="48"/>
        </w:rPr>
      </w:pPr>
      <w:r w:rsidRPr="00432C28">
        <w:rPr>
          <w:rFonts w:cs="Times New Roman"/>
          <w:sz w:val="48"/>
          <w:szCs w:val="48"/>
        </w:rPr>
        <w:t>PacifiCorp’s 201</w:t>
      </w:r>
      <w:r w:rsidR="006978E8">
        <w:rPr>
          <w:rFonts w:cs="Times New Roman"/>
          <w:sz w:val="48"/>
          <w:szCs w:val="48"/>
        </w:rPr>
        <w:t>5</w:t>
      </w:r>
      <w:r w:rsidRPr="00432C28">
        <w:rPr>
          <w:rFonts w:cs="Times New Roman"/>
          <w:sz w:val="48"/>
          <w:szCs w:val="48"/>
        </w:rPr>
        <w:t xml:space="preserve"> Integrated Resource Plan</w:t>
      </w:r>
    </w:p>
    <w:p w:rsidR="00A33439" w:rsidRPr="00432C28" w:rsidRDefault="00A33439" w:rsidP="00A33439">
      <w:pPr>
        <w:jc w:val="center"/>
        <w:rPr>
          <w:rFonts w:cs="Times New Roman"/>
          <w:szCs w:val="24"/>
        </w:rPr>
      </w:pPr>
    </w:p>
    <w:p w:rsidR="00A33439" w:rsidRPr="00432C28" w:rsidRDefault="00A33439" w:rsidP="00A33439">
      <w:pPr>
        <w:jc w:val="center"/>
        <w:rPr>
          <w:rFonts w:cs="Times New Roman"/>
          <w:szCs w:val="24"/>
        </w:rPr>
        <w:sectPr w:rsidR="00A33439" w:rsidRPr="00432C28">
          <w:headerReference w:type="even" r:id="rId36"/>
          <w:headerReference w:type="default" r:id="rId37"/>
          <w:footerReference w:type="default" r:id="rId38"/>
          <w:headerReference w:type="first" r:id="rId39"/>
          <w:pgSz w:w="12240" w:h="15840"/>
          <w:pgMar w:top="1440" w:right="1440" w:bottom="1440" w:left="1440" w:header="720" w:footer="720" w:gutter="0"/>
          <w:pgNumType w:start="1" w:chapStyle="1"/>
          <w:cols w:space="720"/>
          <w:docGrid w:linePitch="360"/>
        </w:sectPr>
      </w:pPr>
      <w:r w:rsidRPr="00432C28">
        <w:rPr>
          <w:rFonts w:cs="Times New Roman"/>
          <w:szCs w:val="24"/>
        </w:rPr>
        <w:t>(Appendix 1 is voluminous and therefore provided on compact disc)</w:t>
      </w:r>
    </w:p>
    <w:p w:rsidR="00A33439" w:rsidRPr="00432C28" w:rsidRDefault="00A33439" w:rsidP="00A33439">
      <w:pPr>
        <w:jc w:val="center"/>
        <w:rPr>
          <w:rFonts w:cs="Times New Roman"/>
          <w:szCs w:val="24"/>
        </w:rPr>
      </w:pPr>
    </w:p>
    <w:p w:rsidR="00A33439" w:rsidRPr="00432C28" w:rsidRDefault="00A33439" w:rsidP="00A33439">
      <w:pPr>
        <w:jc w:val="center"/>
        <w:rPr>
          <w:rFonts w:cs="Times New Roman"/>
          <w:szCs w:val="24"/>
        </w:rPr>
      </w:pPr>
    </w:p>
    <w:p w:rsidR="00A33439" w:rsidRPr="00432C28" w:rsidRDefault="00A33439" w:rsidP="00A33439">
      <w:pPr>
        <w:jc w:val="center"/>
        <w:rPr>
          <w:rFonts w:cs="Times New Roman"/>
          <w:szCs w:val="24"/>
        </w:rPr>
      </w:pPr>
    </w:p>
    <w:p w:rsidR="00A33439" w:rsidRPr="00432C28" w:rsidRDefault="00A33439" w:rsidP="00A33439">
      <w:pPr>
        <w:jc w:val="center"/>
        <w:rPr>
          <w:rFonts w:cs="Times New Roman"/>
          <w:szCs w:val="24"/>
        </w:rPr>
      </w:pPr>
    </w:p>
    <w:p w:rsidR="00A33439" w:rsidRPr="00432C28" w:rsidRDefault="00A33439" w:rsidP="00A33439">
      <w:pPr>
        <w:jc w:val="center"/>
        <w:rPr>
          <w:rFonts w:cs="Times New Roman"/>
          <w:szCs w:val="24"/>
        </w:rPr>
      </w:pPr>
    </w:p>
    <w:p w:rsidR="00A33439" w:rsidRPr="00432C28" w:rsidRDefault="00A33439" w:rsidP="00A33439">
      <w:pPr>
        <w:jc w:val="center"/>
        <w:rPr>
          <w:rFonts w:cs="Times New Roman"/>
          <w:szCs w:val="24"/>
        </w:rPr>
      </w:pPr>
    </w:p>
    <w:p w:rsidR="00A33439" w:rsidRPr="00432C28" w:rsidRDefault="00A33439" w:rsidP="00A33439">
      <w:pPr>
        <w:jc w:val="center"/>
        <w:rPr>
          <w:rFonts w:cs="Times New Roman"/>
          <w:szCs w:val="24"/>
        </w:rPr>
      </w:pPr>
    </w:p>
    <w:p w:rsidR="00A33439" w:rsidRPr="00432C28" w:rsidRDefault="00A33439" w:rsidP="00A33439">
      <w:pPr>
        <w:jc w:val="center"/>
        <w:rPr>
          <w:rFonts w:cs="Times New Roman"/>
          <w:szCs w:val="24"/>
        </w:rPr>
      </w:pPr>
    </w:p>
    <w:p w:rsidR="00A33439" w:rsidRPr="00432C28" w:rsidRDefault="00A33439" w:rsidP="00A33439">
      <w:pPr>
        <w:jc w:val="center"/>
        <w:rPr>
          <w:rFonts w:cs="Times New Roman"/>
          <w:szCs w:val="24"/>
        </w:rPr>
      </w:pPr>
    </w:p>
    <w:p w:rsidR="00A33439" w:rsidRPr="00432C28" w:rsidRDefault="00A33439" w:rsidP="00A33439">
      <w:pPr>
        <w:jc w:val="center"/>
        <w:rPr>
          <w:rFonts w:cs="Times New Roman"/>
          <w:szCs w:val="24"/>
        </w:rPr>
      </w:pPr>
    </w:p>
    <w:p w:rsidR="00A33439" w:rsidRPr="00432C28" w:rsidRDefault="00A33439" w:rsidP="00A33439">
      <w:pPr>
        <w:rPr>
          <w:rFonts w:cs="Times New Roman"/>
          <w:szCs w:val="24"/>
        </w:rPr>
      </w:pPr>
    </w:p>
    <w:p w:rsidR="00A33439" w:rsidRPr="00432C28" w:rsidRDefault="00A33439" w:rsidP="00A33439">
      <w:pPr>
        <w:jc w:val="center"/>
        <w:rPr>
          <w:rFonts w:cs="Times New Roman"/>
          <w:sz w:val="48"/>
          <w:szCs w:val="48"/>
        </w:rPr>
      </w:pPr>
      <w:r w:rsidRPr="00432C28">
        <w:rPr>
          <w:rFonts w:cs="Times New Roman"/>
          <w:sz w:val="48"/>
          <w:szCs w:val="48"/>
        </w:rPr>
        <w:t>Appendix 2</w:t>
      </w:r>
    </w:p>
    <w:p w:rsidR="00A33439" w:rsidRPr="00432C28" w:rsidRDefault="006978E8" w:rsidP="00A33439">
      <w:pPr>
        <w:jc w:val="center"/>
        <w:rPr>
          <w:rFonts w:cs="Times New Roman"/>
          <w:sz w:val="48"/>
          <w:szCs w:val="48"/>
        </w:rPr>
      </w:pPr>
      <w:r>
        <w:rPr>
          <w:rFonts w:cs="Times New Roman"/>
          <w:sz w:val="48"/>
          <w:szCs w:val="48"/>
        </w:rPr>
        <w:t>PacifiCorp Demand-Side Resource Potential Assessment For 2015-2034</w:t>
      </w:r>
    </w:p>
    <w:p w:rsidR="00A33439" w:rsidRPr="00432C28" w:rsidRDefault="00A33439" w:rsidP="00A33439">
      <w:pPr>
        <w:jc w:val="center"/>
        <w:rPr>
          <w:rFonts w:cs="Times New Roman"/>
          <w:szCs w:val="24"/>
        </w:rPr>
      </w:pPr>
    </w:p>
    <w:p w:rsidR="00A33439" w:rsidRPr="00432C28" w:rsidRDefault="00A33439" w:rsidP="00A33439">
      <w:pPr>
        <w:jc w:val="center"/>
        <w:rPr>
          <w:rFonts w:cs="Times New Roman"/>
          <w:szCs w:val="24"/>
        </w:rPr>
        <w:sectPr w:rsidR="00A33439" w:rsidRPr="00432C28">
          <w:headerReference w:type="even" r:id="rId40"/>
          <w:headerReference w:type="default" r:id="rId41"/>
          <w:footerReference w:type="default" r:id="rId42"/>
          <w:headerReference w:type="first" r:id="rId43"/>
          <w:pgSz w:w="12240" w:h="15840"/>
          <w:pgMar w:top="1440" w:right="1440" w:bottom="1440" w:left="1440" w:header="720" w:footer="720" w:gutter="0"/>
          <w:pgNumType w:start="1"/>
          <w:cols w:space="720"/>
          <w:docGrid w:linePitch="360"/>
        </w:sectPr>
      </w:pPr>
      <w:r w:rsidRPr="00432C28">
        <w:rPr>
          <w:rFonts w:cs="Times New Roman"/>
          <w:szCs w:val="24"/>
        </w:rPr>
        <w:t>(Appendix 2 is voluminous and therefore provided on compact disc)</w:t>
      </w:r>
    </w:p>
    <w:p w:rsidR="00F7709B" w:rsidRPr="00432C28" w:rsidRDefault="00F7709B" w:rsidP="00F7709B">
      <w:pPr>
        <w:jc w:val="center"/>
        <w:rPr>
          <w:rFonts w:cs="Times New Roman"/>
          <w:sz w:val="48"/>
          <w:szCs w:val="48"/>
        </w:rPr>
      </w:pPr>
      <w:r w:rsidRPr="00432C28">
        <w:rPr>
          <w:rFonts w:cs="Times New Roman"/>
          <w:sz w:val="48"/>
          <w:szCs w:val="48"/>
        </w:rPr>
        <w:t>Appendix 3</w:t>
      </w:r>
    </w:p>
    <w:p w:rsidR="00F7709B" w:rsidRPr="00432C28" w:rsidRDefault="00F7709B" w:rsidP="00F7709B">
      <w:pPr>
        <w:ind w:left="360"/>
        <w:jc w:val="center"/>
        <w:rPr>
          <w:rFonts w:cs="Times New Roman"/>
          <w:sz w:val="48"/>
          <w:szCs w:val="48"/>
        </w:rPr>
      </w:pPr>
      <w:r w:rsidRPr="00432C28">
        <w:rPr>
          <w:rFonts w:cs="Times New Roman"/>
          <w:sz w:val="48"/>
          <w:szCs w:val="48"/>
        </w:rPr>
        <w:t>Comparison of Regional Methodologies</w:t>
      </w:r>
    </w:p>
    <w:p w:rsidR="004F6112" w:rsidRPr="00432C28" w:rsidRDefault="004F6112" w:rsidP="00F7709B">
      <w:pPr>
        <w:ind w:left="360"/>
        <w:jc w:val="center"/>
        <w:rPr>
          <w:rFonts w:cs="Times New Roman"/>
          <w:sz w:val="28"/>
          <w:szCs w:val="28"/>
        </w:rPr>
      </w:pPr>
    </w:p>
    <w:p w:rsidR="00F7709B" w:rsidRPr="00F82BAF" w:rsidRDefault="00F7709B" w:rsidP="00F7709B">
      <w:pPr>
        <w:ind w:left="360"/>
        <w:jc w:val="center"/>
        <w:rPr>
          <w:rFonts w:cs="Times New Roman"/>
          <w:szCs w:val="24"/>
        </w:rPr>
      </w:pPr>
      <w:r w:rsidRPr="00432C28">
        <w:rPr>
          <w:rFonts w:cs="Times New Roman"/>
          <w:szCs w:val="24"/>
        </w:rPr>
        <w:t xml:space="preserve">Northwest Power Plan and </w:t>
      </w:r>
      <w:r w:rsidRPr="00F82BAF">
        <w:rPr>
          <w:rFonts w:cs="Times New Roman"/>
          <w:szCs w:val="24"/>
        </w:rPr>
        <w:t>PacifiCorp Integrated Resource Plan</w:t>
      </w:r>
      <w:r w:rsidR="0013519A" w:rsidRPr="00F82BAF">
        <w:rPr>
          <w:rFonts w:cs="Times New Roman"/>
          <w:szCs w:val="24"/>
        </w:rPr>
        <w:t xml:space="preserve"> Comparison Matrix</w:t>
      </w:r>
      <w:r w:rsidR="004F6112" w:rsidRPr="00F82BAF">
        <w:rPr>
          <w:rFonts w:cs="Times New Roman"/>
          <w:szCs w:val="24"/>
        </w:rPr>
        <w:t>, Washington Collaborati</w:t>
      </w:r>
      <w:r w:rsidR="00AB557A" w:rsidRPr="00F82BAF">
        <w:rPr>
          <w:rFonts w:cs="Times New Roman"/>
          <w:szCs w:val="24"/>
        </w:rPr>
        <w:t xml:space="preserve">ve Working Group </w:t>
      </w:r>
      <w:r w:rsidR="0013519A" w:rsidRPr="00F82BAF">
        <w:rPr>
          <w:rFonts w:cs="Times New Roman"/>
          <w:szCs w:val="24"/>
        </w:rPr>
        <w:t xml:space="preserve">Documents on Avoided Cost and Total Resource Cost Methodology Comparisons (Methodology </w:t>
      </w:r>
      <w:r w:rsidR="00AB557A" w:rsidRPr="00F82BAF">
        <w:rPr>
          <w:rFonts w:cs="Times New Roman"/>
          <w:szCs w:val="24"/>
        </w:rPr>
        <w:t>sub-group</w:t>
      </w:r>
      <w:r w:rsidR="0013519A" w:rsidRPr="00F82BAF">
        <w:rPr>
          <w:rFonts w:cs="Times New Roman"/>
          <w:szCs w:val="24"/>
        </w:rPr>
        <w:t>)</w:t>
      </w:r>
    </w:p>
    <w:p w:rsidR="00F7709B" w:rsidRPr="00F82BAF" w:rsidRDefault="00F7709B" w:rsidP="00F7709B">
      <w:pPr>
        <w:rPr>
          <w:rFonts w:cs="Times New Roman"/>
          <w:szCs w:val="24"/>
        </w:rPr>
      </w:pPr>
    </w:p>
    <w:p w:rsidR="00F7709B" w:rsidRPr="00432C28" w:rsidRDefault="001D6EDC" w:rsidP="00F7709B">
      <w:pPr>
        <w:rPr>
          <w:rFonts w:cs="Times New Roman"/>
          <w:szCs w:val="24"/>
        </w:rPr>
      </w:pPr>
      <w:r w:rsidRPr="00F82BAF">
        <w:rPr>
          <w:rFonts w:cs="Times New Roman"/>
          <w:szCs w:val="24"/>
        </w:rPr>
        <w:t>This appendix</w:t>
      </w:r>
      <w:r w:rsidR="00F7709B" w:rsidRPr="00F82BAF">
        <w:rPr>
          <w:rFonts w:cs="Times New Roman"/>
          <w:szCs w:val="24"/>
        </w:rPr>
        <w:t xml:space="preserve"> contains an outline of the methodology used and provided by the Northwest Power and Conservation Council in the development of the </w:t>
      </w:r>
      <w:r w:rsidR="00A61B3B" w:rsidRPr="00F82BAF">
        <w:rPr>
          <w:rFonts w:cs="Times New Roman"/>
          <w:szCs w:val="24"/>
        </w:rPr>
        <w:t xml:space="preserve">sixth </w:t>
      </w:r>
      <w:r w:rsidR="00F7709B" w:rsidRPr="00F82BAF">
        <w:rPr>
          <w:rFonts w:cs="Times New Roman"/>
          <w:szCs w:val="24"/>
        </w:rPr>
        <w:t xml:space="preserve">regional power plan along with a description of the Company’s aligning methodology. </w:t>
      </w:r>
      <w:r w:rsidR="004F6112" w:rsidRPr="00F82BAF">
        <w:rPr>
          <w:rFonts w:cs="Times New Roman"/>
          <w:szCs w:val="24"/>
        </w:rPr>
        <w:t>It also contains key work product documents</w:t>
      </w:r>
      <w:r w:rsidR="00AB557A" w:rsidRPr="00F82BAF">
        <w:rPr>
          <w:rFonts w:cs="Times New Roman"/>
          <w:szCs w:val="24"/>
        </w:rPr>
        <w:t xml:space="preserve"> (Tables A3-1 and A3-3) </w:t>
      </w:r>
      <w:r w:rsidR="004F6112" w:rsidRPr="00F82BAF">
        <w:rPr>
          <w:rFonts w:cs="Times New Roman"/>
          <w:szCs w:val="24"/>
        </w:rPr>
        <w:t xml:space="preserve">generated by the 2011 Washington Collaborative Working group on regional alignment of methodologies. </w:t>
      </w:r>
      <w:r w:rsidR="00F7709B" w:rsidRPr="00F82BAF">
        <w:rPr>
          <w:rFonts w:cs="Times New Roman"/>
          <w:szCs w:val="24"/>
        </w:rPr>
        <w:t xml:space="preserve">This analysis demonstrates the consistency of the methodologies used in the development of </w:t>
      </w:r>
      <w:r w:rsidR="004F6112" w:rsidRPr="00F82BAF">
        <w:rPr>
          <w:rFonts w:cs="Times New Roman"/>
          <w:szCs w:val="24"/>
        </w:rPr>
        <w:t>regional plans and the Company’s plan</w:t>
      </w:r>
      <w:r w:rsidR="00F7709B" w:rsidRPr="00F82BAF">
        <w:rPr>
          <w:rFonts w:cs="Times New Roman"/>
          <w:szCs w:val="24"/>
        </w:rPr>
        <w:t>.</w:t>
      </w:r>
    </w:p>
    <w:p w:rsidR="00F7709B" w:rsidRPr="00432C28" w:rsidRDefault="00F7709B" w:rsidP="00F7709B">
      <w:pPr>
        <w:rPr>
          <w:rFonts w:cs="Times New Roman"/>
          <w:szCs w:val="24"/>
        </w:rPr>
      </w:pPr>
    </w:p>
    <w:p w:rsidR="00F7709B" w:rsidRDefault="00F7709B" w:rsidP="00F7709B">
      <w:pPr>
        <w:rPr>
          <w:rFonts w:cs="Times New Roman"/>
          <w:szCs w:val="24"/>
        </w:rPr>
      </w:pPr>
      <w:r w:rsidRPr="00432C28">
        <w:rPr>
          <w:rFonts w:cs="Times New Roman"/>
          <w:szCs w:val="24"/>
        </w:rPr>
        <w:t xml:space="preserve">The information on the left side of Table A3-1 below is </w:t>
      </w:r>
      <w:r w:rsidR="00AB557A" w:rsidRPr="00432C28">
        <w:rPr>
          <w:rFonts w:cs="Times New Roman"/>
          <w:szCs w:val="24"/>
        </w:rPr>
        <w:t>the Northwest Power and Conservation Council</w:t>
      </w:r>
      <w:r w:rsidR="00A61B3B">
        <w:rPr>
          <w:rFonts w:cs="Times New Roman"/>
          <w:szCs w:val="24"/>
        </w:rPr>
        <w:t>’s</w:t>
      </w:r>
      <w:r w:rsidR="00AB557A" w:rsidRPr="00432C28">
        <w:rPr>
          <w:rFonts w:cs="Times New Roman"/>
          <w:szCs w:val="24"/>
        </w:rPr>
        <w:t xml:space="preserve"> </w:t>
      </w:r>
      <w:r w:rsidRPr="00432C28">
        <w:rPr>
          <w:rFonts w:cs="Times New Roman"/>
          <w:szCs w:val="24"/>
        </w:rPr>
        <w:t>outline of major elements for the Northwest Power and Conservation Council’s Methodology for Determining Achievable Conservation Potential</w:t>
      </w:r>
      <w:r w:rsidR="00FF7889" w:rsidRPr="00432C28">
        <w:rPr>
          <w:rFonts w:cs="Times New Roman"/>
          <w:szCs w:val="24"/>
        </w:rPr>
        <w:t>.</w:t>
      </w:r>
      <w:r w:rsidRPr="00432C28">
        <w:rPr>
          <w:rStyle w:val="FootnoteReference"/>
          <w:rFonts w:cs="Times New Roman"/>
          <w:szCs w:val="24"/>
        </w:rPr>
        <w:footnoteReference w:id="46"/>
      </w:r>
      <w:r w:rsidRPr="00432C28">
        <w:rPr>
          <w:rFonts w:cs="Times New Roman"/>
          <w:szCs w:val="24"/>
        </w:rPr>
        <w:t xml:space="preserve"> Tom Eckman stated the methodology outline below applies to both the 5</w:t>
      </w:r>
      <w:r w:rsidRPr="00432C28">
        <w:rPr>
          <w:rFonts w:cs="Times New Roman"/>
          <w:szCs w:val="24"/>
          <w:vertAlign w:val="superscript"/>
        </w:rPr>
        <w:t>th</w:t>
      </w:r>
      <w:r w:rsidRPr="00432C28">
        <w:rPr>
          <w:rFonts w:cs="Times New Roman"/>
          <w:szCs w:val="24"/>
        </w:rPr>
        <w:t xml:space="preserve"> and the 6</w:t>
      </w:r>
      <w:r w:rsidRPr="00432C28">
        <w:rPr>
          <w:rFonts w:cs="Times New Roman"/>
          <w:szCs w:val="24"/>
          <w:vertAlign w:val="superscript"/>
        </w:rPr>
        <w:t>th</w:t>
      </w:r>
      <w:r w:rsidRPr="00432C28">
        <w:rPr>
          <w:rFonts w:cs="Times New Roman"/>
          <w:szCs w:val="24"/>
        </w:rPr>
        <w:t xml:space="preserve"> regional power plans. The information on the right side is the comparable information related to PacifiCorp’s 201</w:t>
      </w:r>
      <w:r w:rsidR="008F46E0">
        <w:rPr>
          <w:rFonts w:cs="Times New Roman"/>
          <w:szCs w:val="24"/>
        </w:rPr>
        <w:t>3</w:t>
      </w:r>
      <w:r w:rsidRPr="00432C28">
        <w:rPr>
          <w:rFonts w:cs="Times New Roman"/>
          <w:szCs w:val="24"/>
        </w:rPr>
        <w:t xml:space="preserve"> Integrated Resource Plan methodology.</w:t>
      </w:r>
    </w:p>
    <w:p w:rsidR="00EF1474" w:rsidRDefault="00EF1474" w:rsidP="00F7709B">
      <w:pPr>
        <w:rPr>
          <w:rFonts w:cs="Times New Roman"/>
          <w:szCs w:val="24"/>
        </w:rPr>
      </w:pPr>
    </w:p>
    <w:p w:rsidR="00EF1474" w:rsidRPr="00432C28" w:rsidRDefault="00EF1474" w:rsidP="00F7709B">
      <w:pPr>
        <w:rPr>
          <w:rFonts w:cs="Times New Roman"/>
          <w:szCs w:val="24"/>
        </w:rPr>
      </w:pPr>
      <w:r>
        <w:rPr>
          <w:rFonts w:cs="Times New Roman"/>
          <w:szCs w:val="24"/>
        </w:rPr>
        <w:t xml:space="preserve">Information in </w:t>
      </w:r>
      <w:r w:rsidR="00ED0088">
        <w:rPr>
          <w:rFonts w:cs="Times New Roman"/>
          <w:szCs w:val="24"/>
        </w:rPr>
        <w:t xml:space="preserve">the PacifiCorp column of </w:t>
      </w:r>
      <w:r>
        <w:rPr>
          <w:rFonts w:cs="Times New Roman"/>
          <w:szCs w:val="24"/>
        </w:rPr>
        <w:t>Table A3-2 was updated to reflect approaches u</w:t>
      </w:r>
      <w:r w:rsidR="00ED0088">
        <w:rPr>
          <w:rFonts w:cs="Times New Roman"/>
          <w:szCs w:val="24"/>
        </w:rPr>
        <w:t xml:space="preserve">tilized </w:t>
      </w:r>
      <w:r>
        <w:rPr>
          <w:rFonts w:cs="Times New Roman"/>
          <w:szCs w:val="24"/>
        </w:rPr>
        <w:t xml:space="preserve"> in the 2015 IRP.  </w:t>
      </w:r>
    </w:p>
    <w:p w:rsidR="00AB557A" w:rsidRPr="00432C28" w:rsidRDefault="00AB557A" w:rsidP="00F7709B">
      <w:pPr>
        <w:rPr>
          <w:rFonts w:cs="Times New Roman"/>
          <w:szCs w:val="24"/>
        </w:rPr>
      </w:pPr>
    </w:p>
    <w:p w:rsidR="00F7709B" w:rsidRPr="00432C28" w:rsidRDefault="00F7709B" w:rsidP="00F7709B">
      <w:pPr>
        <w:jc w:val="center"/>
        <w:rPr>
          <w:rFonts w:cs="Times New Roman"/>
          <w:b/>
          <w:szCs w:val="24"/>
        </w:rPr>
      </w:pPr>
      <w:r w:rsidRPr="00432C28">
        <w:rPr>
          <w:rFonts w:cs="Times New Roman"/>
          <w:b/>
          <w:szCs w:val="24"/>
        </w:rPr>
        <w:t>Table A3-1</w:t>
      </w:r>
    </w:p>
    <w:p w:rsidR="0013519A" w:rsidRPr="00432C28" w:rsidRDefault="00F7709B" w:rsidP="00F7709B">
      <w:pPr>
        <w:jc w:val="center"/>
        <w:rPr>
          <w:rFonts w:eastAsia="Times New Roman" w:cs="Times New Roman"/>
          <w:b/>
          <w:bCs/>
        </w:rPr>
      </w:pPr>
      <w:r w:rsidRPr="00432C28">
        <w:rPr>
          <w:rFonts w:eastAsia="Times New Roman" w:cs="Times New Roman"/>
          <w:b/>
          <w:bCs/>
        </w:rPr>
        <w:t xml:space="preserve">Methodology for Determining Achievable Conservation Potential </w:t>
      </w:r>
    </w:p>
    <w:p w:rsidR="00F7709B" w:rsidRPr="00432C28" w:rsidRDefault="00F7709B" w:rsidP="00F7709B">
      <w:pPr>
        <w:jc w:val="center"/>
        <w:rPr>
          <w:rFonts w:cs="Times New Roman"/>
          <w:b/>
          <w:szCs w:val="24"/>
        </w:rPr>
      </w:pPr>
      <w:r w:rsidRPr="00432C28">
        <w:rPr>
          <w:rFonts w:eastAsia="Times New Roman" w:cs="Times New Roman"/>
          <w:b/>
          <w:bCs/>
        </w:rPr>
        <w:t>Outline of Major Elements</w:t>
      </w:r>
    </w:p>
    <w:p w:rsidR="00F7709B" w:rsidRPr="00432C28" w:rsidRDefault="00F7709B" w:rsidP="00F7709B">
      <w:pPr>
        <w:rPr>
          <w:rFonts w:cs="Times New Roman"/>
          <w:szCs w:val="24"/>
        </w:rPr>
      </w:pPr>
    </w:p>
    <w:tbl>
      <w:tblPr>
        <w:tblW w:w="0" w:type="auto"/>
        <w:tblInd w:w="93" w:type="dxa"/>
        <w:tblLook w:val="04A0" w:firstRow="1" w:lastRow="0" w:firstColumn="1" w:lastColumn="0" w:noHBand="0" w:noVBand="1"/>
      </w:tblPr>
      <w:tblGrid>
        <w:gridCol w:w="1398"/>
        <w:gridCol w:w="4107"/>
        <w:gridCol w:w="3978"/>
      </w:tblGrid>
      <w:tr w:rsidR="00F7709B" w:rsidRPr="00432C28">
        <w:trPr>
          <w:trHeight w:val="332"/>
          <w:tblHeader/>
        </w:trPr>
        <w:tc>
          <w:tcPr>
            <w:tcW w:w="550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7709B" w:rsidRPr="00432C28" w:rsidRDefault="00F7709B" w:rsidP="00F7709B">
            <w:pPr>
              <w:rPr>
                <w:rFonts w:eastAsia="Times New Roman" w:cs="Times New Roman"/>
                <w:b/>
                <w:bCs/>
              </w:rPr>
            </w:pPr>
            <w:r w:rsidRPr="00432C28">
              <w:rPr>
                <w:rFonts w:eastAsia="Times New Roman" w:cs="Times New Roman"/>
                <w:b/>
                <w:bCs/>
              </w:rPr>
              <w:t xml:space="preserve">Northwest Power and Conservation Council </w:t>
            </w:r>
          </w:p>
        </w:tc>
        <w:tc>
          <w:tcPr>
            <w:tcW w:w="3978" w:type="dxa"/>
            <w:tcBorders>
              <w:top w:val="single" w:sz="4" w:space="0" w:color="auto"/>
              <w:left w:val="nil"/>
              <w:bottom w:val="single" w:sz="4" w:space="0" w:color="auto"/>
              <w:right w:val="single" w:sz="4" w:space="0" w:color="auto"/>
            </w:tcBorders>
            <w:shd w:val="clear" w:color="auto" w:fill="auto"/>
            <w:vAlign w:val="bottom"/>
          </w:tcPr>
          <w:p w:rsidR="00F7709B" w:rsidRPr="00432C28" w:rsidRDefault="00F7709B" w:rsidP="006978E8">
            <w:pPr>
              <w:rPr>
                <w:rFonts w:eastAsia="Times New Roman" w:cs="Times New Roman"/>
                <w:b/>
                <w:bCs/>
              </w:rPr>
            </w:pPr>
            <w:r w:rsidRPr="00432C28">
              <w:rPr>
                <w:rFonts w:eastAsia="Times New Roman" w:cs="Times New Roman"/>
                <w:b/>
                <w:bCs/>
              </w:rPr>
              <w:t xml:space="preserve">PacifiCorp </w:t>
            </w:r>
            <w:r w:rsidR="006978E8" w:rsidRPr="00432C28">
              <w:rPr>
                <w:rFonts w:eastAsia="Times New Roman" w:cs="Times New Roman"/>
                <w:b/>
                <w:bCs/>
              </w:rPr>
              <w:t>201</w:t>
            </w:r>
            <w:r w:rsidR="006978E8">
              <w:rPr>
                <w:rFonts w:eastAsia="Times New Roman" w:cs="Times New Roman"/>
                <w:b/>
                <w:bCs/>
              </w:rPr>
              <w:t>3</w:t>
            </w:r>
            <w:r w:rsidR="006978E8" w:rsidRPr="00432C28">
              <w:rPr>
                <w:rFonts w:eastAsia="Times New Roman" w:cs="Times New Roman"/>
                <w:b/>
                <w:bCs/>
              </w:rPr>
              <w:t xml:space="preserve"> </w:t>
            </w:r>
            <w:r w:rsidRPr="00432C28">
              <w:rPr>
                <w:rFonts w:eastAsia="Times New Roman" w:cs="Times New Roman"/>
                <w:b/>
                <w:bCs/>
              </w:rPr>
              <w:t xml:space="preserve">IRP </w:t>
            </w:r>
          </w:p>
        </w:tc>
      </w:tr>
      <w:tr w:rsidR="00F7709B" w:rsidRPr="00432C28">
        <w:trPr>
          <w:trHeight w:val="585"/>
        </w:trPr>
        <w:tc>
          <w:tcPr>
            <w:tcW w:w="0" w:type="auto"/>
            <w:tcBorders>
              <w:top w:val="nil"/>
              <w:left w:val="single" w:sz="4" w:space="0" w:color="auto"/>
              <w:bottom w:val="single" w:sz="4" w:space="0" w:color="auto"/>
              <w:right w:val="single" w:sz="4" w:space="0" w:color="auto"/>
            </w:tcBorders>
            <w:shd w:val="clear" w:color="auto" w:fill="auto"/>
            <w:vAlign w:val="bottom"/>
          </w:tcPr>
          <w:p w:rsidR="00F7709B" w:rsidRPr="00432C28" w:rsidRDefault="00F7709B" w:rsidP="00F7709B">
            <w:pPr>
              <w:rPr>
                <w:rFonts w:eastAsia="Times New Roman" w:cs="Times New Roman"/>
                <w:b/>
                <w:bCs/>
                <w:sz w:val="20"/>
                <w:szCs w:val="20"/>
              </w:rPr>
            </w:pPr>
            <w:r w:rsidRPr="00432C28">
              <w:rPr>
                <w:rFonts w:eastAsia="Times New Roman" w:cs="Times New Roman"/>
                <w:b/>
                <w:bCs/>
                <w:sz w:val="20"/>
                <w:szCs w:val="20"/>
              </w:rPr>
              <w:t>1) Resource Definitions</w:t>
            </w:r>
          </w:p>
        </w:tc>
        <w:tc>
          <w:tcPr>
            <w:tcW w:w="4107" w:type="dxa"/>
            <w:tcBorders>
              <w:top w:val="nil"/>
              <w:left w:val="nil"/>
              <w:bottom w:val="single" w:sz="4" w:space="0" w:color="auto"/>
              <w:right w:val="single" w:sz="4" w:space="0" w:color="auto"/>
            </w:tcBorders>
            <w:shd w:val="clear" w:color="auto" w:fill="auto"/>
            <w:noWrap/>
            <w:vAlign w:val="bottom"/>
          </w:tcPr>
          <w:p w:rsidR="00F7709B" w:rsidRPr="00432C28" w:rsidRDefault="00F7709B" w:rsidP="00F54846">
            <w:pPr>
              <w:ind w:firstLineChars="100" w:firstLine="200"/>
              <w:rPr>
                <w:rFonts w:eastAsia="Times New Roman" w:cs="Times New Roman"/>
                <w:sz w:val="20"/>
                <w:szCs w:val="20"/>
              </w:rPr>
            </w:pPr>
            <w:r w:rsidRPr="00432C28">
              <w:rPr>
                <w:rFonts w:eastAsia="Times New Roman" w:cs="Times New Roman"/>
                <w:sz w:val="20"/>
                <w:szCs w:val="20"/>
              </w:rPr>
              <w:t>i)        Technical Potential</w:t>
            </w:r>
          </w:p>
        </w:tc>
        <w:tc>
          <w:tcPr>
            <w:tcW w:w="3978" w:type="dxa"/>
            <w:vMerge w:val="restart"/>
            <w:tcBorders>
              <w:top w:val="nil"/>
              <w:left w:val="single" w:sz="4" w:space="0" w:color="auto"/>
              <w:bottom w:val="single" w:sz="4" w:space="0" w:color="000000"/>
              <w:right w:val="single" w:sz="4" w:space="0" w:color="auto"/>
            </w:tcBorders>
            <w:shd w:val="clear" w:color="auto" w:fill="auto"/>
            <w:vAlign w:val="bottom"/>
          </w:tcPr>
          <w:p w:rsidR="00F7709B" w:rsidRPr="00432C28" w:rsidRDefault="00F7709B" w:rsidP="00DC50FB">
            <w:pPr>
              <w:rPr>
                <w:rFonts w:eastAsia="Times New Roman" w:cs="Times New Roman"/>
                <w:sz w:val="20"/>
                <w:szCs w:val="20"/>
              </w:rPr>
            </w:pPr>
            <w:r w:rsidRPr="00432C28">
              <w:rPr>
                <w:rFonts w:eastAsia="Times New Roman" w:cs="Times New Roman"/>
                <w:sz w:val="20"/>
                <w:szCs w:val="20"/>
              </w:rPr>
              <w:t xml:space="preserve">PacifiCorp </w:t>
            </w:r>
            <w:r w:rsidR="00DC50FB" w:rsidRPr="00432C28">
              <w:rPr>
                <w:rFonts w:eastAsia="Times New Roman" w:cs="Times New Roman"/>
                <w:sz w:val="20"/>
                <w:szCs w:val="20"/>
              </w:rPr>
              <w:t xml:space="preserve">used </w:t>
            </w:r>
            <w:r w:rsidRPr="00432C28">
              <w:rPr>
                <w:rFonts w:eastAsia="Times New Roman" w:cs="Times New Roman"/>
                <w:sz w:val="20"/>
                <w:szCs w:val="20"/>
              </w:rPr>
              <w:t>these same categories.</w:t>
            </w:r>
          </w:p>
        </w:tc>
      </w:tr>
      <w:tr w:rsidR="00F7709B" w:rsidRPr="00432C28">
        <w:trPr>
          <w:trHeight w:val="300"/>
        </w:trPr>
        <w:tc>
          <w:tcPr>
            <w:tcW w:w="0" w:type="auto"/>
            <w:vMerge w:val="restart"/>
            <w:tcBorders>
              <w:top w:val="nil"/>
              <w:left w:val="single" w:sz="4" w:space="0" w:color="auto"/>
              <w:bottom w:val="single" w:sz="4" w:space="0" w:color="auto"/>
              <w:right w:val="single" w:sz="4" w:space="0" w:color="auto"/>
            </w:tcBorders>
            <w:shd w:val="clear" w:color="auto" w:fill="auto"/>
            <w:noWrap/>
            <w:vAlign w:val="bottom"/>
          </w:tcPr>
          <w:p w:rsidR="00F7709B" w:rsidRPr="00432C28" w:rsidRDefault="00F7709B" w:rsidP="00F7709B">
            <w:pPr>
              <w:rPr>
                <w:rFonts w:eastAsia="Times New Roman" w:cs="Times New Roman"/>
                <w:sz w:val="20"/>
                <w:szCs w:val="20"/>
              </w:rPr>
            </w:pPr>
            <w:r w:rsidRPr="00432C28">
              <w:rPr>
                <w:rFonts w:eastAsia="Times New Roman" w:cs="Times New Roman"/>
                <w:sz w:val="20"/>
                <w:szCs w:val="20"/>
              </w:rPr>
              <w:t> </w:t>
            </w:r>
          </w:p>
        </w:tc>
        <w:tc>
          <w:tcPr>
            <w:tcW w:w="4107" w:type="dxa"/>
            <w:tcBorders>
              <w:top w:val="nil"/>
              <w:left w:val="nil"/>
              <w:bottom w:val="single" w:sz="4" w:space="0" w:color="auto"/>
              <w:right w:val="single" w:sz="4" w:space="0" w:color="auto"/>
            </w:tcBorders>
            <w:shd w:val="clear" w:color="auto" w:fill="auto"/>
            <w:noWrap/>
            <w:vAlign w:val="bottom"/>
          </w:tcPr>
          <w:p w:rsidR="00F7709B" w:rsidRPr="00432C28" w:rsidRDefault="00F7709B" w:rsidP="00F54846">
            <w:pPr>
              <w:ind w:firstLineChars="100" w:firstLine="200"/>
              <w:rPr>
                <w:rFonts w:eastAsia="Times New Roman" w:cs="Times New Roman"/>
                <w:sz w:val="20"/>
                <w:szCs w:val="20"/>
              </w:rPr>
            </w:pPr>
            <w:r w:rsidRPr="00432C28">
              <w:rPr>
                <w:rFonts w:eastAsia="Times New Roman" w:cs="Times New Roman"/>
                <w:sz w:val="20"/>
                <w:szCs w:val="20"/>
              </w:rPr>
              <w:t>ii)       Economic Potential</w:t>
            </w:r>
          </w:p>
        </w:tc>
        <w:tc>
          <w:tcPr>
            <w:tcW w:w="3978" w:type="dxa"/>
            <w:vMerge/>
            <w:tcBorders>
              <w:top w:val="nil"/>
              <w:left w:val="single" w:sz="4" w:space="0" w:color="auto"/>
              <w:bottom w:val="single" w:sz="4" w:space="0" w:color="000000"/>
              <w:right w:val="single" w:sz="4" w:space="0" w:color="auto"/>
            </w:tcBorders>
            <w:vAlign w:val="center"/>
          </w:tcPr>
          <w:p w:rsidR="00F7709B" w:rsidRPr="00432C28" w:rsidRDefault="00F7709B" w:rsidP="00F7709B">
            <w:pPr>
              <w:rPr>
                <w:rFonts w:eastAsia="Times New Roman" w:cs="Times New Roman"/>
                <w:sz w:val="20"/>
                <w:szCs w:val="20"/>
              </w:rPr>
            </w:pPr>
          </w:p>
        </w:tc>
      </w:tr>
      <w:tr w:rsidR="00F7709B" w:rsidRPr="00432C28">
        <w:trPr>
          <w:trHeight w:val="300"/>
        </w:trPr>
        <w:tc>
          <w:tcPr>
            <w:tcW w:w="0" w:type="auto"/>
            <w:vMerge/>
            <w:tcBorders>
              <w:top w:val="nil"/>
              <w:left w:val="single" w:sz="4" w:space="0" w:color="auto"/>
              <w:bottom w:val="single" w:sz="4" w:space="0" w:color="auto"/>
              <w:right w:val="single" w:sz="4" w:space="0" w:color="auto"/>
            </w:tcBorders>
            <w:vAlign w:val="center"/>
          </w:tcPr>
          <w:p w:rsidR="00F7709B" w:rsidRPr="00432C28" w:rsidRDefault="00F7709B" w:rsidP="00F7709B">
            <w:pPr>
              <w:rPr>
                <w:rFonts w:eastAsia="Times New Roman" w:cs="Times New Roman"/>
                <w:sz w:val="20"/>
                <w:szCs w:val="20"/>
              </w:rPr>
            </w:pPr>
          </w:p>
        </w:tc>
        <w:tc>
          <w:tcPr>
            <w:tcW w:w="4107" w:type="dxa"/>
            <w:tcBorders>
              <w:top w:val="nil"/>
              <w:left w:val="nil"/>
              <w:bottom w:val="single" w:sz="4" w:space="0" w:color="auto"/>
              <w:right w:val="single" w:sz="4" w:space="0" w:color="auto"/>
            </w:tcBorders>
            <w:shd w:val="clear" w:color="auto" w:fill="auto"/>
            <w:noWrap/>
            <w:vAlign w:val="bottom"/>
          </w:tcPr>
          <w:p w:rsidR="00F7709B" w:rsidRPr="00432C28" w:rsidRDefault="00F7709B" w:rsidP="00F54846">
            <w:pPr>
              <w:ind w:firstLineChars="100" w:firstLine="200"/>
              <w:rPr>
                <w:rFonts w:eastAsia="Times New Roman" w:cs="Times New Roman"/>
                <w:sz w:val="20"/>
                <w:szCs w:val="20"/>
              </w:rPr>
            </w:pPr>
            <w:r w:rsidRPr="00432C28">
              <w:rPr>
                <w:rFonts w:eastAsia="Times New Roman" w:cs="Times New Roman"/>
                <w:sz w:val="20"/>
                <w:szCs w:val="20"/>
              </w:rPr>
              <w:t>iii)     Achievable Potential</w:t>
            </w:r>
          </w:p>
        </w:tc>
        <w:tc>
          <w:tcPr>
            <w:tcW w:w="3978" w:type="dxa"/>
            <w:vMerge/>
            <w:tcBorders>
              <w:top w:val="nil"/>
              <w:left w:val="single" w:sz="4" w:space="0" w:color="auto"/>
              <w:bottom w:val="single" w:sz="4" w:space="0" w:color="000000"/>
              <w:right w:val="single" w:sz="4" w:space="0" w:color="auto"/>
            </w:tcBorders>
            <w:vAlign w:val="center"/>
          </w:tcPr>
          <w:p w:rsidR="00F7709B" w:rsidRPr="00432C28" w:rsidRDefault="00F7709B" w:rsidP="00F7709B">
            <w:pPr>
              <w:rPr>
                <w:rFonts w:eastAsia="Times New Roman" w:cs="Times New Roman"/>
                <w:sz w:val="20"/>
                <w:szCs w:val="20"/>
              </w:rPr>
            </w:pPr>
          </w:p>
        </w:tc>
      </w:tr>
      <w:tr w:rsidR="00F7709B" w:rsidRPr="00432C28">
        <w:trPr>
          <w:trHeight w:val="300"/>
        </w:trPr>
        <w:tc>
          <w:tcPr>
            <w:tcW w:w="0" w:type="auto"/>
            <w:vMerge/>
            <w:tcBorders>
              <w:top w:val="nil"/>
              <w:left w:val="single" w:sz="4" w:space="0" w:color="auto"/>
              <w:bottom w:val="single" w:sz="4" w:space="0" w:color="auto"/>
              <w:right w:val="single" w:sz="4" w:space="0" w:color="auto"/>
            </w:tcBorders>
            <w:vAlign w:val="center"/>
          </w:tcPr>
          <w:p w:rsidR="00F7709B" w:rsidRPr="00432C28" w:rsidRDefault="00F7709B" w:rsidP="00F7709B">
            <w:pPr>
              <w:rPr>
                <w:rFonts w:eastAsia="Times New Roman" w:cs="Times New Roman"/>
                <w:sz w:val="20"/>
                <w:szCs w:val="20"/>
              </w:rPr>
            </w:pPr>
          </w:p>
        </w:tc>
        <w:tc>
          <w:tcPr>
            <w:tcW w:w="4107" w:type="dxa"/>
            <w:tcBorders>
              <w:top w:val="nil"/>
              <w:left w:val="nil"/>
              <w:bottom w:val="single" w:sz="4" w:space="0" w:color="auto"/>
              <w:right w:val="single" w:sz="4" w:space="0" w:color="auto"/>
            </w:tcBorders>
            <w:shd w:val="clear" w:color="auto" w:fill="auto"/>
            <w:noWrap/>
            <w:vAlign w:val="bottom"/>
          </w:tcPr>
          <w:p w:rsidR="00F7709B" w:rsidRPr="00432C28" w:rsidRDefault="00F7709B" w:rsidP="00F54846">
            <w:pPr>
              <w:ind w:firstLineChars="400" w:firstLine="800"/>
              <w:rPr>
                <w:rFonts w:eastAsia="Times New Roman" w:cs="Times New Roman"/>
                <w:sz w:val="20"/>
                <w:szCs w:val="20"/>
              </w:rPr>
            </w:pPr>
            <w:r w:rsidRPr="00432C28">
              <w:rPr>
                <w:rFonts w:eastAsia="Times New Roman" w:cs="Times New Roman"/>
                <w:sz w:val="20"/>
                <w:szCs w:val="20"/>
              </w:rPr>
              <w:t>(1)    Non-lost opportunity resources (“schedulable”)</w:t>
            </w:r>
          </w:p>
        </w:tc>
        <w:tc>
          <w:tcPr>
            <w:tcW w:w="3978" w:type="dxa"/>
            <w:tcBorders>
              <w:top w:val="nil"/>
              <w:left w:val="nil"/>
              <w:bottom w:val="single" w:sz="4" w:space="0" w:color="auto"/>
              <w:right w:val="single" w:sz="4" w:space="0" w:color="auto"/>
            </w:tcBorders>
            <w:shd w:val="clear" w:color="auto" w:fill="auto"/>
            <w:vAlign w:val="bottom"/>
          </w:tcPr>
          <w:p w:rsidR="00F7709B" w:rsidRPr="00432C28" w:rsidRDefault="00F7709B" w:rsidP="00A806BA">
            <w:pPr>
              <w:rPr>
                <w:rFonts w:eastAsia="Times New Roman" w:cs="Times New Roman"/>
                <w:sz w:val="20"/>
                <w:szCs w:val="20"/>
              </w:rPr>
            </w:pPr>
            <w:r w:rsidRPr="00432C28">
              <w:rPr>
                <w:rFonts w:eastAsia="Times New Roman" w:cs="Times New Roman"/>
                <w:sz w:val="20"/>
                <w:szCs w:val="20"/>
              </w:rPr>
              <w:t>In PacifiCorp’s conservation potential assessment, these resources are referred to as "</w:t>
            </w:r>
            <w:r w:rsidR="00A806BA">
              <w:rPr>
                <w:rFonts w:eastAsia="Times New Roman" w:cs="Times New Roman"/>
                <w:sz w:val="20"/>
                <w:szCs w:val="20"/>
              </w:rPr>
              <w:t>discretionary</w:t>
            </w:r>
            <w:r w:rsidRPr="00432C28">
              <w:rPr>
                <w:rFonts w:eastAsia="Times New Roman" w:cs="Times New Roman"/>
                <w:sz w:val="20"/>
                <w:szCs w:val="20"/>
              </w:rPr>
              <w:t>."</w:t>
            </w:r>
          </w:p>
        </w:tc>
      </w:tr>
      <w:tr w:rsidR="00F7709B" w:rsidRPr="00432C28">
        <w:trPr>
          <w:trHeight w:val="660"/>
        </w:trPr>
        <w:tc>
          <w:tcPr>
            <w:tcW w:w="0" w:type="auto"/>
            <w:vMerge/>
            <w:tcBorders>
              <w:top w:val="nil"/>
              <w:left w:val="single" w:sz="4" w:space="0" w:color="auto"/>
              <w:bottom w:val="single" w:sz="4" w:space="0" w:color="auto"/>
              <w:right w:val="single" w:sz="4" w:space="0" w:color="auto"/>
            </w:tcBorders>
            <w:vAlign w:val="center"/>
          </w:tcPr>
          <w:p w:rsidR="00F7709B" w:rsidRPr="00432C28" w:rsidRDefault="00F7709B" w:rsidP="00F7709B">
            <w:pPr>
              <w:rPr>
                <w:rFonts w:eastAsia="Times New Roman" w:cs="Times New Roman"/>
                <w:sz w:val="20"/>
                <w:szCs w:val="20"/>
              </w:rPr>
            </w:pPr>
          </w:p>
        </w:tc>
        <w:tc>
          <w:tcPr>
            <w:tcW w:w="4107" w:type="dxa"/>
            <w:tcBorders>
              <w:top w:val="nil"/>
              <w:left w:val="nil"/>
              <w:bottom w:val="single" w:sz="4" w:space="0" w:color="auto"/>
              <w:right w:val="single" w:sz="4" w:space="0" w:color="auto"/>
            </w:tcBorders>
            <w:shd w:val="clear" w:color="auto" w:fill="auto"/>
            <w:noWrap/>
            <w:vAlign w:val="bottom"/>
          </w:tcPr>
          <w:p w:rsidR="00F7709B" w:rsidRPr="00432C28" w:rsidRDefault="00F7709B" w:rsidP="00F54846">
            <w:pPr>
              <w:ind w:firstLineChars="400" w:firstLine="800"/>
              <w:rPr>
                <w:rFonts w:eastAsia="Times New Roman" w:cs="Times New Roman"/>
                <w:sz w:val="20"/>
                <w:szCs w:val="20"/>
              </w:rPr>
            </w:pPr>
            <w:r w:rsidRPr="00432C28">
              <w:rPr>
                <w:rFonts w:eastAsia="Times New Roman" w:cs="Times New Roman"/>
                <w:sz w:val="20"/>
                <w:szCs w:val="20"/>
              </w:rPr>
              <w:t>(2)    Lost opportunity resources</w:t>
            </w:r>
          </w:p>
        </w:tc>
        <w:tc>
          <w:tcPr>
            <w:tcW w:w="3978" w:type="dxa"/>
            <w:tcBorders>
              <w:top w:val="nil"/>
              <w:left w:val="nil"/>
              <w:bottom w:val="single" w:sz="4" w:space="0" w:color="auto"/>
              <w:right w:val="single" w:sz="4" w:space="0" w:color="auto"/>
            </w:tcBorders>
            <w:shd w:val="clear" w:color="auto" w:fill="auto"/>
            <w:vAlign w:val="bottom"/>
          </w:tcPr>
          <w:p w:rsidR="00F7709B" w:rsidRPr="00432C28" w:rsidRDefault="00F7709B" w:rsidP="00F7709B">
            <w:pPr>
              <w:rPr>
                <w:rFonts w:eastAsia="Times New Roman" w:cs="Times New Roman"/>
                <w:sz w:val="20"/>
                <w:szCs w:val="20"/>
              </w:rPr>
            </w:pPr>
            <w:r w:rsidRPr="00432C28">
              <w:rPr>
                <w:rFonts w:eastAsia="Times New Roman" w:cs="Times New Roman"/>
                <w:sz w:val="20"/>
                <w:szCs w:val="20"/>
              </w:rPr>
              <w:t>PacifiCorp uses same definitions, distinguishing between new construction and "normal replacement" as lost opportunity resources.</w:t>
            </w:r>
          </w:p>
        </w:tc>
      </w:tr>
      <w:tr w:rsidR="00F7709B" w:rsidRPr="00432C28" w:rsidTr="00A61B3B">
        <w:trPr>
          <w:trHeight w:val="818"/>
        </w:trPr>
        <w:tc>
          <w:tcPr>
            <w:tcW w:w="0" w:type="auto"/>
            <w:tcBorders>
              <w:top w:val="nil"/>
              <w:left w:val="single" w:sz="4" w:space="0" w:color="auto"/>
              <w:bottom w:val="single" w:sz="4" w:space="0" w:color="auto"/>
              <w:right w:val="single" w:sz="4" w:space="0" w:color="auto"/>
            </w:tcBorders>
            <w:shd w:val="clear" w:color="auto" w:fill="auto"/>
            <w:vAlign w:val="bottom"/>
          </w:tcPr>
          <w:p w:rsidR="00F7709B" w:rsidRPr="00432C28" w:rsidRDefault="00F7709B" w:rsidP="00F7709B">
            <w:pPr>
              <w:rPr>
                <w:rFonts w:eastAsia="Times New Roman" w:cs="Times New Roman"/>
                <w:b/>
                <w:bCs/>
                <w:sz w:val="20"/>
                <w:szCs w:val="20"/>
              </w:rPr>
            </w:pPr>
            <w:r w:rsidRPr="00432C28">
              <w:rPr>
                <w:rFonts w:eastAsia="Times New Roman" w:cs="Times New Roman"/>
                <w:b/>
                <w:bCs/>
                <w:sz w:val="20"/>
                <w:szCs w:val="20"/>
              </w:rPr>
              <w:t>2) Technical Resource Potential Assessment</w:t>
            </w:r>
          </w:p>
        </w:tc>
        <w:tc>
          <w:tcPr>
            <w:tcW w:w="4107" w:type="dxa"/>
            <w:tcBorders>
              <w:top w:val="nil"/>
              <w:left w:val="nil"/>
              <w:bottom w:val="single" w:sz="4" w:space="0" w:color="auto"/>
              <w:right w:val="single" w:sz="4" w:space="0" w:color="auto"/>
            </w:tcBorders>
            <w:shd w:val="clear" w:color="auto" w:fill="auto"/>
            <w:vAlign w:val="bottom"/>
          </w:tcPr>
          <w:p w:rsidR="00F7709B" w:rsidRPr="00432C28" w:rsidRDefault="00F7709B" w:rsidP="00F7709B">
            <w:pPr>
              <w:rPr>
                <w:rFonts w:eastAsia="Times New Roman" w:cs="Times New Roman"/>
                <w:sz w:val="20"/>
                <w:szCs w:val="20"/>
              </w:rPr>
            </w:pPr>
            <w:r w:rsidRPr="00432C28">
              <w:rPr>
                <w:rFonts w:eastAsia="Times New Roman" w:cs="Times New Roman"/>
                <w:sz w:val="20"/>
                <w:szCs w:val="20"/>
              </w:rPr>
              <w:t>a)      Review wide array of energy efficiency technologies and practices across all sectors and major end uses</w:t>
            </w:r>
          </w:p>
        </w:tc>
        <w:tc>
          <w:tcPr>
            <w:tcW w:w="3978" w:type="dxa"/>
            <w:tcBorders>
              <w:top w:val="nil"/>
              <w:left w:val="nil"/>
              <w:bottom w:val="single" w:sz="4" w:space="0" w:color="auto"/>
              <w:right w:val="single" w:sz="4" w:space="0" w:color="auto"/>
            </w:tcBorders>
            <w:shd w:val="clear" w:color="auto" w:fill="auto"/>
            <w:vAlign w:val="bottom"/>
          </w:tcPr>
          <w:p w:rsidR="00F7709B" w:rsidRPr="00432C28" w:rsidRDefault="00F7709B" w:rsidP="00A806BA">
            <w:pPr>
              <w:rPr>
                <w:rFonts w:eastAsia="Times New Roman" w:cs="Times New Roman"/>
                <w:sz w:val="20"/>
                <w:szCs w:val="20"/>
              </w:rPr>
            </w:pPr>
            <w:r w:rsidRPr="00432C28">
              <w:rPr>
                <w:rFonts w:eastAsia="Times New Roman" w:cs="Times New Roman"/>
                <w:sz w:val="20"/>
                <w:szCs w:val="20"/>
              </w:rPr>
              <w:t xml:space="preserve">PacifiCorp examined </w:t>
            </w:r>
            <w:r w:rsidR="00DC50FB" w:rsidRPr="00432C28">
              <w:rPr>
                <w:rFonts w:eastAsia="Times New Roman" w:cs="Times New Roman"/>
                <w:sz w:val="20"/>
                <w:szCs w:val="20"/>
              </w:rPr>
              <w:t xml:space="preserve">376 </w:t>
            </w:r>
            <w:r w:rsidRPr="00432C28">
              <w:rPr>
                <w:rFonts w:eastAsia="Times New Roman" w:cs="Times New Roman"/>
                <w:sz w:val="20"/>
                <w:szCs w:val="20"/>
              </w:rPr>
              <w:t xml:space="preserve">"unique" measures in its conservation potential assessment, inclusive of all measures included in the Council's 6th Plan. </w:t>
            </w:r>
            <w:r w:rsidR="000E4631">
              <w:rPr>
                <w:rFonts w:eastAsia="Times New Roman" w:cs="Times New Roman"/>
                <w:sz w:val="20"/>
                <w:szCs w:val="20"/>
              </w:rPr>
              <w:t xml:space="preserve"> Production efficiency opportunities were identified in</w:t>
            </w:r>
            <w:r w:rsidR="00F82BAF">
              <w:rPr>
                <w:rFonts w:eastAsia="Times New Roman" w:cs="Times New Roman"/>
                <w:sz w:val="20"/>
                <w:szCs w:val="20"/>
              </w:rPr>
              <w:t xml:space="preserve"> </w:t>
            </w:r>
            <w:r w:rsidR="000E4631">
              <w:rPr>
                <w:rFonts w:eastAsia="Times New Roman" w:cs="Times New Roman"/>
                <w:sz w:val="20"/>
                <w:szCs w:val="20"/>
              </w:rPr>
              <w:t>th</w:t>
            </w:r>
            <w:r w:rsidR="00F82BAF">
              <w:rPr>
                <w:rFonts w:eastAsia="Times New Roman" w:cs="Times New Roman"/>
                <w:sz w:val="20"/>
                <w:szCs w:val="20"/>
              </w:rPr>
              <w:t>e C</w:t>
            </w:r>
            <w:r w:rsidR="000E4631">
              <w:rPr>
                <w:rFonts w:eastAsia="Times New Roman" w:cs="Times New Roman"/>
                <w:sz w:val="20"/>
                <w:szCs w:val="20"/>
              </w:rPr>
              <w:t xml:space="preserve">ascade Energy study. </w:t>
            </w:r>
            <w:r w:rsidRPr="00432C28">
              <w:rPr>
                <w:rFonts w:eastAsia="Times New Roman" w:cs="Times New Roman"/>
                <w:sz w:val="20"/>
                <w:szCs w:val="20"/>
              </w:rPr>
              <w:t xml:space="preserve"> </w:t>
            </w:r>
          </w:p>
        </w:tc>
      </w:tr>
      <w:tr w:rsidR="00F7709B" w:rsidRPr="00432C28">
        <w:trPr>
          <w:trHeight w:val="300"/>
        </w:trPr>
        <w:tc>
          <w:tcPr>
            <w:tcW w:w="0" w:type="auto"/>
            <w:vMerge w:val="restart"/>
            <w:tcBorders>
              <w:top w:val="nil"/>
              <w:left w:val="single" w:sz="4" w:space="0" w:color="auto"/>
              <w:bottom w:val="single" w:sz="4" w:space="0" w:color="auto"/>
              <w:right w:val="single" w:sz="4" w:space="0" w:color="auto"/>
            </w:tcBorders>
            <w:shd w:val="clear" w:color="auto" w:fill="auto"/>
            <w:noWrap/>
            <w:vAlign w:val="bottom"/>
          </w:tcPr>
          <w:p w:rsidR="00F7709B" w:rsidRPr="00432C28" w:rsidRDefault="00F7709B" w:rsidP="00F7709B">
            <w:pPr>
              <w:rPr>
                <w:rFonts w:eastAsia="Times New Roman" w:cs="Times New Roman"/>
                <w:sz w:val="20"/>
                <w:szCs w:val="20"/>
              </w:rPr>
            </w:pPr>
            <w:r w:rsidRPr="00432C28">
              <w:rPr>
                <w:rFonts w:eastAsia="Times New Roman" w:cs="Times New Roman"/>
                <w:sz w:val="20"/>
                <w:szCs w:val="20"/>
              </w:rPr>
              <w:t> </w:t>
            </w:r>
          </w:p>
        </w:tc>
        <w:tc>
          <w:tcPr>
            <w:tcW w:w="4107" w:type="dxa"/>
            <w:tcBorders>
              <w:top w:val="nil"/>
              <w:left w:val="nil"/>
              <w:bottom w:val="single" w:sz="4" w:space="0" w:color="auto"/>
              <w:right w:val="single" w:sz="4" w:space="0" w:color="auto"/>
            </w:tcBorders>
            <w:shd w:val="clear" w:color="auto" w:fill="auto"/>
            <w:vAlign w:val="bottom"/>
          </w:tcPr>
          <w:p w:rsidR="00F7709B" w:rsidRPr="00432C28" w:rsidRDefault="00F7709B" w:rsidP="00F7709B">
            <w:pPr>
              <w:rPr>
                <w:rFonts w:eastAsia="Times New Roman" w:cs="Times New Roman"/>
                <w:sz w:val="20"/>
                <w:szCs w:val="20"/>
              </w:rPr>
            </w:pPr>
            <w:r w:rsidRPr="00432C28">
              <w:rPr>
                <w:rFonts w:eastAsia="Times New Roman" w:cs="Times New Roman"/>
                <w:sz w:val="20"/>
                <w:szCs w:val="20"/>
              </w:rPr>
              <w:t xml:space="preserve">b)      Methodology </w:t>
            </w:r>
          </w:p>
        </w:tc>
        <w:tc>
          <w:tcPr>
            <w:tcW w:w="3978" w:type="dxa"/>
            <w:tcBorders>
              <w:top w:val="nil"/>
              <w:left w:val="nil"/>
              <w:bottom w:val="single" w:sz="4" w:space="0" w:color="auto"/>
              <w:right w:val="single" w:sz="4" w:space="0" w:color="auto"/>
            </w:tcBorders>
            <w:shd w:val="clear" w:color="auto" w:fill="auto"/>
            <w:vAlign w:val="bottom"/>
          </w:tcPr>
          <w:p w:rsidR="00F7709B" w:rsidRPr="00432C28" w:rsidRDefault="00F7709B" w:rsidP="00F7709B">
            <w:pPr>
              <w:rPr>
                <w:rFonts w:eastAsia="Times New Roman" w:cs="Times New Roman"/>
                <w:sz w:val="20"/>
                <w:szCs w:val="20"/>
              </w:rPr>
            </w:pPr>
            <w:r w:rsidRPr="00432C28">
              <w:rPr>
                <w:rFonts w:eastAsia="Times New Roman" w:cs="Times New Roman"/>
                <w:sz w:val="20"/>
                <w:szCs w:val="20"/>
              </w:rPr>
              <w:t> </w:t>
            </w:r>
          </w:p>
        </w:tc>
      </w:tr>
      <w:tr w:rsidR="00F7709B" w:rsidRPr="00432C28">
        <w:trPr>
          <w:trHeight w:val="600"/>
        </w:trPr>
        <w:tc>
          <w:tcPr>
            <w:tcW w:w="0" w:type="auto"/>
            <w:vMerge/>
            <w:tcBorders>
              <w:top w:val="nil"/>
              <w:left w:val="single" w:sz="4" w:space="0" w:color="auto"/>
              <w:bottom w:val="single" w:sz="4" w:space="0" w:color="auto"/>
              <w:right w:val="single" w:sz="4" w:space="0" w:color="auto"/>
            </w:tcBorders>
            <w:vAlign w:val="center"/>
          </w:tcPr>
          <w:p w:rsidR="00F7709B" w:rsidRPr="00432C28" w:rsidRDefault="00F7709B" w:rsidP="00F7709B">
            <w:pPr>
              <w:rPr>
                <w:rFonts w:eastAsia="Times New Roman" w:cs="Times New Roman"/>
                <w:sz w:val="20"/>
                <w:szCs w:val="20"/>
              </w:rPr>
            </w:pPr>
          </w:p>
        </w:tc>
        <w:tc>
          <w:tcPr>
            <w:tcW w:w="4107" w:type="dxa"/>
            <w:tcBorders>
              <w:top w:val="nil"/>
              <w:left w:val="nil"/>
              <w:bottom w:val="single" w:sz="4" w:space="0" w:color="auto"/>
              <w:right w:val="single" w:sz="4" w:space="0" w:color="auto"/>
            </w:tcBorders>
            <w:shd w:val="clear" w:color="auto" w:fill="auto"/>
            <w:vAlign w:val="bottom"/>
          </w:tcPr>
          <w:p w:rsidR="00F7709B" w:rsidRPr="00432C28" w:rsidRDefault="00F7709B" w:rsidP="00F54846">
            <w:pPr>
              <w:ind w:firstLineChars="400" w:firstLine="800"/>
              <w:rPr>
                <w:rFonts w:eastAsia="Times New Roman" w:cs="Times New Roman"/>
                <w:sz w:val="20"/>
                <w:szCs w:val="20"/>
              </w:rPr>
            </w:pPr>
            <w:r w:rsidRPr="00432C28">
              <w:rPr>
                <w:rFonts w:eastAsia="Times New Roman" w:cs="Times New Roman"/>
                <w:sz w:val="20"/>
                <w:szCs w:val="20"/>
              </w:rPr>
              <w:t>i)        Technically feasibility savings = Number of applicable units * incremental savings/applicable unit</w:t>
            </w:r>
          </w:p>
        </w:tc>
        <w:tc>
          <w:tcPr>
            <w:tcW w:w="3978" w:type="dxa"/>
            <w:tcBorders>
              <w:top w:val="nil"/>
              <w:left w:val="nil"/>
              <w:bottom w:val="single" w:sz="4" w:space="0" w:color="auto"/>
              <w:right w:val="single" w:sz="4" w:space="0" w:color="auto"/>
            </w:tcBorders>
            <w:shd w:val="clear" w:color="auto" w:fill="auto"/>
            <w:vAlign w:val="bottom"/>
          </w:tcPr>
          <w:p w:rsidR="00F7709B" w:rsidRPr="00432C28" w:rsidRDefault="00F7709B" w:rsidP="00F7709B">
            <w:pPr>
              <w:rPr>
                <w:rFonts w:eastAsia="Times New Roman" w:cs="Times New Roman"/>
                <w:sz w:val="20"/>
                <w:szCs w:val="20"/>
              </w:rPr>
            </w:pPr>
            <w:r w:rsidRPr="00432C28">
              <w:rPr>
                <w:rFonts w:eastAsia="Times New Roman" w:cs="Times New Roman"/>
                <w:sz w:val="20"/>
                <w:szCs w:val="20"/>
              </w:rPr>
              <w:t>PacifiCorp used same methodology.</w:t>
            </w:r>
          </w:p>
        </w:tc>
      </w:tr>
      <w:tr w:rsidR="00F7709B" w:rsidRPr="00432C28">
        <w:trPr>
          <w:trHeight w:val="300"/>
        </w:trPr>
        <w:tc>
          <w:tcPr>
            <w:tcW w:w="0" w:type="auto"/>
            <w:vMerge/>
            <w:tcBorders>
              <w:top w:val="nil"/>
              <w:left w:val="single" w:sz="4" w:space="0" w:color="auto"/>
              <w:bottom w:val="single" w:sz="4" w:space="0" w:color="auto"/>
              <w:right w:val="single" w:sz="4" w:space="0" w:color="auto"/>
            </w:tcBorders>
            <w:vAlign w:val="center"/>
          </w:tcPr>
          <w:p w:rsidR="00F7709B" w:rsidRPr="00432C28" w:rsidRDefault="00F7709B" w:rsidP="00F7709B">
            <w:pPr>
              <w:rPr>
                <w:rFonts w:eastAsia="Times New Roman" w:cs="Times New Roman"/>
                <w:sz w:val="20"/>
                <w:szCs w:val="20"/>
              </w:rPr>
            </w:pPr>
          </w:p>
        </w:tc>
        <w:tc>
          <w:tcPr>
            <w:tcW w:w="4107" w:type="dxa"/>
            <w:tcBorders>
              <w:top w:val="nil"/>
              <w:left w:val="nil"/>
              <w:bottom w:val="single" w:sz="4" w:space="0" w:color="auto"/>
              <w:right w:val="single" w:sz="4" w:space="0" w:color="auto"/>
            </w:tcBorders>
            <w:shd w:val="clear" w:color="auto" w:fill="auto"/>
            <w:noWrap/>
            <w:vAlign w:val="bottom"/>
          </w:tcPr>
          <w:p w:rsidR="00F7709B" w:rsidRPr="00432C28" w:rsidRDefault="00F7709B" w:rsidP="00F54846">
            <w:pPr>
              <w:ind w:firstLineChars="400" w:firstLine="800"/>
              <w:rPr>
                <w:rFonts w:eastAsia="Times New Roman" w:cs="Times New Roman"/>
                <w:sz w:val="20"/>
                <w:szCs w:val="20"/>
              </w:rPr>
            </w:pPr>
            <w:r w:rsidRPr="00432C28">
              <w:rPr>
                <w:rFonts w:eastAsia="Times New Roman" w:cs="Times New Roman"/>
                <w:sz w:val="20"/>
                <w:szCs w:val="20"/>
              </w:rPr>
              <w:t>ii)       “Applicable” Units accounts for</w:t>
            </w:r>
          </w:p>
        </w:tc>
        <w:tc>
          <w:tcPr>
            <w:tcW w:w="3978" w:type="dxa"/>
            <w:tcBorders>
              <w:top w:val="nil"/>
              <w:left w:val="nil"/>
              <w:bottom w:val="single" w:sz="4" w:space="0" w:color="auto"/>
              <w:right w:val="single" w:sz="4" w:space="0" w:color="auto"/>
            </w:tcBorders>
            <w:shd w:val="clear" w:color="auto" w:fill="auto"/>
            <w:vAlign w:val="bottom"/>
          </w:tcPr>
          <w:p w:rsidR="00F7709B" w:rsidRPr="00432C28" w:rsidRDefault="00F7709B" w:rsidP="00F7709B">
            <w:pPr>
              <w:rPr>
                <w:rFonts w:eastAsia="Times New Roman" w:cs="Times New Roman"/>
                <w:sz w:val="20"/>
                <w:szCs w:val="20"/>
              </w:rPr>
            </w:pPr>
            <w:r w:rsidRPr="00432C28">
              <w:rPr>
                <w:rFonts w:eastAsia="Times New Roman" w:cs="Times New Roman"/>
                <w:sz w:val="20"/>
                <w:szCs w:val="20"/>
              </w:rPr>
              <w:t> </w:t>
            </w:r>
          </w:p>
        </w:tc>
      </w:tr>
      <w:tr w:rsidR="00F7709B" w:rsidRPr="00432C28">
        <w:trPr>
          <w:trHeight w:val="300"/>
        </w:trPr>
        <w:tc>
          <w:tcPr>
            <w:tcW w:w="0" w:type="auto"/>
            <w:vMerge/>
            <w:tcBorders>
              <w:top w:val="nil"/>
              <w:left w:val="single" w:sz="4" w:space="0" w:color="auto"/>
              <w:bottom w:val="single" w:sz="4" w:space="0" w:color="auto"/>
              <w:right w:val="single" w:sz="4" w:space="0" w:color="auto"/>
            </w:tcBorders>
            <w:vAlign w:val="center"/>
          </w:tcPr>
          <w:p w:rsidR="00F7709B" w:rsidRPr="00432C28" w:rsidRDefault="00F7709B" w:rsidP="00F7709B">
            <w:pPr>
              <w:rPr>
                <w:rFonts w:eastAsia="Times New Roman" w:cs="Times New Roman"/>
                <w:sz w:val="20"/>
                <w:szCs w:val="20"/>
              </w:rPr>
            </w:pPr>
          </w:p>
        </w:tc>
        <w:tc>
          <w:tcPr>
            <w:tcW w:w="4107" w:type="dxa"/>
            <w:tcBorders>
              <w:top w:val="nil"/>
              <w:left w:val="nil"/>
              <w:bottom w:val="single" w:sz="4" w:space="0" w:color="auto"/>
              <w:right w:val="single" w:sz="4" w:space="0" w:color="auto"/>
            </w:tcBorders>
            <w:shd w:val="clear" w:color="auto" w:fill="auto"/>
            <w:vAlign w:val="bottom"/>
          </w:tcPr>
          <w:p w:rsidR="00F7709B" w:rsidRPr="00432C28" w:rsidRDefault="00F7709B" w:rsidP="00F54846">
            <w:pPr>
              <w:ind w:firstLineChars="600" w:firstLine="1200"/>
              <w:rPr>
                <w:rFonts w:eastAsia="Times New Roman" w:cs="Times New Roman"/>
                <w:sz w:val="20"/>
                <w:szCs w:val="20"/>
              </w:rPr>
            </w:pPr>
            <w:r w:rsidRPr="00432C28">
              <w:rPr>
                <w:rFonts w:eastAsia="Times New Roman" w:cs="Times New Roman"/>
                <w:sz w:val="20"/>
                <w:szCs w:val="20"/>
              </w:rPr>
              <w:t>(a)    Fuel saturations (e.g. electric vs. gas DHW)</w:t>
            </w:r>
          </w:p>
        </w:tc>
        <w:tc>
          <w:tcPr>
            <w:tcW w:w="3978" w:type="dxa"/>
            <w:vMerge w:val="restart"/>
            <w:tcBorders>
              <w:top w:val="nil"/>
              <w:left w:val="single" w:sz="4" w:space="0" w:color="auto"/>
              <w:bottom w:val="single" w:sz="4" w:space="0" w:color="auto"/>
              <w:right w:val="single" w:sz="4" w:space="0" w:color="auto"/>
            </w:tcBorders>
            <w:shd w:val="clear" w:color="auto" w:fill="auto"/>
            <w:vAlign w:val="center"/>
          </w:tcPr>
          <w:p w:rsidR="00F7709B" w:rsidRPr="00432C28" w:rsidRDefault="00F7709B" w:rsidP="00F7709B">
            <w:pPr>
              <w:rPr>
                <w:rFonts w:eastAsia="Times New Roman" w:cs="Times New Roman"/>
                <w:sz w:val="20"/>
                <w:szCs w:val="20"/>
              </w:rPr>
            </w:pPr>
            <w:r w:rsidRPr="00432C28">
              <w:rPr>
                <w:rFonts w:eastAsia="Times New Roman" w:cs="Times New Roman"/>
                <w:sz w:val="20"/>
                <w:szCs w:val="20"/>
              </w:rPr>
              <w:t xml:space="preserve">PacifiCorp used the same variables based on the latest survey data available for </w:t>
            </w:r>
            <w:r w:rsidR="00DC50FB" w:rsidRPr="00432C28">
              <w:rPr>
                <w:rFonts w:eastAsia="Times New Roman" w:cs="Times New Roman"/>
                <w:sz w:val="20"/>
                <w:szCs w:val="20"/>
              </w:rPr>
              <w:t xml:space="preserve">the </w:t>
            </w:r>
            <w:r w:rsidRPr="00432C28">
              <w:rPr>
                <w:rFonts w:eastAsia="Times New Roman" w:cs="Times New Roman"/>
                <w:sz w:val="20"/>
                <w:szCs w:val="20"/>
              </w:rPr>
              <w:t>residential sector. Data for the commercial sector were obtained through field surveys and from the Northwest Commercial Building Stock Assessment (CBSA), the same source used by the Council.</w:t>
            </w:r>
          </w:p>
        </w:tc>
      </w:tr>
      <w:tr w:rsidR="00F7709B" w:rsidRPr="00432C28">
        <w:trPr>
          <w:trHeight w:val="600"/>
        </w:trPr>
        <w:tc>
          <w:tcPr>
            <w:tcW w:w="0" w:type="auto"/>
            <w:vMerge/>
            <w:tcBorders>
              <w:top w:val="nil"/>
              <w:left w:val="single" w:sz="4" w:space="0" w:color="auto"/>
              <w:bottom w:val="single" w:sz="4" w:space="0" w:color="auto"/>
              <w:right w:val="single" w:sz="4" w:space="0" w:color="auto"/>
            </w:tcBorders>
            <w:vAlign w:val="center"/>
          </w:tcPr>
          <w:p w:rsidR="00F7709B" w:rsidRPr="00432C28" w:rsidRDefault="00F7709B" w:rsidP="00F7709B">
            <w:pPr>
              <w:rPr>
                <w:rFonts w:eastAsia="Times New Roman" w:cs="Times New Roman"/>
                <w:sz w:val="20"/>
                <w:szCs w:val="20"/>
              </w:rPr>
            </w:pPr>
          </w:p>
        </w:tc>
        <w:tc>
          <w:tcPr>
            <w:tcW w:w="4107" w:type="dxa"/>
            <w:tcBorders>
              <w:top w:val="nil"/>
              <w:left w:val="nil"/>
              <w:bottom w:val="single" w:sz="4" w:space="0" w:color="auto"/>
              <w:right w:val="single" w:sz="4" w:space="0" w:color="auto"/>
            </w:tcBorders>
            <w:shd w:val="clear" w:color="auto" w:fill="auto"/>
            <w:vAlign w:val="bottom"/>
          </w:tcPr>
          <w:p w:rsidR="00F7709B" w:rsidRPr="00432C28" w:rsidRDefault="00F7709B" w:rsidP="00F54846">
            <w:pPr>
              <w:ind w:firstLineChars="600" w:firstLine="1200"/>
              <w:rPr>
                <w:rFonts w:eastAsia="Times New Roman" w:cs="Times New Roman"/>
                <w:sz w:val="20"/>
                <w:szCs w:val="20"/>
              </w:rPr>
            </w:pPr>
            <w:r w:rsidRPr="00432C28">
              <w:rPr>
                <w:rFonts w:eastAsia="Times New Roman" w:cs="Times New Roman"/>
                <w:sz w:val="20"/>
                <w:szCs w:val="20"/>
              </w:rPr>
              <w:t>(b)    Building characteristics (single family vs. mobile homes, basement/non-basement, etc.)</w:t>
            </w:r>
          </w:p>
        </w:tc>
        <w:tc>
          <w:tcPr>
            <w:tcW w:w="3978" w:type="dxa"/>
            <w:vMerge/>
            <w:tcBorders>
              <w:top w:val="nil"/>
              <w:left w:val="single" w:sz="4" w:space="0" w:color="auto"/>
              <w:bottom w:val="single" w:sz="4" w:space="0" w:color="auto"/>
              <w:right w:val="single" w:sz="4" w:space="0" w:color="auto"/>
            </w:tcBorders>
            <w:vAlign w:val="center"/>
          </w:tcPr>
          <w:p w:rsidR="00F7709B" w:rsidRPr="00432C28" w:rsidRDefault="00F7709B" w:rsidP="00F7709B">
            <w:pPr>
              <w:rPr>
                <w:rFonts w:eastAsia="Times New Roman" w:cs="Times New Roman"/>
                <w:sz w:val="20"/>
                <w:szCs w:val="20"/>
              </w:rPr>
            </w:pPr>
          </w:p>
        </w:tc>
      </w:tr>
      <w:tr w:rsidR="00F7709B" w:rsidRPr="00432C28">
        <w:trPr>
          <w:trHeight w:val="600"/>
        </w:trPr>
        <w:tc>
          <w:tcPr>
            <w:tcW w:w="0" w:type="auto"/>
            <w:vMerge/>
            <w:tcBorders>
              <w:top w:val="nil"/>
              <w:left w:val="single" w:sz="4" w:space="0" w:color="auto"/>
              <w:bottom w:val="single" w:sz="4" w:space="0" w:color="auto"/>
              <w:right w:val="single" w:sz="4" w:space="0" w:color="auto"/>
            </w:tcBorders>
            <w:vAlign w:val="center"/>
          </w:tcPr>
          <w:p w:rsidR="00F7709B" w:rsidRPr="00432C28" w:rsidRDefault="00F7709B" w:rsidP="00F7709B">
            <w:pPr>
              <w:rPr>
                <w:rFonts w:eastAsia="Times New Roman" w:cs="Times New Roman"/>
                <w:sz w:val="20"/>
                <w:szCs w:val="20"/>
              </w:rPr>
            </w:pPr>
          </w:p>
        </w:tc>
        <w:tc>
          <w:tcPr>
            <w:tcW w:w="4107" w:type="dxa"/>
            <w:tcBorders>
              <w:top w:val="nil"/>
              <w:left w:val="nil"/>
              <w:bottom w:val="single" w:sz="4" w:space="0" w:color="auto"/>
              <w:right w:val="single" w:sz="4" w:space="0" w:color="auto"/>
            </w:tcBorders>
            <w:shd w:val="clear" w:color="auto" w:fill="auto"/>
            <w:vAlign w:val="bottom"/>
          </w:tcPr>
          <w:p w:rsidR="00F7709B" w:rsidRPr="00432C28" w:rsidRDefault="00F7709B" w:rsidP="00F54846">
            <w:pPr>
              <w:ind w:firstLineChars="600" w:firstLine="1200"/>
              <w:rPr>
                <w:rFonts w:eastAsia="Times New Roman" w:cs="Times New Roman"/>
                <w:sz w:val="20"/>
                <w:szCs w:val="20"/>
              </w:rPr>
            </w:pPr>
            <w:r w:rsidRPr="00432C28">
              <w:rPr>
                <w:rFonts w:eastAsia="Times New Roman" w:cs="Times New Roman"/>
                <w:sz w:val="20"/>
                <w:szCs w:val="20"/>
              </w:rPr>
              <w:t>(c)    System saturations, (e.g., heat pump vs. zonal, central AC vs. window AC)</w:t>
            </w:r>
          </w:p>
        </w:tc>
        <w:tc>
          <w:tcPr>
            <w:tcW w:w="3978" w:type="dxa"/>
            <w:vMerge/>
            <w:tcBorders>
              <w:top w:val="nil"/>
              <w:left w:val="single" w:sz="4" w:space="0" w:color="auto"/>
              <w:bottom w:val="single" w:sz="4" w:space="0" w:color="auto"/>
              <w:right w:val="single" w:sz="4" w:space="0" w:color="auto"/>
            </w:tcBorders>
            <w:vAlign w:val="center"/>
          </w:tcPr>
          <w:p w:rsidR="00F7709B" w:rsidRPr="00432C28" w:rsidRDefault="00F7709B" w:rsidP="00F7709B">
            <w:pPr>
              <w:rPr>
                <w:rFonts w:eastAsia="Times New Roman" w:cs="Times New Roman"/>
                <w:sz w:val="20"/>
                <w:szCs w:val="20"/>
              </w:rPr>
            </w:pPr>
          </w:p>
        </w:tc>
      </w:tr>
      <w:tr w:rsidR="00F7709B" w:rsidRPr="00432C28">
        <w:trPr>
          <w:trHeight w:val="300"/>
        </w:trPr>
        <w:tc>
          <w:tcPr>
            <w:tcW w:w="0" w:type="auto"/>
            <w:vMerge/>
            <w:tcBorders>
              <w:top w:val="nil"/>
              <w:left w:val="single" w:sz="4" w:space="0" w:color="auto"/>
              <w:bottom w:val="single" w:sz="4" w:space="0" w:color="auto"/>
              <w:right w:val="single" w:sz="4" w:space="0" w:color="auto"/>
            </w:tcBorders>
            <w:vAlign w:val="center"/>
          </w:tcPr>
          <w:p w:rsidR="00F7709B" w:rsidRPr="00432C28" w:rsidRDefault="00F7709B" w:rsidP="00F7709B">
            <w:pPr>
              <w:rPr>
                <w:rFonts w:eastAsia="Times New Roman" w:cs="Times New Roman"/>
                <w:sz w:val="20"/>
                <w:szCs w:val="20"/>
              </w:rPr>
            </w:pPr>
          </w:p>
        </w:tc>
        <w:tc>
          <w:tcPr>
            <w:tcW w:w="4107" w:type="dxa"/>
            <w:tcBorders>
              <w:top w:val="nil"/>
              <w:left w:val="nil"/>
              <w:bottom w:val="single" w:sz="4" w:space="0" w:color="auto"/>
              <w:right w:val="single" w:sz="4" w:space="0" w:color="auto"/>
            </w:tcBorders>
            <w:shd w:val="clear" w:color="auto" w:fill="auto"/>
            <w:vAlign w:val="bottom"/>
          </w:tcPr>
          <w:p w:rsidR="00F7709B" w:rsidRPr="00432C28" w:rsidRDefault="00F7709B" w:rsidP="00F54846">
            <w:pPr>
              <w:ind w:firstLineChars="600" w:firstLine="1200"/>
              <w:rPr>
                <w:rFonts w:eastAsia="Times New Roman" w:cs="Times New Roman"/>
                <w:sz w:val="20"/>
                <w:szCs w:val="20"/>
              </w:rPr>
            </w:pPr>
            <w:r w:rsidRPr="00432C28">
              <w:rPr>
                <w:rFonts w:eastAsia="Times New Roman" w:cs="Times New Roman"/>
                <w:sz w:val="20"/>
                <w:szCs w:val="20"/>
              </w:rPr>
              <w:t>(d)    Current measure saturations</w:t>
            </w:r>
          </w:p>
        </w:tc>
        <w:tc>
          <w:tcPr>
            <w:tcW w:w="3978" w:type="dxa"/>
            <w:vMerge/>
            <w:tcBorders>
              <w:top w:val="nil"/>
              <w:left w:val="single" w:sz="4" w:space="0" w:color="auto"/>
              <w:bottom w:val="single" w:sz="4" w:space="0" w:color="auto"/>
              <w:right w:val="single" w:sz="4" w:space="0" w:color="auto"/>
            </w:tcBorders>
            <w:vAlign w:val="center"/>
          </w:tcPr>
          <w:p w:rsidR="00F7709B" w:rsidRPr="00432C28" w:rsidRDefault="00F7709B" w:rsidP="00F7709B">
            <w:pPr>
              <w:rPr>
                <w:rFonts w:eastAsia="Times New Roman" w:cs="Times New Roman"/>
                <w:sz w:val="20"/>
                <w:szCs w:val="20"/>
              </w:rPr>
            </w:pPr>
          </w:p>
        </w:tc>
      </w:tr>
      <w:tr w:rsidR="00F7709B" w:rsidRPr="00432C28">
        <w:trPr>
          <w:trHeight w:val="300"/>
        </w:trPr>
        <w:tc>
          <w:tcPr>
            <w:tcW w:w="0" w:type="auto"/>
            <w:vMerge/>
            <w:tcBorders>
              <w:top w:val="nil"/>
              <w:left w:val="single" w:sz="4" w:space="0" w:color="auto"/>
              <w:bottom w:val="single" w:sz="4" w:space="0" w:color="auto"/>
              <w:right w:val="single" w:sz="4" w:space="0" w:color="auto"/>
            </w:tcBorders>
            <w:vAlign w:val="center"/>
          </w:tcPr>
          <w:p w:rsidR="00F7709B" w:rsidRPr="00432C28" w:rsidRDefault="00F7709B" w:rsidP="00F7709B">
            <w:pPr>
              <w:rPr>
                <w:rFonts w:eastAsia="Times New Roman" w:cs="Times New Roman"/>
                <w:sz w:val="20"/>
                <w:szCs w:val="20"/>
              </w:rPr>
            </w:pPr>
          </w:p>
        </w:tc>
        <w:tc>
          <w:tcPr>
            <w:tcW w:w="4107" w:type="dxa"/>
            <w:tcBorders>
              <w:top w:val="nil"/>
              <w:left w:val="nil"/>
              <w:bottom w:val="single" w:sz="4" w:space="0" w:color="auto"/>
              <w:right w:val="single" w:sz="4" w:space="0" w:color="auto"/>
            </w:tcBorders>
            <w:shd w:val="clear" w:color="auto" w:fill="auto"/>
            <w:vAlign w:val="bottom"/>
          </w:tcPr>
          <w:p w:rsidR="00F7709B" w:rsidRPr="00432C28" w:rsidRDefault="00F7709B" w:rsidP="00F54846">
            <w:pPr>
              <w:ind w:firstLineChars="600" w:firstLine="1200"/>
              <w:rPr>
                <w:rFonts w:eastAsia="Times New Roman" w:cs="Times New Roman"/>
                <w:sz w:val="20"/>
                <w:szCs w:val="20"/>
              </w:rPr>
            </w:pPr>
            <w:r w:rsidRPr="00432C28">
              <w:rPr>
                <w:rFonts w:eastAsia="Times New Roman" w:cs="Times New Roman"/>
                <w:sz w:val="20"/>
                <w:szCs w:val="20"/>
              </w:rPr>
              <w:t>(e)    New and existing units</w:t>
            </w:r>
          </w:p>
        </w:tc>
        <w:tc>
          <w:tcPr>
            <w:tcW w:w="3978" w:type="dxa"/>
            <w:vMerge/>
            <w:tcBorders>
              <w:top w:val="nil"/>
              <w:left w:val="single" w:sz="4" w:space="0" w:color="auto"/>
              <w:bottom w:val="single" w:sz="4" w:space="0" w:color="auto"/>
              <w:right w:val="single" w:sz="4" w:space="0" w:color="auto"/>
            </w:tcBorders>
            <w:vAlign w:val="center"/>
          </w:tcPr>
          <w:p w:rsidR="00F7709B" w:rsidRPr="00432C28" w:rsidRDefault="00F7709B" w:rsidP="00F7709B">
            <w:pPr>
              <w:rPr>
                <w:rFonts w:eastAsia="Times New Roman" w:cs="Times New Roman"/>
                <w:sz w:val="20"/>
                <w:szCs w:val="20"/>
              </w:rPr>
            </w:pPr>
          </w:p>
        </w:tc>
      </w:tr>
      <w:tr w:rsidR="00F7709B" w:rsidRPr="00432C28">
        <w:trPr>
          <w:trHeight w:val="900"/>
        </w:trPr>
        <w:tc>
          <w:tcPr>
            <w:tcW w:w="0" w:type="auto"/>
            <w:vMerge/>
            <w:tcBorders>
              <w:top w:val="nil"/>
              <w:left w:val="single" w:sz="4" w:space="0" w:color="auto"/>
              <w:bottom w:val="single" w:sz="4" w:space="0" w:color="auto"/>
              <w:right w:val="single" w:sz="4" w:space="0" w:color="auto"/>
            </w:tcBorders>
            <w:vAlign w:val="center"/>
          </w:tcPr>
          <w:p w:rsidR="00F7709B" w:rsidRPr="00432C28" w:rsidRDefault="00F7709B" w:rsidP="00F7709B">
            <w:pPr>
              <w:rPr>
                <w:rFonts w:eastAsia="Times New Roman" w:cs="Times New Roman"/>
                <w:sz w:val="20"/>
                <w:szCs w:val="20"/>
              </w:rPr>
            </w:pPr>
          </w:p>
        </w:tc>
        <w:tc>
          <w:tcPr>
            <w:tcW w:w="4107" w:type="dxa"/>
            <w:tcBorders>
              <w:top w:val="nil"/>
              <w:left w:val="nil"/>
              <w:bottom w:val="single" w:sz="4" w:space="0" w:color="auto"/>
              <w:right w:val="single" w:sz="4" w:space="0" w:color="auto"/>
            </w:tcBorders>
            <w:shd w:val="clear" w:color="auto" w:fill="auto"/>
            <w:vAlign w:val="bottom"/>
          </w:tcPr>
          <w:p w:rsidR="00F7709B" w:rsidRPr="00432C28" w:rsidRDefault="00F7709B" w:rsidP="00F54846">
            <w:pPr>
              <w:ind w:firstLineChars="600" w:firstLine="1200"/>
              <w:rPr>
                <w:rFonts w:eastAsia="Times New Roman" w:cs="Times New Roman"/>
                <w:sz w:val="20"/>
                <w:szCs w:val="20"/>
              </w:rPr>
            </w:pPr>
            <w:r w:rsidRPr="00432C28">
              <w:rPr>
                <w:rFonts w:eastAsia="Times New Roman" w:cs="Times New Roman"/>
                <w:sz w:val="20"/>
                <w:szCs w:val="20"/>
              </w:rPr>
              <w:t>(f)     Measure life (stock turnover cycle)</w:t>
            </w:r>
          </w:p>
        </w:tc>
        <w:tc>
          <w:tcPr>
            <w:tcW w:w="3978" w:type="dxa"/>
            <w:tcBorders>
              <w:top w:val="nil"/>
              <w:left w:val="nil"/>
              <w:bottom w:val="single" w:sz="4" w:space="0" w:color="auto"/>
              <w:right w:val="single" w:sz="4" w:space="0" w:color="auto"/>
            </w:tcBorders>
            <w:shd w:val="clear" w:color="auto" w:fill="auto"/>
            <w:vAlign w:val="bottom"/>
          </w:tcPr>
          <w:p w:rsidR="00F7709B" w:rsidRPr="00432C28" w:rsidRDefault="00F7709B" w:rsidP="00F7709B">
            <w:pPr>
              <w:rPr>
                <w:rFonts w:eastAsia="Times New Roman" w:cs="Times New Roman"/>
                <w:sz w:val="20"/>
                <w:szCs w:val="20"/>
              </w:rPr>
            </w:pPr>
            <w:r w:rsidRPr="00432C28">
              <w:rPr>
                <w:rFonts w:eastAsia="Times New Roman" w:cs="Times New Roman"/>
                <w:sz w:val="20"/>
                <w:szCs w:val="20"/>
              </w:rPr>
              <w:t>Technical specifications for measures were compiled from secondary sources. Measure life estimates are consistent with Council's assumptions.</w:t>
            </w:r>
          </w:p>
        </w:tc>
      </w:tr>
      <w:tr w:rsidR="00F7709B" w:rsidRPr="00432C28">
        <w:trPr>
          <w:trHeight w:val="900"/>
        </w:trPr>
        <w:tc>
          <w:tcPr>
            <w:tcW w:w="0" w:type="auto"/>
            <w:vMerge/>
            <w:tcBorders>
              <w:top w:val="nil"/>
              <w:left w:val="single" w:sz="4" w:space="0" w:color="auto"/>
              <w:bottom w:val="single" w:sz="4" w:space="0" w:color="auto"/>
              <w:right w:val="single" w:sz="4" w:space="0" w:color="auto"/>
            </w:tcBorders>
            <w:vAlign w:val="center"/>
          </w:tcPr>
          <w:p w:rsidR="00F7709B" w:rsidRPr="00432C28" w:rsidRDefault="00F7709B" w:rsidP="00F7709B">
            <w:pPr>
              <w:rPr>
                <w:rFonts w:eastAsia="Times New Roman" w:cs="Times New Roman"/>
                <w:sz w:val="20"/>
                <w:szCs w:val="20"/>
              </w:rPr>
            </w:pPr>
          </w:p>
        </w:tc>
        <w:tc>
          <w:tcPr>
            <w:tcW w:w="4107" w:type="dxa"/>
            <w:tcBorders>
              <w:top w:val="nil"/>
              <w:left w:val="nil"/>
              <w:bottom w:val="single" w:sz="4" w:space="0" w:color="auto"/>
              <w:right w:val="single" w:sz="4" w:space="0" w:color="auto"/>
            </w:tcBorders>
            <w:shd w:val="clear" w:color="auto" w:fill="auto"/>
            <w:vAlign w:val="bottom"/>
          </w:tcPr>
          <w:p w:rsidR="00F7709B" w:rsidRPr="00432C28" w:rsidRDefault="00F7709B" w:rsidP="00F54846">
            <w:pPr>
              <w:ind w:firstLineChars="600" w:firstLine="1200"/>
              <w:rPr>
                <w:rFonts w:eastAsia="Times New Roman" w:cs="Times New Roman"/>
                <w:sz w:val="20"/>
                <w:szCs w:val="20"/>
              </w:rPr>
            </w:pPr>
            <w:r w:rsidRPr="00432C28">
              <w:rPr>
                <w:rFonts w:eastAsia="Times New Roman" w:cs="Times New Roman"/>
                <w:sz w:val="20"/>
                <w:szCs w:val="20"/>
              </w:rPr>
              <w:t>(g)    Measure substitutions (e.g., duct sealing of homes with forced-air resistance furnaces vs. conversion of homes to heat pumps with sealed ducts)</w:t>
            </w:r>
          </w:p>
        </w:tc>
        <w:tc>
          <w:tcPr>
            <w:tcW w:w="3978" w:type="dxa"/>
            <w:tcBorders>
              <w:top w:val="nil"/>
              <w:left w:val="nil"/>
              <w:bottom w:val="single" w:sz="4" w:space="0" w:color="auto"/>
              <w:right w:val="single" w:sz="4" w:space="0" w:color="auto"/>
            </w:tcBorders>
            <w:shd w:val="clear" w:color="auto" w:fill="auto"/>
            <w:vAlign w:val="bottom"/>
          </w:tcPr>
          <w:p w:rsidR="00F7709B" w:rsidRPr="00432C28" w:rsidRDefault="00F7709B" w:rsidP="00F7709B">
            <w:pPr>
              <w:rPr>
                <w:rFonts w:eastAsia="Times New Roman" w:cs="Times New Roman"/>
                <w:sz w:val="20"/>
                <w:szCs w:val="20"/>
              </w:rPr>
            </w:pPr>
            <w:r w:rsidRPr="00432C28">
              <w:rPr>
                <w:rFonts w:eastAsia="Times New Roman" w:cs="Times New Roman"/>
                <w:sz w:val="20"/>
                <w:szCs w:val="20"/>
              </w:rPr>
              <w:t>PacifiCorp examined and accounted for all measure interactions and substitution effects.</w:t>
            </w:r>
          </w:p>
        </w:tc>
      </w:tr>
      <w:tr w:rsidR="00F7709B" w:rsidRPr="00432C28">
        <w:trPr>
          <w:trHeight w:val="300"/>
        </w:trPr>
        <w:tc>
          <w:tcPr>
            <w:tcW w:w="0" w:type="auto"/>
            <w:vMerge/>
            <w:tcBorders>
              <w:top w:val="nil"/>
              <w:left w:val="single" w:sz="4" w:space="0" w:color="auto"/>
              <w:bottom w:val="single" w:sz="4" w:space="0" w:color="auto"/>
              <w:right w:val="single" w:sz="4" w:space="0" w:color="auto"/>
            </w:tcBorders>
            <w:vAlign w:val="center"/>
          </w:tcPr>
          <w:p w:rsidR="00F7709B" w:rsidRPr="00432C28" w:rsidRDefault="00F7709B" w:rsidP="00F7709B">
            <w:pPr>
              <w:rPr>
                <w:rFonts w:eastAsia="Times New Roman" w:cs="Times New Roman"/>
                <w:sz w:val="20"/>
                <w:szCs w:val="20"/>
              </w:rPr>
            </w:pPr>
          </w:p>
        </w:tc>
        <w:tc>
          <w:tcPr>
            <w:tcW w:w="4107" w:type="dxa"/>
            <w:tcBorders>
              <w:top w:val="nil"/>
              <w:left w:val="nil"/>
              <w:bottom w:val="single" w:sz="4" w:space="0" w:color="auto"/>
              <w:right w:val="single" w:sz="4" w:space="0" w:color="auto"/>
            </w:tcBorders>
            <w:shd w:val="clear" w:color="auto" w:fill="auto"/>
            <w:noWrap/>
            <w:vAlign w:val="bottom"/>
          </w:tcPr>
          <w:p w:rsidR="00F7709B" w:rsidRPr="00432C28" w:rsidRDefault="00F7709B" w:rsidP="00F54846">
            <w:pPr>
              <w:ind w:firstLineChars="300" w:firstLine="600"/>
              <w:rPr>
                <w:rFonts w:eastAsia="Times New Roman" w:cs="Times New Roman"/>
                <w:sz w:val="20"/>
                <w:szCs w:val="20"/>
              </w:rPr>
            </w:pPr>
            <w:r w:rsidRPr="00432C28">
              <w:rPr>
                <w:rFonts w:eastAsia="Times New Roman" w:cs="Times New Roman"/>
                <w:sz w:val="20"/>
                <w:szCs w:val="20"/>
              </w:rPr>
              <w:t>iii)     “Incremental” Savings/applicable unit accounts for</w:t>
            </w:r>
          </w:p>
        </w:tc>
        <w:tc>
          <w:tcPr>
            <w:tcW w:w="3978" w:type="dxa"/>
            <w:tcBorders>
              <w:top w:val="nil"/>
              <w:left w:val="nil"/>
              <w:bottom w:val="single" w:sz="4" w:space="0" w:color="auto"/>
              <w:right w:val="single" w:sz="4" w:space="0" w:color="auto"/>
            </w:tcBorders>
            <w:shd w:val="clear" w:color="auto" w:fill="auto"/>
            <w:vAlign w:val="bottom"/>
          </w:tcPr>
          <w:p w:rsidR="00F7709B" w:rsidRPr="00432C28" w:rsidRDefault="00F7709B" w:rsidP="00F7709B">
            <w:pPr>
              <w:rPr>
                <w:rFonts w:eastAsia="Times New Roman" w:cs="Times New Roman"/>
                <w:sz w:val="20"/>
                <w:szCs w:val="20"/>
              </w:rPr>
            </w:pPr>
            <w:r w:rsidRPr="00432C28">
              <w:rPr>
                <w:rFonts w:eastAsia="Times New Roman" w:cs="Times New Roman"/>
                <w:sz w:val="20"/>
                <w:szCs w:val="20"/>
              </w:rPr>
              <w:t> </w:t>
            </w:r>
          </w:p>
        </w:tc>
      </w:tr>
      <w:tr w:rsidR="00F7709B" w:rsidRPr="00432C28">
        <w:trPr>
          <w:trHeight w:val="600"/>
        </w:trPr>
        <w:tc>
          <w:tcPr>
            <w:tcW w:w="0" w:type="auto"/>
            <w:vMerge/>
            <w:tcBorders>
              <w:top w:val="nil"/>
              <w:left w:val="single" w:sz="4" w:space="0" w:color="auto"/>
              <w:bottom w:val="single" w:sz="4" w:space="0" w:color="auto"/>
              <w:right w:val="single" w:sz="4" w:space="0" w:color="auto"/>
            </w:tcBorders>
            <w:vAlign w:val="center"/>
          </w:tcPr>
          <w:p w:rsidR="00F7709B" w:rsidRPr="00432C28" w:rsidRDefault="00F7709B" w:rsidP="00F7709B">
            <w:pPr>
              <w:rPr>
                <w:rFonts w:eastAsia="Times New Roman" w:cs="Times New Roman"/>
                <w:sz w:val="20"/>
                <w:szCs w:val="20"/>
              </w:rPr>
            </w:pPr>
          </w:p>
        </w:tc>
        <w:tc>
          <w:tcPr>
            <w:tcW w:w="4107" w:type="dxa"/>
            <w:tcBorders>
              <w:top w:val="nil"/>
              <w:left w:val="nil"/>
              <w:bottom w:val="single" w:sz="4" w:space="0" w:color="auto"/>
              <w:right w:val="single" w:sz="4" w:space="0" w:color="auto"/>
            </w:tcBorders>
            <w:shd w:val="clear" w:color="auto" w:fill="auto"/>
            <w:vAlign w:val="bottom"/>
          </w:tcPr>
          <w:p w:rsidR="00F7709B" w:rsidRPr="00432C28" w:rsidRDefault="00F7709B" w:rsidP="00F54846">
            <w:pPr>
              <w:ind w:firstLineChars="600" w:firstLine="1200"/>
              <w:rPr>
                <w:rFonts w:eastAsia="Times New Roman" w:cs="Times New Roman"/>
                <w:sz w:val="20"/>
                <w:szCs w:val="20"/>
              </w:rPr>
            </w:pPr>
            <w:r w:rsidRPr="00432C28">
              <w:rPr>
                <w:rFonts w:eastAsia="Times New Roman" w:cs="Times New Roman"/>
                <w:sz w:val="20"/>
                <w:szCs w:val="20"/>
              </w:rPr>
              <w:t>(a)    Expected kW and kWh savings shaped by time-of-day, day of week and month of year</w:t>
            </w:r>
          </w:p>
        </w:tc>
        <w:tc>
          <w:tcPr>
            <w:tcW w:w="3978" w:type="dxa"/>
            <w:tcBorders>
              <w:top w:val="nil"/>
              <w:left w:val="nil"/>
              <w:bottom w:val="single" w:sz="4" w:space="0" w:color="auto"/>
              <w:right w:val="single" w:sz="4" w:space="0" w:color="auto"/>
            </w:tcBorders>
            <w:shd w:val="clear" w:color="auto" w:fill="auto"/>
            <w:vAlign w:val="bottom"/>
          </w:tcPr>
          <w:p w:rsidR="00F7709B" w:rsidRPr="00432C28" w:rsidRDefault="00F7709B" w:rsidP="00F7709B">
            <w:pPr>
              <w:rPr>
                <w:rFonts w:eastAsia="Times New Roman" w:cs="Times New Roman"/>
                <w:sz w:val="20"/>
                <w:szCs w:val="20"/>
              </w:rPr>
            </w:pPr>
            <w:r w:rsidRPr="00432C28">
              <w:rPr>
                <w:rFonts w:eastAsia="Times New Roman" w:cs="Times New Roman"/>
                <w:sz w:val="20"/>
                <w:szCs w:val="20"/>
              </w:rPr>
              <w:t>PacifiCorp used hourly (8760) end use load shapes to determine hourly impacts for all measures.</w:t>
            </w:r>
          </w:p>
        </w:tc>
      </w:tr>
      <w:tr w:rsidR="00F7709B" w:rsidRPr="00432C28">
        <w:trPr>
          <w:trHeight w:val="300"/>
        </w:trPr>
        <w:tc>
          <w:tcPr>
            <w:tcW w:w="0" w:type="auto"/>
            <w:vMerge/>
            <w:tcBorders>
              <w:top w:val="nil"/>
              <w:left w:val="single" w:sz="4" w:space="0" w:color="auto"/>
              <w:bottom w:val="single" w:sz="4" w:space="0" w:color="auto"/>
              <w:right w:val="single" w:sz="4" w:space="0" w:color="auto"/>
            </w:tcBorders>
            <w:vAlign w:val="center"/>
          </w:tcPr>
          <w:p w:rsidR="00F7709B" w:rsidRPr="00432C28" w:rsidRDefault="00F7709B" w:rsidP="00F7709B">
            <w:pPr>
              <w:rPr>
                <w:rFonts w:eastAsia="Times New Roman" w:cs="Times New Roman"/>
                <w:sz w:val="20"/>
                <w:szCs w:val="20"/>
              </w:rPr>
            </w:pPr>
          </w:p>
        </w:tc>
        <w:tc>
          <w:tcPr>
            <w:tcW w:w="4107" w:type="dxa"/>
            <w:tcBorders>
              <w:top w:val="nil"/>
              <w:left w:val="nil"/>
              <w:bottom w:val="single" w:sz="4" w:space="0" w:color="auto"/>
              <w:right w:val="single" w:sz="4" w:space="0" w:color="auto"/>
            </w:tcBorders>
            <w:shd w:val="clear" w:color="auto" w:fill="auto"/>
            <w:vAlign w:val="bottom"/>
          </w:tcPr>
          <w:p w:rsidR="00F7709B" w:rsidRPr="00432C28" w:rsidRDefault="00F7709B" w:rsidP="00F54846">
            <w:pPr>
              <w:ind w:firstLineChars="600" w:firstLine="1200"/>
              <w:rPr>
                <w:rFonts w:eastAsia="Times New Roman" w:cs="Times New Roman"/>
                <w:sz w:val="20"/>
                <w:szCs w:val="20"/>
              </w:rPr>
            </w:pPr>
            <w:r w:rsidRPr="00432C28">
              <w:rPr>
                <w:rFonts w:eastAsia="Times New Roman" w:cs="Times New Roman"/>
                <w:sz w:val="20"/>
                <w:szCs w:val="20"/>
              </w:rPr>
              <w:t>(b)    Savings over baseline efficiency</w:t>
            </w:r>
          </w:p>
        </w:tc>
        <w:tc>
          <w:tcPr>
            <w:tcW w:w="3978" w:type="dxa"/>
            <w:tcBorders>
              <w:top w:val="nil"/>
              <w:left w:val="nil"/>
              <w:bottom w:val="single" w:sz="4" w:space="0" w:color="auto"/>
              <w:right w:val="single" w:sz="4" w:space="0" w:color="auto"/>
            </w:tcBorders>
            <w:shd w:val="clear" w:color="auto" w:fill="auto"/>
            <w:vAlign w:val="bottom"/>
          </w:tcPr>
          <w:p w:rsidR="00F7709B" w:rsidRPr="00432C28" w:rsidRDefault="00F7709B" w:rsidP="00F7709B">
            <w:pPr>
              <w:rPr>
                <w:rFonts w:eastAsia="Times New Roman" w:cs="Times New Roman"/>
                <w:sz w:val="20"/>
                <w:szCs w:val="20"/>
              </w:rPr>
            </w:pPr>
            <w:r w:rsidRPr="00432C28">
              <w:rPr>
                <w:rFonts w:eastAsia="Times New Roman" w:cs="Times New Roman"/>
                <w:sz w:val="20"/>
                <w:szCs w:val="20"/>
              </w:rPr>
              <w:t> </w:t>
            </w:r>
          </w:p>
        </w:tc>
      </w:tr>
      <w:tr w:rsidR="00F7709B" w:rsidRPr="00432C28">
        <w:trPr>
          <w:trHeight w:val="600"/>
        </w:trPr>
        <w:tc>
          <w:tcPr>
            <w:tcW w:w="0" w:type="auto"/>
            <w:vMerge/>
            <w:tcBorders>
              <w:top w:val="nil"/>
              <w:left w:val="single" w:sz="4" w:space="0" w:color="auto"/>
              <w:bottom w:val="single" w:sz="4" w:space="0" w:color="auto"/>
              <w:right w:val="single" w:sz="4" w:space="0" w:color="auto"/>
            </w:tcBorders>
            <w:vAlign w:val="center"/>
          </w:tcPr>
          <w:p w:rsidR="00F7709B" w:rsidRPr="00432C28" w:rsidRDefault="00F7709B" w:rsidP="00F7709B">
            <w:pPr>
              <w:rPr>
                <w:rFonts w:eastAsia="Times New Roman" w:cs="Times New Roman"/>
                <w:sz w:val="20"/>
                <w:szCs w:val="20"/>
              </w:rPr>
            </w:pPr>
          </w:p>
        </w:tc>
        <w:tc>
          <w:tcPr>
            <w:tcW w:w="4107" w:type="dxa"/>
            <w:tcBorders>
              <w:top w:val="nil"/>
              <w:left w:val="nil"/>
              <w:bottom w:val="single" w:sz="4" w:space="0" w:color="auto"/>
              <w:right w:val="single" w:sz="4" w:space="0" w:color="auto"/>
            </w:tcBorders>
            <w:shd w:val="clear" w:color="auto" w:fill="auto"/>
            <w:vAlign w:val="bottom"/>
          </w:tcPr>
          <w:p w:rsidR="00F7709B" w:rsidRPr="00432C28" w:rsidRDefault="00F7709B" w:rsidP="00F54846">
            <w:pPr>
              <w:ind w:firstLineChars="800" w:firstLine="1600"/>
              <w:rPr>
                <w:rFonts w:eastAsia="Times New Roman" w:cs="Times New Roman"/>
                <w:sz w:val="20"/>
                <w:szCs w:val="20"/>
              </w:rPr>
            </w:pPr>
            <w:r w:rsidRPr="00432C28">
              <w:rPr>
                <w:rFonts w:eastAsia="Times New Roman" w:cs="Times New Roman"/>
                <w:sz w:val="20"/>
                <w:szCs w:val="20"/>
              </w:rPr>
              <w:t>(i)      Baseline set by codes/standards or current practices</w:t>
            </w:r>
          </w:p>
        </w:tc>
        <w:tc>
          <w:tcPr>
            <w:tcW w:w="3978" w:type="dxa"/>
            <w:tcBorders>
              <w:top w:val="nil"/>
              <w:left w:val="nil"/>
              <w:bottom w:val="single" w:sz="4" w:space="0" w:color="auto"/>
              <w:right w:val="single" w:sz="4" w:space="0" w:color="auto"/>
            </w:tcBorders>
            <w:shd w:val="clear" w:color="auto" w:fill="auto"/>
            <w:vAlign w:val="bottom"/>
          </w:tcPr>
          <w:p w:rsidR="00F7709B" w:rsidRPr="00432C28" w:rsidRDefault="00F7709B" w:rsidP="00DC50FB">
            <w:pPr>
              <w:rPr>
                <w:rFonts w:eastAsia="Times New Roman" w:cs="Times New Roman"/>
                <w:sz w:val="20"/>
                <w:szCs w:val="20"/>
              </w:rPr>
            </w:pPr>
            <w:r w:rsidRPr="00432C28">
              <w:rPr>
                <w:rFonts w:eastAsia="Times New Roman" w:cs="Times New Roman"/>
                <w:sz w:val="20"/>
                <w:szCs w:val="20"/>
              </w:rPr>
              <w:t>PacifiCorp set baselines according to</w:t>
            </w:r>
            <w:r w:rsidR="00DC50FB" w:rsidRPr="00432C28">
              <w:rPr>
                <w:rFonts w:eastAsia="Times New Roman" w:cs="Times New Roman"/>
                <w:sz w:val="20"/>
                <w:szCs w:val="20"/>
              </w:rPr>
              <w:t xml:space="preserve"> known</w:t>
            </w:r>
            <w:r w:rsidRPr="00432C28">
              <w:rPr>
                <w:rFonts w:eastAsia="Times New Roman" w:cs="Times New Roman"/>
                <w:sz w:val="20"/>
                <w:szCs w:val="20"/>
              </w:rPr>
              <w:t xml:space="preserve"> codes </w:t>
            </w:r>
            <w:r w:rsidR="00DC50FB" w:rsidRPr="00432C28">
              <w:rPr>
                <w:rFonts w:eastAsia="Times New Roman" w:cs="Times New Roman"/>
                <w:sz w:val="20"/>
                <w:szCs w:val="20"/>
              </w:rPr>
              <w:t>and</w:t>
            </w:r>
            <w:r w:rsidRPr="00432C28">
              <w:rPr>
                <w:rFonts w:eastAsia="Times New Roman" w:cs="Times New Roman"/>
                <w:sz w:val="20"/>
                <w:szCs w:val="20"/>
              </w:rPr>
              <w:t xml:space="preserve"> standards at the time of the analysis. </w:t>
            </w:r>
          </w:p>
        </w:tc>
      </w:tr>
      <w:tr w:rsidR="00F7709B" w:rsidRPr="00432C28">
        <w:trPr>
          <w:trHeight w:val="1200"/>
        </w:trPr>
        <w:tc>
          <w:tcPr>
            <w:tcW w:w="0" w:type="auto"/>
            <w:vMerge/>
            <w:tcBorders>
              <w:top w:val="nil"/>
              <w:left w:val="single" w:sz="4" w:space="0" w:color="auto"/>
              <w:bottom w:val="single" w:sz="4" w:space="0" w:color="auto"/>
              <w:right w:val="single" w:sz="4" w:space="0" w:color="auto"/>
            </w:tcBorders>
            <w:vAlign w:val="center"/>
          </w:tcPr>
          <w:p w:rsidR="00F7709B" w:rsidRPr="00432C28" w:rsidRDefault="00F7709B" w:rsidP="00F7709B">
            <w:pPr>
              <w:rPr>
                <w:rFonts w:eastAsia="Times New Roman" w:cs="Times New Roman"/>
                <w:sz w:val="20"/>
                <w:szCs w:val="20"/>
              </w:rPr>
            </w:pPr>
          </w:p>
        </w:tc>
        <w:tc>
          <w:tcPr>
            <w:tcW w:w="4107" w:type="dxa"/>
            <w:tcBorders>
              <w:top w:val="nil"/>
              <w:left w:val="nil"/>
              <w:bottom w:val="single" w:sz="4" w:space="0" w:color="auto"/>
              <w:right w:val="single" w:sz="4" w:space="0" w:color="auto"/>
            </w:tcBorders>
            <w:shd w:val="clear" w:color="auto" w:fill="auto"/>
            <w:vAlign w:val="bottom"/>
          </w:tcPr>
          <w:p w:rsidR="00F7709B" w:rsidRPr="00432C28" w:rsidRDefault="00F7709B" w:rsidP="00F54846">
            <w:pPr>
              <w:ind w:firstLineChars="800" w:firstLine="1600"/>
              <w:rPr>
                <w:rFonts w:eastAsia="Times New Roman" w:cs="Times New Roman"/>
                <w:sz w:val="20"/>
                <w:szCs w:val="20"/>
              </w:rPr>
            </w:pPr>
            <w:r w:rsidRPr="00432C28">
              <w:rPr>
                <w:rFonts w:eastAsia="Times New Roman" w:cs="Times New Roman"/>
                <w:sz w:val="20"/>
                <w:szCs w:val="20"/>
              </w:rPr>
              <w:t>(ii)    Not always equivalent to savings over “current use” (e.g., new refrigerator savings are measured as “increment above current federal standards, not the refrigerator being replaced)</w:t>
            </w:r>
          </w:p>
        </w:tc>
        <w:tc>
          <w:tcPr>
            <w:tcW w:w="3978" w:type="dxa"/>
            <w:tcBorders>
              <w:top w:val="nil"/>
              <w:left w:val="nil"/>
              <w:bottom w:val="single" w:sz="4" w:space="0" w:color="auto"/>
              <w:right w:val="single" w:sz="4" w:space="0" w:color="auto"/>
            </w:tcBorders>
            <w:shd w:val="clear" w:color="auto" w:fill="auto"/>
            <w:vAlign w:val="bottom"/>
          </w:tcPr>
          <w:p w:rsidR="00F7709B" w:rsidRPr="00432C28" w:rsidRDefault="00F7709B" w:rsidP="00F7709B">
            <w:pPr>
              <w:rPr>
                <w:rFonts w:eastAsia="Times New Roman" w:cs="Times New Roman"/>
                <w:sz w:val="20"/>
                <w:szCs w:val="20"/>
              </w:rPr>
            </w:pPr>
            <w:r w:rsidRPr="00432C28">
              <w:rPr>
                <w:rFonts w:eastAsia="Times New Roman" w:cs="Times New Roman"/>
                <w:sz w:val="20"/>
                <w:szCs w:val="20"/>
              </w:rPr>
              <w:t xml:space="preserve">All </w:t>
            </w:r>
            <w:r w:rsidR="00DC50FB" w:rsidRPr="00432C28">
              <w:rPr>
                <w:rFonts w:eastAsia="Times New Roman" w:cs="Times New Roman"/>
                <w:sz w:val="20"/>
                <w:szCs w:val="20"/>
              </w:rPr>
              <w:t xml:space="preserve">lost opportunity </w:t>
            </w:r>
            <w:r w:rsidRPr="00432C28">
              <w:rPr>
                <w:rFonts w:eastAsia="Times New Roman" w:cs="Times New Roman"/>
                <w:sz w:val="20"/>
                <w:szCs w:val="20"/>
              </w:rPr>
              <w:t xml:space="preserve">savings were calculated based on existing </w:t>
            </w:r>
            <w:r w:rsidRPr="00432C28">
              <w:rPr>
                <w:rFonts w:eastAsia="Times New Roman" w:cs="Times New Roman"/>
                <w:i/>
                <w:iCs/>
                <w:sz w:val="20"/>
                <w:szCs w:val="20"/>
              </w:rPr>
              <w:t>codes and standards</w:t>
            </w:r>
            <w:r w:rsidRPr="00432C28">
              <w:rPr>
                <w:rFonts w:eastAsia="Times New Roman" w:cs="Times New Roman"/>
                <w:sz w:val="20"/>
                <w:szCs w:val="20"/>
              </w:rPr>
              <w:t xml:space="preserve">, and not existing </w:t>
            </w:r>
            <w:r w:rsidRPr="00432C28">
              <w:rPr>
                <w:rFonts w:eastAsia="Times New Roman" w:cs="Times New Roman"/>
                <w:i/>
                <w:iCs/>
                <w:sz w:val="20"/>
                <w:szCs w:val="20"/>
              </w:rPr>
              <w:t xml:space="preserve">stock </w:t>
            </w:r>
            <w:r w:rsidRPr="00432C28">
              <w:rPr>
                <w:rFonts w:eastAsia="Times New Roman" w:cs="Times New Roman"/>
                <w:sz w:val="20"/>
                <w:szCs w:val="20"/>
              </w:rPr>
              <w:t>characteristics.</w:t>
            </w:r>
          </w:p>
        </w:tc>
      </w:tr>
      <w:tr w:rsidR="00F7709B" w:rsidRPr="00432C28">
        <w:trPr>
          <w:trHeight w:val="600"/>
        </w:trPr>
        <w:tc>
          <w:tcPr>
            <w:tcW w:w="0" w:type="auto"/>
            <w:vMerge/>
            <w:tcBorders>
              <w:top w:val="nil"/>
              <w:left w:val="single" w:sz="4" w:space="0" w:color="auto"/>
              <w:bottom w:val="single" w:sz="4" w:space="0" w:color="auto"/>
              <w:right w:val="single" w:sz="4" w:space="0" w:color="auto"/>
            </w:tcBorders>
            <w:vAlign w:val="center"/>
          </w:tcPr>
          <w:p w:rsidR="00F7709B" w:rsidRPr="00432C28" w:rsidRDefault="00F7709B" w:rsidP="00F7709B">
            <w:pPr>
              <w:rPr>
                <w:rFonts w:eastAsia="Times New Roman" w:cs="Times New Roman"/>
                <w:sz w:val="20"/>
                <w:szCs w:val="20"/>
              </w:rPr>
            </w:pPr>
          </w:p>
        </w:tc>
        <w:tc>
          <w:tcPr>
            <w:tcW w:w="4107" w:type="dxa"/>
            <w:tcBorders>
              <w:top w:val="nil"/>
              <w:left w:val="nil"/>
              <w:bottom w:val="single" w:sz="4" w:space="0" w:color="auto"/>
              <w:right w:val="single" w:sz="4" w:space="0" w:color="auto"/>
            </w:tcBorders>
            <w:shd w:val="clear" w:color="auto" w:fill="auto"/>
            <w:vAlign w:val="bottom"/>
          </w:tcPr>
          <w:p w:rsidR="00F7709B" w:rsidRPr="00432C28" w:rsidRDefault="00F7709B" w:rsidP="00F54846">
            <w:pPr>
              <w:ind w:firstLineChars="600" w:firstLine="1200"/>
              <w:rPr>
                <w:rFonts w:eastAsia="Times New Roman" w:cs="Times New Roman"/>
                <w:sz w:val="20"/>
                <w:szCs w:val="20"/>
              </w:rPr>
            </w:pPr>
            <w:r w:rsidRPr="00432C28">
              <w:rPr>
                <w:rFonts w:eastAsia="Times New Roman" w:cs="Times New Roman"/>
                <w:sz w:val="20"/>
                <w:szCs w:val="20"/>
              </w:rPr>
              <w:t>(c)    Climate - heating, cooling degree days and solar availability</w:t>
            </w:r>
          </w:p>
        </w:tc>
        <w:tc>
          <w:tcPr>
            <w:tcW w:w="3978" w:type="dxa"/>
            <w:tcBorders>
              <w:top w:val="nil"/>
              <w:left w:val="nil"/>
              <w:bottom w:val="single" w:sz="4" w:space="0" w:color="auto"/>
              <w:right w:val="single" w:sz="4" w:space="0" w:color="auto"/>
            </w:tcBorders>
            <w:shd w:val="clear" w:color="auto" w:fill="auto"/>
            <w:vAlign w:val="bottom"/>
          </w:tcPr>
          <w:p w:rsidR="00F7709B" w:rsidRPr="00432C28" w:rsidRDefault="00F7709B" w:rsidP="00DC50FB">
            <w:pPr>
              <w:rPr>
                <w:rFonts w:eastAsia="Times New Roman" w:cs="Times New Roman"/>
                <w:sz w:val="20"/>
                <w:szCs w:val="20"/>
              </w:rPr>
            </w:pPr>
            <w:r w:rsidRPr="00432C28">
              <w:rPr>
                <w:rFonts w:eastAsia="Times New Roman" w:cs="Times New Roman"/>
                <w:sz w:val="20"/>
                <w:szCs w:val="20"/>
              </w:rPr>
              <w:t>All analyses were based on typical meteorological year (TMY) data</w:t>
            </w:r>
            <w:r w:rsidR="00DC50FB" w:rsidRPr="00432C28">
              <w:rPr>
                <w:rFonts w:eastAsia="Times New Roman" w:cs="Times New Roman"/>
                <w:sz w:val="20"/>
                <w:szCs w:val="20"/>
              </w:rPr>
              <w:t xml:space="preserve"> specific to the Company’s service territory.</w:t>
            </w:r>
            <w:r w:rsidRPr="00432C28">
              <w:rPr>
                <w:rFonts w:eastAsia="Times New Roman" w:cs="Times New Roman"/>
                <w:sz w:val="20"/>
                <w:szCs w:val="20"/>
              </w:rPr>
              <w:t>.</w:t>
            </w:r>
          </w:p>
        </w:tc>
      </w:tr>
      <w:tr w:rsidR="00F7709B" w:rsidRPr="00432C28">
        <w:trPr>
          <w:trHeight w:val="900"/>
        </w:trPr>
        <w:tc>
          <w:tcPr>
            <w:tcW w:w="0" w:type="auto"/>
            <w:vMerge/>
            <w:tcBorders>
              <w:top w:val="nil"/>
              <w:left w:val="single" w:sz="4" w:space="0" w:color="auto"/>
              <w:bottom w:val="single" w:sz="4" w:space="0" w:color="auto"/>
              <w:right w:val="single" w:sz="4" w:space="0" w:color="auto"/>
            </w:tcBorders>
            <w:vAlign w:val="center"/>
          </w:tcPr>
          <w:p w:rsidR="00F7709B" w:rsidRPr="00432C28" w:rsidRDefault="00F7709B" w:rsidP="00F7709B">
            <w:pPr>
              <w:rPr>
                <w:rFonts w:eastAsia="Times New Roman" w:cs="Times New Roman"/>
                <w:sz w:val="20"/>
                <w:szCs w:val="20"/>
              </w:rPr>
            </w:pPr>
          </w:p>
        </w:tc>
        <w:tc>
          <w:tcPr>
            <w:tcW w:w="4107" w:type="dxa"/>
            <w:tcBorders>
              <w:top w:val="nil"/>
              <w:left w:val="nil"/>
              <w:bottom w:val="single" w:sz="4" w:space="0" w:color="auto"/>
              <w:right w:val="single" w:sz="4" w:space="0" w:color="auto"/>
            </w:tcBorders>
            <w:shd w:val="clear" w:color="auto" w:fill="auto"/>
            <w:vAlign w:val="bottom"/>
          </w:tcPr>
          <w:p w:rsidR="00F7709B" w:rsidRPr="00432C28" w:rsidRDefault="00F7709B" w:rsidP="00F54846">
            <w:pPr>
              <w:ind w:firstLineChars="600" w:firstLine="1200"/>
              <w:rPr>
                <w:rFonts w:eastAsia="Times New Roman" w:cs="Times New Roman"/>
                <w:sz w:val="20"/>
                <w:szCs w:val="20"/>
              </w:rPr>
            </w:pPr>
            <w:r w:rsidRPr="00432C28">
              <w:rPr>
                <w:rFonts w:eastAsia="Times New Roman" w:cs="Times New Roman"/>
                <w:sz w:val="20"/>
                <w:szCs w:val="20"/>
              </w:rPr>
              <w:t>(d)    Measure interactions (e.g. lighting and HVAC, duct sealing and heat pump performance, heat pump conversion and weatherization savings)</w:t>
            </w:r>
          </w:p>
        </w:tc>
        <w:tc>
          <w:tcPr>
            <w:tcW w:w="3978" w:type="dxa"/>
            <w:tcBorders>
              <w:top w:val="nil"/>
              <w:left w:val="nil"/>
              <w:bottom w:val="single" w:sz="4" w:space="0" w:color="auto"/>
              <w:right w:val="single" w:sz="4" w:space="0" w:color="auto"/>
            </w:tcBorders>
            <w:shd w:val="clear" w:color="auto" w:fill="auto"/>
            <w:vAlign w:val="bottom"/>
          </w:tcPr>
          <w:p w:rsidR="00F7709B" w:rsidRPr="00432C28" w:rsidRDefault="00F7709B" w:rsidP="00F7709B">
            <w:pPr>
              <w:rPr>
                <w:rFonts w:eastAsia="Times New Roman" w:cs="Times New Roman"/>
                <w:sz w:val="20"/>
                <w:szCs w:val="20"/>
              </w:rPr>
            </w:pPr>
            <w:r w:rsidRPr="00432C28">
              <w:rPr>
                <w:rFonts w:eastAsia="Times New Roman" w:cs="Times New Roman"/>
                <w:sz w:val="20"/>
                <w:szCs w:val="20"/>
              </w:rPr>
              <w:t>Technical measure interactions were taken into account.</w:t>
            </w:r>
          </w:p>
        </w:tc>
      </w:tr>
      <w:tr w:rsidR="00F7709B" w:rsidRPr="00432C28">
        <w:trPr>
          <w:trHeight w:val="144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7709B" w:rsidRPr="00432C28" w:rsidRDefault="00F7709B" w:rsidP="00F7709B">
            <w:pPr>
              <w:rPr>
                <w:rFonts w:eastAsia="Times New Roman" w:cs="Times New Roman"/>
                <w:b/>
                <w:bCs/>
                <w:sz w:val="20"/>
                <w:szCs w:val="20"/>
              </w:rPr>
            </w:pPr>
            <w:r w:rsidRPr="00432C28">
              <w:rPr>
                <w:rFonts w:eastAsia="Times New Roman" w:cs="Times New Roman"/>
                <w:b/>
                <w:bCs/>
                <w:sz w:val="20"/>
                <w:szCs w:val="20"/>
              </w:rPr>
              <w:t>3) Economic Potential - Ranking Based on Resource Valuation</w:t>
            </w:r>
          </w:p>
        </w:tc>
        <w:tc>
          <w:tcPr>
            <w:tcW w:w="4107" w:type="dxa"/>
            <w:tcBorders>
              <w:top w:val="single" w:sz="4" w:space="0" w:color="auto"/>
              <w:left w:val="nil"/>
              <w:bottom w:val="single" w:sz="4" w:space="0" w:color="auto"/>
              <w:right w:val="single" w:sz="4" w:space="0" w:color="auto"/>
            </w:tcBorders>
            <w:shd w:val="clear" w:color="auto" w:fill="auto"/>
            <w:vAlign w:val="bottom"/>
          </w:tcPr>
          <w:p w:rsidR="00F7709B" w:rsidRPr="00432C28" w:rsidRDefault="00F7709B" w:rsidP="00F7709B">
            <w:pPr>
              <w:rPr>
                <w:rFonts w:eastAsia="Times New Roman" w:cs="Times New Roman"/>
                <w:sz w:val="20"/>
                <w:szCs w:val="20"/>
              </w:rPr>
            </w:pPr>
            <w:r w:rsidRPr="00432C28">
              <w:rPr>
                <w:rFonts w:eastAsia="Times New Roman" w:cs="Times New Roman"/>
                <w:sz w:val="20"/>
                <w:szCs w:val="20"/>
              </w:rPr>
              <w:t>a)      Total Resource Cost (TRC) is the criterion for economic screening - TRC includes all cost and benefits of measure, regardless of who pays for or receives them.</w:t>
            </w:r>
          </w:p>
        </w:tc>
        <w:tc>
          <w:tcPr>
            <w:tcW w:w="3978" w:type="dxa"/>
            <w:vMerge w:val="restart"/>
            <w:tcBorders>
              <w:top w:val="single" w:sz="4" w:space="0" w:color="auto"/>
              <w:left w:val="nil"/>
              <w:bottom w:val="single" w:sz="4" w:space="0" w:color="auto"/>
              <w:right w:val="single" w:sz="4" w:space="0" w:color="auto"/>
            </w:tcBorders>
            <w:shd w:val="clear" w:color="auto" w:fill="auto"/>
            <w:noWrap/>
            <w:vAlign w:val="bottom"/>
          </w:tcPr>
          <w:p w:rsidR="00F7709B" w:rsidRPr="00432C28" w:rsidRDefault="00F7709B" w:rsidP="00A806BA">
            <w:pPr>
              <w:rPr>
                <w:rFonts w:eastAsia="Times New Roman" w:cs="Times New Roman"/>
                <w:color w:val="333399"/>
                <w:sz w:val="20"/>
                <w:szCs w:val="20"/>
              </w:rPr>
            </w:pPr>
            <w:r w:rsidRPr="00432C28">
              <w:rPr>
                <w:rFonts w:eastAsia="Times New Roman" w:cs="Times New Roman"/>
                <w:sz w:val="20"/>
                <w:szCs w:val="20"/>
              </w:rPr>
              <w:t xml:space="preserve">Total Resource Cost </w:t>
            </w:r>
            <w:r w:rsidR="00DC50FB" w:rsidRPr="00432C28">
              <w:rPr>
                <w:rFonts w:eastAsia="Times New Roman" w:cs="Times New Roman"/>
                <w:sz w:val="20"/>
                <w:szCs w:val="20"/>
              </w:rPr>
              <w:t xml:space="preserve">levelized cost of conserved energy </w:t>
            </w:r>
            <w:r w:rsidRPr="00432C28">
              <w:rPr>
                <w:rFonts w:eastAsia="Times New Roman" w:cs="Times New Roman"/>
                <w:sz w:val="20"/>
                <w:szCs w:val="20"/>
              </w:rPr>
              <w:t>is the criterion for economic screening in the 201</w:t>
            </w:r>
            <w:r w:rsidR="00DC50FB" w:rsidRPr="00432C28">
              <w:rPr>
                <w:rFonts w:eastAsia="Times New Roman" w:cs="Times New Roman"/>
                <w:sz w:val="20"/>
                <w:szCs w:val="20"/>
              </w:rPr>
              <w:t>3</w:t>
            </w:r>
            <w:r w:rsidRPr="00432C28">
              <w:rPr>
                <w:rFonts w:eastAsia="Times New Roman" w:cs="Times New Roman"/>
                <w:sz w:val="20"/>
                <w:szCs w:val="20"/>
              </w:rPr>
              <w:t xml:space="preserve"> IRP and included cost reduction credits for risk mitigation, transmission and distribution investment deferred benefits, environmental benefits and the 10% regional act credit. </w:t>
            </w:r>
          </w:p>
        </w:tc>
      </w:tr>
      <w:tr w:rsidR="00F7709B" w:rsidRPr="00432C28">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F7709B" w:rsidRPr="00432C28" w:rsidRDefault="00F7709B" w:rsidP="00F7709B">
            <w:pPr>
              <w:rPr>
                <w:rFonts w:eastAsia="Times New Roman" w:cs="Times New Roman"/>
                <w:sz w:val="20"/>
                <w:szCs w:val="20"/>
              </w:rPr>
            </w:pPr>
            <w:r w:rsidRPr="00432C28">
              <w:rPr>
                <w:rFonts w:eastAsia="Times New Roman" w:cs="Times New Roman"/>
                <w:sz w:val="20"/>
                <w:szCs w:val="20"/>
              </w:rPr>
              <w:t> </w:t>
            </w:r>
          </w:p>
        </w:tc>
        <w:tc>
          <w:tcPr>
            <w:tcW w:w="4107" w:type="dxa"/>
            <w:tcBorders>
              <w:top w:val="single" w:sz="4" w:space="0" w:color="auto"/>
              <w:left w:val="nil"/>
              <w:bottom w:val="single" w:sz="4" w:space="0" w:color="auto"/>
              <w:right w:val="single" w:sz="4" w:space="0" w:color="auto"/>
            </w:tcBorders>
            <w:shd w:val="clear" w:color="auto" w:fill="auto"/>
            <w:noWrap/>
            <w:vAlign w:val="bottom"/>
          </w:tcPr>
          <w:p w:rsidR="00F7709B" w:rsidRPr="00432C28" w:rsidRDefault="00F7709B" w:rsidP="00F54846">
            <w:pPr>
              <w:ind w:firstLineChars="300" w:firstLine="600"/>
              <w:rPr>
                <w:rFonts w:eastAsia="Times New Roman" w:cs="Times New Roman"/>
                <w:sz w:val="20"/>
                <w:szCs w:val="20"/>
              </w:rPr>
            </w:pPr>
            <w:r w:rsidRPr="00432C28">
              <w:rPr>
                <w:rFonts w:eastAsia="Times New Roman" w:cs="Times New Roman"/>
                <w:sz w:val="20"/>
                <w:szCs w:val="20"/>
              </w:rPr>
              <w:t xml:space="preserve">i)         TRC B/C Ratio </w:t>
            </w:r>
            <w:r w:rsidRPr="00432C28">
              <w:rPr>
                <w:rFonts w:eastAsia="Times New Roman" w:cs="Times New Roman"/>
                <w:sz w:val="20"/>
                <w:szCs w:val="20"/>
                <w:u w:val="single"/>
              </w:rPr>
              <w:t>&gt;</w:t>
            </w:r>
            <w:r w:rsidRPr="00432C28">
              <w:rPr>
                <w:rFonts w:eastAsia="Times New Roman" w:cs="Times New Roman"/>
                <w:sz w:val="20"/>
                <w:szCs w:val="20"/>
              </w:rPr>
              <w:t xml:space="preserve"> = 1.0 </w:t>
            </w:r>
          </w:p>
        </w:tc>
        <w:tc>
          <w:tcPr>
            <w:tcW w:w="3978" w:type="dxa"/>
            <w:vMerge/>
            <w:tcBorders>
              <w:top w:val="single" w:sz="4" w:space="0" w:color="auto"/>
              <w:left w:val="single" w:sz="4" w:space="0" w:color="auto"/>
              <w:right w:val="single" w:sz="4" w:space="0" w:color="auto"/>
            </w:tcBorders>
            <w:shd w:val="clear" w:color="auto" w:fill="auto"/>
            <w:vAlign w:val="center"/>
          </w:tcPr>
          <w:p w:rsidR="00F7709B" w:rsidRPr="00432C28" w:rsidRDefault="00F7709B" w:rsidP="00F7709B">
            <w:pPr>
              <w:rPr>
                <w:rFonts w:eastAsia="Times New Roman" w:cs="Times New Roman"/>
                <w:sz w:val="20"/>
                <w:szCs w:val="20"/>
              </w:rPr>
            </w:pPr>
          </w:p>
        </w:tc>
      </w:tr>
      <w:tr w:rsidR="00F7709B" w:rsidRPr="00432C28">
        <w:trPr>
          <w:trHeight w:val="1800"/>
        </w:trPr>
        <w:tc>
          <w:tcPr>
            <w:tcW w:w="0" w:type="auto"/>
            <w:vMerge/>
            <w:tcBorders>
              <w:top w:val="nil"/>
              <w:left w:val="single" w:sz="4" w:space="0" w:color="auto"/>
              <w:bottom w:val="single" w:sz="4" w:space="0" w:color="auto"/>
              <w:right w:val="single" w:sz="4" w:space="0" w:color="auto"/>
            </w:tcBorders>
            <w:vAlign w:val="center"/>
          </w:tcPr>
          <w:p w:rsidR="00F7709B" w:rsidRPr="00432C28" w:rsidRDefault="00F7709B" w:rsidP="00F7709B">
            <w:pPr>
              <w:rPr>
                <w:rFonts w:eastAsia="Times New Roman" w:cs="Times New Roman"/>
                <w:sz w:val="20"/>
                <w:szCs w:val="20"/>
              </w:rPr>
            </w:pPr>
          </w:p>
        </w:tc>
        <w:tc>
          <w:tcPr>
            <w:tcW w:w="4107" w:type="dxa"/>
            <w:tcBorders>
              <w:top w:val="nil"/>
              <w:left w:val="nil"/>
              <w:bottom w:val="single" w:sz="4" w:space="0" w:color="auto"/>
              <w:right w:val="single" w:sz="4" w:space="0" w:color="auto"/>
            </w:tcBorders>
            <w:shd w:val="clear" w:color="auto" w:fill="auto"/>
            <w:vAlign w:val="bottom"/>
          </w:tcPr>
          <w:p w:rsidR="00F7709B" w:rsidRPr="00432C28" w:rsidRDefault="00F7709B" w:rsidP="00F54846">
            <w:pPr>
              <w:ind w:firstLineChars="300" w:firstLine="600"/>
              <w:rPr>
                <w:rFonts w:eastAsia="Times New Roman" w:cs="Times New Roman"/>
                <w:sz w:val="20"/>
                <w:szCs w:val="20"/>
              </w:rPr>
            </w:pPr>
            <w:r w:rsidRPr="00432C28">
              <w:rPr>
                <w:rFonts w:eastAsia="Times New Roman" w:cs="Times New Roman"/>
                <w:sz w:val="20"/>
                <w:szCs w:val="20"/>
              </w:rPr>
              <w:t xml:space="preserve">ii)       Levelized cost of conserved energy (CCE) </w:t>
            </w:r>
            <w:r w:rsidRPr="00432C28">
              <w:rPr>
                <w:rFonts w:eastAsia="Times New Roman" w:cs="Times New Roman"/>
                <w:sz w:val="20"/>
                <w:szCs w:val="20"/>
                <w:u w:val="single"/>
              </w:rPr>
              <w:t>&lt;</w:t>
            </w:r>
            <w:r w:rsidRPr="00432C28">
              <w:rPr>
                <w:rFonts w:eastAsia="Times New Roman" w:cs="Times New Roman"/>
                <w:sz w:val="20"/>
                <w:szCs w:val="20"/>
              </w:rPr>
              <w:t xml:space="preserve"> levelized avoided cost for the load shape of the savings may substitute for TRC if “CCE” is adjusted to account for “non-kWh” benefits, including deferred T&amp;D, non-energy benefits, environmental benefits and Act’s 10% conservation credit  </w:t>
            </w:r>
          </w:p>
        </w:tc>
        <w:tc>
          <w:tcPr>
            <w:tcW w:w="3978" w:type="dxa"/>
            <w:vMerge/>
            <w:tcBorders>
              <w:left w:val="single" w:sz="4" w:space="0" w:color="auto"/>
              <w:bottom w:val="single" w:sz="4" w:space="0" w:color="auto"/>
              <w:right w:val="single" w:sz="4" w:space="0" w:color="auto"/>
            </w:tcBorders>
            <w:vAlign w:val="center"/>
          </w:tcPr>
          <w:p w:rsidR="00F7709B" w:rsidRPr="00432C28" w:rsidRDefault="00F7709B" w:rsidP="00F7709B">
            <w:pPr>
              <w:rPr>
                <w:rFonts w:eastAsia="Times New Roman" w:cs="Times New Roman"/>
                <w:sz w:val="20"/>
                <w:szCs w:val="20"/>
              </w:rPr>
            </w:pPr>
          </w:p>
        </w:tc>
      </w:tr>
      <w:tr w:rsidR="00F7709B" w:rsidRPr="00432C28">
        <w:trPr>
          <w:trHeight w:val="300"/>
        </w:trPr>
        <w:tc>
          <w:tcPr>
            <w:tcW w:w="0" w:type="auto"/>
            <w:vMerge/>
            <w:tcBorders>
              <w:top w:val="nil"/>
              <w:left w:val="single" w:sz="4" w:space="0" w:color="auto"/>
              <w:bottom w:val="single" w:sz="4" w:space="0" w:color="auto"/>
              <w:right w:val="single" w:sz="4" w:space="0" w:color="auto"/>
            </w:tcBorders>
            <w:vAlign w:val="center"/>
          </w:tcPr>
          <w:p w:rsidR="00F7709B" w:rsidRPr="00432C28" w:rsidRDefault="00F7709B" w:rsidP="00F7709B">
            <w:pPr>
              <w:rPr>
                <w:rFonts w:eastAsia="Times New Roman" w:cs="Times New Roman"/>
                <w:sz w:val="20"/>
                <w:szCs w:val="20"/>
              </w:rPr>
            </w:pPr>
          </w:p>
        </w:tc>
        <w:tc>
          <w:tcPr>
            <w:tcW w:w="4107" w:type="dxa"/>
            <w:tcBorders>
              <w:top w:val="nil"/>
              <w:left w:val="nil"/>
              <w:bottom w:val="single" w:sz="4" w:space="0" w:color="auto"/>
              <w:right w:val="single" w:sz="4" w:space="0" w:color="auto"/>
            </w:tcBorders>
            <w:shd w:val="clear" w:color="auto" w:fill="auto"/>
            <w:noWrap/>
            <w:vAlign w:val="bottom"/>
          </w:tcPr>
          <w:p w:rsidR="00F7709B" w:rsidRPr="00432C28" w:rsidRDefault="00F7709B" w:rsidP="00F7709B">
            <w:pPr>
              <w:rPr>
                <w:rFonts w:eastAsia="Times New Roman" w:cs="Times New Roman"/>
                <w:sz w:val="20"/>
                <w:szCs w:val="20"/>
              </w:rPr>
            </w:pPr>
            <w:r w:rsidRPr="00432C28">
              <w:rPr>
                <w:rFonts w:eastAsia="Times New Roman" w:cs="Times New Roman"/>
                <w:sz w:val="20"/>
                <w:szCs w:val="20"/>
              </w:rPr>
              <w:t>b)      Methodology</w:t>
            </w:r>
          </w:p>
        </w:tc>
        <w:tc>
          <w:tcPr>
            <w:tcW w:w="3978" w:type="dxa"/>
            <w:tcBorders>
              <w:top w:val="nil"/>
              <w:left w:val="nil"/>
              <w:bottom w:val="single" w:sz="4" w:space="0" w:color="auto"/>
              <w:right w:val="single" w:sz="4" w:space="0" w:color="auto"/>
            </w:tcBorders>
            <w:shd w:val="clear" w:color="auto" w:fill="auto"/>
            <w:vAlign w:val="bottom"/>
          </w:tcPr>
          <w:p w:rsidR="00F7709B" w:rsidRPr="00432C28" w:rsidRDefault="00F7709B" w:rsidP="00F7709B">
            <w:pPr>
              <w:rPr>
                <w:rFonts w:eastAsia="Times New Roman" w:cs="Times New Roman"/>
                <w:sz w:val="20"/>
                <w:szCs w:val="20"/>
              </w:rPr>
            </w:pPr>
            <w:r w:rsidRPr="00432C28">
              <w:rPr>
                <w:rFonts w:eastAsia="Times New Roman" w:cs="Times New Roman"/>
                <w:sz w:val="20"/>
                <w:szCs w:val="20"/>
              </w:rPr>
              <w:t> </w:t>
            </w:r>
          </w:p>
        </w:tc>
      </w:tr>
      <w:tr w:rsidR="00F7709B" w:rsidRPr="00432C28">
        <w:trPr>
          <w:trHeight w:val="900"/>
        </w:trPr>
        <w:tc>
          <w:tcPr>
            <w:tcW w:w="0" w:type="auto"/>
            <w:vMerge/>
            <w:tcBorders>
              <w:top w:val="nil"/>
              <w:left w:val="single" w:sz="4" w:space="0" w:color="auto"/>
              <w:bottom w:val="single" w:sz="4" w:space="0" w:color="auto"/>
              <w:right w:val="single" w:sz="4" w:space="0" w:color="auto"/>
            </w:tcBorders>
            <w:vAlign w:val="center"/>
          </w:tcPr>
          <w:p w:rsidR="00F7709B" w:rsidRPr="00432C28" w:rsidRDefault="00F7709B" w:rsidP="00F7709B">
            <w:pPr>
              <w:rPr>
                <w:rFonts w:eastAsia="Times New Roman" w:cs="Times New Roman"/>
                <w:sz w:val="20"/>
                <w:szCs w:val="20"/>
              </w:rPr>
            </w:pPr>
          </w:p>
        </w:tc>
        <w:tc>
          <w:tcPr>
            <w:tcW w:w="4107" w:type="dxa"/>
            <w:tcBorders>
              <w:top w:val="nil"/>
              <w:left w:val="nil"/>
              <w:bottom w:val="single" w:sz="4" w:space="0" w:color="auto"/>
              <w:right w:val="single" w:sz="4" w:space="0" w:color="auto"/>
            </w:tcBorders>
            <w:shd w:val="clear" w:color="auto" w:fill="auto"/>
            <w:vAlign w:val="bottom"/>
          </w:tcPr>
          <w:p w:rsidR="00F7709B" w:rsidRPr="00432C28" w:rsidRDefault="00F7709B" w:rsidP="00F54846">
            <w:pPr>
              <w:ind w:firstLineChars="300" w:firstLine="600"/>
              <w:rPr>
                <w:rFonts w:eastAsia="Times New Roman" w:cs="Times New Roman"/>
                <w:sz w:val="20"/>
                <w:szCs w:val="20"/>
              </w:rPr>
            </w:pPr>
            <w:r w:rsidRPr="00432C28">
              <w:rPr>
                <w:rFonts w:eastAsia="Times New Roman" w:cs="Times New Roman"/>
                <w:sz w:val="20"/>
                <w:szCs w:val="20"/>
              </w:rPr>
              <w:t>i)        Energy and capacity value (i.e., benefit) of savings based on avoided cost of future wholesale market purchases (forward price curves)</w:t>
            </w:r>
          </w:p>
        </w:tc>
        <w:tc>
          <w:tcPr>
            <w:tcW w:w="3978" w:type="dxa"/>
            <w:vMerge w:val="restart"/>
            <w:tcBorders>
              <w:top w:val="nil"/>
              <w:left w:val="single" w:sz="4" w:space="0" w:color="auto"/>
              <w:bottom w:val="single" w:sz="4" w:space="0" w:color="auto"/>
              <w:right w:val="single" w:sz="4" w:space="0" w:color="auto"/>
            </w:tcBorders>
            <w:shd w:val="clear" w:color="auto" w:fill="auto"/>
            <w:vAlign w:val="center"/>
          </w:tcPr>
          <w:p w:rsidR="00F7709B" w:rsidRPr="00432C28" w:rsidRDefault="00F7709B" w:rsidP="00F7709B">
            <w:pPr>
              <w:rPr>
                <w:rFonts w:eastAsia="Times New Roman" w:cs="Times New Roman"/>
                <w:sz w:val="20"/>
                <w:szCs w:val="20"/>
              </w:rPr>
            </w:pPr>
            <w:r w:rsidRPr="00432C28">
              <w:rPr>
                <w:rFonts w:eastAsia="Times New Roman" w:cs="Times New Roman"/>
                <w:sz w:val="20"/>
                <w:szCs w:val="20"/>
              </w:rPr>
              <w:t>PacifiCorp used full energy and capacity avoided costs in its calculation of measure benefits, based on PacifiCorp's system avoided cost decrements.</w:t>
            </w:r>
          </w:p>
        </w:tc>
      </w:tr>
      <w:tr w:rsidR="00F7709B" w:rsidRPr="00432C28">
        <w:trPr>
          <w:trHeight w:val="900"/>
        </w:trPr>
        <w:tc>
          <w:tcPr>
            <w:tcW w:w="0" w:type="auto"/>
            <w:vMerge/>
            <w:tcBorders>
              <w:top w:val="nil"/>
              <w:left w:val="single" w:sz="4" w:space="0" w:color="auto"/>
              <w:bottom w:val="single" w:sz="4" w:space="0" w:color="auto"/>
              <w:right w:val="single" w:sz="4" w:space="0" w:color="auto"/>
            </w:tcBorders>
            <w:vAlign w:val="center"/>
          </w:tcPr>
          <w:p w:rsidR="00F7709B" w:rsidRPr="00432C28" w:rsidRDefault="00F7709B" w:rsidP="00F7709B">
            <w:pPr>
              <w:rPr>
                <w:rFonts w:eastAsia="Times New Roman" w:cs="Times New Roman"/>
                <w:sz w:val="20"/>
                <w:szCs w:val="20"/>
              </w:rPr>
            </w:pPr>
          </w:p>
        </w:tc>
        <w:tc>
          <w:tcPr>
            <w:tcW w:w="4107" w:type="dxa"/>
            <w:tcBorders>
              <w:top w:val="nil"/>
              <w:left w:val="nil"/>
              <w:bottom w:val="single" w:sz="4" w:space="0" w:color="auto"/>
              <w:right w:val="single" w:sz="4" w:space="0" w:color="auto"/>
            </w:tcBorders>
            <w:shd w:val="clear" w:color="auto" w:fill="auto"/>
            <w:vAlign w:val="bottom"/>
          </w:tcPr>
          <w:p w:rsidR="00F7709B" w:rsidRPr="00432C28" w:rsidRDefault="00F7709B" w:rsidP="00F54846">
            <w:pPr>
              <w:ind w:firstLineChars="300" w:firstLine="600"/>
              <w:rPr>
                <w:rFonts w:eastAsia="Times New Roman" w:cs="Times New Roman"/>
                <w:sz w:val="20"/>
                <w:szCs w:val="20"/>
              </w:rPr>
            </w:pPr>
            <w:r w:rsidRPr="00432C28">
              <w:rPr>
                <w:rFonts w:eastAsia="Times New Roman" w:cs="Times New Roman"/>
                <w:sz w:val="20"/>
                <w:szCs w:val="20"/>
              </w:rPr>
              <w:t>ii)       Energy and capacity value accounts for shape of savings (i.e., uses time and seasonally differentiated avoided costs and measure savings)   </w:t>
            </w:r>
          </w:p>
        </w:tc>
        <w:tc>
          <w:tcPr>
            <w:tcW w:w="3978" w:type="dxa"/>
            <w:vMerge/>
            <w:tcBorders>
              <w:top w:val="nil"/>
              <w:left w:val="single" w:sz="4" w:space="0" w:color="auto"/>
              <w:bottom w:val="single" w:sz="4" w:space="0" w:color="auto"/>
              <w:right w:val="single" w:sz="4" w:space="0" w:color="auto"/>
            </w:tcBorders>
            <w:vAlign w:val="center"/>
          </w:tcPr>
          <w:p w:rsidR="00F7709B" w:rsidRPr="00432C28" w:rsidRDefault="00F7709B" w:rsidP="00F7709B">
            <w:pPr>
              <w:rPr>
                <w:rFonts w:eastAsia="Times New Roman" w:cs="Times New Roman"/>
                <w:sz w:val="20"/>
                <w:szCs w:val="20"/>
              </w:rPr>
            </w:pPr>
          </w:p>
        </w:tc>
      </w:tr>
      <w:tr w:rsidR="00F7709B" w:rsidRPr="00432C28">
        <w:trPr>
          <w:trHeight w:val="1200"/>
        </w:trPr>
        <w:tc>
          <w:tcPr>
            <w:tcW w:w="0" w:type="auto"/>
            <w:vMerge/>
            <w:tcBorders>
              <w:top w:val="nil"/>
              <w:left w:val="single" w:sz="4" w:space="0" w:color="auto"/>
              <w:bottom w:val="single" w:sz="4" w:space="0" w:color="auto"/>
              <w:right w:val="single" w:sz="4" w:space="0" w:color="auto"/>
            </w:tcBorders>
            <w:vAlign w:val="center"/>
          </w:tcPr>
          <w:p w:rsidR="00F7709B" w:rsidRPr="00432C28" w:rsidRDefault="00F7709B" w:rsidP="00F7709B">
            <w:pPr>
              <w:rPr>
                <w:rFonts w:eastAsia="Times New Roman" w:cs="Times New Roman"/>
                <w:sz w:val="20"/>
                <w:szCs w:val="20"/>
              </w:rPr>
            </w:pPr>
          </w:p>
        </w:tc>
        <w:tc>
          <w:tcPr>
            <w:tcW w:w="4107" w:type="dxa"/>
            <w:tcBorders>
              <w:top w:val="nil"/>
              <w:left w:val="nil"/>
              <w:bottom w:val="single" w:sz="4" w:space="0" w:color="auto"/>
              <w:right w:val="single" w:sz="4" w:space="0" w:color="auto"/>
            </w:tcBorders>
            <w:shd w:val="clear" w:color="auto" w:fill="auto"/>
            <w:vAlign w:val="bottom"/>
          </w:tcPr>
          <w:p w:rsidR="00F7709B" w:rsidRPr="00432C28" w:rsidRDefault="00F7709B" w:rsidP="00F54846">
            <w:pPr>
              <w:ind w:firstLineChars="300" w:firstLine="600"/>
              <w:rPr>
                <w:rFonts w:eastAsia="Times New Roman" w:cs="Times New Roman"/>
                <w:sz w:val="20"/>
                <w:szCs w:val="20"/>
              </w:rPr>
            </w:pPr>
            <w:r w:rsidRPr="00432C28">
              <w:rPr>
                <w:rFonts w:eastAsia="Times New Roman" w:cs="Times New Roman"/>
                <w:sz w:val="20"/>
                <w:szCs w:val="20"/>
              </w:rPr>
              <w:t>iii)     Uncertainties in future market prices are accounted for by performing valuation under wide range of future market price scenario during Integrated Resource Planning process (See 4.1)</w:t>
            </w:r>
          </w:p>
        </w:tc>
        <w:tc>
          <w:tcPr>
            <w:tcW w:w="3978" w:type="dxa"/>
            <w:vMerge w:val="restart"/>
            <w:tcBorders>
              <w:top w:val="nil"/>
              <w:left w:val="single" w:sz="4" w:space="0" w:color="auto"/>
              <w:bottom w:val="single" w:sz="4" w:space="0" w:color="auto"/>
              <w:right w:val="single" w:sz="4" w:space="0" w:color="auto"/>
            </w:tcBorders>
            <w:shd w:val="clear" w:color="auto" w:fill="auto"/>
            <w:vAlign w:val="center"/>
          </w:tcPr>
          <w:p w:rsidR="000C254F" w:rsidRPr="00432C28" w:rsidRDefault="000C254F" w:rsidP="000C254F">
            <w:pPr>
              <w:rPr>
                <w:rFonts w:cs="Times New Roman"/>
                <w:color w:val="000000" w:themeColor="text1"/>
                <w:sz w:val="20"/>
                <w:szCs w:val="20"/>
              </w:rPr>
            </w:pPr>
            <w:r w:rsidRPr="00432C28">
              <w:rPr>
                <w:rFonts w:cs="Times New Roman"/>
                <w:color w:val="000000" w:themeColor="text1"/>
                <w:sz w:val="20"/>
                <w:szCs w:val="20"/>
              </w:rPr>
              <w:t>Uncertainty is handled through both analysis of three (baseline, high, low) market price/natural gas price scenarios, as well as Monte Carlo production cost simulation using market  and natural gas prices as stochastic variables.</w:t>
            </w:r>
          </w:p>
          <w:p w:rsidR="00F7709B" w:rsidRPr="00432C28" w:rsidRDefault="00F7709B" w:rsidP="00F7709B">
            <w:pPr>
              <w:rPr>
                <w:rFonts w:eastAsia="Times New Roman" w:cs="Times New Roman"/>
                <w:sz w:val="20"/>
                <w:szCs w:val="20"/>
              </w:rPr>
            </w:pPr>
          </w:p>
        </w:tc>
      </w:tr>
      <w:tr w:rsidR="00F7709B" w:rsidRPr="00432C28">
        <w:trPr>
          <w:trHeight w:val="300"/>
        </w:trPr>
        <w:tc>
          <w:tcPr>
            <w:tcW w:w="0" w:type="auto"/>
            <w:vMerge/>
            <w:tcBorders>
              <w:top w:val="nil"/>
              <w:left w:val="single" w:sz="4" w:space="0" w:color="auto"/>
              <w:bottom w:val="single" w:sz="4" w:space="0" w:color="auto"/>
              <w:right w:val="single" w:sz="4" w:space="0" w:color="auto"/>
            </w:tcBorders>
            <w:vAlign w:val="center"/>
          </w:tcPr>
          <w:p w:rsidR="00F7709B" w:rsidRPr="00432C28" w:rsidRDefault="00F7709B" w:rsidP="00F7709B">
            <w:pPr>
              <w:rPr>
                <w:rFonts w:eastAsia="Times New Roman" w:cs="Times New Roman"/>
                <w:sz w:val="20"/>
                <w:szCs w:val="20"/>
              </w:rPr>
            </w:pPr>
          </w:p>
        </w:tc>
        <w:tc>
          <w:tcPr>
            <w:tcW w:w="4107" w:type="dxa"/>
            <w:tcBorders>
              <w:top w:val="nil"/>
              <w:left w:val="nil"/>
              <w:bottom w:val="single" w:sz="4" w:space="0" w:color="auto"/>
              <w:right w:val="single" w:sz="4" w:space="0" w:color="auto"/>
            </w:tcBorders>
            <w:shd w:val="clear" w:color="auto" w:fill="auto"/>
            <w:noWrap/>
            <w:vAlign w:val="bottom"/>
          </w:tcPr>
          <w:p w:rsidR="00F7709B" w:rsidRPr="00432C28" w:rsidRDefault="00F7709B" w:rsidP="00F7709B">
            <w:pPr>
              <w:rPr>
                <w:rFonts w:eastAsia="Times New Roman" w:cs="Times New Roman"/>
                <w:sz w:val="20"/>
                <w:szCs w:val="20"/>
              </w:rPr>
            </w:pPr>
            <w:r w:rsidRPr="00432C28">
              <w:rPr>
                <w:rFonts w:eastAsia="Times New Roman" w:cs="Times New Roman"/>
                <w:sz w:val="20"/>
                <w:szCs w:val="20"/>
              </w:rPr>
              <w:t>c)       Costs Inputs (Resource Cost Elements)</w:t>
            </w:r>
          </w:p>
        </w:tc>
        <w:tc>
          <w:tcPr>
            <w:tcW w:w="3978" w:type="dxa"/>
            <w:vMerge/>
            <w:tcBorders>
              <w:top w:val="nil"/>
              <w:left w:val="single" w:sz="4" w:space="0" w:color="auto"/>
              <w:bottom w:val="single" w:sz="4" w:space="0" w:color="auto"/>
              <w:right w:val="single" w:sz="4" w:space="0" w:color="auto"/>
            </w:tcBorders>
            <w:vAlign w:val="center"/>
          </w:tcPr>
          <w:p w:rsidR="00F7709B" w:rsidRPr="00432C28" w:rsidRDefault="00F7709B" w:rsidP="00F7709B">
            <w:pPr>
              <w:rPr>
                <w:rFonts w:eastAsia="Times New Roman" w:cs="Times New Roman"/>
                <w:sz w:val="20"/>
                <w:szCs w:val="20"/>
              </w:rPr>
            </w:pPr>
          </w:p>
        </w:tc>
      </w:tr>
      <w:tr w:rsidR="00F7709B" w:rsidRPr="00432C28">
        <w:trPr>
          <w:trHeight w:val="300"/>
        </w:trPr>
        <w:tc>
          <w:tcPr>
            <w:tcW w:w="0" w:type="auto"/>
            <w:vMerge/>
            <w:tcBorders>
              <w:top w:val="nil"/>
              <w:left w:val="single" w:sz="4" w:space="0" w:color="auto"/>
              <w:bottom w:val="single" w:sz="4" w:space="0" w:color="auto"/>
              <w:right w:val="single" w:sz="4" w:space="0" w:color="auto"/>
            </w:tcBorders>
            <w:vAlign w:val="center"/>
          </w:tcPr>
          <w:p w:rsidR="00F7709B" w:rsidRPr="00432C28" w:rsidRDefault="00F7709B" w:rsidP="00F7709B">
            <w:pPr>
              <w:rPr>
                <w:rFonts w:eastAsia="Times New Roman" w:cs="Times New Roman"/>
                <w:sz w:val="20"/>
                <w:szCs w:val="20"/>
              </w:rPr>
            </w:pPr>
          </w:p>
        </w:tc>
        <w:tc>
          <w:tcPr>
            <w:tcW w:w="4107" w:type="dxa"/>
            <w:tcBorders>
              <w:top w:val="nil"/>
              <w:left w:val="nil"/>
              <w:bottom w:val="single" w:sz="4" w:space="0" w:color="auto"/>
              <w:right w:val="single" w:sz="4" w:space="0" w:color="auto"/>
            </w:tcBorders>
            <w:shd w:val="clear" w:color="auto" w:fill="auto"/>
            <w:noWrap/>
            <w:vAlign w:val="bottom"/>
          </w:tcPr>
          <w:p w:rsidR="00F7709B" w:rsidRPr="00432C28" w:rsidRDefault="00F7709B" w:rsidP="00F54846">
            <w:pPr>
              <w:ind w:firstLineChars="300" w:firstLine="600"/>
              <w:rPr>
                <w:rFonts w:eastAsia="Times New Roman" w:cs="Times New Roman"/>
                <w:sz w:val="20"/>
                <w:szCs w:val="20"/>
              </w:rPr>
            </w:pPr>
            <w:r w:rsidRPr="00432C28">
              <w:rPr>
                <w:rFonts w:eastAsia="Times New Roman" w:cs="Times New Roman"/>
                <w:sz w:val="20"/>
                <w:szCs w:val="20"/>
              </w:rPr>
              <w:t>i)        Full incremental measure costs (material and labor)</w:t>
            </w:r>
          </w:p>
        </w:tc>
        <w:tc>
          <w:tcPr>
            <w:tcW w:w="3978" w:type="dxa"/>
            <w:vMerge w:val="restart"/>
            <w:tcBorders>
              <w:top w:val="nil"/>
              <w:left w:val="single" w:sz="4" w:space="0" w:color="auto"/>
              <w:bottom w:val="single" w:sz="4" w:space="0" w:color="auto"/>
              <w:right w:val="single" w:sz="4" w:space="0" w:color="auto"/>
            </w:tcBorders>
            <w:shd w:val="clear" w:color="auto" w:fill="auto"/>
            <w:vAlign w:val="center"/>
          </w:tcPr>
          <w:p w:rsidR="00F7709B" w:rsidRPr="00432C28" w:rsidRDefault="00F7709B" w:rsidP="00F7709B">
            <w:pPr>
              <w:rPr>
                <w:rFonts w:eastAsia="Times New Roman" w:cs="Times New Roman"/>
                <w:sz w:val="20"/>
                <w:szCs w:val="20"/>
              </w:rPr>
            </w:pPr>
            <w:r w:rsidRPr="00432C28">
              <w:rPr>
                <w:rFonts w:eastAsia="Times New Roman" w:cs="Times New Roman"/>
                <w:sz w:val="20"/>
                <w:szCs w:val="20"/>
              </w:rPr>
              <w:t xml:space="preserve">PacifiCorp fully accounted for these costs, including </w:t>
            </w:r>
            <w:r w:rsidR="00DC50FB" w:rsidRPr="00432C28">
              <w:rPr>
                <w:rFonts w:eastAsia="Times New Roman" w:cs="Times New Roman"/>
                <w:sz w:val="20"/>
                <w:szCs w:val="20"/>
              </w:rPr>
              <w:t>20</w:t>
            </w:r>
            <w:r w:rsidRPr="00432C28">
              <w:rPr>
                <w:rFonts w:eastAsia="Times New Roman" w:cs="Times New Roman"/>
                <w:sz w:val="20"/>
                <w:szCs w:val="20"/>
              </w:rPr>
              <w:t xml:space="preserve">% program administration expenses. </w:t>
            </w:r>
          </w:p>
        </w:tc>
      </w:tr>
      <w:tr w:rsidR="00F7709B" w:rsidRPr="00432C28">
        <w:trPr>
          <w:trHeight w:val="300"/>
        </w:trPr>
        <w:tc>
          <w:tcPr>
            <w:tcW w:w="0" w:type="auto"/>
            <w:vMerge/>
            <w:tcBorders>
              <w:top w:val="nil"/>
              <w:left w:val="single" w:sz="4" w:space="0" w:color="auto"/>
              <w:bottom w:val="single" w:sz="4" w:space="0" w:color="auto"/>
              <w:right w:val="single" w:sz="4" w:space="0" w:color="auto"/>
            </w:tcBorders>
            <w:vAlign w:val="center"/>
          </w:tcPr>
          <w:p w:rsidR="00F7709B" w:rsidRPr="00432C28" w:rsidRDefault="00F7709B" w:rsidP="00F7709B">
            <w:pPr>
              <w:rPr>
                <w:rFonts w:eastAsia="Times New Roman" w:cs="Times New Roman"/>
                <w:sz w:val="20"/>
                <w:szCs w:val="20"/>
              </w:rPr>
            </w:pPr>
          </w:p>
        </w:tc>
        <w:tc>
          <w:tcPr>
            <w:tcW w:w="4107" w:type="dxa"/>
            <w:tcBorders>
              <w:top w:val="nil"/>
              <w:left w:val="nil"/>
              <w:bottom w:val="single" w:sz="4" w:space="0" w:color="auto"/>
              <w:right w:val="single" w:sz="4" w:space="0" w:color="auto"/>
            </w:tcBorders>
            <w:shd w:val="clear" w:color="auto" w:fill="auto"/>
            <w:noWrap/>
            <w:vAlign w:val="bottom"/>
          </w:tcPr>
          <w:p w:rsidR="00F7709B" w:rsidRPr="00432C28" w:rsidRDefault="00F7709B" w:rsidP="00F54846">
            <w:pPr>
              <w:ind w:firstLineChars="300" w:firstLine="600"/>
              <w:rPr>
                <w:rFonts w:eastAsia="Times New Roman" w:cs="Times New Roman"/>
                <w:sz w:val="20"/>
                <w:szCs w:val="20"/>
              </w:rPr>
            </w:pPr>
            <w:r w:rsidRPr="00432C28">
              <w:rPr>
                <w:rFonts w:eastAsia="Times New Roman" w:cs="Times New Roman"/>
                <w:sz w:val="20"/>
                <w:szCs w:val="20"/>
              </w:rPr>
              <w:t>ii)       Applicable on-going O&amp;M expenses (plus or minus)</w:t>
            </w:r>
          </w:p>
        </w:tc>
        <w:tc>
          <w:tcPr>
            <w:tcW w:w="3978" w:type="dxa"/>
            <w:vMerge/>
            <w:tcBorders>
              <w:top w:val="nil"/>
              <w:left w:val="single" w:sz="4" w:space="0" w:color="auto"/>
              <w:bottom w:val="single" w:sz="4" w:space="0" w:color="auto"/>
              <w:right w:val="single" w:sz="4" w:space="0" w:color="auto"/>
            </w:tcBorders>
            <w:vAlign w:val="center"/>
          </w:tcPr>
          <w:p w:rsidR="00F7709B" w:rsidRPr="00432C28" w:rsidRDefault="00F7709B" w:rsidP="00F7709B">
            <w:pPr>
              <w:rPr>
                <w:rFonts w:eastAsia="Times New Roman" w:cs="Times New Roman"/>
                <w:sz w:val="20"/>
                <w:szCs w:val="20"/>
              </w:rPr>
            </w:pPr>
          </w:p>
        </w:tc>
      </w:tr>
      <w:tr w:rsidR="00F7709B" w:rsidRPr="00432C28">
        <w:trPr>
          <w:trHeight w:val="300"/>
        </w:trPr>
        <w:tc>
          <w:tcPr>
            <w:tcW w:w="0" w:type="auto"/>
            <w:vMerge/>
            <w:tcBorders>
              <w:top w:val="nil"/>
              <w:left w:val="single" w:sz="4" w:space="0" w:color="auto"/>
              <w:bottom w:val="single" w:sz="4" w:space="0" w:color="auto"/>
              <w:right w:val="single" w:sz="4" w:space="0" w:color="auto"/>
            </w:tcBorders>
            <w:vAlign w:val="center"/>
          </w:tcPr>
          <w:p w:rsidR="00F7709B" w:rsidRPr="00432C28" w:rsidRDefault="00F7709B" w:rsidP="00F7709B">
            <w:pPr>
              <w:rPr>
                <w:rFonts w:eastAsia="Times New Roman" w:cs="Times New Roman"/>
                <w:sz w:val="20"/>
                <w:szCs w:val="20"/>
              </w:rPr>
            </w:pPr>
          </w:p>
        </w:tc>
        <w:tc>
          <w:tcPr>
            <w:tcW w:w="4107" w:type="dxa"/>
            <w:tcBorders>
              <w:top w:val="nil"/>
              <w:left w:val="nil"/>
              <w:bottom w:val="single" w:sz="4" w:space="0" w:color="auto"/>
              <w:right w:val="single" w:sz="4" w:space="0" w:color="auto"/>
            </w:tcBorders>
            <w:shd w:val="clear" w:color="auto" w:fill="auto"/>
            <w:noWrap/>
            <w:vAlign w:val="bottom"/>
          </w:tcPr>
          <w:p w:rsidR="00F7709B" w:rsidRPr="00432C28" w:rsidRDefault="00F7709B" w:rsidP="00F54846">
            <w:pPr>
              <w:ind w:firstLineChars="300" w:firstLine="600"/>
              <w:rPr>
                <w:rFonts w:eastAsia="Times New Roman" w:cs="Times New Roman"/>
                <w:sz w:val="20"/>
                <w:szCs w:val="20"/>
              </w:rPr>
            </w:pPr>
            <w:r w:rsidRPr="00432C28">
              <w:rPr>
                <w:rFonts w:eastAsia="Times New Roman" w:cs="Times New Roman"/>
                <w:sz w:val="20"/>
                <w:szCs w:val="20"/>
              </w:rPr>
              <w:t>iii)     Applicable periodic O&amp;M expenses (plus or minus)</w:t>
            </w:r>
          </w:p>
        </w:tc>
        <w:tc>
          <w:tcPr>
            <w:tcW w:w="3978" w:type="dxa"/>
            <w:vMerge/>
            <w:tcBorders>
              <w:top w:val="nil"/>
              <w:left w:val="single" w:sz="4" w:space="0" w:color="auto"/>
              <w:bottom w:val="single" w:sz="4" w:space="0" w:color="auto"/>
              <w:right w:val="single" w:sz="4" w:space="0" w:color="auto"/>
            </w:tcBorders>
            <w:vAlign w:val="center"/>
          </w:tcPr>
          <w:p w:rsidR="00F7709B" w:rsidRPr="00432C28" w:rsidRDefault="00F7709B" w:rsidP="00F7709B">
            <w:pPr>
              <w:rPr>
                <w:rFonts w:eastAsia="Times New Roman" w:cs="Times New Roman"/>
                <w:sz w:val="20"/>
                <w:szCs w:val="20"/>
              </w:rPr>
            </w:pPr>
          </w:p>
        </w:tc>
      </w:tr>
      <w:tr w:rsidR="00F7709B" w:rsidRPr="00432C28">
        <w:trPr>
          <w:trHeight w:val="600"/>
        </w:trPr>
        <w:tc>
          <w:tcPr>
            <w:tcW w:w="0" w:type="auto"/>
            <w:vMerge/>
            <w:tcBorders>
              <w:top w:val="nil"/>
              <w:left w:val="single" w:sz="4" w:space="0" w:color="auto"/>
              <w:bottom w:val="single" w:sz="4" w:space="0" w:color="auto"/>
              <w:right w:val="single" w:sz="4" w:space="0" w:color="auto"/>
            </w:tcBorders>
            <w:vAlign w:val="center"/>
          </w:tcPr>
          <w:p w:rsidR="00F7709B" w:rsidRPr="00432C28" w:rsidRDefault="00F7709B" w:rsidP="00F7709B">
            <w:pPr>
              <w:rPr>
                <w:rFonts w:eastAsia="Times New Roman" w:cs="Times New Roman"/>
                <w:sz w:val="20"/>
                <w:szCs w:val="20"/>
              </w:rPr>
            </w:pPr>
          </w:p>
        </w:tc>
        <w:tc>
          <w:tcPr>
            <w:tcW w:w="4107" w:type="dxa"/>
            <w:tcBorders>
              <w:top w:val="nil"/>
              <w:left w:val="nil"/>
              <w:bottom w:val="single" w:sz="4" w:space="0" w:color="auto"/>
              <w:right w:val="single" w:sz="4" w:space="0" w:color="auto"/>
            </w:tcBorders>
            <w:shd w:val="clear" w:color="auto" w:fill="auto"/>
            <w:vAlign w:val="bottom"/>
          </w:tcPr>
          <w:p w:rsidR="00F7709B" w:rsidRPr="00432C28" w:rsidRDefault="00F7709B" w:rsidP="00F54846">
            <w:pPr>
              <w:ind w:firstLineChars="300" w:firstLine="600"/>
              <w:rPr>
                <w:rFonts w:eastAsia="Times New Roman" w:cs="Times New Roman"/>
                <w:sz w:val="20"/>
                <w:szCs w:val="20"/>
              </w:rPr>
            </w:pPr>
            <w:r w:rsidRPr="00432C28">
              <w:rPr>
                <w:rFonts w:eastAsia="Times New Roman" w:cs="Times New Roman"/>
                <w:sz w:val="20"/>
                <w:szCs w:val="20"/>
              </w:rPr>
              <w:t>iv)     Utility administrative costs (program planning, marketing, delivery, on-going administration, evaluation)</w:t>
            </w:r>
          </w:p>
        </w:tc>
        <w:tc>
          <w:tcPr>
            <w:tcW w:w="3978" w:type="dxa"/>
            <w:vMerge/>
            <w:tcBorders>
              <w:top w:val="nil"/>
              <w:left w:val="single" w:sz="4" w:space="0" w:color="auto"/>
              <w:bottom w:val="single" w:sz="4" w:space="0" w:color="auto"/>
              <w:right w:val="single" w:sz="4" w:space="0" w:color="auto"/>
            </w:tcBorders>
            <w:vAlign w:val="center"/>
          </w:tcPr>
          <w:p w:rsidR="00F7709B" w:rsidRPr="00432C28" w:rsidRDefault="00F7709B" w:rsidP="00F7709B">
            <w:pPr>
              <w:rPr>
                <w:rFonts w:eastAsia="Times New Roman" w:cs="Times New Roman"/>
                <w:sz w:val="20"/>
                <w:szCs w:val="20"/>
              </w:rPr>
            </w:pPr>
          </w:p>
        </w:tc>
      </w:tr>
      <w:tr w:rsidR="00F7709B" w:rsidRPr="00432C28">
        <w:trPr>
          <w:trHeight w:val="300"/>
        </w:trPr>
        <w:tc>
          <w:tcPr>
            <w:tcW w:w="0" w:type="auto"/>
            <w:vMerge/>
            <w:tcBorders>
              <w:top w:val="nil"/>
              <w:left w:val="single" w:sz="4" w:space="0" w:color="auto"/>
              <w:bottom w:val="single" w:sz="4" w:space="0" w:color="auto"/>
              <w:right w:val="single" w:sz="4" w:space="0" w:color="auto"/>
            </w:tcBorders>
            <w:vAlign w:val="center"/>
          </w:tcPr>
          <w:p w:rsidR="00F7709B" w:rsidRPr="00432C28" w:rsidRDefault="00F7709B" w:rsidP="00F7709B">
            <w:pPr>
              <w:rPr>
                <w:rFonts w:eastAsia="Times New Roman" w:cs="Times New Roman"/>
                <w:sz w:val="20"/>
                <w:szCs w:val="20"/>
              </w:rPr>
            </w:pPr>
          </w:p>
        </w:tc>
        <w:tc>
          <w:tcPr>
            <w:tcW w:w="4107" w:type="dxa"/>
            <w:tcBorders>
              <w:top w:val="nil"/>
              <w:left w:val="nil"/>
              <w:bottom w:val="single" w:sz="4" w:space="0" w:color="auto"/>
              <w:right w:val="single" w:sz="4" w:space="0" w:color="auto"/>
            </w:tcBorders>
            <w:shd w:val="clear" w:color="auto" w:fill="auto"/>
            <w:vAlign w:val="bottom"/>
          </w:tcPr>
          <w:p w:rsidR="00F7709B" w:rsidRPr="00432C28" w:rsidRDefault="00F7709B" w:rsidP="00F7709B">
            <w:pPr>
              <w:rPr>
                <w:rFonts w:eastAsia="Times New Roman" w:cs="Times New Roman"/>
                <w:sz w:val="20"/>
                <w:szCs w:val="20"/>
              </w:rPr>
            </w:pPr>
            <w:r w:rsidRPr="00432C28">
              <w:rPr>
                <w:rFonts w:eastAsia="Times New Roman" w:cs="Times New Roman"/>
                <w:sz w:val="20"/>
                <w:szCs w:val="20"/>
              </w:rPr>
              <w:t>d)      Benefit Inputs (Resource Value Elements)</w:t>
            </w:r>
          </w:p>
        </w:tc>
        <w:tc>
          <w:tcPr>
            <w:tcW w:w="3978" w:type="dxa"/>
            <w:tcBorders>
              <w:top w:val="nil"/>
              <w:left w:val="nil"/>
              <w:bottom w:val="single" w:sz="4" w:space="0" w:color="auto"/>
              <w:right w:val="single" w:sz="4" w:space="0" w:color="auto"/>
            </w:tcBorders>
            <w:shd w:val="clear" w:color="auto" w:fill="auto"/>
            <w:vAlign w:val="bottom"/>
          </w:tcPr>
          <w:p w:rsidR="00F7709B" w:rsidRPr="00432C28" w:rsidRDefault="00F7709B" w:rsidP="00F7709B">
            <w:pPr>
              <w:rPr>
                <w:rFonts w:eastAsia="Times New Roman" w:cs="Times New Roman"/>
                <w:sz w:val="20"/>
                <w:szCs w:val="20"/>
              </w:rPr>
            </w:pPr>
            <w:r w:rsidRPr="00432C28">
              <w:rPr>
                <w:rFonts w:eastAsia="Times New Roman" w:cs="Times New Roman"/>
                <w:sz w:val="20"/>
                <w:szCs w:val="20"/>
              </w:rPr>
              <w:t> </w:t>
            </w:r>
          </w:p>
        </w:tc>
      </w:tr>
      <w:tr w:rsidR="00F7709B" w:rsidRPr="00432C28">
        <w:trPr>
          <w:trHeight w:val="300"/>
        </w:trPr>
        <w:tc>
          <w:tcPr>
            <w:tcW w:w="0" w:type="auto"/>
            <w:vMerge/>
            <w:tcBorders>
              <w:top w:val="nil"/>
              <w:left w:val="single" w:sz="4" w:space="0" w:color="auto"/>
              <w:bottom w:val="single" w:sz="4" w:space="0" w:color="auto"/>
              <w:right w:val="single" w:sz="4" w:space="0" w:color="auto"/>
            </w:tcBorders>
            <w:vAlign w:val="center"/>
          </w:tcPr>
          <w:p w:rsidR="00F7709B" w:rsidRPr="00432C28" w:rsidRDefault="00F7709B" w:rsidP="00F7709B">
            <w:pPr>
              <w:rPr>
                <w:rFonts w:eastAsia="Times New Roman" w:cs="Times New Roman"/>
                <w:sz w:val="20"/>
                <w:szCs w:val="20"/>
              </w:rPr>
            </w:pPr>
          </w:p>
        </w:tc>
        <w:tc>
          <w:tcPr>
            <w:tcW w:w="4107" w:type="dxa"/>
            <w:tcBorders>
              <w:top w:val="nil"/>
              <w:left w:val="nil"/>
              <w:bottom w:val="single" w:sz="4" w:space="0" w:color="auto"/>
              <w:right w:val="single" w:sz="4" w:space="0" w:color="auto"/>
            </w:tcBorders>
            <w:shd w:val="clear" w:color="auto" w:fill="auto"/>
            <w:vAlign w:val="bottom"/>
          </w:tcPr>
          <w:p w:rsidR="00F7709B" w:rsidRPr="00432C28" w:rsidRDefault="00F7709B" w:rsidP="00F54846">
            <w:pPr>
              <w:ind w:firstLineChars="300" w:firstLine="600"/>
              <w:rPr>
                <w:rFonts w:eastAsia="Times New Roman" w:cs="Times New Roman"/>
                <w:sz w:val="20"/>
                <w:szCs w:val="20"/>
              </w:rPr>
            </w:pPr>
            <w:r w:rsidRPr="00432C28">
              <w:rPr>
                <w:rFonts w:eastAsia="Times New Roman" w:cs="Times New Roman"/>
                <w:sz w:val="20"/>
                <w:szCs w:val="20"/>
              </w:rPr>
              <w:t>i)        Direct energy savings</w:t>
            </w:r>
          </w:p>
        </w:tc>
        <w:tc>
          <w:tcPr>
            <w:tcW w:w="3978" w:type="dxa"/>
            <w:vMerge w:val="restart"/>
            <w:tcBorders>
              <w:top w:val="nil"/>
              <w:left w:val="single" w:sz="4" w:space="0" w:color="auto"/>
              <w:bottom w:val="single" w:sz="4" w:space="0" w:color="auto"/>
              <w:right w:val="single" w:sz="4" w:space="0" w:color="auto"/>
            </w:tcBorders>
            <w:shd w:val="clear" w:color="auto" w:fill="auto"/>
            <w:vAlign w:val="center"/>
          </w:tcPr>
          <w:p w:rsidR="00F7709B" w:rsidRPr="00432C28" w:rsidRDefault="00F7709B" w:rsidP="00F7709B">
            <w:pPr>
              <w:rPr>
                <w:rFonts w:eastAsia="Times New Roman" w:cs="Times New Roman"/>
                <w:sz w:val="20"/>
                <w:szCs w:val="20"/>
              </w:rPr>
            </w:pPr>
            <w:r w:rsidRPr="00432C28">
              <w:rPr>
                <w:rFonts w:eastAsia="Times New Roman" w:cs="Times New Roman"/>
                <w:sz w:val="20"/>
                <w:szCs w:val="20"/>
              </w:rPr>
              <w:t>All included in the analysis.</w:t>
            </w:r>
          </w:p>
        </w:tc>
      </w:tr>
      <w:tr w:rsidR="00F7709B" w:rsidRPr="00432C28">
        <w:trPr>
          <w:trHeight w:val="300"/>
        </w:trPr>
        <w:tc>
          <w:tcPr>
            <w:tcW w:w="0" w:type="auto"/>
            <w:vMerge/>
            <w:tcBorders>
              <w:top w:val="nil"/>
              <w:left w:val="single" w:sz="4" w:space="0" w:color="auto"/>
              <w:bottom w:val="single" w:sz="4" w:space="0" w:color="auto"/>
              <w:right w:val="single" w:sz="4" w:space="0" w:color="auto"/>
            </w:tcBorders>
            <w:vAlign w:val="center"/>
          </w:tcPr>
          <w:p w:rsidR="00F7709B" w:rsidRPr="00432C28" w:rsidRDefault="00F7709B" w:rsidP="00F7709B">
            <w:pPr>
              <w:rPr>
                <w:rFonts w:eastAsia="Times New Roman" w:cs="Times New Roman"/>
                <w:sz w:val="20"/>
                <w:szCs w:val="20"/>
              </w:rPr>
            </w:pPr>
          </w:p>
        </w:tc>
        <w:tc>
          <w:tcPr>
            <w:tcW w:w="4107" w:type="dxa"/>
            <w:tcBorders>
              <w:top w:val="nil"/>
              <w:left w:val="nil"/>
              <w:bottom w:val="single" w:sz="4" w:space="0" w:color="auto"/>
              <w:right w:val="single" w:sz="4" w:space="0" w:color="auto"/>
            </w:tcBorders>
            <w:shd w:val="clear" w:color="auto" w:fill="auto"/>
            <w:vAlign w:val="bottom"/>
          </w:tcPr>
          <w:p w:rsidR="00F7709B" w:rsidRPr="00432C28" w:rsidRDefault="00F7709B" w:rsidP="00F54846">
            <w:pPr>
              <w:ind w:firstLineChars="300" w:firstLine="600"/>
              <w:rPr>
                <w:rFonts w:eastAsia="Times New Roman" w:cs="Times New Roman"/>
                <w:sz w:val="20"/>
                <w:szCs w:val="20"/>
              </w:rPr>
            </w:pPr>
            <w:r w:rsidRPr="00432C28">
              <w:rPr>
                <w:rFonts w:eastAsia="Times New Roman" w:cs="Times New Roman"/>
                <w:sz w:val="20"/>
                <w:szCs w:val="20"/>
              </w:rPr>
              <w:t>ii)       Direct capacity savings</w:t>
            </w:r>
          </w:p>
        </w:tc>
        <w:tc>
          <w:tcPr>
            <w:tcW w:w="3978" w:type="dxa"/>
            <w:vMerge/>
            <w:tcBorders>
              <w:top w:val="nil"/>
              <w:left w:val="single" w:sz="4" w:space="0" w:color="auto"/>
              <w:bottom w:val="single" w:sz="4" w:space="0" w:color="auto"/>
              <w:right w:val="single" w:sz="4" w:space="0" w:color="auto"/>
            </w:tcBorders>
            <w:vAlign w:val="center"/>
          </w:tcPr>
          <w:p w:rsidR="00F7709B" w:rsidRPr="00432C28" w:rsidRDefault="00F7709B" w:rsidP="00F7709B">
            <w:pPr>
              <w:rPr>
                <w:rFonts w:eastAsia="Times New Roman" w:cs="Times New Roman"/>
                <w:sz w:val="20"/>
                <w:szCs w:val="20"/>
              </w:rPr>
            </w:pPr>
          </w:p>
        </w:tc>
      </w:tr>
      <w:tr w:rsidR="00F7709B" w:rsidRPr="00432C28">
        <w:trPr>
          <w:trHeight w:val="300"/>
        </w:trPr>
        <w:tc>
          <w:tcPr>
            <w:tcW w:w="0" w:type="auto"/>
            <w:vMerge/>
            <w:tcBorders>
              <w:top w:val="nil"/>
              <w:left w:val="single" w:sz="4" w:space="0" w:color="auto"/>
              <w:bottom w:val="single" w:sz="4" w:space="0" w:color="auto"/>
              <w:right w:val="single" w:sz="4" w:space="0" w:color="auto"/>
            </w:tcBorders>
            <w:vAlign w:val="center"/>
          </w:tcPr>
          <w:p w:rsidR="00F7709B" w:rsidRPr="00432C28" w:rsidRDefault="00F7709B" w:rsidP="00F7709B">
            <w:pPr>
              <w:rPr>
                <w:rFonts w:eastAsia="Times New Roman" w:cs="Times New Roman"/>
                <w:sz w:val="20"/>
                <w:szCs w:val="20"/>
              </w:rPr>
            </w:pPr>
          </w:p>
        </w:tc>
        <w:tc>
          <w:tcPr>
            <w:tcW w:w="4107" w:type="dxa"/>
            <w:tcBorders>
              <w:top w:val="nil"/>
              <w:left w:val="nil"/>
              <w:bottom w:val="single" w:sz="4" w:space="0" w:color="auto"/>
              <w:right w:val="single" w:sz="4" w:space="0" w:color="auto"/>
            </w:tcBorders>
            <w:shd w:val="clear" w:color="auto" w:fill="auto"/>
            <w:vAlign w:val="bottom"/>
          </w:tcPr>
          <w:p w:rsidR="00F7709B" w:rsidRPr="00432C28" w:rsidRDefault="00F7709B" w:rsidP="00F54846">
            <w:pPr>
              <w:ind w:firstLineChars="300" w:firstLine="600"/>
              <w:rPr>
                <w:rFonts w:eastAsia="Times New Roman" w:cs="Times New Roman"/>
                <w:sz w:val="20"/>
                <w:szCs w:val="20"/>
              </w:rPr>
            </w:pPr>
            <w:r w:rsidRPr="00432C28">
              <w:rPr>
                <w:rFonts w:eastAsia="Times New Roman" w:cs="Times New Roman"/>
                <w:sz w:val="20"/>
                <w:szCs w:val="20"/>
              </w:rPr>
              <w:t>iii)     Avoided T&amp;D losses</w:t>
            </w:r>
          </w:p>
        </w:tc>
        <w:tc>
          <w:tcPr>
            <w:tcW w:w="3978" w:type="dxa"/>
            <w:vMerge/>
            <w:tcBorders>
              <w:top w:val="nil"/>
              <w:left w:val="single" w:sz="4" w:space="0" w:color="auto"/>
              <w:bottom w:val="single" w:sz="4" w:space="0" w:color="auto"/>
              <w:right w:val="single" w:sz="4" w:space="0" w:color="auto"/>
            </w:tcBorders>
            <w:vAlign w:val="center"/>
          </w:tcPr>
          <w:p w:rsidR="00F7709B" w:rsidRPr="00432C28" w:rsidRDefault="00F7709B" w:rsidP="00F7709B">
            <w:pPr>
              <w:rPr>
                <w:rFonts w:eastAsia="Times New Roman" w:cs="Times New Roman"/>
                <w:sz w:val="20"/>
                <w:szCs w:val="20"/>
              </w:rPr>
            </w:pPr>
          </w:p>
        </w:tc>
      </w:tr>
      <w:tr w:rsidR="00F7709B" w:rsidRPr="00432C28">
        <w:trPr>
          <w:trHeight w:val="300"/>
        </w:trPr>
        <w:tc>
          <w:tcPr>
            <w:tcW w:w="0" w:type="auto"/>
            <w:vMerge/>
            <w:tcBorders>
              <w:top w:val="nil"/>
              <w:left w:val="single" w:sz="4" w:space="0" w:color="auto"/>
              <w:bottom w:val="single" w:sz="4" w:space="0" w:color="auto"/>
              <w:right w:val="single" w:sz="4" w:space="0" w:color="auto"/>
            </w:tcBorders>
            <w:vAlign w:val="center"/>
          </w:tcPr>
          <w:p w:rsidR="00F7709B" w:rsidRPr="00432C28" w:rsidRDefault="00F7709B" w:rsidP="00F7709B">
            <w:pPr>
              <w:rPr>
                <w:rFonts w:eastAsia="Times New Roman" w:cs="Times New Roman"/>
                <w:sz w:val="20"/>
                <w:szCs w:val="20"/>
              </w:rPr>
            </w:pPr>
          </w:p>
        </w:tc>
        <w:tc>
          <w:tcPr>
            <w:tcW w:w="4107" w:type="dxa"/>
            <w:tcBorders>
              <w:top w:val="nil"/>
              <w:left w:val="nil"/>
              <w:bottom w:val="single" w:sz="4" w:space="0" w:color="auto"/>
              <w:right w:val="single" w:sz="4" w:space="0" w:color="auto"/>
            </w:tcBorders>
            <w:shd w:val="clear" w:color="auto" w:fill="auto"/>
            <w:vAlign w:val="bottom"/>
          </w:tcPr>
          <w:p w:rsidR="00F7709B" w:rsidRPr="00432C28" w:rsidRDefault="00F7709B" w:rsidP="00F54846">
            <w:pPr>
              <w:ind w:firstLineChars="300" w:firstLine="600"/>
              <w:rPr>
                <w:rFonts w:eastAsia="Times New Roman" w:cs="Times New Roman"/>
                <w:sz w:val="20"/>
                <w:szCs w:val="20"/>
              </w:rPr>
            </w:pPr>
            <w:r w:rsidRPr="00432C28">
              <w:rPr>
                <w:rFonts w:eastAsia="Times New Roman" w:cs="Times New Roman"/>
                <w:sz w:val="20"/>
                <w:szCs w:val="20"/>
              </w:rPr>
              <w:t>iv)     Deferral value of transmission and distribution system expansion (if applicable)</w:t>
            </w:r>
          </w:p>
        </w:tc>
        <w:tc>
          <w:tcPr>
            <w:tcW w:w="3978" w:type="dxa"/>
            <w:tcBorders>
              <w:top w:val="nil"/>
              <w:left w:val="single" w:sz="4" w:space="0" w:color="auto"/>
              <w:bottom w:val="single" w:sz="4" w:space="0" w:color="auto"/>
              <w:right w:val="single" w:sz="4" w:space="0" w:color="auto"/>
            </w:tcBorders>
            <w:vAlign w:val="center"/>
          </w:tcPr>
          <w:p w:rsidR="00F7709B" w:rsidRPr="00432C28" w:rsidRDefault="00F7709B" w:rsidP="00F7709B">
            <w:pPr>
              <w:rPr>
                <w:rFonts w:eastAsia="Times New Roman" w:cs="Times New Roman"/>
                <w:sz w:val="20"/>
                <w:szCs w:val="20"/>
              </w:rPr>
            </w:pPr>
            <w:r w:rsidRPr="00432C28">
              <w:rPr>
                <w:rFonts w:eastAsia="Times New Roman" w:cs="Times New Roman"/>
                <w:sz w:val="20"/>
                <w:szCs w:val="20"/>
              </w:rPr>
              <w:t>PacifiCorp applied a T&amp;D investment deferral credit of $54/kW-yr. The 6th Plan uses a distribution-only credit of $25/kW-yr.</w:t>
            </w:r>
          </w:p>
        </w:tc>
      </w:tr>
      <w:tr w:rsidR="00F7709B" w:rsidRPr="00432C28">
        <w:trPr>
          <w:trHeight w:val="900"/>
        </w:trPr>
        <w:tc>
          <w:tcPr>
            <w:tcW w:w="0" w:type="auto"/>
            <w:vMerge/>
            <w:tcBorders>
              <w:top w:val="nil"/>
              <w:left w:val="single" w:sz="4" w:space="0" w:color="auto"/>
              <w:bottom w:val="single" w:sz="4" w:space="0" w:color="auto"/>
              <w:right w:val="single" w:sz="4" w:space="0" w:color="auto"/>
            </w:tcBorders>
            <w:vAlign w:val="center"/>
          </w:tcPr>
          <w:p w:rsidR="00F7709B" w:rsidRPr="00432C28" w:rsidRDefault="00F7709B" w:rsidP="00F7709B">
            <w:pPr>
              <w:rPr>
                <w:rFonts w:eastAsia="Times New Roman" w:cs="Times New Roman"/>
                <w:sz w:val="20"/>
                <w:szCs w:val="20"/>
              </w:rPr>
            </w:pPr>
          </w:p>
        </w:tc>
        <w:tc>
          <w:tcPr>
            <w:tcW w:w="4107" w:type="dxa"/>
            <w:tcBorders>
              <w:top w:val="nil"/>
              <w:left w:val="nil"/>
              <w:bottom w:val="single" w:sz="4" w:space="0" w:color="auto"/>
              <w:right w:val="single" w:sz="4" w:space="0" w:color="auto"/>
            </w:tcBorders>
            <w:shd w:val="clear" w:color="auto" w:fill="auto"/>
            <w:vAlign w:val="bottom"/>
          </w:tcPr>
          <w:p w:rsidR="00F7709B" w:rsidRPr="00432C28" w:rsidRDefault="00F7709B" w:rsidP="00F54846">
            <w:pPr>
              <w:ind w:firstLineChars="300" w:firstLine="600"/>
              <w:rPr>
                <w:rFonts w:eastAsia="Times New Roman" w:cs="Times New Roman"/>
                <w:sz w:val="20"/>
                <w:szCs w:val="20"/>
              </w:rPr>
            </w:pPr>
            <w:r w:rsidRPr="00432C28">
              <w:rPr>
                <w:rFonts w:eastAsia="Times New Roman" w:cs="Times New Roman"/>
                <w:sz w:val="20"/>
                <w:szCs w:val="20"/>
              </w:rPr>
              <w:t>v)      Non-energy benefits (e.g. water savings)</w:t>
            </w:r>
          </w:p>
        </w:tc>
        <w:tc>
          <w:tcPr>
            <w:tcW w:w="3978" w:type="dxa"/>
            <w:tcBorders>
              <w:top w:val="nil"/>
              <w:left w:val="nil"/>
              <w:bottom w:val="single" w:sz="4" w:space="0" w:color="auto"/>
              <w:right w:val="single" w:sz="4" w:space="0" w:color="auto"/>
            </w:tcBorders>
            <w:shd w:val="clear" w:color="auto" w:fill="auto"/>
            <w:vAlign w:val="bottom"/>
          </w:tcPr>
          <w:p w:rsidR="00F7709B" w:rsidRPr="00432C28" w:rsidRDefault="00F7709B" w:rsidP="00A806BA">
            <w:pPr>
              <w:rPr>
                <w:rFonts w:eastAsia="Times New Roman" w:cs="Times New Roman"/>
                <w:sz w:val="20"/>
                <w:szCs w:val="20"/>
              </w:rPr>
            </w:pPr>
            <w:r w:rsidRPr="00432C28">
              <w:rPr>
                <w:rFonts w:eastAsia="Times New Roman" w:cs="Times New Roman"/>
                <w:sz w:val="20"/>
                <w:szCs w:val="20"/>
              </w:rPr>
              <w:t>Quantifiable non-energy benefits were captured in the development of the conservation resource supply-curves developed for use in the 2011 IRP.</w:t>
            </w:r>
          </w:p>
        </w:tc>
      </w:tr>
      <w:tr w:rsidR="00F7709B" w:rsidRPr="00432C28">
        <w:trPr>
          <w:trHeight w:val="900"/>
        </w:trPr>
        <w:tc>
          <w:tcPr>
            <w:tcW w:w="0" w:type="auto"/>
            <w:vMerge/>
            <w:tcBorders>
              <w:top w:val="nil"/>
              <w:left w:val="single" w:sz="4" w:space="0" w:color="auto"/>
              <w:bottom w:val="single" w:sz="4" w:space="0" w:color="auto"/>
              <w:right w:val="single" w:sz="4" w:space="0" w:color="auto"/>
            </w:tcBorders>
            <w:vAlign w:val="center"/>
          </w:tcPr>
          <w:p w:rsidR="00F7709B" w:rsidRPr="00432C28" w:rsidRDefault="00F7709B" w:rsidP="00F7709B">
            <w:pPr>
              <w:rPr>
                <w:rFonts w:eastAsia="Times New Roman" w:cs="Times New Roman"/>
                <w:sz w:val="20"/>
                <w:szCs w:val="20"/>
              </w:rPr>
            </w:pPr>
          </w:p>
        </w:tc>
        <w:tc>
          <w:tcPr>
            <w:tcW w:w="4107" w:type="dxa"/>
            <w:tcBorders>
              <w:top w:val="nil"/>
              <w:left w:val="nil"/>
              <w:bottom w:val="single" w:sz="4" w:space="0" w:color="auto"/>
              <w:right w:val="single" w:sz="4" w:space="0" w:color="auto"/>
            </w:tcBorders>
            <w:shd w:val="clear" w:color="auto" w:fill="auto"/>
            <w:vAlign w:val="bottom"/>
          </w:tcPr>
          <w:p w:rsidR="00F7709B" w:rsidRPr="00432C28" w:rsidRDefault="00F7709B" w:rsidP="00F54846">
            <w:pPr>
              <w:ind w:firstLineChars="300" w:firstLine="600"/>
              <w:rPr>
                <w:rFonts w:eastAsia="Times New Roman" w:cs="Times New Roman"/>
                <w:sz w:val="20"/>
                <w:szCs w:val="20"/>
              </w:rPr>
            </w:pPr>
            <w:r w:rsidRPr="00432C28">
              <w:rPr>
                <w:rFonts w:eastAsia="Times New Roman" w:cs="Times New Roman"/>
                <w:sz w:val="20"/>
                <w:szCs w:val="20"/>
              </w:rPr>
              <w:t>vi)     Environmental externalities</w:t>
            </w:r>
          </w:p>
        </w:tc>
        <w:tc>
          <w:tcPr>
            <w:tcW w:w="3978" w:type="dxa"/>
            <w:tcBorders>
              <w:top w:val="nil"/>
              <w:left w:val="nil"/>
              <w:bottom w:val="single" w:sz="4" w:space="0" w:color="auto"/>
              <w:right w:val="single" w:sz="4" w:space="0" w:color="auto"/>
            </w:tcBorders>
            <w:shd w:val="clear" w:color="auto" w:fill="auto"/>
            <w:vAlign w:val="bottom"/>
          </w:tcPr>
          <w:p w:rsidR="00F7709B" w:rsidRPr="00432C28" w:rsidRDefault="00F7709B" w:rsidP="003F20B7">
            <w:pPr>
              <w:rPr>
                <w:rFonts w:eastAsia="Times New Roman" w:cs="Times New Roman"/>
                <w:sz w:val="20"/>
                <w:szCs w:val="20"/>
              </w:rPr>
            </w:pPr>
            <w:r w:rsidRPr="00432C28">
              <w:rPr>
                <w:rFonts w:eastAsia="Times New Roman" w:cs="Times New Roman"/>
                <w:sz w:val="20"/>
                <w:szCs w:val="20"/>
              </w:rPr>
              <w:t xml:space="preserve">PacifiCorp and the Council use a carbon tax, and both include the tax for derivation of wholesale electricity prices. The Council treats the CO2 price as a stochastic variable for risk analysis (given a uniform distribution with values between $0 and $100), whereas PacifiCorp does not. The Council’s forecast of expected CO2 allowance prices begins in 2012 at a price of $8/ton, increasing to $27/ton in 2020, and to $47 per ton in 2030. </w:t>
            </w:r>
            <w:r w:rsidR="00E370F4" w:rsidRPr="003F20B7">
              <w:rPr>
                <w:rFonts w:eastAsia="Times New Roman" w:cs="Times New Roman"/>
                <w:sz w:val="20"/>
                <w:szCs w:val="20"/>
              </w:rPr>
              <w:t xml:space="preserve">PacifiCorp </w:t>
            </w:r>
            <w:r w:rsidR="003F20B7">
              <w:rPr>
                <w:rFonts w:eastAsia="Times New Roman" w:cs="Times New Roman"/>
                <w:sz w:val="20"/>
                <w:szCs w:val="20"/>
              </w:rPr>
              <w:t>considered five CO2 price scenarios in its 2013 IRP. Annual assumed costs under each scenario are provided in Table 7.3 of the 2013 IRP (Appendix 1 to this document).</w:t>
            </w:r>
          </w:p>
        </w:tc>
      </w:tr>
      <w:tr w:rsidR="00F7709B" w:rsidRPr="00432C28">
        <w:trPr>
          <w:trHeight w:val="300"/>
        </w:trPr>
        <w:tc>
          <w:tcPr>
            <w:tcW w:w="0" w:type="auto"/>
            <w:vMerge/>
            <w:tcBorders>
              <w:top w:val="nil"/>
              <w:left w:val="single" w:sz="4" w:space="0" w:color="auto"/>
              <w:bottom w:val="single" w:sz="4" w:space="0" w:color="auto"/>
              <w:right w:val="single" w:sz="4" w:space="0" w:color="auto"/>
            </w:tcBorders>
            <w:vAlign w:val="center"/>
          </w:tcPr>
          <w:p w:rsidR="00F7709B" w:rsidRPr="00432C28" w:rsidRDefault="00F7709B" w:rsidP="00F7709B">
            <w:pPr>
              <w:rPr>
                <w:rFonts w:eastAsia="Times New Roman" w:cs="Times New Roman"/>
                <w:sz w:val="20"/>
                <w:szCs w:val="20"/>
              </w:rPr>
            </w:pPr>
          </w:p>
        </w:tc>
        <w:tc>
          <w:tcPr>
            <w:tcW w:w="4107" w:type="dxa"/>
            <w:tcBorders>
              <w:top w:val="nil"/>
              <w:left w:val="nil"/>
              <w:bottom w:val="single" w:sz="4" w:space="0" w:color="auto"/>
              <w:right w:val="single" w:sz="4" w:space="0" w:color="auto"/>
            </w:tcBorders>
            <w:shd w:val="clear" w:color="auto" w:fill="auto"/>
            <w:vAlign w:val="bottom"/>
          </w:tcPr>
          <w:p w:rsidR="00F7709B" w:rsidRPr="00432C28" w:rsidRDefault="00F7709B" w:rsidP="008A70A4">
            <w:pPr>
              <w:rPr>
                <w:rFonts w:eastAsia="Times New Roman" w:cs="Times New Roman"/>
                <w:sz w:val="20"/>
                <w:szCs w:val="20"/>
              </w:rPr>
            </w:pPr>
            <w:r w:rsidRPr="00432C28">
              <w:rPr>
                <w:rFonts w:eastAsia="Times New Roman" w:cs="Times New Roman"/>
                <w:sz w:val="20"/>
                <w:szCs w:val="20"/>
              </w:rPr>
              <w:t>e)      Discounted Present Value Inputs</w:t>
            </w:r>
          </w:p>
        </w:tc>
        <w:tc>
          <w:tcPr>
            <w:tcW w:w="3978" w:type="dxa"/>
            <w:tcBorders>
              <w:top w:val="nil"/>
              <w:left w:val="nil"/>
              <w:bottom w:val="single" w:sz="4" w:space="0" w:color="auto"/>
              <w:right w:val="single" w:sz="4" w:space="0" w:color="auto"/>
            </w:tcBorders>
            <w:shd w:val="clear" w:color="auto" w:fill="auto"/>
            <w:vAlign w:val="bottom"/>
          </w:tcPr>
          <w:p w:rsidR="00F7709B" w:rsidRPr="00432C28" w:rsidRDefault="00F7709B" w:rsidP="00F7709B">
            <w:pPr>
              <w:rPr>
                <w:rFonts w:eastAsia="Times New Roman" w:cs="Times New Roman"/>
                <w:sz w:val="20"/>
                <w:szCs w:val="20"/>
              </w:rPr>
            </w:pPr>
            <w:r w:rsidRPr="00432C28">
              <w:rPr>
                <w:rFonts w:eastAsia="Times New Roman" w:cs="Times New Roman"/>
                <w:sz w:val="20"/>
                <w:szCs w:val="20"/>
              </w:rPr>
              <w:t> </w:t>
            </w:r>
          </w:p>
        </w:tc>
      </w:tr>
      <w:tr w:rsidR="00F7709B" w:rsidRPr="00432C28">
        <w:trPr>
          <w:trHeight w:val="600"/>
        </w:trPr>
        <w:tc>
          <w:tcPr>
            <w:tcW w:w="0" w:type="auto"/>
            <w:vMerge/>
            <w:tcBorders>
              <w:top w:val="nil"/>
              <w:left w:val="single" w:sz="4" w:space="0" w:color="auto"/>
              <w:bottom w:val="single" w:sz="4" w:space="0" w:color="auto"/>
              <w:right w:val="single" w:sz="4" w:space="0" w:color="auto"/>
            </w:tcBorders>
            <w:vAlign w:val="center"/>
          </w:tcPr>
          <w:p w:rsidR="00F7709B" w:rsidRPr="00432C28" w:rsidRDefault="00F7709B" w:rsidP="00F7709B">
            <w:pPr>
              <w:rPr>
                <w:rFonts w:eastAsia="Times New Roman" w:cs="Times New Roman"/>
                <w:sz w:val="20"/>
                <w:szCs w:val="20"/>
              </w:rPr>
            </w:pPr>
          </w:p>
        </w:tc>
        <w:tc>
          <w:tcPr>
            <w:tcW w:w="4107" w:type="dxa"/>
            <w:tcBorders>
              <w:top w:val="nil"/>
              <w:left w:val="nil"/>
              <w:bottom w:val="single" w:sz="4" w:space="0" w:color="auto"/>
              <w:right w:val="single" w:sz="4" w:space="0" w:color="auto"/>
            </w:tcBorders>
            <w:shd w:val="clear" w:color="auto" w:fill="auto"/>
            <w:vAlign w:val="bottom"/>
          </w:tcPr>
          <w:p w:rsidR="00F7709B" w:rsidRPr="00432C28" w:rsidRDefault="00F7709B" w:rsidP="00F54846">
            <w:pPr>
              <w:ind w:firstLineChars="300" w:firstLine="600"/>
              <w:rPr>
                <w:rFonts w:eastAsia="Times New Roman" w:cs="Times New Roman"/>
                <w:sz w:val="20"/>
                <w:szCs w:val="20"/>
              </w:rPr>
            </w:pPr>
            <w:r w:rsidRPr="00432C28">
              <w:rPr>
                <w:rFonts w:eastAsia="Times New Roman" w:cs="Times New Roman"/>
                <w:sz w:val="20"/>
                <w:szCs w:val="20"/>
              </w:rPr>
              <w:t>i)        Rate = After-tax average cost of capital weighted for project participants (real or nominal)</w:t>
            </w:r>
          </w:p>
        </w:tc>
        <w:tc>
          <w:tcPr>
            <w:tcW w:w="3978" w:type="dxa"/>
            <w:tcBorders>
              <w:top w:val="nil"/>
              <w:left w:val="nil"/>
              <w:bottom w:val="single" w:sz="4" w:space="0" w:color="auto"/>
              <w:right w:val="single" w:sz="4" w:space="0" w:color="auto"/>
            </w:tcBorders>
            <w:shd w:val="clear" w:color="auto" w:fill="auto"/>
            <w:vAlign w:val="bottom"/>
          </w:tcPr>
          <w:p w:rsidR="00F7709B" w:rsidRPr="00432C28" w:rsidRDefault="00F7709B" w:rsidP="008A70A4">
            <w:pPr>
              <w:rPr>
                <w:rFonts w:eastAsia="Times New Roman" w:cs="Times New Roman"/>
                <w:sz w:val="20"/>
                <w:szCs w:val="20"/>
              </w:rPr>
            </w:pPr>
            <w:r w:rsidRPr="00432C28">
              <w:rPr>
                <w:rFonts w:eastAsia="Times New Roman" w:cs="Times New Roman"/>
                <w:sz w:val="20"/>
                <w:szCs w:val="20"/>
              </w:rPr>
              <w:t>PacifiCorp used the after-tax weighted average cost of capital (WACC) for economic valuation of all measures</w:t>
            </w:r>
            <w:r w:rsidR="008A70A4" w:rsidRPr="00432C28">
              <w:rPr>
                <w:rFonts w:eastAsia="Times New Roman" w:cs="Times New Roman"/>
                <w:sz w:val="20"/>
                <w:szCs w:val="20"/>
              </w:rPr>
              <w:t>.</w:t>
            </w:r>
          </w:p>
        </w:tc>
      </w:tr>
      <w:tr w:rsidR="00F7709B" w:rsidRPr="00432C28">
        <w:trPr>
          <w:trHeight w:val="600"/>
        </w:trPr>
        <w:tc>
          <w:tcPr>
            <w:tcW w:w="0" w:type="auto"/>
            <w:vMerge/>
            <w:tcBorders>
              <w:top w:val="nil"/>
              <w:left w:val="single" w:sz="4" w:space="0" w:color="auto"/>
              <w:bottom w:val="single" w:sz="4" w:space="0" w:color="auto"/>
              <w:right w:val="single" w:sz="4" w:space="0" w:color="auto"/>
            </w:tcBorders>
            <w:vAlign w:val="center"/>
          </w:tcPr>
          <w:p w:rsidR="00F7709B" w:rsidRPr="00432C28" w:rsidRDefault="00F7709B" w:rsidP="00F7709B">
            <w:pPr>
              <w:rPr>
                <w:rFonts w:eastAsia="Times New Roman" w:cs="Times New Roman"/>
                <w:sz w:val="20"/>
                <w:szCs w:val="20"/>
              </w:rPr>
            </w:pPr>
          </w:p>
        </w:tc>
        <w:tc>
          <w:tcPr>
            <w:tcW w:w="4107" w:type="dxa"/>
            <w:tcBorders>
              <w:top w:val="nil"/>
              <w:left w:val="nil"/>
              <w:bottom w:val="single" w:sz="4" w:space="0" w:color="auto"/>
              <w:right w:val="single" w:sz="4" w:space="0" w:color="auto"/>
            </w:tcBorders>
            <w:shd w:val="clear" w:color="auto" w:fill="auto"/>
            <w:vAlign w:val="bottom"/>
          </w:tcPr>
          <w:p w:rsidR="00F7709B" w:rsidRPr="00432C28" w:rsidRDefault="00F7709B" w:rsidP="00F54846">
            <w:pPr>
              <w:ind w:firstLineChars="300" w:firstLine="600"/>
              <w:rPr>
                <w:rFonts w:eastAsia="Times New Roman" w:cs="Times New Roman"/>
                <w:sz w:val="20"/>
                <w:szCs w:val="20"/>
              </w:rPr>
            </w:pPr>
            <w:r w:rsidRPr="00432C28">
              <w:rPr>
                <w:rFonts w:eastAsia="Times New Roman" w:cs="Times New Roman"/>
                <w:sz w:val="20"/>
                <w:szCs w:val="20"/>
              </w:rPr>
              <w:t>ii)       Term = Project life, generally equivalent to life of resources added during planning period</w:t>
            </w:r>
          </w:p>
        </w:tc>
        <w:tc>
          <w:tcPr>
            <w:tcW w:w="3978" w:type="dxa"/>
            <w:tcBorders>
              <w:top w:val="nil"/>
              <w:left w:val="nil"/>
              <w:bottom w:val="single" w:sz="4" w:space="0" w:color="auto"/>
              <w:right w:val="single" w:sz="4" w:space="0" w:color="auto"/>
            </w:tcBorders>
            <w:shd w:val="clear" w:color="auto" w:fill="auto"/>
            <w:vAlign w:val="bottom"/>
          </w:tcPr>
          <w:p w:rsidR="00F7709B" w:rsidRPr="00432C28" w:rsidRDefault="00F7709B" w:rsidP="00F7709B">
            <w:pPr>
              <w:rPr>
                <w:rFonts w:eastAsia="Times New Roman" w:cs="Times New Roman"/>
                <w:sz w:val="20"/>
                <w:szCs w:val="20"/>
              </w:rPr>
            </w:pPr>
            <w:r w:rsidRPr="00432C28">
              <w:rPr>
                <w:rFonts w:eastAsia="Times New Roman" w:cs="Times New Roman"/>
                <w:sz w:val="20"/>
                <w:szCs w:val="20"/>
              </w:rPr>
              <w:t>PacifiCorp use</w:t>
            </w:r>
            <w:r w:rsidR="00DC50FB" w:rsidRPr="00432C28">
              <w:rPr>
                <w:rFonts w:eastAsia="Times New Roman" w:cs="Times New Roman"/>
                <w:sz w:val="20"/>
                <w:szCs w:val="20"/>
              </w:rPr>
              <w:t>d</w:t>
            </w:r>
            <w:r w:rsidRPr="00432C28">
              <w:rPr>
                <w:rFonts w:eastAsia="Times New Roman" w:cs="Times New Roman"/>
                <w:sz w:val="20"/>
                <w:szCs w:val="20"/>
              </w:rPr>
              <w:t xml:space="preserve"> the same methodology.</w:t>
            </w:r>
          </w:p>
        </w:tc>
      </w:tr>
      <w:tr w:rsidR="00F7709B" w:rsidRPr="00432C28">
        <w:trPr>
          <w:trHeight w:val="300"/>
        </w:trPr>
        <w:tc>
          <w:tcPr>
            <w:tcW w:w="0" w:type="auto"/>
            <w:vMerge/>
            <w:tcBorders>
              <w:top w:val="nil"/>
              <w:left w:val="single" w:sz="4" w:space="0" w:color="auto"/>
              <w:bottom w:val="single" w:sz="4" w:space="0" w:color="auto"/>
              <w:right w:val="single" w:sz="4" w:space="0" w:color="auto"/>
            </w:tcBorders>
            <w:vAlign w:val="center"/>
          </w:tcPr>
          <w:p w:rsidR="00F7709B" w:rsidRPr="00432C28" w:rsidRDefault="00F7709B" w:rsidP="00F7709B">
            <w:pPr>
              <w:rPr>
                <w:rFonts w:eastAsia="Times New Roman" w:cs="Times New Roman"/>
                <w:sz w:val="20"/>
                <w:szCs w:val="20"/>
              </w:rPr>
            </w:pPr>
          </w:p>
        </w:tc>
        <w:tc>
          <w:tcPr>
            <w:tcW w:w="4107" w:type="dxa"/>
            <w:tcBorders>
              <w:top w:val="nil"/>
              <w:left w:val="nil"/>
              <w:bottom w:val="single" w:sz="4" w:space="0" w:color="auto"/>
              <w:right w:val="single" w:sz="4" w:space="0" w:color="auto"/>
            </w:tcBorders>
            <w:shd w:val="clear" w:color="auto" w:fill="auto"/>
            <w:vAlign w:val="bottom"/>
          </w:tcPr>
          <w:p w:rsidR="00F7709B" w:rsidRPr="00432C28" w:rsidRDefault="00F7709B" w:rsidP="00F54846">
            <w:pPr>
              <w:ind w:firstLineChars="300" w:firstLine="600"/>
              <w:rPr>
                <w:rFonts w:eastAsia="Times New Roman" w:cs="Times New Roman"/>
                <w:sz w:val="20"/>
                <w:szCs w:val="20"/>
              </w:rPr>
            </w:pPr>
            <w:r w:rsidRPr="00432C28">
              <w:rPr>
                <w:rFonts w:eastAsia="Times New Roman" w:cs="Times New Roman"/>
                <w:sz w:val="20"/>
                <w:szCs w:val="20"/>
              </w:rPr>
              <w:t xml:space="preserve">iii)     Money is discounted, not energy savings </w:t>
            </w:r>
          </w:p>
        </w:tc>
        <w:tc>
          <w:tcPr>
            <w:tcW w:w="3978" w:type="dxa"/>
            <w:tcBorders>
              <w:top w:val="nil"/>
              <w:left w:val="nil"/>
              <w:bottom w:val="single" w:sz="4" w:space="0" w:color="auto"/>
              <w:right w:val="single" w:sz="4" w:space="0" w:color="auto"/>
            </w:tcBorders>
            <w:shd w:val="clear" w:color="auto" w:fill="auto"/>
            <w:vAlign w:val="bottom"/>
          </w:tcPr>
          <w:p w:rsidR="00F7709B" w:rsidRPr="00432C28" w:rsidRDefault="00F7709B" w:rsidP="00F7709B">
            <w:pPr>
              <w:rPr>
                <w:rFonts w:eastAsia="Times New Roman" w:cs="Times New Roman"/>
                <w:sz w:val="20"/>
                <w:szCs w:val="20"/>
              </w:rPr>
            </w:pPr>
            <w:r w:rsidRPr="00432C28">
              <w:rPr>
                <w:rFonts w:eastAsia="Times New Roman" w:cs="Times New Roman"/>
                <w:sz w:val="20"/>
                <w:szCs w:val="20"/>
              </w:rPr>
              <w:t>Only monetary values (avoided cost benefits) were discounted.</w:t>
            </w:r>
          </w:p>
        </w:tc>
      </w:tr>
      <w:tr w:rsidR="00F7709B" w:rsidRPr="00432C28">
        <w:trPr>
          <w:trHeight w:val="975"/>
        </w:trPr>
        <w:tc>
          <w:tcPr>
            <w:tcW w:w="0" w:type="auto"/>
            <w:tcBorders>
              <w:top w:val="nil"/>
              <w:left w:val="single" w:sz="4" w:space="0" w:color="auto"/>
              <w:bottom w:val="single" w:sz="4" w:space="0" w:color="auto"/>
              <w:right w:val="single" w:sz="4" w:space="0" w:color="auto"/>
            </w:tcBorders>
            <w:shd w:val="clear" w:color="auto" w:fill="auto"/>
            <w:vAlign w:val="bottom"/>
          </w:tcPr>
          <w:p w:rsidR="00F7709B" w:rsidRPr="00432C28" w:rsidRDefault="00F7709B" w:rsidP="00F7709B">
            <w:pPr>
              <w:rPr>
                <w:rFonts w:eastAsia="Times New Roman" w:cs="Times New Roman"/>
                <w:b/>
                <w:bCs/>
                <w:sz w:val="20"/>
                <w:szCs w:val="20"/>
              </w:rPr>
            </w:pPr>
            <w:r w:rsidRPr="00432C28">
              <w:rPr>
                <w:rFonts w:eastAsia="Times New Roman" w:cs="Times New Roman"/>
                <w:b/>
                <w:bCs/>
                <w:sz w:val="20"/>
                <w:szCs w:val="20"/>
              </w:rPr>
              <w:t xml:space="preserve">4) Achievable Potential </w:t>
            </w:r>
          </w:p>
        </w:tc>
        <w:tc>
          <w:tcPr>
            <w:tcW w:w="4107" w:type="dxa"/>
            <w:tcBorders>
              <w:top w:val="nil"/>
              <w:left w:val="nil"/>
              <w:bottom w:val="single" w:sz="4" w:space="0" w:color="auto"/>
              <w:right w:val="single" w:sz="4" w:space="0" w:color="auto"/>
            </w:tcBorders>
            <w:shd w:val="clear" w:color="auto" w:fill="auto"/>
            <w:vAlign w:val="bottom"/>
          </w:tcPr>
          <w:p w:rsidR="00F7709B" w:rsidRPr="00432C28" w:rsidRDefault="00F7709B" w:rsidP="00F7709B">
            <w:pPr>
              <w:rPr>
                <w:rFonts w:eastAsia="Times New Roman" w:cs="Times New Roman"/>
                <w:sz w:val="20"/>
                <w:szCs w:val="20"/>
              </w:rPr>
            </w:pPr>
            <w:r w:rsidRPr="00432C28">
              <w:rPr>
                <w:rFonts w:eastAsia="Times New Roman" w:cs="Times New Roman"/>
                <w:sz w:val="20"/>
                <w:szCs w:val="20"/>
              </w:rPr>
              <w:t>a)      Annual acquisition targets established through Integrated Resource Acquisition Planning (IRP) process (i.e., portfolio modeling)</w:t>
            </w:r>
          </w:p>
        </w:tc>
        <w:tc>
          <w:tcPr>
            <w:tcW w:w="3978" w:type="dxa"/>
            <w:tcBorders>
              <w:top w:val="nil"/>
              <w:left w:val="nil"/>
              <w:bottom w:val="single" w:sz="4" w:space="0" w:color="auto"/>
              <w:right w:val="single" w:sz="4" w:space="0" w:color="auto"/>
            </w:tcBorders>
            <w:shd w:val="clear" w:color="auto" w:fill="auto"/>
            <w:vAlign w:val="bottom"/>
          </w:tcPr>
          <w:p w:rsidR="00F7709B" w:rsidRPr="00432C28" w:rsidRDefault="00F7709B" w:rsidP="00F7709B">
            <w:pPr>
              <w:rPr>
                <w:rFonts w:eastAsia="Times New Roman" w:cs="Times New Roman"/>
                <w:sz w:val="20"/>
                <w:szCs w:val="20"/>
              </w:rPr>
            </w:pPr>
            <w:r w:rsidRPr="00432C28">
              <w:rPr>
                <w:rFonts w:eastAsia="Times New Roman" w:cs="Times New Roman"/>
                <w:sz w:val="20"/>
                <w:szCs w:val="20"/>
              </w:rPr>
              <w:t>PacifiCorp use</w:t>
            </w:r>
            <w:r w:rsidR="00DC50FB" w:rsidRPr="00432C28">
              <w:rPr>
                <w:rFonts w:eastAsia="Times New Roman" w:cs="Times New Roman"/>
                <w:sz w:val="20"/>
                <w:szCs w:val="20"/>
              </w:rPr>
              <w:t>d</w:t>
            </w:r>
            <w:r w:rsidRPr="00432C28">
              <w:rPr>
                <w:rFonts w:eastAsia="Times New Roman" w:cs="Times New Roman"/>
                <w:sz w:val="20"/>
                <w:szCs w:val="20"/>
              </w:rPr>
              <w:t xml:space="preserve"> the same methodology.</w:t>
            </w:r>
          </w:p>
        </w:tc>
      </w:tr>
      <w:tr w:rsidR="00F7709B" w:rsidRPr="00432C28">
        <w:trPr>
          <w:trHeight w:val="975"/>
        </w:trPr>
        <w:tc>
          <w:tcPr>
            <w:tcW w:w="0" w:type="auto"/>
            <w:tcBorders>
              <w:top w:val="nil"/>
              <w:left w:val="single" w:sz="4" w:space="0" w:color="auto"/>
              <w:bottom w:val="single" w:sz="4" w:space="0" w:color="auto"/>
              <w:right w:val="single" w:sz="4" w:space="0" w:color="auto"/>
            </w:tcBorders>
            <w:shd w:val="clear" w:color="auto" w:fill="auto"/>
            <w:vAlign w:val="bottom"/>
          </w:tcPr>
          <w:p w:rsidR="00F7709B" w:rsidRPr="00432C28" w:rsidRDefault="00F7709B" w:rsidP="00F7709B">
            <w:pPr>
              <w:rPr>
                <w:rFonts w:eastAsia="Times New Roman" w:cs="Times New Roman"/>
                <w:b/>
                <w:bCs/>
                <w:sz w:val="20"/>
                <w:szCs w:val="20"/>
              </w:rPr>
            </w:pPr>
          </w:p>
        </w:tc>
        <w:tc>
          <w:tcPr>
            <w:tcW w:w="4107" w:type="dxa"/>
            <w:tcBorders>
              <w:top w:val="nil"/>
              <w:left w:val="nil"/>
              <w:bottom w:val="single" w:sz="4" w:space="0" w:color="auto"/>
              <w:right w:val="single" w:sz="4" w:space="0" w:color="auto"/>
            </w:tcBorders>
            <w:shd w:val="clear" w:color="auto" w:fill="auto"/>
            <w:vAlign w:val="bottom"/>
          </w:tcPr>
          <w:p w:rsidR="00F7709B" w:rsidRPr="00432C28" w:rsidRDefault="00F7709B" w:rsidP="00F7709B">
            <w:pPr>
              <w:rPr>
                <w:rFonts w:eastAsia="Times New Roman" w:cs="Times New Roman"/>
                <w:sz w:val="20"/>
                <w:szCs w:val="20"/>
              </w:rPr>
            </w:pPr>
            <w:r w:rsidRPr="00432C28">
              <w:rPr>
                <w:rFonts w:eastAsia="Times New Roman" w:cs="Times New Roman"/>
                <w:sz w:val="20"/>
                <w:szCs w:val="20"/>
              </w:rPr>
              <w:t>b)      Conservation competes against all other resource options in portfolio analysis</w:t>
            </w:r>
          </w:p>
        </w:tc>
        <w:tc>
          <w:tcPr>
            <w:tcW w:w="3978" w:type="dxa"/>
            <w:tcBorders>
              <w:top w:val="nil"/>
              <w:left w:val="nil"/>
              <w:bottom w:val="single" w:sz="4" w:space="0" w:color="auto"/>
              <w:right w:val="single" w:sz="4" w:space="0" w:color="auto"/>
            </w:tcBorders>
            <w:shd w:val="clear" w:color="auto" w:fill="auto"/>
            <w:vAlign w:val="center"/>
          </w:tcPr>
          <w:p w:rsidR="00F7709B" w:rsidRPr="00432C28" w:rsidRDefault="00F7709B" w:rsidP="00F7709B">
            <w:pPr>
              <w:rPr>
                <w:rFonts w:eastAsia="Times New Roman" w:cs="Times New Roman"/>
                <w:sz w:val="20"/>
                <w:szCs w:val="20"/>
              </w:rPr>
            </w:pPr>
            <w:r w:rsidRPr="00432C28">
              <w:rPr>
                <w:rFonts w:eastAsia="Times New Roman" w:cs="Times New Roman"/>
                <w:sz w:val="20"/>
                <w:szCs w:val="20"/>
              </w:rPr>
              <w:t>With the exception of discounts for risk mitigation and the 10% regional act credit PacifiCorp’s 201</w:t>
            </w:r>
            <w:r w:rsidR="00DC50FB" w:rsidRPr="00432C28">
              <w:rPr>
                <w:rFonts w:eastAsia="Times New Roman" w:cs="Times New Roman"/>
                <w:sz w:val="20"/>
                <w:szCs w:val="20"/>
              </w:rPr>
              <w:t>3</w:t>
            </w:r>
            <w:r w:rsidRPr="00432C28">
              <w:rPr>
                <w:rFonts w:eastAsia="Times New Roman" w:cs="Times New Roman"/>
                <w:sz w:val="20"/>
                <w:szCs w:val="20"/>
              </w:rPr>
              <w:t xml:space="preserve"> IRP model treats energy efficiency resources and supply-side options equally.</w:t>
            </w:r>
          </w:p>
        </w:tc>
      </w:tr>
      <w:tr w:rsidR="00F7709B" w:rsidRPr="00432C28">
        <w:trPr>
          <w:trHeight w:val="300"/>
        </w:trPr>
        <w:tc>
          <w:tcPr>
            <w:tcW w:w="0" w:type="auto"/>
            <w:vMerge w:val="restart"/>
            <w:tcBorders>
              <w:top w:val="nil"/>
              <w:left w:val="single" w:sz="4" w:space="0" w:color="auto"/>
              <w:bottom w:val="single" w:sz="4" w:space="0" w:color="auto"/>
              <w:right w:val="single" w:sz="4" w:space="0" w:color="auto"/>
            </w:tcBorders>
            <w:vAlign w:val="center"/>
          </w:tcPr>
          <w:p w:rsidR="00F7709B" w:rsidRPr="00432C28" w:rsidRDefault="00F7709B" w:rsidP="00F7709B">
            <w:pPr>
              <w:rPr>
                <w:rFonts w:eastAsia="Times New Roman" w:cs="Times New Roman"/>
                <w:sz w:val="20"/>
                <w:szCs w:val="20"/>
              </w:rPr>
            </w:pPr>
          </w:p>
        </w:tc>
        <w:tc>
          <w:tcPr>
            <w:tcW w:w="4107" w:type="dxa"/>
            <w:tcBorders>
              <w:top w:val="nil"/>
              <w:left w:val="nil"/>
              <w:bottom w:val="single" w:sz="4" w:space="0" w:color="auto"/>
              <w:right w:val="single" w:sz="4" w:space="0" w:color="auto"/>
            </w:tcBorders>
            <w:shd w:val="clear" w:color="auto" w:fill="auto"/>
            <w:vAlign w:val="bottom"/>
          </w:tcPr>
          <w:p w:rsidR="00F7709B" w:rsidRPr="00432C28" w:rsidRDefault="00F7709B" w:rsidP="00F54846">
            <w:pPr>
              <w:ind w:firstLineChars="300" w:firstLine="600"/>
              <w:rPr>
                <w:rFonts w:eastAsia="Times New Roman" w:cs="Times New Roman"/>
                <w:sz w:val="20"/>
                <w:szCs w:val="20"/>
              </w:rPr>
            </w:pPr>
            <w:r w:rsidRPr="00432C28">
              <w:rPr>
                <w:rFonts w:eastAsia="Times New Roman" w:cs="Times New Roman"/>
                <w:sz w:val="20"/>
                <w:szCs w:val="20"/>
              </w:rPr>
              <w:t>i)        Conservation resource supply curves separated into</w:t>
            </w:r>
          </w:p>
        </w:tc>
        <w:tc>
          <w:tcPr>
            <w:tcW w:w="3978" w:type="dxa"/>
            <w:tcBorders>
              <w:top w:val="nil"/>
              <w:left w:val="nil"/>
              <w:bottom w:val="single" w:sz="4" w:space="0" w:color="auto"/>
              <w:right w:val="single" w:sz="4" w:space="0" w:color="auto"/>
            </w:tcBorders>
            <w:shd w:val="clear" w:color="auto" w:fill="auto"/>
            <w:vAlign w:val="center"/>
          </w:tcPr>
          <w:p w:rsidR="00F7709B" w:rsidRPr="00432C28" w:rsidRDefault="00F7709B" w:rsidP="00F7709B">
            <w:pPr>
              <w:rPr>
                <w:rFonts w:eastAsia="Times New Roman" w:cs="Times New Roman"/>
                <w:sz w:val="20"/>
                <w:szCs w:val="20"/>
              </w:rPr>
            </w:pPr>
            <w:r w:rsidRPr="00432C28">
              <w:rPr>
                <w:rFonts w:eastAsia="Times New Roman" w:cs="Times New Roman"/>
                <w:sz w:val="20"/>
                <w:szCs w:val="20"/>
              </w:rPr>
              <w:t> </w:t>
            </w:r>
          </w:p>
        </w:tc>
      </w:tr>
      <w:tr w:rsidR="00F7709B" w:rsidRPr="00432C28">
        <w:trPr>
          <w:trHeight w:val="300"/>
        </w:trPr>
        <w:tc>
          <w:tcPr>
            <w:tcW w:w="0" w:type="auto"/>
            <w:vMerge/>
            <w:tcBorders>
              <w:top w:val="nil"/>
              <w:left w:val="single" w:sz="4" w:space="0" w:color="auto"/>
              <w:bottom w:val="single" w:sz="4" w:space="0" w:color="auto"/>
              <w:right w:val="single" w:sz="4" w:space="0" w:color="auto"/>
            </w:tcBorders>
            <w:vAlign w:val="center"/>
          </w:tcPr>
          <w:p w:rsidR="00F7709B" w:rsidRPr="00432C28" w:rsidRDefault="00F7709B" w:rsidP="00F7709B">
            <w:pPr>
              <w:rPr>
                <w:rFonts w:eastAsia="Times New Roman" w:cs="Times New Roman"/>
                <w:sz w:val="20"/>
                <w:szCs w:val="20"/>
              </w:rPr>
            </w:pPr>
          </w:p>
        </w:tc>
        <w:tc>
          <w:tcPr>
            <w:tcW w:w="4107" w:type="dxa"/>
            <w:tcBorders>
              <w:top w:val="nil"/>
              <w:left w:val="nil"/>
              <w:bottom w:val="single" w:sz="4" w:space="0" w:color="auto"/>
              <w:right w:val="single" w:sz="4" w:space="0" w:color="auto"/>
            </w:tcBorders>
            <w:shd w:val="clear" w:color="auto" w:fill="auto"/>
            <w:vAlign w:val="bottom"/>
          </w:tcPr>
          <w:p w:rsidR="00F7709B" w:rsidRPr="00432C28" w:rsidRDefault="00F7709B" w:rsidP="00F54846">
            <w:pPr>
              <w:ind w:firstLineChars="400" w:firstLine="800"/>
              <w:rPr>
                <w:rFonts w:eastAsia="Times New Roman" w:cs="Times New Roman"/>
                <w:sz w:val="20"/>
                <w:szCs w:val="20"/>
              </w:rPr>
            </w:pPr>
            <w:r w:rsidRPr="00432C28">
              <w:rPr>
                <w:rFonts w:eastAsia="Times New Roman" w:cs="Times New Roman"/>
                <w:sz w:val="20"/>
                <w:szCs w:val="20"/>
              </w:rPr>
              <w:t>(1)    Discretionary (non-lost opportunity)</w:t>
            </w:r>
          </w:p>
        </w:tc>
        <w:tc>
          <w:tcPr>
            <w:tcW w:w="3978" w:type="dxa"/>
            <w:vMerge w:val="restart"/>
            <w:tcBorders>
              <w:top w:val="nil"/>
              <w:left w:val="single" w:sz="4" w:space="0" w:color="auto"/>
              <w:right w:val="single" w:sz="4" w:space="0" w:color="auto"/>
            </w:tcBorders>
            <w:shd w:val="clear" w:color="auto" w:fill="auto"/>
            <w:vAlign w:val="center"/>
          </w:tcPr>
          <w:p w:rsidR="00F7709B" w:rsidRPr="00432C28" w:rsidRDefault="00F7709B" w:rsidP="00F7709B">
            <w:pPr>
              <w:rPr>
                <w:rFonts w:eastAsia="Times New Roman" w:cs="Times New Roman"/>
                <w:sz w:val="20"/>
                <w:szCs w:val="20"/>
              </w:rPr>
            </w:pPr>
            <w:r w:rsidRPr="00432C28">
              <w:rPr>
                <w:rFonts w:eastAsia="Times New Roman" w:cs="Times New Roman"/>
                <w:sz w:val="20"/>
                <w:szCs w:val="20"/>
              </w:rPr>
              <w:t>PacifiCorp used identical definitions and reported the results in these formats in the conservation potential assessment.</w:t>
            </w:r>
          </w:p>
        </w:tc>
      </w:tr>
      <w:tr w:rsidR="00F7709B" w:rsidRPr="00432C28">
        <w:trPr>
          <w:trHeight w:val="300"/>
        </w:trPr>
        <w:tc>
          <w:tcPr>
            <w:tcW w:w="0" w:type="auto"/>
            <w:vMerge/>
            <w:tcBorders>
              <w:top w:val="nil"/>
              <w:left w:val="single" w:sz="4" w:space="0" w:color="auto"/>
              <w:bottom w:val="single" w:sz="4" w:space="0" w:color="auto"/>
              <w:right w:val="single" w:sz="4" w:space="0" w:color="auto"/>
            </w:tcBorders>
            <w:vAlign w:val="center"/>
          </w:tcPr>
          <w:p w:rsidR="00F7709B" w:rsidRPr="00432C28" w:rsidRDefault="00F7709B" w:rsidP="00F7709B">
            <w:pPr>
              <w:rPr>
                <w:rFonts w:eastAsia="Times New Roman" w:cs="Times New Roman"/>
                <w:sz w:val="20"/>
                <w:szCs w:val="20"/>
              </w:rPr>
            </w:pPr>
          </w:p>
        </w:tc>
        <w:tc>
          <w:tcPr>
            <w:tcW w:w="4107" w:type="dxa"/>
            <w:tcBorders>
              <w:top w:val="nil"/>
              <w:left w:val="nil"/>
              <w:bottom w:val="single" w:sz="4" w:space="0" w:color="auto"/>
              <w:right w:val="single" w:sz="4" w:space="0" w:color="auto"/>
            </w:tcBorders>
            <w:shd w:val="clear" w:color="auto" w:fill="auto"/>
            <w:vAlign w:val="bottom"/>
          </w:tcPr>
          <w:p w:rsidR="00F7709B" w:rsidRPr="00432C28" w:rsidRDefault="00F7709B" w:rsidP="00F54846">
            <w:pPr>
              <w:ind w:firstLineChars="400" w:firstLine="800"/>
              <w:rPr>
                <w:rFonts w:eastAsia="Times New Roman" w:cs="Times New Roman"/>
                <w:sz w:val="20"/>
                <w:szCs w:val="20"/>
              </w:rPr>
            </w:pPr>
            <w:r w:rsidRPr="00432C28">
              <w:rPr>
                <w:rFonts w:eastAsia="Times New Roman" w:cs="Times New Roman"/>
                <w:sz w:val="20"/>
                <w:szCs w:val="20"/>
              </w:rPr>
              <w:t>(2)    Lost-opportunity</w:t>
            </w:r>
          </w:p>
        </w:tc>
        <w:tc>
          <w:tcPr>
            <w:tcW w:w="3978" w:type="dxa"/>
            <w:vMerge/>
            <w:tcBorders>
              <w:left w:val="single" w:sz="4" w:space="0" w:color="auto"/>
              <w:bottom w:val="single" w:sz="4" w:space="0" w:color="auto"/>
              <w:right w:val="single" w:sz="4" w:space="0" w:color="auto"/>
            </w:tcBorders>
            <w:shd w:val="clear" w:color="auto" w:fill="auto"/>
            <w:vAlign w:val="center"/>
          </w:tcPr>
          <w:p w:rsidR="00F7709B" w:rsidRPr="00432C28" w:rsidRDefault="00F7709B" w:rsidP="00F7709B">
            <w:pPr>
              <w:rPr>
                <w:rFonts w:eastAsia="Times New Roman" w:cs="Times New Roman"/>
                <w:sz w:val="20"/>
                <w:szCs w:val="20"/>
              </w:rPr>
            </w:pPr>
          </w:p>
        </w:tc>
      </w:tr>
      <w:tr w:rsidR="00F7709B" w:rsidRPr="00432C28">
        <w:trPr>
          <w:trHeight w:val="900"/>
        </w:trPr>
        <w:tc>
          <w:tcPr>
            <w:tcW w:w="0" w:type="auto"/>
            <w:vMerge/>
            <w:tcBorders>
              <w:top w:val="nil"/>
              <w:left w:val="single" w:sz="4" w:space="0" w:color="auto"/>
              <w:bottom w:val="single" w:sz="4" w:space="0" w:color="auto"/>
              <w:right w:val="single" w:sz="4" w:space="0" w:color="auto"/>
            </w:tcBorders>
            <w:vAlign w:val="center"/>
          </w:tcPr>
          <w:p w:rsidR="00F7709B" w:rsidRPr="00432C28" w:rsidRDefault="00F7709B" w:rsidP="00F7709B">
            <w:pPr>
              <w:rPr>
                <w:rFonts w:eastAsia="Times New Roman" w:cs="Times New Roman"/>
                <w:sz w:val="20"/>
                <w:szCs w:val="20"/>
              </w:rPr>
            </w:pPr>
          </w:p>
        </w:tc>
        <w:tc>
          <w:tcPr>
            <w:tcW w:w="4107" w:type="dxa"/>
            <w:tcBorders>
              <w:top w:val="nil"/>
              <w:left w:val="nil"/>
              <w:bottom w:val="single" w:sz="4" w:space="0" w:color="auto"/>
              <w:right w:val="single" w:sz="4" w:space="0" w:color="auto"/>
            </w:tcBorders>
            <w:shd w:val="clear" w:color="auto" w:fill="auto"/>
            <w:vAlign w:val="bottom"/>
          </w:tcPr>
          <w:p w:rsidR="00F7709B" w:rsidRPr="00432C28" w:rsidRDefault="00F7709B" w:rsidP="00F54846">
            <w:pPr>
              <w:ind w:firstLineChars="400" w:firstLine="800"/>
              <w:rPr>
                <w:rFonts w:eastAsia="Times New Roman" w:cs="Times New Roman"/>
                <w:sz w:val="20"/>
                <w:szCs w:val="20"/>
              </w:rPr>
            </w:pPr>
            <w:r w:rsidRPr="00432C28">
              <w:rPr>
                <w:rFonts w:eastAsia="Times New Roman" w:cs="Times New Roman"/>
                <w:sz w:val="20"/>
                <w:szCs w:val="20"/>
              </w:rPr>
              <w:t>(3)    Annual achievable potential constrained by historic “ramp rates” for discretionary and lost-opportunity resources</w:t>
            </w:r>
          </w:p>
        </w:tc>
        <w:tc>
          <w:tcPr>
            <w:tcW w:w="3978" w:type="dxa"/>
            <w:vMerge w:val="restart"/>
            <w:tcBorders>
              <w:top w:val="nil"/>
              <w:left w:val="single" w:sz="4" w:space="0" w:color="auto"/>
              <w:right w:val="single" w:sz="4" w:space="0" w:color="auto"/>
            </w:tcBorders>
            <w:shd w:val="clear" w:color="auto" w:fill="auto"/>
            <w:vAlign w:val="center"/>
          </w:tcPr>
          <w:p w:rsidR="00F7709B" w:rsidRPr="00432C28" w:rsidRDefault="00F7709B" w:rsidP="00F7709B">
            <w:pPr>
              <w:rPr>
                <w:rFonts w:eastAsia="Times New Roman" w:cs="Times New Roman"/>
                <w:sz w:val="20"/>
                <w:szCs w:val="20"/>
              </w:rPr>
            </w:pPr>
            <w:r w:rsidRPr="00432C28">
              <w:rPr>
                <w:rFonts w:eastAsia="Times New Roman" w:cs="Times New Roman"/>
                <w:sz w:val="20"/>
                <w:szCs w:val="20"/>
              </w:rPr>
              <w:t xml:space="preserve">In its Conservation Potential Assessment, PacifiCorp used the Council's assumption of </w:t>
            </w:r>
            <w:r w:rsidR="00683EC3">
              <w:rPr>
                <w:rFonts w:eastAsia="Times New Roman" w:cs="Times New Roman"/>
                <w:sz w:val="20"/>
                <w:szCs w:val="20"/>
              </w:rPr>
              <w:t xml:space="preserve">a </w:t>
            </w:r>
            <w:r w:rsidRPr="00432C28">
              <w:rPr>
                <w:rFonts w:eastAsia="Times New Roman" w:cs="Times New Roman"/>
                <w:sz w:val="20"/>
                <w:szCs w:val="20"/>
              </w:rPr>
              <w:t xml:space="preserve">maximum 85% achievable potential for retrofit or non-lost opportunity and </w:t>
            </w:r>
            <w:r w:rsidR="00854796" w:rsidRPr="00432C28">
              <w:rPr>
                <w:rFonts w:eastAsia="Times New Roman" w:cs="Times New Roman"/>
                <w:sz w:val="20"/>
                <w:szCs w:val="20"/>
              </w:rPr>
              <w:t>72</w:t>
            </w:r>
            <w:r w:rsidRPr="00432C28">
              <w:rPr>
                <w:rFonts w:eastAsia="Times New Roman" w:cs="Times New Roman"/>
                <w:sz w:val="20"/>
                <w:szCs w:val="20"/>
              </w:rPr>
              <w:t xml:space="preserve">% for lost opportunities; an effective achievable of </w:t>
            </w:r>
            <w:r w:rsidR="00854796" w:rsidRPr="00432C28">
              <w:rPr>
                <w:rFonts w:eastAsia="Times New Roman" w:cs="Times New Roman"/>
                <w:sz w:val="20"/>
                <w:szCs w:val="20"/>
              </w:rPr>
              <w:t>79</w:t>
            </w:r>
            <w:r w:rsidRPr="00432C28">
              <w:rPr>
                <w:rFonts w:eastAsia="Times New Roman" w:cs="Times New Roman"/>
                <w:sz w:val="20"/>
                <w:szCs w:val="20"/>
              </w:rPr>
              <w:t xml:space="preserve">%.  </w:t>
            </w:r>
          </w:p>
          <w:p w:rsidR="00F7709B" w:rsidRPr="00432C28" w:rsidRDefault="00F7709B" w:rsidP="00F7709B">
            <w:pPr>
              <w:rPr>
                <w:rFonts w:eastAsia="Times New Roman" w:cs="Times New Roman"/>
                <w:sz w:val="20"/>
                <w:szCs w:val="20"/>
              </w:rPr>
            </w:pPr>
          </w:p>
          <w:p w:rsidR="00F7709B" w:rsidRPr="00432C28" w:rsidRDefault="00F7709B" w:rsidP="00854796">
            <w:pPr>
              <w:rPr>
                <w:rFonts w:eastAsia="Times New Roman" w:cs="Times New Roman"/>
                <w:sz w:val="20"/>
                <w:szCs w:val="20"/>
              </w:rPr>
            </w:pPr>
            <w:r w:rsidRPr="00432C28">
              <w:rPr>
                <w:rFonts w:eastAsia="Times New Roman" w:cs="Times New Roman"/>
                <w:sz w:val="20"/>
                <w:szCs w:val="20"/>
              </w:rPr>
              <w:t>Ramp rates were developed for each measure and state reflecting the relative state of technology and state program. New technologies and states with newer programs</w:t>
            </w:r>
            <w:r w:rsidR="002E6C6E">
              <w:rPr>
                <w:rFonts w:eastAsia="Times New Roman" w:cs="Times New Roman"/>
                <w:sz w:val="20"/>
                <w:szCs w:val="20"/>
              </w:rPr>
              <w:t xml:space="preserve"> </w:t>
            </w:r>
            <w:r w:rsidR="00854796" w:rsidRPr="00432C28">
              <w:rPr>
                <w:rFonts w:eastAsia="Times New Roman" w:cs="Times New Roman"/>
                <w:sz w:val="20"/>
                <w:szCs w:val="20"/>
              </w:rPr>
              <w:t>(</w:t>
            </w:r>
            <w:r w:rsidR="008A70A4" w:rsidRPr="00432C28">
              <w:rPr>
                <w:rFonts w:eastAsia="Times New Roman" w:cs="Times New Roman"/>
                <w:sz w:val="20"/>
                <w:szCs w:val="20"/>
              </w:rPr>
              <w:t>e.g.</w:t>
            </w:r>
            <w:r w:rsidR="002E6C6E">
              <w:rPr>
                <w:rFonts w:eastAsia="Times New Roman" w:cs="Times New Roman"/>
                <w:sz w:val="20"/>
                <w:szCs w:val="20"/>
              </w:rPr>
              <w:t>,</w:t>
            </w:r>
            <w:r w:rsidR="008A70A4" w:rsidRPr="00432C28">
              <w:rPr>
                <w:rFonts w:eastAsia="Times New Roman" w:cs="Times New Roman"/>
                <w:sz w:val="20"/>
                <w:szCs w:val="20"/>
              </w:rPr>
              <w:t xml:space="preserve"> Wyoming</w:t>
            </w:r>
            <w:r w:rsidR="00854796" w:rsidRPr="00432C28">
              <w:rPr>
                <w:rFonts w:eastAsia="Times New Roman" w:cs="Times New Roman"/>
                <w:sz w:val="20"/>
                <w:szCs w:val="20"/>
              </w:rPr>
              <w:t>)</w:t>
            </w:r>
            <w:r w:rsidRPr="00432C28">
              <w:rPr>
                <w:rFonts w:eastAsia="Times New Roman" w:cs="Times New Roman"/>
                <w:sz w:val="20"/>
                <w:szCs w:val="20"/>
              </w:rPr>
              <w:t xml:space="preserve"> assumed to take more time to ramp up than states and technologies with more extensive track records</w:t>
            </w:r>
            <w:r w:rsidR="00854796" w:rsidRPr="00432C28">
              <w:rPr>
                <w:rFonts w:eastAsia="Times New Roman" w:cs="Times New Roman"/>
                <w:sz w:val="20"/>
                <w:szCs w:val="20"/>
              </w:rPr>
              <w:t>(</w:t>
            </w:r>
            <w:r w:rsidR="008A70A4" w:rsidRPr="00432C28">
              <w:rPr>
                <w:rFonts w:eastAsia="Times New Roman" w:cs="Times New Roman"/>
                <w:sz w:val="20"/>
                <w:szCs w:val="20"/>
              </w:rPr>
              <w:t xml:space="preserve">e.g. </w:t>
            </w:r>
            <w:r w:rsidRPr="00432C28">
              <w:rPr>
                <w:rFonts w:eastAsia="Times New Roman" w:cs="Times New Roman"/>
                <w:sz w:val="20"/>
                <w:szCs w:val="20"/>
              </w:rPr>
              <w:t>Washington and Utah</w:t>
            </w:r>
            <w:r w:rsidR="00854796" w:rsidRPr="00432C28">
              <w:rPr>
                <w:rFonts w:eastAsia="Times New Roman" w:cs="Times New Roman"/>
                <w:sz w:val="20"/>
                <w:szCs w:val="20"/>
              </w:rPr>
              <w:t>)</w:t>
            </w:r>
            <w:r w:rsidRPr="00432C28">
              <w:rPr>
                <w:rFonts w:eastAsia="Times New Roman" w:cs="Times New Roman"/>
                <w:sz w:val="20"/>
                <w:szCs w:val="20"/>
              </w:rPr>
              <w:t xml:space="preserve">. </w:t>
            </w:r>
          </w:p>
        </w:tc>
      </w:tr>
      <w:tr w:rsidR="00F7709B" w:rsidRPr="00432C28">
        <w:trPr>
          <w:trHeight w:val="1200"/>
        </w:trPr>
        <w:tc>
          <w:tcPr>
            <w:tcW w:w="0" w:type="auto"/>
            <w:vMerge/>
            <w:tcBorders>
              <w:top w:val="nil"/>
              <w:left w:val="single" w:sz="4" w:space="0" w:color="auto"/>
              <w:bottom w:val="single" w:sz="4" w:space="0" w:color="auto"/>
              <w:right w:val="single" w:sz="4" w:space="0" w:color="auto"/>
            </w:tcBorders>
            <w:vAlign w:val="center"/>
          </w:tcPr>
          <w:p w:rsidR="00F7709B" w:rsidRPr="00432C28" w:rsidRDefault="00F7709B" w:rsidP="00F7709B">
            <w:pPr>
              <w:rPr>
                <w:rFonts w:eastAsia="Times New Roman" w:cs="Times New Roman"/>
                <w:sz w:val="20"/>
                <w:szCs w:val="20"/>
              </w:rPr>
            </w:pPr>
          </w:p>
        </w:tc>
        <w:tc>
          <w:tcPr>
            <w:tcW w:w="4107" w:type="dxa"/>
            <w:tcBorders>
              <w:top w:val="nil"/>
              <w:left w:val="nil"/>
              <w:bottom w:val="single" w:sz="4" w:space="0" w:color="auto"/>
              <w:right w:val="single" w:sz="4" w:space="0" w:color="auto"/>
            </w:tcBorders>
            <w:shd w:val="clear" w:color="auto" w:fill="auto"/>
            <w:vAlign w:val="bottom"/>
          </w:tcPr>
          <w:p w:rsidR="00F7709B" w:rsidRPr="00432C28" w:rsidRDefault="00F7709B" w:rsidP="00F54846">
            <w:pPr>
              <w:ind w:firstLineChars="600" w:firstLine="1200"/>
              <w:rPr>
                <w:rFonts w:eastAsia="Times New Roman" w:cs="Times New Roman"/>
                <w:sz w:val="20"/>
                <w:szCs w:val="20"/>
              </w:rPr>
            </w:pPr>
            <w:r w:rsidRPr="00432C28">
              <w:rPr>
                <w:rFonts w:eastAsia="Times New Roman" w:cs="Times New Roman"/>
                <w:sz w:val="20"/>
                <w:szCs w:val="20"/>
              </w:rPr>
              <w:t>(a)    Maximum ramp up/ramp down rate for discretionary is 3x prior year for discretionary, with upper limit of 85% over 20 year planning period</w:t>
            </w:r>
          </w:p>
        </w:tc>
        <w:tc>
          <w:tcPr>
            <w:tcW w:w="3978" w:type="dxa"/>
            <w:vMerge/>
            <w:tcBorders>
              <w:left w:val="single" w:sz="4" w:space="0" w:color="auto"/>
              <w:right w:val="single" w:sz="4" w:space="0" w:color="auto"/>
            </w:tcBorders>
            <w:shd w:val="clear" w:color="000000" w:fill="FFFF00"/>
            <w:vAlign w:val="center"/>
          </w:tcPr>
          <w:p w:rsidR="00F7709B" w:rsidRPr="00432C28" w:rsidRDefault="00F7709B" w:rsidP="00F7709B">
            <w:pPr>
              <w:rPr>
                <w:rFonts w:eastAsia="Times New Roman" w:cs="Times New Roman"/>
                <w:sz w:val="20"/>
                <w:szCs w:val="20"/>
              </w:rPr>
            </w:pPr>
          </w:p>
        </w:tc>
      </w:tr>
      <w:tr w:rsidR="00F7709B" w:rsidRPr="00432C28">
        <w:trPr>
          <w:trHeight w:val="600"/>
        </w:trPr>
        <w:tc>
          <w:tcPr>
            <w:tcW w:w="0" w:type="auto"/>
            <w:vMerge/>
            <w:tcBorders>
              <w:top w:val="nil"/>
              <w:left w:val="single" w:sz="4" w:space="0" w:color="auto"/>
              <w:bottom w:val="single" w:sz="4" w:space="0" w:color="auto"/>
              <w:right w:val="single" w:sz="4" w:space="0" w:color="auto"/>
            </w:tcBorders>
            <w:vAlign w:val="center"/>
          </w:tcPr>
          <w:p w:rsidR="00F7709B" w:rsidRPr="00432C28" w:rsidRDefault="00F7709B" w:rsidP="00F7709B">
            <w:pPr>
              <w:rPr>
                <w:rFonts w:eastAsia="Times New Roman" w:cs="Times New Roman"/>
                <w:sz w:val="20"/>
                <w:szCs w:val="20"/>
              </w:rPr>
            </w:pPr>
          </w:p>
        </w:tc>
        <w:tc>
          <w:tcPr>
            <w:tcW w:w="4107" w:type="dxa"/>
            <w:tcBorders>
              <w:top w:val="nil"/>
              <w:left w:val="nil"/>
              <w:bottom w:val="single" w:sz="4" w:space="0" w:color="auto"/>
              <w:right w:val="single" w:sz="4" w:space="0" w:color="auto"/>
            </w:tcBorders>
            <w:shd w:val="clear" w:color="auto" w:fill="auto"/>
            <w:vAlign w:val="bottom"/>
          </w:tcPr>
          <w:p w:rsidR="00F7709B" w:rsidRPr="00432C28" w:rsidRDefault="00F7709B" w:rsidP="00F54846">
            <w:pPr>
              <w:ind w:firstLineChars="600" w:firstLine="1200"/>
              <w:rPr>
                <w:rFonts w:eastAsia="Times New Roman" w:cs="Times New Roman"/>
                <w:sz w:val="20"/>
                <w:szCs w:val="20"/>
              </w:rPr>
            </w:pPr>
            <w:r w:rsidRPr="00432C28">
              <w:rPr>
                <w:rFonts w:eastAsia="Times New Roman" w:cs="Times New Roman"/>
                <w:sz w:val="20"/>
                <w:szCs w:val="20"/>
              </w:rPr>
              <w:t>(b)    Ramp rate for lost-opportunity is 15% in first year, growing to 85% in twelfth year</w:t>
            </w:r>
          </w:p>
        </w:tc>
        <w:tc>
          <w:tcPr>
            <w:tcW w:w="3978" w:type="dxa"/>
            <w:vMerge/>
            <w:tcBorders>
              <w:left w:val="single" w:sz="4" w:space="0" w:color="auto"/>
              <w:right w:val="single" w:sz="4" w:space="0" w:color="auto"/>
            </w:tcBorders>
            <w:vAlign w:val="center"/>
          </w:tcPr>
          <w:p w:rsidR="00F7709B" w:rsidRPr="00432C28" w:rsidRDefault="00F7709B" w:rsidP="00F7709B">
            <w:pPr>
              <w:rPr>
                <w:rFonts w:eastAsia="Times New Roman" w:cs="Times New Roman"/>
                <w:sz w:val="20"/>
                <w:szCs w:val="20"/>
              </w:rPr>
            </w:pPr>
          </w:p>
        </w:tc>
      </w:tr>
      <w:tr w:rsidR="00F7709B" w:rsidRPr="00432C28">
        <w:trPr>
          <w:trHeight w:val="1155"/>
        </w:trPr>
        <w:tc>
          <w:tcPr>
            <w:tcW w:w="0" w:type="auto"/>
            <w:vMerge/>
            <w:tcBorders>
              <w:top w:val="nil"/>
              <w:left w:val="single" w:sz="4" w:space="0" w:color="auto"/>
              <w:bottom w:val="single" w:sz="4" w:space="0" w:color="auto"/>
              <w:right w:val="single" w:sz="4" w:space="0" w:color="auto"/>
            </w:tcBorders>
            <w:vAlign w:val="center"/>
          </w:tcPr>
          <w:p w:rsidR="00F7709B" w:rsidRPr="00432C28" w:rsidRDefault="00F7709B" w:rsidP="00F7709B">
            <w:pPr>
              <w:rPr>
                <w:rFonts w:eastAsia="Times New Roman" w:cs="Times New Roman"/>
                <w:sz w:val="20"/>
                <w:szCs w:val="20"/>
              </w:rPr>
            </w:pPr>
          </w:p>
        </w:tc>
        <w:tc>
          <w:tcPr>
            <w:tcW w:w="4107" w:type="dxa"/>
            <w:tcBorders>
              <w:top w:val="nil"/>
              <w:left w:val="nil"/>
              <w:bottom w:val="single" w:sz="4" w:space="0" w:color="auto"/>
              <w:right w:val="single" w:sz="4" w:space="0" w:color="auto"/>
            </w:tcBorders>
            <w:shd w:val="clear" w:color="auto" w:fill="auto"/>
            <w:vAlign w:val="bottom"/>
          </w:tcPr>
          <w:p w:rsidR="00F7709B" w:rsidRPr="00432C28" w:rsidRDefault="00F7709B" w:rsidP="00F54846">
            <w:pPr>
              <w:ind w:firstLineChars="600" w:firstLine="1200"/>
              <w:rPr>
                <w:rFonts w:eastAsia="Times New Roman" w:cs="Times New Roman"/>
                <w:sz w:val="20"/>
                <w:szCs w:val="20"/>
              </w:rPr>
            </w:pPr>
            <w:r w:rsidRPr="00432C28">
              <w:rPr>
                <w:rFonts w:eastAsia="Times New Roman" w:cs="Times New Roman"/>
                <w:sz w:val="20"/>
                <w:szCs w:val="20"/>
              </w:rPr>
              <w:t>(c)    Achievable potentials may vary by type of measure, customer sector, and program design (e.g., measures subject to federal standards can have 100% “achievable” potential)</w:t>
            </w:r>
          </w:p>
        </w:tc>
        <w:tc>
          <w:tcPr>
            <w:tcW w:w="3978" w:type="dxa"/>
            <w:vMerge/>
            <w:tcBorders>
              <w:left w:val="single" w:sz="4" w:space="0" w:color="auto"/>
              <w:bottom w:val="single" w:sz="4" w:space="0" w:color="auto"/>
              <w:right w:val="single" w:sz="4" w:space="0" w:color="auto"/>
            </w:tcBorders>
            <w:vAlign w:val="center"/>
          </w:tcPr>
          <w:p w:rsidR="00F7709B" w:rsidRPr="00432C28" w:rsidRDefault="00F7709B" w:rsidP="00F7709B">
            <w:pPr>
              <w:rPr>
                <w:rFonts w:eastAsia="Times New Roman" w:cs="Times New Roman"/>
                <w:sz w:val="20"/>
                <w:szCs w:val="20"/>
              </w:rPr>
            </w:pPr>
          </w:p>
        </w:tc>
      </w:tr>
      <w:tr w:rsidR="00F7709B" w:rsidRPr="00432C28">
        <w:trPr>
          <w:trHeight w:val="1200"/>
        </w:trPr>
        <w:tc>
          <w:tcPr>
            <w:tcW w:w="0" w:type="auto"/>
            <w:vMerge/>
            <w:tcBorders>
              <w:top w:val="nil"/>
              <w:left w:val="single" w:sz="4" w:space="0" w:color="auto"/>
              <w:bottom w:val="single" w:sz="4" w:space="0" w:color="auto"/>
              <w:right w:val="single" w:sz="4" w:space="0" w:color="auto"/>
            </w:tcBorders>
            <w:vAlign w:val="center"/>
          </w:tcPr>
          <w:p w:rsidR="00F7709B" w:rsidRPr="00432C28" w:rsidRDefault="00F7709B" w:rsidP="00F7709B">
            <w:pPr>
              <w:rPr>
                <w:rFonts w:eastAsia="Times New Roman" w:cs="Times New Roman"/>
                <w:sz w:val="20"/>
                <w:szCs w:val="20"/>
              </w:rPr>
            </w:pPr>
          </w:p>
        </w:tc>
        <w:tc>
          <w:tcPr>
            <w:tcW w:w="4107" w:type="dxa"/>
            <w:tcBorders>
              <w:top w:val="nil"/>
              <w:left w:val="nil"/>
              <w:bottom w:val="single" w:sz="4" w:space="0" w:color="auto"/>
              <w:right w:val="single" w:sz="4" w:space="0" w:color="auto"/>
            </w:tcBorders>
            <w:shd w:val="clear" w:color="auto" w:fill="auto"/>
            <w:vAlign w:val="bottom"/>
          </w:tcPr>
          <w:p w:rsidR="00F7709B" w:rsidRPr="00432C28" w:rsidRDefault="00F7709B" w:rsidP="00F7709B">
            <w:pPr>
              <w:rPr>
                <w:rFonts w:eastAsia="Times New Roman" w:cs="Times New Roman"/>
                <w:sz w:val="20"/>
                <w:szCs w:val="20"/>
              </w:rPr>
            </w:pPr>
            <w:r w:rsidRPr="00432C28">
              <w:rPr>
                <w:rFonts w:eastAsia="Times New Roman" w:cs="Times New Roman"/>
                <w:sz w:val="20"/>
                <w:szCs w:val="20"/>
              </w:rPr>
              <w:t>c)      Revise Technical, Economic and Achievable Potential based on changes in market conditions (e.g., revised codes or standards), program accomplishments, evaluations and experience</w:t>
            </w:r>
          </w:p>
        </w:tc>
        <w:tc>
          <w:tcPr>
            <w:tcW w:w="3978" w:type="dxa"/>
            <w:tcBorders>
              <w:top w:val="single" w:sz="4" w:space="0" w:color="auto"/>
              <w:left w:val="nil"/>
              <w:bottom w:val="single" w:sz="4" w:space="0" w:color="auto"/>
              <w:right w:val="single" w:sz="4" w:space="0" w:color="auto"/>
            </w:tcBorders>
            <w:shd w:val="clear" w:color="000000" w:fill="FFFFFF" w:themeFill="background1"/>
            <w:vAlign w:val="bottom"/>
          </w:tcPr>
          <w:p w:rsidR="00F7709B" w:rsidRPr="00432C28" w:rsidRDefault="00F7709B" w:rsidP="00F7709B">
            <w:pPr>
              <w:rPr>
                <w:rFonts w:eastAsia="Times New Roman" w:cs="Times New Roman"/>
                <w:sz w:val="20"/>
                <w:szCs w:val="20"/>
              </w:rPr>
            </w:pPr>
            <w:r w:rsidRPr="00432C28">
              <w:rPr>
                <w:rFonts w:eastAsia="Times New Roman" w:cs="Times New Roman"/>
                <w:sz w:val="20"/>
                <w:szCs w:val="20"/>
              </w:rPr>
              <w:t xml:space="preserve">PacifiCorp incorporates the impacts of enacted legislation in the development of its Technical, Economic and Achievable potentials, even if the legislation will not go into effect for several years, The most notable, recent efficiency regulation captured is the Energy Independence and Security Act of 2007. </w:t>
            </w:r>
          </w:p>
        </w:tc>
      </w:tr>
      <w:tr w:rsidR="00F7709B" w:rsidRPr="00432C28">
        <w:trPr>
          <w:trHeight w:val="870"/>
        </w:trPr>
        <w:tc>
          <w:tcPr>
            <w:tcW w:w="0" w:type="auto"/>
            <w:vMerge/>
            <w:tcBorders>
              <w:top w:val="nil"/>
              <w:left w:val="single" w:sz="4" w:space="0" w:color="auto"/>
              <w:bottom w:val="single" w:sz="4" w:space="0" w:color="auto"/>
              <w:right w:val="single" w:sz="4" w:space="0" w:color="auto"/>
            </w:tcBorders>
            <w:vAlign w:val="center"/>
          </w:tcPr>
          <w:p w:rsidR="00F7709B" w:rsidRPr="00432C28" w:rsidRDefault="00F7709B" w:rsidP="00F7709B">
            <w:pPr>
              <w:rPr>
                <w:rFonts w:eastAsia="Times New Roman" w:cs="Times New Roman"/>
                <w:sz w:val="20"/>
                <w:szCs w:val="20"/>
              </w:rPr>
            </w:pPr>
          </w:p>
        </w:tc>
        <w:tc>
          <w:tcPr>
            <w:tcW w:w="4107" w:type="dxa"/>
            <w:tcBorders>
              <w:top w:val="nil"/>
              <w:left w:val="nil"/>
              <w:bottom w:val="single" w:sz="4" w:space="0" w:color="auto"/>
              <w:right w:val="single" w:sz="4" w:space="0" w:color="auto"/>
            </w:tcBorders>
            <w:shd w:val="clear" w:color="auto" w:fill="auto"/>
            <w:vAlign w:val="bottom"/>
          </w:tcPr>
          <w:p w:rsidR="00F7709B" w:rsidRPr="00432C28" w:rsidRDefault="00F7709B" w:rsidP="00F54846">
            <w:pPr>
              <w:ind w:firstLineChars="300" w:firstLine="600"/>
              <w:rPr>
                <w:rFonts w:eastAsia="Times New Roman" w:cs="Times New Roman"/>
                <w:sz w:val="20"/>
                <w:szCs w:val="20"/>
              </w:rPr>
            </w:pPr>
            <w:r w:rsidRPr="00432C28">
              <w:rPr>
                <w:rFonts w:eastAsia="Times New Roman" w:cs="Times New Roman"/>
                <w:sz w:val="20"/>
                <w:szCs w:val="20"/>
              </w:rPr>
              <w:t>i)        All programs should incorporate Measurement and Verification (M&amp;V) plans that at a minimum track administrative and measure costs and savings.</w:t>
            </w:r>
          </w:p>
        </w:tc>
        <w:tc>
          <w:tcPr>
            <w:tcW w:w="3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709B" w:rsidRPr="00432C28" w:rsidRDefault="00F7709B" w:rsidP="008A70A4">
            <w:pPr>
              <w:rPr>
                <w:rFonts w:eastAsia="Times New Roman" w:cs="Times New Roman"/>
                <w:sz w:val="20"/>
                <w:szCs w:val="20"/>
              </w:rPr>
            </w:pPr>
            <w:r w:rsidRPr="00432C28">
              <w:rPr>
                <w:rFonts w:eastAsia="Times New Roman" w:cs="Times New Roman"/>
                <w:sz w:val="20"/>
                <w:szCs w:val="20"/>
              </w:rPr>
              <w:t xml:space="preserve">PacifiCorp routinely evaluates its programs to measure actual savings based on industry best practices, including the IPMVP. The Company’s recently documented EM&amp;V framework is included as </w:t>
            </w:r>
            <w:r w:rsidR="008A70A4" w:rsidRPr="00432C28">
              <w:rPr>
                <w:rFonts w:eastAsia="Times New Roman" w:cs="Times New Roman"/>
                <w:sz w:val="20"/>
                <w:szCs w:val="20"/>
              </w:rPr>
              <w:t>A</w:t>
            </w:r>
            <w:r w:rsidRPr="00432C28">
              <w:rPr>
                <w:rFonts w:eastAsia="Times New Roman" w:cs="Times New Roman"/>
                <w:sz w:val="20"/>
                <w:szCs w:val="20"/>
              </w:rPr>
              <w:t>ppendix</w:t>
            </w:r>
            <w:r w:rsidR="008A70A4" w:rsidRPr="00432C28">
              <w:rPr>
                <w:rFonts w:eastAsia="Times New Roman" w:cs="Times New Roman"/>
                <w:sz w:val="20"/>
                <w:szCs w:val="20"/>
              </w:rPr>
              <w:t xml:space="preserve"> 8</w:t>
            </w:r>
            <w:r w:rsidRPr="00432C28">
              <w:rPr>
                <w:rFonts w:eastAsia="Times New Roman" w:cs="Times New Roman"/>
                <w:sz w:val="20"/>
                <w:szCs w:val="20"/>
              </w:rPr>
              <w:t xml:space="preserve"> to this report. </w:t>
            </w:r>
          </w:p>
        </w:tc>
      </w:tr>
    </w:tbl>
    <w:p w:rsidR="00A33439" w:rsidRPr="00432C28" w:rsidRDefault="00A33439" w:rsidP="00A33439">
      <w:pPr>
        <w:jc w:val="center"/>
        <w:rPr>
          <w:rFonts w:cs="Times New Roman"/>
          <w:b/>
          <w:szCs w:val="24"/>
        </w:rPr>
      </w:pPr>
    </w:p>
    <w:p w:rsidR="005B4ACB" w:rsidRPr="00432C28" w:rsidRDefault="005B4ACB" w:rsidP="005B4ACB">
      <w:pPr>
        <w:jc w:val="center"/>
        <w:rPr>
          <w:rFonts w:cs="Times New Roman"/>
          <w:b/>
          <w:szCs w:val="24"/>
        </w:rPr>
      </w:pPr>
      <w:r w:rsidRPr="00432C28">
        <w:rPr>
          <w:rFonts w:cs="Times New Roman"/>
          <w:b/>
          <w:szCs w:val="24"/>
        </w:rPr>
        <w:t>Table A3-2</w:t>
      </w:r>
    </w:p>
    <w:p w:rsidR="005B4ACB" w:rsidRPr="00432C28" w:rsidRDefault="005B4ACB" w:rsidP="005B4ACB">
      <w:pPr>
        <w:jc w:val="center"/>
        <w:rPr>
          <w:rFonts w:eastAsia="Times New Roman" w:cs="Times New Roman"/>
          <w:b/>
          <w:bCs/>
        </w:rPr>
      </w:pPr>
      <w:r w:rsidRPr="00432C28">
        <w:rPr>
          <w:rFonts w:eastAsia="Times New Roman" w:cs="Times New Roman"/>
          <w:b/>
          <w:bCs/>
        </w:rPr>
        <w:t>Methodology for Determining Avoided Costs</w:t>
      </w:r>
    </w:p>
    <w:p w:rsidR="005B4ACB" w:rsidRPr="00432C28" w:rsidRDefault="005B4ACB" w:rsidP="005B4ACB">
      <w:pPr>
        <w:jc w:val="center"/>
        <w:rPr>
          <w:rFonts w:eastAsia="Times New Roman" w:cs="Times New Roman"/>
          <w:b/>
          <w:bCs/>
        </w:rPr>
      </w:pPr>
      <w:r w:rsidRPr="00432C28">
        <w:rPr>
          <w:rFonts w:eastAsia="Times New Roman" w:cs="Times New Roman"/>
          <w:b/>
          <w:bCs/>
        </w:rPr>
        <w:t>Washington Collaborative Comparison</w:t>
      </w:r>
    </w:p>
    <w:p w:rsidR="005B4ACB" w:rsidRPr="00432C28" w:rsidRDefault="005B4ACB" w:rsidP="005B4ACB">
      <w:pPr>
        <w:jc w:val="center"/>
        <w:rPr>
          <w:rFonts w:cs="Times New Roman"/>
          <w:szCs w:val="24"/>
        </w:rPr>
      </w:pPr>
    </w:p>
    <w:tbl>
      <w:tblPr>
        <w:tblW w:w="0" w:type="auto"/>
        <w:tblInd w:w="78" w:type="dxa"/>
        <w:tblLayout w:type="fixed"/>
        <w:tblLook w:val="0000" w:firstRow="0" w:lastRow="0" w:firstColumn="0" w:lastColumn="0" w:noHBand="0" w:noVBand="0"/>
      </w:tblPr>
      <w:tblGrid>
        <w:gridCol w:w="1661"/>
        <w:gridCol w:w="2689"/>
        <w:gridCol w:w="2880"/>
        <w:gridCol w:w="2250"/>
      </w:tblGrid>
      <w:tr w:rsidR="005B4ACB" w:rsidRPr="00432C28">
        <w:trPr>
          <w:trHeight w:val="670"/>
        </w:trPr>
        <w:tc>
          <w:tcPr>
            <w:tcW w:w="1661" w:type="dxa"/>
            <w:tcBorders>
              <w:top w:val="single" w:sz="6" w:space="0" w:color="auto"/>
              <w:left w:val="single" w:sz="6" w:space="0" w:color="auto"/>
              <w:bottom w:val="single" w:sz="6" w:space="0" w:color="auto"/>
              <w:right w:val="single" w:sz="6" w:space="0" w:color="auto"/>
            </w:tcBorders>
          </w:tcPr>
          <w:p w:rsidR="005B4ACB" w:rsidRPr="00432C28" w:rsidRDefault="005B4ACB" w:rsidP="005B4ACB">
            <w:pPr>
              <w:autoSpaceDE w:val="0"/>
              <w:autoSpaceDN w:val="0"/>
              <w:adjustRightInd w:val="0"/>
              <w:jc w:val="right"/>
              <w:rPr>
                <w:rFonts w:cs="Times New Roman"/>
                <w:color w:val="000000"/>
                <w:sz w:val="20"/>
                <w:szCs w:val="20"/>
              </w:rPr>
            </w:pPr>
          </w:p>
        </w:tc>
        <w:tc>
          <w:tcPr>
            <w:tcW w:w="2689" w:type="dxa"/>
            <w:tcBorders>
              <w:top w:val="single" w:sz="6" w:space="0" w:color="auto"/>
              <w:left w:val="single" w:sz="6" w:space="0" w:color="auto"/>
              <w:bottom w:val="single" w:sz="6" w:space="0" w:color="auto"/>
              <w:right w:val="single" w:sz="6" w:space="0" w:color="auto"/>
            </w:tcBorders>
          </w:tcPr>
          <w:p w:rsidR="005B4ACB" w:rsidRPr="00432C28" w:rsidRDefault="005B4ACB" w:rsidP="005B4ACB">
            <w:pPr>
              <w:autoSpaceDE w:val="0"/>
              <w:autoSpaceDN w:val="0"/>
              <w:adjustRightInd w:val="0"/>
              <w:jc w:val="center"/>
              <w:rPr>
                <w:rFonts w:cs="Times New Roman"/>
                <w:b/>
                <w:bCs/>
                <w:color w:val="000000"/>
                <w:sz w:val="20"/>
                <w:szCs w:val="20"/>
              </w:rPr>
            </w:pPr>
            <w:r w:rsidRPr="00432C28">
              <w:rPr>
                <w:rFonts w:cs="Times New Roman"/>
                <w:b/>
                <w:bCs/>
                <w:color w:val="000000"/>
                <w:sz w:val="20"/>
                <w:szCs w:val="20"/>
              </w:rPr>
              <w:t>Council</w:t>
            </w:r>
          </w:p>
        </w:tc>
        <w:tc>
          <w:tcPr>
            <w:tcW w:w="2880" w:type="dxa"/>
            <w:tcBorders>
              <w:top w:val="single" w:sz="6" w:space="0" w:color="auto"/>
              <w:left w:val="single" w:sz="6" w:space="0" w:color="auto"/>
              <w:bottom w:val="single" w:sz="6" w:space="0" w:color="auto"/>
              <w:right w:val="single" w:sz="6" w:space="0" w:color="auto"/>
            </w:tcBorders>
          </w:tcPr>
          <w:p w:rsidR="005B4ACB" w:rsidRPr="00432C28" w:rsidRDefault="005B4ACB" w:rsidP="005B4ACB">
            <w:pPr>
              <w:autoSpaceDE w:val="0"/>
              <w:autoSpaceDN w:val="0"/>
              <w:adjustRightInd w:val="0"/>
              <w:jc w:val="center"/>
              <w:rPr>
                <w:rFonts w:cs="Times New Roman"/>
                <w:b/>
                <w:bCs/>
                <w:color w:val="000000"/>
                <w:sz w:val="20"/>
                <w:szCs w:val="20"/>
              </w:rPr>
            </w:pPr>
            <w:r w:rsidRPr="00432C28">
              <w:rPr>
                <w:rFonts w:cs="Times New Roman"/>
                <w:b/>
                <w:bCs/>
                <w:color w:val="000000"/>
                <w:sz w:val="20"/>
                <w:szCs w:val="20"/>
              </w:rPr>
              <w:t>PacifiCorp</w:t>
            </w:r>
          </w:p>
        </w:tc>
        <w:tc>
          <w:tcPr>
            <w:tcW w:w="2250" w:type="dxa"/>
            <w:tcBorders>
              <w:top w:val="single" w:sz="6" w:space="0" w:color="auto"/>
              <w:left w:val="single" w:sz="6" w:space="0" w:color="auto"/>
              <w:bottom w:val="single" w:sz="6" w:space="0" w:color="auto"/>
              <w:right w:val="single" w:sz="6" w:space="0" w:color="auto"/>
            </w:tcBorders>
          </w:tcPr>
          <w:p w:rsidR="005B4ACB" w:rsidRPr="00432C28" w:rsidRDefault="005B4ACB" w:rsidP="005B4ACB">
            <w:pPr>
              <w:autoSpaceDE w:val="0"/>
              <w:autoSpaceDN w:val="0"/>
              <w:adjustRightInd w:val="0"/>
              <w:jc w:val="center"/>
              <w:rPr>
                <w:rFonts w:cs="Times New Roman"/>
                <w:b/>
                <w:bCs/>
                <w:color w:val="000000"/>
                <w:sz w:val="20"/>
                <w:szCs w:val="20"/>
              </w:rPr>
            </w:pPr>
            <w:r w:rsidRPr="00432C28">
              <w:rPr>
                <w:rFonts w:cs="Times New Roman"/>
                <w:b/>
                <w:bCs/>
                <w:color w:val="000000"/>
                <w:sz w:val="20"/>
                <w:szCs w:val="20"/>
              </w:rPr>
              <w:t>Consistency with Council Method</w:t>
            </w:r>
          </w:p>
        </w:tc>
      </w:tr>
      <w:tr w:rsidR="005B4ACB" w:rsidRPr="00432C28">
        <w:trPr>
          <w:trHeight w:val="216"/>
        </w:trPr>
        <w:tc>
          <w:tcPr>
            <w:tcW w:w="1661" w:type="dxa"/>
            <w:tcBorders>
              <w:top w:val="single" w:sz="6" w:space="0" w:color="auto"/>
              <w:left w:val="single" w:sz="6" w:space="0" w:color="auto"/>
              <w:bottom w:val="single" w:sz="6" w:space="0" w:color="auto"/>
              <w:right w:val="single" w:sz="6" w:space="0" w:color="auto"/>
            </w:tcBorders>
          </w:tcPr>
          <w:p w:rsidR="005B4ACB" w:rsidRPr="00432C28" w:rsidRDefault="005B4ACB" w:rsidP="005B4ACB">
            <w:pPr>
              <w:autoSpaceDE w:val="0"/>
              <w:autoSpaceDN w:val="0"/>
              <w:adjustRightInd w:val="0"/>
              <w:rPr>
                <w:rFonts w:cs="Times New Roman"/>
                <w:b/>
                <w:bCs/>
                <w:color w:val="000000"/>
                <w:sz w:val="20"/>
                <w:szCs w:val="20"/>
              </w:rPr>
            </w:pPr>
            <w:r w:rsidRPr="00432C28">
              <w:rPr>
                <w:rFonts w:cs="Times New Roman"/>
                <w:b/>
                <w:bCs/>
                <w:color w:val="000000"/>
                <w:sz w:val="20"/>
                <w:szCs w:val="20"/>
              </w:rPr>
              <w:t>Primary Inputs</w:t>
            </w:r>
          </w:p>
        </w:tc>
        <w:tc>
          <w:tcPr>
            <w:tcW w:w="2689" w:type="dxa"/>
            <w:tcBorders>
              <w:top w:val="single" w:sz="6" w:space="0" w:color="auto"/>
              <w:left w:val="single" w:sz="6" w:space="0" w:color="auto"/>
              <w:bottom w:val="single" w:sz="6" w:space="0" w:color="auto"/>
              <w:right w:val="single" w:sz="6" w:space="0" w:color="auto"/>
            </w:tcBorders>
          </w:tcPr>
          <w:p w:rsidR="005B4ACB" w:rsidRPr="00432C28" w:rsidRDefault="005B4ACB" w:rsidP="005B4ACB">
            <w:pPr>
              <w:autoSpaceDE w:val="0"/>
              <w:autoSpaceDN w:val="0"/>
              <w:adjustRightInd w:val="0"/>
              <w:jc w:val="right"/>
              <w:rPr>
                <w:rFonts w:cs="Times New Roman"/>
                <w:color w:val="000000"/>
                <w:sz w:val="20"/>
                <w:szCs w:val="20"/>
              </w:rPr>
            </w:pPr>
          </w:p>
        </w:tc>
        <w:tc>
          <w:tcPr>
            <w:tcW w:w="2880" w:type="dxa"/>
            <w:tcBorders>
              <w:top w:val="single" w:sz="6" w:space="0" w:color="auto"/>
              <w:left w:val="single" w:sz="6" w:space="0" w:color="auto"/>
              <w:bottom w:val="single" w:sz="6" w:space="0" w:color="auto"/>
              <w:right w:val="single" w:sz="6" w:space="0" w:color="auto"/>
            </w:tcBorders>
          </w:tcPr>
          <w:p w:rsidR="005B4ACB" w:rsidRPr="00432C28" w:rsidRDefault="005B4ACB" w:rsidP="005B4ACB">
            <w:pPr>
              <w:autoSpaceDE w:val="0"/>
              <w:autoSpaceDN w:val="0"/>
              <w:adjustRightInd w:val="0"/>
              <w:jc w:val="right"/>
              <w:rPr>
                <w:rFonts w:cs="Times New Roman"/>
                <w:color w:val="000000"/>
                <w:sz w:val="20"/>
                <w:szCs w:val="20"/>
              </w:rPr>
            </w:pPr>
          </w:p>
        </w:tc>
        <w:tc>
          <w:tcPr>
            <w:tcW w:w="2250" w:type="dxa"/>
            <w:tcBorders>
              <w:top w:val="single" w:sz="6" w:space="0" w:color="auto"/>
              <w:left w:val="single" w:sz="6" w:space="0" w:color="auto"/>
              <w:bottom w:val="single" w:sz="6" w:space="0" w:color="auto"/>
              <w:right w:val="single" w:sz="6" w:space="0" w:color="auto"/>
            </w:tcBorders>
          </w:tcPr>
          <w:p w:rsidR="005B4ACB" w:rsidRPr="00432C28" w:rsidRDefault="005B4ACB" w:rsidP="005B4ACB">
            <w:pPr>
              <w:autoSpaceDE w:val="0"/>
              <w:autoSpaceDN w:val="0"/>
              <w:adjustRightInd w:val="0"/>
              <w:jc w:val="right"/>
              <w:rPr>
                <w:rFonts w:cs="Times New Roman"/>
                <w:color w:val="000000"/>
                <w:sz w:val="20"/>
                <w:szCs w:val="20"/>
              </w:rPr>
            </w:pPr>
          </w:p>
        </w:tc>
      </w:tr>
      <w:tr w:rsidR="005B4ACB" w:rsidRPr="00432C28">
        <w:trPr>
          <w:trHeight w:val="2127"/>
        </w:trPr>
        <w:tc>
          <w:tcPr>
            <w:tcW w:w="1661" w:type="dxa"/>
            <w:tcBorders>
              <w:top w:val="single" w:sz="6" w:space="0" w:color="auto"/>
              <w:left w:val="single" w:sz="6" w:space="0" w:color="auto"/>
              <w:bottom w:val="single" w:sz="6" w:space="0" w:color="auto"/>
              <w:right w:val="single" w:sz="6" w:space="0" w:color="auto"/>
            </w:tcBorders>
          </w:tcPr>
          <w:p w:rsidR="005B4ACB" w:rsidRPr="00432C28" w:rsidRDefault="005B4ACB" w:rsidP="005B4ACB">
            <w:pPr>
              <w:autoSpaceDE w:val="0"/>
              <w:autoSpaceDN w:val="0"/>
              <w:adjustRightInd w:val="0"/>
              <w:rPr>
                <w:rFonts w:cs="Times New Roman"/>
                <w:color w:val="000000"/>
                <w:sz w:val="20"/>
                <w:szCs w:val="20"/>
              </w:rPr>
            </w:pPr>
            <w:r w:rsidRPr="00432C28">
              <w:rPr>
                <w:rFonts w:cs="Times New Roman"/>
                <w:color w:val="000000"/>
                <w:sz w:val="20"/>
                <w:szCs w:val="20"/>
              </w:rPr>
              <w:t>Long-term forward price forecast(s) for energy and capacity</w:t>
            </w:r>
          </w:p>
        </w:tc>
        <w:tc>
          <w:tcPr>
            <w:tcW w:w="2689" w:type="dxa"/>
            <w:tcBorders>
              <w:top w:val="single" w:sz="6" w:space="0" w:color="auto"/>
              <w:left w:val="single" w:sz="6" w:space="0" w:color="auto"/>
              <w:bottom w:val="single" w:sz="6" w:space="0" w:color="auto"/>
              <w:right w:val="single" w:sz="6" w:space="0" w:color="auto"/>
            </w:tcBorders>
          </w:tcPr>
          <w:p w:rsidR="005B4ACB" w:rsidRPr="00432C28" w:rsidRDefault="005B4ACB" w:rsidP="005B4ACB">
            <w:pPr>
              <w:autoSpaceDE w:val="0"/>
              <w:autoSpaceDN w:val="0"/>
              <w:adjustRightInd w:val="0"/>
              <w:rPr>
                <w:rFonts w:cs="Times New Roman"/>
                <w:color w:val="000000"/>
                <w:sz w:val="20"/>
                <w:szCs w:val="20"/>
              </w:rPr>
            </w:pPr>
            <w:r w:rsidRPr="00432C28">
              <w:rPr>
                <w:rFonts w:cs="Times New Roman"/>
                <w:color w:val="000000"/>
                <w:sz w:val="20"/>
                <w:szCs w:val="20"/>
              </w:rPr>
              <w:t>Yes, based on Aurora forecast of 8760 market prices aggregated into 4 time segments per month (48 annual segments) for cost benefits analysis, wide ranges and volatility added for portfolio analysis to capture risk.</w:t>
            </w:r>
          </w:p>
        </w:tc>
        <w:tc>
          <w:tcPr>
            <w:tcW w:w="2880" w:type="dxa"/>
            <w:tcBorders>
              <w:top w:val="single" w:sz="6" w:space="0" w:color="auto"/>
              <w:left w:val="single" w:sz="6" w:space="0" w:color="auto"/>
              <w:bottom w:val="single" w:sz="6" w:space="0" w:color="auto"/>
              <w:right w:val="single" w:sz="6" w:space="0" w:color="auto"/>
            </w:tcBorders>
          </w:tcPr>
          <w:p w:rsidR="005B4ACB" w:rsidRPr="00432C28" w:rsidRDefault="00ED0088" w:rsidP="00ED0088">
            <w:pPr>
              <w:autoSpaceDE w:val="0"/>
              <w:autoSpaceDN w:val="0"/>
              <w:adjustRightInd w:val="0"/>
              <w:rPr>
                <w:rFonts w:cs="Times New Roman"/>
                <w:color w:val="000000"/>
                <w:sz w:val="20"/>
                <w:szCs w:val="20"/>
              </w:rPr>
            </w:pPr>
            <w:r>
              <w:rPr>
                <w:rFonts w:cs="Times New Roman"/>
                <w:color w:val="000000"/>
                <w:sz w:val="20"/>
                <w:szCs w:val="20"/>
              </w:rPr>
              <w:t>P</w:t>
            </w:r>
            <w:r w:rsidR="005B4ACB" w:rsidRPr="00432C28">
              <w:rPr>
                <w:rFonts w:cs="Times New Roman"/>
                <w:color w:val="000000"/>
                <w:sz w:val="20"/>
                <w:szCs w:val="20"/>
              </w:rPr>
              <w:t xml:space="preserve">acifiCorp uses </w:t>
            </w:r>
            <w:r>
              <w:rPr>
                <w:rFonts w:cs="Times New Roman"/>
                <w:color w:val="000000"/>
                <w:sz w:val="20"/>
                <w:szCs w:val="20"/>
              </w:rPr>
              <w:t xml:space="preserve"> the </w:t>
            </w:r>
            <w:r w:rsidR="005B4ACB" w:rsidRPr="00432C28">
              <w:rPr>
                <w:rFonts w:cs="Times New Roman"/>
                <w:color w:val="000000"/>
                <w:sz w:val="20"/>
                <w:szCs w:val="20"/>
              </w:rPr>
              <w:t xml:space="preserve"> </w:t>
            </w:r>
            <w:r>
              <w:rPr>
                <w:rFonts w:cs="Times New Roman"/>
                <w:color w:val="000000"/>
                <w:sz w:val="20"/>
                <w:szCs w:val="20"/>
              </w:rPr>
              <w:t xml:space="preserve">Aurora </w:t>
            </w:r>
            <w:r w:rsidR="005B4ACB" w:rsidRPr="00432C28">
              <w:rPr>
                <w:rFonts w:cs="Times New Roman"/>
                <w:color w:val="000000"/>
                <w:sz w:val="20"/>
                <w:szCs w:val="20"/>
              </w:rPr>
              <w:t xml:space="preserve"> model which  rel</w:t>
            </w:r>
            <w:r>
              <w:rPr>
                <w:rFonts w:cs="Times New Roman"/>
                <w:color w:val="000000"/>
                <w:sz w:val="20"/>
                <w:szCs w:val="20"/>
              </w:rPr>
              <w:t xml:space="preserve">ies </w:t>
            </w:r>
            <w:r w:rsidR="005B4ACB" w:rsidRPr="00432C28">
              <w:rPr>
                <w:rFonts w:cs="Times New Roman"/>
                <w:color w:val="000000"/>
                <w:sz w:val="20"/>
                <w:szCs w:val="20"/>
              </w:rPr>
              <w:t xml:space="preserve"> on 8760 market price forecasts for energy to meet projected loads which includes both market purchases and generated power.  </w:t>
            </w:r>
          </w:p>
        </w:tc>
        <w:tc>
          <w:tcPr>
            <w:tcW w:w="2250" w:type="dxa"/>
            <w:tcBorders>
              <w:top w:val="single" w:sz="6" w:space="0" w:color="auto"/>
              <w:left w:val="single" w:sz="6" w:space="0" w:color="auto"/>
              <w:bottom w:val="single" w:sz="6" w:space="0" w:color="auto"/>
              <w:right w:val="single" w:sz="6" w:space="0" w:color="auto"/>
            </w:tcBorders>
          </w:tcPr>
          <w:p w:rsidR="005B4ACB" w:rsidRPr="00432C28" w:rsidRDefault="005B4ACB" w:rsidP="005B4ACB">
            <w:pPr>
              <w:autoSpaceDE w:val="0"/>
              <w:autoSpaceDN w:val="0"/>
              <w:adjustRightInd w:val="0"/>
              <w:rPr>
                <w:rFonts w:cs="Times New Roman"/>
                <w:color w:val="000000"/>
                <w:sz w:val="20"/>
                <w:szCs w:val="20"/>
              </w:rPr>
            </w:pPr>
            <w:r w:rsidRPr="00432C28">
              <w:rPr>
                <w:rFonts w:cs="Times New Roman"/>
                <w:color w:val="000000"/>
                <w:sz w:val="20"/>
                <w:szCs w:val="20"/>
              </w:rPr>
              <w:t>All utilities rely on hourly market price forecasts, consistent with the Council.  Values vary according to the resource needs and options available for each utility.</w:t>
            </w:r>
          </w:p>
        </w:tc>
      </w:tr>
      <w:tr w:rsidR="005B4ACB" w:rsidRPr="00432C28">
        <w:trPr>
          <w:trHeight w:val="1771"/>
        </w:trPr>
        <w:tc>
          <w:tcPr>
            <w:tcW w:w="1661" w:type="dxa"/>
            <w:tcBorders>
              <w:top w:val="single" w:sz="6" w:space="0" w:color="auto"/>
              <w:left w:val="single" w:sz="6" w:space="0" w:color="auto"/>
              <w:bottom w:val="single" w:sz="6" w:space="0" w:color="auto"/>
              <w:right w:val="single" w:sz="6" w:space="0" w:color="auto"/>
            </w:tcBorders>
          </w:tcPr>
          <w:p w:rsidR="005B4ACB" w:rsidRPr="00432C28" w:rsidRDefault="005B4ACB" w:rsidP="005B4ACB">
            <w:pPr>
              <w:autoSpaceDE w:val="0"/>
              <w:autoSpaceDN w:val="0"/>
              <w:adjustRightInd w:val="0"/>
              <w:rPr>
                <w:rFonts w:cs="Times New Roman"/>
                <w:color w:val="000000"/>
                <w:sz w:val="20"/>
                <w:szCs w:val="20"/>
              </w:rPr>
            </w:pPr>
            <w:r w:rsidRPr="00432C28">
              <w:rPr>
                <w:rFonts w:cs="Times New Roman"/>
                <w:color w:val="000000"/>
                <w:sz w:val="20"/>
                <w:szCs w:val="20"/>
              </w:rPr>
              <w:t>Deferred/avoided T&amp;D system costs</w:t>
            </w:r>
          </w:p>
        </w:tc>
        <w:tc>
          <w:tcPr>
            <w:tcW w:w="2689" w:type="dxa"/>
            <w:tcBorders>
              <w:top w:val="single" w:sz="6" w:space="0" w:color="auto"/>
              <w:left w:val="single" w:sz="6" w:space="0" w:color="auto"/>
              <w:bottom w:val="single" w:sz="6" w:space="0" w:color="auto"/>
              <w:right w:val="single" w:sz="6" w:space="0" w:color="auto"/>
            </w:tcBorders>
          </w:tcPr>
          <w:p w:rsidR="005B4ACB" w:rsidRPr="00432C28" w:rsidRDefault="005B4ACB" w:rsidP="005B4ACB">
            <w:pPr>
              <w:autoSpaceDE w:val="0"/>
              <w:autoSpaceDN w:val="0"/>
              <w:adjustRightInd w:val="0"/>
              <w:rPr>
                <w:rFonts w:cs="Times New Roman"/>
                <w:color w:val="000000"/>
                <w:sz w:val="20"/>
                <w:szCs w:val="20"/>
              </w:rPr>
            </w:pPr>
            <w:r w:rsidRPr="00432C28">
              <w:rPr>
                <w:rFonts w:cs="Times New Roman"/>
                <w:color w:val="000000"/>
                <w:sz w:val="20"/>
                <w:szCs w:val="20"/>
              </w:rPr>
              <w:t>Yes for distribution system.  Based on kW avoided at coincident peak and $ value of deferred kW expansion.</w:t>
            </w:r>
          </w:p>
        </w:tc>
        <w:tc>
          <w:tcPr>
            <w:tcW w:w="2880" w:type="dxa"/>
            <w:tcBorders>
              <w:top w:val="single" w:sz="6" w:space="0" w:color="auto"/>
              <w:left w:val="single" w:sz="6" w:space="0" w:color="auto"/>
              <w:bottom w:val="single" w:sz="6" w:space="0" w:color="auto"/>
              <w:right w:val="single" w:sz="6" w:space="0" w:color="auto"/>
            </w:tcBorders>
          </w:tcPr>
          <w:p w:rsidR="005B4ACB" w:rsidRPr="00432C28" w:rsidRDefault="005B4ACB" w:rsidP="00AB557A">
            <w:pPr>
              <w:autoSpaceDE w:val="0"/>
              <w:autoSpaceDN w:val="0"/>
              <w:adjustRightInd w:val="0"/>
              <w:rPr>
                <w:rFonts w:cs="Times New Roman"/>
                <w:color w:val="000000"/>
                <w:sz w:val="20"/>
                <w:szCs w:val="20"/>
              </w:rPr>
            </w:pPr>
            <w:r w:rsidRPr="00432C28">
              <w:rPr>
                <w:rFonts w:cs="Times New Roman"/>
                <w:color w:val="000000"/>
                <w:sz w:val="20"/>
                <w:szCs w:val="20"/>
              </w:rPr>
              <w:t>Yes. PacifiCorp applies a T&amp;D deferral credit for energy efficiency in the IRP, currently set at $</w:t>
            </w:r>
            <w:r w:rsidR="00AB557A" w:rsidRPr="00432C28">
              <w:rPr>
                <w:rFonts w:cs="Times New Roman"/>
                <w:color w:val="000000"/>
                <w:sz w:val="20"/>
                <w:szCs w:val="20"/>
              </w:rPr>
              <w:t>54</w:t>
            </w:r>
            <w:r w:rsidRPr="00432C28">
              <w:rPr>
                <w:rFonts w:cs="Times New Roman"/>
                <w:color w:val="000000"/>
                <w:sz w:val="20"/>
                <w:szCs w:val="20"/>
              </w:rPr>
              <w:t xml:space="preserve">/kW-year. The credit reduces measure resource costs in the supply curves prior to IRP modeling. </w:t>
            </w:r>
          </w:p>
        </w:tc>
        <w:tc>
          <w:tcPr>
            <w:tcW w:w="2250" w:type="dxa"/>
            <w:tcBorders>
              <w:top w:val="single" w:sz="6" w:space="0" w:color="auto"/>
              <w:left w:val="single" w:sz="6" w:space="0" w:color="auto"/>
              <w:bottom w:val="single" w:sz="6" w:space="0" w:color="auto"/>
              <w:right w:val="single" w:sz="6" w:space="0" w:color="auto"/>
            </w:tcBorders>
          </w:tcPr>
          <w:p w:rsidR="005B4ACB" w:rsidRPr="00432C28" w:rsidRDefault="005B4ACB" w:rsidP="005B4ACB">
            <w:pPr>
              <w:autoSpaceDE w:val="0"/>
              <w:autoSpaceDN w:val="0"/>
              <w:adjustRightInd w:val="0"/>
              <w:rPr>
                <w:rFonts w:cs="Times New Roman"/>
                <w:color w:val="000000"/>
                <w:sz w:val="20"/>
                <w:szCs w:val="20"/>
              </w:rPr>
            </w:pPr>
            <w:r w:rsidRPr="00432C28">
              <w:rPr>
                <w:rFonts w:cs="Times New Roman"/>
                <w:color w:val="000000"/>
                <w:sz w:val="20"/>
                <w:szCs w:val="20"/>
              </w:rPr>
              <w:t>All utilities, like the Council, include a T&amp;D deferral credit.  Values may vary across utilities based on their system characteristics.</w:t>
            </w:r>
          </w:p>
        </w:tc>
      </w:tr>
      <w:tr w:rsidR="005B4ACB" w:rsidRPr="00432C28">
        <w:trPr>
          <w:trHeight w:val="1965"/>
        </w:trPr>
        <w:tc>
          <w:tcPr>
            <w:tcW w:w="1661" w:type="dxa"/>
            <w:tcBorders>
              <w:top w:val="single" w:sz="6" w:space="0" w:color="auto"/>
              <w:left w:val="single" w:sz="6" w:space="0" w:color="auto"/>
              <w:bottom w:val="single" w:sz="6" w:space="0" w:color="auto"/>
              <w:right w:val="single" w:sz="6" w:space="0" w:color="auto"/>
            </w:tcBorders>
          </w:tcPr>
          <w:p w:rsidR="005B4ACB" w:rsidRPr="00432C28" w:rsidRDefault="005B4ACB" w:rsidP="005B4ACB">
            <w:pPr>
              <w:autoSpaceDE w:val="0"/>
              <w:autoSpaceDN w:val="0"/>
              <w:adjustRightInd w:val="0"/>
              <w:rPr>
                <w:rFonts w:cs="Times New Roman"/>
                <w:color w:val="000000"/>
                <w:sz w:val="20"/>
                <w:szCs w:val="20"/>
              </w:rPr>
            </w:pPr>
            <w:r w:rsidRPr="00432C28">
              <w:rPr>
                <w:rFonts w:cs="Times New Roman"/>
                <w:color w:val="000000"/>
                <w:sz w:val="20"/>
                <w:szCs w:val="20"/>
              </w:rPr>
              <w:t>T&amp;D line loss adjustment</w:t>
            </w:r>
          </w:p>
        </w:tc>
        <w:tc>
          <w:tcPr>
            <w:tcW w:w="2689" w:type="dxa"/>
            <w:tcBorders>
              <w:top w:val="single" w:sz="6" w:space="0" w:color="auto"/>
              <w:left w:val="single" w:sz="6" w:space="0" w:color="auto"/>
              <w:bottom w:val="single" w:sz="6" w:space="0" w:color="auto"/>
              <w:right w:val="single" w:sz="6" w:space="0" w:color="auto"/>
            </w:tcBorders>
          </w:tcPr>
          <w:p w:rsidR="005B4ACB" w:rsidRPr="00432C28" w:rsidRDefault="005B4ACB" w:rsidP="005B4ACB">
            <w:pPr>
              <w:autoSpaceDE w:val="0"/>
              <w:autoSpaceDN w:val="0"/>
              <w:adjustRightInd w:val="0"/>
              <w:rPr>
                <w:rFonts w:cs="Times New Roman"/>
                <w:color w:val="000000"/>
                <w:sz w:val="20"/>
                <w:szCs w:val="20"/>
              </w:rPr>
            </w:pPr>
            <w:r w:rsidRPr="00432C28">
              <w:rPr>
                <w:rFonts w:cs="Times New Roman"/>
                <w:color w:val="000000"/>
                <w:sz w:val="20"/>
                <w:szCs w:val="20"/>
              </w:rPr>
              <w:t>Yes, 3.9% WECC transmission losses and 5% distribution losses, average about 9% total.  Transmission losses vary by load levels so losses differ by load profile of measures.</w:t>
            </w:r>
          </w:p>
        </w:tc>
        <w:tc>
          <w:tcPr>
            <w:tcW w:w="2880" w:type="dxa"/>
            <w:tcBorders>
              <w:top w:val="single" w:sz="6" w:space="0" w:color="auto"/>
              <w:left w:val="single" w:sz="6" w:space="0" w:color="auto"/>
              <w:bottom w:val="single" w:sz="6" w:space="0" w:color="auto"/>
              <w:right w:val="single" w:sz="6" w:space="0" w:color="auto"/>
            </w:tcBorders>
          </w:tcPr>
          <w:p w:rsidR="005B4ACB" w:rsidRPr="00432C28" w:rsidRDefault="005B4ACB" w:rsidP="005B4ACB">
            <w:pPr>
              <w:autoSpaceDE w:val="0"/>
              <w:autoSpaceDN w:val="0"/>
              <w:adjustRightInd w:val="0"/>
              <w:rPr>
                <w:rFonts w:cs="Times New Roman"/>
                <w:color w:val="000000"/>
                <w:sz w:val="20"/>
                <w:szCs w:val="20"/>
              </w:rPr>
            </w:pPr>
            <w:r w:rsidRPr="00432C28">
              <w:rPr>
                <w:rFonts w:cs="Times New Roman"/>
                <w:color w:val="000000"/>
                <w:sz w:val="20"/>
                <w:szCs w:val="20"/>
              </w:rPr>
              <w:t xml:space="preserve">Yes - System wide sector specific (residential, commercial and industrial) line losses are added to the site level DSM measure savings. Incorporated when DSM costs are levelized in development of supply curves prior to IRP modeling. </w:t>
            </w:r>
          </w:p>
        </w:tc>
        <w:tc>
          <w:tcPr>
            <w:tcW w:w="2250" w:type="dxa"/>
            <w:tcBorders>
              <w:top w:val="single" w:sz="6" w:space="0" w:color="auto"/>
              <w:left w:val="single" w:sz="6" w:space="0" w:color="auto"/>
              <w:bottom w:val="single" w:sz="6" w:space="0" w:color="auto"/>
              <w:right w:val="single" w:sz="6" w:space="0" w:color="auto"/>
            </w:tcBorders>
          </w:tcPr>
          <w:p w:rsidR="005B4ACB" w:rsidRPr="00432C28" w:rsidRDefault="005B4ACB" w:rsidP="005B4ACB">
            <w:pPr>
              <w:autoSpaceDE w:val="0"/>
              <w:autoSpaceDN w:val="0"/>
              <w:adjustRightInd w:val="0"/>
              <w:rPr>
                <w:rFonts w:cs="Times New Roman"/>
                <w:color w:val="000000"/>
                <w:sz w:val="20"/>
                <w:szCs w:val="20"/>
              </w:rPr>
            </w:pPr>
            <w:r w:rsidRPr="00432C28">
              <w:rPr>
                <w:rFonts w:cs="Times New Roman"/>
                <w:color w:val="000000"/>
                <w:sz w:val="20"/>
                <w:szCs w:val="20"/>
              </w:rPr>
              <w:t xml:space="preserve">All utilities include a line loss adjustment, as does the Council.  </w:t>
            </w:r>
          </w:p>
          <w:p w:rsidR="005B4ACB" w:rsidRPr="00432C28" w:rsidRDefault="005B4ACB" w:rsidP="005B4ACB">
            <w:pPr>
              <w:autoSpaceDE w:val="0"/>
              <w:autoSpaceDN w:val="0"/>
              <w:adjustRightInd w:val="0"/>
              <w:rPr>
                <w:rFonts w:cs="Times New Roman"/>
                <w:color w:val="000000"/>
                <w:sz w:val="20"/>
                <w:szCs w:val="20"/>
              </w:rPr>
            </w:pPr>
            <w:r w:rsidRPr="00432C28">
              <w:rPr>
                <w:rFonts w:cs="Times New Roman"/>
                <w:color w:val="000000"/>
                <w:sz w:val="20"/>
                <w:szCs w:val="20"/>
              </w:rPr>
              <w:t>Utilities are utilizing average system losses; Council assumes marginal losses.</w:t>
            </w:r>
          </w:p>
          <w:p w:rsidR="005B4ACB" w:rsidRPr="00432C28" w:rsidRDefault="005B4ACB" w:rsidP="005B4ACB">
            <w:pPr>
              <w:autoSpaceDE w:val="0"/>
              <w:autoSpaceDN w:val="0"/>
              <w:adjustRightInd w:val="0"/>
              <w:rPr>
                <w:rFonts w:cs="Times New Roman"/>
                <w:color w:val="000000"/>
                <w:sz w:val="20"/>
                <w:szCs w:val="20"/>
              </w:rPr>
            </w:pPr>
            <w:r w:rsidRPr="00432C28">
              <w:rPr>
                <w:rFonts w:cs="Times New Roman"/>
                <w:color w:val="000000"/>
                <w:sz w:val="20"/>
                <w:szCs w:val="20"/>
              </w:rPr>
              <w:t xml:space="preserve"> </w:t>
            </w:r>
          </w:p>
        </w:tc>
      </w:tr>
      <w:tr w:rsidR="005B4ACB" w:rsidRPr="00432C28">
        <w:trPr>
          <w:trHeight w:val="1695"/>
        </w:trPr>
        <w:tc>
          <w:tcPr>
            <w:tcW w:w="1661" w:type="dxa"/>
            <w:tcBorders>
              <w:top w:val="single" w:sz="6" w:space="0" w:color="auto"/>
              <w:left w:val="single" w:sz="6" w:space="0" w:color="auto"/>
              <w:bottom w:val="single" w:sz="6" w:space="0" w:color="auto"/>
              <w:right w:val="single" w:sz="6" w:space="0" w:color="auto"/>
            </w:tcBorders>
          </w:tcPr>
          <w:p w:rsidR="005B4ACB" w:rsidRPr="00432C28" w:rsidRDefault="005B4ACB" w:rsidP="005B4ACB">
            <w:pPr>
              <w:autoSpaceDE w:val="0"/>
              <w:autoSpaceDN w:val="0"/>
              <w:adjustRightInd w:val="0"/>
              <w:rPr>
                <w:rFonts w:cs="Times New Roman"/>
                <w:color w:val="000000"/>
                <w:sz w:val="20"/>
                <w:szCs w:val="20"/>
              </w:rPr>
            </w:pPr>
            <w:r w:rsidRPr="00432C28">
              <w:rPr>
                <w:rFonts w:cs="Times New Roman"/>
                <w:color w:val="000000"/>
                <w:sz w:val="20"/>
                <w:szCs w:val="20"/>
              </w:rPr>
              <w:t>Generation reserve margin adjustment</w:t>
            </w:r>
          </w:p>
        </w:tc>
        <w:tc>
          <w:tcPr>
            <w:tcW w:w="2689" w:type="dxa"/>
            <w:tcBorders>
              <w:top w:val="single" w:sz="6" w:space="0" w:color="auto"/>
              <w:left w:val="single" w:sz="6" w:space="0" w:color="auto"/>
              <w:bottom w:val="single" w:sz="6" w:space="0" w:color="auto"/>
              <w:right w:val="single" w:sz="6" w:space="0" w:color="auto"/>
            </w:tcBorders>
          </w:tcPr>
          <w:p w:rsidR="005B4ACB" w:rsidRPr="00432C28" w:rsidRDefault="005B4ACB" w:rsidP="005B4ACB">
            <w:pPr>
              <w:autoSpaceDE w:val="0"/>
              <w:autoSpaceDN w:val="0"/>
              <w:adjustRightInd w:val="0"/>
              <w:rPr>
                <w:rFonts w:cs="Times New Roman"/>
                <w:color w:val="000000"/>
                <w:sz w:val="20"/>
                <w:szCs w:val="20"/>
              </w:rPr>
            </w:pPr>
            <w:r w:rsidRPr="00432C28">
              <w:rPr>
                <w:rFonts w:cs="Times New Roman"/>
                <w:color w:val="000000"/>
                <w:sz w:val="20"/>
                <w:szCs w:val="20"/>
              </w:rPr>
              <w:t>Not directly.  Included in Aurora for cost benefit assessment.  Based on resources needed to meet load reliably and avoid high price excursions in portfolio analysis.</w:t>
            </w:r>
          </w:p>
        </w:tc>
        <w:tc>
          <w:tcPr>
            <w:tcW w:w="2880" w:type="dxa"/>
            <w:tcBorders>
              <w:top w:val="single" w:sz="6" w:space="0" w:color="auto"/>
              <w:left w:val="single" w:sz="6" w:space="0" w:color="auto"/>
              <w:bottom w:val="single" w:sz="6" w:space="0" w:color="auto"/>
              <w:right w:val="single" w:sz="6" w:space="0" w:color="auto"/>
            </w:tcBorders>
          </w:tcPr>
          <w:p w:rsidR="005B4ACB" w:rsidRPr="00432C28" w:rsidRDefault="005B4ACB" w:rsidP="005B4ACB">
            <w:pPr>
              <w:autoSpaceDE w:val="0"/>
              <w:autoSpaceDN w:val="0"/>
              <w:adjustRightInd w:val="0"/>
              <w:rPr>
                <w:rFonts w:cs="Times New Roman"/>
                <w:color w:val="000000"/>
                <w:sz w:val="20"/>
                <w:szCs w:val="20"/>
              </w:rPr>
            </w:pPr>
            <w:r w:rsidRPr="00432C28">
              <w:rPr>
                <w:rFonts w:cs="Times New Roman"/>
                <w:color w:val="000000"/>
                <w:sz w:val="20"/>
                <w:szCs w:val="20"/>
              </w:rPr>
              <w:t>Yes. We include a capacity contribution for energy efficiency in our determination of capacity requirements.</w:t>
            </w:r>
          </w:p>
        </w:tc>
        <w:tc>
          <w:tcPr>
            <w:tcW w:w="2250" w:type="dxa"/>
            <w:tcBorders>
              <w:top w:val="single" w:sz="6" w:space="0" w:color="auto"/>
              <w:left w:val="single" w:sz="6" w:space="0" w:color="auto"/>
              <w:bottom w:val="single" w:sz="6" w:space="0" w:color="auto"/>
              <w:right w:val="single" w:sz="6" w:space="0" w:color="auto"/>
            </w:tcBorders>
          </w:tcPr>
          <w:p w:rsidR="005B4ACB" w:rsidRPr="00432C28" w:rsidRDefault="005B4ACB" w:rsidP="005B4ACB">
            <w:pPr>
              <w:autoSpaceDE w:val="0"/>
              <w:autoSpaceDN w:val="0"/>
              <w:adjustRightInd w:val="0"/>
              <w:rPr>
                <w:rFonts w:cs="Times New Roman"/>
                <w:color w:val="000000"/>
                <w:sz w:val="20"/>
                <w:szCs w:val="20"/>
              </w:rPr>
            </w:pPr>
            <w:r w:rsidRPr="00432C28">
              <w:rPr>
                <w:rFonts w:cs="Times New Roman"/>
                <w:color w:val="000000"/>
                <w:sz w:val="20"/>
                <w:szCs w:val="20"/>
              </w:rPr>
              <w:t>All utilities and the Council incorporate reserve margins as part of the avoided capacity costs.</w:t>
            </w:r>
          </w:p>
        </w:tc>
      </w:tr>
      <w:tr w:rsidR="005B4ACB" w:rsidRPr="00432C28">
        <w:trPr>
          <w:trHeight w:val="4935"/>
        </w:trPr>
        <w:tc>
          <w:tcPr>
            <w:tcW w:w="1661" w:type="dxa"/>
            <w:tcBorders>
              <w:top w:val="single" w:sz="6" w:space="0" w:color="auto"/>
              <w:left w:val="single" w:sz="6" w:space="0" w:color="auto"/>
              <w:bottom w:val="single" w:sz="6" w:space="0" w:color="auto"/>
              <w:right w:val="single" w:sz="6" w:space="0" w:color="auto"/>
            </w:tcBorders>
          </w:tcPr>
          <w:p w:rsidR="005B4ACB" w:rsidRPr="00432C28" w:rsidRDefault="005B4ACB" w:rsidP="005B4ACB">
            <w:pPr>
              <w:autoSpaceDE w:val="0"/>
              <w:autoSpaceDN w:val="0"/>
              <w:adjustRightInd w:val="0"/>
              <w:rPr>
                <w:rFonts w:cs="Times New Roman"/>
                <w:color w:val="000000"/>
                <w:sz w:val="20"/>
                <w:szCs w:val="20"/>
              </w:rPr>
            </w:pPr>
            <w:r w:rsidRPr="00432C28">
              <w:rPr>
                <w:rFonts w:cs="Times New Roman"/>
                <w:color w:val="000000"/>
                <w:sz w:val="20"/>
                <w:szCs w:val="20"/>
              </w:rPr>
              <w:t>Uncertainty/risk adjustment</w:t>
            </w:r>
          </w:p>
        </w:tc>
        <w:tc>
          <w:tcPr>
            <w:tcW w:w="2689" w:type="dxa"/>
            <w:tcBorders>
              <w:top w:val="single" w:sz="6" w:space="0" w:color="auto"/>
              <w:left w:val="single" w:sz="6" w:space="0" w:color="auto"/>
              <w:bottom w:val="single" w:sz="6" w:space="0" w:color="auto"/>
              <w:right w:val="single" w:sz="6" w:space="0" w:color="auto"/>
            </w:tcBorders>
          </w:tcPr>
          <w:p w:rsidR="005B4ACB" w:rsidRPr="00432C28" w:rsidRDefault="005B4ACB" w:rsidP="005B4ACB">
            <w:pPr>
              <w:autoSpaceDE w:val="0"/>
              <w:autoSpaceDN w:val="0"/>
              <w:adjustRightInd w:val="0"/>
              <w:rPr>
                <w:rFonts w:cs="Times New Roman"/>
                <w:color w:val="000000"/>
                <w:sz w:val="20"/>
                <w:szCs w:val="20"/>
              </w:rPr>
            </w:pPr>
            <w:r w:rsidRPr="00432C28">
              <w:rPr>
                <w:rFonts w:cs="Times New Roman"/>
                <w:color w:val="000000"/>
                <w:sz w:val="20"/>
                <w:szCs w:val="20"/>
              </w:rPr>
              <w:t xml:space="preserve">Yes. Portfolio analysis evaluates risk level explicitly as a characteristic of a resource strategy, value of efficiency in reducing risk is calculated as a premium for efficiency over market price. </w:t>
            </w:r>
          </w:p>
        </w:tc>
        <w:tc>
          <w:tcPr>
            <w:tcW w:w="2880" w:type="dxa"/>
            <w:tcBorders>
              <w:top w:val="single" w:sz="6" w:space="0" w:color="auto"/>
              <w:left w:val="single" w:sz="6" w:space="0" w:color="auto"/>
              <w:bottom w:val="single" w:sz="6" w:space="0" w:color="auto"/>
              <w:right w:val="single" w:sz="6" w:space="0" w:color="auto"/>
            </w:tcBorders>
          </w:tcPr>
          <w:p w:rsidR="005B4ACB" w:rsidRPr="00432C28" w:rsidRDefault="005B4ACB" w:rsidP="000E4631">
            <w:pPr>
              <w:autoSpaceDE w:val="0"/>
              <w:autoSpaceDN w:val="0"/>
              <w:adjustRightInd w:val="0"/>
              <w:rPr>
                <w:rFonts w:cs="Times New Roman"/>
                <w:color w:val="000000"/>
                <w:sz w:val="20"/>
                <w:szCs w:val="20"/>
              </w:rPr>
            </w:pPr>
            <w:r w:rsidRPr="00432C28">
              <w:rPr>
                <w:rFonts w:cs="Times New Roman"/>
                <w:color w:val="000000"/>
                <w:sz w:val="20"/>
                <w:szCs w:val="20"/>
              </w:rPr>
              <w:t>PacifiCorp's IRP modeling of energy efficiency includes a risk reduction credit. The analytical appr</w:t>
            </w:r>
            <w:r w:rsidR="00EC1981" w:rsidRPr="00432C28">
              <w:rPr>
                <w:rFonts w:cs="Times New Roman"/>
                <w:color w:val="000000"/>
                <w:sz w:val="20"/>
                <w:szCs w:val="20"/>
              </w:rPr>
              <w:t xml:space="preserve">oach was outlined in Appendix 4 to the Company’s 2010-2011 biennial conservation target report filed with the Commission in </w:t>
            </w:r>
            <w:r w:rsidRPr="00432C28">
              <w:rPr>
                <w:rFonts w:cs="Times New Roman"/>
                <w:color w:val="000000"/>
                <w:sz w:val="20"/>
                <w:szCs w:val="20"/>
              </w:rPr>
              <w:t xml:space="preserve">UE-100170  targets the value of energy efficiency for reducing high-cost outcomes in the context of stochastic Monte Carlo production cost modeling. While the analytics are not used specifically to determine DSM avoided costs, it does affect the selection of DSM resources in a manner consistent with the Council methodology. This approach was utilized again in the </w:t>
            </w:r>
            <w:r w:rsidR="000E4631" w:rsidRPr="00432C28">
              <w:rPr>
                <w:rFonts w:cs="Times New Roman"/>
                <w:color w:val="000000"/>
                <w:sz w:val="20"/>
                <w:szCs w:val="20"/>
              </w:rPr>
              <w:t>201</w:t>
            </w:r>
            <w:r w:rsidR="000E4631">
              <w:rPr>
                <w:rFonts w:cs="Times New Roman"/>
                <w:color w:val="000000"/>
                <w:sz w:val="20"/>
                <w:szCs w:val="20"/>
              </w:rPr>
              <w:t>3</w:t>
            </w:r>
            <w:r w:rsidR="00187099">
              <w:rPr>
                <w:rFonts w:cs="Times New Roman"/>
                <w:color w:val="000000"/>
                <w:sz w:val="20"/>
                <w:szCs w:val="20"/>
              </w:rPr>
              <w:t xml:space="preserve"> </w:t>
            </w:r>
            <w:r w:rsidR="00ED0088">
              <w:rPr>
                <w:rFonts w:cs="Times New Roman"/>
                <w:color w:val="000000"/>
                <w:sz w:val="20"/>
                <w:szCs w:val="20"/>
              </w:rPr>
              <w:t xml:space="preserve">and 2015 </w:t>
            </w:r>
            <w:r w:rsidRPr="00432C28">
              <w:rPr>
                <w:rFonts w:cs="Times New Roman"/>
                <w:color w:val="000000"/>
                <w:sz w:val="20"/>
                <w:szCs w:val="20"/>
              </w:rPr>
              <w:t>IRP for energy efficiency resources selected in all states.</w:t>
            </w:r>
          </w:p>
        </w:tc>
        <w:tc>
          <w:tcPr>
            <w:tcW w:w="2250" w:type="dxa"/>
            <w:tcBorders>
              <w:top w:val="single" w:sz="6" w:space="0" w:color="auto"/>
              <w:left w:val="single" w:sz="6" w:space="0" w:color="auto"/>
              <w:bottom w:val="single" w:sz="6" w:space="0" w:color="auto"/>
              <w:right w:val="single" w:sz="6" w:space="0" w:color="auto"/>
            </w:tcBorders>
          </w:tcPr>
          <w:p w:rsidR="005B4ACB" w:rsidRPr="00432C28" w:rsidRDefault="005B4ACB" w:rsidP="005B4ACB">
            <w:pPr>
              <w:autoSpaceDE w:val="0"/>
              <w:autoSpaceDN w:val="0"/>
              <w:adjustRightInd w:val="0"/>
              <w:rPr>
                <w:rFonts w:cs="Times New Roman"/>
                <w:color w:val="000000"/>
                <w:sz w:val="20"/>
                <w:szCs w:val="20"/>
              </w:rPr>
            </w:pPr>
            <w:r w:rsidRPr="00432C28">
              <w:rPr>
                <w:rFonts w:cs="Times New Roman"/>
                <w:color w:val="000000"/>
                <w:sz w:val="20"/>
                <w:szCs w:val="20"/>
              </w:rPr>
              <w:t>All utilities and the Council incorporate risk, although the values may vary.</w:t>
            </w:r>
          </w:p>
        </w:tc>
      </w:tr>
      <w:tr w:rsidR="005B4ACB" w:rsidRPr="00432C28">
        <w:trPr>
          <w:trHeight w:val="5655"/>
        </w:trPr>
        <w:tc>
          <w:tcPr>
            <w:tcW w:w="1661" w:type="dxa"/>
            <w:tcBorders>
              <w:top w:val="single" w:sz="6" w:space="0" w:color="auto"/>
              <w:left w:val="single" w:sz="6" w:space="0" w:color="auto"/>
              <w:bottom w:val="single" w:sz="6" w:space="0" w:color="auto"/>
              <w:right w:val="single" w:sz="6" w:space="0" w:color="auto"/>
            </w:tcBorders>
          </w:tcPr>
          <w:p w:rsidR="005B4ACB" w:rsidRPr="00432C28" w:rsidRDefault="005B4ACB" w:rsidP="005B4ACB">
            <w:pPr>
              <w:autoSpaceDE w:val="0"/>
              <w:autoSpaceDN w:val="0"/>
              <w:adjustRightInd w:val="0"/>
              <w:rPr>
                <w:rFonts w:cs="Times New Roman"/>
                <w:color w:val="000000"/>
                <w:sz w:val="20"/>
                <w:szCs w:val="20"/>
              </w:rPr>
            </w:pPr>
            <w:r w:rsidRPr="00432C28">
              <w:rPr>
                <w:rFonts w:cs="Times New Roman"/>
                <w:color w:val="000000"/>
                <w:sz w:val="20"/>
                <w:szCs w:val="20"/>
              </w:rPr>
              <w:t>10% Power Act credit</w:t>
            </w:r>
          </w:p>
        </w:tc>
        <w:tc>
          <w:tcPr>
            <w:tcW w:w="2689" w:type="dxa"/>
            <w:tcBorders>
              <w:top w:val="single" w:sz="6" w:space="0" w:color="auto"/>
              <w:left w:val="single" w:sz="6" w:space="0" w:color="auto"/>
              <w:bottom w:val="single" w:sz="6" w:space="0" w:color="auto"/>
              <w:right w:val="single" w:sz="6" w:space="0" w:color="auto"/>
            </w:tcBorders>
          </w:tcPr>
          <w:p w:rsidR="005B4ACB" w:rsidRPr="00432C28" w:rsidRDefault="005B4ACB" w:rsidP="005B4ACB">
            <w:pPr>
              <w:autoSpaceDE w:val="0"/>
              <w:autoSpaceDN w:val="0"/>
              <w:adjustRightInd w:val="0"/>
              <w:rPr>
                <w:rFonts w:cs="Times New Roman"/>
                <w:color w:val="000000"/>
                <w:sz w:val="20"/>
                <w:szCs w:val="20"/>
              </w:rPr>
            </w:pPr>
            <w:r w:rsidRPr="00432C28">
              <w:rPr>
                <w:rFonts w:cs="Times New Roman"/>
                <w:color w:val="000000"/>
                <w:sz w:val="20"/>
                <w:szCs w:val="20"/>
              </w:rPr>
              <w:t>Yes.  Applied to energy &amp; deferred capacity components of value only.</w:t>
            </w:r>
          </w:p>
        </w:tc>
        <w:tc>
          <w:tcPr>
            <w:tcW w:w="2880" w:type="dxa"/>
            <w:tcBorders>
              <w:top w:val="single" w:sz="6" w:space="0" w:color="auto"/>
              <w:left w:val="single" w:sz="6" w:space="0" w:color="auto"/>
              <w:bottom w:val="single" w:sz="6" w:space="0" w:color="auto"/>
              <w:right w:val="single" w:sz="6" w:space="0" w:color="auto"/>
            </w:tcBorders>
          </w:tcPr>
          <w:p w:rsidR="005B4ACB" w:rsidRPr="00432C28" w:rsidRDefault="005B4ACB" w:rsidP="00ED0088">
            <w:pPr>
              <w:autoSpaceDE w:val="0"/>
              <w:autoSpaceDN w:val="0"/>
              <w:adjustRightInd w:val="0"/>
              <w:rPr>
                <w:rFonts w:cs="Times New Roman"/>
                <w:color w:val="000000"/>
                <w:sz w:val="20"/>
                <w:szCs w:val="20"/>
              </w:rPr>
            </w:pPr>
            <w:r w:rsidRPr="00432C28">
              <w:rPr>
                <w:rFonts w:cs="Times New Roman"/>
                <w:color w:val="000000"/>
                <w:sz w:val="20"/>
                <w:szCs w:val="20"/>
              </w:rPr>
              <w:t>Yes. The analytical approach was outlined in Appendix 4 of UE-100170 filed to support establishing the first biennial targets. The formula for calculating the $/MWh credit is: (Bundle price - ((First year MWh savings x market value x 10%) + (First year MWh savings x T&amp;D deferral x 10%))/First year MWh savings. The levelized forward electricity price for the Mid-Columbia market is used as the proxy market value. While the analytics are not used specifically to determine avoided cost values, it does affect the selection of DSM resources in a manner consistent with the Council methodology. This approach was utilized again in the 2011</w:t>
            </w:r>
            <w:r w:rsidR="00ED0088">
              <w:rPr>
                <w:rFonts w:cs="Times New Roman"/>
                <w:color w:val="000000"/>
                <w:sz w:val="20"/>
                <w:szCs w:val="20"/>
              </w:rPr>
              <w:t xml:space="preserve">, 2013 and 2015 </w:t>
            </w:r>
            <w:r w:rsidRPr="00432C28">
              <w:rPr>
                <w:rFonts w:cs="Times New Roman"/>
                <w:color w:val="000000"/>
                <w:sz w:val="20"/>
                <w:szCs w:val="20"/>
              </w:rPr>
              <w:t>IRP for Washington resources</w:t>
            </w:r>
            <w:r w:rsidR="00ED0088">
              <w:rPr>
                <w:rFonts w:cs="Times New Roman"/>
                <w:color w:val="000000"/>
                <w:sz w:val="20"/>
                <w:szCs w:val="20"/>
              </w:rPr>
              <w:t xml:space="preserve">. </w:t>
            </w:r>
          </w:p>
        </w:tc>
        <w:tc>
          <w:tcPr>
            <w:tcW w:w="2250" w:type="dxa"/>
            <w:tcBorders>
              <w:top w:val="single" w:sz="6" w:space="0" w:color="auto"/>
              <w:left w:val="single" w:sz="6" w:space="0" w:color="auto"/>
              <w:bottom w:val="single" w:sz="6" w:space="0" w:color="auto"/>
              <w:right w:val="single" w:sz="6" w:space="0" w:color="auto"/>
            </w:tcBorders>
          </w:tcPr>
          <w:p w:rsidR="005B4ACB" w:rsidRPr="00432C28" w:rsidRDefault="005B4ACB" w:rsidP="005B4ACB">
            <w:pPr>
              <w:autoSpaceDE w:val="0"/>
              <w:autoSpaceDN w:val="0"/>
              <w:adjustRightInd w:val="0"/>
              <w:rPr>
                <w:rFonts w:cs="Times New Roman"/>
                <w:color w:val="000000"/>
                <w:sz w:val="20"/>
                <w:szCs w:val="20"/>
              </w:rPr>
            </w:pPr>
            <w:r w:rsidRPr="00432C28">
              <w:rPr>
                <w:rFonts w:cs="Times New Roman"/>
                <w:color w:val="000000"/>
                <w:sz w:val="20"/>
                <w:szCs w:val="20"/>
              </w:rPr>
              <w:t>All utilities apply the 10% credit, but not as a direct adjustment to avoided cost in all cases.</w:t>
            </w:r>
          </w:p>
          <w:p w:rsidR="005B4ACB" w:rsidRPr="00432C28" w:rsidRDefault="005B4ACB" w:rsidP="005B4ACB">
            <w:pPr>
              <w:autoSpaceDE w:val="0"/>
              <w:autoSpaceDN w:val="0"/>
              <w:adjustRightInd w:val="0"/>
              <w:rPr>
                <w:rFonts w:cs="Times New Roman"/>
                <w:color w:val="000000"/>
                <w:sz w:val="20"/>
                <w:szCs w:val="20"/>
              </w:rPr>
            </w:pPr>
          </w:p>
          <w:p w:rsidR="005B4ACB" w:rsidRPr="00432C28" w:rsidRDefault="005B4ACB" w:rsidP="005B4ACB">
            <w:pPr>
              <w:autoSpaceDE w:val="0"/>
              <w:autoSpaceDN w:val="0"/>
              <w:adjustRightInd w:val="0"/>
              <w:rPr>
                <w:rFonts w:cs="Times New Roman"/>
                <w:color w:val="000000"/>
                <w:sz w:val="20"/>
                <w:szCs w:val="20"/>
              </w:rPr>
            </w:pPr>
            <w:r w:rsidRPr="00432C28">
              <w:rPr>
                <w:rFonts w:cs="Times New Roman"/>
                <w:color w:val="000000"/>
                <w:sz w:val="20"/>
                <w:szCs w:val="20"/>
              </w:rPr>
              <w:t xml:space="preserve">Avista applies it as benefit in its TRC calculation, rather than to the avoided cost. </w:t>
            </w:r>
          </w:p>
          <w:p w:rsidR="005B4ACB" w:rsidRPr="00432C28" w:rsidRDefault="005B4ACB" w:rsidP="005B4ACB">
            <w:pPr>
              <w:autoSpaceDE w:val="0"/>
              <w:autoSpaceDN w:val="0"/>
              <w:adjustRightInd w:val="0"/>
              <w:rPr>
                <w:rFonts w:cs="Times New Roman"/>
                <w:color w:val="000000"/>
                <w:sz w:val="20"/>
                <w:szCs w:val="20"/>
              </w:rPr>
            </w:pPr>
          </w:p>
          <w:p w:rsidR="005B4ACB" w:rsidRPr="00432C28" w:rsidRDefault="005B4ACB" w:rsidP="005B4ACB">
            <w:pPr>
              <w:autoSpaceDE w:val="0"/>
              <w:autoSpaceDN w:val="0"/>
              <w:adjustRightInd w:val="0"/>
              <w:rPr>
                <w:rFonts w:cs="Times New Roman"/>
                <w:color w:val="000000"/>
                <w:sz w:val="20"/>
                <w:szCs w:val="20"/>
              </w:rPr>
            </w:pPr>
            <w:r w:rsidRPr="00432C28">
              <w:rPr>
                <w:rFonts w:cs="Times New Roman"/>
                <w:color w:val="000000"/>
                <w:sz w:val="20"/>
                <w:szCs w:val="20"/>
              </w:rPr>
              <w:t>PacifiCorp applies the 10% adder as an additional benefit during the TRC calculation.</w:t>
            </w:r>
          </w:p>
          <w:p w:rsidR="005B4ACB" w:rsidRPr="00432C28" w:rsidRDefault="005B4ACB" w:rsidP="005B4ACB">
            <w:pPr>
              <w:autoSpaceDE w:val="0"/>
              <w:autoSpaceDN w:val="0"/>
              <w:adjustRightInd w:val="0"/>
              <w:rPr>
                <w:rFonts w:cs="Times New Roman"/>
                <w:color w:val="000000"/>
                <w:sz w:val="20"/>
                <w:szCs w:val="20"/>
              </w:rPr>
            </w:pPr>
          </w:p>
          <w:p w:rsidR="005B4ACB" w:rsidRPr="00432C28" w:rsidRDefault="005B4ACB" w:rsidP="005B4ACB">
            <w:pPr>
              <w:autoSpaceDE w:val="0"/>
              <w:autoSpaceDN w:val="0"/>
              <w:adjustRightInd w:val="0"/>
              <w:rPr>
                <w:rFonts w:cs="Times New Roman"/>
                <w:color w:val="000000"/>
                <w:sz w:val="20"/>
                <w:szCs w:val="20"/>
              </w:rPr>
            </w:pPr>
            <w:r w:rsidRPr="00432C28">
              <w:rPr>
                <w:rFonts w:cs="Times New Roman"/>
                <w:color w:val="000000"/>
                <w:sz w:val="20"/>
                <w:szCs w:val="20"/>
              </w:rPr>
              <w:t>PSE is consistent with the Council.</w:t>
            </w:r>
          </w:p>
        </w:tc>
      </w:tr>
      <w:tr w:rsidR="005B4ACB" w:rsidRPr="00432C28">
        <w:trPr>
          <w:trHeight w:val="1404"/>
        </w:trPr>
        <w:tc>
          <w:tcPr>
            <w:tcW w:w="1661" w:type="dxa"/>
            <w:tcBorders>
              <w:top w:val="single" w:sz="6" w:space="0" w:color="auto"/>
              <w:left w:val="single" w:sz="6" w:space="0" w:color="auto"/>
              <w:bottom w:val="single" w:sz="6" w:space="0" w:color="auto"/>
              <w:right w:val="single" w:sz="6" w:space="0" w:color="auto"/>
            </w:tcBorders>
          </w:tcPr>
          <w:p w:rsidR="005B4ACB" w:rsidRPr="00432C28" w:rsidRDefault="005B4ACB" w:rsidP="005B4ACB">
            <w:pPr>
              <w:autoSpaceDE w:val="0"/>
              <w:autoSpaceDN w:val="0"/>
              <w:adjustRightInd w:val="0"/>
              <w:rPr>
                <w:rFonts w:cs="Times New Roman"/>
                <w:color w:val="000000"/>
                <w:sz w:val="20"/>
                <w:szCs w:val="20"/>
              </w:rPr>
            </w:pPr>
            <w:r w:rsidRPr="00432C28">
              <w:rPr>
                <w:rFonts w:cs="Times New Roman"/>
                <w:color w:val="000000"/>
                <w:sz w:val="20"/>
                <w:szCs w:val="20"/>
              </w:rPr>
              <w:t>Shape of load (time and seasonality differentiation)</w:t>
            </w:r>
          </w:p>
        </w:tc>
        <w:tc>
          <w:tcPr>
            <w:tcW w:w="2689" w:type="dxa"/>
            <w:tcBorders>
              <w:top w:val="single" w:sz="6" w:space="0" w:color="auto"/>
              <w:left w:val="single" w:sz="6" w:space="0" w:color="auto"/>
              <w:bottom w:val="single" w:sz="6" w:space="0" w:color="auto"/>
              <w:right w:val="single" w:sz="6" w:space="0" w:color="auto"/>
            </w:tcBorders>
          </w:tcPr>
          <w:p w:rsidR="005B4ACB" w:rsidRPr="00432C28" w:rsidRDefault="005B4ACB" w:rsidP="005B4ACB">
            <w:pPr>
              <w:autoSpaceDE w:val="0"/>
              <w:autoSpaceDN w:val="0"/>
              <w:adjustRightInd w:val="0"/>
              <w:rPr>
                <w:rFonts w:cs="Times New Roman"/>
                <w:color w:val="000000"/>
                <w:sz w:val="20"/>
                <w:szCs w:val="20"/>
              </w:rPr>
            </w:pPr>
            <w:r w:rsidRPr="00432C28">
              <w:rPr>
                <w:rFonts w:cs="Times New Roman"/>
                <w:color w:val="000000"/>
                <w:sz w:val="20"/>
                <w:szCs w:val="20"/>
              </w:rPr>
              <w:t>Yes.  Four weekly time segments for each month and measure, aggregated from 8760 in Aurora and short-term demand forecast.</w:t>
            </w:r>
          </w:p>
        </w:tc>
        <w:tc>
          <w:tcPr>
            <w:tcW w:w="2880" w:type="dxa"/>
            <w:tcBorders>
              <w:top w:val="single" w:sz="6" w:space="0" w:color="auto"/>
              <w:left w:val="single" w:sz="6" w:space="0" w:color="auto"/>
              <w:bottom w:val="single" w:sz="6" w:space="0" w:color="auto"/>
              <w:right w:val="single" w:sz="6" w:space="0" w:color="auto"/>
            </w:tcBorders>
          </w:tcPr>
          <w:p w:rsidR="005B4ACB" w:rsidRPr="00432C28" w:rsidRDefault="005B4ACB" w:rsidP="005B4ACB">
            <w:pPr>
              <w:autoSpaceDE w:val="0"/>
              <w:autoSpaceDN w:val="0"/>
              <w:adjustRightInd w:val="0"/>
              <w:rPr>
                <w:rFonts w:cs="Times New Roman"/>
                <w:color w:val="000000"/>
                <w:sz w:val="20"/>
                <w:szCs w:val="20"/>
              </w:rPr>
            </w:pPr>
            <w:r w:rsidRPr="00432C28">
              <w:rPr>
                <w:rFonts w:cs="Times New Roman"/>
                <w:color w:val="000000"/>
                <w:sz w:val="20"/>
                <w:szCs w:val="20"/>
              </w:rPr>
              <w:t xml:space="preserve">Yes. Avoided cost values (expressed in $/MWH for given year) are established by decrementing the load using 8,760 hour load shapes.  </w:t>
            </w:r>
          </w:p>
        </w:tc>
        <w:tc>
          <w:tcPr>
            <w:tcW w:w="2250" w:type="dxa"/>
            <w:tcBorders>
              <w:top w:val="single" w:sz="6" w:space="0" w:color="auto"/>
              <w:left w:val="single" w:sz="6" w:space="0" w:color="auto"/>
              <w:bottom w:val="single" w:sz="6" w:space="0" w:color="auto"/>
              <w:right w:val="single" w:sz="6" w:space="0" w:color="auto"/>
            </w:tcBorders>
          </w:tcPr>
          <w:p w:rsidR="005B4ACB" w:rsidRPr="00432C28" w:rsidRDefault="005B4ACB" w:rsidP="005B4ACB">
            <w:pPr>
              <w:autoSpaceDE w:val="0"/>
              <w:autoSpaceDN w:val="0"/>
              <w:adjustRightInd w:val="0"/>
              <w:rPr>
                <w:rFonts w:cs="Times New Roman"/>
                <w:color w:val="000000"/>
                <w:sz w:val="20"/>
                <w:szCs w:val="20"/>
              </w:rPr>
            </w:pPr>
            <w:r w:rsidRPr="00432C28">
              <w:rPr>
                <w:rFonts w:cs="Times New Roman"/>
                <w:color w:val="000000"/>
                <w:sz w:val="20"/>
                <w:szCs w:val="20"/>
              </w:rPr>
              <w:t>All utilities and the Council apply load shapes to their savings and costs.  Methodology is generally consistent, but assumptions may vary.</w:t>
            </w:r>
          </w:p>
        </w:tc>
      </w:tr>
      <w:tr w:rsidR="005B4ACB" w:rsidRPr="00432C28">
        <w:trPr>
          <w:trHeight w:val="216"/>
        </w:trPr>
        <w:tc>
          <w:tcPr>
            <w:tcW w:w="1661" w:type="dxa"/>
            <w:tcBorders>
              <w:top w:val="single" w:sz="6" w:space="0" w:color="auto"/>
              <w:left w:val="single" w:sz="6" w:space="0" w:color="auto"/>
              <w:bottom w:val="single" w:sz="6" w:space="0" w:color="auto"/>
              <w:right w:val="single" w:sz="6" w:space="0" w:color="auto"/>
            </w:tcBorders>
          </w:tcPr>
          <w:p w:rsidR="005B4ACB" w:rsidRPr="00432C28" w:rsidRDefault="005B4ACB" w:rsidP="005B4ACB">
            <w:pPr>
              <w:autoSpaceDE w:val="0"/>
              <w:autoSpaceDN w:val="0"/>
              <w:adjustRightInd w:val="0"/>
              <w:rPr>
                <w:rFonts w:cs="Times New Roman"/>
                <w:color w:val="000000"/>
                <w:sz w:val="20"/>
                <w:szCs w:val="20"/>
              </w:rPr>
            </w:pPr>
          </w:p>
        </w:tc>
        <w:tc>
          <w:tcPr>
            <w:tcW w:w="2689" w:type="dxa"/>
            <w:tcBorders>
              <w:top w:val="single" w:sz="6" w:space="0" w:color="auto"/>
              <w:left w:val="single" w:sz="6" w:space="0" w:color="auto"/>
              <w:bottom w:val="single" w:sz="6" w:space="0" w:color="auto"/>
              <w:right w:val="single" w:sz="6" w:space="0" w:color="auto"/>
            </w:tcBorders>
          </w:tcPr>
          <w:p w:rsidR="005B4ACB" w:rsidRPr="00432C28" w:rsidRDefault="005B4ACB" w:rsidP="005B4ACB">
            <w:pPr>
              <w:autoSpaceDE w:val="0"/>
              <w:autoSpaceDN w:val="0"/>
              <w:adjustRightInd w:val="0"/>
              <w:jc w:val="right"/>
              <w:rPr>
                <w:rFonts w:cs="Times New Roman"/>
                <w:color w:val="000000"/>
                <w:sz w:val="20"/>
                <w:szCs w:val="20"/>
              </w:rPr>
            </w:pPr>
          </w:p>
        </w:tc>
        <w:tc>
          <w:tcPr>
            <w:tcW w:w="2880" w:type="dxa"/>
            <w:tcBorders>
              <w:top w:val="single" w:sz="6" w:space="0" w:color="auto"/>
              <w:left w:val="single" w:sz="6" w:space="0" w:color="auto"/>
              <w:bottom w:val="single" w:sz="6" w:space="0" w:color="auto"/>
              <w:right w:val="single" w:sz="6" w:space="0" w:color="auto"/>
            </w:tcBorders>
          </w:tcPr>
          <w:p w:rsidR="005B4ACB" w:rsidRPr="00432C28" w:rsidRDefault="005B4ACB" w:rsidP="005B4ACB">
            <w:pPr>
              <w:autoSpaceDE w:val="0"/>
              <w:autoSpaceDN w:val="0"/>
              <w:adjustRightInd w:val="0"/>
              <w:jc w:val="right"/>
              <w:rPr>
                <w:rFonts w:cs="Times New Roman"/>
                <w:color w:val="000000"/>
                <w:sz w:val="20"/>
                <w:szCs w:val="20"/>
              </w:rPr>
            </w:pPr>
          </w:p>
        </w:tc>
        <w:tc>
          <w:tcPr>
            <w:tcW w:w="2250" w:type="dxa"/>
            <w:tcBorders>
              <w:top w:val="single" w:sz="6" w:space="0" w:color="auto"/>
              <w:left w:val="single" w:sz="6" w:space="0" w:color="auto"/>
              <w:bottom w:val="single" w:sz="6" w:space="0" w:color="auto"/>
              <w:right w:val="single" w:sz="6" w:space="0" w:color="auto"/>
            </w:tcBorders>
          </w:tcPr>
          <w:p w:rsidR="005B4ACB" w:rsidRPr="00432C28" w:rsidRDefault="005B4ACB" w:rsidP="005B4ACB">
            <w:pPr>
              <w:autoSpaceDE w:val="0"/>
              <w:autoSpaceDN w:val="0"/>
              <w:adjustRightInd w:val="0"/>
              <w:jc w:val="right"/>
              <w:rPr>
                <w:rFonts w:cs="Times New Roman"/>
                <w:color w:val="000000"/>
                <w:sz w:val="20"/>
                <w:szCs w:val="20"/>
              </w:rPr>
            </w:pPr>
          </w:p>
        </w:tc>
      </w:tr>
      <w:tr w:rsidR="005B4ACB" w:rsidRPr="00432C28">
        <w:trPr>
          <w:trHeight w:val="430"/>
        </w:trPr>
        <w:tc>
          <w:tcPr>
            <w:tcW w:w="4350" w:type="dxa"/>
            <w:gridSpan w:val="2"/>
            <w:tcBorders>
              <w:top w:val="single" w:sz="6" w:space="0" w:color="auto"/>
              <w:left w:val="single" w:sz="6" w:space="0" w:color="auto"/>
              <w:bottom w:val="single" w:sz="6" w:space="0" w:color="auto"/>
              <w:right w:val="single" w:sz="6" w:space="0" w:color="auto"/>
            </w:tcBorders>
          </w:tcPr>
          <w:p w:rsidR="005B4ACB" w:rsidRPr="00432C28" w:rsidRDefault="005B4ACB" w:rsidP="005B4ACB">
            <w:pPr>
              <w:autoSpaceDE w:val="0"/>
              <w:autoSpaceDN w:val="0"/>
              <w:adjustRightInd w:val="0"/>
              <w:rPr>
                <w:rFonts w:cs="Times New Roman"/>
                <w:b/>
                <w:bCs/>
                <w:color w:val="000000"/>
                <w:sz w:val="20"/>
                <w:szCs w:val="20"/>
              </w:rPr>
            </w:pPr>
            <w:r w:rsidRPr="00432C28">
              <w:rPr>
                <w:rFonts w:cs="Times New Roman"/>
                <w:b/>
                <w:bCs/>
                <w:color w:val="000000"/>
                <w:sz w:val="20"/>
                <w:szCs w:val="20"/>
              </w:rPr>
              <w:t>Present Value Calculation Inputs</w:t>
            </w:r>
          </w:p>
        </w:tc>
        <w:tc>
          <w:tcPr>
            <w:tcW w:w="2880" w:type="dxa"/>
            <w:tcBorders>
              <w:top w:val="single" w:sz="6" w:space="0" w:color="auto"/>
              <w:left w:val="single" w:sz="6" w:space="0" w:color="auto"/>
              <w:bottom w:val="single" w:sz="6" w:space="0" w:color="auto"/>
              <w:right w:val="single" w:sz="6" w:space="0" w:color="auto"/>
            </w:tcBorders>
          </w:tcPr>
          <w:p w:rsidR="005B4ACB" w:rsidRPr="00432C28" w:rsidRDefault="005B4ACB" w:rsidP="005B4ACB">
            <w:pPr>
              <w:autoSpaceDE w:val="0"/>
              <w:autoSpaceDN w:val="0"/>
              <w:adjustRightInd w:val="0"/>
              <w:jc w:val="right"/>
              <w:rPr>
                <w:rFonts w:cs="Times New Roman"/>
                <w:color w:val="000000"/>
                <w:sz w:val="20"/>
                <w:szCs w:val="20"/>
              </w:rPr>
            </w:pPr>
          </w:p>
        </w:tc>
        <w:tc>
          <w:tcPr>
            <w:tcW w:w="2250" w:type="dxa"/>
            <w:tcBorders>
              <w:top w:val="single" w:sz="6" w:space="0" w:color="auto"/>
              <w:left w:val="single" w:sz="6" w:space="0" w:color="auto"/>
              <w:bottom w:val="single" w:sz="6" w:space="0" w:color="auto"/>
              <w:right w:val="single" w:sz="6" w:space="0" w:color="auto"/>
            </w:tcBorders>
          </w:tcPr>
          <w:p w:rsidR="005B4ACB" w:rsidRPr="00432C28" w:rsidRDefault="005B4ACB" w:rsidP="005B4ACB">
            <w:pPr>
              <w:autoSpaceDE w:val="0"/>
              <w:autoSpaceDN w:val="0"/>
              <w:adjustRightInd w:val="0"/>
              <w:jc w:val="right"/>
              <w:rPr>
                <w:rFonts w:cs="Times New Roman"/>
                <w:color w:val="000000"/>
                <w:sz w:val="20"/>
                <w:szCs w:val="20"/>
              </w:rPr>
            </w:pPr>
          </w:p>
        </w:tc>
      </w:tr>
      <w:tr w:rsidR="005B4ACB" w:rsidRPr="00432C28">
        <w:trPr>
          <w:trHeight w:val="1632"/>
        </w:trPr>
        <w:tc>
          <w:tcPr>
            <w:tcW w:w="1661" w:type="dxa"/>
            <w:tcBorders>
              <w:top w:val="single" w:sz="6" w:space="0" w:color="auto"/>
              <w:left w:val="single" w:sz="6" w:space="0" w:color="auto"/>
              <w:bottom w:val="single" w:sz="6" w:space="0" w:color="auto"/>
              <w:right w:val="single" w:sz="6" w:space="0" w:color="auto"/>
            </w:tcBorders>
          </w:tcPr>
          <w:p w:rsidR="005B4ACB" w:rsidRPr="00432C28" w:rsidRDefault="005B4ACB" w:rsidP="005B4ACB">
            <w:pPr>
              <w:autoSpaceDE w:val="0"/>
              <w:autoSpaceDN w:val="0"/>
              <w:adjustRightInd w:val="0"/>
              <w:rPr>
                <w:rFonts w:cs="Times New Roman"/>
                <w:color w:val="000000"/>
                <w:sz w:val="20"/>
                <w:szCs w:val="20"/>
              </w:rPr>
            </w:pPr>
            <w:r w:rsidRPr="00432C28">
              <w:rPr>
                <w:rFonts w:cs="Times New Roman"/>
                <w:color w:val="000000"/>
                <w:sz w:val="20"/>
                <w:szCs w:val="20"/>
              </w:rPr>
              <w:t>Discount rate (real or nominal, pre-tax or post-tax, etc.)</w:t>
            </w:r>
          </w:p>
        </w:tc>
        <w:tc>
          <w:tcPr>
            <w:tcW w:w="2689" w:type="dxa"/>
            <w:tcBorders>
              <w:top w:val="single" w:sz="6" w:space="0" w:color="auto"/>
              <w:left w:val="single" w:sz="6" w:space="0" w:color="auto"/>
              <w:bottom w:val="single" w:sz="6" w:space="0" w:color="auto"/>
              <w:right w:val="single" w:sz="6" w:space="0" w:color="auto"/>
            </w:tcBorders>
          </w:tcPr>
          <w:p w:rsidR="005B4ACB" w:rsidRPr="00432C28" w:rsidRDefault="005B4ACB" w:rsidP="005B4ACB">
            <w:pPr>
              <w:autoSpaceDE w:val="0"/>
              <w:autoSpaceDN w:val="0"/>
              <w:adjustRightInd w:val="0"/>
              <w:rPr>
                <w:rFonts w:cs="Times New Roman"/>
                <w:color w:val="000000"/>
                <w:sz w:val="20"/>
                <w:szCs w:val="20"/>
              </w:rPr>
            </w:pPr>
            <w:r w:rsidRPr="00432C28">
              <w:rPr>
                <w:rFonts w:cs="Times New Roman"/>
                <w:color w:val="000000"/>
                <w:sz w:val="20"/>
                <w:szCs w:val="20"/>
              </w:rPr>
              <w:t xml:space="preserve">Yes.  Real after tax cost of capital. Rates vary for different types of utilities and consumers and debt versus equity.   </w:t>
            </w:r>
          </w:p>
        </w:tc>
        <w:tc>
          <w:tcPr>
            <w:tcW w:w="2880" w:type="dxa"/>
            <w:tcBorders>
              <w:top w:val="single" w:sz="6" w:space="0" w:color="auto"/>
              <w:left w:val="single" w:sz="6" w:space="0" w:color="auto"/>
              <w:bottom w:val="single" w:sz="6" w:space="0" w:color="auto"/>
              <w:right w:val="single" w:sz="6" w:space="0" w:color="auto"/>
            </w:tcBorders>
          </w:tcPr>
          <w:p w:rsidR="005B4ACB" w:rsidRPr="00432C28" w:rsidRDefault="005B4ACB" w:rsidP="00ED0088">
            <w:pPr>
              <w:autoSpaceDE w:val="0"/>
              <w:autoSpaceDN w:val="0"/>
              <w:adjustRightInd w:val="0"/>
              <w:rPr>
                <w:rFonts w:cs="Times New Roman"/>
                <w:color w:val="000000"/>
                <w:sz w:val="20"/>
                <w:szCs w:val="20"/>
              </w:rPr>
            </w:pPr>
            <w:r w:rsidRPr="00432C28">
              <w:rPr>
                <w:rFonts w:cs="Times New Roman"/>
                <w:color w:val="000000"/>
                <w:sz w:val="20"/>
                <w:szCs w:val="20"/>
              </w:rPr>
              <w:t xml:space="preserve">Yes. </w:t>
            </w:r>
            <w:r w:rsidR="00266D62">
              <w:rPr>
                <w:rFonts w:cs="Times New Roman"/>
                <w:color w:val="000000"/>
                <w:sz w:val="20"/>
                <w:szCs w:val="20"/>
              </w:rPr>
              <w:t>2015</w:t>
            </w:r>
            <w:r w:rsidR="000E4631">
              <w:rPr>
                <w:rFonts w:cs="Times New Roman"/>
                <w:color w:val="000000"/>
                <w:sz w:val="20"/>
                <w:szCs w:val="20"/>
              </w:rPr>
              <w:t xml:space="preserve"> </w:t>
            </w:r>
            <w:r w:rsidRPr="00432C28">
              <w:rPr>
                <w:rFonts w:cs="Times New Roman"/>
                <w:color w:val="000000"/>
                <w:sz w:val="20"/>
                <w:szCs w:val="20"/>
              </w:rPr>
              <w:t xml:space="preserve">IRP uses a weighted average cost of capital (currently </w:t>
            </w:r>
            <w:r w:rsidR="000E4631">
              <w:rPr>
                <w:rFonts w:cs="Times New Roman"/>
                <w:color w:val="000000"/>
                <w:sz w:val="20"/>
                <w:szCs w:val="20"/>
              </w:rPr>
              <w:t>6.</w:t>
            </w:r>
            <w:r w:rsidR="00ED0088">
              <w:rPr>
                <w:rFonts w:cs="Times New Roman"/>
                <w:color w:val="000000"/>
                <w:sz w:val="20"/>
                <w:szCs w:val="20"/>
              </w:rPr>
              <w:t xml:space="preserve">66 </w:t>
            </w:r>
            <w:r w:rsidR="000E4631">
              <w:rPr>
                <w:rFonts w:cs="Times New Roman"/>
                <w:color w:val="000000"/>
                <w:sz w:val="20"/>
                <w:szCs w:val="20"/>
              </w:rPr>
              <w:t xml:space="preserve"> </w:t>
            </w:r>
            <w:r w:rsidRPr="00432C28">
              <w:rPr>
                <w:rFonts w:cs="Times New Roman"/>
                <w:color w:val="000000"/>
                <w:sz w:val="20"/>
                <w:szCs w:val="20"/>
              </w:rPr>
              <w:t>%).</w:t>
            </w:r>
          </w:p>
        </w:tc>
        <w:tc>
          <w:tcPr>
            <w:tcW w:w="2250" w:type="dxa"/>
            <w:tcBorders>
              <w:top w:val="single" w:sz="6" w:space="0" w:color="auto"/>
              <w:left w:val="single" w:sz="6" w:space="0" w:color="auto"/>
              <w:bottom w:val="single" w:sz="6" w:space="0" w:color="auto"/>
              <w:right w:val="single" w:sz="6" w:space="0" w:color="auto"/>
            </w:tcBorders>
          </w:tcPr>
          <w:p w:rsidR="005B4ACB" w:rsidRPr="00432C28" w:rsidRDefault="005B4ACB" w:rsidP="005B4ACB">
            <w:pPr>
              <w:autoSpaceDE w:val="0"/>
              <w:autoSpaceDN w:val="0"/>
              <w:adjustRightInd w:val="0"/>
              <w:rPr>
                <w:rFonts w:cs="Times New Roman"/>
                <w:color w:val="000000"/>
                <w:sz w:val="20"/>
                <w:szCs w:val="20"/>
              </w:rPr>
            </w:pPr>
            <w:r w:rsidRPr="00432C28">
              <w:rPr>
                <w:rFonts w:cs="Times New Roman"/>
                <w:color w:val="000000"/>
                <w:sz w:val="20"/>
                <w:szCs w:val="20"/>
              </w:rPr>
              <w:t>All utilities use their weighted average cost of capital, while the Council uses a hybrid of utility cost of capital and customer long-term discount rate.</w:t>
            </w:r>
          </w:p>
          <w:p w:rsidR="005B4ACB" w:rsidRPr="00432C28" w:rsidRDefault="005B4ACB" w:rsidP="005B4ACB">
            <w:pPr>
              <w:autoSpaceDE w:val="0"/>
              <w:autoSpaceDN w:val="0"/>
              <w:adjustRightInd w:val="0"/>
              <w:rPr>
                <w:rFonts w:cs="Times New Roman"/>
                <w:color w:val="000000"/>
                <w:sz w:val="20"/>
                <w:szCs w:val="20"/>
              </w:rPr>
            </w:pPr>
          </w:p>
          <w:p w:rsidR="005B4ACB" w:rsidRPr="00432C28" w:rsidRDefault="005B4ACB" w:rsidP="005B4ACB">
            <w:pPr>
              <w:autoSpaceDE w:val="0"/>
              <w:autoSpaceDN w:val="0"/>
              <w:adjustRightInd w:val="0"/>
              <w:rPr>
                <w:rFonts w:cs="Times New Roman"/>
                <w:color w:val="000000"/>
                <w:sz w:val="20"/>
                <w:szCs w:val="20"/>
              </w:rPr>
            </w:pPr>
          </w:p>
        </w:tc>
      </w:tr>
      <w:tr w:rsidR="005B4ACB" w:rsidRPr="00432C28">
        <w:trPr>
          <w:trHeight w:val="1594"/>
        </w:trPr>
        <w:tc>
          <w:tcPr>
            <w:tcW w:w="1661" w:type="dxa"/>
            <w:tcBorders>
              <w:top w:val="single" w:sz="6" w:space="0" w:color="auto"/>
              <w:left w:val="single" w:sz="6" w:space="0" w:color="auto"/>
              <w:bottom w:val="single" w:sz="6" w:space="0" w:color="auto"/>
              <w:right w:val="single" w:sz="6" w:space="0" w:color="auto"/>
            </w:tcBorders>
          </w:tcPr>
          <w:p w:rsidR="005B4ACB" w:rsidRPr="00432C28" w:rsidRDefault="005B4ACB" w:rsidP="005B4ACB">
            <w:pPr>
              <w:autoSpaceDE w:val="0"/>
              <w:autoSpaceDN w:val="0"/>
              <w:adjustRightInd w:val="0"/>
              <w:rPr>
                <w:rFonts w:cs="Times New Roman"/>
                <w:color w:val="000000"/>
                <w:sz w:val="20"/>
                <w:szCs w:val="20"/>
              </w:rPr>
            </w:pPr>
            <w:r w:rsidRPr="00432C28">
              <w:rPr>
                <w:rFonts w:cs="Times New Roman"/>
                <w:color w:val="000000"/>
                <w:sz w:val="20"/>
                <w:szCs w:val="20"/>
              </w:rPr>
              <w:t>Time frame (program/measure life, other term)</w:t>
            </w:r>
          </w:p>
        </w:tc>
        <w:tc>
          <w:tcPr>
            <w:tcW w:w="2689" w:type="dxa"/>
            <w:tcBorders>
              <w:top w:val="single" w:sz="6" w:space="0" w:color="auto"/>
              <w:left w:val="single" w:sz="6" w:space="0" w:color="auto"/>
              <w:bottom w:val="single" w:sz="6" w:space="0" w:color="auto"/>
              <w:right w:val="single" w:sz="6" w:space="0" w:color="auto"/>
            </w:tcBorders>
          </w:tcPr>
          <w:p w:rsidR="005B4ACB" w:rsidRPr="00432C28" w:rsidRDefault="005B4ACB" w:rsidP="005B4ACB">
            <w:pPr>
              <w:autoSpaceDE w:val="0"/>
              <w:autoSpaceDN w:val="0"/>
              <w:adjustRightInd w:val="0"/>
              <w:rPr>
                <w:rFonts w:cs="Times New Roman"/>
                <w:color w:val="000000"/>
                <w:sz w:val="20"/>
                <w:szCs w:val="20"/>
              </w:rPr>
            </w:pPr>
            <w:r w:rsidRPr="00432C28">
              <w:rPr>
                <w:rFonts w:cs="Times New Roman"/>
                <w:color w:val="000000"/>
                <w:sz w:val="20"/>
                <w:szCs w:val="20"/>
              </w:rPr>
              <w:t xml:space="preserve">Twenty-year program analysis.  Measure lives &lt;20 years are re-purchased, longer are prorated and truncated.    </w:t>
            </w:r>
          </w:p>
        </w:tc>
        <w:tc>
          <w:tcPr>
            <w:tcW w:w="2880" w:type="dxa"/>
            <w:tcBorders>
              <w:top w:val="single" w:sz="6" w:space="0" w:color="auto"/>
              <w:left w:val="single" w:sz="6" w:space="0" w:color="auto"/>
              <w:bottom w:val="single" w:sz="6" w:space="0" w:color="auto"/>
              <w:right w:val="single" w:sz="6" w:space="0" w:color="auto"/>
            </w:tcBorders>
          </w:tcPr>
          <w:p w:rsidR="005B4ACB" w:rsidRPr="00432C28" w:rsidRDefault="005B4ACB" w:rsidP="005B4ACB">
            <w:pPr>
              <w:autoSpaceDE w:val="0"/>
              <w:autoSpaceDN w:val="0"/>
              <w:adjustRightInd w:val="0"/>
              <w:rPr>
                <w:rFonts w:cs="Times New Roman"/>
                <w:color w:val="000000"/>
                <w:sz w:val="20"/>
                <w:szCs w:val="20"/>
              </w:rPr>
            </w:pPr>
            <w:r w:rsidRPr="00432C28">
              <w:rPr>
                <w:rFonts w:cs="Times New Roman"/>
                <w:color w:val="000000"/>
                <w:sz w:val="20"/>
                <w:szCs w:val="20"/>
              </w:rPr>
              <w:t xml:space="preserve">Twenty year planning </w:t>
            </w:r>
            <w:r w:rsidR="001D46A9" w:rsidRPr="00432C28">
              <w:rPr>
                <w:rFonts w:cs="Times New Roman"/>
                <w:color w:val="000000"/>
                <w:sz w:val="20"/>
                <w:szCs w:val="20"/>
              </w:rPr>
              <w:t>horizon</w:t>
            </w:r>
            <w:r w:rsidRPr="00432C28">
              <w:rPr>
                <w:rFonts w:cs="Times New Roman"/>
                <w:color w:val="000000"/>
                <w:sz w:val="20"/>
                <w:szCs w:val="20"/>
              </w:rPr>
              <w:t xml:space="preserve">. Measure lives &lt;20 years are repurchased, longer are prorated and truncated. </w:t>
            </w:r>
          </w:p>
        </w:tc>
        <w:tc>
          <w:tcPr>
            <w:tcW w:w="2250" w:type="dxa"/>
            <w:tcBorders>
              <w:top w:val="single" w:sz="6" w:space="0" w:color="auto"/>
              <w:left w:val="single" w:sz="6" w:space="0" w:color="auto"/>
              <w:bottom w:val="single" w:sz="6" w:space="0" w:color="auto"/>
              <w:right w:val="single" w:sz="6" w:space="0" w:color="auto"/>
            </w:tcBorders>
          </w:tcPr>
          <w:p w:rsidR="005B4ACB" w:rsidRPr="00432C28" w:rsidRDefault="005B4ACB" w:rsidP="005B4ACB">
            <w:pPr>
              <w:autoSpaceDE w:val="0"/>
              <w:autoSpaceDN w:val="0"/>
              <w:adjustRightInd w:val="0"/>
              <w:rPr>
                <w:rFonts w:cs="Times New Roman"/>
                <w:color w:val="000000"/>
                <w:sz w:val="20"/>
                <w:szCs w:val="20"/>
              </w:rPr>
            </w:pPr>
            <w:r w:rsidRPr="00432C28">
              <w:rPr>
                <w:rFonts w:cs="Times New Roman"/>
                <w:color w:val="000000"/>
                <w:sz w:val="20"/>
                <w:szCs w:val="20"/>
              </w:rPr>
              <w:t>All utilities handle time frame and measure lives similarly to the Council in their IRP's.  For non-IRP program analysis, utilities generally use one measure lifecycle as the time frame.</w:t>
            </w:r>
          </w:p>
        </w:tc>
      </w:tr>
      <w:tr w:rsidR="005B4ACB" w:rsidRPr="00432C28">
        <w:trPr>
          <w:trHeight w:val="216"/>
        </w:trPr>
        <w:tc>
          <w:tcPr>
            <w:tcW w:w="1661" w:type="dxa"/>
            <w:tcBorders>
              <w:top w:val="single" w:sz="6" w:space="0" w:color="auto"/>
              <w:left w:val="single" w:sz="6" w:space="0" w:color="auto"/>
              <w:bottom w:val="single" w:sz="6" w:space="0" w:color="auto"/>
              <w:right w:val="single" w:sz="6" w:space="0" w:color="auto"/>
            </w:tcBorders>
          </w:tcPr>
          <w:p w:rsidR="005B4ACB" w:rsidRPr="00432C28" w:rsidRDefault="005B4ACB" w:rsidP="005B4ACB">
            <w:pPr>
              <w:autoSpaceDE w:val="0"/>
              <w:autoSpaceDN w:val="0"/>
              <w:adjustRightInd w:val="0"/>
              <w:jc w:val="right"/>
              <w:rPr>
                <w:rFonts w:cs="Times New Roman"/>
                <w:color w:val="000000"/>
                <w:sz w:val="20"/>
                <w:szCs w:val="20"/>
              </w:rPr>
            </w:pPr>
          </w:p>
        </w:tc>
        <w:tc>
          <w:tcPr>
            <w:tcW w:w="2689" w:type="dxa"/>
            <w:tcBorders>
              <w:top w:val="single" w:sz="6" w:space="0" w:color="auto"/>
              <w:left w:val="single" w:sz="6" w:space="0" w:color="auto"/>
              <w:bottom w:val="single" w:sz="6" w:space="0" w:color="auto"/>
              <w:right w:val="single" w:sz="6" w:space="0" w:color="auto"/>
            </w:tcBorders>
          </w:tcPr>
          <w:p w:rsidR="005B4ACB" w:rsidRPr="00432C28" w:rsidRDefault="005B4ACB" w:rsidP="005B4ACB">
            <w:pPr>
              <w:autoSpaceDE w:val="0"/>
              <w:autoSpaceDN w:val="0"/>
              <w:adjustRightInd w:val="0"/>
              <w:jc w:val="right"/>
              <w:rPr>
                <w:rFonts w:cs="Times New Roman"/>
                <w:color w:val="000000"/>
                <w:sz w:val="20"/>
                <w:szCs w:val="20"/>
              </w:rPr>
            </w:pPr>
          </w:p>
        </w:tc>
        <w:tc>
          <w:tcPr>
            <w:tcW w:w="2880" w:type="dxa"/>
            <w:tcBorders>
              <w:top w:val="single" w:sz="6" w:space="0" w:color="auto"/>
              <w:left w:val="single" w:sz="6" w:space="0" w:color="auto"/>
              <w:bottom w:val="single" w:sz="6" w:space="0" w:color="auto"/>
              <w:right w:val="single" w:sz="6" w:space="0" w:color="auto"/>
            </w:tcBorders>
          </w:tcPr>
          <w:p w:rsidR="005B4ACB" w:rsidRPr="00432C28" w:rsidRDefault="005B4ACB" w:rsidP="005B4ACB">
            <w:pPr>
              <w:autoSpaceDE w:val="0"/>
              <w:autoSpaceDN w:val="0"/>
              <w:adjustRightInd w:val="0"/>
              <w:jc w:val="right"/>
              <w:rPr>
                <w:rFonts w:cs="Times New Roman"/>
                <w:color w:val="000000"/>
                <w:sz w:val="20"/>
                <w:szCs w:val="20"/>
              </w:rPr>
            </w:pPr>
          </w:p>
        </w:tc>
        <w:tc>
          <w:tcPr>
            <w:tcW w:w="2250" w:type="dxa"/>
            <w:tcBorders>
              <w:top w:val="single" w:sz="6" w:space="0" w:color="auto"/>
              <w:left w:val="single" w:sz="6" w:space="0" w:color="auto"/>
              <w:bottom w:val="single" w:sz="6" w:space="0" w:color="auto"/>
              <w:right w:val="single" w:sz="6" w:space="0" w:color="auto"/>
            </w:tcBorders>
          </w:tcPr>
          <w:p w:rsidR="005B4ACB" w:rsidRPr="00432C28" w:rsidRDefault="005B4ACB" w:rsidP="005B4ACB">
            <w:pPr>
              <w:autoSpaceDE w:val="0"/>
              <w:autoSpaceDN w:val="0"/>
              <w:adjustRightInd w:val="0"/>
              <w:jc w:val="right"/>
              <w:rPr>
                <w:rFonts w:cs="Times New Roman"/>
                <w:color w:val="000000"/>
                <w:sz w:val="20"/>
                <w:szCs w:val="20"/>
              </w:rPr>
            </w:pPr>
          </w:p>
        </w:tc>
      </w:tr>
      <w:tr w:rsidR="005B4ACB" w:rsidRPr="00432C28">
        <w:trPr>
          <w:trHeight w:val="646"/>
        </w:trPr>
        <w:tc>
          <w:tcPr>
            <w:tcW w:w="1661" w:type="dxa"/>
            <w:tcBorders>
              <w:top w:val="single" w:sz="6" w:space="0" w:color="auto"/>
              <w:left w:val="single" w:sz="6" w:space="0" w:color="auto"/>
              <w:bottom w:val="single" w:sz="6" w:space="0" w:color="auto"/>
              <w:right w:val="single" w:sz="6" w:space="0" w:color="auto"/>
            </w:tcBorders>
          </w:tcPr>
          <w:p w:rsidR="005B4ACB" w:rsidRPr="00432C28" w:rsidRDefault="005B4ACB" w:rsidP="005B4ACB">
            <w:pPr>
              <w:autoSpaceDE w:val="0"/>
              <w:autoSpaceDN w:val="0"/>
              <w:adjustRightInd w:val="0"/>
              <w:rPr>
                <w:rFonts w:cs="Times New Roman"/>
                <w:b/>
                <w:bCs/>
                <w:color w:val="000000"/>
                <w:sz w:val="20"/>
                <w:szCs w:val="20"/>
              </w:rPr>
            </w:pPr>
            <w:r w:rsidRPr="00432C28">
              <w:rPr>
                <w:rFonts w:cs="Times New Roman"/>
                <w:b/>
                <w:bCs/>
                <w:color w:val="000000"/>
                <w:sz w:val="20"/>
                <w:szCs w:val="20"/>
              </w:rPr>
              <w:t>Calculation algorithms (generalized)</w:t>
            </w:r>
          </w:p>
        </w:tc>
        <w:tc>
          <w:tcPr>
            <w:tcW w:w="2689" w:type="dxa"/>
            <w:tcBorders>
              <w:top w:val="single" w:sz="6" w:space="0" w:color="auto"/>
              <w:left w:val="single" w:sz="6" w:space="0" w:color="auto"/>
              <w:bottom w:val="single" w:sz="6" w:space="0" w:color="auto"/>
              <w:right w:val="single" w:sz="6" w:space="0" w:color="auto"/>
            </w:tcBorders>
          </w:tcPr>
          <w:p w:rsidR="005B4ACB" w:rsidRPr="00432C28" w:rsidRDefault="005B4ACB" w:rsidP="005B4ACB">
            <w:pPr>
              <w:autoSpaceDE w:val="0"/>
              <w:autoSpaceDN w:val="0"/>
              <w:adjustRightInd w:val="0"/>
              <w:rPr>
                <w:rFonts w:cs="Times New Roman"/>
                <w:b/>
                <w:bCs/>
                <w:color w:val="000000"/>
                <w:sz w:val="20"/>
                <w:szCs w:val="20"/>
              </w:rPr>
            </w:pPr>
            <w:r w:rsidRPr="00432C28">
              <w:rPr>
                <w:rFonts w:cs="Times New Roman"/>
                <w:b/>
                <w:bCs/>
                <w:color w:val="000000"/>
                <w:sz w:val="20"/>
                <w:szCs w:val="20"/>
              </w:rPr>
              <w:t>Avoided Cost for a Measure =</w:t>
            </w:r>
          </w:p>
        </w:tc>
        <w:tc>
          <w:tcPr>
            <w:tcW w:w="2880" w:type="dxa"/>
            <w:tcBorders>
              <w:top w:val="single" w:sz="6" w:space="0" w:color="auto"/>
              <w:left w:val="single" w:sz="6" w:space="0" w:color="auto"/>
              <w:bottom w:val="single" w:sz="6" w:space="0" w:color="auto"/>
              <w:right w:val="single" w:sz="6" w:space="0" w:color="auto"/>
            </w:tcBorders>
          </w:tcPr>
          <w:p w:rsidR="005B4ACB" w:rsidRPr="00432C28" w:rsidRDefault="005B4ACB" w:rsidP="005B4ACB">
            <w:pPr>
              <w:autoSpaceDE w:val="0"/>
              <w:autoSpaceDN w:val="0"/>
              <w:adjustRightInd w:val="0"/>
              <w:rPr>
                <w:rFonts w:cs="Times New Roman"/>
                <w:color w:val="000000"/>
                <w:sz w:val="20"/>
                <w:szCs w:val="20"/>
              </w:rPr>
            </w:pPr>
            <w:r w:rsidRPr="00432C28">
              <w:rPr>
                <w:rFonts w:cs="Times New Roman"/>
                <w:color w:val="000000"/>
                <w:sz w:val="20"/>
                <w:szCs w:val="20"/>
              </w:rPr>
              <w:t>.</w:t>
            </w:r>
          </w:p>
        </w:tc>
        <w:tc>
          <w:tcPr>
            <w:tcW w:w="2250" w:type="dxa"/>
            <w:tcBorders>
              <w:top w:val="single" w:sz="6" w:space="0" w:color="auto"/>
              <w:left w:val="single" w:sz="6" w:space="0" w:color="auto"/>
              <w:bottom w:val="single" w:sz="6" w:space="0" w:color="auto"/>
              <w:right w:val="single" w:sz="6" w:space="0" w:color="auto"/>
            </w:tcBorders>
          </w:tcPr>
          <w:p w:rsidR="005B4ACB" w:rsidRPr="00432C28" w:rsidRDefault="005B4ACB" w:rsidP="005B4ACB">
            <w:pPr>
              <w:autoSpaceDE w:val="0"/>
              <w:autoSpaceDN w:val="0"/>
              <w:adjustRightInd w:val="0"/>
              <w:rPr>
                <w:rFonts w:cs="Times New Roman"/>
                <w:color w:val="000000"/>
                <w:sz w:val="20"/>
                <w:szCs w:val="20"/>
              </w:rPr>
            </w:pPr>
            <w:r w:rsidRPr="00432C28">
              <w:rPr>
                <w:rFonts w:cs="Times New Roman"/>
                <w:color w:val="000000"/>
                <w:sz w:val="20"/>
                <w:szCs w:val="20"/>
              </w:rPr>
              <w:t>.</w:t>
            </w:r>
          </w:p>
        </w:tc>
      </w:tr>
      <w:tr w:rsidR="005B4ACB" w:rsidRPr="00432C28">
        <w:trPr>
          <w:trHeight w:val="5205"/>
        </w:trPr>
        <w:tc>
          <w:tcPr>
            <w:tcW w:w="1661" w:type="dxa"/>
            <w:tcBorders>
              <w:top w:val="single" w:sz="6" w:space="0" w:color="auto"/>
              <w:left w:val="single" w:sz="6" w:space="0" w:color="auto"/>
              <w:bottom w:val="single" w:sz="6" w:space="0" w:color="auto"/>
              <w:right w:val="single" w:sz="6" w:space="0" w:color="auto"/>
            </w:tcBorders>
          </w:tcPr>
          <w:p w:rsidR="005B4ACB" w:rsidRPr="00432C28" w:rsidRDefault="005B4ACB" w:rsidP="005B4ACB">
            <w:pPr>
              <w:autoSpaceDE w:val="0"/>
              <w:autoSpaceDN w:val="0"/>
              <w:adjustRightInd w:val="0"/>
              <w:rPr>
                <w:rFonts w:cs="Times New Roman"/>
                <w:color w:val="000000"/>
                <w:sz w:val="20"/>
                <w:szCs w:val="20"/>
              </w:rPr>
            </w:pPr>
            <w:r w:rsidRPr="00432C28">
              <w:rPr>
                <w:rFonts w:cs="Times New Roman"/>
                <w:color w:val="000000"/>
                <w:sz w:val="20"/>
                <w:szCs w:val="20"/>
              </w:rPr>
              <w:t>Energy (if calculated separately)</w:t>
            </w:r>
          </w:p>
        </w:tc>
        <w:tc>
          <w:tcPr>
            <w:tcW w:w="2689" w:type="dxa"/>
            <w:tcBorders>
              <w:top w:val="single" w:sz="6" w:space="0" w:color="auto"/>
              <w:left w:val="single" w:sz="6" w:space="0" w:color="auto"/>
              <w:bottom w:val="single" w:sz="6" w:space="0" w:color="auto"/>
              <w:right w:val="single" w:sz="6" w:space="0" w:color="auto"/>
            </w:tcBorders>
          </w:tcPr>
          <w:p w:rsidR="005B4ACB" w:rsidRPr="00432C28" w:rsidRDefault="005B4ACB" w:rsidP="005B4ACB">
            <w:pPr>
              <w:autoSpaceDE w:val="0"/>
              <w:autoSpaceDN w:val="0"/>
              <w:adjustRightInd w:val="0"/>
              <w:rPr>
                <w:rFonts w:cs="Times New Roman"/>
                <w:color w:val="000000"/>
                <w:sz w:val="20"/>
                <w:szCs w:val="20"/>
              </w:rPr>
            </w:pPr>
            <w:r w:rsidRPr="00432C28">
              <w:rPr>
                <w:rFonts w:cs="Times New Roman"/>
                <w:color w:val="000000"/>
                <w:sz w:val="20"/>
                <w:szCs w:val="20"/>
              </w:rPr>
              <w:t>.</w:t>
            </w:r>
          </w:p>
        </w:tc>
        <w:tc>
          <w:tcPr>
            <w:tcW w:w="2880" w:type="dxa"/>
            <w:tcBorders>
              <w:top w:val="single" w:sz="6" w:space="0" w:color="auto"/>
              <w:left w:val="single" w:sz="6" w:space="0" w:color="auto"/>
              <w:bottom w:val="single" w:sz="6" w:space="0" w:color="auto"/>
              <w:right w:val="single" w:sz="6" w:space="0" w:color="auto"/>
            </w:tcBorders>
          </w:tcPr>
          <w:p w:rsidR="005B4ACB" w:rsidRPr="00432C28" w:rsidRDefault="005B4ACB" w:rsidP="00ED0088">
            <w:pPr>
              <w:autoSpaceDE w:val="0"/>
              <w:autoSpaceDN w:val="0"/>
              <w:adjustRightInd w:val="0"/>
              <w:rPr>
                <w:rFonts w:cs="Times New Roman"/>
                <w:color w:val="000000"/>
                <w:sz w:val="20"/>
                <w:szCs w:val="20"/>
              </w:rPr>
            </w:pPr>
            <w:r w:rsidRPr="00432C28">
              <w:rPr>
                <w:rFonts w:cs="Times New Roman"/>
                <w:color w:val="000000"/>
                <w:sz w:val="20"/>
                <w:szCs w:val="20"/>
              </w:rPr>
              <w:t xml:space="preserve">The approach to establishing the DSM avoided cost values is described in the </w:t>
            </w:r>
            <w:r w:rsidR="00ED0088">
              <w:rPr>
                <w:rFonts w:cs="Times New Roman"/>
                <w:color w:val="000000"/>
                <w:sz w:val="20"/>
                <w:szCs w:val="20"/>
              </w:rPr>
              <w:t xml:space="preserve">2015 decrement study </w:t>
            </w:r>
            <w:r w:rsidRPr="00432C28">
              <w:rPr>
                <w:rFonts w:cs="Times New Roman"/>
                <w:color w:val="000000"/>
                <w:sz w:val="20"/>
                <w:szCs w:val="20"/>
              </w:rPr>
              <w:t xml:space="preserve"> and outlined briefly here. Values are established for resource types that align with measure types such as residential lighting, residential cooling, etc. where </w:t>
            </w:r>
            <w:r w:rsidR="001D46A9" w:rsidRPr="00432C28">
              <w:rPr>
                <w:rFonts w:cs="Times New Roman"/>
                <w:color w:val="000000"/>
                <w:sz w:val="20"/>
                <w:szCs w:val="20"/>
              </w:rPr>
              <w:t>an</w:t>
            </w:r>
            <w:r w:rsidRPr="00432C28">
              <w:rPr>
                <w:rFonts w:cs="Times New Roman"/>
                <w:color w:val="000000"/>
                <w:sz w:val="20"/>
                <w:szCs w:val="20"/>
              </w:rPr>
              <w:t xml:space="preserve"> 8,760 hourly load shape is available.  Forecasted loads within the IRP preferred portfolio are reduced or decremented by an aggregate amount across each hour of the representative load shape. The change in the IRP preferred portfolio's present value of revenue requirements for each resource type is displayed in $/</w:t>
            </w:r>
            <w:r w:rsidR="00EC1981" w:rsidRPr="00432C28">
              <w:rPr>
                <w:rFonts w:cs="Times New Roman"/>
                <w:color w:val="000000"/>
                <w:sz w:val="20"/>
                <w:szCs w:val="20"/>
              </w:rPr>
              <w:t>MWh</w:t>
            </w:r>
            <w:r w:rsidRPr="00432C28">
              <w:rPr>
                <w:rFonts w:cs="Times New Roman"/>
                <w:color w:val="000000"/>
                <w:sz w:val="20"/>
                <w:szCs w:val="20"/>
              </w:rPr>
              <w:t xml:space="preserve"> and represent the avoided cost for that resource type. </w:t>
            </w:r>
          </w:p>
        </w:tc>
        <w:tc>
          <w:tcPr>
            <w:tcW w:w="2250" w:type="dxa"/>
            <w:tcBorders>
              <w:top w:val="single" w:sz="6" w:space="0" w:color="auto"/>
              <w:left w:val="single" w:sz="6" w:space="0" w:color="auto"/>
              <w:bottom w:val="single" w:sz="6" w:space="0" w:color="auto"/>
              <w:right w:val="single" w:sz="6" w:space="0" w:color="auto"/>
            </w:tcBorders>
          </w:tcPr>
          <w:p w:rsidR="005B4ACB" w:rsidRPr="00432C28" w:rsidRDefault="005B4ACB" w:rsidP="005B4ACB">
            <w:pPr>
              <w:autoSpaceDE w:val="0"/>
              <w:autoSpaceDN w:val="0"/>
              <w:adjustRightInd w:val="0"/>
              <w:jc w:val="center"/>
              <w:rPr>
                <w:rFonts w:cs="Times New Roman"/>
                <w:color w:val="000000"/>
                <w:sz w:val="20"/>
                <w:szCs w:val="20"/>
              </w:rPr>
            </w:pPr>
            <w:r w:rsidRPr="00432C28">
              <w:rPr>
                <w:rFonts w:cs="Times New Roman"/>
                <w:color w:val="000000"/>
                <w:sz w:val="20"/>
                <w:szCs w:val="20"/>
              </w:rPr>
              <w:t>See below</w:t>
            </w:r>
          </w:p>
        </w:tc>
      </w:tr>
      <w:tr w:rsidR="005B4ACB" w:rsidRPr="00432C28">
        <w:trPr>
          <w:trHeight w:val="835"/>
        </w:trPr>
        <w:tc>
          <w:tcPr>
            <w:tcW w:w="1661" w:type="dxa"/>
            <w:tcBorders>
              <w:top w:val="single" w:sz="6" w:space="0" w:color="auto"/>
              <w:left w:val="single" w:sz="6" w:space="0" w:color="auto"/>
              <w:bottom w:val="single" w:sz="6" w:space="0" w:color="auto"/>
              <w:right w:val="single" w:sz="6" w:space="0" w:color="auto"/>
            </w:tcBorders>
          </w:tcPr>
          <w:p w:rsidR="005B4ACB" w:rsidRPr="00432C28" w:rsidRDefault="005B4ACB" w:rsidP="005B4ACB">
            <w:pPr>
              <w:autoSpaceDE w:val="0"/>
              <w:autoSpaceDN w:val="0"/>
              <w:adjustRightInd w:val="0"/>
              <w:rPr>
                <w:rFonts w:cs="Times New Roman"/>
                <w:color w:val="000000"/>
                <w:sz w:val="20"/>
                <w:szCs w:val="20"/>
              </w:rPr>
            </w:pPr>
            <w:r w:rsidRPr="00432C28">
              <w:rPr>
                <w:rFonts w:cs="Times New Roman"/>
                <w:color w:val="000000"/>
                <w:sz w:val="20"/>
                <w:szCs w:val="20"/>
              </w:rPr>
              <w:t>Capacity (if calculated separately)</w:t>
            </w:r>
          </w:p>
        </w:tc>
        <w:tc>
          <w:tcPr>
            <w:tcW w:w="2689" w:type="dxa"/>
            <w:tcBorders>
              <w:top w:val="single" w:sz="6" w:space="0" w:color="auto"/>
              <w:left w:val="single" w:sz="6" w:space="0" w:color="auto"/>
              <w:bottom w:val="single" w:sz="6" w:space="0" w:color="auto"/>
              <w:right w:val="single" w:sz="6" w:space="0" w:color="auto"/>
            </w:tcBorders>
          </w:tcPr>
          <w:p w:rsidR="005B4ACB" w:rsidRPr="00432C28" w:rsidRDefault="005B4ACB" w:rsidP="005B4ACB">
            <w:pPr>
              <w:autoSpaceDE w:val="0"/>
              <w:autoSpaceDN w:val="0"/>
              <w:adjustRightInd w:val="0"/>
              <w:rPr>
                <w:rFonts w:cs="Times New Roman"/>
                <w:color w:val="000000"/>
                <w:sz w:val="20"/>
                <w:szCs w:val="20"/>
              </w:rPr>
            </w:pPr>
            <w:r w:rsidRPr="00432C28">
              <w:rPr>
                <w:rFonts w:cs="Times New Roman"/>
                <w:color w:val="000000"/>
                <w:sz w:val="20"/>
                <w:szCs w:val="20"/>
              </w:rPr>
              <w:t>.</w:t>
            </w:r>
          </w:p>
        </w:tc>
        <w:tc>
          <w:tcPr>
            <w:tcW w:w="2880" w:type="dxa"/>
            <w:tcBorders>
              <w:top w:val="single" w:sz="6" w:space="0" w:color="auto"/>
              <w:left w:val="single" w:sz="6" w:space="0" w:color="auto"/>
              <w:bottom w:val="single" w:sz="6" w:space="0" w:color="auto"/>
              <w:right w:val="single" w:sz="6" w:space="0" w:color="auto"/>
            </w:tcBorders>
          </w:tcPr>
          <w:p w:rsidR="005B4ACB" w:rsidRPr="00432C28" w:rsidRDefault="005B4ACB" w:rsidP="005B4ACB">
            <w:pPr>
              <w:autoSpaceDE w:val="0"/>
              <w:autoSpaceDN w:val="0"/>
              <w:adjustRightInd w:val="0"/>
              <w:rPr>
                <w:rFonts w:cs="Times New Roman"/>
                <w:color w:val="000000"/>
                <w:sz w:val="20"/>
                <w:szCs w:val="20"/>
              </w:rPr>
            </w:pPr>
            <w:r w:rsidRPr="00432C28">
              <w:rPr>
                <w:rFonts w:cs="Times New Roman"/>
                <w:color w:val="000000"/>
                <w:sz w:val="20"/>
                <w:szCs w:val="20"/>
              </w:rPr>
              <w:t xml:space="preserve">Included in decrement analysis </w:t>
            </w:r>
          </w:p>
        </w:tc>
        <w:tc>
          <w:tcPr>
            <w:tcW w:w="2250" w:type="dxa"/>
            <w:tcBorders>
              <w:top w:val="single" w:sz="6" w:space="0" w:color="auto"/>
              <w:left w:val="single" w:sz="6" w:space="0" w:color="auto"/>
              <w:bottom w:val="single" w:sz="6" w:space="0" w:color="auto"/>
              <w:right w:val="single" w:sz="6" w:space="0" w:color="auto"/>
            </w:tcBorders>
          </w:tcPr>
          <w:p w:rsidR="005B4ACB" w:rsidRPr="00432C28" w:rsidRDefault="005B4ACB" w:rsidP="005B4ACB">
            <w:pPr>
              <w:autoSpaceDE w:val="0"/>
              <w:autoSpaceDN w:val="0"/>
              <w:adjustRightInd w:val="0"/>
              <w:jc w:val="center"/>
              <w:rPr>
                <w:rFonts w:cs="Times New Roman"/>
                <w:color w:val="000000"/>
                <w:sz w:val="20"/>
                <w:szCs w:val="20"/>
              </w:rPr>
            </w:pPr>
            <w:r w:rsidRPr="00432C28">
              <w:rPr>
                <w:rFonts w:cs="Times New Roman"/>
                <w:color w:val="000000"/>
                <w:sz w:val="20"/>
                <w:szCs w:val="20"/>
              </w:rPr>
              <w:t>See below</w:t>
            </w:r>
          </w:p>
        </w:tc>
      </w:tr>
      <w:tr w:rsidR="005B4ACB" w:rsidRPr="00432C28">
        <w:trPr>
          <w:trHeight w:val="2263"/>
        </w:trPr>
        <w:tc>
          <w:tcPr>
            <w:tcW w:w="1661" w:type="dxa"/>
            <w:tcBorders>
              <w:top w:val="single" w:sz="6" w:space="0" w:color="auto"/>
              <w:left w:val="single" w:sz="6" w:space="0" w:color="auto"/>
              <w:bottom w:val="single" w:sz="6" w:space="0" w:color="auto"/>
              <w:right w:val="single" w:sz="6" w:space="0" w:color="auto"/>
            </w:tcBorders>
          </w:tcPr>
          <w:p w:rsidR="005B4ACB" w:rsidRPr="00432C28" w:rsidRDefault="005B4ACB" w:rsidP="005B4ACB">
            <w:pPr>
              <w:autoSpaceDE w:val="0"/>
              <w:autoSpaceDN w:val="0"/>
              <w:adjustRightInd w:val="0"/>
              <w:rPr>
                <w:rFonts w:cs="Times New Roman"/>
                <w:color w:val="000000"/>
                <w:sz w:val="20"/>
                <w:szCs w:val="20"/>
              </w:rPr>
            </w:pPr>
            <w:r w:rsidRPr="00432C28">
              <w:rPr>
                <w:rFonts w:cs="Times New Roman"/>
                <w:color w:val="000000"/>
                <w:sz w:val="20"/>
                <w:szCs w:val="20"/>
              </w:rPr>
              <w:t>Energy &amp; Capacity combined (if calculated together)</w:t>
            </w:r>
          </w:p>
        </w:tc>
        <w:tc>
          <w:tcPr>
            <w:tcW w:w="2689" w:type="dxa"/>
            <w:tcBorders>
              <w:top w:val="single" w:sz="6" w:space="0" w:color="auto"/>
              <w:left w:val="single" w:sz="6" w:space="0" w:color="auto"/>
              <w:bottom w:val="single" w:sz="6" w:space="0" w:color="auto"/>
              <w:right w:val="single" w:sz="6" w:space="0" w:color="auto"/>
            </w:tcBorders>
          </w:tcPr>
          <w:p w:rsidR="005B4ACB" w:rsidRPr="00432C28" w:rsidRDefault="005B4ACB" w:rsidP="005B4ACB">
            <w:pPr>
              <w:autoSpaceDE w:val="0"/>
              <w:autoSpaceDN w:val="0"/>
              <w:adjustRightInd w:val="0"/>
              <w:rPr>
                <w:rFonts w:cs="Times New Roman"/>
                <w:color w:val="000000"/>
                <w:sz w:val="20"/>
                <w:szCs w:val="20"/>
              </w:rPr>
            </w:pPr>
            <w:r w:rsidRPr="00432C28">
              <w:rPr>
                <w:rFonts w:cs="Times New Roman"/>
                <w:color w:val="000000"/>
                <w:sz w:val="20"/>
                <w:szCs w:val="20"/>
              </w:rPr>
              <w:t xml:space="preserve">Avoided Cost for a </w:t>
            </w:r>
            <w:r w:rsidR="001D46A9" w:rsidRPr="00432C28">
              <w:rPr>
                <w:rFonts w:cs="Times New Roman"/>
                <w:color w:val="000000"/>
                <w:sz w:val="20"/>
                <w:szCs w:val="20"/>
              </w:rPr>
              <w:t>Measure</w:t>
            </w:r>
            <w:r w:rsidRPr="00432C28">
              <w:rPr>
                <w:rFonts w:cs="Times New Roman"/>
                <w:color w:val="000000"/>
                <w:sz w:val="20"/>
                <w:szCs w:val="20"/>
              </w:rPr>
              <w:t xml:space="preserve"> = Mean point forecast of market price of energy by measure (based on shape of savings) PLUS Uncertainty/Risk Adjustment from portfolio analysis</w:t>
            </w:r>
          </w:p>
        </w:tc>
        <w:tc>
          <w:tcPr>
            <w:tcW w:w="2880" w:type="dxa"/>
            <w:tcBorders>
              <w:top w:val="single" w:sz="6" w:space="0" w:color="auto"/>
              <w:left w:val="single" w:sz="6" w:space="0" w:color="auto"/>
              <w:bottom w:val="single" w:sz="6" w:space="0" w:color="auto"/>
              <w:right w:val="single" w:sz="6" w:space="0" w:color="auto"/>
            </w:tcBorders>
          </w:tcPr>
          <w:p w:rsidR="005B4ACB" w:rsidRPr="00432C28" w:rsidRDefault="005B4ACB" w:rsidP="005B4ACB">
            <w:pPr>
              <w:autoSpaceDE w:val="0"/>
              <w:autoSpaceDN w:val="0"/>
              <w:adjustRightInd w:val="0"/>
              <w:rPr>
                <w:rFonts w:cs="Times New Roman"/>
                <w:color w:val="000000"/>
                <w:sz w:val="20"/>
                <w:szCs w:val="20"/>
              </w:rPr>
            </w:pPr>
            <w:r w:rsidRPr="00432C28">
              <w:rPr>
                <w:rFonts w:cs="Times New Roman"/>
                <w:color w:val="000000"/>
                <w:sz w:val="20"/>
                <w:szCs w:val="20"/>
              </w:rPr>
              <w:t xml:space="preserve">Decrement analysis is combined value for both energy and capacity. </w:t>
            </w:r>
          </w:p>
        </w:tc>
        <w:tc>
          <w:tcPr>
            <w:tcW w:w="2250" w:type="dxa"/>
            <w:tcBorders>
              <w:top w:val="single" w:sz="6" w:space="0" w:color="auto"/>
              <w:left w:val="single" w:sz="6" w:space="0" w:color="auto"/>
              <w:bottom w:val="single" w:sz="6" w:space="0" w:color="auto"/>
              <w:right w:val="single" w:sz="6" w:space="0" w:color="auto"/>
            </w:tcBorders>
          </w:tcPr>
          <w:p w:rsidR="005B4ACB" w:rsidRPr="00432C28" w:rsidRDefault="005B4ACB" w:rsidP="005B4ACB">
            <w:pPr>
              <w:autoSpaceDE w:val="0"/>
              <w:autoSpaceDN w:val="0"/>
              <w:adjustRightInd w:val="0"/>
              <w:rPr>
                <w:rFonts w:cs="Times New Roman"/>
                <w:color w:val="000000"/>
                <w:sz w:val="20"/>
                <w:szCs w:val="20"/>
              </w:rPr>
            </w:pPr>
            <w:r w:rsidRPr="00432C28">
              <w:rPr>
                <w:rFonts w:cs="Times New Roman"/>
                <w:color w:val="000000"/>
                <w:sz w:val="20"/>
                <w:szCs w:val="20"/>
              </w:rPr>
              <w:t>All parties combine energy &amp; capacity together.</w:t>
            </w:r>
          </w:p>
          <w:p w:rsidR="005B4ACB" w:rsidRPr="00432C28" w:rsidRDefault="005B4ACB" w:rsidP="005B4ACB">
            <w:pPr>
              <w:autoSpaceDE w:val="0"/>
              <w:autoSpaceDN w:val="0"/>
              <w:adjustRightInd w:val="0"/>
              <w:rPr>
                <w:rFonts w:cs="Times New Roman"/>
                <w:color w:val="000000"/>
                <w:sz w:val="20"/>
                <w:szCs w:val="20"/>
              </w:rPr>
            </w:pPr>
          </w:p>
          <w:p w:rsidR="005B4ACB" w:rsidRPr="00432C28" w:rsidRDefault="005B4ACB" w:rsidP="005B4ACB">
            <w:pPr>
              <w:autoSpaceDE w:val="0"/>
              <w:autoSpaceDN w:val="0"/>
              <w:adjustRightInd w:val="0"/>
              <w:rPr>
                <w:rFonts w:cs="Times New Roman"/>
                <w:color w:val="000000"/>
                <w:sz w:val="20"/>
                <w:szCs w:val="20"/>
              </w:rPr>
            </w:pPr>
            <w:r w:rsidRPr="00432C28">
              <w:rPr>
                <w:rFonts w:cs="Times New Roman"/>
                <w:color w:val="000000"/>
                <w:sz w:val="20"/>
                <w:szCs w:val="20"/>
              </w:rPr>
              <w:t>PSE:  In program analyses outside the IRP, PSE calculates separate avoided cost streams for energy and capacity and brings them together in its TRC calculation.</w:t>
            </w:r>
          </w:p>
          <w:p w:rsidR="005B4ACB" w:rsidRPr="00432C28" w:rsidRDefault="005B4ACB" w:rsidP="005B4ACB">
            <w:pPr>
              <w:autoSpaceDE w:val="0"/>
              <w:autoSpaceDN w:val="0"/>
              <w:adjustRightInd w:val="0"/>
              <w:rPr>
                <w:rFonts w:cs="Times New Roman"/>
                <w:color w:val="000000"/>
                <w:sz w:val="20"/>
                <w:szCs w:val="20"/>
              </w:rPr>
            </w:pPr>
          </w:p>
          <w:p w:rsidR="005B4ACB" w:rsidRPr="00432C28" w:rsidRDefault="005B4ACB" w:rsidP="005B4ACB">
            <w:pPr>
              <w:autoSpaceDE w:val="0"/>
              <w:autoSpaceDN w:val="0"/>
              <w:adjustRightInd w:val="0"/>
              <w:rPr>
                <w:rFonts w:cs="Times New Roman"/>
                <w:color w:val="000000"/>
                <w:sz w:val="20"/>
                <w:szCs w:val="20"/>
              </w:rPr>
            </w:pPr>
            <w:r w:rsidRPr="00432C28">
              <w:rPr>
                <w:rFonts w:cs="Times New Roman"/>
                <w:color w:val="000000"/>
                <w:sz w:val="20"/>
                <w:szCs w:val="20"/>
              </w:rPr>
              <w:t>All other parties incorporate capacity into their forecasts of energy prices.</w:t>
            </w:r>
          </w:p>
        </w:tc>
      </w:tr>
    </w:tbl>
    <w:p w:rsidR="005B4ACB" w:rsidRPr="00432C28" w:rsidRDefault="005B4ACB" w:rsidP="005B4ACB">
      <w:pPr>
        <w:rPr>
          <w:rFonts w:cs="Times New Roman"/>
          <w:szCs w:val="24"/>
        </w:rPr>
      </w:pPr>
    </w:p>
    <w:p w:rsidR="005B4ACB" w:rsidRPr="00432C28" w:rsidRDefault="005B4ACB" w:rsidP="005B4ACB">
      <w:pPr>
        <w:rPr>
          <w:rFonts w:cs="Times New Roman"/>
          <w:szCs w:val="24"/>
        </w:rPr>
      </w:pPr>
    </w:p>
    <w:p w:rsidR="005B4ACB" w:rsidRPr="00432C28" w:rsidRDefault="005B4ACB" w:rsidP="005B4ACB">
      <w:pPr>
        <w:jc w:val="center"/>
        <w:rPr>
          <w:rFonts w:cs="Times New Roman"/>
          <w:b/>
          <w:szCs w:val="24"/>
        </w:rPr>
      </w:pPr>
      <w:r w:rsidRPr="00432C28">
        <w:rPr>
          <w:rFonts w:cs="Times New Roman"/>
          <w:b/>
          <w:szCs w:val="24"/>
        </w:rPr>
        <w:t>Table A3-3</w:t>
      </w:r>
    </w:p>
    <w:p w:rsidR="005B4ACB" w:rsidRPr="00432C28" w:rsidRDefault="005B4ACB" w:rsidP="005B4ACB">
      <w:pPr>
        <w:jc w:val="center"/>
        <w:rPr>
          <w:rFonts w:eastAsia="Times New Roman" w:cs="Times New Roman"/>
          <w:b/>
          <w:bCs/>
        </w:rPr>
      </w:pPr>
      <w:r w:rsidRPr="00432C28">
        <w:rPr>
          <w:rFonts w:eastAsia="Times New Roman" w:cs="Times New Roman"/>
          <w:b/>
          <w:bCs/>
        </w:rPr>
        <w:t>Methodology for Calculating Total Resource Cost</w:t>
      </w:r>
    </w:p>
    <w:p w:rsidR="005B4ACB" w:rsidRPr="00432C28" w:rsidRDefault="005B4ACB" w:rsidP="005B4ACB">
      <w:pPr>
        <w:jc w:val="center"/>
        <w:rPr>
          <w:rFonts w:eastAsia="Times New Roman" w:cs="Times New Roman"/>
          <w:b/>
          <w:bCs/>
        </w:rPr>
      </w:pPr>
      <w:r w:rsidRPr="00432C28">
        <w:rPr>
          <w:rFonts w:eastAsia="Times New Roman" w:cs="Times New Roman"/>
          <w:b/>
          <w:bCs/>
        </w:rPr>
        <w:t>Washington Collaborative Comparison</w:t>
      </w:r>
    </w:p>
    <w:p w:rsidR="005B4ACB" w:rsidRPr="00432C28" w:rsidRDefault="005B4ACB" w:rsidP="005B4ACB">
      <w:pPr>
        <w:rPr>
          <w:rFonts w:cs="Times New Roman"/>
          <w:szCs w:val="24"/>
        </w:rPr>
      </w:pPr>
    </w:p>
    <w:tbl>
      <w:tblPr>
        <w:tblW w:w="0" w:type="auto"/>
        <w:tblInd w:w="78" w:type="dxa"/>
        <w:tblLayout w:type="fixed"/>
        <w:tblLook w:val="0000" w:firstRow="0" w:lastRow="0" w:firstColumn="0" w:lastColumn="0" w:noHBand="0" w:noVBand="0"/>
      </w:tblPr>
      <w:tblGrid>
        <w:gridCol w:w="1650"/>
        <w:gridCol w:w="2700"/>
        <w:gridCol w:w="2880"/>
        <w:gridCol w:w="2250"/>
      </w:tblGrid>
      <w:tr w:rsidR="005B4ACB" w:rsidRPr="00432C28">
        <w:trPr>
          <w:trHeight w:val="446"/>
        </w:trPr>
        <w:tc>
          <w:tcPr>
            <w:tcW w:w="1650" w:type="dxa"/>
            <w:tcBorders>
              <w:top w:val="single" w:sz="6" w:space="0" w:color="auto"/>
              <w:left w:val="single" w:sz="6" w:space="0" w:color="auto"/>
              <w:bottom w:val="single" w:sz="6" w:space="0" w:color="auto"/>
              <w:right w:val="single" w:sz="6" w:space="0" w:color="auto"/>
            </w:tcBorders>
          </w:tcPr>
          <w:p w:rsidR="005B4ACB" w:rsidRPr="00432C28" w:rsidRDefault="005B4ACB" w:rsidP="005B4ACB">
            <w:pPr>
              <w:autoSpaceDE w:val="0"/>
              <w:autoSpaceDN w:val="0"/>
              <w:adjustRightInd w:val="0"/>
              <w:jc w:val="right"/>
              <w:rPr>
                <w:rFonts w:cs="Times New Roman"/>
                <w:color w:val="000000"/>
                <w:sz w:val="20"/>
                <w:szCs w:val="20"/>
              </w:rPr>
            </w:pPr>
          </w:p>
        </w:tc>
        <w:tc>
          <w:tcPr>
            <w:tcW w:w="2700" w:type="dxa"/>
            <w:tcBorders>
              <w:top w:val="single" w:sz="6" w:space="0" w:color="auto"/>
              <w:left w:val="single" w:sz="6" w:space="0" w:color="auto"/>
              <w:bottom w:val="single" w:sz="6" w:space="0" w:color="auto"/>
              <w:right w:val="single" w:sz="6" w:space="0" w:color="auto"/>
            </w:tcBorders>
          </w:tcPr>
          <w:p w:rsidR="005B4ACB" w:rsidRPr="00432C28" w:rsidRDefault="005B4ACB" w:rsidP="005B4ACB">
            <w:pPr>
              <w:autoSpaceDE w:val="0"/>
              <w:autoSpaceDN w:val="0"/>
              <w:adjustRightInd w:val="0"/>
              <w:jc w:val="center"/>
              <w:rPr>
                <w:rFonts w:cs="Times New Roman"/>
                <w:b/>
                <w:bCs/>
                <w:color w:val="000000"/>
                <w:sz w:val="20"/>
                <w:szCs w:val="20"/>
              </w:rPr>
            </w:pPr>
            <w:r w:rsidRPr="00432C28">
              <w:rPr>
                <w:rFonts w:cs="Times New Roman"/>
                <w:b/>
                <w:bCs/>
                <w:color w:val="000000"/>
                <w:sz w:val="20"/>
                <w:szCs w:val="20"/>
              </w:rPr>
              <w:t>Council</w:t>
            </w:r>
          </w:p>
        </w:tc>
        <w:tc>
          <w:tcPr>
            <w:tcW w:w="2880" w:type="dxa"/>
            <w:tcBorders>
              <w:top w:val="single" w:sz="6" w:space="0" w:color="auto"/>
              <w:left w:val="single" w:sz="6" w:space="0" w:color="auto"/>
              <w:bottom w:val="single" w:sz="6" w:space="0" w:color="auto"/>
              <w:right w:val="single" w:sz="6" w:space="0" w:color="auto"/>
            </w:tcBorders>
          </w:tcPr>
          <w:p w:rsidR="005B4ACB" w:rsidRPr="00432C28" w:rsidRDefault="005B4ACB" w:rsidP="005B4ACB">
            <w:pPr>
              <w:autoSpaceDE w:val="0"/>
              <w:autoSpaceDN w:val="0"/>
              <w:adjustRightInd w:val="0"/>
              <w:jc w:val="center"/>
              <w:rPr>
                <w:rFonts w:cs="Times New Roman"/>
                <w:b/>
                <w:bCs/>
                <w:color w:val="000000"/>
                <w:sz w:val="20"/>
                <w:szCs w:val="20"/>
              </w:rPr>
            </w:pPr>
            <w:r w:rsidRPr="00432C28">
              <w:rPr>
                <w:rFonts w:cs="Times New Roman"/>
                <w:b/>
                <w:bCs/>
                <w:color w:val="000000"/>
                <w:sz w:val="20"/>
                <w:szCs w:val="20"/>
              </w:rPr>
              <w:t>PacifiCorp</w:t>
            </w:r>
          </w:p>
        </w:tc>
        <w:tc>
          <w:tcPr>
            <w:tcW w:w="2250" w:type="dxa"/>
            <w:tcBorders>
              <w:top w:val="single" w:sz="6" w:space="0" w:color="auto"/>
              <w:left w:val="single" w:sz="6" w:space="0" w:color="auto"/>
              <w:bottom w:val="single" w:sz="6" w:space="0" w:color="auto"/>
              <w:right w:val="single" w:sz="6" w:space="0" w:color="auto"/>
            </w:tcBorders>
          </w:tcPr>
          <w:p w:rsidR="005B4ACB" w:rsidRPr="00432C28" w:rsidRDefault="005B4ACB" w:rsidP="005B4ACB">
            <w:pPr>
              <w:autoSpaceDE w:val="0"/>
              <w:autoSpaceDN w:val="0"/>
              <w:adjustRightInd w:val="0"/>
              <w:jc w:val="center"/>
              <w:rPr>
                <w:rFonts w:cs="Times New Roman"/>
                <w:b/>
                <w:bCs/>
                <w:color w:val="000000"/>
                <w:sz w:val="20"/>
                <w:szCs w:val="20"/>
              </w:rPr>
            </w:pPr>
            <w:r w:rsidRPr="00432C28">
              <w:rPr>
                <w:rFonts w:cs="Times New Roman"/>
                <w:b/>
                <w:bCs/>
                <w:color w:val="000000"/>
                <w:sz w:val="20"/>
                <w:szCs w:val="20"/>
              </w:rPr>
              <w:t>Consistency with Council Method</w:t>
            </w:r>
          </w:p>
        </w:tc>
      </w:tr>
      <w:tr w:rsidR="005B4ACB" w:rsidRPr="00432C28">
        <w:trPr>
          <w:trHeight w:val="146"/>
        </w:trPr>
        <w:tc>
          <w:tcPr>
            <w:tcW w:w="1650" w:type="dxa"/>
            <w:tcBorders>
              <w:top w:val="single" w:sz="6" w:space="0" w:color="auto"/>
              <w:left w:val="single" w:sz="6" w:space="0" w:color="auto"/>
              <w:bottom w:val="single" w:sz="6" w:space="0" w:color="auto"/>
              <w:right w:val="single" w:sz="6" w:space="0" w:color="auto"/>
            </w:tcBorders>
          </w:tcPr>
          <w:p w:rsidR="005B4ACB" w:rsidRPr="00432C28" w:rsidRDefault="005B4ACB" w:rsidP="005B4ACB">
            <w:pPr>
              <w:autoSpaceDE w:val="0"/>
              <w:autoSpaceDN w:val="0"/>
              <w:adjustRightInd w:val="0"/>
              <w:rPr>
                <w:rFonts w:cs="Times New Roman"/>
                <w:b/>
                <w:bCs/>
                <w:color w:val="000000"/>
                <w:sz w:val="20"/>
                <w:szCs w:val="20"/>
              </w:rPr>
            </w:pPr>
            <w:r w:rsidRPr="00432C28">
              <w:rPr>
                <w:rFonts w:cs="Times New Roman"/>
                <w:b/>
                <w:bCs/>
                <w:color w:val="000000"/>
                <w:sz w:val="20"/>
                <w:szCs w:val="20"/>
              </w:rPr>
              <w:t>Benefits</w:t>
            </w:r>
          </w:p>
        </w:tc>
        <w:tc>
          <w:tcPr>
            <w:tcW w:w="2700" w:type="dxa"/>
            <w:tcBorders>
              <w:top w:val="single" w:sz="6" w:space="0" w:color="auto"/>
              <w:left w:val="single" w:sz="6" w:space="0" w:color="auto"/>
              <w:bottom w:val="single" w:sz="6" w:space="0" w:color="auto"/>
              <w:right w:val="single" w:sz="6" w:space="0" w:color="auto"/>
            </w:tcBorders>
          </w:tcPr>
          <w:p w:rsidR="005B4ACB" w:rsidRPr="00432C28" w:rsidRDefault="005B4ACB" w:rsidP="005B4ACB">
            <w:pPr>
              <w:autoSpaceDE w:val="0"/>
              <w:autoSpaceDN w:val="0"/>
              <w:adjustRightInd w:val="0"/>
              <w:jc w:val="right"/>
              <w:rPr>
                <w:rFonts w:cs="Times New Roman"/>
                <w:color w:val="000000"/>
                <w:sz w:val="20"/>
                <w:szCs w:val="20"/>
              </w:rPr>
            </w:pPr>
          </w:p>
        </w:tc>
        <w:tc>
          <w:tcPr>
            <w:tcW w:w="2880" w:type="dxa"/>
            <w:tcBorders>
              <w:top w:val="single" w:sz="6" w:space="0" w:color="auto"/>
              <w:left w:val="single" w:sz="6" w:space="0" w:color="auto"/>
              <w:bottom w:val="single" w:sz="6" w:space="0" w:color="auto"/>
              <w:right w:val="single" w:sz="6" w:space="0" w:color="auto"/>
            </w:tcBorders>
          </w:tcPr>
          <w:p w:rsidR="005B4ACB" w:rsidRPr="00432C28" w:rsidRDefault="005B4ACB" w:rsidP="005B4ACB">
            <w:pPr>
              <w:autoSpaceDE w:val="0"/>
              <w:autoSpaceDN w:val="0"/>
              <w:adjustRightInd w:val="0"/>
              <w:jc w:val="right"/>
              <w:rPr>
                <w:rFonts w:cs="Times New Roman"/>
                <w:color w:val="000000"/>
                <w:sz w:val="20"/>
                <w:szCs w:val="20"/>
              </w:rPr>
            </w:pPr>
          </w:p>
        </w:tc>
        <w:tc>
          <w:tcPr>
            <w:tcW w:w="2250" w:type="dxa"/>
            <w:tcBorders>
              <w:top w:val="single" w:sz="6" w:space="0" w:color="auto"/>
              <w:left w:val="single" w:sz="6" w:space="0" w:color="auto"/>
              <w:bottom w:val="single" w:sz="6" w:space="0" w:color="auto"/>
              <w:right w:val="single" w:sz="6" w:space="0" w:color="auto"/>
            </w:tcBorders>
          </w:tcPr>
          <w:p w:rsidR="005B4ACB" w:rsidRPr="00432C28" w:rsidRDefault="005B4ACB" w:rsidP="005B4ACB">
            <w:pPr>
              <w:autoSpaceDE w:val="0"/>
              <w:autoSpaceDN w:val="0"/>
              <w:adjustRightInd w:val="0"/>
              <w:jc w:val="right"/>
              <w:rPr>
                <w:rFonts w:cs="Times New Roman"/>
                <w:color w:val="000000"/>
                <w:sz w:val="20"/>
                <w:szCs w:val="20"/>
              </w:rPr>
            </w:pPr>
          </w:p>
        </w:tc>
      </w:tr>
      <w:tr w:rsidR="005B4ACB" w:rsidRPr="00432C28">
        <w:trPr>
          <w:trHeight w:val="293"/>
        </w:trPr>
        <w:tc>
          <w:tcPr>
            <w:tcW w:w="4350" w:type="dxa"/>
            <w:gridSpan w:val="2"/>
            <w:tcBorders>
              <w:top w:val="single" w:sz="6" w:space="0" w:color="auto"/>
              <w:left w:val="single" w:sz="6" w:space="0" w:color="auto"/>
              <w:bottom w:val="single" w:sz="6" w:space="0" w:color="auto"/>
              <w:right w:val="single" w:sz="6" w:space="0" w:color="auto"/>
            </w:tcBorders>
          </w:tcPr>
          <w:p w:rsidR="005B4ACB" w:rsidRPr="00432C28" w:rsidRDefault="005B4ACB" w:rsidP="005B4ACB">
            <w:pPr>
              <w:autoSpaceDE w:val="0"/>
              <w:autoSpaceDN w:val="0"/>
              <w:adjustRightInd w:val="0"/>
              <w:rPr>
                <w:rFonts w:cs="Times New Roman"/>
                <w:color w:val="000000"/>
                <w:sz w:val="20"/>
                <w:szCs w:val="20"/>
              </w:rPr>
            </w:pPr>
            <w:r w:rsidRPr="00432C28">
              <w:rPr>
                <w:rFonts w:cs="Times New Roman"/>
                <w:color w:val="000000"/>
                <w:sz w:val="20"/>
                <w:szCs w:val="20"/>
              </w:rPr>
              <w:t>Avoided Energy &amp; Capacity Benefits</w:t>
            </w:r>
          </w:p>
        </w:tc>
        <w:tc>
          <w:tcPr>
            <w:tcW w:w="2880" w:type="dxa"/>
            <w:tcBorders>
              <w:top w:val="single" w:sz="6" w:space="0" w:color="auto"/>
              <w:left w:val="single" w:sz="6" w:space="0" w:color="auto"/>
              <w:bottom w:val="single" w:sz="6" w:space="0" w:color="auto"/>
              <w:right w:val="single" w:sz="6" w:space="0" w:color="auto"/>
            </w:tcBorders>
          </w:tcPr>
          <w:p w:rsidR="005B4ACB" w:rsidRPr="00432C28" w:rsidRDefault="005B4ACB" w:rsidP="005B4ACB">
            <w:pPr>
              <w:autoSpaceDE w:val="0"/>
              <w:autoSpaceDN w:val="0"/>
              <w:adjustRightInd w:val="0"/>
              <w:jc w:val="right"/>
              <w:rPr>
                <w:rFonts w:cs="Times New Roman"/>
                <w:color w:val="000000"/>
                <w:sz w:val="20"/>
                <w:szCs w:val="20"/>
              </w:rPr>
            </w:pPr>
          </w:p>
        </w:tc>
        <w:tc>
          <w:tcPr>
            <w:tcW w:w="2250" w:type="dxa"/>
            <w:tcBorders>
              <w:top w:val="single" w:sz="6" w:space="0" w:color="auto"/>
              <w:left w:val="single" w:sz="6" w:space="0" w:color="auto"/>
              <w:bottom w:val="single" w:sz="6" w:space="0" w:color="auto"/>
              <w:right w:val="single" w:sz="6" w:space="0" w:color="auto"/>
            </w:tcBorders>
          </w:tcPr>
          <w:p w:rsidR="005B4ACB" w:rsidRPr="00432C28" w:rsidRDefault="005B4ACB" w:rsidP="005B4ACB">
            <w:pPr>
              <w:autoSpaceDE w:val="0"/>
              <w:autoSpaceDN w:val="0"/>
              <w:adjustRightInd w:val="0"/>
              <w:jc w:val="right"/>
              <w:rPr>
                <w:rFonts w:cs="Times New Roman"/>
                <w:color w:val="000000"/>
                <w:sz w:val="20"/>
                <w:szCs w:val="20"/>
              </w:rPr>
            </w:pPr>
          </w:p>
        </w:tc>
      </w:tr>
      <w:tr w:rsidR="005B4ACB" w:rsidRPr="00432C28">
        <w:trPr>
          <w:trHeight w:val="1330"/>
        </w:trPr>
        <w:tc>
          <w:tcPr>
            <w:tcW w:w="1650" w:type="dxa"/>
            <w:tcBorders>
              <w:top w:val="single" w:sz="6" w:space="0" w:color="auto"/>
              <w:left w:val="single" w:sz="6" w:space="0" w:color="auto"/>
              <w:bottom w:val="single" w:sz="6" w:space="0" w:color="auto"/>
              <w:right w:val="single" w:sz="6" w:space="0" w:color="auto"/>
            </w:tcBorders>
          </w:tcPr>
          <w:p w:rsidR="005B4ACB" w:rsidRPr="00432C28" w:rsidRDefault="005B4ACB" w:rsidP="005B4ACB">
            <w:pPr>
              <w:autoSpaceDE w:val="0"/>
              <w:autoSpaceDN w:val="0"/>
              <w:adjustRightInd w:val="0"/>
              <w:rPr>
                <w:rFonts w:cs="Times New Roman"/>
                <w:color w:val="000000"/>
                <w:sz w:val="20"/>
                <w:szCs w:val="20"/>
              </w:rPr>
            </w:pPr>
            <w:r w:rsidRPr="00432C28">
              <w:rPr>
                <w:rFonts w:cs="Times New Roman"/>
                <w:color w:val="000000"/>
                <w:sz w:val="20"/>
                <w:szCs w:val="20"/>
              </w:rPr>
              <w:t>Direct avoided energy savings</w:t>
            </w:r>
          </w:p>
        </w:tc>
        <w:tc>
          <w:tcPr>
            <w:tcW w:w="2700" w:type="dxa"/>
            <w:tcBorders>
              <w:top w:val="single" w:sz="6" w:space="0" w:color="auto"/>
              <w:left w:val="single" w:sz="6" w:space="0" w:color="auto"/>
              <w:bottom w:val="single" w:sz="6" w:space="0" w:color="auto"/>
              <w:right w:val="single" w:sz="6" w:space="0" w:color="auto"/>
            </w:tcBorders>
          </w:tcPr>
          <w:p w:rsidR="005B4ACB" w:rsidRPr="00432C28" w:rsidRDefault="005B4ACB" w:rsidP="005B4ACB">
            <w:pPr>
              <w:autoSpaceDE w:val="0"/>
              <w:autoSpaceDN w:val="0"/>
              <w:adjustRightInd w:val="0"/>
              <w:rPr>
                <w:rFonts w:cs="Times New Roman"/>
                <w:color w:val="000000"/>
                <w:sz w:val="20"/>
                <w:szCs w:val="20"/>
              </w:rPr>
            </w:pPr>
            <w:r w:rsidRPr="00432C28">
              <w:rPr>
                <w:rFonts w:cs="Times New Roman"/>
                <w:color w:val="000000"/>
                <w:sz w:val="20"/>
                <w:szCs w:val="20"/>
              </w:rPr>
              <w:t>Yes, based on Aurora forecast of 8760 market prices aggregated into 4 time segments per month (48 annual segments) for cost benefits analysis, wide ranges and volatility added for portfolio analysis to capture risk.</w:t>
            </w:r>
          </w:p>
        </w:tc>
        <w:tc>
          <w:tcPr>
            <w:tcW w:w="2880" w:type="dxa"/>
            <w:tcBorders>
              <w:top w:val="single" w:sz="6" w:space="0" w:color="auto"/>
              <w:left w:val="single" w:sz="6" w:space="0" w:color="auto"/>
              <w:bottom w:val="single" w:sz="6" w:space="0" w:color="auto"/>
              <w:right w:val="single" w:sz="6" w:space="0" w:color="auto"/>
            </w:tcBorders>
          </w:tcPr>
          <w:p w:rsidR="005B4ACB" w:rsidRPr="00432C28" w:rsidRDefault="005B4ACB" w:rsidP="005B4ACB">
            <w:pPr>
              <w:autoSpaceDE w:val="0"/>
              <w:autoSpaceDN w:val="0"/>
              <w:adjustRightInd w:val="0"/>
              <w:rPr>
                <w:rFonts w:cs="Times New Roman"/>
                <w:color w:val="000000"/>
                <w:sz w:val="20"/>
                <w:szCs w:val="20"/>
              </w:rPr>
            </w:pPr>
            <w:r w:rsidRPr="00432C28">
              <w:rPr>
                <w:rFonts w:cs="Times New Roman"/>
                <w:color w:val="000000"/>
                <w:sz w:val="20"/>
                <w:szCs w:val="20"/>
              </w:rPr>
              <w:t xml:space="preserve">Yes. See avoided cost matrix. </w:t>
            </w:r>
          </w:p>
        </w:tc>
        <w:tc>
          <w:tcPr>
            <w:tcW w:w="2250" w:type="dxa"/>
            <w:tcBorders>
              <w:top w:val="single" w:sz="6" w:space="0" w:color="auto"/>
              <w:left w:val="single" w:sz="6" w:space="0" w:color="auto"/>
              <w:bottom w:val="single" w:sz="6" w:space="0" w:color="auto"/>
              <w:right w:val="single" w:sz="6" w:space="0" w:color="auto"/>
            </w:tcBorders>
          </w:tcPr>
          <w:p w:rsidR="005B4ACB" w:rsidRPr="00432C28" w:rsidRDefault="005B4ACB" w:rsidP="005B4ACB">
            <w:pPr>
              <w:autoSpaceDE w:val="0"/>
              <w:autoSpaceDN w:val="0"/>
              <w:adjustRightInd w:val="0"/>
              <w:rPr>
                <w:rFonts w:cs="Times New Roman"/>
                <w:color w:val="000000"/>
                <w:sz w:val="20"/>
                <w:szCs w:val="20"/>
              </w:rPr>
            </w:pPr>
            <w:r w:rsidRPr="00432C28">
              <w:rPr>
                <w:rFonts w:cs="Times New Roman"/>
                <w:color w:val="000000"/>
                <w:sz w:val="20"/>
                <w:szCs w:val="20"/>
              </w:rPr>
              <w:t>See Avoided Cost matrix.</w:t>
            </w:r>
          </w:p>
        </w:tc>
      </w:tr>
      <w:tr w:rsidR="005B4ACB" w:rsidRPr="00432C28">
        <w:trPr>
          <w:trHeight w:val="1277"/>
        </w:trPr>
        <w:tc>
          <w:tcPr>
            <w:tcW w:w="1650" w:type="dxa"/>
            <w:tcBorders>
              <w:top w:val="single" w:sz="6" w:space="0" w:color="auto"/>
              <w:left w:val="single" w:sz="6" w:space="0" w:color="auto"/>
              <w:bottom w:val="single" w:sz="6" w:space="0" w:color="auto"/>
              <w:right w:val="single" w:sz="6" w:space="0" w:color="auto"/>
            </w:tcBorders>
          </w:tcPr>
          <w:p w:rsidR="005B4ACB" w:rsidRPr="00432C28" w:rsidRDefault="005B4ACB" w:rsidP="005B4ACB">
            <w:pPr>
              <w:autoSpaceDE w:val="0"/>
              <w:autoSpaceDN w:val="0"/>
              <w:adjustRightInd w:val="0"/>
              <w:rPr>
                <w:rFonts w:cs="Times New Roman"/>
                <w:color w:val="000000"/>
                <w:sz w:val="20"/>
                <w:szCs w:val="20"/>
              </w:rPr>
            </w:pPr>
            <w:r w:rsidRPr="00432C28">
              <w:rPr>
                <w:rFonts w:cs="Times New Roman"/>
                <w:color w:val="000000"/>
                <w:sz w:val="20"/>
                <w:szCs w:val="20"/>
              </w:rPr>
              <w:t>Direct avoided capacity savings</w:t>
            </w:r>
          </w:p>
        </w:tc>
        <w:tc>
          <w:tcPr>
            <w:tcW w:w="2700" w:type="dxa"/>
            <w:tcBorders>
              <w:top w:val="single" w:sz="6" w:space="0" w:color="auto"/>
              <w:left w:val="single" w:sz="6" w:space="0" w:color="auto"/>
              <w:bottom w:val="single" w:sz="6" w:space="0" w:color="auto"/>
              <w:right w:val="single" w:sz="6" w:space="0" w:color="auto"/>
            </w:tcBorders>
          </w:tcPr>
          <w:p w:rsidR="005B4ACB" w:rsidRPr="00432C28" w:rsidRDefault="005B4ACB" w:rsidP="005B4ACB">
            <w:pPr>
              <w:autoSpaceDE w:val="0"/>
              <w:autoSpaceDN w:val="0"/>
              <w:adjustRightInd w:val="0"/>
              <w:rPr>
                <w:rFonts w:cs="Times New Roman"/>
                <w:color w:val="000000"/>
                <w:sz w:val="20"/>
                <w:szCs w:val="20"/>
              </w:rPr>
            </w:pPr>
            <w:r w:rsidRPr="00432C28">
              <w:rPr>
                <w:rFonts w:cs="Times New Roman"/>
                <w:color w:val="000000"/>
                <w:sz w:val="20"/>
                <w:szCs w:val="20"/>
              </w:rPr>
              <w:t>Yes, based on Aurora forecast of 8760 market prices aggregated into 4 time segments per month (48 annual segments) for cost benefits analysis, wide ranges and volatility added for portfolio analysis to capture risk.</w:t>
            </w:r>
          </w:p>
        </w:tc>
        <w:tc>
          <w:tcPr>
            <w:tcW w:w="2880" w:type="dxa"/>
            <w:tcBorders>
              <w:top w:val="single" w:sz="6" w:space="0" w:color="auto"/>
              <w:left w:val="single" w:sz="6" w:space="0" w:color="auto"/>
              <w:bottom w:val="single" w:sz="6" w:space="0" w:color="auto"/>
              <w:right w:val="single" w:sz="6" w:space="0" w:color="auto"/>
            </w:tcBorders>
          </w:tcPr>
          <w:p w:rsidR="005B4ACB" w:rsidRPr="00432C28" w:rsidRDefault="005B4ACB" w:rsidP="005B4ACB">
            <w:pPr>
              <w:autoSpaceDE w:val="0"/>
              <w:autoSpaceDN w:val="0"/>
              <w:adjustRightInd w:val="0"/>
              <w:rPr>
                <w:rFonts w:cs="Times New Roman"/>
                <w:color w:val="000000"/>
                <w:sz w:val="20"/>
                <w:szCs w:val="20"/>
              </w:rPr>
            </w:pPr>
            <w:r w:rsidRPr="00432C28">
              <w:rPr>
                <w:rFonts w:cs="Times New Roman"/>
                <w:color w:val="000000"/>
                <w:sz w:val="20"/>
                <w:szCs w:val="20"/>
              </w:rPr>
              <w:t xml:space="preserve">Yes. See avoided cost matrix.  </w:t>
            </w:r>
          </w:p>
        </w:tc>
        <w:tc>
          <w:tcPr>
            <w:tcW w:w="2250" w:type="dxa"/>
            <w:tcBorders>
              <w:top w:val="single" w:sz="6" w:space="0" w:color="auto"/>
              <w:left w:val="single" w:sz="6" w:space="0" w:color="auto"/>
              <w:bottom w:val="single" w:sz="6" w:space="0" w:color="auto"/>
              <w:right w:val="single" w:sz="6" w:space="0" w:color="auto"/>
            </w:tcBorders>
          </w:tcPr>
          <w:p w:rsidR="005B4ACB" w:rsidRPr="00432C28" w:rsidRDefault="005B4ACB" w:rsidP="005B4ACB">
            <w:pPr>
              <w:autoSpaceDE w:val="0"/>
              <w:autoSpaceDN w:val="0"/>
              <w:adjustRightInd w:val="0"/>
              <w:rPr>
                <w:rFonts w:cs="Times New Roman"/>
                <w:color w:val="000000"/>
                <w:sz w:val="20"/>
                <w:szCs w:val="20"/>
              </w:rPr>
            </w:pPr>
            <w:r w:rsidRPr="00432C28">
              <w:rPr>
                <w:rFonts w:cs="Times New Roman"/>
                <w:color w:val="000000"/>
                <w:sz w:val="20"/>
                <w:szCs w:val="20"/>
              </w:rPr>
              <w:t>See Avoided Cost matrix.</w:t>
            </w:r>
          </w:p>
        </w:tc>
      </w:tr>
      <w:tr w:rsidR="005B4ACB" w:rsidRPr="00432C28">
        <w:trPr>
          <w:trHeight w:val="1277"/>
        </w:trPr>
        <w:tc>
          <w:tcPr>
            <w:tcW w:w="1650" w:type="dxa"/>
            <w:tcBorders>
              <w:top w:val="single" w:sz="6" w:space="0" w:color="auto"/>
              <w:left w:val="single" w:sz="6" w:space="0" w:color="auto"/>
              <w:bottom w:val="single" w:sz="6" w:space="0" w:color="auto"/>
              <w:right w:val="single" w:sz="6" w:space="0" w:color="auto"/>
            </w:tcBorders>
          </w:tcPr>
          <w:p w:rsidR="005B4ACB" w:rsidRPr="00432C28" w:rsidRDefault="005B4ACB" w:rsidP="005B4ACB">
            <w:pPr>
              <w:autoSpaceDE w:val="0"/>
              <w:autoSpaceDN w:val="0"/>
              <w:adjustRightInd w:val="0"/>
              <w:rPr>
                <w:rFonts w:cs="Times New Roman"/>
                <w:color w:val="000000"/>
                <w:sz w:val="20"/>
                <w:szCs w:val="20"/>
              </w:rPr>
            </w:pPr>
            <w:r w:rsidRPr="00432C28">
              <w:rPr>
                <w:rFonts w:cs="Times New Roman"/>
                <w:color w:val="000000"/>
                <w:sz w:val="20"/>
                <w:szCs w:val="20"/>
              </w:rPr>
              <w:t>Avoided T&amp;D line losses</w:t>
            </w:r>
          </w:p>
        </w:tc>
        <w:tc>
          <w:tcPr>
            <w:tcW w:w="2700" w:type="dxa"/>
            <w:tcBorders>
              <w:top w:val="single" w:sz="6" w:space="0" w:color="auto"/>
              <w:left w:val="single" w:sz="6" w:space="0" w:color="auto"/>
              <w:bottom w:val="single" w:sz="6" w:space="0" w:color="auto"/>
              <w:right w:val="single" w:sz="6" w:space="0" w:color="auto"/>
            </w:tcBorders>
          </w:tcPr>
          <w:p w:rsidR="005B4ACB" w:rsidRPr="00432C28" w:rsidRDefault="005B4ACB" w:rsidP="005B4ACB">
            <w:pPr>
              <w:autoSpaceDE w:val="0"/>
              <w:autoSpaceDN w:val="0"/>
              <w:adjustRightInd w:val="0"/>
              <w:rPr>
                <w:rFonts w:cs="Times New Roman"/>
                <w:color w:val="000000"/>
                <w:sz w:val="20"/>
                <w:szCs w:val="20"/>
              </w:rPr>
            </w:pPr>
            <w:r w:rsidRPr="00432C28">
              <w:rPr>
                <w:rFonts w:cs="Times New Roman"/>
                <w:color w:val="000000"/>
                <w:sz w:val="20"/>
                <w:szCs w:val="20"/>
              </w:rPr>
              <w:t>Yes, 3.9</w:t>
            </w:r>
            <w:r w:rsidR="00600E96">
              <w:rPr>
                <w:rFonts w:cs="Times New Roman"/>
                <w:color w:val="000000"/>
                <w:sz w:val="20"/>
                <w:szCs w:val="20"/>
              </w:rPr>
              <w:t>percent</w:t>
            </w:r>
            <w:r w:rsidRPr="00432C28">
              <w:rPr>
                <w:rFonts w:cs="Times New Roman"/>
                <w:color w:val="000000"/>
                <w:sz w:val="20"/>
                <w:szCs w:val="20"/>
              </w:rPr>
              <w:t xml:space="preserve"> WECC transmission losses and 5</w:t>
            </w:r>
            <w:r w:rsidR="00600E96">
              <w:rPr>
                <w:rFonts w:cs="Times New Roman"/>
                <w:color w:val="000000"/>
                <w:sz w:val="20"/>
                <w:szCs w:val="20"/>
              </w:rPr>
              <w:t>percent</w:t>
            </w:r>
            <w:r w:rsidRPr="00432C28">
              <w:rPr>
                <w:rFonts w:cs="Times New Roman"/>
                <w:color w:val="000000"/>
                <w:sz w:val="20"/>
                <w:szCs w:val="20"/>
              </w:rPr>
              <w:t xml:space="preserve"> distribution losses, average about 9</w:t>
            </w:r>
            <w:r w:rsidR="00600E96">
              <w:rPr>
                <w:rFonts w:cs="Times New Roman"/>
                <w:color w:val="000000"/>
                <w:sz w:val="20"/>
                <w:szCs w:val="20"/>
              </w:rPr>
              <w:t>percent</w:t>
            </w:r>
            <w:r w:rsidRPr="00432C28">
              <w:rPr>
                <w:rFonts w:cs="Times New Roman"/>
                <w:color w:val="000000"/>
                <w:sz w:val="20"/>
                <w:szCs w:val="20"/>
              </w:rPr>
              <w:t xml:space="preserve"> total.  Transmission losses vary by load levels so losses differ by load profile of measures.</w:t>
            </w:r>
          </w:p>
        </w:tc>
        <w:tc>
          <w:tcPr>
            <w:tcW w:w="2880" w:type="dxa"/>
            <w:tcBorders>
              <w:top w:val="single" w:sz="6" w:space="0" w:color="auto"/>
              <w:left w:val="single" w:sz="6" w:space="0" w:color="auto"/>
              <w:bottom w:val="single" w:sz="6" w:space="0" w:color="auto"/>
              <w:right w:val="single" w:sz="6" w:space="0" w:color="auto"/>
            </w:tcBorders>
          </w:tcPr>
          <w:p w:rsidR="005B4ACB" w:rsidRPr="00432C28" w:rsidRDefault="005B4ACB" w:rsidP="005B4ACB">
            <w:pPr>
              <w:autoSpaceDE w:val="0"/>
              <w:autoSpaceDN w:val="0"/>
              <w:adjustRightInd w:val="0"/>
              <w:rPr>
                <w:rFonts w:cs="Times New Roman"/>
                <w:color w:val="000000"/>
                <w:sz w:val="20"/>
                <w:szCs w:val="20"/>
              </w:rPr>
            </w:pPr>
            <w:r w:rsidRPr="00432C28">
              <w:rPr>
                <w:rFonts w:cs="Times New Roman"/>
                <w:color w:val="000000"/>
                <w:sz w:val="20"/>
                <w:szCs w:val="20"/>
              </w:rPr>
              <w:t xml:space="preserve">Yes. See avoided cost matrix. </w:t>
            </w:r>
          </w:p>
        </w:tc>
        <w:tc>
          <w:tcPr>
            <w:tcW w:w="2250" w:type="dxa"/>
            <w:tcBorders>
              <w:top w:val="single" w:sz="6" w:space="0" w:color="auto"/>
              <w:left w:val="single" w:sz="6" w:space="0" w:color="auto"/>
              <w:bottom w:val="single" w:sz="6" w:space="0" w:color="auto"/>
              <w:right w:val="single" w:sz="6" w:space="0" w:color="auto"/>
            </w:tcBorders>
          </w:tcPr>
          <w:p w:rsidR="005B4ACB" w:rsidRPr="00432C28" w:rsidRDefault="005B4ACB" w:rsidP="005B4ACB">
            <w:pPr>
              <w:autoSpaceDE w:val="0"/>
              <w:autoSpaceDN w:val="0"/>
              <w:adjustRightInd w:val="0"/>
              <w:rPr>
                <w:rFonts w:cs="Times New Roman"/>
                <w:color w:val="000000"/>
                <w:sz w:val="20"/>
                <w:szCs w:val="20"/>
              </w:rPr>
            </w:pPr>
            <w:r w:rsidRPr="00432C28">
              <w:rPr>
                <w:rFonts w:cs="Times New Roman"/>
                <w:color w:val="000000"/>
                <w:sz w:val="20"/>
                <w:szCs w:val="20"/>
              </w:rPr>
              <w:t>See Avoided Cost matrix.</w:t>
            </w:r>
          </w:p>
        </w:tc>
      </w:tr>
      <w:tr w:rsidR="005B4ACB" w:rsidRPr="00432C28">
        <w:trPr>
          <w:trHeight w:val="377"/>
        </w:trPr>
        <w:tc>
          <w:tcPr>
            <w:tcW w:w="1650" w:type="dxa"/>
            <w:tcBorders>
              <w:top w:val="single" w:sz="6" w:space="0" w:color="auto"/>
              <w:left w:val="single" w:sz="6" w:space="0" w:color="auto"/>
              <w:bottom w:val="single" w:sz="6" w:space="0" w:color="auto"/>
              <w:right w:val="single" w:sz="6" w:space="0" w:color="auto"/>
            </w:tcBorders>
          </w:tcPr>
          <w:p w:rsidR="005B4ACB" w:rsidRPr="00432C28" w:rsidRDefault="005B4ACB" w:rsidP="005B4ACB">
            <w:pPr>
              <w:autoSpaceDE w:val="0"/>
              <w:autoSpaceDN w:val="0"/>
              <w:adjustRightInd w:val="0"/>
              <w:rPr>
                <w:rFonts w:cs="Times New Roman"/>
                <w:color w:val="000000"/>
                <w:sz w:val="20"/>
                <w:szCs w:val="20"/>
              </w:rPr>
            </w:pPr>
            <w:r w:rsidRPr="00432C28">
              <w:rPr>
                <w:rFonts w:cs="Times New Roman"/>
                <w:color w:val="000000"/>
                <w:sz w:val="20"/>
                <w:szCs w:val="20"/>
              </w:rPr>
              <w:t>Deferred T&amp;D system savings</w:t>
            </w:r>
          </w:p>
        </w:tc>
        <w:tc>
          <w:tcPr>
            <w:tcW w:w="2700" w:type="dxa"/>
            <w:tcBorders>
              <w:top w:val="single" w:sz="6" w:space="0" w:color="auto"/>
              <w:left w:val="single" w:sz="6" w:space="0" w:color="auto"/>
              <w:bottom w:val="single" w:sz="6" w:space="0" w:color="auto"/>
              <w:right w:val="single" w:sz="6" w:space="0" w:color="auto"/>
            </w:tcBorders>
          </w:tcPr>
          <w:p w:rsidR="005B4ACB" w:rsidRPr="00432C28" w:rsidRDefault="005B4ACB" w:rsidP="005B4ACB">
            <w:pPr>
              <w:autoSpaceDE w:val="0"/>
              <w:autoSpaceDN w:val="0"/>
              <w:adjustRightInd w:val="0"/>
              <w:rPr>
                <w:rFonts w:cs="Times New Roman"/>
                <w:color w:val="000000"/>
                <w:sz w:val="20"/>
                <w:szCs w:val="20"/>
              </w:rPr>
            </w:pPr>
            <w:r w:rsidRPr="00432C28">
              <w:rPr>
                <w:rFonts w:cs="Times New Roman"/>
                <w:color w:val="000000"/>
                <w:sz w:val="20"/>
                <w:szCs w:val="20"/>
              </w:rPr>
              <w:t>Yes, for distribution only, at time of peak usage</w:t>
            </w:r>
          </w:p>
        </w:tc>
        <w:tc>
          <w:tcPr>
            <w:tcW w:w="2880" w:type="dxa"/>
            <w:tcBorders>
              <w:top w:val="single" w:sz="6" w:space="0" w:color="auto"/>
              <w:left w:val="single" w:sz="6" w:space="0" w:color="auto"/>
              <w:bottom w:val="single" w:sz="6" w:space="0" w:color="auto"/>
              <w:right w:val="single" w:sz="6" w:space="0" w:color="auto"/>
            </w:tcBorders>
          </w:tcPr>
          <w:p w:rsidR="005B4ACB" w:rsidRPr="00432C28" w:rsidRDefault="005B4ACB" w:rsidP="005B4ACB">
            <w:pPr>
              <w:autoSpaceDE w:val="0"/>
              <w:autoSpaceDN w:val="0"/>
              <w:adjustRightInd w:val="0"/>
              <w:rPr>
                <w:rFonts w:cs="Times New Roman"/>
                <w:color w:val="000000"/>
                <w:sz w:val="20"/>
                <w:szCs w:val="20"/>
              </w:rPr>
            </w:pPr>
            <w:r w:rsidRPr="00432C28">
              <w:rPr>
                <w:rFonts w:cs="Times New Roman"/>
                <w:color w:val="000000"/>
                <w:sz w:val="20"/>
                <w:szCs w:val="20"/>
              </w:rPr>
              <w:t xml:space="preserve">Yes. See avoided cost matrix. </w:t>
            </w:r>
          </w:p>
        </w:tc>
        <w:tc>
          <w:tcPr>
            <w:tcW w:w="2250" w:type="dxa"/>
            <w:tcBorders>
              <w:top w:val="single" w:sz="6" w:space="0" w:color="auto"/>
              <w:left w:val="single" w:sz="6" w:space="0" w:color="auto"/>
              <w:bottom w:val="single" w:sz="6" w:space="0" w:color="auto"/>
              <w:right w:val="single" w:sz="6" w:space="0" w:color="auto"/>
            </w:tcBorders>
          </w:tcPr>
          <w:p w:rsidR="005B4ACB" w:rsidRPr="00432C28" w:rsidRDefault="005B4ACB" w:rsidP="005B4ACB">
            <w:pPr>
              <w:autoSpaceDE w:val="0"/>
              <w:autoSpaceDN w:val="0"/>
              <w:adjustRightInd w:val="0"/>
              <w:rPr>
                <w:rFonts w:cs="Times New Roman"/>
                <w:color w:val="000000"/>
                <w:sz w:val="20"/>
                <w:szCs w:val="20"/>
              </w:rPr>
            </w:pPr>
            <w:r w:rsidRPr="00432C28">
              <w:rPr>
                <w:rFonts w:cs="Times New Roman"/>
                <w:color w:val="000000"/>
                <w:sz w:val="20"/>
                <w:szCs w:val="20"/>
              </w:rPr>
              <w:t>See Avoided Cost matrix.</w:t>
            </w:r>
          </w:p>
        </w:tc>
      </w:tr>
      <w:tr w:rsidR="005B4ACB" w:rsidRPr="00432C28">
        <w:trPr>
          <w:trHeight w:val="146"/>
        </w:trPr>
        <w:tc>
          <w:tcPr>
            <w:tcW w:w="4350" w:type="dxa"/>
            <w:gridSpan w:val="2"/>
            <w:tcBorders>
              <w:top w:val="single" w:sz="6" w:space="0" w:color="auto"/>
              <w:left w:val="single" w:sz="6" w:space="0" w:color="auto"/>
              <w:bottom w:val="single" w:sz="6" w:space="0" w:color="auto"/>
              <w:right w:val="single" w:sz="6" w:space="0" w:color="auto"/>
            </w:tcBorders>
          </w:tcPr>
          <w:p w:rsidR="005B4ACB" w:rsidRPr="00432C28" w:rsidRDefault="005B4ACB" w:rsidP="005B4ACB">
            <w:pPr>
              <w:autoSpaceDE w:val="0"/>
              <w:autoSpaceDN w:val="0"/>
              <w:adjustRightInd w:val="0"/>
              <w:rPr>
                <w:rFonts w:cs="Times New Roman"/>
                <w:color w:val="000000"/>
                <w:sz w:val="20"/>
                <w:szCs w:val="20"/>
              </w:rPr>
            </w:pPr>
            <w:r w:rsidRPr="00432C28">
              <w:rPr>
                <w:rFonts w:cs="Times New Roman"/>
                <w:color w:val="000000"/>
                <w:sz w:val="20"/>
                <w:szCs w:val="20"/>
              </w:rPr>
              <w:t>Quantified Non-Energy Benefits</w:t>
            </w:r>
          </w:p>
        </w:tc>
        <w:tc>
          <w:tcPr>
            <w:tcW w:w="2880" w:type="dxa"/>
            <w:tcBorders>
              <w:top w:val="single" w:sz="6" w:space="0" w:color="auto"/>
              <w:left w:val="single" w:sz="6" w:space="0" w:color="auto"/>
              <w:bottom w:val="single" w:sz="6" w:space="0" w:color="auto"/>
              <w:right w:val="single" w:sz="6" w:space="0" w:color="auto"/>
            </w:tcBorders>
          </w:tcPr>
          <w:p w:rsidR="005B4ACB" w:rsidRPr="00432C28" w:rsidRDefault="005B4ACB" w:rsidP="005B4ACB">
            <w:pPr>
              <w:autoSpaceDE w:val="0"/>
              <w:autoSpaceDN w:val="0"/>
              <w:adjustRightInd w:val="0"/>
              <w:jc w:val="right"/>
              <w:rPr>
                <w:rFonts w:cs="Times New Roman"/>
                <w:color w:val="000000"/>
                <w:sz w:val="20"/>
                <w:szCs w:val="20"/>
              </w:rPr>
            </w:pPr>
          </w:p>
        </w:tc>
        <w:tc>
          <w:tcPr>
            <w:tcW w:w="2250" w:type="dxa"/>
            <w:tcBorders>
              <w:top w:val="single" w:sz="6" w:space="0" w:color="auto"/>
              <w:left w:val="single" w:sz="6" w:space="0" w:color="auto"/>
              <w:bottom w:val="single" w:sz="6" w:space="0" w:color="auto"/>
              <w:right w:val="single" w:sz="6" w:space="0" w:color="auto"/>
            </w:tcBorders>
          </w:tcPr>
          <w:p w:rsidR="005B4ACB" w:rsidRPr="00432C28" w:rsidRDefault="005B4ACB" w:rsidP="005B4ACB">
            <w:pPr>
              <w:autoSpaceDE w:val="0"/>
              <w:autoSpaceDN w:val="0"/>
              <w:adjustRightInd w:val="0"/>
              <w:jc w:val="right"/>
              <w:rPr>
                <w:rFonts w:cs="Times New Roman"/>
                <w:color w:val="000000"/>
                <w:sz w:val="20"/>
                <w:szCs w:val="20"/>
              </w:rPr>
            </w:pPr>
          </w:p>
        </w:tc>
      </w:tr>
      <w:tr w:rsidR="005B4ACB" w:rsidRPr="00432C28">
        <w:trPr>
          <w:trHeight w:val="2609"/>
        </w:trPr>
        <w:tc>
          <w:tcPr>
            <w:tcW w:w="1650" w:type="dxa"/>
            <w:tcBorders>
              <w:top w:val="single" w:sz="6" w:space="0" w:color="auto"/>
              <w:left w:val="single" w:sz="6" w:space="0" w:color="auto"/>
              <w:bottom w:val="single" w:sz="6" w:space="0" w:color="auto"/>
              <w:right w:val="single" w:sz="6" w:space="0" w:color="auto"/>
            </w:tcBorders>
          </w:tcPr>
          <w:p w:rsidR="005B4ACB" w:rsidRPr="00432C28" w:rsidRDefault="005B4ACB" w:rsidP="005B4ACB">
            <w:pPr>
              <w:autoSpaceDE w:val="0"/>
              <w:autoSpaceDN w:val="0"/>
              <w:adjustRightInd w:val="0"/>
              <w:rPr>
                <w:rFonts w:cs="Times New Roman"/>
                <w:color w:val="000000"/>
                <w:sz w:val="20"/>
                <w:szCs w:val="20"/>
              </w:rPr>
            </w:pPr>
            <w:r w:rsidRPr="00432C28">
              <w:rPr>
                <w:rFonts w:cs="Times New Roman"/>
                <w:color w:val="000000"/>
                <w:sz w:val="20"/>
                <w:szCs w:val="20"/>
              </w:rPr>
              <w:t>Non-energy benefits (water, etc.)</w:t>
            </w:r>
          </w:p>
        </w:tc>
        <w:tc>
          <w:tcPr>
            <w:tcW w:w="2700" w:type="dxa"/>
            <w:tcBorders>
              <w:top w:val="single" w:sz="6" w:space="0" w:color="auto"/>
              <w:left w:val="single" w:sz="6" w:space="0" w:color="auto"/>
              <w:bottom w:val="single" w:sz="6" w:space="0" w:color="auto"/>
              <w:right w:val="single" w:sz="6" w:space="0" w:color="auto"/>
            </w:tcBorders>
          </w:tcPr>
          <w:p w:rsidR="005B4ACB" w:rsidRPr="00432C28" w:rsidRDefault="005B4ACB" w:rsidP="005B4ACB">
            <w:pPr>
              <w:autoSpaceDE w:val="0"/>
              <w:autoSpaceDN w:val="0"/>
              <w:adjustRightInd w:val="0"/>
              <w:rPr>
                <w:rFonts w:cs="Times New Roman"/>
                <w:color w:val="000000"/>
                <w:sz w:val="20"/>
                <w:szCs w:val="20"/>
              </w:rPr>
            </w:pPr>
            <w:r w:rsidRPr="00432C28">
              <w:rPr>
                <w:rFonts w:cs="Times New Roman"/>
                <w:color w:val="000000"/>
                <w:sz w:val="20"/>
                <w:szCs w:val="20"/>
              </w:rPr>
              <w:t>Yes, for quantifiable benefits or costs such as water, detergent, and internal end-use heating and cooling interactions.</w:t>
            </w:r>
          </w:p>
        </w:tc>
        <w:tc>
          <w:tcPr>
            <w:tcW w:w="2880" w:type="dxa"/>
            <w:tcBorders>
              <w:top w:val="single" w:sz="6" w:space="0" w:color="auto"/>
              <w:left w:val="single" w:sz="6" w:space="0" w:color="auto"/>
              <w:bottom w:val="single" w:sz="6" w:space="0" w:color="auto"/>
              <w:right w:val="single" w:sz="6" w:space="0" w:color="auto"/>
            </w:tcBorders>
          </w:tcPr>
          <w:p w:rsidR="005B4ACB" w:rsidRPr="00432C28" w:rsidRDefault="005B4ACB" w:rsidP="00F82BAF">
            <w:pPr>
              <w:autoSpaceDE w:val="0"/>
              <w:autoSpaceDN w:val="0"/>
              <w:adjustRightInd w:val="0"/>
              <w:rPr>
                <w:rFonts w:cs="Times New Roman"/>
                <w:color w:val="000000"/>
                <w:sz w:val="20"/>
                <w:szCs w:val="20"/>
              </w:rPr>
            </w:pPr>
            <w:r w:rsidRPr="00432C28">
              <w:rPr>
                <w:rFonts w:cs="Times New Roman"/>
                <w:color w:val="000000"/>
                <w:sz w:val="20"/>
                <w:szCs w:val="20"/>
              </w:rPr>
              <w:t xml:space="preserve">Yes. </w:t>
            </w:r>
            <w:r w:rsidR="000E4631">
              <w:rPr>
                <w:rFonts w:cs="Times New Roman"/>
                <w:color w:val="000000"/>
                <w:sz w:val="20"/>
                <w:szCs w:val="20"/>
              </w:rPr>
              <w:t>Q</w:t>
            </w:r>
            <w:r w:rsidRPr="00432C28">
              <w:rPr>
                <w:rFonts w:cs="Times New Roman"/>
                <w:color w:val="000000"/>
                <w:sz w:val="20"/>
                <w:szCs w:val="20"/>
              </w:rPr>
              <w:t>uantifiable non-energy benefits (available in third-party databases) were incorporated in our 201</w:t>
            </w:r>
            <w:r w:rsidR="000E4631">
              <w:rPr>
                <w:rFonts w:cs="Times New Roman"/>
                <w:color w:val="000000"/>
                <w:sz w:val="20"/>
                <w:szCs w:val="20"/>
              </w:rPr>
              <w:t>3</w:t>
            </w:r>
            <w:r w:rsidRPr="00432C28">
              <w:rPr>
                <w:rFonts w:cs="Times New Roman"/>
                <w:color w:val="000000"/>
                <w:sz w:val="20"/>
                <w:szCs w:val="20"/>
              </w:rPr>
              <w:t xml:space="preserve"> potential study update that was used to inform the 201</w:t>
            </w:r>
            <w:r w:rsidR="000E4631">
              <w:rPr>
                <w:rFonts w:cs="Times New Roman"/>
                <w:color w:val="000000"/>
                <w:sz w:val="20"/>
                <w:szCs w:val="20"/>
              </w:rPr>
              <w:t>3</w:t>
            </w:r>
            <w:r w:rsidRPr="00432C28">
              <w:rPr>
                <w:rFonts w:cs="Times New Roman"/>
                <w:color w:val="000000"/>
                <w:sz w:val="20"/>
                <w:szCs w:val="20"/>
              </w:rPr>
              <w:t xml:space="preserve"> IRP DSM selections. Non-energy benefits and O&amp;M savings are incorporated as </w:t>
            </w:r>
            <w:r w:rsidR="001D46A9" w:rsidRPr="00432C28">
              <w:rPr>
                <w:rFonts w:cs="Times New Roman"/>
                <w:color w:val="000000"/>
                <w:sz w:val="20"/>
                <w:szCs w:val="20"/>
              </w:rPr>
              <w:t>an</w:t>
            </w:r>
            <w:r w:rsidRPr="00432C28">
              <w:rPr>
                <w:rFonts w:cs="Times New Roman"/>
                <w:color w:val="000000"/>
                <w:sz w:val="20"/>
                <w:szCs w:val="20"/>
              </w:rPr>
              <w:t xml:space="preserve"> adjustment to measure costs.</w:t>
            </w:r>
          </w:p>
        </w:tc>
        <w:tc>
          <w:tcPr>
            <w:tcW w:w="2250" w:type="dxa"/>
            <w:tcBorders>
              <w:top w:val="single" w:sz="6" w:space="0" w:color="auto"/>
              <w:left w:val="single" w:sz="6" w:space="0" w:color="auto"/>
              <w:bottom w:val="single" w:sz="6" w:space="0" w:color="auto"/>
              <w:right w:val="single" w:sz="6" w:space="0" w:color="auto"/>
            </w:tcBorders>
          </w:tcPr>
          <w:p w:rsidR="005B4ACB" w:rsidRPr="00432C28" w:rsidRDefault="005B4ACB" w:rsidP="005B4ACB">
            <w:pPr>
              <w:autoSpaceDE w:val="0"/>
              <w:autoSpaceDN w:val="0"/>
              <w:adjustRightInd w:val="0"/>
              <w:rPr>
                <w:rFonts w:cs="Times New Roman"/>
                <w:color w:val="000000"/>
                <w:sz w:val="20"/>
                <w:szCs w:val="20"/>
              </w:rPr>
            </w:pPr>
            <w:r w:rsidRPr="00432C28">
              <w:rPr>
                <w:rFonts w:cs="Times New Roman"/>
                <w:color w:val="000000"/>
                <w:sz w:val="20"/>
                <w:szCs w:val="20"/>
              </w:rPr>
              <w:t xml:space="preserve">All utilities are now including NEBs, consistent with the Council.  Assumed values may vary. </w:t>
            </w:r>
          </w:p>
        </w:tc>
      </w:tr>
      <w:tr w:rsidR="005B4ACB" w:rsidRPr="00432C28">
        <w:trPr>
          <w:trHeight w:val="2042"/>
        </w:trPr>
        <w:tc>
          <w:tcPr>
            <w:tcW w:w="1650" w:type="dxa"/>
            <w:tcBorders>
              <w:top w:val="single" w:sz="6" w:space="0" w:color="auto"/>
              <w:left w:val="single" w:sz="6" w:space="0" w:color="auto"/>
              <w:bottom w:val="single" w:sz="6" w:space="0" w:color="auto"/>
              <w:right w:val="single" w:sz="6" w:space="0" w:color="auto"/>
            </w:tcBorders>
          </w:tcPr>
          <w:p w:rsidR="005B4ACB" w:rsidRPr="00432C28" w:rsidRDefault="005B4ACB" w:rsidP="005B4ACB">
            <w:pPr>
              <w:autoSpaceDE w:val="0"/>
              <w:autoSpaceDN w:val="0"/>
              <w:adjustRightInd w:val="0"/>
              <w:rPr>
                <w:rFonts w:cs="Times New Roman"/>
                <w:color w:val="000000"/>
                <w:sz w:val="20"/>
                <w:szCs w:val="20"/>
              </w:rPr>
            </w:pPr>
            <w:r w:rsidRPr="00432C28">
              <w:rPr>
                <w:rFonts w:cs="Times New Roman"/>
                <w:color w:val="000000"/>
                <w:sz w:val="20"/>
                <w:szCs w:val="20"/>
              </w:rPr>
              <w:t>Environmental externalities</w:t>
            </w:r>
          </w:p>
        </w:tc>
        <w:tc>
          <w:tcPr>
            <w:tcW w:w="2700" w:type="dxa"/>
            <w:tcBorders>
              <w:top w:val="single" w:sz="6" w:space="0" w:color="auto"/>
              <w:left w:val="single" w:sz="6" w:space="0" w:color="auto"/>
              <w:bottom w:val="single" w:sz="6" w:space="0" w:color="auto"/>
              <w:right w:val="single" w:sz="6" w:space="0" w:color="auto"/>
            </w:tcBorders>
          </w:tcPr>
          <w:p w:rsidR="005B4ACB" w:rsidRPr="00432C28" w:rsidRDefault="005B4ACB" w:rsidP="005B4ACB">
            <w:pPr>
              <w:autoSpaceDE w:val="0"/>
              <w:autoSpaceDN w:val="0"/>
              <w:adjustRightInd w:val="0"/>
              <w:rPr>
                <w:rFonts w:cs="Times New Roman"/>
                <w:color w:val="000000"/>
                <w:sz w:val="20"/>
                <w:szCs w:val="20"/>
              </w:rPr>
            </w:pPr>
            <w:r w:rsidRPr="00432C28">
              <w:rPr>
                <w:rFonts w:cs="Times New Roman"/>
                <w:color w:val="000000"/>
                <w:sz w:val="20"/>
                <w:szCs w:val="20"/>
              </w:rPr>
              <w:t>Yes, emissions are tracked and will be reduced through less dispatch of generation. Include cost of required control technologies. Include a range of potential CO2 costs from $0 to $100, growing over time averaging $47 by 2030.</w:t>
            </w:r>
          </w:p>
        </w:tc>
        <w:tc>
          <w:tcPr>
            <w:tcW w:w="2880" w:type="dxa"/>
            <w:tcBorders>
              <w:top w:val="single" w:sz="6" w:space="0" w:color="auto"/>
              <w:left w:val="single" w:sz="6" w:space="0" w:color="auto"/>
              <w:bottom w:val="single" w:sz="6" w:space="0" w:color="auto"/>
              <w:right w:val="single" w:sz="6" w:space="0" w:color="auto"/>
            </w:tcBorders>
          </w:tcPr>
          <w:p w:rsidR="005B4ACB" w:rsidRPr="00432C28" w:rsidRDefault="005B4ACB" w:rsidP="005B4ACB">
            <w:pPr>
              <w:autoSpaceDE w:val="0"/>
              <w:autoSpaceDN w:val="0"/>
              <w:adjustRightInd w:val="0"/>
              <w:rPr>
                <w:rFonts w:cs="Times New Roman"/>
                <w:color w:val="000000"/>
                <w:sz w:val="20"/>
                <w:szCs w:val="20"/>
              </w:rPr>
            </w:pPr>
            <w:r w:rsidRPr="00432C28">
              <w:rPr>
                <w:rFonts w:cs="Times New Roman"/>
                <w:color w:val="000000"/>
                <w:sz w:val="20"/>
                <w:szCs w:val="20"/>
              </w:rPr>
              <w:t xml:space="preserve">Yes. Included through use of carbon tax assumptions in the IRP modeling process. In addition, environmental externalities beyond carbon with an established compliance cost (i.e. SOX) are included in production costs resulting in the value being captured in the calculation of avoided costs.  </w:t>
            </w:r>
          </w:p>
        </w:tc>
        <w:tc>
          <w:tcPr>
            <w:tcW w:w="2250" w:type="dxa"/>
            <w:tcBorders>
              <w:top w:val="single" w:sz="6" w:space="0" w:color="auto"/>
              <w:left w:val="single" w:sz="6" w:space="0" w:color="auto"/>
              <w:bottom w:val="single" w:sz="6" w:space="0" w:color="auto"/>
              <w:right w:val="single" w:sz="6" w:space="0" w:color="auto"/>
            </w:tcBorders>
          </w:tcPr>
          <w:p w:rsidR="005B4ACB" w:rsidRPr="00432C28" w:rsidRDefault="005B4ACB" w:rsidP="005B4ACB">
            <w:pPr>
              <w:autoSpaceDE w:val="0"/>
              <w:autoSpaceDN w:val="0"/>
              <w:adjustRightInd w:val="0"/>
              <w:rPr>
                <w:rFonts w:cs="Times New Roman"/>
                <w:color w:val="000000"/>
                <w:sz w:val="20"/>
                <w:szCs w:val="20"/>
              </w:rPr>
            </w:pPr>
            <w:r w:rsidRPr="00432C28">
              <w:rPr>
                <w:rFonts w:cs="Times New Roman"/>
                <w:color w:val="000000"/>
                <w:sz w:val="20"/>
                <w:szCs w:val="20"/>
              </w:rPr>
              <w:t xml:space="preserve">All parties handle this similarly.  Assumptions about values vary. </w:t>
            </w:r>
          </w:p>
        </w:tc>
      </w:tr>
      <w:tr w:rsidR="005B4ACB" w:rsidRPr="00432C28">
        <w:trPr>
          <w:trHeight w:val="2479"/>
        </w:trPr>
        <w:tc>
          <w:tcPr>
            <w:tcW w:w="1650" w:type="dxa"/>
            <w:tcBorders>
              <w:top w:val="single" w:sz="6" w:space="0" w:color="auto"/>
              <w:left w:val="single" w:sz="6" w:space="0" w:color="auto"/>
              <w:bottom w:val="single" w:sz="6" w:space="0" w:color="auto"/>
              <w:right w:val="single" w:sz="6" w:space="0" w:color="auto"/>
            </w:tcBorders>
          </w:tcPr>
          <w:p w:rsidR="005B4ACB" w:rsidRPr="00432C28" w:rsidRDefault="005B4ACB" w:rsidP="005B4ACB">
            <w:pPr>
              <w:autoSpaceDE w:val="0"/>
              <w:autoSpaceDN w:val="0"/>
              <w:adjustRightInd w:val="0"/>
              <w:rPr>
                <w:rFonts w:cs="Times New Roman"/>
                <w:color w:val="000000"/>
                <w:sz w:val="20"/>
                <w:szCs w:val="20"/>
              </w:rPr>
            </w:pPr>
            <w:r w:rsidRPr="00432C28">
              <w:rPr>
                <w:rFonts w:cs="Times New Roman"/>
                <w:color w:val="000000"/>
                <w:sz w:val="20"/>
                <w:szCs w:val="20"/>
              </w:rPr>
              <w:t>10% Power Act credit</w:t>
            </w:r>
          </w:p>
        </w:tc>
        <w:tc>
          <w:tcPr>
            <w:tcW w:w="2700" w:type="dxa"/>
            <w:tcBorders>
              <w:top w:val="single" w:sz="6" w:space="0" w:color="auto"/>
              <w:left w:val="single" w:sz="6" w:space="0" w:color="auto"/>
              <w:bottom w:val="single" w:sz="6" w:space="0" w:color="auto"/>
              <w:right w:val="single" w:sz="6" w:space="0" w:color="auto"/>
            </w:tcBorders>
          </w:tcPr>
          <w:p w:rsidR="005B4ACB" w:rsidRPr="00432C28" w:rsidRDefault="005B4ACB" w:rsidP="005B4ACB">
            <w:pPr>
              <w:autoSpaceDE w:val="0"/>
              <w:autoSpaceDN w:val="0"/>
              <w:adjustRightInd w:val="0"/>
              <w:rPr>
                <w:rFonts w:cs="Times New Roman"/>
                <w:color w:val="000000"/>
                <w:sz w:val="20"/>
                <w:szCs w:val="20"/>
              </w:rPr>
            </w:pPr>
            <w:r w:rsidRPr="00432C28">
              <w:rPr>
                <w:rFonts w:cs="Times New Roman"/>
                <w:color w:val="000000"/>
                <w:sz w:val="20"/>
                <w:szCs w:val="20"/>
              </w:rPr>
              <w:t>Yes.  Applied to energy &amp; deferred capacity components of value only.</w:t>
            </w:r>
          </w:p>
        </w:tc>
        <w:tc>
          <w:tcPr>
            <w:tcW w:w="2880" w:type="dxa"/>
            <w:tcBorders>
              <w:top w:val="single" w:sz="6" w:space="0" w:color="auto"/>
              <w:left w:val="single" w:sz="6" w:space="0" w:color="auto"/>
              <w:bottom w:val="single" w:sz="6" w:space="0" w:color="auto"/>
              <w:right w:val="single" w:sz="6" w:space="0" w:color="auto"/>
            </w:tcBorders>
          </w:tcPr>
          <w:p w:rsidR="005B4ACB" w:rsidRPr="00432C28" w:rsidRDefault="005B4ACB" w:rsidP="005B4ACB">
            <w:pPr>
              <w:autoSpaceDE w:val="0"/>
              <w:autoSpaceDN w:val="0"/>
              <w:adjustRightInd w:val="0"/>
              <w:rPr>
                <w:rFonts w:cs="Times New Roman"/>
                <w:color w:val="000000"/>
                <w:sz w:val="20"/>
                <w:szCs w:val="20"/>
              </w:rPr>
            </w:pPr>
            <w:r w:rsidRPr="00432C28">
              <w:rPr>
                <w:rFonts w:cs="Times New Roman"/>
                <w:color w:val="000000"/>
                <w:sz w:val="20"/>
                <w:szCs w:val="20"/>
              </w:rPr>
              <w:t>Yes. See avoided cost matrix.</w:t>
            </w:r>
          </w:p>
        </w:tc>
        <w:tc>
          <w:tcPr>
            <w:tcW w:w="2250" w:type="dxa"/>
            <w:tcBorders>
              <w:top w:val="single" w:sz="6" w:space="0" w:color="auto"/>
              <w:left w:val="single" w:sz="6" w:space="0" w:color="auto"/>
              <w:bottom w:val="single" w:sz="6" w:space="0" w:color="auto"/>
              <w:right w:val="single" w:sz="6" w:space="0" w:color="auto"/>
            </w:tcBorders>
          </w:tcPr>
          <w:p w:rsidR="005B4ACB" w:rsidRPr="00432C28" w:rsidRDefault="005B4ACB" w:rsidP="005B4ACB">
            <w:pPr>
              <w:autoSpaceDE w:val="0"/>
              <w:autoSpaceDN w:val="0"/>
              <w:adjustRightInd w:val="0"/>
              <w:rPr>
                <w:rFonts w:cs="Times New Roman"/>
                <w:color w:val="000000"/>
                <w:sz w:val="20"/>
                <w:szCs w:val="20"/>
              </w:rPr>
            </w:pPr>
            <w:r w:rsidRPr="00432C28">
              <w:rPr>
                <w:rFonts w:cs="Times New Roman"/>
                <w:color w:val="000000"/>
                <w:sz w:val="20"/>
                <w:szCs w:val="20"/>
              </w:rPr>
              <w:t>All utilities apply the 10% credit, but not as a direct adjustment to avoided cost in all cases.</w:t>
            </w:r>
          </w:p>
          <w:p w:rsidR="005B4ACB" w:rsidRPr="00432C28" w:rsidRDefault="005B4ACB" w:rsidP="005B4ACB">
            <w:pPr>
              <w:autoSpaceDE w:val="0"/>
              <w:autoSpaceDN w:val="0"/>
              <w:adjustRightInd w:val="0"/>
              <w:rPr>
                <w:rFonts w:cs="Times New Roman"/>
                <w:color w:val="000000"/>
                <w:sz w:val="20"/>
                <w:szCs w:val="20"/>
              </w:rPr>
            </w:pPr>
          </w:p>
          <w:p w:rsidR="005B4ACB" w:rsidRPr="00432C28" w:rsidRDefault="005B4ACB" w:rsidP="005B4ACB">
            <w:pPr>
              <w:autoSpaceDE w:val="0"/>
              <w:autoSpaceDN w:val="0"/>
              <w:adjustRightInd w:val="0"/>
              <w:rPr>
                <w:rFonts w:cs="Times New Roman"/>
                <w:color w:val="000000"/>
                <w:sz w:val="20"/>
                <w:szCs w:val="20"/>
              </w:rPr>
            </w:pPr>
            <w:r w:rsidRPr="00432C28">
              <w:rPr>
                <w:rFonts w:cs="Times New Roman"/>
                <w:color w:val="000000"/>
                <w:sz w:val="20"/>
                <w:szCs w:val="20"/>
              </w:rPr>
              <w:t xml:space="preserve">Avista applies it as a benefit in its TRC calculation, rather than to the avoided cost. </w:t>
            </w:r>
          </w:p>
          <w:p w:rsidR="005B4ACB" w:rsidRPr="00432C28" w:rsidRDefault="005B4ACB" w:rsidP="005B4ACB">
            <w:pPr>
              <w:autoSpaceDE w:val="0"/>
              <w:autoSpaceDN w:val="0"/>
              <w:adjustRightInd w:val="0"/>
              <w:rPr>
                <w:rFonts w:cs="Times New Roman"/>
                <w:color w:val="000000"/>
                <w:sz w:val="20"/>
                <w:szCs w:val="20"/>
              </w:rPr>
            </w:pPr>
          </w:p>
          <w:p w:rsidR="005B4ACB" w:rsidRPr="00432C28" w:rsidRDefault="005B4ACB" w:rsidP="005B4ACB">
            <w:pPr>
              <w:autoSpaceDE w:val="0"/>
              <w:autoSpaceDN w:val="0"/>
              <w:adjustRightInd w:val="0"/>
              <w:rPr>
                <w:rFonts w:cs="Times New Roman"/>
                <w:color w:val="000000"/>
                <w:sz w:val="20"/>
                <w:szCs w:val="20"/>
              </w:rPr>
            </w:pPr>
            <w:r w:rsidRPr="00432C28">
              <w:rPr>
                <w:rFonts w:cs="Times New Roman"/>
                <w:color w:val="000000"/>
                <w:sz w:val="20"/>
                <w:szCs w:val="20"/>
              </w:rPr>
              <w:t>PacifiCorp applies the 10% adder as an additional benefit during the TRC calculation.</w:t>
            </w:r>
          </w:p>
          <w:p w:rsidR="005B4ACB" w:rsidRPr="00432C28" w:rsidRDefault="005B4ACB" w:rsidP="005B4ACB">
            <w:pPr>
              <w:autoSpaceDE w:val="0"/>
              <w:autoSpaceDN w:val="0"/>
              <w:adjustRightInd w:val="0"/>
              <w:rPr>
                <w:rFonts w:cs="Times New Roman"/>
                <w:color w:val="000000"/>
                <w:sz w:val="20"/>
                <w:szCs w:val="20"/>
              </w:rPr>
            </w:pPr>
          </w:p>
          <w:p w:rsidR="005B4ACB" w:rsidRPr="00432C28" w:rsidRDefault="005B4ACB" w:rsidP="005B4ACB">
            <w:pPr>
              <w:autoSpaceDE w:val="0"/>
              <w:autoSpaceDN w:val="0"/>
              <w:adjustRightInd w:val="0"/>
              <w:rPr>
                <w:rFonts w:cs="Times New Roman"/>
                <w:color w:val="000000"/>
                <w:sz w:val="20"/>
                <w:szCs w:val="20"/>
              </w:rPr>
            </w:pPr>
            <w:r w:rsidRPr="00432C28">
              <w:rPr>
                <w:rFonts w:cs="Times New Roman"/>
                <w:color w:val="000000"/>
                <w:sz w:val="20"/>
                <w:szCs w:val="20"/>
              </w:rPr>
              <w:t>PSE is consistent with the Council.</w:t>
            </w:r>
          </w:p>
        </w:tc>
      </w:tr>
      <w:tr w:rsidR="005B4ACB" w:rsidRPr="00432C28">
        <w:trPr>
          <w:trHeight w:val="1459"/>
        </w:trPr>
        <w:tc>
          <w:tcPr>
            <w:tcW w:w="1650" w:type="dxa"/>
            <w:tcBorders>
              <w:top w:val="single" w:sz="6" w:space="0" w:color="auto"/>
              <w:left w:val="single" w:sz="6" w:space="0" w:color="auto"/>
              <w:bottom w:val="single" w:sz="6" w:space="0" w:color="auto"/>
              <w:right w:val="single" w:sz="6" w:space="0" w:color="auto"/>
            </w:tcBorders>
          </w:tcPr>
          <w:p w:rsidR="005B4ACB" w:rsidRPr="00432C28" w:rsidRDefault="005B4ACB" w:rsidP="005B4ACB">
            <w:pPr>
              <w:autoSpaceDE w:val="0"/>
              <w:autoSpaceDN w:val="0"/>
              <w:adjustRightInd w:val="0"/>
              <w:rPr>
                <w:rFonts w:cs="Times New Roman"/>
                <w:color w:val="000000"/>
                <w:sz w:val="20"/>
                <w:szCs w:val="20"/>
              </w:rPr>
            </w:pPr>
            <w:r w:rsidRPr="00432C28">
              <w:rPr>
                <w:rFonts w:cs="Times New Roman"/>
                <w:color w:val="000000"/>
                <w:sz w:val="20"/>
                <w:szCs w:val="20"/>
              </w:rPr>
              <w:t>Un-quantified Non-Energy Benefits (if/how included)</w:t>
            </w:r>
          </w:p>
        </w:tc>
        <w:tc>
          <w:tcPr>
            <w:tcW w:w="2700" w:type="dxa"/>
            <w:tcBorders>
              <w:top w:val="single" w:sz="6" w:space="0" w:color="auto"/>
              <w:left w:val="single" w:sz="6" w:space="0" w:color="auto"/>
              <w:bottom w:val="single" w:sz="6" w:space="0" w:color="auto"/>
              <w:right w:val="single" w:sz="6" w:space="0" w:color="auto"/>
            </w:tcBorders>
          </w:tcPr>
          <w:p w:rsidR="005B4ACB" w:rsidRPr="00432C28" w:rsidRDefault="005B4ACB" w:rsidP="001D46A9">
            <w:pPr>
              <w:autoSpaceDE w:val="0"/>
              <w:autoSpaceDN w:val="0"/>
              <w:adjustRightInd w:val="0"/>
              <w:rPr>
                <w:rFonts w:cs="Times New Roman"/>
                <w:color w:val="000000"/>
                <w:sz w:val="20"/>
                <w:szCs w:val="20"/>
              </w:rPr>
            </w:pPr>
            <w:r w:rsidRPr="00432C28">
              <w:rPr>
                <w:rFonts w:cs="Times New Roman"/>
                <w:color w:val="000000"/>
                <w:sz w:val="20"/>
                <w:szCs w:val="20"/>
              </w:rPr>
              <w:t xml:space="preserve">Not directly, </w:t>
            </w:r>
            <w:r w:rsidR="001D46A9" w:rsidRPr="00432C28">
              <w:rPr>
                <w:rFonts w:cs="Times New Roman"/>
                <w:color w:val="000000"/>
                <w:sz w:val="20"/>
                <w:szCs w:val="20"/>
              </w:rPr>
              <w:t>m</w:t>
            </w:r>
            <w:r w:rsidRPr="00432C28">
              <w:rPr>
                <w:rFonts w:cs="Times New Roman"/>
                <w:color w:val="000000"/>
                <w:sz w:val="20"/>
                <w:szCs w:val="20"/>
              </w:rPr>
              <w:t>ay be partly reflected in 10% Act credit, but otherwise a portfolio judgment by Council.  Typically not influential in decision, mostly based on quantifiable costs and benefits.</w:t>
            </w:r>
          </w:p>
        </w:tc>
        <w:tc>
          <w:tcPr>
            <w:tcW w:w="2880" w:type="dxa"/>
            <w:tcBorders>
              <w:top w:val="single" w:sz="6" w:space="0" w:color="auto"/>
              <w:left w:val="single" w:sz="6" w:space="0" w:color="auto"/>
              <w:bottom w:val="single" w:sz="6" w:space="0" w:color="auto"/>
              <w:right w:val="single" w:sz="6" w:space="0" w:color="auto"/>
            </w:tcBorders>
          </w:tcPr>
          <w:p w:rsidR="005B4ACB" w:rsidRPr="00432C28" w:rsidRDefault="005B4ACB" w:rsidP="005B4ACB">
            <w:pPr>
              <w:autoSpaceDE w:val="0"/>
              <w:autoSpaceDN w:val="0"/>
              <w:adjustRightInd w:val="0"/>
              <w:rPr>
                <w:rFonts w:cs="Times New Roman"/>
                <w:color w:val="000000"/>
                <w:sz w:val="20"/>
                <w:szCs w:val="20"/>
              </w:rPr>
            </w:pPr>
            <w:r w:rsidRPr="00432C28">
              <w:rPr>
                <w:rFonts w:cs="Times New Roman"/>
                <w:color w:val="000000"/>
                <w:sz w:val="20"/>
                <w:szCs w:val="20"/>
              </w:rPr>
              <w:t xml:space="preserve">No. Not included at either the planning/analysis stage, at program cost effectiveness or individual customer level given the difficulty in identifying/quantifying.  </w:t>
            </w:r>
          </w:p>
        </w:tc>
        <w:tc>
          <w:tcPr>
            <w:tcW w:w="2250" w:type="dxa"/>
            <w:tcBorders>
              <w:top w:val="single" w:sz="6" w:space="0" w:color="auto"/>
              <w:left w:val="single" w:sz="6" w:space="0" w:color="auto"/>
              <w:bottom w:val="single" w:sz="6" w:space="0" w:color="auto"/>
              <w:right w:val="single" w:sz="6" w:space="0" w:color="auto"/>
            </w:tcBorders>
          </w:tcPr>
          <w:p w:rsidR="005B4ACB" w:rsidRPr="00432C28" w:rsidRDefault="005B4ACB" w:rsidP="005B4ACB">
            <w:pPr>
              <w:autoSpaceDE w:val="0"/>
              <w:autoSpaceDN w:val="0"/>
              <w:adjustRightInd w:val="0"/>
              <w:rPr>
                <w:rFonts w:cs="Times New Roman"/>
                <w:color w:val="000000"/>
                <w:sz w:val="20"/>
                <w:szCs w:val="20"/>
              </w:rPr>
            </w:pPr>
            <w:r w:rsidRPr="00432C28">
              <w:rPr>
                <w:rFonts w:cs="Times New Roman"/>
                <w:color w:val="000000"/>
                <w:sz w:val="20"/>
                <w:szCs w:val="20"/>
              </w:rPr>
              <w:t>Generally not explicitly included by any party, so utilities and Council are consistent.</w:t>
            </w:r>
          </w:p>
          <w:p w:rsidR="005B4ACB" w:rsidRPr="00432C28" w:rsidRDefault="005B4ACB" w:rsidP="005B4ACB">
            <w:pPr>
              <w:autoSpaceDE w:val="0"/>
              <w:autoSpaceDN w:val="0"/>
              <w:adjustRightInd w:val="0"/>
              <w:rPr>
                <w:rFonts w:cs="Times New Roman"/>
                <w:color w:val="000000"/>
                <w:sz w:val="20"/>
                <w:szCs w:val="20"/>
              </w:rPr>
            </w:pPr>
          </w:p>
          <w:p w:rsidR="005B4ACB" w:rsidRPr="00432C28" w:rsidRDefault="005B4ACB" w:rsidP="005B4ACB">
            <w:pPr>
              <w:autoSpaceDE w:val="0"/>
              <w:autoSpaceDN w:val="0"/>
              <w:adjustRightInd w:val="0"/>
              <w:rPr>
                <w:rFonts w:cs="Times New Roman"/>
                <w:color w:val="000000"/>
                <w:sz w:val="20"/>
                <w:szCs w:val="20"/>
              </w:rPr>
            </w:pPr>
            <w:r w:rsidRPr="00432C28">
              <w:rPr>
                <w:rFonts w:cs="Times New Roman"/>
                <w:color w:val="000000"/>
                <w:sz w:val="20"/>
                <w:szCs w:val="20"/>
              </w:rPr>
              <w:t>PSE has used this as a "nudge" to its low income program in past years, but it has not been necessary recently.</w:t>
            </w:r>
          </w:p>
        </w:tc>
      </w:tr>
      <w:tr w:rsidR="005B4ACB" w:rsidRPr="00432C28">
        <w:trPr>
          <w:trHeight w:val="1020"/>
        </w:trPr>
        <w:tc>
          <w:tcPr>
            <w:tcW w:w="1650" w:type="dxa"/>
            <w:tcBorders>
              <w:top w:val="single" w:sz="6" w:space="0" w:color="auto"/>
              <w:left w:val="single" w:sz="6" w:space="0" w:color="auto"/>
              <w:bottom w:val="single" w:sz="6" w:space="0" w:color="auto"/>
              <w:right w:val="single" w:sz="6" w:space="0" w:color="auto"/>
            </w:tcBorders>
          </w:tcPr>
          <w:p w:rsidR="005B4ACB" w:rsidRPr="00432C28" w:rsidRDefault="005B4ACB" w:rsidP="00DB599E">
            <w:pPr>
              <w:autoSpaceDE w:val="0"/>
              <w:autoSpaceDN w:val="0"/>
              <w:adjustRightInd w:val="0"/>
              <w:rPr>
                <w:rFonts w:cs="Times New Roman"/>
                <w:color w:val="000000"/>
                <w:sz w:val="20"/>
                <w:szCs w:val="20"/>
              </w:rPr>
            </w:pPr>
            <w:r w:rsidRPr="00432C28">
              <w:rPr>
                <w:rFonts w:cs="Times New Roman"/>
                <w:color w:val="000000"/>
                <w:sz w:val="20"/>
                <w:szCs w:val="20"/>
              </w:rPr>
              <w:t xml:space="preserve">Tax Credits? </w:t>
            </w:r>
          </w:p>
        </w:tc>
        <w:tc>
          <w:tcPr>
            <w:tcW w:w="2700" w:type="dxa"/>
            <w:tcBorders>
              <w:top w:val="single" w:sz="6" w:space="0" w:color="auto"/>
              <w:left w:val="single" w:sz="6" w:space="0" w:color="auto"/>
              <w:bottom w:val="single" w:sz="6" w:space="0" w:color="auto"/>
              <w:right w:val="single" w:sz="6" w:space="0" w:color="auto"/>
            </w:tcBorders>
          </w:tcPr>
          <w:p w:rsidR="005B4ACB" w:rsidRPr="00432C28" w:rsidRDefault="005B4ACB" w:rsidP="005B4ACB">
            <w:pPr>
              <w:autoSpaceDE w:val="0"/>
              <w:autoSpaceDN w:val="0"/>
              <w:adjustRightInd w:val="0"/>
              <w:rPr>
                <w:rFonts w:cs="Times New Roman"/>
                <w:color w:val="000000"/>
                <w:sz w:val="20"/>
                <w:szCs w:val="20"/>
              </w:rPr>
            </w:pPr>
            <w:r w:rsidRPr="00432C28">
              <w:rPr>
                <w:rFonts w:cs="Times New Roman"/>
                <w:color w:val="000000"/>
                <w:sz w:val="20"/>
                <w:szCs w:val="20"/>
              </w:rPr>
              <w:t>No.  TRC is not reduced for tax credits.  Renewable resource costs are reduced for credits, creating a potential consistency issue.  Efficiency credits are more difficult to calculate.</w:t>
            </w:r>
          </w:p>
        </w:tc>
        <w:tc>
          <w:tcPr>
            <w:tcW w:w="2880" w:type="dxa"/>
            <w:tcBorders>
              <w:top w:val="single" w:sz="6" w:space="0" w:color="auto"/>
              <w:left w:val="single" w:sz="6" w:space="0" w:color="auto"/>
              <w:bottom w:val="single" w:sz="6" w:space="0" w:color="auto"/>
              <w:right w:val="single" w:sz="6" w:space="0" w:color="auto"/>
            </w:tcBorders>
          </w:tcPr>
          <w:p w:rsidR="005B4ACB" w:rsidRPr="00432C28" w:rsidRDefault="005B4ACB" w:rsidP="005B4ACB">
            <w:pPr>
              <w:autoSpaceDE w:val="0"/>
              <w:autoSpaceDN w:val="0"/>
              <w:adjustRightInd w:val="0"/>
              <w:rPr>
                <w:rFonts w:cs="Times New Roman"/>
                <w:color w:val="000000"/>
                <w:sz w:val="20"/>
                <w:szCs w:val="20"/>
              </w:rPr>
            </w:pPr>
            <w:r w:rsidRPr="00432C28">
              <w:rPr>
                <w:rFonts w:cs="Times New Roman"/>
                <w:color w:val="000000"/>
                <w:sz w:val="20"/>
                <w:szCs w:val="20"/>
              </w:rPr>
              <w:t xml:space="preserve">No. Consider a transfer payment (and inherently hard to accurately quantify).  </w:t>
            </w:r>
          </w:p>
        </w:tc>
        <w:tc>
          <w:tcPr>
            <w:tcW w:w="2250" w:type="dxa"/>
            <w:tcBorders>
              <w:top w:val="single" w:sz="6" w:space="0" w:color="auto"/>
              <w:left w:val="single" w:sz="6" w:space="0" w:color="auto"/>
              <w:bottom w:val="single" w:sz="6" w:space="0" w:color="auto"/>
              <w:right w:val="single" w:sz="6" w:space="0" w:color="auto"/>
            </w:tcBorders>
          </w:tcPr>
          <w:p w:rsidR="005B4ACB" w:rsidRPr="00432C28" w:rsidRDefault="005B4ACB" w:rsidP="005B4ACB">
            <w:pPr>
              <w:autoSpaceDE w:val="0"/>
              <w:autoSpaceDN w:val="0"/>
              <w:adjustRightInd w:val="0"/>
              <w:rPr>
                <w:rFonts w:cs="Times New Roman"/>
                <w:color w:val="000000"/>
                <w:sz w:val="20"/>
                <w:szCs w:val="20"/>
              </w:rPr>
            </w:pPr>
            <w:r w:rsidRPr="00432C28">
              <w:rPr>
                <w:rFonts w:cs="Times New Roman"/>
                <w:color w:val="000000"/>
                <w:sz w:val="20"/>
                <w:szCs w:val="20"/>
              </w:rPr>
              <w:t>Council, PacifiCorp, and PSE do not include tax credits. Avista does the calculation with and without tax credits.</w:t>
            </w:r>
          </w:p>
        </w:tc>
      </w:tr>
      <w:tr w:rsidR="005B4ACB" w:rsidRPr="00432C28">
        <w:trPr>
          <w:trHeight w:val="146"/>
        </w:trPr>
        <w:tc>
          <w:tcPr>
            <w:tcW w:w="1650" w:type="dxa"/>
            <w:tcBorders>
              <w:top w:val="single" w:sz="6" w:space="0" w:color="auto"/>
              <w:left w:val="single" w:sz="6" w:space="0" w:color="auto"/>
              <w:bottom w:val="single" w:sz="6" w:space="0" w:color="auto"/>
              <w:right w:val="single" w:sz="6" w:space="0" w:color="auto"/>
            </w:tcBorders>
          </w:tcPr>
          <w:p w:rsidR="005B4ACB" w:rsidRPr="00432C28" w:rsidRDefault="005B4ACB" w:rsidP="005B4ACB">
            <w:pPr>
              <w:autoSpaceDE w:val="0"/>
              <w:autoSpaceDN w:val="0"/>
              <w:adjustRightInd w:val="0"/>
              <w:jc w:val="right"/>
              <w:rPr>
                <w:rFonts w:cs="Times New Roman"/>
                <w:color w:val="000000"/>
                <w:sz w:val="20"/>
                <w:szCs w:val="20"/>
              </w:rPr>
            </w:pPr>
          </w:p>
        </w:tc>
        <w:tc>
          <w:tcPr>
            <w:tcW w:w="2700" w:type="dxa"/>
            <w:tcBorders>
              <w:top w:val="single" w:sz="6" w:space="0" w:color="auto"/>
              <w:left w:val="single" w:sz="6" w:space="0" w:color="auto"/>
              <w:bottom w:val="single" w:sz="6" w:space="0" w:color="auto"/>
              <w:right w:val="single" w:sz="6" w:space="0" w:color="auto"/>
            </w:tcBorders>
          </w:tcPr>
          <w:p w:rsidR="005B4ACB" w:rsidRPr="00432C28" w:rsidRDefault="005B4ACB" w:rsidP="005B4ACB">
            <w:pPr>
              <w:autoSpaceDE w:val="0"/>
              <w:autoSpaceDN w:val="0"/>
              <w:adjustRightInd w:val="0"/>
              <w:jc w:val="right"/>
              <w:rPr>
                <w:rFonts w:cs="Times New Roman"/>
                <w:color w:val="000000"/>
                <w:sz w:val="20"/>
                <w:szCs w:val="20"/>
              </w:rPr>
            </w:pPr>
          </w:p>
        </w:tc>
        <w:tc>
          <w:tcPr>
            <w:tcW w:w="2880" w:type="dxa"/>
            <w:tcBorders>
              <w:top w:val="single" w:sz="6" w:space="0" w:color="auto"/>
              <w:left w:val="single" w:sz="6" w:space="0" w:color="auto"/>
              <w:bottom w:val="single" w:sz="6" w:space="0" w:color="auto"/>
              <w:right w:val="single" w:sz="6" w:space="0" w:color="auto"/>
            </w:tcBorders>
          </w:tcPr>
          <w:p w:rsidR="005B4ACB" w:rsidRPr="00432C28" w:rsidRDefault="005B4ACB" w:rsidP="005B4ACB">
            <w:pPr>
              <w:autoSpaceDE w:val="0"/>
              <w:autoSpaceDN w:val="0"/>
              <w:adjustRightInd w:val="0"/>
              <w:jc w:val="right"/>
              <w:rPr>
                <w:rFonts w:cs="Times New Roman"/>
                <w:color w:val="000000"/>
                <w:sz w:val="20"/>
                <w:szCs w:val="20"/>
              </w:rPr>
            </w:pPr>
          </w:p>
        </w:tc>
        <w:tc>
          <w:tcPr>
            <w:tcW w:w="2250" w:type="dxa"/>
            <w:tcBorders>
              <w:top w:val="single" w:sz="6" w:space="0" w:color="auto"/>
              <w:left w:val="single" w:sz="6" w:space="0" w:color="auto"/>
              <w:bottom w:val="single" w:sz="6" w:space="0" w:color="auto"/>
              <w:right w:val="single" w:sz="6" w:space="0" w:color="auto"/>
            </w:tcBorders>
          </w:tcPr>
          <w:p w:rsidR="005B4ACB" w:rsidRPr="00432C28" w:rsidRDefault="005B4ACB" w:rsidP="005B4ACB">
            <w:pPr>
              <w:autoSpaceDE w:val="0"/>
              <w:autoSpaceDN w:val="0"/>
              <w:adjustRightInd w:val="0"/>
              <w:jc w:val="right"/>
              <w:rPr>
                <w:rFonts w:cs="Times New Roman"/>
                <w:color w:val="000000"/>
                <w:sz w:val="20"/>
                <w:szCs w:val="20"/>
              </w:rPr>
            </w:pPr>
          </w:p>
        </w:tc>
      </w:tr>
      <w:tr w:rsidR="005B4ACB" w:rsidRPr="00432C28">
        <w:trPr>
          <w:trHeight w:val="146"/>
        </w:trPr>
        <w:tc>
          <w:tcPr>
            <w:tcW w:w="1650" w:type="dxa"/>
            <w:tcBorders>
              <w:top w:val="single" w:sz="6" w:space="0" w:color="auto"/>
              <w:left w:val="single" w:sz="6" w:space="0" w:color="auto"/>
              <w:bottom w:val="single" w:sz="6" w:space="0" w:color="auto"/>
              <w:right w:val="single" w:sz="6" w:space="0" w:color="auto"/>
            </w:tcBorders>
          </w:tcPr>
          <w:p w:rsidR="005B4ACB" w:rsidRPr="00432C28" w:rsidRDefault="005B4ACB" w:rsidP="005B4ACB">
            <w:pPr>
              <w:autoSpaceDE w:val="0"/>
              <w:autoSpaceDN w:val="0"/>
              <w:adjustRightInd w:val="0"/>
              <w:rPr>
                <w:rFonts w:cs="Times New Roman"/>
                <w:b/>
                <w:bCs/>
                <w:color w:val="000000"/>
                <w:sz w:val="20"/>
                <w:szCs w:val="20"/>
              </w:rPr>
            </w:pPr>
            <w:r w:rsidRPr="00432C28">
              <w:rPr>
                <w:rFonts w:cs="Times New Roman"/>
                <w:b/>
                <w:bCs/>
                <w:color w:val="000000"/>
                <w:sz w:val="20"/>
                <w:szCs w:val="20"/>
              </w:rPr>
              <w:t>Costs</w:t>
            </w:r>
          </w:p>
        </w:tc>
        <w:tc>
          <w:tcPr>
            <w:tcW w:w="2700" w:type="dxa"/>
            <w:tcBorders>
              <w:top w:val="single" w:sz="6" w:space="0" w:color="auto"/>
              <w:left w:val="single" w:sz="6" w:space="0" w:color="auto"/>
              <w:bottom w:val="single" w:sz="6" w:space="0" w:color="auto"/>
              <w:right w:val="single" w:sz="6" w:space="0" w:color="auto"/>
            </w:tcBorders>
          </w:tcPr>
          <w:p w:rsidR="005B4ACB" w:rsidRPr="00432C28" w:rsidRDefault="005B4ACB" w:rsidP="005B4ACB">
            <w:pPr>
              <w:autoSpaceDE w:val="0"/>
              <w:autoSpaceDN w:val="0"/>
              <w:adjustRightInd w:val="0"/>
              <w:jc w:val="right"/>
              <w:rPr>
                <w:rFonts w:cs="Times New Roman"/>
                <w:color w:val="000000"/>
                <w:sz w:val="20"/>
                <w:szCs w:val="20"/>
              </w:rPr>
            </w:pPr>
          </w:p>
        </w:tc>
        <w:tc>
          <w:tcPr>
            <w:tcW w:w="2880" w:type="dxa"/>
            <w:tcBorders>
              <w:top w:val="single" w:sz="6" w:space="0" w:color="auto"/>
              <w:left w:val="single" w:sz="6" w:space="0" w:color="auto"/>
              <w:bottom w:val="single" w:sz="6" w:space="0" w:color="auto"/>
              <w:right w:val="single" w:sz="6" w:space="0" w:color="auto"/>
            </w:tcBorders>
          </w:tcPr>
          <w:p w:rsidR="005B4ACB" w:rsidRPr="00432C28" w:rsidRDefault="005B4ACB" w:rsidP="005B4ACB">
            <w:pPr>
              <w:autoSpaceDE w:val="0"/>
              <w:autoSpaceDN w:val="0"/>
              <w:adjustRightInd w:val="0"/>
              <w:jc w:val="right"/>
              <w:rPr>
                <w:rFonts w:cs="Times New Roman"/>
                <w:color w:val="000000"/>
                <w:sz w:val="20"/>
                <w:szCs w:val="20"/>
              </w:rPr>
            </w:pPr>
          </w:p>
        </w:tc>
        <w:tc>
          <w:tcPr>
            <w:tcW w:w="2250" w:type="dxa"/>
            <w:tcBorders>
              <w:top w:val="single" w:sz="6" w:space="0" w:color="auto"/>
              <w:left w:val="single" w:sz="6" w:space="0" w:color="auto"/>
              <w:bottom w:val="single" w:sz="6" w:space="0" w:color="auto"/>
              <w:right w:val="single" w:sz="6" w:space="0" w:color="auto"/>
            </w:tcBorders>
          </w:tcPr>
          <w:p w:rsidR="005B4ACB" w:rsidRPr="00432C28" w:rsidRDefault="005B4ACB" w:rsidP="005B4ACB">
            <w:pPr>
              <w:autoSpaceDE w:val="0"/>
              <w:autoSpaceDN w:val="0"/>
              <w:adjustRightInd w:val="0"/>
              <w:jc w:val="right"/>
              <w:rPr>
                <w:rFonts w:cs="Times New Roman"/>
                <w:color w:val="000000"/>
                <w:sz w:val="20"/>
                <w:szCs w:val="20"/>
              </w:rPr>
            </w:pPr>
          </w:p>
        </w:tc>
      </w:tr>
      <w:tr w:rsidR="005B4ACB" w:rsidRPr="00432C28">
        <w:trPr>
          <w:trHeight w:val="146"/>
        </w:trPr>
        <w:tc>
          <w:tcPr>
            <w:tcW w:w="1650" w:type="dxa"/>
            <w:tcBorders>
              <w:top w:val="single" w:sz="6" w:space="0" w:color="auto"/>
              <w:left w:val="single" w:sz="6" w:space="0" w:color="auto"/>
              <w:bottom w:val="single" w:sz="6" w:space="0" w:color="auto"/>
              <w:right w:val="single" w:sz="6" w:space="0" w:color="auto"/>
            </w:tcBorders>
          </w:tcPr>
          <w:p w:rsidR="005B4ACB" w:rsidRPr="00432C28" w:rsidRDefault="005B4ACB" w:rsidP="005B4ACB">
            <w:pPr>
              <w:autoSpaceDE w:val="0"/>
              <w:autoSpaceDN w:val="0"/>
              <w:adjustRightInd w:val="0"/>
              <w:rPr>
                <w:rFonts w:cs="Times New Roman"/>
                <w:color w:val="000000"/>
                <w:sz w:val="20"/>
                <w:szCs w:val="20"/>
              </w:rPr>
            </w:pPr>
            <w:r w:rsidRPr="00432C28">
              <w:rPr>
                <w:rFonts w:cs="Times New Roman"/>
                <w:color w:val="000000"/>
                <w:sz w:val="20"/>
                <w:szCs w:val="20"/>
              </w:rPr>
              <w:t>Measure Costs (net)</w:t>
            </w:r>
          </w:p>
        </w:tc>
        <w:tc>
          <w:tcPr>
            <w:tcW w:w="2700" w:type="dxa"/>
            <w:tcBorders>
              <w:top w:val="single" w:sz="6" w:space="0" w:color="auto"/>
              <w:left w:val="single" w:sz="6" w:space="0" w:color="auto"/>
              <w:bottom w:val="single" w:sz="6" w:space="0" w:color="auto"/>
              <w:right w:val="single" w:sz="6" w:space="0" w:color="auto"/>
            </w:tcBorders>
          </w:tcPr>
          <w:p w:rsidR="005B4ACB" w:rsidRPr="00432C28" w:rsidRDefault="005B4ACB" w:rsidP="005B4ACB">
            <w:pPr>
              <w:autoSpaceDE w:val="0"/>
              <w:autoSpaceDN w:val="0"/>
              <w:adjustRightInd w:val="0"/>
              <w:jc w:val="right"/>
              <w:rPr>
                <w:rFonts w:cs="Times New Roman"/>
                <w:color w:val="000000"/>
                <w:sz w:val="20"/>
                <w:szCs w:val="20"/>
              </w:rPr>
            </w:pPr>
          </w:p>
        </w:tc>
        <w:tc>
          <w:tcPr>
            <w:tcW w:w="2880" w:type="dxa"/>
            <w:tcBorders>
              <w:top w:val="single" w:sz="6" w:space="0" w:color="auto"/>
              <w:left w:val="single" w:sz="6" w:space="0" w:color="auto"/>
              <w:bottom w:val="single" w:sz="6" w:space="0" w:color="auto"/>
              <w:right w:val="single" w:sz="6" w:space="0" w:color="auto"/>
            </w:tcBorders>
          </w:tcPr>
          <w:p w:rsidR="005B4ACB" w:rsidRPr="00432C28" w:rsidRDefault="005B4ACB" w:rsidP="005B4ACB">
            <w:pPr>
              <w:autoSpaceDE w:val="0"/>
              <w:autoSpaceDN w:val="0"/>
              <w:adjustRightInd w:val="0"/>
              <w:jc w:val="right"/>
              <w:rPr>
                <w:rFonts w:cs="Times New Roman"/>
                <w:color w:val="000000"/>
                <w:sz w:val="20"/>
                <w:szCs w:val="20"/>
              </w:rPr>
            </w:pPr>
          </w:p>
        </w:tc>
        <w:tc>
          <w:tcPr>
            <w:tcW w:w="2250" w:type="dxa"/>
            <w:tcBorders>
              <w:top w:val="single" w:sz="6" w:space="0" w:color="auto"/>
              <w:left w:val="single" w:sz="6" w:space="0" w:color="auto"/>
              <w:bottom w:val="single" w:sz="6" w:space="0" w:color="auto"/>
              <w:right w:val="single" w:sz="6" w:space="0" w:color="auto"/>
            </w:tcBorders>
          </w:tcPr>
          <w:p w:rsidR="005B4ACB" w:rsidRPr="00432C28" w:rsidRDefault="005B4ACB" w:rsidP="005B4ACB">
            <w:pPr>
              <w:autoSpaceDE w:val="0"/>
              <w:autoSpaceDN w:val="0"/>
              <w:adjustRightInd w:val="0"/>
              <w:jc w:val="right"/>
              <w:rPr>
                <w:rFonts w:cs="Times New Roman"/>
                <w:color w:val="000000"/>
                <w:sz w:val="20"/>
                <w:szCs w:val="20"/>
              </w:rPr>
            </w:pPr>
          </w:p>
        </w:tc>
      </w:tr>
      <w:tr w:rsidR="005B4ACB" w:rsidRPr="00432C28">
        <w:trPr>
          <w:trHeight w:val="1803"/>
        </w:trPr>
        <w:tc>
          <w:tcPr>
            <w:tcW w:w="1650" w:type="dxa"/>
            <w:tcBorders>
              <w:top w:val="single" w:sz="6" w:space="0" w:color="auto"/>
              <w:left w:val="single" w:sz="6" w:space="0" w:color="auto"/>
              <w:bottom w:val="single" w:sz="6" w:space="0" w:color="auto"/>
              <w:right w:val="single" w:sz="6" w:space="0" w:color="auto"/>
            </w:tcBorders>
          </w:tcPr>
          <w:p w:rsidR="005B4ACB" w:rsidRPr="00432C28" w:rsidRDefault="005B4ACB" w:rsidP="005B4ACB">
            <w:pPr>
              <w:autoSpaceDE w:val="0"/>
              <w:autoSpaceDN w:val="0"/>
              <w:adjustRightInd w:val="0"/>
              <w:rPr>
                <w:rFonts w:cs="Times New Roman"/>
                <w:color w:val="000000"/>
                <w:sz w:val="20"/>
                <w:szCs w:val="20"/>
              </w:rPr>
            </w:pPr>
            <w:r w:rsidRPr="00432C28">
              <w:rPr>
                <w:rFonts w:cs="Times New Roman"/>
                <w:color w:val="000000"/>
                <w:sz w:val="20"/>
                <w:szCs w:val="20"/>
              </w:rPr>
              <w:t>Full incremental measure cost (material &amp; labor)</w:t>
            </w:r>
          </w:p>
        </w:tc>
        <w:tc>
          <w:tcPr>
            <w:tcW w:w="2700" w:type="dxa"/>
            <w:tcBorders>
              <w:top w:val="single" w:sz="6" w:space="0" w:color="auto"/>
              <w:left w:val="single" w:sz="6" w:space="0" w:color="auto"/>
              <w:bottom w:val="single" w:sz="6" w:space="0" w:color="auto"/>
              <w:right w:val="single" w:sz="6" w:space="0" w:color="auto"/>
            </w:tcBorders>
          </w:tcPr>
          <w:p w:rsidR="005B4ACB" w:rsidRPr="00432C28" w:rsidRDefault="005B4ACB" w:rsidP="005B4ACB">
            <w:pPr>
              <w:autoSpaceDE w:val="0"/>
              <w:autoSpaceDN w:val="0"/>
              <w:adjustRightInd w:val="0"/>
              <w:rPr>
                <w:rFonts w:cs="Times New Roman"/>
                <w:color w:val="000000"/>
                <w:sz w:val="20"/>
                <w:szCs w:val="20"/>
              </w:rPr>
            </w:pPr>
            <w:r w:rsidRPr="00432C28">
              <w:rPr>
                <w:rFonts w:cs="Times New Roman"/>
                <w:color w:val="000000"/>
                <w:sz w:val="20"/>
                <w:szCs w:val="20"/>
              </w:rPr>
              <w:t>Yes, full incremental cost over current practice or codes and standards.</w:t>
            </w:r>
          </w:p>
        </w:tc>
        <w:tc>
          <w:tcPr>
            <w:tcW w:w="2880" w:type="dxa"/>
            <w:tcBorders>
              <w:top w:val="single" w:sz="6" w:space="0" w:color="auto"/>
              <w:left w:val="single" w:sz="6" w:space="0" w:color="auto"/>
              <w:bottom w:val="single" w:sz="6" w:space="0" w:color="auto"/>
              <w:right w:val="single" w:sz="6" w:space="0" w:color="auto"/>
            </w:tcBorders>
          </w:tcPr>
          <w:p w:rsidR="005B4ACB" w:rsidRPr="00432C28" w:rsidRDefault="005B4ACB" w:rsidP="005B4ACB">
            <w:pPr>
              <w:autoSpaceDE w:val="0"/>
              <w:autoSpaceDN w:val="0"/>
              <w:adjustRightInd w:val="0"/>
              <w:rPr>
                <w:rFonts w:cs="Times New Roman"/>
                <w:color w:val="000000"/>
                <w:sz w:val="20"/>
                <w:szCs w:val="20"/>
              </w:rPr>
            </w:pPr>
            <w:r w:rsidRPr="00432C28">
              <w:rPr>
                <w:rFonts w:cs="Times New Roman"/>
                <w:color w:val="000000"/>
                <w:sz w:val="20"/>
                <w:szCs w:val="20"/>
              </w:rPr>
              <w:t xml:space="preserve">Yes. For lost opportunity resources, the incremental cost is the difference between the base and efficient case and may not include full labor costs. For retrofit resources, incremental costs are the full material and labor costs.  </w:t>
            </w:r>
          </w:p>
        </w:tc>
        <w:tc>
          <w:tcPr>
            <w:tcW w:w="2250" w:type="dxa"/>
            <w:tcBorders>
              <w:top w:val="single" w:sz="6" w:space="0" w:color="auto"/>
              <w:left w:val="single" w:sz="6" w:space="0" w:color="auto"/>
              <w:bottom w:val="single" w:sz="6" w:space="0" w:color="auto"/>
              <w:right w:val="single" w:sz="6" w:space="0" w:color="auto"/>
            </w:tcBorders>
          </w:tcPr>
          <w:p w:rsidR="005B4ACB" w:rsidRPr="00432C28" w:rsidRDefault="005B4ACB" w:rsidP="005B4ACB">
            <w:pPr>
              <w:autoSpaceDE w:val="0"/>
              <w:autoSpaceDN w:val="0"/>
              <w:adjustRightInd w:val="0"/>
              <w:rPr>
                <w:rFonts w:cs="Times New Roman"/>
                <w:color w:val="000000"/>
                <w:sz w:val="20"/>
                <w:szCs w:val="20"/>
              </w:rPr>
            </w:pPr>
            <w:r w:rsidRPr="00432C28">
              <w:rPr>
                <w:rFonts w:cs="Times New Roman"/>
                <w:color w:val="000000"/>
                <w:sz w:val="20"/>
                <w:szCs w:val="20"/>
              </w:rPr>
              <w:t>All parties treat measure costs consistently.  Assumptions about values may vary, depending on local market costs.</w:t>
            </w:r>
          </w:p>
        </w:tc>
      </w:tr>
      <w:tr w:rsidR="005B4ACB" w:rsidRPr="00432C28">
        <w:trPr>
          <w:trHeight w:val="1123"/>
        </w:trPr>
        <w:tc>
          <w:tcPr>
            <w:tcW w:w="1650" w:type="dxa"/>
            <w:tcBorders>
              <w:top w:val="single" w:sz="6" w:space="0" w:color="auto"/>
              <w:left w:val="single" w:sz="6" w:space="0" w:color="auto"/>
              <w:bottom w:val="single" w:sz="6" w:space="0" w:color="auto"/>
              <w:right w:val="single" w:sz="6" w:space="0" w:color="auto"/>
            </w:tcBorders>
          </w:tcPr>
          <w:p w:rsidR="005B4ACB" w:rsidRPr="00432C28" w:rsidRDefault="005B4ACB" w:rsidP="005B4ACB">
            <w:pPr>
              <w:autoSpaceDE w:val="0"/>
              <w:autoSpaceDN w:val="0"/>
              <w:adjustRightInd w:val="0"/>
              <w:rPr>
                <w:rFonts w:cs="Times New Roman"/>
                <w:color w:val="000000"/>
                <w:sz w:val="20"/>
                <w:szCs w:val="20"/>
              </w:rPr>
            </w:pPr>
            <w:r w:rsidRPr="00432C28">
              <w:rPr>
                <w:rFonts w:cs="Times New Roman"/>
                <w:color w:val="000000"/>
                <w:sz w:val="20"/>
                <w:szCs w:val="20"/>
              </w:rPr>
              <w:t>Ongoing and periodic O&amp;M costs (plus or minus)</w:t>
            </w:r>
          </w:p>
        </w:tc>
        <w:tc>
          <w:tcPr>
            <w:tcW w:w="2700" w:type="dxa"/>
            <w:tcBorders>
              <w:top w:val="single" w:sz="6" w:space="0" w:color="auto"/>
              <w:left w:val="single" w:sz="6" w:space="0" w:color="auto"/>
              <w:bottom w:val="single" w:sz="6" w:space="0" w:color="auto"/>
              <w:right w:val="single" w:sz="6" w:space="0" w:color="auto"/>
            </w:tcBorders>
          </w:tcPr>
          <w:p w:rsidR="005B4ACB" w:rsidRPr="00432C28" w:rsidRDefault="005B4ACB" w:rsidP="005B4ACB">
            <w:pPr>
              <w:autoSpaceDE w:val="0"/>
              <w:autoSpaceDN w:val="0"/>
              <w:adjustRightInd w:val="0"/>
              <w:rPr>
                <w:rFonts w:cs="Times New Roman"/>
                <w:color w:val="000000"/>
                <w:sz w:val="20"/>
                <w:szCs w:val="20"/>
              </w:rPr>
            </w:pPr>
            <w:r w:rsidRPr="00432C28">
              <w:rPr>
                <w:rFonts w:cs="Times New Roman"/>
                <w:color w:val="000000"/>
                <w:sz w:val="20"/>
                <w:szCs w:val="20"/>
              </w:rPr>
              <w:t>Yes, and to extend a measure life is less than 20 year planning horizon replacement costs are included.</w:t>
            </w:r>
          </w:p>
        </w:tc>
        <w:tc>
          <w:tcPr>
            <w:tcW w:w="2880" w:type="dxa"/>
            <w:tcBorders>
              <w:top w:val="single" w:sz="6" w:space="0" w:color="auto"/>
              <w:left w:val="single" w:sz="6" w:space="0" w:color="auto"/>
              <w:bottom w:val="single" w:sz="6" w:space="0" w:color="auto"/>
              <w:right w:val="single" w:sz="6" w:space="0" w:color="auto"/>
            </w:tcBorders>
          </w:tcPr>
          <w:p w:rsidR="005B4ACB" w:rsidRPr="00432C28" w:rsidRDefault="005B4ACB" w:rsidP="005B4ACB">
            <w:pPr>
              <w:autoSpaceDE w:val="0"/>
              <w:autoSpaceDN w:val="0"/>
              <w:adjustRightInd w:val="0"/>
              <w:rPr>
                <w:rFonts w:cs="Times New Roman"/>
                <w:color w:val="000000"/>
                <w:sz w:val="20"/>
                <w:szCs w:val="20"/>
              </w:rPr>
            </w:pPr>
            <w:r w:rsidRPr="00432C28">
              <w:rPr>
                <w:rFonts w:cs="Times New Roman"/>
                <w:color w:val="000000"/>
                <w:sz w:val="20"/>
                <w:szCs w:val="20"/>
              </w:rPr>
              <w:t xml:space="preserve">Yes. See avoided cost matrix.  </w:t>
            </w:r>
          </w:p>
        </w:tc>
        <w:tc>
          <w:tcPr>
            <w:tcW w:w="2250" w:type="dxa"/>
            <w:tcBorders>
              <w:top w:val="single" w:sz="6" w:space="0" w:color="auto"/>
              <w:left w:val="single" w:sz="6" w:space="0" w:color="auto"/>
              <w:bottom w:val="single" w:sz="6" w:space="0" w:color="auto"/>
              <w:right w:val="single" w:sz="6" w:space="0" w:color="auto"/>
            </w:tcBorders>
          </w:tcPr>
          <w:p w:rsidR="005B4ACB" w:rsidRPr="00432C28" w:rsidRDefault="005B4ACB" w:rsidP="005B4ACB">
            <w:pPr>
              <w:autoSpaceDE w:val="0"/>
              <w:autoSpaceDN w:val="0"/>
              <w:adjustRightInd w:val="0"/>
              <w:rPr>
                <w:rFonts w:cs="Times New Roman"/>
                <w:color w:val="000000"/>
                <w:sz w:val="20"/>
                <w:szCs w:val="20"/>
              </w:rPr>
            </w:pPr>
            <w:r w:rsidRPr="00432C28">
              <w:rPr>
                <w:rFonts w:cs="Times New Roman"/>
                <w:color w:val="000000"/>
                <w:sz w:val="20"/>
                <w:szCs w:val="20"/>
              </w:rPr>
              <w:t xml:space="preserve">All utilities include O&amp;M costs where data is available and (in PSE's case) where TRC results would be materially affected.  Assumed values may vary. </w:t>
            </w:r>
          </w:p>
        </w:tc>
      </w:tr>
      <w:tr w:rsidR="005B4ACB" w:rsidRPr="00432C28">
        <w:trPr>
          <w:trHeight w:val="1577"/>
        </w:trPr>
        <w:tc>
          <w:tcPr>
            <w:tcW w:w="1650" w:type="dxa"/>
            <w:tcBorders>
              <w:top w:val="single" w:sz="6" w:space="0" w:color="auto"/>
              <w:left w:val="single" w:sz="6" w:space="0" w:color="auto"/>
              <w:bottom w:val="single" w:sz="6" w:space="0" w:color="auto"/>
              <w:right w:val="single" w:sz="6" w:space="0" w:color="auto"/>
            </w:tcBorders>
          </w:tcPr>
          <w:p w:rsidR="005B4ACB" w:rsidRPr="00432C28" w:rsidRDefault="005B4ACB" w:rsidP="005B4ACB">
            <w:pPr>
              <w:autoSpaceDE w:val="0"/>
              <w:autoSpaceDN w:val="0"/>
              <w:adjustRightInd w:val="0"/>
              <w:rPr>
                <w:rFonts w:cs="Times New Roman"/>
                <w:color w:val="000000"/>
                <w:sz w:val="20"/>
                <w:szCs w:val="20"/>
              </w:rPr>
            </w:pPr>
            <w:r w:rsidRPr="00432C28">
              <w:rPr>
                <w:rFonts w:cs="Times New Roman"/>
                <w:color w:val="000000"/>
                <w:sz w:val="20"/>
                <w:szCs w:val="20"/>
              </w:rPr>
              <w:t>Non-incentive Program Costs (planning, marketing, delivery, admin, evaluation, etc.)</w:t>
            </w:r>
          </w:p>
        </w:tc>
        <w:tc>
          <w:tcPr>
            <w:tcW w:w="2700" w:type="dxa"/>
            <w:tcBorders>
              <w:top w:val="single" w:sz="6" w:space="0" w:color="auto"/>
              <w:left w:val="single" w:sz="6" w:space="0" w:color="auto"/>
              <w:bottom w:val="single" w:sz="6" w:space="0" w:color="auto"/>
              <w:right w:val="single" w:sz="6" w:space="0" w:color="auto"/>
            </w:tcBorders>
          </w:tcPr>
          <w:p w:rsidR="005B4ACB" w:rsidRPr="00432C28" w:rsidRDefault="005B4ACB" w:rsidP="005B4ACB">
            <w:pPr>
              <w:autoSpaceDE w:val="0"/>
              <w:autoSpaceDN w:val="0"/>
              <w:adjustRightInd w:val="0"/>
              <w:rPr>
                <w:rFonts w:cs="Times New Roman"/>
                <w:color w:val="000000"/>
                <w:sz w:val="20"/>
                <w:szCs w:val="20"/>
              </w:rPr>
            </w:pPr>
            <w:r w:rsidRPr="00432C28">
              <w:rPr>
                <w:rFonts w:cs="Times New Roman"/>
                <w:color w:val="000000"/>
                <w:sz w:val="20"/>
                <w:szCs w:val="20"/>
              </w:rPr>
              <w:t>Yes, generally assume administrative costs are 20% of capital cost of measures.</w:t>
            </w:r>
          </w:p>
        </w:tc>
        <w:tc>
          <w:tcPr>
            <w:tcW w:w="2880" w:type="dxa"/>
            <w:tcBorders>
              <w:top w:val="single" w:sz="6" w:space="0" w:color="auto"/>
              <w:left w:val="single" w:sz="6" w:space="0" w:color="auto"/>
              <w:bottom w:val="single" w:sz="6" w:space="0" w:color="auto"/>
              <w:right w:val="single" w:sz="6" w:space="0" w:color="auto"/>
            </w:tcBorders>
          </w:tcPr>
          <w:p w:rsidR="005B4ACB" w:rsidRPr="00432C28" w:rsidRDefault="005B4ACB" w:rsidP="005B4ACB">
            <w:pPr>
              <w:autoSpaceDE w:val="0"/>
              <w:autoSpaceDN w:val="0"/>
              <w:adjustRightInd w:val="0"/>
              <w:rPr>
                <w:rFonts w:cs="Times New Roman"/>
                <w:color w:val="000000"/>
                <w:sz w:val="20"/>
                <w:szCs w:val="20"/>
              </w:rPr>
            </w:pPr>
            <w:r w:rsidRPr="00432C28">
              <w:rPr>
                <w:rFonts w:cs="Times New Roman"/>
                <w:color w:val="000000"/>
                <w:sz w:val="20"/>
                <w:szCs w:val="20"/>
              </w:rPr>
              <w:t>Yes. Calculated as percent to the measure cost</w:t>
            </w:r>
          </w:p>
        </w:tc>
        <w:tc>
          <w:tcPr>
            <w:tcW w:w="2250" w:type="dxa"/>
            <w:tcBorders>
              <w:top w:val="single" w:sz="6" w:space="0" w:color="auto"/>
              <w:left w:val="single" w:sz="6" w:space="0" w:color="auto"/>
              <w:bottom w:val="single" w:sz="6" w:space="0" w:color="auto"/>
              <w:right w:val="single" w:sz="6" w:space="0" w:color="auto"/>
            </w:tcBorders>
          </w:tcPr>
          <w:p w:rsidR="005B4ACB" w:rsidRPr="00432C28" w:rsidRDefault="005B4ACB" w:rsidP="005B4ACB">
            <w:pPr>
              <w:autoSpaceDE w:val="0"/>
              <w:autoSpaceDN w:val="0"/>
              <w:adjustRightInd w:val="0"/>
              <w:rPr>
                <w:rFonts w:cs="Times New Roman"/>
                <w:color w:val="000000"/>
                <w:sz w:val="20"/>
                <w:szCs w:val="20"/>
              </w:rPr>
            </w:pPr>
            <w:r w:rsidRPr="00432C28">
              <w:rPr>
                <w:rFonts w:cs="Times New Roman"/>
                <w:color w:val="000000"/>
                <w:sz w:val="20"/>
                <w:szCs w:val="20"/>
              </w:rPr>
              <w:t xml:space="preserve">All utilities include non-incentive costs, consistent with the Council.  In IRP analyses, utilities apply a percentage "adder" to measure costs, like the Council.  For non-IRP program analyses specific program budgets or actual expenditures are used. </w:t>
            </w:r>
          </w:p>
        </w:tc>
      </w:tr>
      <w:tr w:rsidR="005B4ACB" w:rsidRPr="00432C28">
        <w:trPr>
          <w:trHeight w:val="146"/>
        </w:trPr>
        <w:tc>
          <w:tcPr>
            <w:tcW w:w="1650" w:type="dxa"/>
            <w:tcBorders>
              <w:top w:val="single" w:sz="6" w:space="0" w:color="auto"/>
              <w:left w:val="single" w:sz="6" w:space="0" w:color="auto"/>
              <w:bottom w:val="single" w:sz="6" w:space="0" w:color="auto"/>
              <w:right w:val="single" w:sz="6" w:space="0" w:color="auto"/>
            </w:tcBorders>
          </w:tcPr>
          <w:p w:rsidR="005B4ACB" w:rsidRPr="00432C28" w:rsidRDefault="005B4ACB" w:rsidP="005B4ACB">
            <w:pPr>
              <w:autoSpaceDE w:val="0"/>
              <w:autoSpaceDN w:val="0"/>
              <w:adjustRightInd w:val="0"/>
              <w:jc w:val="right"/>
              <w:rPr>
                <w:rFonts w:cs="Times New Roman"/>
                <w:color w:val="000000"/>
                <w:sz w:val="20"/>
                <w:szCs w:val="20"/>
              </w:rPr>
            </w:pPr>
          </w:p>
        </w:tc>
        <w:tc>
          <w:tcPr>
            <w:tcW w:w="2700" w:type="dxa"/>
            <w:tcBorders>
              <w:top w:val="single" w:sz="6" w:space="0" w:color="auto"/>
              <w:left w:val="single" w:sz="6" w:space="0" w:color="auto"/>
              <w:bottom w:val="single" w:sz="6" w:space="0" w:color="auto"/>
              <w:right w:val="single" w:sz="6" w:space="0" w:color="auto"/>
            </w:tcBorders>
          </w:tcPr>
          <w:p w:rsidR="005B4ACB" w:rsidRPr="00432C28" w:rsidRDefault="005B4ACB" w:rsidP="005B4ACB">
            <w:pPr>
              <w:autoSpaceDE w:val="0"/>
              <w:autoSpaceDN w:val="0"/>
              <w:adjustRightInd w:val="0"/>
              <w:jc w:val="right"/>
              <w:rPr>
                <w:rFonts w:cs="Times New Roman"/>
                <w:color w:val="000000"/>
                <w:sz w:val="20"/>
                <w:szCs w:val="20"/>
              </w:rPr>
            </w:pPr>
          </w:p>
        </w:tc>
        <w:tc>
          <w:tcPr>
            <w:tcW w:w="2880" w:type="dxa"/>
            <w:tcBorders>
              <w:top w:val="single" w:sz="6" w:space="0" w:color="auto"/>
              <w:left w:val="single" w:sz="6" w:space="0" w:color="auto"/>
              <w:bottom w:val="single" w:sz="6" w:space="0" w:color="auto"/>
              <w:right w:val="single" w:sz="6" w:space="0" w:color="auto"/>
            </w:tcBorders>
          </w:tcPr>
          <w:p w:rsidR="005B4ACB" w:rsidRPr="00432C28" w:rsidRDefault="005B4ACB" w:rsidP="005B4ACB">
            <w:pPr>
              <w:autoSpaceDE w:val="0"/>
              <w:autoSpaceDN w:val="0"/>
              <w:adjustRightInd w:val="0"/>
              <w:jc w:val="right"/>
              <w:rPr>
                <w:rFonts w:cs="Times New Roman"/>
                <w:color w:val="000000"/>
                <w:sz w:val="20"/>
                <w:szCs w:val="20"/>
              </w:rPr>
            </w:pPr>
          </w:p>
        </w:tc>
        <w:tc>
          <w:tcPr>
            <w:tcW w:w="2250" w:type="dxa"/>
            <w:tcBorders>
              <w:top w:val="single" w:sz="6" w:space="0" w:color="auto"/>
              <w:left w:val="single" w:sz="6" w:space="0" w:color="auto"/>
              <w:bottom w:val="single" w:sz="6" w:space="0" w:color="auto"/>
              <w:right w:val="single" w:sz="6" w:space="0" w:color="auto"/>
            </w:tcBorders>
          </w:tcPr>
          <w:p w:rsidR="005B4ACB" w:rsidRPr="00432C28" w:rsidRDefault="005B4ACB" w:rsidP="005B4ACB">
            <w:pPr>
              <w:autoSpaceDE w:val="0"/>
              <w:autoSpaceDN w:val="0"/>
              <w:adjustRightInd w:val="0"/>
              <w:jc w:val="right"/>
              <w:rPr>
                <w:rFonts w:cs="Times New Roman"/>
                <w:color w:val="000000"/>
                <w:sz w:val="20"/>
                <w:szCs w:val="20"/>
              </w:rPr>
            </w:pPr>
          </w:p>
        </w:tc>
      </w:tr>
      <w:tr w:rsidR="005B4ACB" w:rsidRPr="00432C28">
        <w:trPr>
          <w:trHeight w:val="293"/>
        </w:trPr>
        <w:tc>
          <w:tcPr>
            <w:tcW w:w="1650" w:type="dxa"/>
            <w:tcBorders>
              <w:top w:val="single" w:sz="6" w:space="0" w:color="auto"/>
              <w:left w:val="single" w:sz="6" w:space="0" w:color="auto"/>
              <w:bottom w:val="single" w:sz="6" w:space="0" w:color="auto"/>
              <w:right w:val="single" w:sz="6" w:space="0" w:color="auto"/>
            </w:tcBorders>
          </w:tcPr>
          <w:p w:rsidR="005B4ACB" w:rsidRPr="00432C28" w:rsidRDefault="005B4ACB" w:rsidP="005B4ACB">
            <w:pPr>
              <w:autoSpaceDE w:val="0"/>
              <w:autoSpaceDN w:val="0"/>
              <w:adjustRightInd w:val="0"/>
              <w:rPr>
                <w:rFonts w:cs="Times New Roman"/>
                <w:b/>
                <w:bCs/>
                <w:color w:val="000000"/>
                <w:sz w:val="20"/>
                <w:szCs w:val="20"/>
              </w:rPr>
            </w:pPr>
            <w:r w:rsidRPr="00432C28">
              <w:rPr>
                <w:rFonts w:cs="Times New Roman"/>
                <w:b/>
                <w:bCs/>
                <w:color w:val="000000"/>
                <w:sz w:val="20"/>
                <w:szCs w:val="20"/>
              </w:rPr>
              <w:t xml:space="preserve">Present Value Calculation Inputs (if different than for avoided cost) </w:t>
            </w:r>
          </w:p>
        </w:tc>
        <w:tc>
          <w:tcPr>
            <w:tcW w:w="2700" w:type="dxa"/>
            <w:tcBorders>
              <w:top w:val="single" w:sz="6" w:space="0" w:color="auto"/>
              <w:left w:val="single" w:sz="6" w:space="0" w:color="auto"/>
              <w:bottom w:val="single" w:sz="6" w:space="0" w:color="auto"/>
              <w:right w:val="single" w:sz="6" w:space="0" w:color="auto"/>
            </w:tcBorders>
          </w:tcPr>
          <w:p w:rsidR="005B4ACB" w:rsidRPr="00432C28" w:rsidRDefault="005B4ACB" w:rsidP="005B4ACB">
            <w:pPr>
              <w:autoSpaceDE w:val="0"/>
              <w:autoSpaceDN w:val="0"/>
              <w:adjustRightInd w:val="0"/>
              <w:rPr>
                <w:rFonts w:cs="Times New Roman"/>
                <w:color w:val="000000"/>
                <w:sz w:val="20"/>
                <w:szCs w:val="20"/>
              </w:rPr>
            </w:pPr>
            <w:r w:rsidRPr="00432C28">
              <w:rPr>
                <w:rFonts w:cs="Times New Roman"/>
                <w:color w:val="000000"/>
                <w:sz w:val="20"/>
                <w:szCs w:val="20"/>
              </w:rPr>
              <w:t>same</w:t>
            </w:r>
          </w:p>
        </w:tc>
        <w:tc>
          <w:tcPr>
            <w:tcW w:w="2880" w:type="dxa"/>
            <w:tcBorders>
              <w:top w:val="single" w:sz="6" w:space="0" w:color="auto"/>
              <w:left w:val="single" w:sz="6" w:space="0" w:color="auto"/>
              <w:bottom w:val="single" w:sz="6" w:space="0" w:color="auto"/>
              <w:right w:val="single" w:sz="6" w:space="0" w:color="auto"/>
            </w:tcBorders>
          </w:tcPr>
          <w:p w:rsidR="005B4ACB" w:rsidRPr="00432C28" w:rsidRDefault="005B4ACB" w:rsidP="005B4ACB">
            <w:pPr>
              <w:autoSpaceDE w:val="0"/>
              <w:autoSpaceDN w:val="0"/>
              <w:adjustRightInd w:val="0"/>
              <w:rPr>
                <w:rFonts w:cs="Times New Roman"/>
                <w:color w:val="000000"/>
                <w:sz w:val="20"/>
                <w:szCs w:val="20"/>
              </w:rPr>
            </w:pPr>
            <w:r w:rsidRPr="00432C28">
              <w:rPr>
                <w:rFonts w:cs="Times New Roman"/>
                <w:color w:val="000000"/>
                <w:sz w:val="20"/>
                <w:szCs w:val="20"/>
              </w:rPr>
              <w:t>.</w:t>
            </w:r>
          </w:p>
        </w:tc>
        <w:tc>
          <w:tcPr>
            <w:tcW w:w="2250" w:type="dxa"/>
            <w:tcBorders>
              <w:top w:val="single" w:sz="6" w:space="0" w:color="auto"/>
              <w:left w:val="single" w:sz="6" w:space="0" w:color="auto"/>
              <w:bottom w:val="single" w:sz="6" w:space="0" w:color="auto"/>
              <w:right w:val="single" w:sz="6" w:space="0" w:color="auto"/>
            </w:tcBorders>
          </w:tcPr>
          <w:p w:rsidR="005B4ACB" w:rsidRPr="00432C28" w:rsidRDefault="005B4ACB" w:rsidP="005B4ACB">
            <w:pPr>
              <w:autoSpaceDE w:val="0"/>
              <w:autoSpaceDN w:val="0"/>
              <w:adjustRightInd w:val="0"/>
              <w:rPr>
                <w:rFonts w:cs="Times New Roman"/>
                <w:color w:val="000000"/>
                <w:sz w:val="20"/>
                <w:szCs w:val="20"/>
              </w:rPr>
            </w:pPr>
            <w:r w:rsidRPr="00432C28">
              <w:rPr>
                <w:rFonts w:cs="Times New Roman"/>
                <w:color w:val="000000"/>
                <w:sz w:val="20"/>
                <w:szCs w:val="20"/>
              </w:rPr>
              <w:t>.</w:t>
            </w:r>
          </w:p>
        </w:tc>
      </w:tr>
      <w:tr w:rsidR="005B4ACB" w:rsidRPr="00432C28">
        <w:trPr>
          <w:trHeight w:val="763"/>
        </w:trPr>
        <w:tc>
          <w:tcPr>
            <w:tcW w:w="1650" w:type="dxa"/>
            <w:tcBorders>
              <w:top w:val="single" w:sz="6" w:space="0" w:color="auto"/>
              <w:left w:val="single" w:sz="6" w:space="0" w:color="auto"/>
              <w:bottom w:val="single" w:sz="6" w:space="0" w:color="auto"/>
              <w:right w:val="single" w:sz="6" w:space="0" w:color="auto"/>
            </w:tcBorders>
          </w:tcPr>
          <w:p w:rsidR="005B4ACB" w:rsidRPr="00432C28" w:rsidRDefault="005B4ACB" w:rsidP="005B4ACB">
            <w:pPr>
              <w:autoSpaceDE w:val="0"/>
              <w:autoSpaceDN w:val="0"/>
              <w:adjustRightInd w:val="0"/>
              <w:rPr>
                <w:rFonts w:cs="Times New Roman"/>
                <w:color w:val="000000"/>
                <w:sz w:val="20"/>
                <w:szCs w:val="20"/>
              </w:rPr>
            </w:pPr>
            <w:r w:rsidRPr="00432C28">
              <w:rPr>
                <w:rFonts w:cs="Times New Roman"/>
                <w:color w:val="000000"/>
                <w:sz w:val="20"/>
                <w:szCs w:val="20"/>
              </w:rPr>
              <w:t>Discount rate (real or nominal, pre-tax or post-tax, etc.)</w:t>
            </w:r>
          </w:p>
        </w:tc>
        <w:tc>
          <w:tcPr>
            <w:tcW w:w="2700" w:type="dxa"/>
            <w:tcBorders>
              <w:top w:val="single" w:sz="6" w:space="0" w:color="auto"/>
              <w:left w:val="single" w:sz="6" w:space="0" w:color="auto"/>
              <w:bottom w:val="single" w:sz="6" w:space="0" w:color="auto"/>
              <w:right w:val="single" w:sz="6" w:space="0" w:color="auto"/>
            </w:tcBorders>
          </w:tcPr>
          <w:p w:rsidR="005B4ACB" w:rsidRPr="00432C28" w:rsidRDefault="005B4ACB" w:rsidP="005B4ACB">
            <w:pPr>
              <w:autoSpaceDE w:val="0"/>
              <w:autoSpaceDN w:val="0"/>
              <w:adjustRightInd w:val="0"/>
              <w:rPr>
                <w:rFonts w:cs="Times New Roman"/>
                <w:color w:val="000000"/>
                <w:sz w:val="20"/>
                <w:szCs w:val="20"/>
              </w:rPr>
            </w:pPr>
            <w:r w:rsidRPr="00432C28">
              <w:rPr>
                <w:rFonts w:cs="Times New Roman"/>
                <w:color w:val="000000"/>
                <w:sz w:val="20"/>
                <w:szCs w:val="20"/>
              </w:rPr>
              <w:t xml:space="preserve">Yes.  Real after tax cost of capital. Rates vary for different types of utilities and consumers and debt versus equity.   </w:t>
            </w:r>
          </w:p>
        </w:tc>
        <w:tc>
          <w:tcPr>
            <w:tcW w:w="2880" w:type="dxa"/>
            <w:tcBorders>
              <w:top w:val="single" w:sz="6" w:space="0" w:color="auto"/>
              <w:left w:val="single" w:sz="6" w:space="0" w:color="auto"/>
              <w:bottom w:val="single" w:sz="6" w:space="0" w:color="auto"/>
              <w:right w:val="single" w:sz="6" w:space="0" w:color="auto"/>
            </w:tcBorders>
          </w:tcPr>
          <w:p w:rsidR="005B4ACB" w:rsidRPr="00432C28" w:rsidRDefault="005B4ACB" w:rsidP="000E4631">
            <w:pPr>
              <w:autoSpaceDE w:val="0"/>
              <w:autoSpaceDN w:val="0"/>
              <w:adjustRightInd w:val="0"/>
              <w:rPr>
                <w:rFonts w:cs="Times New Roman"/>
                <w:color w:val="000000"/>
                <w:sz w:val="20"/>
                <w:szCs w:val="20"/>
              </w:rPr>
            </w:pPr>
            <w:r w:rsidRPr="00432C28">
              <w:rPr>
                <w:rFonts w:cs="Times New Roman"/>
                <w:color w:val="000000"/>
                <w:sz w:val="20"/>
                <w:szCs w:val="20"/>
              </w:rPr>
              <w:t xml:space="preserve">Yes. IRP uses a weighted average cost of capital (currently </w:t>
            </w:r>
            <w:r w:rsidR="000E4631">
              <w:rPr>
                <w:rFonts w:cs="Times New Roman"/>
                <w:color w:val="000000"/>
                <w:sz w:val="20"/>
                <w:szCs w:val="20"/>
              </w:rPr>
              <w:t>6.882</w:t>
            </w:r>
            <w:r w:rsidRPr="00432C28">
              <w:rPr>
                <w:rFonts w:cs="Times New Roman"/>
                <w:color w:val="000000"/>
                <w:sz w:val="20"/>
                <w:szCs w:val="20"/>
              </w:rPr>
              <w:t>%).</w:t>
            </w:r>
          </w:p>
        </w:tc>
        <w:tc>
          <w:tcPr>
            <w:tcW w:w="2250" w:type="dxa"/>
            <w:tcBorders>
              <w:top w:val="single" w:sz="6" w:space="0" w:color="auto"/>
              <w:left w:val="single" w:sz="6" w:space="0" w:color="auto"/>
              <w:bottom w:val="single" w:sz="6" w:space="0" w:color="auto"/>
              <w:right w:val="single" w:sz="6" w:space="0" w:color="auto"/>
            </w:tcBorders>
          </w:tcPr>
          <w:p w:rsidR="005B4ACB" w:rsidRPr="00432C28" w:rsidRDefault="005B4ACB" w:rsidP="005B4ACB">
            <w:pPr>
              <w:autoSpaceDE w:val="0"/>
              <w:autoSpaceDN w:val="0"/>
              <w:adjustRightInd w:val="0"/>
              <w:rPr>
                <w:rFonts w:cs="Times New Roman"/>
                <w:color w:val="000000"/>
                <w:sz w:val="20"/>
                <w:szCs w:val="20"/>
              </w:rPr>
            </w:pPr>
            <w:r w:rsidRPr="00432C28">
              <w:rPr>
                <w:rFonts w:cs="Times New Roman"/>
                <w:color w:val="000000"/>
                <w:sz w:val="20"/>
                <w:szCs w:val="20"/>
              </w:rPr>
              <w:t>See Avoided Cost matrix.</w:t>
            </w:r>
          </w:p>
        </w:tc>
      </w:tr>
      <w:tr w:rsidR="005B4ACB" w:rsidRPr="00432C28">
        <w:trPr>
          <w:trHeight w:val="293"/>
        </w:trPr>
        <w:tc>
          <w:tcPr>
            <w:tcW w:w="1650" w:type="dxa"/>
            <w:tcBorders>
              <w:top w:val="single" w:sz="6" w:space="0" w:color="auto"/>
              <w:left w:val="single" w:sz="6" w:space="0" w:color="auto"/>
              <w:bottom w:val="single" w:sz="6" w:space="0" w:color="auto"/>
              <w:right w:val="single" w:sz="6" w:space="0" w:color="auto"/>
            </w:tcBorders>
          </w:tcPr>
          <w:p w:rsidR="005B4ACB" w:rsidRPr="00432C28" w:rsidRDefault="005B4ACB" w:rsidP="005B4ACB">
            <w:pPr>
              <w:autoSpaceDE w:val="0"/>
              <w:autoSpaceDN w:val="0"/>
              <w:adjustRightInd w:val="0"/>
              <w:rPr>
                <w:rFonts w:cs="Times New Roman"/>
                <w:color w:val="000000"/>
                <w:sz w:val="20"/>
                <w:szCs w:val="20"/>
              </w:rPr>
            </w:pPr>
            <w:r w:rsidRPr="00432C28">
              <w:rPr>
                <w:rFonts w:cs="Times New Roman"/>
                <w:color w:val="000000"/>
                <w:sz w:val="20"/>
                <w:szCs w:val="20"/>
              </w:rPr>
              <w:t>Time frame (program/measure life, other term)</w:t>
            </w:r>
          </w:p>
        </w:tc>
        <w:tc>
          <w:tcPr>
            <w:tcW w:w="2700" w:type="dxa"/>
            <w:tcBorders>
              <w:top w:val="single" w:sz="6" w:space="0" w:color="auto"/>
              <w:left w:val="single" w:sz="6" w:space="0" w:color="auto"/>
              <w:bottom w:val="single" w:sz="6" w:space="0" w:color="auto"/>
              <w:right w:val="single" w:sz="6" w:space="0" w:color="auto"/>
            </w:tcBorders>
          </w:tcPr>
          <w:p w:rsidR="005B4ACB" w:rsidRPr="00432C28" w:rsidRDefault="005B4ACB" w:rsidP="005B4ACB">
            <w:pPr>
              <w:autoSpaceDE w:val="0"/>
              <w:autoSpaceDN w:val="0"/>
              <w:adjustRightInd w:val="0"/>
              <w:rPr>
                <w:rFonts w:cs="Times New Roman"/>
                <w:color w:val="000000"/>
                <w:sz w:val="20"/>
                <w:szCs w:val="20"/>
              </w:rPr>
            </w:pPr>
            <w:r w:rsidRPr="00432C28">
              <w:rPr>
                <w:rFonts w:cs="Times New Roman"/>
                <w:color w:val="000000"/>
                <w:sz w:val="20"/>
                <w:szCs w:val="20"/>
              </w:rPr>
              <w:t>Over 20 years of the plan</w:t>
            </w:r>
          </w:p>
        </w:tc>
        <w:tc>
          <w:tcPr>
            <w:tcW w:w="2880" w:type="dxa"/>
            <w:tcBorders>
              <w:top w:val="single" w:sz="6" w:space="0" w:color="auto"/>
              <w:left w:val="single" w:sz="6" w:space="0" w:color="auto"/>
              <w:bottom w:val="single" w:sz="6" w:space="0" w:color="auto"/>
              <w:right w:val="single" w:sz="6" w:space="0" w:color="auto"/>
            </w:tcBorders>
          </w:tcPr>
          <w:p w:rsidR="005B4ACB" w:rsidRPr="00432C28" w:rsidRDefault="005B4ACB" w:rsidP="005B4ACB">
            <w:pPr>
              <w:autoSpaceDE w:val="0"/>
              <w:autoSpaceDN w:val="0"/>
              <w:adjustRightInd w:val="0"/>
              <w:rPr>
                <w:rFonts w:cs="Times New Roman"/>
                <w:color w:val="000000"/>
                <w:sz w:val="20"/>
                <w:szCs w:val="20"/>
              </w:rPr>
            </w:pPr>
            <w:r w:rsidRPr="00432C28">
              <w:rPr>
                <w:rFonts w:cs="Times New Roman"/>
                <w:color w:val="000000"/>
                <w:sz w:val="20"/>
                <w:szCs w:val="20"/>
              </w:rPr>
              <w:t xml:space="preserve">Over 20 years of the plan. </w:t>
            </w:r>
          </w:p>
        </w:tc>
        <w:tc>
          <w:tcPr>
            <w:tcW w:w="2250" w:type="dxa"/>
            <w:tcBorders>
              <w:top w:val="single" w:sz="6" w:space="0" w:color="auto"/>
              <w:left w:val="single" w:sz="6" w:space="0" w:color="auto"/>
              <w:bottom w:val="single" w:sz="6" w:space="0" w:color="auto"/>
              <w:right w:val="single" w:sz="6" w:space="0" w:color="auto"/>
            </w:tcBorders>
          </w:tcPr>
          <w:p w:rsidR="005B4ACB" w:rsidRPr="00432C28" w:rsidRDefault="005B4ACB" w:rsidP="005B4ACB">
            <w:pPr>
              <w:autoSpaceDE w:val="0"/>
              <w:autoSpaceDN w:val="0"/>
              <w:adjustRightInd w:val="0"/>
              <w:rPr>
                <w:rFonts w:cs="Times New Roman"/>
                <w:color w:val="000000"/>
                <w:sz w:val="20"/>
                <w:szCs w:val="20"/>
              </w:rPr>
            </w:pPr>
            <w:r w:rsidRPr="00432C28">
              <w:rPr>
                <w:rFonts w:cs="Times New Roman"/>
                <w:color w:val="000000"/>
                <w:sz w:val="20"/>
                <w:szCs w:val="20"/>
              </w:rPr>
              <w:t>See Avoided Cost matrix.</w:t>
            </w:r>
          </w:p>
        </w:tc>
      </w:tr>
      <w:tr w:rsidR="005B4ACB" w:rsidRPr="00432C28">
        <w:trPr>
          <w:trHeight w:val="146"/>
        </w:trPr>
        <w:tc>
          <w:tcPr>
            <w:tcW w:w="1650" w:type="dxa"/>
            <w:tcBorders>
              <w:top w:val="single" w:sz="6" w:space="0" w:color="auto"/>
              <w:left w:val="single" w:sz="6" w:space="0" w:color="auto"/>
              <w:bottom w:val="single" w:sz="6" w:space="0" w:color="auto"/>
              <w:right w:val="single" w:sz="6" w:space="0" w:color="auto"/>
            </w:tcBorders>
          </w:tcPr>
          <w:p w:rsidR="005B4ACB" w:rsidRPr="00432C28" w:rsidRDefault="005B4ACB" w:rsidP="005B4ACB">
            <w:pPr>
              <w:autoSpaceDE w:val="0"/>
              <w:autoSpaceDN w:val="0"/>
              <w:adjustRightInd w:val="0"/>
              <w:jc w:val="right"/>
              <w:rPr>
                <w:rFonts w:cs="Times New Roman"/>
                <w:color w:val="000000"/>
                <w:sz w:val="20"/>
                <w:szCs w:val="20"/>
              </w:rPr>
            </w:pPr>
          </w:p>
        </w:tc>
        <w:tc>
          <w:tcPr>
            <w:tcW w:w="2700" w:type="dxa"/>
            <w:tcBorders>
              <w:top w:val="single" w:sz="6" w:space="0" w:color="auto"/>
              <w:left w:val="single" w:sz="6" w:space="0" w:color="auto"/>
              <w:bottom w:val="single" w:sz="6" w:space="0" w:color="auto"/>
              <w:right w:val="single" w:sz="6" w:space="0" w:color="auto"/>
            </w:tcBorders>
          </w:tcPr>
          <w:p w:rsidR="005B4ACB" w:rsidRPr="00432C28" w:rsidRDefault="005B4ACB" w:rsidP="005B4ACB">
            <w:pPr>
              <w:autoSpaceDE w:val="0"/>
              <w:autoSpaceDN w:val="0"/>
              <w:adjustRightInd w:val="0"/>
              <w:jc w:val="right"/>
              <w:rPr>
                <w:rFonts w:cs="Times New Roman"/>
                <w:color w:val="000000"/>
                <w:sz w:val="20"/>
                <w:szCs w:val="20"/>
              </w:rPr>
            </w:pPr>
          </w:p>
        </w:tc>
        <w:tc>
          <w:tcPr>
            <w:tcW w:w="2880" w:type="dxa"/>
            <w:tcBorders>
              <w:top w:val="single" w:sz="6" w:space="0" w:color="auto"/>
              <w:left w:val="single" w:sz="6" w:space="0" w:color="auto"/>
              <w:bottom w:val="single" w:sz="6" w:space="0" w:color="auto"/>
              <w:right w:val="single" w:sz="6" w:space="0" w:color="auto"/>
            </w:tcBorders>
          </w:tcPr>
          <w:p w:rsidR="005B4ACB" w:rsidRPr="00432C28" w:rsidRDefault="005B4ACB" w:rsidP="005B4ACB">
            <w:pPr>
              <w:autoSpaceDE w:val="0"/>
              <w:autoSpaceDN w:val="0"/>
              <w:adjustRightInd w:val="0"/>
              <w:jc w:val="right"/>
              <w:rPr>
                <w:rFonts w:cs="Times New Roman"/>
                <w:color w:val="000000"/>
                <w:sz w:val="20"/>
                <w:szCs w:val="20"/>
              </w:rPr>
            </w:pPr>
          </w:p>
        </w:tc>
        <w:tc>
          <w:tcPr>
            <w:tcW w:w="2250" w:type="dxa"/>
            <w:tcBorders>
              <w:top w:val="single" w:sz="6" w:space="0" w:color="auto"/>
              <w:left w:val="single" w:sz="6" w:space="0" w:color="auto"/>
              <w:bottom w:val="single" w:sz="6" w:space="0" w:color="auto"/>
              <w:right w:val="single" w:sz="6" w:space="0" w:color="auto"/>
            </w:tcBorders>
          </w:tcPr>
          <w:p w:rsidR="005B4ACB" w:rsidRPr="00432C28" w:rsidRDefault="005B4ACB" w:rsidP="005B4ACB">
            <w:pPr>
              <w:autoSpaceDE w:val="0"/>
              <w:autoSpaceDN w:val="0"/>
              <w:adjustRightInd w:val="0"/>
              <w:jc w:val="right"/>
              <w:rPr>
                <w:rFonts w:cs="Times New Roman"/>
                <w:color w:val="000000"/>
                <w:sz w:val="20"/>
                <w:szCs w:val="20"/>
              </w:rPr>
            </w:pPr>
          </w:p>
        </w:tc>
      </w:tr>
      <w:tr w:rsidR="005B4ACB" w:rsidRPr="00432C28">
        <w:trPr>
          <w:trHeight w:val="146"/>
        </w:trPr>
        <w:tc>
          <w:tcPr>
            <w:tcW w:w="1650" w:type="dxa"/>
            <w:tcBorders>
              <w:top w:val="single" w:sz="6" w:space="0" w:color="auto"/>
              <w:left w:val="single" w:sz="6" w:space="0" w:color="auto"/>
              <w:bottom w:val="single" w:sz="6" w:space="0" w:color="auto"/>
              <w:right w:val="single" w:sz="6" w:space="0" w:color="auto"/>
            </w:tcBorders>
          </w:tcPr>
          <w:p w:rsidR="005B4ACB" w:rsidRPr="00432C28" w:rsidRDefault="005B4ACB" w:rsidP="005B4ACB">
            <w:pPr>
              <w:autoSpaceDE w:val="0"/>
              <w:autoSpaceDN w:val="0"/>
              <w:adjustRightInd w:val="0"/>
              <w:rPr>
                <w:rFonts w:cs="Times New Roman"/>
                <w:b/>
                <w:bCs/>
                <w:color w:val="000000"/>
                <w:sz w:val="20"/>
                <w:szCs w:val="20"/>
              </w:rPr>
            </w:pPr>
            <w:r w:rsidRPr="00432C28">
              <w:rPr>
                <w:rFonts w:cs="Times New Roman"/>
                <w:b/>
                <w:bCs/>
                <w:color w:val="000000"/>
                <w:sz w:val="20"/>
                <w:szCs w:val="20"/>
              </w:rPr>
              <w:t>Results Presented</w:t>
            </w:r>
          </w:p>
        </w:tc>
        <w:tc>
          <w:tcPr>
            <w:tcW w:w="2700" w:type="dxa"/>
            <w:tcBorders>
              <w:top w:val="single" w:sz="6" w:space="0" w:color="auto"/>
              <w:left w:val="single" w:sz="6" w:space="0" w:color="auto"/>
              <w:bottom w:val="single" w:sz="6" w:space="0" w:color="auto"/>
              <w:right w:val="single" w:sz="6" w:space="0" w:color="auto"/>
            </w:tcBorders>
          </w:tcPr>
          <w:p w:rsidR="005B4ACB" w:rsidRPr="00432C28" w:rsidRDefault="005B4ACB" w:rsidP="005B4ACB">
            <w:pPr>
              <w:autoSpaceDE w:val="0"/>
              <w:autoSpaceDN w:val="0"/>
              <w:adjustRightInd w:val="0"/>
              <w:jc w:val="right"/>
              <w:rPr>
                <w:rFonts w:cs="Times New Roman"/>
                <w:color w:val="000000"/>
                <w:sz w:val="20"/>
                <w:szCs w:val="20"/>
              </w:rPr>
            </w:pPr>
          </w:p>
        </w:tc>
        <w:tc>
          <w:tcPr>
            <w:tcW w:w="2880" w:type="dxa"/>
            <w:tcBorders>
              <w:top w:val="single" w:sz="6" w:space="0" w:color="auto"/>
              <w:left w:val="single" w:sz="6" w:space="0" w:color="auto"/>
              <w:bottom w:val="single" w:sz="6" w:space="0" w:color="auto"/>
              <w:right w:val="single" w:sz="6" w:space="0" w:color="auto"/>
            </w:tcBorders>
          </w:tcPr>
          <w:p w:rsidR="005B4ACB" w:rsidRPr="00432C28" w:rsidRDefault="005B4ACB" w:rsidP="005B4ACB">
            <w:pPr>
              <w:autoSpaceDE w:val="0"/>
              <w:autoSpaceDN w:val="0"/>
              <w:adjustRightInd w:val="0"/>
              <w:jc w:val="right"/>
              <w:rPr>
                <w:rFonts w:cs="Times New Roman"/>
                <w:color w:val="000000"/>
                <w:sz w:val="20"/>
                <w:szCs w:val="20"/>
              </w:rPr>
            </w:pPr>
          </w:p>
        </w:tc>
        <w:tc>
          <w:tcPr>
            <w:tcW w:w="2250" w:type="dxa"/>
            <w:tcBorders>
              <w:top w:val="single" w:sz="6" w:space="0" w:color="auto"/>
              <w:left w:val="single" w:sz="6" w:space="0" w:color="auto"/>
              <w:bottom w:val="single" w:sz="6" w:space="0" w:color="auto"/>
              <w:right w:val="single" w:sz="6" w:space="0" w:color="auto"/>
            </w:tcBorders>
          </w:tcPr>
          <w:p w:rsidR="005B4ACB" w:rsidRPr="00432C28" w:rsidRDefault="005B4ACB" w:rsidP="005B4ACB">
            <w:pPr>
              <w:autoSpaceDE w:val="0"/>
              <w:autoSpaceDN w:val="0"/>
              <w:adjustRightInd w:val="0"/>
              <w:jc w:val="right"/>
              <w:rPr>
                <w:rFonts w:cs="Times New Roman"/>
                <w:color w:val="000000"/>
                <w:sz w:val="20"/>
                <w:szCs w:val="20"/>
              </w:rPr>
            </w:pPr>
          </w:p>
        </w:tc>
      </w:tr>
      <w:tr w:rsidR="005B4ACB" w:rsidRPr="00432C28">
        <w:trPr>
          <w:trHeight w:val="1313"/>
        </w:trPr>
        <w:tc>
          <w:tcPr>
            <w:tcW w:w="1650" w:type="dxa"/>
            <w:tcBorders>
              <w:top w:val="single" w:sz="6" w:space="0" w:color="auto"/>
              <w:left w:val="single" w:sz="6" w:space="0" w:color="auto"/>
              <w:bottom w:val="single" w:sz="6" w:space="0" w:color="auto"/>
              <w:right w:val="single" w:sz="6" w:space="0" w:color="auto"/>
            </w:tcBorders>
          </w:tcPr>
          <w:p w:rsidR="005B4ACB" w:rsidRPr="00432C28" w:rsidRDefault="005B4ACB" w:rsidP="005B4ACB">
            <w:pPr>
              <w:autoSpaceDE w:val="0"/>
              <w:autoSpaceDN w:val="0"/>
              <w:adjustRightInd w:val="0"/>
              <w:rPr>
                <w:rFonts w:cs="Times New Roman"/>
                <w:color w:val="000000"/>
                <w:sz w:val="20"/>
                <w:szCs w:val="20"/>
              </w:rPr>
            </w:pPr>
            <w:r w:rsidRPr="00432C28">
              <w:rPr>
                <w:rFonts w:cs="Times New Roman"/>
                <w:color w:val="000000"/>
                <w:sz w:val="20"/>
                <w:szCs w:val="20"/>
              </w:rPr>
              <w:t>B/C Ratio</w:t>
            </w:r>
          </w:p>
        </w:tc>
        <w:tc>
          <w:tcPr>
            <w:tcW w:w="2700" w:type="dxa"/>
            <w:tcBorders>
              <w:top w:val="single" w:sz="6" w:space="0" w:color="auto"/>
              <w:left w:val="single" w:sz="6" w:space="0" w:color="auto"/>
              <w:bottom w:val="single" w:sz="6" w:space="0" w:color="auto"/>
              <w:right w:val="single" w:sz="6" w:space="0" w:color="auto"/>
            </w:tcBorders>
          </w:tcPr>
          <w:p w:rsidR="005B4ACB" w:rsidRPr="00432C28" w:rsidRDefault="005B4ACB" w:rsidP="005B4ACB">
            <w:pPr>
              <w:autoSpaceDE w:val="0"/>
              <w:autoSpaceDN w:val="0"/>
              <w:adjustRightInd w:val="0"/>
              <w:rPr>
                <w:rFonts w:cs="Times New Roman"/>
                <w:color w:val="000000"/>
                <w:sz w:val="20"/>
                <w:szCs w:val="20"/>
              </w:rPr>
            </w:pPr>
            <w:r w:rsidRPr="00432C28">
              <w:rPr>
                <w:rFonts w:cs="Times New Roman"/>
                <w:color w:val="000000"/>
                <w:sz w:val="20"/>
                <w:szCs w:val="20"/>
              </w:rPr>
              <w:t>Yes, present value benefit cost ratio for measure screening</w:t>
            </w:r>
          </w:p>
        </w:tc>
        <w:tc>
          <w:tcPr>
            <w:tcW w:w="2880" w:type="dxa"/>
            <w:tcBorders>
              <w:top w:val="single" w:sz="6" w:space="0" w:color="auto"/>
              <w:left w:val="single" w:sz="6" w:space="0" w:color="auto"/>
              <w:bottom w:val="single" w:sz="6" w:space="0" w:color="auto"/>
              <w:right w:val="single" w:sz="6" w:space="0" w:color="auto"/>
            </w:tcBorders>
          </w:tcPr>
          <w:p w:rsidR="005B4ACB" w:rsidRPr="00432C28" w:rsidRDefault="005B4ACB" w:rsidP="005B4ACB">
            <w:pPr>
              <w:autoSpaceDE w:val="0"/>
              <w:autoSpaceDN w:val="0"/>
              <w:adjustRightInd w:val="0"/>
              <w:rPr>
                <w:rFonts w:cs="Times New Roman"/>
                <w:color w:val="000000"/>
                <w:sz w:val="20"/>
                <w:szCs w:val="20"/>
              </w:rPr>
            </w:pPr>
            <w:r w:rsidRPr="00432C28">
              <w:rPr>
                <w:rFonts w:cs="Times New Roman"/>
                <w:color w:val="000000"/>
                <w:sz w:val="20"/>
                <w:szCs w:val="20"/>
              </w:rPr>
              <w:t>Yes</w:t>
            </w:r>
          </w:p>
        </w:tc>
        <w:tc>
          <w:tcPr>
            <w:tcW w:w="2250" w:type="dxa"/>
            <w:tcBorders>
              <w:top w:val="single" w:sz="6" w:space="0" w:color="auto"/>
              <w:left w:val="single" w:sz="6" w:space="0" w:color="auto"/>
              <w:bottom w:val="single" w:sz="6" w:space="0" w:color="auto"/>
              <w:right w:val="single" w:sz="6" w:space="0" w:color="auto"/>
            </w:tcBorders>
          </w:tcPr>
          <w:p w:rsidR="005B4ACB" w:rsidRPr="00432C28" w:rsidRDefault="005B4ACB" w:rsidP="005B4ACB">
            <w:pPr>
              <w:autoSpaceDE w:val="0"/>
              <w:autoSpaceDN w:val="0"/>
              <w:adjustRightInd w:val="0"/>
              <w:rPr>
                <w:rFonts w:cs="Times New Roman"/>
                <w:color w:val="000000"/>
                <w:sz w:val="20"/>
                <w:szCs w:val="20"/>
              </w:rPr>
            </w:pPr>
            <w:r w:rsidRPr="00432C28">
              <w:rPr>
                <w:rFonts w:cs="Times New Roman"/>
                <w:color w:val="000000"/>
                <w:sz w:val="20"/>
                <w:szCs w:val="20"/>
              </w:rPr>
              <w:t xml:space="preserve">All utilities, as well as the Council, calculate B/C ratios.  </w:t>
            </w:r>
          </w:p>
          <w:p w:rsidR="005B4ACB" w:rsidRPr="00432C28" w:rsidRDefault="005B4ACB" w:rsidP="005B4ACB">
            <w:pPr>
              <w:autoSpaceDE w:val="0"/>
              <w:autoSpaceDN w:val="0"/>
              <w:adjustRightInd w:val="0"/>
              <w:rPr>
                <w:rFonts w:cs="Times New Roman"/>
                <w:color w:val="000000"/>
                <w:sz w:val="20"/>
                <w:szCs w:val="20"/>
              </w:rPr>
            </w:pPr>
          </w:p>
          <w:p w:rsidR="005B4ACB" w:rsidRPr="00432C28" w:rsidRDefault="005B4ACB" w:rsidP="005B4ACB">
            <w:pPr>
              <w:autoSpaceDE w:val="0"/>
              <w:autoSpaceDN w:val="0"/>
              <w:adjustRightInd w:val="0"/>
              <w:rPr>
                <w:rFonts w:cs="Times New Roman"/>
                <w:color w:val="000000"/>
                <w:sz w:val="20"/>
                <w:szCs w:val="20"/>
              </w:rPr>
            </w:pPr>
            <w:r w:rsidRPr="00432C28">
              <w:rPr>
                <w:rFonts w:cs="Times New Roman"/>
                <w:color w:val="000000"/>
                <w:sz w:val="20"/>
                <w:szCs w:val="20"/>
              </w:rPr>
              <w:t xml:space="preserve">PSE does not calculate a B/C ratio in its IRP portfolio analysis, because it is comparing total portfolio costs.  </w:t>
            </w:r>
          </w:p>
        </w:tc>
      </w:tr>
      <w:tr w:rsidR="005B4ACB" w:rsidRPr="00432C28">
        <w:trPr>
          <w:trHeight w:val="437"/>
        </w:trPr>
        <w:tc>
          <w:tcPr>
            <w:tcW w:w="1650" w:type="dxa"/>
            <w:tcBorders>
              <w:top w:val="single" w:sz="6" w:space="0" w:color="auto"/>
              <w:left w:val="single" w:sz="6" w:space="0" w:color="auto"/>
              <w:bottom w:val="single" w:sz="6" w:space="0" w:color="auto"/>
              <w:right w:val="single" w:sz="6" w:space="0" w:color="auto"/>
            </w:tcBorders>
          </w:tcPr>
          <w:p w:rsidR="005B4ACB" w:rsidRPr="00432C28" w:rsidRDefault="005B4ACB" w:rsidP="005B4ACB">
            <w:pPr>
              <w:autoSpaceDE w:val="0"/>
              <w:autoSpaceDN w:val="0"/>
              <w:adjustRightInd w:val="0"/>
              <w:rPr>
                <w:rFonts w:cs="Times New Roman"/>
                <w:color w:val="000000"/>
                <w:sz w:val="20"/>
                <w:szCs w:val="20"/>
              </w:rPr>
            </w:pPr>
            <w:r w:rsidRPr="00432C28">
              <w:rPr>
                <w:rFonts w:cs="Times New Roman"/>
                <w:color w:val="000000"/>
                <w:sz w:val="20"/>
                <w:szCs w:val="20"/>
              </w:rPr>
              <w:t>Levelized values</w:t>
            </w:r>
          </w:p>
        </w:tc>
        <w:tc>
          <w:tcPr>
            <w:tcW w:w="2700" w:type="dxa"/>
            <w:tcBorders>
              <w:top w:val="single" w:sz="6" w:space="0" w:color="auto"/>
              <w:left w:val="single" w:sz="6" w:space="0" w:color="auto"/>
              <w:bottom w:val="single" w:sz="6" w:space="0" w:color="auto"/>
              <w:right w:val="single" w:sz="6" w:space="0" w:color="auto"/>
            </w:tcBorders>
          </w:tcPr>
          <w:p w:rsidR="005B4ACB" w:rsidRPr="00432C28" w:rsidRDefault="005B4ACB" w:rsidP="005B4ACB">
            <w:pPr>
              <w:autoSpaceDE w:val="0"/>
              <w:autoSpaceDN w:val="0"/>
              <w:adjustRightInd w:val="0"/>
              <w:rPr>
                <w:rFonts w:cs="Times New Roman"/>
                <w:color w:val="000000"/>
                <w:sz w:val="20"/>
                <w:szCs w:val="20"/>
              </w:rPr>
            </w:pPr>
            <w:r w:rsidRPr="00432C28">
              <w:rPr>
                <w:rFonts w:cs="Times New Roman"/>
                <w:color w:val="000000"/>
                <w:sz w:val="20"/>
                <w:szCs w:val="20"/>
              </w:rPr>
              <w:t>Yes, for portfolio analysis.</w:t>
            </w:r>
          </w:p>
        </w:tc>
        <w:tc>
          <w:tcPr>
            <w:tcW w:w="2880" w:type="dxa"/>
            <w:tcBorders>
              <w:top w:val="single" w:sz="6" w:space="0" w:color="auto"/>
              <w:left w:val="single" w:sz="6" w:space="0" w:color="auto"/>
              <w:bottom w:val="single" w:sz="6" w:space="0" w:color="auto"/>
              <w:right w:val="single" w:sz="6" w:space="0" w:color="auto"/>
            </w:tcBorders>
          </w:tcPr>
          <w:p w:rsidR="005B4ACB" w:rsidRPr="00432C28" w:rsidRDefault="005B4ACB" w:rsidP="005B4ACB">
            <w:pPr>
              <w:autoSpaceDE w:val="0"/>
              <w:autoSpaceDN w:val="0"/>
              <w:adjustRightInd w:val="0"/>
              <w:rPr>
                <w:rFonts w:cs="Times New Roman"/>
                <w:color w:val="000000"/>
                <w:sz w:val="20"/>
                <w:szCs w:val="20"/>
              </w:rPr>
            </w:pPr>
            <w:r w:rsidRPr="00432C28">
              <w:rPr>
                <w:rFonts w:cs="Times New Roman"/>
                <w:color w:val="000000"/>
                <w:sz w:val="20"/>
                <w:szCs w:val="20"/>
              </w:rPr>
              <w:t xml:space="preserve">Yes. Levelized costs expressed in $/kWh saved. </w:t>
            </w:r>
          </w:p>
        </w:tc>
        <w:tc>
          <w:tcPr>
            <w:tcW w:w="2250" w:type="dxa"/>
            <w:tcBorders>
              <w:top w:val="single" w:sz="6" w:space="0" w:color="auto"/>
              <w:left w:val="single" w:sz="6" w:space="0" w:color="auto"/>
              <w:bottom w:val="single" w:sz="6" w:space="0" w:color="auto"/>
              <w:right w:val="single" w:sz="6" w:space="0" w:color="auto"/>
            </w:tcBorders>
          </w:tcPr>
          <w:p w:rsidR="005B4ACB" w:rsidRPr="00432C28" w:rsidRDefault="005B4ACB" w:rsidP="005B4ACB">
            <w:pPr>
              <w:autoSpaceDE w:val="0"/>
              <w:autoSpaceDN w:val="0"/>
              <w:adjustRightInd w:val="0"/>
              <w:rPr>
                <w:rFonts w:cs="Times New Roman"/>
                <w:color w:val="000000"/>
                <w:sz w:val="20"/>
                <w:szCs w:val="20"/>
              </w:rPr>
            </w:pPr>
            <w:r w:rsidRPr="00432C28">
              <w:rPr>
                <w:rFonts w:cs="Times New Roman"/>
                <w:color w:val="000000"/>
                <w:sz w:val="20"/>
                <w:szCs w:val="20"/>
              </w:rPr>
              <w:t>Calculated by all parties.</w:t>
            </w:r>
          </w:p>
        </w:tc>
      </w:tr>
      <w:tr w:rsidR="005B4ACB" w:rsidRPr="00432C28">
        <w:trPr>
          <w:trHeight w:val="977"/>
        </w:trPr>
        <w:tc>
          <w:tcPr>
            <w:tcW w:w="1650" w:type="dxa"/>
            <w:tcBorders>
              <w:top w:val="single" w:sz="6" w:space="0" w:color="auto"/>
              <w:left w:val="single" w:sz="6" w:space="0" w:color="auto"/>
              <w:bottom w:val="single" w:sz="6" w:space="0" w:color="auto"/>
              <w:right w:val="single" w:sz="6" w:space="0" w:color="auto"/>
            </w:tcBorders>
          </w:tcPr>
          <w:p w:rsidR="005B4ACB" w:rsidRPr="00432C28" w:rsidRDefault="005B4ACB" w:rsidP="005B4ACB">
            <w:pPr>
              <w:autoSpaceDE w:val="0"/>
              <w:autoSpaceDN w:val="0"/>
              <w:adjustRightInd w:val="0"/>
              <w:rPr>
                <w:rFonts w:cs="Times New Roman"/>
                <w:color w:val="000000"/>
                <w:sz w:val="20"/>
                <w:szCs w:val="20"/>
              </w:rPr>
            </w:pPr>
            <w:r w:rsidRPr="00432C28">
              <w:rPr>
                <w:rFonts w:cs="Times New Roman"/>
                <w:color w:val="000000"/>
                <w:sz w:val="20"/>
                <w:szCs w:val="20"/>
              </w:rPr>
              <w:t>Total NPV values</w:t>
            </w:r>
          </w:p>
        </w:tc>
        <w:tc>
          <w:tcPr>
            <w:tcW w:w="2700" w:type="dxa"/>
            <w:tcBorders>
              <w:top w:val="single" w:sz="6" w:space="0" w:color="auto"/>
              <w:left w:val="single" w:sz="6" w:space="0" w:color="auto"/>
              <w:bottom w:val="single" w:sz="6" w:space="0" w:color="auto"/>
              <w:right w:val="single" w:sz="6" w:space="0" w:color="auto"/>
            </w:tcBorders>
          </w:tcPr>
          <w:p w:rsidR="005B4ACB" w:rsidRPr="00432C28" w:rsidRDefault="005B4ACB" w:rsidP="005B4ACB">
            <w:pPr>
              <w:autoSpaceDE w:val="0"/>
              <w:autoSpaceDN w:val="0"/>
              <w:adjustRightInd w:val="0"/>
              <w:rPr>
                <w:rFonts w:cs="Times New Roman"/>
                <w:color w:val="000000"/>
                <w:sz w:val="20"/>
                <w:szCs w:val="20"/>
              </w:rPr>
            </w:pPr>
            <w:r w:rsidRPr="00432C28">
              <w:rPr>
                <w:rFonts w:cs="Times New Roman"/>
                <w:color w:val="000000"/>
                <w:sz w:val="20"/>
                <w:szCs w:val="20"/>
              </w:rPr>
              <w:t>Yes, for parts of analysis and results presentation.  Levelized and NPV are functionally equivalent.</w:t>
            </w:r>
          </w:p>
        </w:tc>
        <w:tc>
          <w:tcPr>
            <w:tcW w:w="2880" w:type="dxa"/>
            <w:tcBorders>
              <w:top w:val="single" w:sz="6" w:space="0" w:color="auto"/>
              <w:left w:val="single" w:sz="6" w:space="0" w:color="auto"/>
              <w:bottom w:val="single" w:sz="6" w:space="0" w:color="auto"/>
              <w:right w:val="single" w:sz="6" w:space="0" w:color="auto"/>
            </w:tcBorders>
          </w:tcPr>
          <w:p w:rsidR="005B4ACB" w:rsidRPr="00432C28" w:rsidRDefault="005B4ACB" w:rsidP="005B4ACB">
            <w:pPr>
              <w:autoSpaceDE w:val="0"/>
              <w:autoSpaceDN w:val="0"/>
              <w:adjustRightInd w:val="0"/>
              <w:rPr>
                <w:rFonts w:cs="Times New Roman"/>
                <w:color w:val="000000"/>
                <w:sz w:val="20"/>
                <w:szCs w:val="20"/>
              </w:rPr>
            </w:pPr>
            <w:r w:rsidRPr="00432C28">
              <w:rPr>
                <w:rFonts w:cs="Times New Roman"/>
                <w:color w:val="000000"/>
                <w:sz w:val="20"/>
                <w:szCs w:val="20"/>
              </w:rPr>
              <w:t xml:space="preserve">Yes. Calculate NPV of costs and benefits. </w:t>
            </w:r>
          </w:p>
        </w:tc>
        <w:tc>
          <w:tcPr>
            <w:tcW w:w="2250" w:type="dxa"/>
            <w:tcBorders>
              <w:top w:val="single" w:sz="6" w:space="0" w:color="auto"/>
              <w:left w:val="single" w:sz="6" w:space="0" w:color="auto"/>
              <w:bottom w:val="single" w:sz="6" w:space="0" w:color="auto"/>
              <w:right w:val="single" w:sz="6" w:space="0" w:color="auto"/>
            </w:tcBorders>
          </w:tcPr>
          <w:p w:rsidR="005B4ACB" w:rsidRPr="00432C28" w:rsidRDefault="005B4ACB" w:rsidP="005B4ACB">
            <w:pPr>
              <w:autoSpaceDE w:val="0"/>
              <w:autoSpaceDN w:val="0"/>
              <w:adjustRightInd w:val="0"/>
              <w:rPr>
                <w:rFonts w:cs="Times New Roman"/>
                <w:color w:val="000000"/>
                <w:sz w:val="20"/>
                <w:szCs w:val="20"/>
              </w:rPr>
            </w:pPr>
            <w:r w:rsidRPr="00432C28">
              <w:rPr>
                <w:rFonts w:cs="Times New Roman"/>
                <w:color w:val="000000"/>
                <w:sz w:val="20"/>
                <w:szCs w:val="20"/>
              </w:rPr>
              <w:t>Calculated by all parties.</w:t>
            </w:r>
          </w:p>
          <w:p w:rsidR="005B4ACB" w:rsidRPr="00432C28" w:rsidRDefault="005B4ACB" w:rsidP="005B4ACB">
            <w:pPr>
              <w:autoSpaceDE w:val="0"/>
              <w:autoSpaceDN w:val="0"/>
              <w:adjustRightInd w:val="0"/>
              <w:rPr>
                <w:rFonts w:cs="Times New Roman"/>
                <w:color w:val="000000"/>
                <w:sz w:val="20"/>
                <w:szCs w:val="20"/>
              </w:rPr>
            </w:pPr>
          </w:p>
          <w:p w:rsidR="005B4ACB" w:rsidRPr="00432C28" w:rsidRDefault="005B4ACB" w:rsidP="005B4ACB">
            <w:pPr>
              <w:autoSpaceDE w:val="0"/>
              <w:autoSpaceDN w:val="0"/>
              <w:adjustRightInd w:val="0"/>
              <w:rPr>
                <w:rFonts w:cs="Times New Roman"/>
                <w:color w:val="000000"/>
                <w:sz w:val="20"/>
                <w:szCs w:val="20"/>
              </w:rPr>
            </w:pPr>
            <w:r w:rsidRPr="00432C28">
              <w:rPr>
                <w:rFonts w:cs="Times New Roman"/>
                <w:color w:val="000000"/>
                <w:sz w:val="20"/>
                <w:szCs w:val="20"/>
              </w:rPr>
              <w:t>PSE calculates NPV values, but NPV is not generally reported for non-IRP program analyses.</w:t>
            </w:r>
          </w:p>
        </w:tc>
      </w:tr>
    </w:tbl>
    <w:p w:rsidR="00E05949" w:rsidRPr="00432C28" w:rsidRDefault="00E05949">
      <w:pPr>
        <w:jc w:val="left"/>
        <w:rPr>
          <w:rFonts w:cs="Times New Roman"/>
          <w:sz w:val="48"/>
          <w:szCs w:val="48"/>
        </w:rPr>
      </w:pPr>
      <w:r w:rsidRPr="00432C28">
        <w:rPr>
          <w:rFonts w:cs="Times New Roman"/>
          <w:sz w:val="48"/>
          <w:szCs w:val="48"/>
        </w:rPr>
        <w:br w:type="page"/>
      </w:r>
    </w:p>
    <w:p w:rsidR="00E05949" w:rsidRPr="00432C28" w:rsidRDefault="00E05949" w:rsidP="00694873">
      <w:pPr>
        <w:jc w:val="left"/>
        <w:rPr>
          <w:rFonts w:cs="Times New Roman"/>
          <w:sz w:val="48"/>
          <w:szCs w:val="48"/>
        </w:rPr>
        <w:sectPr w:rsidR="00E05949" w:rsidRPr="00432C28">
          <w:headerReference w:type="even" r:id="rId44"/>
          <w:headerReference w:type="default" r:id="rId45"/>
          <w:footerReference w:type="default" r:id="rId46"/>
          <w:headerReference w:type="first" r:id="rId47"/>
          <w:pgSz w:w="12240" w:h="15840"/>
          <w:pgMar w:top="1440" w:right="1440" w:bottom="1440" w:left="1440" w:header="720" w:footer="720" w:gutter="0"/>
          <w:pgNumType w:start="1"/>
          <w:cols w:space="720"/>
          <w:docGrid w:linePitch="360"/>
        </w:sectPr>
      </w:pPr>
    </w:p>
    <w:p w:rsidR="00381FF2" w:rsidRPr="00432C28" w:rsidRDefault="00381FF2" w:rsidP="00381FF2">
      <w:pPr>
        <w:jc w:val="center"/>
        <w:rPr>
          <w:rFonts w:cs="Times New Roman"/>
          <w:sz w:val="48"/>
          <w:szCs w:val="48"/>
        </w:rPr>
      </w:pPr>
      <w:r w:rsidRPr="00432C28">
        <w:rPr>
          <w:rFonts w:cs="Times New Roman"/>
          <w:sz w:val="48"/>
          <w:szCs w:val="48"/>
        </w:rPr>
        <w:t>Appendix 4</w:t>
      </w:r>
    </w:p>
    <w:p w:rsidR="00381FF2" w:rsidRPr="00432C28" w:rsidRDefault="00381FF2" w:rsidP="00381FF2">
      <w:pPr>
        <w:ind w:left="360"/>
        <w:jc w:val="center"/>
        <w:rPr>
          <w:rFonts w:cs="Times New Roman"/>
          <w:sz w:val="48"/>
          <w:szCs w:val="48"/>
        </w:rPr>
      </w:pPr>
      <w:r w:rsidRPr="00432C28">
        <w:rPr>
          <w:rFonts w:cs="Times New Roman"/>
          <w:sz w:val="48"/>
          <w:szCs w:val="48"/>
        </w:rPr>
        <w:t>Additional Detail – Forecast Adjustments</w:t>
      </w:r>
    </w:p>
    <w:p w:rsidR="00381FF2" w:rsidRPr="00432C28" w:rsidRDefault="00381FF2" w:rsidP="00381FF2">
      <w:pPr>
        <w:ind w:left="360"/>
        <w:jc w:val="center"/>
        <w:rPr>
          <w:rFonts w:cs="Times New Roman"/>
          <w:szCs w:val="24"/>
        </w:rPr>
      </w:pPr>
      <w:r w:rsidRPr="00432C28">
        <w:rPr>
          <w:rFonts w:cs="Times New Roman"/>
          <w:szCs w:val="24"/>
        </w:rPr>
        <w:t>Adjustments to 201</w:t>
      </w:r>
      <w:r w:rsidR="00535181">
        <w:rPr>
          <w:rFonts w:cs="Times New Roman"/>
          <w:szCs w:val="24"/>
        </w:rPr>
        <w:t>5</w:t>
      </w:r>
      <w:r w:rsidRPr="00432C28">
        <w:rPr>
          <w:rFonts w:cs="Times New Roman"/>
          <w:szCs w:val="24"/>
        </w:rPr>
        <w:t xml:space="preserve"> IRP Selections in the determination of PacifiCorp’s </w:t>
      </w:r>
    </w:p>
    <w:p w:rsidR="00381FF2" w:rsidRPr="00432C28" w:rsidRDefault="00381FF2" w:rsidP="00381FF2">
      <w:pPr>
        <w:ind w:left="360"/>
        <w:jc w:val="center"/>
        <w:rPr>
          <w:rFonts w:cs="Times New Roman"/>
          <w:szCs w:val="24"/>
        </w:rPr>
      </w:pPr>
      <w:r w:rsidRPr="00432C28">
        <w:rPr>
          <w:rFonts w:cs="Times New Roman"/>
          <w:szCs w:val="24"/>
        </w:rPr>
        <w:t>Ten-Year Conservation Forecast</w:t>
      </w:r>
    </w:p>
    <w:p w:rsidR="00381FF2" w:rsidRDefault="00381FF2" w:rsidP="00381FF2">
      <w:pPr>
        <w:rPr>
          <w:rFonts w:cs="Times New Roman"/>
          <w:szCs w:val="24"/>
          <w:u w:val="single"/>
        </w:rPr>
      </w:pPr>
    </w:p>
    <w:p w:rsidR="00B414C1" w:rsidRDefault="00B414C1" w:rsidP="00B414C1">
      <w:pPr>
        <w:rPr>
          <w:rFonts w:cs="Times New Roman"/>
          <w:szCs w:val="24"/>
        </w:rPr>
      </w:pPr>
      <w:r w:rsidRPr="002E6C6E">
        <w:rPr>
          <w:rFonts w:cs="Times New Roman"/>
          <w:szCs w:val="24"/>
        </w:rPr>
        <w:t xml:space="preserve">The general </w:t>
      </w:r>
      <w:r>
        <w:rPr>
          <w:rFonts w:cs="Times New Roman"/>
          <w:szCs w:val="24"/>
        </w:rPr>
        <w:t>methodology</w:t>
      </w:r>
      <w:r w:rsidRPr="002E6C6E">
        <w:rPr>
          <w:rFonts w:cs="Times New Roman"/>
          <w:szCs w:val="24"/>
        </w:rPr>
        <w:t xml:space="preserve"> for updating </w:t>
      </w:r>
      <w:r>
        <w:rPr>
          <w:rFonts w:cs="Times New Roman"/>
          <w:szCs w:val="24"/>
        </w:rPr>
        <w:t xml:space="preserve">2015 IRP energy efficiency selections for the 2016-2025 forecast period is summarized in the main body of this biennial conservation report. This process updated Unit Energy Savings (UES), cost, and/or measure life assumptions from PacifiCorp’s </w:t>
      </w:r>
      <w:r w:rsidRPr="00AD1E0F">
        <w:rPr>
          <w:rFonts w:cs="Times New Roman"/>
          <w:i/>
          <w:szCs w:val="24"/>
        </w:rPr>
        <w:t>Demand-Side Resource Potential Assessment For 2015-2034</w:t>
      </w:r>
      <w:r w:rsidRPr="00432C28">
        <w:rPr>
          <w:rFonts w:cs="Times New Roman"/>
          <w:szCs w:val="24"/>
        </w:rPr>
        <w:t xml:space="preserve"> (</w:t>
      </w:r>
      <w:r>
        <w:rPr>
          <w:rFonts w:cs="Times New Roman"/>
          <w:szCs w:val="24"/>
        </w:rPr>
        <w:t>“</w:t>
      </w:r>
      <w:r w:rsidRPr="00432C28">
        <w:rPr>
          <w:rFonts w:cs="Times New Roman"/>
          <w:szCs w:val="24"/>
        </w:rPr>
        <w:t>Conservation Potential Assessment</w:t>
      </w:r>
      <w:r>
        <w:rPr>
          <w:rFonts w:cs="Times New Roman"/>
          <w:szCs w:val="24"/>
        </w:rPr>
        <w:t>”</w:t>
      </w:r>
      <w:r w:rsidRPr="00432C28">
        <w:rPr>
          <w:rFonts w:cs="Times New Roman"/>
          <w:szCs w:val="24"/>
        </w:rPr>
        <w:t xml:space="preserve">, </w:t>
      </w:r>
      <w:r>
        <w:rPr>
          <w:rFonts w:cs="Times New Roman"/>
          <w:szCs w:val="24"/>
        </w:rPr>
        <w:t>or “CPA”</w:t>
      </w:r>
      <w:r w:rsidRPr="00432C28">
        <w:rPr>
          <w:rFonts w:cs="Times New Roman"/>
          <w:szCs w:val="24"/>
        </w:rPr>
        <w:t>)</w:t>
      </w:r>
      <w:r w:rsidRPr="00432C28">
        <w:rPr>
          <w:rStyle w:val="FootnoteReference"/>
          <w:rFonts w:cs="Times New Roman"/>
          <w:szCs w:val="24"/>
        </w:rPr>
        <w:footnoteReference w:id="47"/>
      </w:r>
      <w:r>
        <w:rPr>
          <w:rFonts w:cs="Times New Roman"/>
          <w:szCs w:val="24"/>
        </w:rPr>
        <w:t xml:space="preserve">, (published in January 2015) to the most current and applicable available data. </w:t>
      </w:r>
      <w:r w:rsidR="008E1F78">
        <w:rPr>
          <w:rFonts w:cs="Times New Roman"/>
          <w:szCs w:val="24"/>
        </w:rPr>
        <w:t xml:space="preserve">A summary of the adjustment amounts by technology and/or measure by year can be found in Table </w:t>
      </w:r>
      <w:r w:rsidR="001A11FD">
        <w:rPr>
          <w:rFonts w:cs="Times New Roman"/>
          <w:szCs w:val="24"/>
        </w:rPr>
        <w:t>5</w:t>
      </w:r>
      <w:r w:rsidR="008E1F78">
        <w:rPr>
          <w:rFonts w:cs="Times New Roman"/>
          <w:szCs w:val="24"/>
        </w:rPr>
        <w:t xml:space="preserve"> in the main body of this report. The detailed explanation for the adjustments is contained within this appendix (Appendix 4, “Additional Detail – Forecast Adjustments”) below</w:t>
      </w:r>
      <w:r>
        <w:rPr>
          <w:rFonts w:cs="Times New Roman"/>
          <w:szCs w:val="24"/>
        </w:rPr>
        <w:t>. Themes that exist across multiple measures include:</w:t>
      </w:r>
    </w:p>
    <w:p w:rsidR="00B414C1" w:rsidRDefault="00B414C1" w:rsidP="00B414C1">
      <w:pPr>
        <w:rPr>
          <w:rFonts w:cs="Times New Roman"/>
          <w:szCs w:val="24"/>
        </w:rPr>
      </w:pPr>
    </w:p>
    <w:p w:rsidR="00B414C1" w:rsidRDefault="00B414C1" w:rsidP="00B414C1">
      <w:pPr>
        <w:pStyle w:val="ListParagraph"/>
        <w:numPr>
          <w:ilvl w:val="0"/>
          <w:numId w:val="56"/>
        </w:numPr>
        <w:rPr>
          <w:rFonts w:cs="Times New Roman"/>
          <w:szCs w:val="24"/>
        </w:rPr>
      </w:pPr>
      <w:r>
        <w:rPr>
          <w:rFonts w:cs="Times New Roman"/>
          <w:szCs w:val="24"/>
        </w:rPr>
        <w:t>Consistent with items 6(b) and 6(c) of Attachment A to Order 01 in Docket UE-132047, the 2015 CPA relied on RTF deemed savings</w:t>
      </w:r>
      <w:r>
        <w:rPr>
          <w:rStyle w:val="FootnoteReference"/>
          <w:rFonts w:cs="Times New Roman"/>
          <w:szCs w:val="24"/>
        </w:rPr>
        <w:footnoteReference w:id="48"/>
      </w:r>
      <w:r>
        <w:rPr>
          <w:rFonts w:cs="Times New Roman"/>
          <w:szCs w:val="24"/>
        </w:rPr>
        <w:t>, except in cases where the measure was not assessed by the Regional Technical Forum (RTF) or where more relevant or reliable data were available. As discussed in Appendix G of Volume 4 of the 2015 CPA Report, UES values used in the CPA were based on the latest RTF guidance at the time the analysis was performed in early 2014. However, the RTF periodically updates deemed measure assumptions as new data become available, and some of the CPA assumptions are no longer consistent with current RTF deemed savings analysis. Additionally, the development of the draft 7</w:t>
      </w:r>
      <w:r w:rsidRPr="00745B57">
        <w:rPr>
          <w:rFonts w:cs="Times New Roman"/>
          <w:szCs w:val="24"/>
          <w:vertAlign w:val="superscript"/>
        </w:rPr>
        <w:t>th</w:t>
      </w:r>
      <w:r>
        <w:rPr>
          <w:rFonts w:cs="Times New Roman"/>
          <w:szCs w:val="24"/>
        </w:rPr>
        <w:t xml:space="preserve"> Power Plan provided updated regional planning assumptions for long-term projections for non-residential solid state lighting efficacies.</w:t>
      </w:r>
    </w:p>
    <w:p w:rsidR="00B414C1" w:rsidRPr="00196AA4" w:rsidRDefault="00B414C1" w:rsidP="00B414C1">
      <w:pPr>
        <w:pStyle w:val="ListParagraph"/>
        <w:numPr>
          <w:ilvl w:val="0"/>
          <w:numId w:val="56"/>
        </w:numPr>
        <w:rPr>
          <w:rFonts w:cs="Times New Roman"/>
          <w:szCs w:val="24"/>
        </w:rPr>
      </w:pPr>
      <w:r w:rsidRPr="00196AA4">
        <w:rPr>
          <w:rFonts w:cs="Times New Roman"/>
          <w:szCs w:val="24"/>
        </w:rPr>
        <w:t>Updates primarily focused on residential measures where UES’s are the dominant metric for planning and reporting, and attempted to align with expected program delivery over the biennial period. For program offerings, including measure specifications and incentives, see “PacifiCorp’s Washington Demand-side Management 2016-2017 Business Plan.”, Appendix 7 of this document.</w:t>
      </w:r>
    </w:p>
    <w:p w:rsidR="00B414C1" w:rsidRDefault="00B414C1" w:rsidP="00B414C1">
      <w:pPr>
        <w:pStyle w:val="ListParagraph"/>
        <w:numPr>
          <w:ilvl w:val="0"/>
          <w:numId w:val="56"/>
        </w:numPr>
        <w:rPr>
          <w:rFonts w:cs="Times New Roman"/>
          <w:szCs w:val="24"/>
        </w:rPr>
      </w:pPr>
      <w:r w:rsidRPr="00196AA4">
        <w:rPr>
          <w:rFonts w:cs="Times New Roman"/>
          <w:szCs w:val="24"/>
        </w:rPr>
        <w:t>For measures without RTF UES, cost, and measure life values, the CPA utilized the best information and accepted industr</w:t>
      </w:r>
      <w:r>
        <w:rPr>
          <w:rFonts w:cs="Times New Roman"/>
          <w:szCs w:val="24"/>
        </w:rPr>
        <w:t>y methodology at the time of the analysis. Some of these measure assumptions were revisited through this adjustment process to align with subsequent regional planning assumptions, such as the draft 7</w:t>
      </w:r>
      <w:r w:rsidRPr="00222976">
        <w:rPr>
          <w:rFonts w:cs="Times New Roman"/>
          <w:szCs w:val="24"/>
          <w:vertAlign w:val="superscript"/>
        </w:rPr>
        <w:t>th</w:t>
      </w:r>
      <w:r>
        <w:rPr>
          <w:rFonts w:cs="Times New Roman"/>
          <w:szCs w:val="24"/>
        </w:rPr>
        <w:t xml:space="preserve"> Power Plan and guidance from WUTC staff on the treatment of residential behavioral savings persistence.</w:t>
      </w:r>
    </w:p>
    <w:p w:rsidR="00B414C1" w:rsidRDefault="00B414C1" w:rsidP="00B414C1">
      <w:pPr>
        <w:pStyle w:val="ListParagraph"/>
        <w:numPr>
          <w:ilvl w:val="0"/>
          <w:numId w:val="56"/>
        </w:numPr>
        <w:rPr>
          <w:rFonts w:cs="Times New Roman"/>
          <w:szCs w:val="24"/>
        </w:rPr>
      </w:pPr>
      <w:r>
        <w:rPr>
          <w:rFonts w:cs="Times New Roman"/>
          <w:szCs w:val="24"/>
        </w:rPr>
        <w:t>Through the review process, the Company discovered some modeling inconsistencies in the CPA, which affected levelized costs and/or achievable technical potential for certain measures. In these instances, the Company corrected the inputs and updated to the latest RTF assumptions to determine whether the measures’ updated levelized costs fell within the ranges selected in the IRP from 2016-2025 and whether an adjustment to the conservation forecast was warranted.</w:t>
      </w:r>
    </w:p>
    <w:p w:rsidR="00B414C1" w:rsidRDefault="00B414C1" w:rsidP="00B414C1">
      <w:pPr>
        <w:ind w:left="360"/>
        <w:rPr>
          <w:rFonts w:cs="Times New Roman"/>
          <w:szCs w:val="24"/>
        </w:rPr>
      </w:pPr>
    </w:p>
    <w:p w:rsidR="00B414C1" w:rsidRDefault="00B414C1" w:rsidP="00B414C1">
      <w:pPr>
        <w:rPr>
          <w:rFonts w:cs="Times New Roman"/>
          <w:szCs w:val="24"/>
          <w:u w:val="single"/>
        </w:rPr>
      </w:pPr>
    </w:p>
    <w:p w:rsidR="00B414C1" w:rsidRDefault="00B414C1" w:rsidP="00B414C1">
      <w:pPr>
        <w:rPr>
          <w:rFonts w:cs="Times New Roman"/>
          <w:szCs w:val="24"/>
          <w:u w:val="single"/>
        </w:rPr>
      </w:pPr>
      <w:r>
        <w:rPr>
          <w:rFonts w:cs="Times New Roman"/>
          <w:szCs w:val="24"/>
          <w:u w:val="single"/>
        </w:rPr>
        <w:t>Residential Light Bulbs</w:t>
      </w:r>
    </w:p>
    <w:p w:rsidR="00B414C1" w:rsidRDefault="00B414C1" w:rsidP="00B414C1">
      <w:pPr>
        <w:rPr>
          <w:rFonts w:cs="Times New Roman"/>
          <w:szCs w:val="24"/>
        </w:rPr>
      </w:pPr>
      <w:r>
        <w:rPr>
          <w:rFonts w:cs="Times New Roman"/>
          <w:szCs w:val="24"/>
        </w:rPr>
        <w:t>In July of 2014, the RTF released an updated residential lighting workbook (version 3.3) containing 300 different measure permutations based on technology, lamp type, lumen category, hours of use, and delivery channel. However, as it would be impractical to estimate potential at this level, the CPA modeled six general categories of light bulbs, as shown in</w:t>
      </w:r>
      <w:r w:rsidR="00C368BE">
        <w:t xml:space="preserve"> Table A4-1</w:t>
      </w:r>
      <w:r>
        <w:rPr>
          <w:rFonts w:cs="Times New Roman"/>
          <w:szCs w:val="24"/>
        </w:rPr>
        <w:t xml:space="preserve">. To perform the adjustment to the conservation forecast, each CPA bulb configuration was matched with its most representative RTF configuration approved at the August 2015 meeting.  </w:t>
      </w:r>
    </w:p>
    <w:p w:rsidR="00B414C1" w:rsidRDefault="00B414C1" w:rsidP="00B414C1">
      <w:pPr>
        <w:rPr>
          <w:rFonts w:cs="Times New Roman"/>
          <w:szCs w:val="24"/>
        </w:rPr>
      </w:pPr>
    </w:p>
    <w:p w:rsidR="00B414C1" w:rsidRPr="000E395F" w:rsidRDefault="00B414C1" w:rsidP="00B414C1">
      <w:pPr>
        <w:jc w:val="center"/>
        <w:rPr>
          <w:rFonts w:cs="Times New Roman"/>
          <w:b/>
          <w:szCs w:val="24"/>
        </w:rPr>
      </w:pPr>
      <w:r w:rsidRPr="000E395F">
        <w:rPr>
          <w:rFonts w:cs="Times New Roman"/>
          <w:b/>
          <w:szCs w:val="24"/>
        </w:rPr>
        <w:t>Table A4-</w:t>
      </w:r>
      <w:r w:rsidRPr="000E395F">
        <w:rPr>
          <w:rFonts w:cs="Times New Roman"/>
          <w:b/>
          <w:szCs w:val="24"/>
        </w:rPr>
        <w:fldChar w:fldCharType="begin"/>
      </w:r>
      <w:r w:rsidRPr="000E395F">
        <w:rPr>
          <w:rFonts w:cs="Times New Roman"/>
          <w:b/>
          <w:szCs w:val="24"/>
        </w:rPr>
        <w:instrText xml:space="preserve"> SEQ Table_A4- \* ARABIC </w:instrText>
      </w:r>
      <w:r w:rsidRPr="000E395F">
        <w:rPr>
          <w:rFonts w:cs="Times New Roman"/>
          <w:b/>
          <w:szCs w:val="24"/>
        </w:rPr>
        <w:fldChar w:fldCharType="separate"/>
      </w:r>
      <w:r w:rsidR="00BC2AF1">
        <w:rPr>
          <w:rFonts w:cs="Times New Roman"/>
          <w:b/>
          <w:noProof/>
          <w:szCs w:val="24"/>
        </w:rPr>
        <w:t>1</w:t>
      </w:r>
      <w:r w:rsidRPr="000E395F">
        <w:rPr>
          <w:rFonts w:cs="Times New Roman"/>
          <w:b/>
          <w:szCs w:val="24"/>
        </w:rPr>
        <w:fldChar w:fldCharType="end"/>
      </w:r>
    </w:p>
    <w:p w:rsidR="00B414C1" w:rsidRPr="001A1386" w:rsidRDefault="00B414C1" w:rsidP="00B414C1">
      <w:pPr>
        <w:jc w:val="center"/>
        <w:rPr>
          <w:rFonts w:cs="Times New Roman"/>
          <w:b/>
          <w:szCs w:val="24"/>
        </w:rPr>
      </w:pPr>
      <w:r>
        <w:rPr>
          <w:rFonts w:cs="Times New Roman"/>
          <w:b/>
          <w:szCs w:val="24"/>
        </w:rPr>
        <w:t>Residential Light Bulb</w:t>
      </w:r>
      <w:r w:rsidRPr="000E395F">
        <w:rPr>
          <w:rFonts w:cs="Times New Roman"/>
          <w:b/>
          <w:szCs w:val="24"/>
        </w:rPr>
        <w:t xml:space="preserve"> UES Comparison</w:t>
      </w:r>
    </w:p>
    <w:tbl>
      <w:tblPr>
        <w:tblW w:w="9696" w:type="dxa"/>
        <w:jc w:val="center"/>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67"/>
        <w:gridCol w:w="1205"/>
        <w:gridCol w:w="961"/>
        <w:gridCol w:w="772"/>
        <w:gridCol w:w="1713"/>
        <w:gridCol w:w="3978"/>
      </w:tblGrid>
      <w:tr w:rsidR="00B414C1" w:rsidRPr="00432C28" w:rsidTr="00B414C1">
        <w:trPr>
          <w:trHeight w:val="305"/>
          <w:jc w:val="center"/>
        </w:trPr>
        <w:tc>
          <w:tcPr>
            <w:tcW w:w="3863" w:type="dxa"/>
            <w:gridSpan w:val="4"/>
            <w:vAlign w:val="center"/>
          </w:tcPr>
          <w:p w:rsidR="00B414C1" w:rsidRDefault="00B414C1" w:rsidP="00B414C1">
            <w:pPr>
              <w:jc w:val="center"/>
              <w:rPr>
                <w:rFonts w:eastAsia="Times New Roman" w:cs="Times New Roman"/>
                <w:b/>
                <w:color w:val="000000"/>
                <w:sz w:val="20"/>
                <w:szCs w:val="20"/>
              </w:rPr>
            </w:pPr>
            <w:r>
              <w:rPr>
                <w:rFonts w:eastAsia="Times New Roman" w:cs="Times New Roman"/>
                <w:b/>
                <w:color w:val="000000"/>
                <w:sz w:val="20"/>
                <w:szCs w:val="20"/>
              </w:rPr>
              <w:t>CPA</w:t>
            </w:r>
          </w:p>
        </w:tc>
        <w:tc>
          <w:tcPr>
            <w:tcW w:w="5833" w:type="dxa"/>
            <w:gridSpan w:val="2"/>
            <w:vAlign w:val="center"/>
          </w:tcPr>
          <w:p w:rsidR="00B414C1" w:rsidRDefault="00B414C1" w:rsidP="00B414C1">
            <w:pPr>
              <w:jc w:val="center"/>
              <w:rPr>
                <w:rFonts w:eastAsia="Times New Roman" w:cs="Times New Roman"/>
                <w:b/>
                <w:color w:val="000000"/>
                <w:sz w:val="20"/>
                <w:szCs w:val="20"/>
              </w:rPr>
            </w:pPr>
            <w:r>
              <w:rPr>
                <w:rFonts w:eastAsia="Times New Roman" w:cs="Times New Roman"/>
                <w:b/>
                <w:color w:val="000000"/>
                <w:sz w:val="20"/>
                <w:szCs w:val="20"/>
              </w:rPr>
              <w:t>RTF (</w:t>
            </w:r>
            <w:r w:rsidRPr="00277044">
              <w:rPr>
                <w:rFonts w:eastAsia="Times New Roman" w:cs="Times New Roman"/>
                <w:b/>
                <w:color w:val="000000"/>
                <w:sz w:val="20"/>
                <w:szCs w:val="20"/>
              </w:rPr>
              <w:t>ResLighting_Bulbs_v4_0.xlsm</w:t>
            </w:r>
            <w:r>
              <w:rPr>
                <w:rFonts w:eastAsia="Times New Roman" w:cs="Times New Roman"/>
                <w:b/>
                <w:color w:val="000000"/>
                <w:sz w:val="20"/>
                <w:szCs w:val="20"/>
              </w:rPr>
              <w:t>)</w:t>
            </w:r>
          </w:p>
        </w:tc>
      </w:tr>
      <w:tr w:rsidR="00B414C1" w:rsidRPr="00432C28" w:rsidTr="00B414C1">
        <w:trPr>
          <w:trHeight w:val="305"/>
          <w:jc w:val="center"/>
        </w:trPr>
        <w:tc>
          <w:tcPr>
            <w:tcW w:w="1072" w:type="dxa"/>
            <w:vAlign w:val="center"/>
          </w:tcPr>
          <w:p w:rsidR="00B414C1" w:rsidRDefault="00B414C1" w:rsidP="00B414C1">
            <w:pPr>
              <w:jc w:val="center"/>
              <w:rPr>
                <w:rFonts w:eastAsia="Times New Roman" w:cs="Times New Roman"/>
                <w:b/>
                <w:color w:val="000000"/>
                <w:sz w:val="20"/>
                <w:szCs w:val="20"/>
              </w:rPr>
            </w:pPr>
            <w:r>
              <w:rPr>
                <w:rFonts w:eastAsia="Times New Roman" w:cs="Times New Roman"/>
                <w:b/>
                <w:color w:val="000000"/>
                <w:sz w:val="20"/>
                <w:szCs w:val="20"/>
              </w:rPr>
              <w:t>Location</w:t>
            </w:r>
          </w:p>
        </w:tc>
        <w:tc>
          <w:tcPr>
            <w:tcW w:w="1142" w:type="dxa"/>
            <w:vAlign w:val="center"/>
          </w:tcPr>
          <w:p w:rsidR="00B414C1" w:rsidRDefault="00B414C1" w:rsidP="00B414C1">
            <w:pPr>
              <w:jc w:val="center"/>
              <w:rPr>
                <w:rFonts w:eastAsia="Times New Roman" w:cs="Times New Roman"/>
                <w:b/>
                <w:color w:val="000000"/>
                <w:sz w:val="20"/>
                <w:szCs w:val="20"/>
              </w:rPr>
            </w:pPr>
            <w:r>
              <w:rPr>
                <w:rFonts w:eastAsia="Times New Roman" w:cs="Times New Roman"/>
                <w:b/>
                <w:color w:val="000000"/>
                <w:sz w:val="20"/>
                <w:szCs w:val="20"/>
              </w:rPr>
              <w:t>Technology</w:t>
            </w:r>
          </w:p>
        </w:tc>
        <w:tc>
          <w:tcPr>
            <w:tcW w:w="913" w:type="dxa"/>
            <w:vAlign w:val="center"/>
          </w:tcPr>
          <w:p w:rsidR="00B414C1" w:rsidRPr="00262F0C" w:rsidRDefault="00B414C1" w:rsidP="00B414C1">
            <w:pPr>
              <w:jc w:val="center"/>
              <w:rPr>
                <w:rFonts w:eastAsia="Times New Roman" w:cs="Times New Roman"/>
                <w:b/>
                <w:color w:val="000000"/>
                <w:sz w:val="20"/>
                <w:szCs w:val="20"/>
              </w:rPr>
            </w:pPr>
            <w:r>
              <w:rPr>
                <w:rFonts w:eastAsia="Times New Roman" w:cs="Times New Roman"/>
                <w:b/>
                <w:color w:val="000000"/>
                <w:sz w:val="20"/>
                <w:szCs w:val="20"/>
              </w:rPr>
              <w:t>Lamp Type</w:t>
            </w:r>
          </w:p>
        </w:tc>
        <w:tc>
          <w:tcPr>
            <w:tcW w:w="736" w:type="dxa"/>
            <w:vAlign w:val="center"/>
          </w:tcPr>
          <w:p w:rsidR="00B414C1" w:rsidRPr="00262F0C" w:rsidRDefault="00B414C1" w:rsidP="00B414C1">
            <w:pPr>
              <w:jc w:val="center"/>
              <w:rPr>
                <w:rFonts w:eastAsia="Times New Roman" w:cs="Times New Roman"/>
                <w:b/>
                <w:color w:val="000000"/>
                <w:sz w:val="20"/>
                <w:szCs w:val="20"/>
              </w:rPr>
            </w:pPr>
            <w:r>
              <w:rPr>
                <w:rFonts w:eastAsia="Times New Roman" w:cs="Times New Roman"/>
                <w:b/>
                <w:color w:val="000000"/>
                <w:sz w:val="20"/>
                <w:szCs w:val="20"/>
              </w:rPr>
              <w:t>UES (kWh)</w:t>
            </w:r>
          </w:p>
        </w:tc>
        <w:tc>
          <w:tcPr>
            <w:tcW w:w="1755" w:type="dxa"/>
            <w:vAlign w:val="center"/>
          </w:tcPr>
          <w:p w:rsidR="00B414C1" w:rsidRPr="00262F0C" w:rsidRDefault="00B414C1" w:rsidP="00B414C1">
            <w:pPr>
              <w:jc w:val="center"/>
              <w:rPr>
                <w:rFonts w:eastAsia="Times New Roman" w:cs="Times New Roman"/>
                <w:b/>
                <w:color w:val="000000"/>
                <w:sz w:val="20"/>
                <w:szCs w:val="20"/>
              </w:rPr>
            </w:pPr>
            <w:r>
              <w:rPr>
                <w:rFonts w:eastAsia="Times New Roman" w:cs="Times New Roman"/>
                <w:b/>
                <w:color w:val="000000"/>
                <w:sz w:val="20"/>
                <w:szCs w:val="20"/>
              </w:rPr>
              <w:t>Updated UES (kWh)</w:t>
            </w:r>
          </w:p>
        </w:tc>
        <w:tc>
          <w:tcPr>
            <w:tcW w:w="4078" w:type="dxa"/>
            <w:vAlign w:val="center"/>
          </w:tcPr>
          <w:p w:rsidR="00B414C1" w:rsidRDefault="00B414C1" w:rsidP="00B414C1">
            <w:pPr>
              <w:jc w:val="center"/>
              <w:rPr>
                <w:rFonts w:eastAsia="Times New Roman" w:cs="Times New Roman"/>
                <w:b/>
                <w:color w:val="000000"/>
                <w:sz w:val="20"/>
                <w:szCs w:val="20"/>
              </w:rPr>
            </w:pPr>
            <w:r>
              <w:rPr>
                <w:rFonts w:eastAsia="Times New Roman" w:cs="Times New Roman"/>
                <w:b/>
                <w:color w:val="000000"/>
                <w:sz w:val="20"/>
                <w:szCs w:val="20"/>
              </w:rPr>
              <w:t>Measure Name</w:t>
            </w:r>
          </w:p>
        </w:tc>
      </w:tr>
      <w:tr w:rsidR="00B414C1" w:rsidRPr="00432C28" w:rsidTr="00B414C1">
        <w:trPr>
          <w:trHeight w:val="138"/>
          <w:jc w:val="center"/>
        </w:trPr>
        <w:tc>
          <w:tcPr>
            <w:tcW w:w="1072" w:type="dxa"/>
            <w:vAlign w:val="center"/>
          </w:tcPr>
          <w:p w:rsidR="00B414C1" w:rsidRDefault="00B414C1" w:rsidP="00B414C1">
            <w:pPr>
              <w:jc w:val="left"/>
              <w:rPr>
                <w:rFonts w:cs="Times New Roman"/>
                <w:color w:val="000000"/>
                <w:sz w:val="20"/>
                <w:szCs w:val="20"/>
              </w:rPr>
            </w:pPr>
            <w:r>
              <w:rPr>
                <w:rFonts w:cs="Times New Roman"/>
                <w:color w:val="000000"/>
                <w:sz w:val="20"/>
                <w:szCs w:val="20"/>
              </w:rPr>
              <w:t>Interior</w:t>
            </w:r>
          </w:p>
        </w:tc>
        <w:tc>
          <w:tcPr>
            <w:tcW w:w="1142" w:type="dxa"/>
            <w:vAlign w:val="center"/>
          </w:tcPr>
          <w:p w:rsidR="00B414C1" w:rsidRDefault="00B414C1" w:rsidP="00B414C1">
            <w:pPr>
              <w:jc w:val="left"/>
              <w:rPr>
                <w:rFonts w:cs="Times New Roman"/>
                <w:color w:val="000000"/>
                <w:sz w:val="20"/>
                <w:szCs w:val="20"/>
              </w:rPr>
            </w:pPr>
            <w:r>
              <w:rPr>
                <w:rFonts w:cs="Times New Roman"/>
                <w:color w:val="000000"/>
                <w:sz w:val="20"/>
                <w:szCs w:val="20"/>
              </w:rPr>
              <w:t>CFL</w:t>
            </w:r>
          </w:p>
        </w:tc>
        <w:tc>
          <w:tcPr>
            <w:tcW w:w="913" w:type="dxa"/>
            <w:vAlign w:val="center"/>
          </w:tcPr>
          <w:p w:rsidR="00B414C1" w:rsidRPr="00FD1988" w:rsidRDefault="00B414C1" w:rsidP="00B414C1">
            <w:pPr>
              <w:jc w:val="left"/>
              <w:rPr>
                <w:rFonts w:cs="Times New Roman"/>
                <w:color w:val="000000"/>
                <w:sz w:val="20"/>
                <w:szCs w:val="20"/>
              </w:rPr>
            </w:pPr>
            <w:r>
              <w:rPr>
                <w:rFonts w:cs="Times New Roman"/>
                <w:color w:val="000000"/>
                <w:sz w:val="20"/>
                <w:szCs w:val="20"/>
              </w:rPr>
              <w:t>General Purpose</w:t>
            </w:r>
          </w:p>
        </w:tc>
        <w:tc>
          <w:tcPr>
            <w:tcW w:w="736" w:type="dxa"/>
            <w:vAlign w:val="center"/>
          </w:tcPr>
          <w:p w:rsidR="00B414C1" w:rsidRPr="000E395F" w:rsidRDefault="00B414C1" w:rsidP="00B414C1">
            <w:pPr>
              <w:jc w:val="right"/>
              <w:rPr>
                <w:rFonts w:eastAsia="Times New Roman" w:cs="Times New Roman"/>
                <w:color w:val="000000"/>
                <w:sz w:val="20"/>
                <w:szCs w:val="20"/>
              </w:rPr>
            </w:pPr>
            <w:r>
              <w:rPr>
                <w:rFonts w:eastAsia="Times New Roman" w:cs="Times New Roman"/>
                <w:color w:val="000000"/>
                <w:sz w:val="20"/>
                <w:szCs w:val="20"/>
              </w:rPr>
              <w:t>23</w:t>
            </w:r>
          </w:p>
        </w:tc>
        <w:tc>
          <w:tcPr>
            <w:tcW w:w="1755" w:type="dxa"/>
            <w:vAlign w:val="center"/>
          </w:tcPr>
          <w:p w:rsidR="00B414C1" w:rsidRPr="000E395F" w:rsidRDefault="00B414C1" w:rsidP="00B414C1">
            <w:pPr>
              <w:jc w:val="right"/>
              <w:rPr>
                <w:rFonts w:eastAsia="Times New Roman" w:cs="Times New Roman"/>
                <w:color w:val="000000"/>
                <w:sz w:val="20"/>
                <w:szCs w:val="20"/>
              </w:rPr>
            </w:pPr>
            <w:r>
              <w:rPr>
                <w:rFonts w:eastAsia="Times New Roman" w:cs="Times New Roman"/>
                <w:color w:val="000000"/>
                <w:sz w:val="20"/>
                <w:szCs w:val="20"/>
              </w:rPr>
              <w:t>9</w:t>
            </w:r>
          </w:p>
        </w:tc>
        <w:tc>
          <w:tcPr>
            <w:tcW w:w="4078" w:type="dxa"/>
            <w:vAlign w:val="center"/>
          </w:tcPr>
          <w:p w:rsidR="00B414C1" w:rsidRPr="00EF0EC2" w:rsidRDefault="00B414C1" w:rsidP="00B414C1">
            <w:pPr>
              <w:jc w:val="left"/>
              <w:rPr>
                <w:rFonts w:cs="Times New Roman"/>
                <w:color w:val="000000"/>
                <w:sz w:val="20"/>
                <w:szCs w:val="20"/>
              </w:rPr>
            </w:pPr>
            <w:r w:rsidRPr="00277044">
              <w:rPr>
                <w:rFonts w:cs="Times New Roman"/>
                <w:color w:val="000000"/>
                <w:sz w:val="20"/>
                <w:szCs w:val="20"/>
              </w:rPr>
              <w:t>Retail_CFL_General Purpose, Dimmable, and Three-Way_250 to 1049 lumens</w:t>
            </w:r>
          </w:p>
        </w:tc>
      </w:tr>
      <w:tr w:rsidR="00B414C1" w:rsidRPr="00432C28" w:rsidTr="00B414C1">
        <w:trPr>
          <w:trHeight w:val="147"/>
          <w:jc w:val="center"/>
        </w:trPr>
        <w:tc>
          <w:tcPr>
            <w:tcW w:w="1072" w:type="dxa"/>
            <w:vAlign w:val="center"/>
          </w:tcPr>
          <w:p w:rsidR="00B414C1" w:rsidRDefault="00B414C1" w:rsidP="00B414C1">
            <w:pPr>
              <w:jc w:val="left"/>
              <w:rPr>
                <w:rFonts w:cs="Times New Roman"/>
                <w:color w:val="000000"/>
                <w:sz w:val="20"/>
                <w:szCs w:val="20"/>
              </w:rPr>
            </w:pPr>
            <w:r>
              <w:rPr>
                <w:rFonts w:cs="Times New Roman"/>
                <w:color w:val="000000"/>
                <w:sz w:val="20"/>
                <w:szCs w:val="20"/>
              </w:rPr>
              <w:t>Interior</w:t>
            </w:r>
          </w:p>
        </w:tc>
        <w:tc>
          <w:tcPr>
            <w:tcW w:w="1142" w:type="dxa"/>
            <w:vAlign w:val="center"/>
          </w:tcPr>
          <w:p w:rsidR="00B414C1" w:rsidRDefault="00B414C1" w:rsidP="00B414C1">
            <w:pPr>
              <w:jc w:val="left"/>
              <w:rPr>
                <w:rFonts w:cs="Times New Roman"/>
                <w:color w:val="000000"/>
                <w:sz w:val="20"/>
                <w:szCs w:val="20"/>
              </w:rPr>
            </w:pPr>
            <w:r>
              <w:rPr>
                <w:rFonts w:cs="Times New Roman"/>
                <w:color w:val="000000"/>
                <w:sz w:val="20"/>
                <w:szCs w:val="20"/>
              </w:rPr>
              <w:t>LED</w:t>
            </w:r>
          </w:p>
        </w:tc>
        <w:tc>
          <w:tcPr>
            <w:tcW w:w="913" w:type="dxa"/>
            <w:vAlign w:val="center"/>
          </w:tcPr>
          <w:p w:rsidR="00B414C1" w:rsidRPr="00FD1988" w:rsidRDefault="00B414C1" w:rsidP="00B414C1">
            <w:pPr>
              <w:jc w:val="left"/>
              <w:rPr>
                <w:rFonts w:cs="Times New Roman"/>
                <w:color w:val="000000"/>
                <w:sz w:val="20"/>
                <w:szCs w:val="20"/>
              </w:rPr>
            </w:pPr>
            <w:r>
              <w:rPr>
                <w:rFonts w:cs="Times New Roman"/>
                <w:color w:val="000000"/>
                <w:sz w:val="20"/>
                <w:szCs w:val="20"/>
              </w:rPr>
              <w:t>General Purpose</w:t>
            </w:r>
          </w:p>
        </w:tc>
        <w:tc>
          <w:tcPr>
            <w:tcW w:w="736" w:type="dxa"/>
            <w:vAlign w:val="center"/>
          </w:tcPr>
          <w:p w:rsidR="00B414C1" w:rsidRPr="000E395F" w:rsidRDefault="00B414C1" w:rsidP="00B414C1">
            <w:pPr>
              <w:jc w:val="right"/>
              <w:rPr>
                <w:rFonts w:cs="Times New Roman"/>
                <w:color w:val="000000"/>
                <w:sz w:val="20"/>
                <w:szCs w:val="20"/>
              </w:rPr>
            </w:pPr>
            <w:r>
              <w:rPr>
                <w:rFonts w:cs="Times New Roman"/>
                <w:color w:val="000000"/>
                <w:sz w:val="20"/>
                <w:szCs w:val="20"/>
              </w:rPr>
              <w:t>21</w:t>
            </w:r>
          </w:p>
        </w:tc>
        <w:tc>
          <w:tcPr>
            <w:tcW w:w="1755" w:type="dxa"/>
            <w:vAlign w:val="center"/>
          </w:tcPr>
          <w:p w:rsidR="00B414C1" w:rsidRPr="000E395F" w:rsidRDefault="00B414C1" w:rsidP="00B414C1">
            <w:pPr>
              <w:jc w:val="right"/>
              <w:rPr>
                <w:rFonts w:cs="Times New Roman"/>
                <w:color w:val="000000"/>
                <w:sz w:val="20"/>
                <w:szCs w:val="20"/>
              </w:rPr>
            </w:pPr>
            <w:r>
              <w:rPr>
                <w:rFonts w:cs="Times New Roman"/>
                <w:color w:val="000000"/>
                <w:sz w:val="20"/>
                <w:szCs w:val="20"/>
              </w:rPr>
              <w:t>15</w:t>
            </w:r>
          </w:p>
        </w:tc>
        <w:tc>
          <w:tcPr>
            <w:tcW w:w="4078" w:type="dxa"/>
            <w:vAlign w:val="center"/>
          </w:tcPr>
          <w:p w:rsidR="00B414C1" w:rsidRPr="00EF0EC2" w:rsidRDefault="00B414C1" w:rsidP="00B414C1">
            <w:pPr>
              <w:jc w:val="left"/>
              <w:rPr>
                <w:rFonts w:cs="Times New Roman"/>
                <w:color w:val="000000"/>
                <w:sz w:val="20"/>
                <w:szCs w:val="20"/>
              </w:rPr>
            </w:pPr>
            <w:r w:rsidRPr="00277044">
              <w:rPr>
                <w:rFonts w:cs="Times New Roman"/>
                <w:color w:val="000000"/>
                <w:sz w:val="20"/>
                <w:szCs w:val="20"/>
              </w:rPr>
              <w:t>Retail_LED_General Purpose, Dimmable, and Three-Way_250 to 1049 lumens</w:t>
            </w:r>
          </w:p>
        </w:tc>
      </w:tr>
      <w:tr w:rsidR="00B414C1" w:rsidRPr="00432C28" w:rsidTr="00B414C1">
        <w:trPr>
          <w:trHeight w:val="147"/>
          <w:jc w:val="center"/>
        </w:trPr>
        <w:tc>
          <w:tcPr>
            <w:tcW w:w="1072" w:type="dxa"/>
            <w:vAlign w:val="center"/>
          </w:tcPr>
          <w:p w:rsidR="00B414C1" w:rsidRDefault="00B414C1" w:rsidP="00B414C1">
            <w:pPr>
              <w:jc w:val="left"/>
              <w:rPr>
                <w:rFonts w:cs="Times New Roman"/>
                <w:color w:val="000000"/>
                <w:sz w:val="20"/>
                <w:szCs w:val="20"/>
              </w:rPr>
            </w:pPr>
            <w:r>
              <w:rPr>
                <w:rFonts w:cs="Times New Roman"/>
                <w:color w:val="000000"/>
                <w:sz w:val="20"/>
                <w:szCs w:val="20"/>
              </w:rPr>
              <w:t>Interior</w:t>
            </w:r>
          </w:p>
        </w:tc>
        <w:tc>
          <w:tcPr>
            <w:tcW w:w="1142" w:type="dxa"/>
            <w:vAlign w:val="center"/>
          </w:tcPr>
          <w:p w:rsidR="00B414C1" w:rsidRDefault="00B414C1" w:rsidP="00B414C1">
            <w:pPr>
              <w:jc w:val="left"/>
              <w:rPr>
                <w:rFonts w:cs="Times New Roman"/>
                <w:color w:val="000000"/>
                <w:sz w:val="20"/>
                <w:szCs w:val="20"/>
              </w:rPr>
            </w:pPr>
            <w:r>
              <w:rPr>
                <w:rFonts w:cs="Times New Roman"/>
                <w:color w:val="000000"/>
                <w:sz w:val="20"/>
                <w:szCs w:val="20"/>
              </w:rPr>
              <w:t>CFL</w:t>
            </w:r>
          </w:p>
        </w:tc>
        <w:tc>
          <w:tcPr>
            <w:tcW w:w="913" w:type="dxa"/>
            <w:vAlign w:val="center"/>
          </w:tcPr>
          <w:p w:rsidR="00B414C1" w:rsidRDefault="00B414C1" w:rsidP="00B414C1">
            <w:pPr>
              <w:jc w:val="left"/>
              <w:rPr>
                <w:rFonts w:cs="Times New Roman"/>
                <w:color w:val="000000"/>
                <w:sz w:val="20"/>
                <w:szCs w:val="20"/>
              </w:rPr>
            </w:pPr>
            <w:r>
              <w:rPr>
                <w:rFonts w:cs="Times New Roman"/>
                <w:color w:val="000000"/>
                <w:sz w:val="20"/>
                <w:szCs w:val="20"/>
              </w:rPr>
              <w:t>Specialty</w:t>
            </w:r>
          </w:p>
        </w:tc>
        <w:tc>
          <w:tcPr>
            <w:tcW w:w="736" w:type="dxa"/>
            <w:vAlign w:val="center"/>
          </w:tcPr>
          <w:p w:rsidR="00B414C1" w:rsidRPr="000E395F" w:rsidRDefault="00B414C1" w:rsidP="00B414C1">
            <w:pPr>
              <w:jc w:val="right"/>
              <w:rPr>
                <w:rFonts w:cs="Times New Roman"/>
                <w:color w:val="000000"/>
                <w:sz w:val="20"/>
                <w:szCs w:val="20"/>
              </w:rPr>
            </w:pPr>
            <w:r>
              <w:rPr>
                <w:rFonts w:cs="Times New Roman"/>
                <w:color w:val="000000"/>
                <w:sz w:val="20"/>
                <w:szCs w:val="20"/>
              </w:rPr>
              <w:t>16</w:t>
            </w:r>
          </w:p>
        </w:tc>
        <w:tc>
          <w:tcPr>
            <w:tcW w:w="1755" w:type="dxa"/>
            <w:vAlign w:val="center"/>
          </w:tcPr>
          <w:p w:rsidR="00B414C1" w:rsidRPr="000E395F" w:rsidRDefault="00B414C1" w:rsidP="00B414C1">
            <w:pPr>
              <w:jc w:val="right"/>
              <w:rPr>
                <w:rFonts w:cs="Times New Roman"/>
                <w:color w:val="000000"/>
                <w:sz w:val="20"/>
                <w:szCs w:val="20"/>
              </w:rPr>
            </w:pPr>
            <w:r>
              <w:rPr>
                <w:rFonts w:cs="Times New Roman"/>
                <w:color w:val="000000"/>
                <w:sz w:val="20"/>
                <w:szCs w:val="20"/>
              </w:rPr>
              <w:t>28</w:t>
            </w:r>
          </w:p>
        </w:tc>
        <w:tc>
          <w:tcPr>
            <w:tcW w:w="4078" w:type="dxa"/>
            <w:vAlign w:val="center"/>
          </w:tcPr>
          <w:p w:rsidR="00B414C1" w:rsidRPr="00EF0EC2" w:rsidRDefault="00B414C1" w:rsidP="00B414C1">
            <w:pPr>
              <w:jc w:val="left"/>
              <w:rPr>
                <w:rFonts w:cs="Times New Roman"/>
                <w:color w:val="000000"/>
                <w:sz w:val="20"/>
                <w:szCs w:val="20"/>
              </w:rPr>
            </w:pPr>
            <w:r w:rsidRPr="0003734D">
              <w:rPr>
                <w:rFonts w:cs="Times New Roman"/>
                <w:color w:val="000000"/>
                <w:sz w:val="20"/>
                <w:szCs w:val="20"/>
              </w:rPr>
              <w:t>Retail_CFL_Reflectors and Outdoor_250 to 1049 lumens</w:t>
            </w:r>
          </w:p>
        </w:tc>
      </w:tr>
      <w:tr w:rsidR="00B414C1" w:rsidRPr="00432C28" w:rsidTr="00B414C1">
        <w:trPr>
          <w:trHeight w:val="147"/>
          <w:jc w:val="center"/>
        </w:trPr>
        <w:tc>
          <w:tcPr>
            <w:tcW w:w="1072" w:type="dxa"/>
            <w:vAlign w:val="center"/>
          </w:tcPr>
          <w:p w:rsidR="00B414C1" w:rsidRDefault="00B414C1" w:rsidP="00B414C1">
            <w:pPr>
              <w:jc w:val="left"/>
              <w:rPr>
                <w:rFonts w:cs="Times New Roman"/>
                <w:color w:val="000000"/>
                <w:sz w:val="20"/>
                <w:szCs w:val="20"/>
              </w:rPr>
            </w:pPr>
            <w:r>
              <w:rPr>
                <w:rFonts w:cs="Times New Roman"/>
                <w:color w:val="000000"/>
                <w:sz w:val="20"/>
                <w:szCs w:val="20"/>
              </w:rPr>
              <w:t>Interior</w:t>
            </w:r>
          </w:p>
        </w:tc>
        <w:tc>
          <w:tcPr>
            <w:tcW w:w="1142" w:type="dxa"/>
            <w:vAlign w:val="center"/>
          </w:tcPr>
          <w:p w:rsidR="00B414C1" w:rsidRDefault="00B414C1" w:rsidP="00B414C1">
            <w:pPr>
              <w:jc w:val="left"/>
              <w:rPr>
                <w:rFonts w:cs="Times New Roman"/>
                <w:color w:val="000000"/>
                <w:sz w:val="20"/>
                <w:szCs w:val="20"/>
              </w:rPr>
            </w:pPr>
            <w:r>
              <w:rPr>
                <w:rFonts w:cs="Times New Roman"/>
                <w:color w:val="000000"/>
                <w:sz w:val="20"/>
                <w:szCs w:val="20"/>
              </w:rPr>
              <w:t>LED</w:t>
            </w:r>
          </w:p>
        </w:tc>
        <w:tc>
          <w:tcPr>
            <w:tcW w:w="913" w:type="dxa"/>
            <w:vAlign w:val="center"/>
          </w:tcPr>
          <w:p w:rsidR="00B414C1" w:rsidRDefault="00B414C1" w:rsidP="00B414C1">
            <w:pPr>
              <w:jc w:val="left"/>
              <w:rPr>
                <w:rFonts w:cs="Times New Roman"/>
                <w:color w:val="000000"/>
                <w:sz w:val="20"/>
                <w:szCs w:val="20"/>
              </w:rPr>
            </w:pPr>
            <w:r>
              <w:rPr>
                <w:rFonts w:cs="Times New Roman"/>
                <w:color w:val="000000"/>
                <w:sz w:val="20"/>
                <w:szCs w:val="20"/>
              </w:rPr>
              <w:t>Specialty</w:t>
            </w:r>
          </w:p>
        </w:tc>
        <w:tc>
          <w:tcPr>
            <w:tcW w:w="736" w:type="dxa"/>
            <w:vAlign w:val="center"/>
          </w:tcPr>
          <w:p w:rsidR="00B414C1" w:rsidRPr="000E395F" w:rsidRDefault="00B414C1" w:rsidP="00B414C1">
            <w:pPr>
              <w:jc w:val="right"/>
              <w:rPr>
                <w:rFonts w:cs="Times New Roman"/>
                <w:color w:val="000000"/>
                <w:sz w:val="20"/>
                <w:szCs w:val="20"/>
              </w:rPr>
            </w:pPr>
            <w:r>
              <w:rPr>
                <w:rFonts w:cs="Times New Roman"/>
                <w:color w:val="000000"/>
                <w:sz w:val="20"/>
                <w:szCs w:val="20"/>
              </w:rPr>
              <w:t>13</w:t>
            </w:r>
          </w:p>
        </w:tc>
        <w:tc>
          <w:tcPr>
            <w:tcW w:w="1755" w:type="dxa"/>
            <w:vAlign w:val="center"/>
          </w:tcPr>
          <w:p w:rsidR="00B414C1" w:rsidRPr="000E395F" w:rsidRDefault="00B414C1" w:rsidP="00B414C1">
            <w:pPr>
              <w:jc w:val="right"/>
              <w:rPr>
                <w:rFonts w:cs="Times New Roman"/>
                <w:color w:val="000000"/>
                <w:sz w:val="20"/>
                <w:szCs w:val="20"/>
              </w:rPr>
            </w:pPr>
            <w:r>
              <w:rPr>
                <w:rFonts w:cs="Times New Roman"/>
                <w:color w:val="000000"/>
                <w:sz w:val="20"/>
                <w:szCs w:val="20"/>
              </w:rPr>
              <w:t>13</w:t>
            </w:r>
          </w:p>
        </w:tc>
        <w:tc>
          <w:tcPr>
            <w:tcW w:w="4078" w:type="dxa"/>
            <w:vAlign w:val="center"/>
          </w:tcPr>
          <w:p w:rsidR="00B414C1" w:rsidRPr="00EF0EC2" w:rsidRDefault="00B414C1" w:rsidP="00B414C1">
            <w:pPr>
              <w:jc w:val="left"/>
              <w:rPr>
                <w:rFonts w:cs="Times New Roman"/>
                <w:color w:val="000000"/>
                <w:sz w:val="20"/>
                <w:szCs w:val="20"/>
              </w:rPr>
            </w:pPr>
            <w:r w:rsidRPr="0003734D">
              <w:rPr>
                <w:rFonts w:cs="Times New Roman"/>
                <w:color w:val="000000"/>
                <w:sz w:val="20"/>
                <w:szCs w:val="20"/>
              </w:rPr>
              <w:t>Retail_LED_Globe_250 to 1049 lumens</w:t>
            </w:r>
          </w:p>
        </w:tc>
      </w:tr>
      <w:tr w:rsidR="00B414C1" w:rsidRPr="00432C28" w:rsidTr="00B414C1">
        <w:trPr>
          <w:trHeight w:val="147"/>
          <w:jc w:val="center"/>
        </w:trPr>
        <w:tc>
          <w:tcPr>
            <w:tcW w:w="1072" w:type="dxa"/>
            <w:vAlign w:val="center"/>
          </w:tcPr>
          <w:p w:rsidR="00B414C1" w:rsidRDefault="00B414C1" w:rsidP="00B414C1">
            <w:pPr>
              <w:jc w:val="left"/>
              <w:rPr>
                <w:rFonts w:cs="Times New Roman"/>
                <w:color w:val="000000"/>
                <w:sz w:val="20"/>
                <w:szCs w:val="20"/>
              </w:rPr>
            </w:pPr>
            <w:r>
              <w:rPr>
                <w:rFonts w:cs="Times New Roman"/>
                <w:color w:val="000000"/>
                <w:sz w:val="20"/>
                <w:szCs w:val="20"/>
              </w:rPr>
              <w:t>Exterior</w:t>
            </w:r>
          </w:p>
        </w:tc>
        <w:tc>
          <w:tcPr>
            <w:tcW w:w="1142" w:type="dxa"/>
            <w:vAlign w:val="center"/>
          </w:tcPr>
          <w:p w:rsidR="00B414C1" w:rsidRDefault="00B414C1" w:rsidP="00B414C1">
            <w:pPr>
              <w:jc w:val="left"/>
              <w:rPr>
                <w:rFonts w:cs="Times New Roman"/>
                <w:color w:val="000000"/>
                <w:sz w:val="20"/>
                <w:szCs w:val="20"/>
              </w:rPr>
            </w:pPr>
            <w:r>
              <w:rPr>
                <w:rFonts w:cs="Times New Roman"/>
                <w:color w:val="000000"/>
                <w:sz w:val="20"/>
                <w:szCs w:val="20"/>
              </w:rPr>
              <w:t>CFL</w:t>
            </w:r>
          </w:p>
        </w:tc>
        <w:tc>
          <w:tcPr>
            <w:tcW w:w="913" w:type="dxa"/>
            <w:vAlign w:val="center"/>
          </w:tcPr>
          <w:p w:rsidR="00B414C1" w:rsidRPr="00FD1988" w:rsidRDefault="00B414C1" w:rsidP="00B414C1">
            <w:pPr>
              <w:jc w:val="left"/>
              <w:rPr>
                <w:rFonts w:cs="Times New Roman"/>
                <w:color w:val="000000"/>
                <w:sz w:val="20"/>
                <w:szCs w:val="20"/>
              </w:rPr>
            </w:pPr>
            <w:r>
              <w:rPr>
                <w:rFonts w:cs="Times New Roman"/>
                <w:color w:val="000000"/>
                <w:sz w:val="20"/>
                <w:szCs w:val="20"/>
              </w:rPr>
              <w:t>General Purpose</w:t>
            </w:r>
          </w:p>
        </w:tc>
        <w:tc>
          <w:tcPr>
            <w:tcW w:w="736" w:type="dxa"/>
            <w:vAlign w:val="center"/>
          </w:tcPr>
          <w:p w:rsidR="00B414C1" w:rsidRPr="000E395F" w:rsidRDefault="00B414C1" w:rsidP="00B414C1">
            <w:pPr>
              <w:jc w:val="right"/>
              <w:rPr>
                <w:rFonts w:cs="Times New Roman"/>
                <w:color w:val="000000"/>
                <w:sz w:val="20"/>
                <w:szCs w:val="20"/>
              </w:rPr>
            </w:pPr>
            <w:r>
              <w:rPr>
                <w:rFonts w:cs="Times New Roman"/>
                <w:color w:val="000000"/>
                <w:sz w:val="20"/>
                <w:szCs w:val="20"/>
              </w:rPr>
              <w:t>55</w:t>
            </w:r>
          </w:p>
        </w:tc>
        <w:tc>
          <w:tcPr>
            <w:tcW w:w="1755" w:type="dxa"/>
            <w:vAlign w:val="center"/>
          </w:tcPr>
          <w:p w:rsidR="00B414C1" w:rsidRPr="000E395F" w:rsidRDefault="00B414C1" w:rsidP="00B414C1">
            <w:pPr>
              <w:jc w:val="right"/>
              <w:rPr>
                <w:rFonts w:cs="Times New Roman"/>
                <w:color w:val="000000"/>
                <w:sz w:val="20"/>
                <w:szCs w:val="20"/>
              </w:rPr>
            </w:pPr>
            <w:r>
              <w:rPr>
                <w:rFonts w:cs="Times New Roman"/>
                <w:color w:val="000000"/>
                <w:sz w:val="20"/>
                <w:szCs w:val="20"/>
              </w:rPr>
              <w:t>9</w:t>
            </w:r>
          </w:p>
        </w:tc>
        <w:tc>
          <w:tcPr>
            <w:tcW w:w="4078" w:type="dxa"/>
            <w:vAlign w:val="center"/>
          </w:tcPr>
          <w:p w:rsidR="00B414C1" w:rsidRPr="00EF0EC2" w:rsidRDefault="00B414C1" w:rsidP="00B414C1">
            <w:pPr>
              <w:jc w:val="left"/>
              <w:rPr>
                <w:rFonts w:cs="Times New Roman"/>
                <w:color w:val="000000"/>
                <w:sz w:val="20"/>
                <w:szCs w:val="20"/>
              </w:rPr>
            </w:pPr>
            <w:r w:rsidRPr="0003734D">
              <w:rPr>
                <w:rFonts w:cs="Times New Roman"/>
                <w:color w:val="000000"/>
                <w:sz w:val="20"/>
                <w:szCs w:val="20"/>
              </w:rPr>
              <w:t>Retail_CFL_General Purpose, Dimmable, and Three-Way_250 to 1049 lumens</w:t>
            </w:r>
          </w:p>
        </w:tc>
      </w:tr>
      <w:tr w:rsidR="00B414C1" w:rsidRPr="00432C28" w:rsidTr="00B414C1">
        <w:trPr>
          <w:trHeight w:val="147"/>
          <w:jc w:val="center"/>
        </w:trPr>
        <w:tc>
          <w:tcPr>
            <w:tcW w:w="1072" w:type="dxa"/>
            <w:vAlign w:val="center"/>
          </w:tcPr>
          <w:p w:rsidR="00B414C1" w:rsidRDefault="00B414C1" w:rsidP="00B414C1">
            <w:pPr>
              <w:jc w:val="left"/>
              <w:rPr>
                <w:rFonts w:cs="Times New Roman"/>
                <w:color w:val="000000"/>
                <w:sz w:val="20"/>
                <w:szCs w:val="20"/>
              </w:rPr>
            </w:pPr>
            <w:r>
              <w:rPr>
                <w:rFonts w:cs="Times New Roman"/>
                <w:color w:val="000000"/>
                <w:sz w:val="20"/>
                <w:szCs w:val="20"/>
              </w:rPr>
              <w:t>Exterior</w:t>
            </w:r>
          </w:p>
        </w:tc>
        <w:tc>
          <w:tcPr>
            <w:tcW w:w="1142" w:type="dxa"/>
            <w:vAlign w:val="center"/>
          </w:tcPr>
          <w:p w:rsidR="00B414C1" w:rsidRDefault="00B414C1" w:rsidP="00B414C1">
            <w:pPr>
              <w:jc w:val="left"/>
              <w:rPr>
                <w:rFonts w:cs="Times New Roman"/>
                <w:color w:val="000000"/>
                <w:sz w:val="20"/>
                <w:szCs w:val="20"/>
              </w:rPr>
            </w:pPr>
            <w:r>
              <w:rPr>
                <w:rFonts w:cs="Times New Roman"/>
                <w:color w:val="000000"/>
                <w:sz w:val="20"/>
                <w:szCs w:val="20"/>
              </w:rPr>
              <w:t>LED</w:t>
            </w:r>
          </w:p>
        </w:tc>
        <w:tc>
          <w:tcPr>
            <w:tcW w:w="913" w:type="dxa"/>
            <w:vAlign w:val="center"/>
          </w:tcPr>
          <w:p w:rsidR="00B414C1" w:rsidRPr="00FD1988" w:rsidRDefault="00B414C1" w:rsidP="00B414C1">
            <w:pPr>
              <w:jc w:val="left"/>
              <w:rPr>
                <w:rFonts w:cs="Times New Roman"/>
                <w:color w:val="000000"/>
                <w:sz w:val="20"/>
                <w:szCs w:val="20"/>
              </w:rPr>
            </w:pPr>
            <w:r>
              <w:rPr>
                <w:rFonts w:cs="Times New Roman"/>
                <w:color w:val="000000"/>
                <w:sz w:val="20"/>
                <w:szCs w:val="20"/>
              </w:rPr>
              <w:t>General Purpose</w:t>
            </w:r>
          </w:p>
        </w:tc>
        <w:tc>
          <w:tcPr>
            <w:tcW w:w="736" w:type="dxa"/>
            <w:vAlign w:val="center"/>
          </w:tcPr>
          <w:p w:rsidR="00B414C1" w:rsidRPr="000E395F" w:rsidRDefault="00B414C1" w:rsidP="00B414C1">
            <w:pPr>
              <w:jc w:val="right"/>
              <w:rPr>
                <w:rFonts w:cs="Times New Roman"/>
                <w:color w:val="000000"/>
                <w:sz w:val="20"/>
                <w:szCs w:val="20"/>
              </w:rPr>
            </w:pPr>
            <w:r>
              <w:rPr>
                <w:rFonts w:cs="Times New Roman"/>
                <w:color w:val="000000"/>
                <w:sz w:val="20"/>
                <w:szCs w:val="20"/>
              </w:rPr>
              <w:t>50</w:t>
            </w:r>
          </w:p>
        </w:tc>
        <w:tc>
          <w:tcPr>
            <w:tcW w:w="1755" w:type="dxa"/>
            <w:vAlign w:val="center"/>
          </w:tcPr>
          <w:p w:rsidR="00B414C1" w:rsidRPr="000E395F" w:rsidRDefault="00B414C1" w:rsidP="00B414C1">
            <w:pPr>
              <w:jc w:val="right"/>
              <w:rPr>
                <w:rFonts w:cs="Times New Roman"/>
                <w:color w:val="000000"/>
                <w:sz w:val="20"/>
                <w:szCs w:val="20"/>
              </w:rPr>
            </w:pPr>
            <w:r>
              <w:rPr>
                <w:rFonts w:cs="Times New Roman"/>
                <w:color w:val="000000"/>
                <w:sz w:val="20"/>
                <w:szCs w:val="20"/>
              </w:rPr>
              <w:t>15</w:t>
            </w:r>
          </w:p>
        </w:tc>
        <w:tc>
          <w:tcPr>
            <w:tcW w:w="4078" w:type="dxa"/>
            <w:vAlign w:val="center"/>
          </w:tcPr>
          <w:p w:rsidR="00B414C1" w:rsidRPr="00EF0EC2" w:rsidRDefault="00B414C1" w:rsidP="00B414C1">
            <w:pPr>
              <w:jc w:val="left"/>
              <w:rPr>
                <w:rFonts w:cs="Times New Roman"/>
                <w:color w:val="000000"/>
                <w:sz w:val="20"/>
                <w:szCs w:val="20"/>
              </w:rPr>
            </w:pPr>
            <w:r w:rsidRPr="0003734D">
              <w:rPr>
                <w:rFonts w:cs="Times New Roman"/>
                <w:color w:val="000000"/>
                <w:sz w:val="20"/>
                <w:szCs w:val="20"/>
              </w:rPr>
              <w:t>Retail_LED_General Purpose, Dimmable, and Three-Way_250 to 1049 lumens</w:t>
            </w:r>
          </w:p>
        </w:tc>
      </w:tr>
    </w:tbl>
    <w:p w:rsidR="00B414C1" w:rsidRDefault="00B414C1" w:rsidP="00B414C1">
      <w:pPr>
        <w:rPr>
          <w:rFonts w:cs="Times New Roman"/>
          <w:sz w:val="22"/>
          <w:szCs w:val="24"/>
        </w:rPr>
      </w:pPr>
    </w:p>
    <w:p w:rsidR="00B414C1" w:rsidRDefault="00B414C1" w:rsidP="00B414C1">
      <w:pPr>
        <w:rPr>
          <w:rFonts w:cs="Times New Roman"/>
          <w:szCs w:val="24"/>
        </w:rPr>
      </w:pPr>
      <w:r>
        <w:rPr>
          <w:rFonts w:cs="Times New Roman"/>
          <w:szCs w:val="24"/>
        </w:rPr>
        <w:t xml:space="preserve"> </w:t>
      </w:r>
    </w:p>
    <w:p w:rsidR="00B414C1" w:rsidRDefault="00B414C1" w:rsidP="00B414C1">
      <w:pPr>
        <w:rPr>
          <w:rFonts w:cs="Times New Roman"/>
          <w:szCs w:val="24"/>
          <w:u w:val="single"/>
        </w:rPr>
      </w:pPr>
      <w:r>
        <w:rPr>
          <w:rFonts w:cs="Times New Roman"/>
          <w:szCs w:val="24"/>
          <w:u w:val="single"/>
        </w:rPr>
        <w:t>Residential Heat Pump Water Heaters</w:t>
      </w:r>
    </w:p>
    <w:p w:rsidR="00B414C1" w:rsidRDefault="00B414C1" w:rsidP="00B414C1">
      <w:pPr>
        <w:rPr>
          <w:rFonts w:cs="Times New Roman"/>
          <w:szCs w:val="24"/>
        </w:rPr>
      </w:pPr>
      <w:r>
        <w:rPr>
          <w:rFonts w:cs="Times New Roman"/>
          <w:szCs w:val="24"/>
        </w:rPr>
        <w:t xml:space="preserve">On April 16, 2015, new federal standards took effect, requiring electric tank type water heaters above 55 gallons in size to have an Energy Factor (EF) above 2.0. As such, the potential for heat pump water heaters identified in the 2015 CPA was limited to units at or below 55 gallons.   </w:t>
      </w:r>
    </w:p>
    <w:p w:rsidR="00B414C1" w:rsidRDefault="00B414C1" w:rsidP="00B414C1">
      <w:pPr>
        <w:rPr>
          <w:rFonts w:cs="Times New Roman"/>
          <w:szCs w:val="24"/>
        </w:rPr>
      </w:pPr>
    </w:p>
    <w:p w:rsidR="00B414C1" w:rsidRDefault="00B414C1" w:rsidP="00B414C1">
      <w:pPr>
        <w:rPr>
          <w:rFonts w:cs="Times New Roman"/>
          <w:szCs w:val="24"/>
        </w:rPr>
      </w:pPr>
      <w:r>
        <w:rPr>
          <w:rFonts w:cs="Times New Roman"/>
          <w:szCs w:val="24"/>
        </w:rPr>
        <w:t>In July of 2015, the RTF posted version 3.0 of the “Residential DHW – HPWH” workbook with 63 measure permutations by heating zone, installation location, heating equipment, and efficiency tier. To adjust its conservation forecast for this update, PacifiCorp averaged the 10 configurations shown in Table A4-2</w:t>
      </w:r>
      <w:r w:rsidRPr="00FE770E">
        <w:rPr>
          <w:rFonts w:cs="Times New Roman"/>
          <w:szCs w:val="24"/>
        </w:rPr>
        <w:t xml:space="preserve"> to</w:t>
      </w:r>
      <w:r>
        <w:t xml:space="preserve"> develop a single average value to compare to the UES used in the CPA.</w:t>
      </w:r>
    </w:p>
    <w:p w:rsidR="00B414C1" w:rsidRDefault="00B414C1" w:rsidP="00B414C1">
      <w:pPr>
        <w:rPr>
          <w:rFonts w:cs="Times New Roman"/>
          <w:szCs w:val="24"/>
        </w:rPr>
      </w:pPr>
    </w:p>
    <w:p w:rsidR="00B414C1" w:rsidRPr="000E395F" w:rsidRDefault="00B414C1" w:rsidP="00B414C1">
      <w:pPr>
        <w:jc w:val="center"/>
        <w:rPr>
          <w:rFonts w:cs="Times New Roman"/>
          <w:b/>
          <w:szCs w:val="24"/>
        </w:rPr>
      </w:pPr>
      <w:r w:rsidRPr="000E395F">
        <w:rPr>
          <w:rFonts w:cs="Times New Roman"/>
          <w:b/>
          <w:szCs w:val="24"/>
        </w:rPr>
        <w:t>Table A4-</w:t>
      </w:r>
      <w:r w:rsidRPr="000E395F">
        <w:rPr>
          <w:rFonts w:cs="Times New Roman"/>
          <w:b/>
          <w:szCs w:val="24"/>
        </w:rPr>
        <w:fldChar w:fldCharType="begin"/>
      </w:r>
      <w:r w:rsidRPr="000E395F">
        <w:rPr>
          <w:rFonts w:cs="Times New Roman"/>
          <w:b/>
          <w:szCs w:val="24"/>
        </w:rPr>
        <w:instrText xml:space="preserve"> SEQ Table_A4- \* ARABIC </w:instrText>
      </w:r>
      <w:r w:rsidRPr="000E395F">
        <w:rPr>
          <w:rFonts w:cs="Times New Roman"/>
          <w:b/>
          <w:szCs w:val="24"/>
        </w:rPr>
        <w:fldChar w:fldCharType="separate"/>
      </w:r>
      <w:r w:rsidR="00BC2AF1">
        <w:rPr>
          <w:rFonts w:cs="Times New Roman"/>
          <w:b/>
          <w:noProof/>
          <w:szCs w:val="24"/>
        </w:rPr>
        <w:t>2</w:t>
      </w:r>
      <w:r w:rsidRPr="000E395F">
        <w:rPr>
          <w:rFonts w:cs="Times New Roman"/>
          <w:b/>
          <w:szCs w:val="24"/>
        </w:rPr>
        <w:fldChar w:fldCharType="end"/>
      </w:r>
    </w:p>
    <w:p w:rsidR="00B414C1" w:rsidRDefault="00B414C1" w:rsidP="00B414C1">
      <w:pPr>
        <w:jc w:val="center"/>
        <w:rPr>
          <w:rFonts w:cs="Times New Roman"/>
          <w:b/>
          <w:szCs w:val="24"/>
        </w:rPr>
      </w:pPr>
      <w:r>
        <w:rPr>
          <w:rFonts w:cs="Times New Roman"/>
          <w:b/>
          <w:szCs w:val="24"/>
        </w:rPr>
        <w:t xml:space="preserve">Residential Heat Pump Water Heater </w:t>
      </w:r>
      <w:r w:rsidRPr="000E395F">
        <w:rPr>
          <w:rFonts w:cs="Times New Roman"/>
          <w:b/>
          <w:szCs w:val="24"/>
        </w:rPr>
        <w:t>Comparison</w:t>
      </w:r>
      <w:r>
        <w:rPr>
          <w:rFonts w:cs="Times New Roman"/>
          <w:b/>
          <w:szCs w:val="24"/>
        </w:rPr>
        <w:t xml:space="preserve"> (&lt;=55 Gallons)</w:t>
      </w:r>
    </w:p>
    <w:tbl>
      <w:tblPr>
        <w:tblW w:w="8528" w:type="dxa"/>
        <w:jc w:val="center"/>
        <w:tblInd w:w="10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319"/>
        <w:gridCol w:w="772"/>
        <w:gridCol w:w="3738"/>
        <w:gridCol w:w="772"/>
        <w:gridCol w:w="927"/>
      </w:tblGrid>
      <w:tr w:rsidR="00B414C1" w:rsidRPr="00432C28" w:rsidTr="00B414C1">
        <w:trPr>
          <w:trHeight w:val="305"/>
          <w:jc w:val="center"/>
        </w:trPr>
        <w:tc>
          <w:tcPr>
            <w:tcW w:w="3091" w:type="dxa"/>
            <w:gridSpan w:val="2"/>
            <w:vAlign w:val="center"/>
          </w:tcPr>
          <w:p w:rsidR="00B414C1" w:rsidRDefault="00B414C1" w:rsidP="00B414C1">
            <w:pPr>
              <w:jc w:val="center"/>
              <w:rPr>
                <w:rFonts w:eastAsia="Times New Roman" w:cs="Times New Roman"/>
                <w:b/>
                <w:color w:val="000000"/>
                <w:sz w:val="20"/>
                <w:szCs w:val="20"/>
              </w:rPr>
            </w:pPr>
            <w:r>
              <w:rPr>
                <w:rFonts w:eastAsia="Times New Roman" w:cs="Times New Roman"/>
                <w:b/>
                <w:color w:val="000000"/>
                <w:sz w:val="20"/>
                <w:szCs w:val="20"/>
              </w:rPr>
              <w:t>CPA</w:t>
            </w:r>
          </w:p>
        </w:tc>
        <w:tc>
          <w:tcPr>
            <w:tcW w:w="5437" w:type="dxa"/>
            <w:gridSpan w:val="3"/>
            <w:vAlign w:val="center"/>
          </w:tcPr>
          <w:p w:rsidR="00B414C1" w:rsidRDefault="00B414C1" w:rsidP="00B414C1">
            <w:pPr>
              <w:jc w:val="center"/>
              <w:rPr>
                <w:rFonts w:eastAsia="Times New Roman" w:cs="Times New Roman"/>
                <w:b/>
                <w:color w:val="000000"/>
                <w:sz w:val="20"/>
                <w:szCs w:val="20"/>
              </w:rPr>
            </w:pPr>
            <w:r>
              <w:rPr>
                <w:rFonts w:eastAsia="Times New Roman" w:cs="Times New Roman"/>
                <w:b/>
                <w:color w:val="000000"/>
                <w:sz w:val="20"/>
                <w:szCs w:val="20"/>
              </w:rPr>
              <w:t xml:space="preserve">RTF </w:t>
            </w:r>
            <w:r w:rsidRPr="00874385">
              <w:rPr>
                <w:rFonts w:eastAsia="Times New Roman" w:cs="Times New Roman"/>
                <w:b/>
                <w:color w:val="000000"/>
                <w:sz w:val="20"/>
                <w:szCs w:val="20"/>
              </w:rPr>
              <w:t>Copy of Res_HPWH_v3_0.xlsm</w:t>
            </w:r>
          </w:p>
        </w:tc>
      </w:tr>
      <w:tr w:rsidR="00B414C1" w:rsidRPr="00432C28" w:rsidTr="00B414C1">
        <w:trPr>
          <w:trHeight w:val="305"/>
          <w:jc w:val="center"/>
        </w:trPr>
        <w:tc>
          <w:tcPr>
            <w:tcW w:w="2319" w:type="dxa"/>
          </w:tcPr>
          <w:p w:rsidR="00B414C1" w:rsidRDefault="00B414C1" w:rsidP="00B414C1">
            <w:pPr>
              <w:jc w:val="center"/>
              <w:rPr>
                <w:rFonts w:eastAsia="Times New Roman" w:cs="Times New Roman"/>
                <w:b/>
                <w:color w:val="000000"/>
                <w:sz w:val="20"/>
                <w:szCs w:val="20"/>
              </w:rPr>
            </w:pPr>
            <w:r>
              <w:rPr>
                <w:rFonts w:eastAsia="Times New Roman" w:cs="Times New Roman"/>
                <w:b/>
                <w:color w:val="000000"/>
                <w:sz w:val="20"/>
                <w:szCs w:val="20"/>
              </w:rPr>
              <w:t>Measure Name</w:t>
            </w:r>
          </w:p>
        </w:tc>
        <w:tc>
          <w:tcPr>
            <w:tcW w:w="772" w:type="dxa"/>
          </w:tcPr>
          <w:p w:rsidR="00B414C1" w:rsidRDefault="00B414C1" w:rsidP="00B414C1">
            <w:pPr>
              <w:jc w:val="center"/>
              <w:rPr>
                <w:rFonts w:eastAsia="Times New Roman" w:cs="Times New Roman"/>
                <w:b/>
                <w:color w:val="000000"/>
                <w:sz w:val="20"/>
                <w:szCs w:val="20"/>
              </w:rPr>
            </w:pPr>
            <w:r>
              <w:rPr>
                <w:rFonts w:eastAsia="Times New Roman" w:cs="Times New Roman"/>
                <w:b/>
                <w:color w:val="000000"/>
                <w:sz w:val="20"/>
                <w:szCs w:val="20"/>
              </w:rPr>
              <w:t>UES (kWh)</w:t>
            </w:r>
          </w:p>
        </w:tc>
        <w:tc>
          <w:tcPr>
            <w:tcW w:w="3738" w:type="dxa"/>
            <w:vAlign w:val="center"/>
          </w:tcPr>
          <w:p w:rsidR="00B414C1" w:rsidRDefault="00B414C1" w:rsidP="00B414C1">
            <w:pPr>
              <w:jc w:val="center"/>
              <w:rPr>
                <w:rFonts w:eastAsia="Times New Roman" w:cs="Times New Roman"/>
                <w:b/>
                <w:color w:val="000000"/>
                <w:sz w:val="20"/>
                <w:szCs w:val="20"/>
              </w:rPr>
            </w:pPr>
            <w:r>
              <w:rPr>
                <w:rFonts w:eastAsia="Times New Roman" w:cs="Times New Roman"/>
                <w:b/>
                <w:color w:val="000000"/>
                <w:sz w:val="20"/>
                <w:szCs w:val="20"/>
              </w:rPr>
              <w:t>Measure Name</w:t>
            </w:r>
          </w:p>
        </w:tc>
        <w:tc>
          <w:tcPr>
            <w:tcW w:w="772" w:type="dxa"/>
            <w:vAlign w:val="center"/>
          </w:tcPr>
          <w:p w:rsidR="00B414C1" w:rsidRDefault="00B414C1" w:rsidP="00B414C1">
            <w:pPr>
              <w:jc w:val="center"/>
              <w:rPr>
                <w:rFonts w:eastAsia="Times New Roman" w:cs="Times New Roman"/>
                <w:b/>
                <w:color w:val="000000"/>
                <w:sz w:val="20"/>
                <w:szCs w:val="20"/>
              </w:rPr>
            </w:pPr>
            <w:r>
              <w:rPr>
                <w:rFonts w:eastAsia="Times New Roman" w:cs="Times New Roman"/>
                <w:b/>
                <w:color w:val="000000"/>
                <w:sz w:val="20"/>
                <w:szCs w:val="20"/>
              </w:rPr>
              <w:t>UES (kWh)</w:t>
            </w:r>
          </w:p>
        </w:tc>
        <w:tc>
          <w:tcPr>
            <w:tcW w:w="927" w:type="dxa"/>
            <w:vAlign w:val="center"/>
          </w:tcPr>
          <w:p w:rsidR="00B414C1" w:rsidRPr="00262F0C" w:rsidRDefault="00B414C1" w:rsidP="00B414C1">
            <w:pPr>
              <w:jc w:val="center"/>
              <w:rPr>
                <w:rFonts w:eastAsia="Times New Roman" w:cs="Times New Roman"/>
                <w:b/>
                <w:color w:val="000000"/>
                <w:sz w:val="20"/>
                <w:szCs w:val="20"/>
              </w:rPr>
            </w:pPr>
            <w:r>
              <w:rPr>
                <w:rFonts w:eastAsia="Times New Roman" w:cs="Times New Roman"/>
                <w:b/>
                <w:color w:val="000000"/>
                <w:sz w:val="20"/>
                <w:szCs w:val="20"/>
              </w:rPr>
              <w:t>Average UES</w:t>
            </w:r>
          </w:p>
        </w:tc>
      </w:tr>
      <w:tr w:rsidR="00B414C1" w:rsidRPr="00432C28" w:rsidTr="00B414C1">
        <w:trPr>
          <w:trHeight w:val="138"/>
          <w:jc w:val="center"/>
        </w:trPr>
        <w:tc>
          <w:tcPr>
            <w:tcW w:w="2319" w:type="dxa"/>
            <w:vMerge w:val="restart"/>
            <w:vAlign w:val="center"/>
          </w:tcPr>
          <w:p w:rsidR="00B414C1" w:rsidRPr="00874385" w:rsidRDefault="00B414C1" w:rsidP="00B414C1">
            <w:pPr>
              <w:jc w:val="left"/>
              <w:rPr>
                <w:rFonts w:cs="Times New Roman"/>
                <w:color w:val="000000"/>
                <w:sz w:val="20"/>
                <w:szCs w:val="20"/>
              </w:rPr>
            </w:pPr>
            <w:r>
              <w:rPr>
                <w:rFonts w:cs="Times New Roman"/>
                <w:color w:val="000000"/>
                <w:sz w:val="20"/>
                <w:szCs w:val="20"/>
              </w:rPr>
              <w:t>Heat Pump Water Heater &lt;= 55 Gallons</w:t>
            </w:r>
          </w:p>
        </w:tc>
        <w:tc>
          <w:tcPr>
            <w:tcW w:w="772" w:type="dxa"/>
            <w:vMerge w:val="restart"/>
            <w:vAlign w:val="center"/>
          </w:tcPr>
          <w:p w:rsidR="00B414C1" w:rsidRPr="00874385" w:rsidRDefault="00B414C1" w:rsidP="00B414C1">
            <w:pPr>
              <w:jc w:val="right"/>
              <w:rPr>
                <w:rFonts w:cs="Times New Roman"/>
                <w:color w:val="000000"/>
                <w:sz w:val="20"/>
                <w:szCs w:val="20"/>
              </w:rPr>
            </w:pPr>
            <w:r>
              <w:rPr>
                <w:rFonts w:cs="Times New Roman"/>
                <w:color w:val="000000"/>
                <w:sz w:val="20"/>
                <w:szCs w:val="20"/>
              </w:rPr>
              <w:t>1,800</w:t>
            </w:r>
          </w:p>
        </w:tc>
        <w:tc>
          <w:tcPr>
            <w:tcW w:w="3738" w:type="dxa"/>
            <w:vAlign w:val="center"/>
          </w:tcPr>
          <w:p w:rsidR="00B414C1" w:rsidRPr="00874385" w:rsidRDefault="00B414C1" w:rsidP="00B414C1">
            <w:pPr>
              <w:jc w:val="left"/>
              <w:rPr>
                <w:rFonts w:cs="Times New Roman"/>
                <w:color w:val="000000"/>
                <w:sz w:val="20"/>
                <w:szCs w:val="20"/>
              </w:rPr>
            </w:pPr>
            <w:r w:rsidRPr="00874385">
              <w:rPr>
                <w:rFonts w:cs="Times New Roman"/>
                <w:color w:val="000000"/>
                <w:sz w:val="20"/>
                <w:szCs w:val="20"/>
              </w:rPr>
              <w:t>Tier1_garage_HZ1_0-55gallons</w:t>
            </w:r>
          </w:p>
        </w:tc>
        <w:tc>
          <w:tcPr>
            <w:tcW w:w="772" w:type="dxa"/>
            <w:vAlign w:val="center"/>
          </w:tcPr>
          <w:p w:rsidR="00B414C1" w:rsidRPr="00874385" w:rsidRDefault="00B414C1" w:rsidP="00B414C1">
            <w:pPr>
              <w:jc w:val="right"/>
              <w:rPr>
                <w:rFonts w:cs="Times New Roman"/>
                <w:color w:val="000000"/>
                <w:sz w:val="20"/>
                <w:szCs w:val="20"/>
              </w:rPr>
            </w:pPr>
            <w:r w:rsidRPr="00874385">
              <w:rPr>
                <w:rFonts w:cs="Times New Roman"/>
                <w:color w:val="000000"/>
                <w:sz w:val="20"/>
                <w:szCs w:val="20"/>
              </w:rPr>
              <w:t>1</w:t>
            </w:r>
            <w:r>
              <w:rPr>
                <w:rFonts w:cs="Times New Roman"/>
                <w:color w:val="000000"/>
                <w:sz w:val="20"/>
                <w:szCs w:val="20"/>
              </w:rPr>
              <w:t>,</w:t>
            </w:r>
            <w:r w:rsidRPr="00874385">
              <w:rPr>
                <w:rFonts w:cs="Times New Roman"/>
                <w:color w:val="000000"/>
                <w:sz w:val="20"/>
                <w:szCs w:val="20"/>
              </w:rPr>
              <w:t>069</w:t>
            </w:r>
          </w:p>
        </w:tc>
        <w:tc>
          <w:tcPr>
            <w:tcW w:w="927" w:type="dxa"/>
            <w:vMerge w:val="restart"/>
            <w:vAlign w:val="center"/>
          </w:tcPr>
          <w:p w:rsidR="00B414C1" w:rsidRPr="00FD1988" w:rsidRDefault="00B414C1" w:rsidP="00B414C1">
            <w:pPr>
              <w:jc w:val="right"/>
              <w:rPr>
                <w:rFonts w:cs="Times New Roman"/>
                <w:color w:val="000000"/>
                <w:sz w:val="20"/>
                <w:szCs w:val="20"/>
              </w:rPr>
            </w:pPr>
            <w:r>
              <w:rPr>
                <w:rFonts w:cs="Times New Roman"/>
                <w:color w:val="000000"/>
                <w:sz w:val="20"/>
                <w:szCs w:val="20"/>
              </w:rPr>
              <w:t>1,335</w:t>
            </w:r>
          </w:p>
        </w:tc>
      </w:tr>
      <w:tr w:rsidR="00B414C1" w:rsidRPr="00432C28" w:rsidTr="00B414C1">
        <w:trPr>
          <w:trHeight w:val="147"/>
          <w:jc w:val="center"/>
        </w:trPr>
        <w:tc>
          <w:tcPr>
            <w:tcW w:w="2319" w:type="dxa"/>
            <w:vMerge/>
          </w:tcPr>
          <w:p w:rsidR="00B414C1" w:rsidRPr="00874385" w:rsidRDefault="00B414C1" w:rsidP="00B414C1">
            <w:pPr>
              <w:jc w:val="left"/>
              <w:rPr>
                <w:rFonts w:cs="Times New Roman"/>
                <w:color w:val="000000"/>
                <w:sz w:val="20"/>
                <w:szCs w:val="20"/>
              </w:rPr>
            </w:pPr>
          </w:p>
        </w:tc>
        <w:tc>
          <w:tcPr>
            <w:tcW w:w="772" w:type="dxa"/>
            <w:vMerge/>
          </w:tcPr>
          <w:p w:rsidR="00B414C1" w:rsidRPr="00874385" w:rsidRDefault="00B414C1" w:rsidP="00B414C1">
            <w:pPr>
              <w:jc w:val="left"/>
              <w:rPr>
                <w:rFonts w:cs="Times New Roman"/>
                <w:color w:val="000000"/>
                <w:sz w:val="20"/>
                <w:szCs w:val="20"/>
              </w:rPr>
            </w:pPr>
          </w:p>
        </w:tc>
        <w:tc>
          <w:tcPr>
            <w:tcW w:w="3738" w:type="dxa"/>
            <w:vAlign w:val="center"/>
          </w:tcPr>
          <w:p w:rsidR="00B414C1" w:rsidRPr="00874385" w:rsidRDefault="00B414C1" w:rsidP="00B414C1">
            <w:pPr>
              <w:jc w:val="left"/>
              <w:rPr>
                <w:rFonts w:cs="Times New Roman"/>
                <w:color w:val="000000"/>
                <w:sz w:val="20"/>
                <w:szCs w:val="20"/>
              </w:rPr>
            </w:pPr>
            <w:r w:rsidRPr="00874385">
              <w:rPr>
                <w:rFonts w:cs="Times New Roman"/>
                <w:color w:val="000000"/>
                <w:sz w:val="20"/>
                <w:szCs w:val="20"/>
              </w:rPr>
              <w:t>Tier1_basmnt_HZ1_0-55gallons</w:t>
            </w:r>
          </w:p>
        </w:tc>
        <w:tc>
          <w:tcPr>
            <w:tcW w:w="772" w:type="dxa"/>
            <w:vAlign w:val="center"/>
          </w:tcPr>
          <w:p w:rsidR="00B414C1" w:rsidRPr="00874385" w:rsidRDefault="00B414C1" w:rsidP="00B414C1">
            <w:pPr>
              <w:jc w:val="right"/>
              <w:rPr>
                <w:rFonts w:cs="Times New Roman"/>
                <w:color w:val="000000"/>
                <w:sz w:val="20"/>
                <w:szCs w:val="20"/>
              </w:rPr>
            </w:pPr>
            <w:r w:rsidRPr="00874385">
              <w:rPr>
                <w:rFonts w:cs="Times New Roman"/>
                <w:color w:val="000000"/>
                <w:sz w:val="20"/>
                <w:szCs w:val="20"/>
              </w:rPr>
              <w:t>1</w:t>
            </w:r>
            <w:r>
              <w:rPr>
                <w:rFonts w:cs="Times New Roman"/>
                <w:color w:val="000000"/>
                <w:sz w:val="20"/>
                <w:szCs w:val="20"/>
              </w:rPr>
              <w:t>,</w:t>
            </w:r>
            <w:r w:rsidRPr="00874385">
              <w:rPr>
                <w:rFonts w:cs="Times New Roman"/>
                <w:color w:val="000000"/>
                <w:sz w:val="20"/>
                <w:szCs w:val="20"/>
              </w:rPr>
              <w:t>191</w:t>
            </w:r>
          </w:p>
        </w:tc>
        <w:tc>
          <w:tcPr>
            <w:tcW w:w="927" w:type="dxa"/>
            <w:vMerge/>
            <w:vAlign w:val="center"/>
          </w:tcPr>
          <w:p w:rsidR="00B414C1" w:rsidRPr="00FD1988" w:rsidRDefault="00B414C1" w:rsidP="00B414C1">
            <w:pPr>
              <w:jc w:val="left"/>
              <w:rPr>
                <w:rFonts w:cs="Times New Roman"/>
                <w:color w:val="000000"/>
                <w:sz w:val="20"/>
                <w:szCs w:val="20"/>
              </w:rPr>
            </w:pPr>
          </w:p>
        </w:tc>
      </w:tr>
      <w:tr w:rsidR="00B414C1" w:rsidRPr="00432C28" w:rsidTr="00B414C1">
        <w:trPr>
          <w:trHeight w:val="147"/>
          <w:jc w:val="center"/>
        </w:trPr>
        <w:tc>
          <w:tcPr>
            <w:tcW w:w="2319" w:type="dxa"/>
            <w:vMerge/>
          </w:tcPr>
          <w:p w:rsidR="00B414C1" w:rsidRPr="00874385" w:rsidRDefault="00B414C1" w:rsidP="00B414C1">
            <w:pPr>
              <w:jc w:val="left"/>
              <w:rPr>
                <w:rFonts w:cs="Times New Roman"/>
                <w:color w:val="000000"/>
                <w:sz w:val="20"/>
                <w:szCs w:val="20"/>
              </w:rPr>
            </w:pPr>
          </w:p>
        </w:tc>
        <w:tc>
          <w:tcPr>
            <w:tcW w:w="772" w:type="dxa"/>
            <w:vMerge/>
          </w:tcPr>
          <w:p w:rsidR="00B414C1" w:rsidRPr="00874385" w:rsidRDefault="00B414C1" w:rsidP="00B414C1">
            <w:pPr>
              <w:jc w:val="left"/>
              <w:rPr>
                <w:rFonts w:cs="Times New Roman"/>
                <w:color w:val="000000"/>
                <w:sz w:val="20"/>
                <w:szCs w:val="20"/>
              </w:rPr>
            </w:pPr>
          </w:p>
        </w:tc>
        <w:tc>
          <w:tcPr>
            <w:tcW w:w="3738" w:type="dxa"/>
            <w:vAlign w:val="center"/>
          </w:tcPr>
          <w:p w:rsidR="00B414C1" w:rsidRPr="00874385" w:rsidRDefault="00B414C1" w:rsidP="00B414C1">
            <w:pPr>
              <w:jc w:val="left"/>
              <w:rPr>
                <w:rFonts w:cs="Times New Roman"/>
                <w:color w:val="000000"/>
                <w:sz w:val="20"/>
                <w:szCs w:val="20"/>
              </w:rPr>
            </w:pPr>
            <w:r w:rsidRPr="00874385">
              <w:rPr>
                <w:rFonts w:cs="Times New Roman"/>
                <w:color w:val="000000"/>
                <w:sz w:val="20"/>
                <w:szCs w:val="20"/>
              </w:rPr>
              <w:t>Tier1_indor2_HZ1_gas_0-55gallons</w:t>
            </w:r>
          </w:p>
        </w:tc>
        <w:tc>
          <w:tcPr>
            <w:tcW w:w="772" w:type="dxa"/>
            <w:vAlign w:val="center"/>
          </w:tcPr>
          <w:p w:rsidR="00B414C1" w:rsidRPr="00874385" w:rsidRDefault="00B414C1" w:rsidP="00B414C1">
            <w:pPr>
              <w:jc w:val="right"/>
              <w:rPr>
                <w:rFonts w:cs="Times New Roman"/>
                <w:color w:val="000000"/>
                <w:sz w:val="20"/>
                <w:szCs w:val="20"/>
              </w:rPr>
            </w:pPr>
            <w:r w:rsidRPr="00874385">
              <w:rPr>
                <w:rFonts w:cs="Times New Roman"/>
                <w:color w:val="000000"/>
                <w:sz w:val="20"/>
                <w:szCs w:val="20"/>
              </w:rPr>
              <w:t>1</w:t>
            </w:r>
            <w:r>
              <w:rPr>
                <w:rFonts w:cs="Times New Roman"/>
                <w:color w:val="000000"/>
                <w:sz w:val="20"/>
                <w:szCs w:val="20"/>
              </w:rPr>
              <w:t>,</w:t>
            </w:r>
            <w:r w:rsidRPr="00874385">
              <w:rPr>
                <w:rFonts w:cs="Times New Roman"/>
                <w:color w:val="000000"/>
                <w:sz w:val="20"/>
                <w:szCs w:val="20"/>
              </w:rPr>
              <w:t>326</w:t>
            </w:r>
          </w:p>
        </w:tc>
        <w:tc>
          <w:tcPr>
            <w:tcW w:w="927" w:type="dxa"/>
            <w:vMerge/>
            <w:vAlign w:val="center"/>
          </w:tcPr>
          <w:p w:rsidR="00B414C1" w:rsidRDefault="00B414C1" w:rsidP="00B414C1">
            <w:pPr>
              <w:jc w:val="left"/>
              <w:rPr>
                <w:rFonts w:cs="Times New Roman"/>
                <w:color w:val="000000"/>
                <w:sz w:val="20"/>
                <w:szCs w:val="20"/>
              </w:rPr>
            </w:pPr>
          </w:p>
        </w:tc>
      </w:tr>
      <w:tr w:rsidR="00B414C1" w:rsidRPr="00432C28" w:rsidTr="00B414C1">
        <w:trPr>
          <w:trHeight w:val="147"/>
          <w:jc w:val="center"/>
        </w:trPr>
        <w:tc>
          <w:tcPr>
            <w:tcW w:w="2319" w:type="dxa"/>
            <w:vMerge/>
          </w:tcPr>
          <w:p w:rsidR="00B414C1" w:rsidRPr="00874385" w:rsidRDefault="00B414C1" w:rsidP="00B414C1">
            <w:pPr>
              <w:jc w:val="left"/>
              <w:rPr>
                <w:rFonts w:cs="Times New Roman"/>
                <w:color w:val="000000"/>
                <w:sz w:val="20"/>
                <w:szCs w:val="20"/>
              </w:rPr>
            </w:pPr>
          </w:p>
        </w:tc>
        <w:tc>
          <w:tcPr>
            <w:tcW w:w="772" w:type="dxa"/>
            <w:vMerge/>
          </w:tcPr>
          <w:p w:rsidR="00B414C1" w:rsidRPr="00874385" w:rsidRDefault="00B414C1" w:rsidP="00B414C1">
            <w:pPr>
              <w:jc w:val="left"/>
              <w:rPr>
                <w:rFonts w:cs="Times New Roman"/>
                <w:color w:val="000000"/>
                <w:sz w:val="20"/>
                <w:szCs w:val="20"/>
              </w:rPr>
            </w:pPr>
          </w:p>
        </w:tc>
        <w:tc>
          <w:tcPr>
            <w:tcW w:w="3738" w:type="dxa"/>
            <w:vAlign w:val="center"/>
          </w:tcPr>
          <w:p w:rsidR="00B414C1" w:rsidRPr="00874385" w:rsidRDefault="00B414C1" w:rsidP="00B414C1">
            <w:pPr>
              <w:jc w:val="left"/>
              <w:rPr>
                <w:rFonts w:cs="Times New Roman"/>
                <w:color w:val="000000"/>
                <w:sz w:val="20"/>
                <w:szCs w:val="20"/>
              </w:rPr>
            </w:pPr>
            <w:r w:rsidRPr="00874385">
              <w:rPr>
                <w:rFonts w:cs="Times New Roman"/>
                <w:color w:val="000000"/>
                <w:sz w:val="20"/>
                <w:szCs w:val="20"/>
              </w:rPr>
              <w:t>Tier1_indor2_HZ1_resistheat_0-55gallons</w:t>
            </w:r>
          </w:p>
        </w:tc>
        <w:tc>
          <w:tcPr>
            <w:tcW w:w="772" w:type="dxa"/>
            <w:vAlign w:val="center"/>
          </w:tcPr>
          <w:p w:rsidR="00B414C1" w:rsidRPr="00874385" w:rsidRDefault="00B414C1" w:rsidP="00B414C1">
            <w:pPr>
              <w:jc w:val="right"/>
              <w:rPr>
                <w:rFonts w:cs="Times New Roman"/>
                <w:color w:val="000000"/>
                <w:sz w:val="20"/>
                <w:szCs w:val="20"/>
              </w:rPr>
            </w:pPr>
            <w:r w:rsidRPr="00874385">
              <w:rPr>
                <w:rFonts w:cs="Times New Roman"/>
                <w:color w:val="000000"/>
                <w:sz w:val="20"/>
                <w:szCs w:val="20"/>
              </w:rPr>
              <w:t>980</w:t>
            </w:r>
          </w:p>
        </w:tc>
        <w:tc>
          <w:tcPr>
            <w:tcW w:w="927" w:type="dxa"/>
            <w:vMerge/>
            <w:vAlign w:val="center"/>
          </w:tcPr>
          <w:p w:rsidR="00B414C1" w:rsidRDefault="00B414C1" w:rsidP="00B414C1">
            <w:pPr>
              <w:jc w:val="left"/>
              <w:rPr>
                <w:rFonts w:cs="Times New Roman"/>
                <w:color w:val="000000"/>
                <w:sz w:val="20"/>
                <w:szCs w:val="20"/>
              </w:rPr>
            </w:pPr>
          </w:p>
        </w:tc>
      </w:tr>
      <w:tr w:rsidR="00B414C1" w:rsidRPr="00432C28" w:rsidTr="00B414C1">
        <w:trPr>
          <w:trHeight w:val="147"/>
          <w:jc w:val="center"/>
        </w:trPr>
        <w:tc>
          <w:tcPr>
            <w:tcW w:w="2319" w:type="dxa"/>
            <w:vMerge/>
          </w:tcPr>
          <w:p w:rsidR="00B414C1" w:rsidRPr="00874385" w:rsidRDefault="00B414C1" w:rsidP="00B414C1">
            <w:pPr>
              <w:jc w:val="left"/>
              <w:rPr>
                <w:rFonts w:cs="Times New Roman"/>
                <w:color w:val="000000"/>
                <w:sz w:val="20"/>
                <w:szCs w:val="20"/>
              </w:rPr>
            </w:pPr>
          </w:p>
        </w:tc>
        <w:tc>
          <w:tcPr>
            <w:tcW w:w="772" w:type="dxa"/>
            <w:vMerge/>
          </w:tcPr>
          <w:p w:rsidR="00B414C1" w:rsidRPr="00874385" w:rsidRDefault="00B414C1" w:rsidP="00B414C1">
            <w:pPr>
              <w:jc w:val="left"/>
              <w:rPr>
                <w:rFonts w:cs="Times New Roman"/>
                <w:color w:val="000000"/>
                <w:sz w:val="20"/>
                <w:szCs w:val="20"/>
              </w:rPr>
            </w:pPr>
          </w:p>
        </w:tc>
        <w:tc>
          <w:tcPr>
            <w:tcW w:w="3738" w:type="dxa"/>
            <w:vAlign w:val="center"/>
          </w:tcPr>
          <w:p w:rsidR="00B414C1" w:rsidRPr="00874385" w:rsidRDefault="00B414C1" w:rsidP="00B414C1">
            <w:pPr>
              <w:jc w:val="left"/>
              <w:rPr>
                <w:rFonts w:cs="Times New Roman"/>
                <w:color w:val="000000"/>
                <w:sz w:val="20"/>
                <w:szCs w:val="20"/>
              </w:rPr>
            </w:pPr>
            <w:r w:rsidRPr="00874385">
              <w:rPr>
                <w:rFonts w:cs="Times New Roman"/>
                <w:color w:val="000000"/>
                <w:sz w:val="20"/>
                <w:szCs w:val="20"/>
              </w:rPr>
              <w:t>Tier1_indor2_HZ1_hp85_0-55gallons</w:t>
            </w:r>
          </w:p>
        </w:tc>
        <w:tc>
          <w:tcPr>
            <w:tcW w:w="772" w:type="dxa"/>
            <w:vAlign w:val="center"/>
          </w:tcPr>
          <w:p w:rsidR="00B414C1" w:rsidRPr="00874385" w:rsidRDefault="00B414C1" w:rsidP="00B414C1">
            <w:pPr>
              <w:jc w:val="right"/>
              <w:rPr>
                <w:rFonts w:cs="Times New Roman"/>
                <w:color w:val="000000"/>
                <w:sz w:val="20"/>
                <w:szCs w:val="20"/>
              </w:rPr>
            </w:pPr>
            <w:r w:rsidRPr="00874385">
              <w:rPr>
                <w:rFonts w:cs="Times New Roman"/>
                <w:color w:val="000000"/>
                <w:sz w:val="20"/>
                <w:szCs w:val="20"/>
              </w:rPr>
              <w:t>1</w:t>
            </w:r>
            <w:r>
              <w:rPr>
                <w:rFonts w:cs="Times New Roman"/>
                <w:color w:val="000000"/>
                <w:sz w:val="20"/>
                <w:szCs w:val="20"/>
              </w:rPr>
              <w:t>,</w:t>
            </w:r>
            <w:r w:rsidRPr="00874385">
              <w:rPr>
                <w:rFonts w:cs="Times New Roman"/>
                <w:color w:val="000000"/>
                <w:sz w:val="20"/>
                <w:szCs w:val="20"/>
              </w:rPr>
              <w:t>174</w:t>
            </w:r>
          </w:p>
        </w:tc>
        <w:tc>
          <w:tcPr>
            <w:tcW w:w="927" w:type="dxa"/>
            <w:vMerge/>
            <w:vAlign w:val="center"/>
          </w:tcPr>
          <w:p w:rsidR="00B414C1" w:rsidRPr="00FD1988" w:rsidRDefault="00B414C1" w:rsidP="00B414C1">
            <w:pPr>
              <w:jc w:val="left"/>
              <w:rPr>
                <w:rFonts w:cs="Times New Roman"/>
                <w:color w:val="000000"/>
                <w:sz w:val="20"/>
                <w:szCs w:val="20"/>
              </w:rPr>
            </w:pPr>
          </w:p>
        </w:tc>
      </w:tr>
      <w:tr w:rsidR="00B414C1" w:rsidRPr="00432C28" w:rsidTr="00B414C1">
        <w:trPr>
          <w:trHeight w:val="147"/>
          <w:jc w:val="center"/>
        </w:trPr>
        <w:tc>
          <w:tcPr>
            <w:tcW w:w="2319" w:type="dxa"/>
            <w:vMerge/>
          </w:tcPr>
          <w:p w:rsidR="00B414C1" w:rsidRPr="00874385" w:rsidRDefault="00B414C1" w:rsidP="00B414C1">
            <w:pPr>
              <w:jc w:val="left"/>
              <w:rPr>
                <w:rFonts w:cs="Times New Roman"/>
                <w:color w:val="000000"/>
                <w:sz w:val="20"/>
                <w:szCs w:val="20"/>
              </w:rPr>
            </w:pPr>
          </w:p>
        </w:tc>
        <w:tc>
          <w:tcPr>
            <w:tcW w:w="772" w:type="dxa"/>
            <w:vMerge/>
          </w:tcPr>
          <w:p w:rsidR="00B414C1" w:rsidRPr="00874385" w:rsidRDefault="00B414C1" w:rsidP="00B414C1">
            <w:pPr>
              <w:jc w:val="left"/>
              <w:rPr>
                <w:rFonts w:cs="Times New Roman"/>
                <w:color w:val="000000"/>
                <w:sz w:val="20"/>
                <w:szCs w:val="20"/>
              </w:rPr>
            </w:pPr>
          </w:p>
        </w:tc>
        <w:tc>
          <w:tcPr>
            <w:tcW w:w="3738" w:type="dxa"/>
            <w:vAlign w:val="center"/>
          </w:tcPr>
          <w:p w:rsidR="00B414C1" w:rsidRPr="00874385" w:rsidRDefault="00B414C1" w:rsidP="00B414C1">
            <w:pPr>
              <w:jc w:val="left"/>
              <w:rPr>
                <w:rFonts w:cs="Times New Roman"/>
                <w:color w:val="000000"/>
                <w:sz w:val="20"/>
                <w:szCs w:val="20"/>
              </w:rPr>
            </w:pPr>
            <w:r w:rsidRPr="00874385">
              <w:rPr>
                <w:rFonts w:cs="Times New Roman"/>
                <w:color w:val="000000"/>
                <w:sz w:val="20"/>
                <w:szCs w:val="20"/>
              </w:rPr>
              <w:t>Tier2_garage_HZ1_0-55gallons</w:t>
            </w:r>
          </w:p>
        </w:tc>
        <w:tc>
          <w:tcPr>
            <w:tcW w:w="772" w:type="dxa"/>
            <w:vAlign w:val="center"/>
          </w:tcPr>
          <w:p w:rsidR="00B414C1" w:rsidRPr="00874385" w:rsidRDefault="00B414C1" w:rsidP="00B414C1">
            <w:pPr>
              <w:jc w:val="right"/>
              <w:rPr>
                <w:rFonts w:cs="Times New Roman"/>
                <w:color w:val="000000"/>
                <w:sz w:val="20"/>
                <w:szCs w:val="20"/>
              </w:rPr>
            </w:pPr>
            <w:r w:rsidRPr="00874385">
              <w:rPr>
                <w:rFonts w:cs="Times New Roman"/>
                <w:color w:val="000000"/>
                <w:sz w:val="20"/>
                <w:szCs w:val="20"/>
              </w:rPr>
              <w:t>1</w:t>
            </w:r>
            <w:r>
              <w:rPr>
                <w:rFonts w:cs="Times New Roman"/>
                <w:color w:val="000000"/>
                <w:sz w:val="20"/>
                <w:szCs w:val="20"/>
              </w:rPr>
              <w:t>,</w:t>
            </w:r>
            <w:r w:rsidRPr="00874385">
              <w:rPr>
                <w:rFonts w:cs="Times New Roman"/>
                <w:color w:val="000000"/>
                <w:sz w:val="20"/>
                <w:szCs w:val="20"/>
              </w:rPr>
              <w:t>592</w:t>
            </w:r>
          </w:p>
        </w:tc>
        <w:tc>
          <w:tcPr>
            <w:tcW w:w="927" w:type="dxa"/>
            <w:vMerge/>
            <w:vAlign w:val="center"/>
          </w:tcPr>
          <w:p w:rsidR="00B414C1" w:rsidRPr="00FD1988" w:rsidRDefault="00B414C1" w:rsidP="00B414C1">
            <w:pPr>
              <w:jc w:val="left"/>
              <w:rPr>
                <w:rFonts w:cs="Times New Roman"/>
                <w:color w:val="000000"/>
                <w:sz w:val="20"/>
                <w:szCs w:val="20"/>
              </w:rPr>
            </w:pPr>
          </w:p>
        </w:tc>
      </w:tr>
      <w:tr w:rsidR="00B414C1" w:rsidRPr="00432C28" w:rsidTr="00B414C1">
        <w:trPr>
          <w:trHeight w:val="147"/>
          <w:jc w:val="center"/>
        </w:trPr>
        <w:tc>
          <w:tcPr>
            <w:tcW w:w="2319" w:type="dxa"/>
            <w:vMerge/>
          </w:tcPr>
          <w:p w:rsidR="00B414C1" w:rsidRPr="00874385" w:rsidRDefault="00B414C1" w:rsidP="00B414C1">
            <w:pPr>
              <w:jc w:val="left"/>
              <w:rPr>
                <w:rFonts w:cs="Times New Roman"/>
                <w:color w:val="000000"/>
                <w:sz w:val="20"/>
                <w:szCs w:val="20"/>
              </w:rPr>
            </w:pPr>
          </w:p>
        </w:tc>
        <w:tc>
          <w:tcPr>
            <w:tcW w:w="772" w:type="dxa"/>
            <w:vMerge/>
          </w:tcPr>
          <w:p w:rsidR="00B414C1" w:rsidRPr="00874385" w:rsidRDefault="00B414C1" w:rsidP="00B414C1">
            <w:pPr>
              <w:jc w:val="left"/>
              <w:rPr>
                <w:rFonts w:cs="Times New Roman"/>
                <w:color w:val="000000"/>
                <w:sz w:val="20"/>
                <w:szCs w:val="20"/>
              </w:rPr>
            </w:pPr>
          </w:p>
        </w:tc>
        <w:tc>
          <w:tcPr>
            <w:tcW w:w="3738" w:type="dxa"/>
            <w:vAlign w:val="center"/>
          </w:tcPr>
          <w:p w:rsidR="00B414C1" w:rsidRPr="00874385" w:rsidRDefault="00B414C1" w:rsidP="00B414C1">
            <w:pPr>
              <w:jc w:val="left"/>
              <w:rPr>
                <w:rFonts w:cs="Times New Roman"/>
                <w:color w:val="000000"/>
                <w:sz w:val="20"/>
                <w:szCs w:val="20"/>
              </w:rPr>
            </w:pPr>
            <w:r w:rsidRPr="00874385">
              <w:rPr>
                <w:rFonts w:cs="Times New Roman"/>
                <w:color w:val="000000"/>
                <w:sz w:val="20"/>
                <w:szCs w:val="20"/>
              </w:rPr>
              <w:t>Tier2_basmnt_HZ1_0-55gallons</w:t>
            </w:r>
          </w:p>
        </w:tc>
        <w:tc>
          <w:tcPr>
            <w:tcW w:w="772" w:type="dxa"/>
            <w:vAlign w:val="center"/>
          </w:tcPr>
          <w:p w:rsidR="00B414C1" w:rsidRPr="00874385" w:rsidRDefault="00B414C1" w:rsidP="00B414C1">
            <w:pPr>
              <w:jc w:val="right"/>
              <w:rPr>
                <w:rFonts w:cs="Times New Roman"/>
                <w:color w:val="000000"/>
                <w:sz w:val="20"/>
                <w:szCs w:val="20"/>
              </w:rPr>
            </w:pPr>
            <w:r w:rsidRPr="00874385">
              <w:rPr>
                <w:rFonts w:cs="Times New Roman"/>
                <w:color w:val="000000"/>
                <w:sz w:val="20"/>
                <w:szCs w:val="20"/>
              </w:rPr>
              <w:t>1</w:t>
            </w:r>
            <w:r>
              <w:rPr>
                <w:rFonts w:cs="Times New Roman"/>
                <w:color w:val="000000"/>
                <w:sz w:val="20"/>
                <w:szCs w:val="20"/>
              </w:rPr>
              <w:t>,</w:t>
            </w:r>
            <w:r w:rsidRPr="00874385">
              <w:rPr>
                <w:rFonts w:cs="Times New Roman"/>
                <w:color w:val="000000"/>
                <w:sz w:val="20"/>
                <w:szCs w:val="20"/>
              </w:rPr>
              <w:t>614</w:t>
            </w:r>
          </w:p>
        </w:tc>
        <w:tc>
          <w:tcPr>
            <w:tcW w:w="927" w:type="dxa"/>
            <w:vMerge/>
            <w:vAlign w:val="center"/>
          </w:tcPr>
          <w:p w:rsidR="00B414C1" w:rsidRDefault="00B414C1" w:rsidP="00B414C1">
            <w:pPr>
              <w:jc w:val="left"/>
              <w:rPr>
                <w:rFonts w:cs="Times New Roman"/>
                <w:color w:val="000000"/>
                <w:sz w:val="20"/>
                <w:szCs w:val="20"/>
              </w:rPr>
            </w:pPr>
          </w:p>
        </w:tc>
      </w:tr>
      <w:tr w:rsidR="00B414C1" w:rsidRPr="00432C28" w:rsidTr="00B414C1">
        <w:trPr>
          <w:trHeight w:val="147"/>
          <w:jc w:val="center"/>
        </w:trPr>
        <w:tc>
          <w:tcPr>
            <w:tcW w:w="2319" w:type="dxa"/>
            <w:vMerge/>
          </w:tcPr>
          <w:p w:rsidR="00B414C1" w:rsidRPr="00874385" w:rsidRDefault="00B414C1" w:rsidP="00B414C1">
            <w:pPr>
              <w:jc w:val="left"/>
              <w:rPr>
                <w:rFonts w:cs="Times New Roman"/>
                <w:color w:val="000000"/>
                <w:sz w:val="20"/>
                <w:szCs w:val="20"/>
              </w:rPr>
            </w:pPr>
          </w:p>
        </w:tc>
        <w:tc>
          <w:tcPr>
            <w:tcW w:w="772" w:type="dxa"/>
            <w:vMerge/>
          </w:tcPr>
          <w:p w:rsidR="00B414C1" w:rsidRPr="00874385" w:rsidRDefault="00B414C1" w:rsidP="00B414C1">
            <w:pPr>
              <w:jc w:val="left"/>
              <w:rPr>
                <w:rFonts w:cs="Times New Roman"/>
                <w:color w:val="000000"/>
                <w:sz w:val="20"/>
                <w:szCs w:val="20"/>
              </w:rPr>
            </w:pPr>
          </w:p>
        </w:tc>
        <w:tc>
          <w:tcPr>
            <w:tcW w:w="3738" w:type="dxa"/>
            <w:vAlign w:val="center"/>
          </w:tcPr>
          <w:p w:rsidR="00B414C1" w:rsidRPr="00874385" w:rsidRDefault="00B414C1" w:rsidP="00B414C1">
            <w:pPr>
              <w:jc w:val="left"/>
              <w:rPr>
                <w:rFonts w:cs="Times New Roman"/>
                <w:color w:val="000000"/>
                <w:sz w:val="20"/>
                <w:szCs w:val="20"/>
              </w:rPr>
            </w:pPr>
            <w:r w:rsidRPr="00874385">
              <w:rPr>
                <w:rFonts w:cs="Times New Roman"/>
                <w:color w:val="000000"/>
                <w:sz w:val="20"/>
                <w:szCs w:val="20"/>
              </w:rPr>
              <w:t>Tier2_indor2_HZ1_gas_0-55gallons</w:t>
            </w:r>
          </w:p>
        </w:tc>
        <w:tc>
          <w:tcPr>
            <w:tcW w:w="772" w:type="dxa"/>
            <w:vAlign w:val="center"/>
          </w:tcPr>
          <w:p w:rsidR="00B414C1" w:rsidRPr="00874385" w:rsidRDefault="00B414C1" w:rsidP="00B414C1">
            <w:pPr>
              <w:jc w:val="right"/>
              <w:rPr>
                <w:rFonts w:cs="Times New Roman"/>
                <w:color w:val="000000"/>
                <w:sz w:val="20"/>
                <w:szCs w:val="20"/>
              </w:rPr>
            </w:pPr>
            <w:r w:rsidRPr="00874385">
              <w:rPr>
                <w:rFonts w:cs="Times New Roman"/>
                <w:color w:val="000000"/>
                <w:sz w:val="20"/>
                <w:szCs w:val="20"/>
              </w:rPr>
              <w:t>1</w:t>
            </w:r>
            <w:r>
              <w:rPr>
                <w:rFonts w:cs="Times New Roman"/>
                <w:color w:val="000000"/>
                <w:sz w:val="20"/>
                <w:szCs w:val="20"/>
              </w:rPr>
              <w:t>,</w:t>
            </w:r>
            <w:r w:rsidRPr="00874385">
              <w:rPr>
                <w:rFonts w:cs="Times New Roman"/>
                <w:color w:val="000000"/>
                <w:sz w:val="20"/>
                <w:szCs w:val="20"/>
              </w:rPr>
              <w:t>690</w:t>
            </w:r>
          </w:p>
        </w:tc>
        <w:tc>
          <w:tcPr>
            <w:tcW w:w="927" w:type="dxa"/>
            <w:vMerge/>
            <w:vAlign w:val="center"/>
          </w:tcPr>
          <w:p w:rsidR="00B414C1" w:rsidRDefault="00B414C1" w:rsidP="00B414C1">
            <w:pPr>
              <w:jc w:val="left"/>
              <w:rPr>
                <w:rFonts w:cs="Times New Roman"/>
                <w:color w:val="000000"/>
                <w:sz w:val="20"/>
                <w:szCs w:val="20"/>
              </w:rPr>
            </w:pPr>
          </w:p>
        </w:tc>
      </w:tr>
      <w:tr w:rsidR="00B414C1" w:rsidRPr="00432C28" w:rsidTr="00B414C1">
        <w:trPr>
          <w:trHeight w:val="147"/>
          <w:jc w:val="center"/>
        </w:trPr>
        <w:tc>
          <w:tcPr>
            <w:tcW w:w="2319" w:type="dxa"/>
            <w:vMerge/>
          </w:tcPr>
          <w:p w:rsidR="00B414C1" w:rsidRPr="00874385" w:rsidRDefault="00B414C1" w:rsidP="00B414C1">
            <w:pPr>
              <w:jc w:val="left"/>
              <w:rPr>
                <w:rFonts w:cs="Times New Roman"/>
                <w:color w:val="000000"/>
                <w:sz w:val="20"/>
                <w:szCs w:val="20"/>
              </w:rPr>
            </w:pPr>
          </w:p>
        </w:tc>
        <w:tc>
          <w:tcPr>
            <w:tcW w:w="772" w:type="dxa"/>
            <w:vMerge/>
          </w:tcPr>
          <w:p w:rsidR="00B414C1" w:rsidRPr="00874385" w:rsidRDefault="00B414C1" w:rsidP="00B414C1">
            <w:pPr>
              <w:jc w:val="left"/>
              <w:rPr>
                <w:rFonts w:cs="Times New Roman"/>
                <w:color w:val="000000"/>
                <w:sz w:val="20"/>
                <w:szCs w:val="20"/>
              </w:rPr>
            </w:pPr>
          </w:p>
        </w:tc>
        <w:tc>
          <w:tcPr>
            <w:tcW w:w="3738" w:type="dxa"/>
            <w:vAlign w:val="center"/>
          </w:tcPr>
          <w:p w:rsidR="00B414C1" w:rsidRPr="00874385" w:rsidRDefault="00B414C1" w:rsidP="00B414C1">
            <w:pPr>
              <w:jc w:val="left"/>
              <w:rPr>
                <w:rFonts w:cs="Times New Roman"/>
                <w:color w:val="000000"/>
                <w:sz w:val="20"/>
                <w:szCs w:val="20"/>
              </w:rPr>
            </w:pPr>
            <w:r w:rsidRPr="00874385">
              <w:rPr>
                <w:rFonts w:cs="Times New Roman"/>
                <w:color w:val="000000"/>
                <w:sz w:val="20"/>
                <w:szCs w:val="20"/>
              </w:rPr>
              <w:t>Tier2_indor2_HZ1_resistheat_0-55gallons</w:t>
            </w:r>
          </w:p>
        </w:tc>
        <w:tc>
          <w:tcPr>
            <w:tcW w:w="772" w:type="dxa"/>
            <w:vAlign w:val="center"/>
          </w:tcPr>
          <w:p w:rsidR="00B414C1" w:rsidRPr="00874385" w:rsidRDefault="00B414C1" w:rsidP="00B414C1">
            <w:pPr>
              <w:jc w:val="right"/>
              <w:rPr>
                <w:rFonts w:cs="Times New Roman"/>
                <w:color w:val="000000"/>
                <w:sz w:val="20"/>
                <w:szCs w:val="20"/>
              </w:rPr>
            </w:pPr>
            <w:r w:rsidRPr="00874385">
              <w:rPr>
                <w:rFonts w:cs="Times New Roman"/>
                <w:color w:val="000000"/>
                <w:sz w:val="20"/>
                <w:szCs w:val="20"/>
              </w:rPr>
              <w:t>1</w:t>
            </w:r>
            <w:r>
              <w:rPr>
                <w:rFonts w:cs="Times New Roman"/>
                <w:color w:val="000000"/>
                <w:sz w:val="20"/>
                <w:szCs w:val="20"/>
              </w:rPr>
              <w:t>,</w:t>
            </w:r>
            <w:r w:rsidRPr="00874385">
              <w:rPr>
                <w:rFonts w:cs="Times New Roman"/>
                <w:color w:val="000000"/>
                <w:sz w:val="20"/>
                <w:szCs w:val="20"/>
              </w:rPr>
              <w:t>230</w:t>
            </w:r>
          </w:p>
        </w:tc>
        <w:tc>
          <w:tcPr>
            <w:tcW w:w="927" w:type="dxa"/>
            <w:vMerge/>
            <w:vAlign w:val="center"/>
          </w:tcPr>
          <w:p w:rsidR="00B414C1" w:rsidRDefault="00B414C1" w:rsidP="00B414C1">
            <w:pPr>
              <w:jc w:val="left"/>
              <w:rPr>
                <w:rFonts w:cs="Times New Roman"/>
                <w:color w:val="000000"/>
                <w:sz w:val="20"/>
                <w:szCs w:val="20"/>
              </w:rPr>
            </w:pPr>
          </w:p>
        </w:tc>
      </w:tr>
      <w:tr w:rsidR="00B414C1" w:rsidRPr="00432C28" w:rsidTr="00B414C1">
        <w:trPr>
          <w:trHeight w:val="147"/>
          <w:jc w:val="center"/>
        </w:trPr>
        <w:tc>
          <w:tcPr>
            <w:tcW w:w="2319" w:type="dxa"/>
            <w:vMerge/>
          </w:tcPr>
          <w:p w:rsidR="00B414C1" w:rsidRPr="00874385" w:rsidRDefault="00B414C1" w:rsidP="00B414C1">
            <w:pPr>
              <w:jc w:val="left"/>
              <w:rPr>
                <w:rFonts w:cs="Times New Roman"/>
                <w:color w:val="000000"/>
                <w:sz w:val="20"/>
                <w:szCs w:val="20"/>
              </w:rPr>
            </w:pPr>
          </w:p>
        </w:tc>
        <w:tc>
          <w:tcPr>
            <w:tcW w:w="772" w:type="dxa"/>
            <w:vMerge/>
          </w:tcPr>
          <w:p w:rsidR="00B414C1" w:rsidRPr="00874385" w:rsidRDefault="00B414C1" w:rsidP="00B414C1">
            <w:pPr>
              <w:jc w:val="left"/>
              <w:rPr>
                <w:rFonts w:cs="Times New Roman"/>
                <w:color w:val="000000"/>
                <w:sz w:val="20"/>
                <w:szCs w:val="20"/>
              </w:rPr>
            </w:pPr>
          </w:p>
        </w:tc>
        <w:tc>
          <w:tcPr>
            <w:tcW w:w="3738" w:type="dxa"/>
            <w:vAlign w:val="center"/>
          </w:tcPr>
          <w:p w:rsidR="00B414C1" w:rsidRPr="00874385" w:rsidRDefault="00B414C1" w:rsidP="00B414C1">
            <w:pPr>
              <w:jc w:val="left"/>
              <w:rPr>
                <w:rFonts w:cs="Times New Roman"/>
                <w:color w:val="000000"/>
                <w:sz w:val="20"/>
                <w:szCs w:val="20"/>
              </w:rPr>
            </w:pPr>
            <w:r w:rsidRPr="00874385">
              <w:rPr>
                <w:rFonts w:cs="Times New Roman"/>
                <w:color w:val="000000"/>
                <w:sz w:val="20"/>
                <w:szCs w:val="20"/>
              </w:rPr>
              <w:t>Tier2_indor2_HZ1_hp85_0-55gallons</w:t>
            </w:r>
          </w:p>
        </w:tc>
        <w:tc>
          <w:tcPr>
            <w:tcW w:w="772" w:type="dxa"/>
            <w:vAlign w:val="center"/>
          </w:tcPr>
          <w:p w:rsidR="00B414C1" w:rsidRPr="00874385" w:rsidRDefault="00B414C1" w:rsidP="00B414C1">
            <w:pPr>
              <w:jc w:val="right"/>
              <w:rPr>
                <w:rFonts w:cs="Times New Roman"/>
                <w:color w:val="000000"/>
                <w:sz w:val="20"/>
                <w:szCs w:val="20"/>
              </w:rPr>
            </w:pPr>
            <w:r w:rsidRPr="00874385">
              <w:rPr>
                <w:rFonts w:cs="Times New Roman"/>
                <w:color w:val="000000"/>
                <w:sz w:val="20"/>
                <w:szCs w:val="20"/>
              </w:rPr>
              <w:t>1</w:t>
            </w:r>
            <w:r>
              <w:rPr>
                <w:rFonts w:cs="Times New Roman"/>
                <w:color w:val="000000"/>
                <w:sz w:val="20"/>
                <w:szCs w:val="20"/>
              </w:rPr>
              <w:t>,</w:t>
            </w:r>
            <w:r w:rsidRPr="00874385">
              <w:rPr>
                <w:rFonts w:cs="Times New Roman"/>
                <w:color w:val="000000"/>
                <w:sz w:val="20"/>
                <w:szCs w:val="20"/>
              </w:rPr>
              <w:t>484</w:t>
            </w:r>
          </w:p>
        </w:tc>
        <w:tc>
          <w:tcPr>
            <w:tcW w:w="927" w:type="dxa"/>
            <w:vMerge/>
            <w:vAlign w:val="center"/>
          </w:tcPr>
          <w:p w:rsidR="00B414C1" w:rsidRDefault="00B414C1" w:rsidP="00B414C1">
            <w:pPr>
              <w:jc w:val="left"/>
              <w:rPr>
                <w:rFonts w:cs="Times New Roman"/>
                <w:color w:val="000000"/>
                <w:sz w:val="20"/>
                <w:szCs w:val="20"/>
              </w:rPr>
            </w:pPr>
          </w:p>
        </w:tc>
      </w:tr>
    </w:tbl>
    <w:p w:rsidR="00B414C1" w:rsidRPr="001A1386" w:rsidRDefault="00B414C1" w:rsidP="00B414C1">
      <w:pPr>
        <w:rPr>
          <w:rFonts w:cs="Times New Roman"/>
          <w:b/>
          <w:szCs w:val="24"/>
        </w:rPr>
      </w:pPr>
    </w:p>
    <w:p w:rsidR="00B414C1" w:rsidRDefault="00B414C1" w:rsidP="00B414C1">
      <w:pPr>
        <w:rPr>
          <w:rFonts w:cs="Times New Roman"/>
          <w:szCs w:val="24"/>
          <w:u w:val="single"/>
        </w:rPr>
      </w:pPr>
      <w:r>
        <w:rPr>
          <w:rFonts w:cs="Times New Roman"/>
          <w:szCs w:val="24"/>
          <w:u w:val="single"/>
        </w:rPr>
        <w:t>Residential</w:t>
      </w:r>
      <w:r w:rsidRPr="008040BB">
        <w:rPr>
          <w:rFonts w:cs="Times New Roman"/>
          <w:szCs w:val="24"/>
          <w:u w:val="single"/>
        </w:rPr>
        <w:t xml:space="preserve"> </w:t>
      </w:r>
      <w:r>
        <w:rPr>
          <w:rFonts w:cs="Times New Roman"/>
          <w:szCs w:val="24"/>
          <w:u w:val="single"/>
        </w:rPr>
        <w:t>Behavior</w:t>
      </w:r>
    </w:p>
    <w:p w:rsidR="00B414C1" w:rsidRDefault="00B414C1" w:rsidP="00B414C1">
      <w:pPr>
        <w:rPr>
          <w:rFonts w:cs="Times New Roman"/>
          <w:szCs w:val="24"/>
        </w:rPr>
      </w:pPr>
      <w:r>
        <w:rPr>
          <w:rFonts w:cs="Times New Roman"/>
          <w:szCs w:val="24"/>
        </w:rPr>
        <w:t>The 2015 CPA estimated the remaining potential for residential behavioral programs based on:</w:t>
      </w:r>
    </w:p>
    <w:p w:rsidR="00B414C1" w:rsidRDefault="00B414C1" w:rsidP="00B414C1">
      <w:pPr>
        <w:pStyle w:val="ListParagraph"/>
        <w:numPr>
          <w:ilvl w:val="0"/>
          <w:numId w:val="73"/>
        </w:numPr>
        <w:rPr>
          <w:rFonts w:cs="Times New Roman"/>
          <w:szCs w:val="24"/>
        </w:rPr>
      </w:pPr>
      <w:r>
        <w:rPr>
          <w:rFonts w:cs="Times New Roman"/>
          <w:szCs w:val="24"/>
        </w:rPr>
        <w:t>I</w:t>
      </w:r>
      <w:r w:rsidRPr="00490498">
        <w:rPr>
          <w:rFonts w:cs="Times New Roman"/>
          <w:szCs w:val="24"/>
        </w:rPr>
        <w:t>nformation on market size from the Company’s Home Energy Reports implementer</w:t>
      </w:r>
      <w:r>
        <w:rPr>
          <w:rFonts w:cs="Times New Roman"/>
          <w:szCs w:val="24"/>
        </w:rPr>
        <w:t>,</w:t>
      </w:r>
    </w:p>
    <w:p w:rsidR="00B414C1" w:rsidRDefault="00B414C1" w:rsidP="00B414C1">
      <w:pPr>
        <w:pStyle w:val="ListParagraph"/>
        <w:numPr>
          <w:ilvl w:val="0"/>
          <w:numId w:val="73"/>
        </w:numPr>
        <w:rPr>
          <w:rFonts w:cs="Times New Roman"/>
          <w:szCs w:val="24"/>
        </w:rPr>
      </w:pPr>
      <w:r>
        <w:rPr>
          <w:rFonts w:cs="Times New Roman"/>
          <w:szCs w:val="24"/>
        </w:rPr>
        <w:t>A</w:t>
      </w:r>
      <w:r w:rsidRPr="00490498">
        <w:rPr>
          <w:rFonts w:cs="Times New Roman"/>
          <w:szCs w:val="24"/>
        </w:rPr>
        <w:t>ssumed savings per home</w:t>
      </w:r>
      <w:r>
        <w:rPr>
          <w:rFonts w:cs="Times New Roman"/>
          <w:szCs w:val="24"/>
        </w:rPr>
        <w:t xml:space="preserve">, </w:t>
      </w:r>
      <w:r w:rsidRPr="00490498">
        <w:rPr>
          <w:rFonts w:cs="Times New Roman"/>
          <w:szCs w:val="24"/>
        </w:rPr>
        <w:t>adjusted for estimated savings already at</w:t>
      </w:r>
      <w:r>
        <w:rPr>
          <w:rFonts w:cs="Times New Roman"/>
          <w:szCs w:val="24"/>
        </w:rPr>
        <w:t>tributed to other CPA measures,</w:t>
      </w:r>
    </w:p>
    <w:p w:rsidR="00B414C1" w:rsidRDefault="00B414C1" w:rsidP="00B414C1">
      <w:pPr>
        <w:pStyle w:val="ListParagraph"/>
        <w:numPr>
          <w:ilvl w:val="0"/>
          <w:numId w:val="73"/>
        </w:numPr>
        <w:rPr>
          <w:rFonts w:cs="Times New Roman"/>
          <w:szCs w:val="24"/>
        </w:rPr>
      </w:pPr>
      <w:r>
        <w:rPr>
          <w:rFonts w:cs="Times New Roman"/>
          <w:szCs w:val="24"/>
        </w:rPr>
        <w:t>A</w:t>
      </w:r>
      <w:r w:rsidRPr="00490498">
        <w:rPr>
          <w:rFonts w:cs="Times New Roman"/>
          <w:szCs w:val="24"/>
        </w:rPr>
        <w:t xml:space="preserve"> one-year measure life</w:t>
      </w:r>
      <w:r>
        <w:rPr>
          <w:rFonts w:cs="Times New Roman"/>
          <w:szCs w:val="24"/>
        </w:rPr>
        <w:t>,</w:t>
      </w:r>
      <w:r w:rsidRPr="00490498">
        <w:rPr>
          <w:rFonts w:cs="Times New Roman"/>
          <w:szCs w:val="24"/>
        </w:rPr>
        <w:t xml:space="preserve"> consistent with the </w:t>
      </w:r>
      <w:r>
        <w:rPr>
          <w:rFonts w:cs="Times New Roman"/>
          <w:szCs w:val="24"/>
        </w:rPr>
        <w:t>Company’s current planning and reporting, and</w:t>
      </w:r>
    </w:p>
    <w:p w:rsidR="00B414C1" w:rsidRDefault="00B414C1" w:rsidP="00B414C1">
      <w:pPr>
        <w:pStyle w:val="ListParagraph"/>
        <w:numPr>
          <w:ilvl w:val="0"/>
          <w:numId w:val="73"/>
        </w:numPr>
        <w:rPr>
          <w:rFonts w:cs="Times New Roman"/>
          <w:szCs w:val="24"/>
        </w:rPr>
      </w:pPr>
      <w:r>
        <w:rPr>
          <w:rFonts w:cs="Times New Roman"/>
          <w:szCs w:val="24"/>
        </w:rPr>
        <w:t>Assumed ramp-up time to acquire the remaining potential</w:t>
      </w:r>
    </w:p>
    <w:p w:rsidR="00B414C1" w:rsidRDefault="00B414C1" w:rsidP="00B414C1">
      <w:pPr>
        <w:rPr>
          <w:rFonts w:cs="Times New Roman"/>
          <w:szCs w:val="24"/>
        </w:rPr>
      </w:pPr>
    </w:p>
    <w:p w:rsidR="00B414C1" w:rsidRDefault="00B414C1" w:rsidP="00B414C1">
      <w:pPr>
        <w:rPr>
          <w:rFonts w:cs="Times New Roman"/>
          <w:szCs w:val="24"/>
        </w:rPr>
      </w:pPr>
      <w:r>
        <w:rPr>
          <w:rFonts w:cs="Times New Roman"/>
          <w:szCs w:val="24"/>
        </w:rPr>
        <w:t xml:space="preserve">During the development of the 2016-20125 conservation forecast, stakeholders expressed an interest in better aligning residential behavioral planning and reporting conventions across utilities. In particular, assuming a two-year measure life and only counting full impacts in odd years and incremental impacts in even years. As such, the IRP selections for residential behavior were modified by removing the potential selected by the IRP, utilizing the most current forecast from OPower and allocating savings using a two-year measure life. The modifications are as shown in </w:t>
      </w:r>
      <w:r w:rsidRPr="0055401A">
        <w:rPr>
          <w:rFonts w:cs="Times New Roman"/>
          <w:szCs w:val="24"/>
        </w:rPr>
        <w:t xml:space="preserve">Table </w:t>
      </w:r>
      <w:r w:rsidR="008A651C" w:rsidRPr="0055401A">
        <w:rPr>
          <w:rFonts w:cs="Times New Roman"/>
          <w:szCs w:val="24"/>
        </w:rPr>
        <w:t>5</w:t>
      </w:r>
      <w:r w:rsidR="008A651C">
        <w:rPr>
          <w:rFonts w:cs="Times New Roman"/>
          <w:szCs w:val="24"/>
        </w:rPr>
        <w:t xml:space="preserve"> in the main report. A</w:t>
      </w:r>
      <w:r>
        <w:rPr>
          <w:rFonts w:cs="Times New Roman"/>
          <w:szCs w:val="24"/>
        </w:rPr>
        <w:t xml:space="preserve">dditional information on the two-year measure life and how it’s incorporated into cost-effectiveness analysis is provided below. </w:t>
      </w:r>
    </w:p>
    <w:p w:rsidR="00B414C1" w:rsidRDefault="00B414C1" w:rsidP="00B414C1">
      <w:pPr>
        <w:rPr>
          <w:rFonts w:cs="Times New Roman"/>
          <w:szCs w:val="24"/>
        </w:rPr>
      </w:pPr>
    </w:p>
    <w:p w:rsidR="00B414C1" w:rsidRDefault="00B414C1" w:rsidP="00B414C1">
      <w:pPr>
        <w:rPr>
          <w:rFonts w:cs="Times New Roman"/>
          <w:szCs w:val="24"/>
        </w:rPr>
      </w:pPr>
      <w:r>
        <w:rPr>
          <w:rFonts w:cs="Times New Roman"/>
          <w:szCs w:val="24"/>
        </w:rPr>
        <w:t>Table A4-3 shows OPower’s latest forecast of energy savings during the 2016-2017 biennial period for the legacy and expansion groups.  The terms “legacy” and “expansion” are used to refer to the two program treatment waves, which began receiving reports in August, 2012 and September, 2014, respectively.</w:t>
      </w:r>
    </w:p>
    <w:p w:rsidR="00B414C1" w:rsidRDefault="00B414C1" w:rsidP="00B414C1">
      <w:pPr>
        <w:rPr>
          <w:rFonts w:cs="Times New Roman"/>
          <w:szCs w:val="24"/>
        </w:rPr>
      </w:pPr>
    </w:p>
    <w:p w:rsidR="00B414C1" w:rsidRDefault="00B414C1" w:rsidP="00B414C1">
      <w:pPr>
        <w:jc w:val="center"/>
        <w:rPr>
          <w:rFonts w:cs="Times New Roman"/>
          <w:b/>
          <w:szCs w:val="24"/>
        </w:rPr>
      </w:pPr>
      <w:r>
        <w:rPr>
          <w:rFonts w:cs="Times New Roman"/>
          <w:b/>
          <w:szCs w:val="24"/>
        </w:rPr>
        <w:t xml:space="preserve">Table A4-3 </w:t>
      </w:r>
    </w:p>
    <w:p w:rsidR="00B414C1" w:rsidRDefault="00B414C1" w:rsidP="00B414C1">
      <w:pPr>
        <w:jc w:val="center"/>
        <w:rPr>
          <w:rFonts w:cs="Times New Roman"/>
          <w:b/>
          <w:szCs w:val="24"/>
        </w:rPr>
      </w:pPr>
      <w:r>
        <w:rPr>
          <w:rFonts w:cs="Times New Roman"/>
          <w:b/>
          <w:szCs w:val="24"/>
        </w:rPr>
        <w:t>F</w:t>
      </w:r>
      <w:r w:rsidRPr="00492AB7">
        <w:rPr>
          <w:rFonts w:cs="Times New Roman"/>
          <w:b/>
          <w:szCs w:val="24"/>
        </w:rPr>
        <w:t>orecast</w:t>
      </w:r>
      <w:r>
        <w:rPr>
          <w:rFonts w:cs="Times New Roman"/>
          <w:b/>
          <w:szCs w:val="24"/>
        </w:rPr>
        <w:t xml:space="preserve">ed savings provided by </w:t>
      </w:r>
      <w:r w:rsidRPr="00492AB7">
        <w:rPr>
          <w:rFonts w:cs="Times New Roman"/>
          <w:b/>
          <w:szCs w:val="24"/>
        </w:rPr>
        <w:t>OPower</w:t>
      </w:r>
    </w:p>
    <w:p w:rsidR="00B414C1" w:rsidRDefault="00B414C1" w:rsidP="00B414C1">
      <w:pPr>
        <w:jc w:val="center"/>
        <w:rPr>
          <w:rFonts w:cs="Times New Roman"/>
          <w:b/>
          <w:szCs w:val="24"/>
        </w:rPr>
      </w:pPr>
    </w:p>
    <w:tbl>
      <w:tblPr>
        <w:tblW w:w="5990" w:type="dxa"/>
        <w:jc w:val="center"/>
        <w:tblInd w:w="-8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372"/>
        <w:gridCol w:w="1206"/>
        <w:gridCol w:w="1206"/>
        <w:gridCol w:w="1206"/>
      </w:tblGrid>
      <w:tr w:rsidR="006D723B" w:rsidRPr="00432C28" w:rsidTr="00627827">
        <w:trPr>
          <w:trHeight w:val="305"/>
          <w:jc w:val="center"/>
        </w:trPr>
        <w:tc>
          <w:tcPr>
            <w:tcW w:w="2372" w:type="dxa"/>
            <w:vAlign w:val="bottom"/>
          </w:tcPr>
          <w:p w:rsidR="006D723B" w:rsidRPr="004251EC" w:rsidRDefault="006D723B" w:rsidP="00B414C1">
            <w:pPr>
              <w:jc w:val="center"/>
              <w:rPr>
                <w:rFonts w:eastAsia="Times New Roman" w:cs="Times New Roman"/>
                <w:b/>
                <w:color w:val="000000"/>
                <w:sz w:val="20"/>
                <w:szCs w:val="20"/>
              </w:rPr>
            </w:pPr>
            <w:r w:rsidRPr="00492AB7">
              <w:rPr>
                <w:rFonts w:cs="Times New Roman"/>
                <w:color w:val="000000"/>
                <w:sz w:val="20"/>
                <w:szCs w:val="20"/>
              </w:rPr>
              <w:t> </w:t>
            </w:r>
          </w:p>
        </w:tc>
        <w:tc>
          <w:tcPr>
            <w:tcW w:w="1206" w:type="dxa"/>
            <w:vAlign w:val="bottom"/>
          </w:tcPr>
          <w:p w:rsidR="006D723B" w:rsidRPr="004251EC" w:rsidRDefault="006D723B" w:rsidP="00B414C1">
            <w:pPr>
              <w:jc w:val="center"/>
              <w:rPr>
                <w:rFonts w:eastAsia="Times New Roman" w:cs="Times New Roman"/>
                <w:b/>
                <w:color w:val="000000"/>
                <w:sz w:val="20"/>
                <w:szCs w:val="20"/>
              </w:rPr>
            </w:pPr>
            <w:r w:rsidRPr="00492AB7">
              <w:rPr>
                <w:rFonts w:cs="Times New Roman"/>
                <w:b/>
                <w:bCs/>
                <w:color w:val="000000"/>
                <w:sz w:val="20"/>
                <w:szCs w:val="20"/>
              </w:rPr>
              <w:t>Legacy + Refill Savings (</w:t>
            </w:r>
            <w:r>
              <w:rPr>
                <w:rFonts w:cs="Times New Roman"/>
                <w:b/>
                <w:bCs/>
                <w:color w:val="000000"/>
                <w:sz w:val="20"/>
                <w:szCs w:val="20"/>
              </w:rPr>
              <w:t>MWh at Gen</w:t>
            </w:r>
            <w:r w:rsidRPr="00492AB7">
              <w:rPr>
                <w:rFonts w:cs="Times New Roman"/>
                <w:b/>
                <w:bCs/>
                <w:color w:val="000000"/>
                <w:sz w:val="20"/>
                <w:szCs w:val="20"/>
              </w:rPr>
              <w:t xml:space="preserve">) </w:t>
            </w:r>
          </w:p>
        </w:tc>
        <w:tc>
          <w:tcPr>
            <w:tcW w:w="1206" w:type="dxa"/>
            <w:vAlign w:val="bottom"/>
          </w:tcPr>
          <w:p w:rsidR="006D723B" w:rsidRPr="004251EC" w:rsidRDefault="006D723B" w:rsidP="00B414C1">
            <w:pPr>
              <w:jc w:val="center"/>
              <w:rPr>
                <w:rFonts w:eastAsia="Times New Roman" w:cs="Times New Roman"/>
                <w:b/>
                <w:color w:val="000000"/>
                <w:sz w:val="20"/>
                <w:szCs w:val="20"/>
              </w:rPr>
            </w:pPr>
            <w:r w:rsidRPr="00492AB7">
              <w:rPr>
                <w:rFonts w:cs="Times New Roman"/>
                <w:b/>
                <w:bCs/>
                <w:color w:val="000000"/>
                <w:sz w:val="20"/>
                <w:szCs w:val="20"/>
              </w:rPr>
              <w:t>Expansion Savings (</w:t>
            </w:r>
            <w:r>
              <w:rPr>
                <w:rFonts w:cs="Times New Roman"/>
                <w:b/>
                <w:bCs/>
                <w:color w:val="000000"/>
                <w:sz w:val="20"/>
                <w:szCs w:val="20"/>
              </w:rPr>
              <w:t>MWh at Gen</w:t>
            </w:r>
            <w:r w:rsidRPr="00492AB7">
              <w:rPr>
                <w:rFonts w:cs="Times New Roman"/>
                <w:b/>
                <w:bCs/>
                <w:color w:val="000000"/>
                <w:sz w:val="20"/>
                <w:szCs w:val="20"/>
              </w:rPr>
              <w:t>)</w:t>
            </w:r>
          </w:p>
        </w:tc>
        <w:tc>
          <w:tcPr>
            <w:tcW w:w="1206" w:type="dxa"/>
          </w:tcPr>
          <w:p w:rsidR="006D723B" w:rsidRPr="00492AB7" w:rsidRDefault="006D723B" w:rsidP="00B414C1">
            <w:pPr>
              <w:jc w:val="center"/>
              <w:rPr>
                <w:rFonts w:cs="Times New Roman"/>
                <w:b/>
                <w:bCs/>
                <w:color w:val="000000"/>
                <w:sz w:val="20"/>
                <w:szCs w:val="20"/>
              </w:rPr>
            </w:pPr>
            <w:r>
              <w:rPr>
                <w:rFonts w:cs="Times New Roman"/>
                <w:b/>
                <w:bCs/>
                <w:color w:val="000000"/>
                <w:sz w:val="20"/>
                <w:szCs w:val="20"/>
              </w:rPr>
              <w:t>Total Legacy + Expansion (MWh at Gen)</w:t>
            </w:r>
          </w:p>
        </w:tc>
      </w:tr>
      <w:tr w:rsidR="006D723B" w:rsidRPr="00432C28" w:rsidTr="00627827">
        <w:trPr>
          <w:trHeight w:val="156"/>
          <w:jc w:val="center"/>
        </w:trPr>
        <w:tc>
          <w:tcPr>
            <w:tcW w:w="2372" w:type="dxa"/>
            <w:vAlign w:val="bottom"/>
          </w:tcPr>
          <w:p w:rsidR="006D723B" w:rsidRPr="004251EC" w:rsidRDefault="006D723B" w:rsidP="00B414C1">
            <w:pPr>
              <w:jc w:val="left"/>
              <w:rPr>
                <w:rFonts w:cs="Times New Roman"/>
                <w:b/>
                <w:bCs/>
                <w:color w:val="000000"/>
                <w:sz w:val="20"/>
                <w:szCs w:val="20"/>
              </w:rPr>
            </w:pPr>
            <w:r w:rsidRPr="00FF51C3">
              <w:rPr>
                <w:rFonts w:cs="Times New Roman"/>
                <w:b/>
                <w:bCs/>
                <w:color w:val="000000"/>
                <w:sz w:val="20"/>
                <w:szCs w:val="20"/>
              </w:rPr>
              <w:t>2016</w:t>
            </w:r>
          </w:p>
        </w:tc>
        <w:tc>
          <w:tcPr>
            <w:tcW w:w="1206" w:type="dxa"/>
            <w:vAlign w:val="bottom"/>
          </w:tcPr>
          <w:p w:rsidR="006D723B" w:rsidRPr="004251EC" w:rsidRDefault="006D723B" w:rsidP="00627827">
            <w:pPr>
              <w:jc w:val="right"/>
              <w:rPr>
                <w:rFonts w:cs="Times New Roman"/>
                <w:color w:val="000000"/>
                <w:sz w:val="20"/>
                <w:szCs w:val="20"/>
              </w:rPr>
            </w:pPr>
            <w:r w:rsidRPr="00627827">
              <w:rPr>
                <w:rFonts w:cs="Times New Roman"/>
                <w:color w:val="000000"/>
                <w:sz w:val="20"/>
                <w:szCs w:val="20"/>
              </w:rPr>
              <w:t xml:space="preserve">5,606 </w:t>
            </w:r>
          </w:p>
        </w:tc>
        <w:tc>
          <w:tcPr>
            <w:tcW w:w="1206" w:type="dxa"/>
            <w:vAlign w:val="bottom"/>
          </w:tcPr>
          <w:p w:rsidR="006D723B" w:rsidRPr="004251EC" w:rsidRDefault="006D723B" w:rsidP="006D723B">
            <w:pPr>
              <w:jc w:val="right"/>
              <w:rPr>
                <w:rFonts w:cs="Times New Roman"/>
                <w:color w:val="000000"/>
                <w:sz w:val="20"/>
                <w:szCs w:val="20"/>
              </w:rPr>
            </w:pPr>
            <w:r w:rsidRPr="00627827">
              <w:rPr>
                <w:rFonts w:cs="Times New Roman"/>
                <w:color w:val="000000"/>
                <w:sz w:val="20"/>
                <w:szCs w:val="20"/>
              </w:rPr>
              <w:t xml:space="preserve">4,510 </w:t>
            </w:r>
          </w:p>
        </w:tc>
        <w:tc>
          <w:tcPr>
            <w:tcW w:w="1206" w:type="dxa"/>
            <w:vAlign w:val="bottom"/>
          </w:tcPr>
          <w:p w:rsidR="006D723B" w:rsidRPr="006D723B" w:rsidRDefault="006D723B" w:rsidP="006D723B">
            <w:pPr>
              <w:jc w:val="right"/>
              <w:rPr>
                <w:rFonts w:cs="Times New Roman"/>
                <w:color w:val="000000"/>
                <w:sz w:val="20"/>
                <w:szCs w:val="20"/>
              </w:rPr>
            </w:pPr>
            <w:r w:rsidRPr="00627827">
              <w:rPr>
                <w:rFonts w:cs="Times New Roman"/>
                <w:color w:val="000000"/>
                <w:sz w:val="20"/>
                <w:szCs w:val="20"/>
              </w:rPr>
              <w:t xml:space="preserve">10,116 </w:t>
            </w:r>
          </w:p>
        </w:tc>
      </w:tr>
      <w:tr w:rsidR="006D723B" w:rsidRPr="00432C28" w:rsidTr="00627827">
        <w:trPr>
          <w:trHeight w:val="156"/>
          <w:jc w:val="center"/>
        </w:trPr>
        <w:tc>
          <w:tcPr>
            <w:tcW w:w="2372" w:type="dxa"/>
            <w:vAlign w:val="bottom"/>
          </w:tcPr>
          <w:p w:rsidR="006D723B" w:rsidRPr="004251EC" w:rsidRDefault="006D723B" w:rsidP="00B414C1">
            <w:pPr>
              <w:jc w:val="left"/>
              <w:rPr>
                <w:rFonts w:cs="Times New Roman"/>
                <w:color w:val="000000"/>
                <w:sz w:val="20"/>
                <w:szCs w:val="20"/>
              </w:rPr>
            </w:pPr>
            <w:r w:rsidRPr="00FF51C3">
              <w:rPr>
                <w:rFonts w:cs="Times New Roman"/>
                <w:b/>
                <w:bCs/>
                <w:color w:val="000000"/>
                <w:sz w:val="20"/>
                <w:szCs w:val="20"/>
              </w:rPr>
              <w:t>2017</w:t>
            </w:r>
          </w:p>
        </w:tc>
        <w:tc>
          <w:tcPr>
            <w:tcW w:w="1206" w:type="dxa"/>
            <w:vAlign w:val="bottom"/>
          </w:tcPr>
          <w:p w:rsidR="006D723B" w:rsidRPr="004251EC" w:rsidRDefault="006D723B" w:rsidP="00627827">
            <w:pPr>
              <w:jc w:val="right"/>
              <w:rPr>
                <w:rFonts w:cs="Times New Roman"/>
                <w:color w:val="000000"/>
                <w:sz w:val="20"/>
                <w:szCs w:val="20"/>
              </w:rPr>
            </w:pPr>
            <w:r w:rsidRPr="00627827">
              <w:rPr>
                <w:rFonts w:cs="Times New Roman"/>
                <w:color w:val="000000"/>
                <w:sz w:val="20"/>
                <w:szCs w:val="20"/>
              </w:rPr>
              <w:t xml:space="preserve">5,028 </w:t>
            </w:r>
          </w:p>
        </w:tc>
        <w:tc>
          <w:tcPr>
            <w:tcW w:w="1206" w:type="dxa"/>
            <w:vAlign w:val="bottom"/>
          </w:tcPr>
          <w:p w:rsidR="006D723B" w:rsidRPr="004251EC" w:rsidRDefault="006D723B" w:rsidP="006D723B">
            <w:pPr>
              <w:jc w:val="right"/>
              <w:rPr>
                <w:rFonts w:cs="Times New Roman"/>
                <w:color w:val="000000"/>
                <w:sz w:val="20"/>
                <w:szCs w:val="20"/>
              </w:rPr>
            </w:pPr>
            <w:r w:rsidRPr="00627827">
              <w:rPr>
                <w:rFonts w:cs="Times New Roman"/>
                <w:color w:val="000000"/>
                <w:sz w:val="20"/>
                <w:szCs w:val="20"/>
              </w:rPr>
              <w:t xml:space="preserve">4,402 </w:t>
            </w:r>
          </w:p>
        </w:tc>
        <w:tc>
          <w:tcPr>
            <w:tcW w:w="1206" w:type="dxa"/>
            <w:vAlign w:val="bottom"/>
          </w:tcPr>
          <w:p w:rsidR="006D723B" w:rsidRPr="006D723B" w:rsidRDefault="006D723B" w:rsidP="006D723B">
            <w:pPr>
              <w:jc w:val="right"/>
              <w:rPr>
                <w:rFonts w:cs="Times New Roman"/>
                <w:color w:val="000000"/>
                <w:sz w:val="20"/>
                <w:szCs w:val="20"/>
              </w:rPr>
            </w:pPr>
            <w:r w:rsidRPr="00627827">
              <w:rPr>
                <w:rFonts w:cs="Times New Roman"/>
                <w:color w:val="000000"/>
                <w:sz w:val="20"/>
                <w:szCs w:val="20"/>
              </w:rPr>
              <w:t xml:space="preserve">9,430 </w:t>
            </w:r>
          </w:p>
        </w:tc>
      </w:tr>
      <w:tr w:rsidR="006D723B" w:rsidRPr="00432C28" w:rsidTr="00627827">
        <w:trPr>
          <w:trHeight w:val="156"/>
          <w:jc w:val="center"/>
        </w:trPr>
        <w:tc>
          <w:tcPr>
            <w:tcW w:w="2372" w:type="dxa"/>
            <w:vAlign w:val="bottom"/>
          </w:tcPr>
          <w:p w:rsidR="006D723B" w:rsidRPr="00FF51C3" w:rsidRDefault="006D723B" w:rsidP="00B414C1">
            <w:pPr>
              <w:jc w:val="left"/>
              <w:rPr>
                <w:rFonts w:cs="Times New Roman"/>
                <w:b/>
                <w:bCs/>
                <w:color w:val="000000"/>
                <w:sz w:val="20"/>
                <w:szCs w:val="20"/>
              </w:rPr>
            </w:pPr>
            <w:r>
              <w:rPr>
                <w:rFonts w:cs="Times New Roman"/>
                <w:b/>
                <w:bCs/>
                <w:color w:val="000000"/>
                <w:sz w:val="20"/>
                <w:szCs w:val="20"/>
              </w:rPr>
              <w:t>Average Annual Impact</w:t>
            </w:r>
          </w:p>
        </w:tc>
        <w:tc>
          <w:tcPr>
            <w:tcW w:w="1206" w:type="dxa"/>
            <w:vAlign w:val="bottom"/>
          </w:tcPr>
          <w:p w:rsidR="006D723B" w:rsidRPr="006D723B" w:rsidRDefault="006D723B" w:rsidP="006D723B">
            <w:pPr>
              <w:jc w:val="right"/>
              <w:rPr>
                <w:rFonts w:cs="Times New Roman"/>
                <w:color w:val="000000"/>
                <w:sz w:val="20"/>
                <w:szCs w:val="20"/>
              </w:rPr>
            </w:pPr>
            <w:r w:rsidRPr="00627827">
              <w:rPr>
                <w:rFonts w:cs="Times New Roman"/>
                <w:color w:val="000000"/>
                <w:sz w:val="20"/>
                <w:szCs w:val="20"/>
              </w:rPr>
              <w:t xml:space="preserve">5,317 </w:t>
            </w:r>
          </w:p>
        </w:tc>
        <w:tc>
          <w:tcPr>
            <w:tcW w:w="1206" w:type="dxa"/>
            <w:vAlign w:val="bottom"/>
          </w:tcPr>
          <w:p w:rsidR="006D723B" w:rsidRPr="006D723B" w:rsidRDefault="006D723B" w:rsidP="006D723B">
            <w:pPr>
              <w:jc w:val="right"/>
              <w:rPr>
                <w:rFonts w:cs="Times New Roman"/>
                <w:color w:val="000000"/>
                <w:sz w:val="20"/>
                <w:szCs w:val="20"/>
              </w:rPr>
            </w:pPr>
            <w:r w:rsidRPr="00627827">
              <w:rPr>
                <w:rFonts w:cs="Times New Roman"/>
                <w:color w:val="000000"/>
                <w:sz w:val="20"/>
                <w:szCs w:val="20"/>
              </w:rPr>
              <w:t xml:space="preserve">4,456 </w:t>
            </w:r>
          </w:p>
        </w:tc>
        <w:tc>
          <w:tcPr>
            <w:tcW w:w="1206" w:type="dxa"/>
            <w:vAlign w:val="bottom"/>
          </w:tcPr>
          <w:p w:rsidR="006D723B" w:rsidRPr="006D723B" w:rsidRDefault="006D723B" w:rsidP="006D723B">
            <w:pPr>
              <w:jc w:val="right"/>
              <w:rPr>
                <w:rFonts w:cs="Times New Roman"/>
                <w:color w:val="000000"/>
                <w:sz w:val="20"/>
                <w:szCs w:val="20"/>
              </w:rPr>
            </w:pPr>
            <w:r w:rsidRPr="00627827">
              <w:rPr>
                <w:rFonts w:cs="Times New Roman"/>
                <w:color w:val="000000"/>
                <w:sz w:val="20"/>
                <w:szCs w:val="20"/>
              </w:rPr>
              <w:t xml:space="preserve">9,773 </w:t>
            </w:r>
          </w:p>
        </w:tc>
      </w:tr>
    </w:tbl>
    <w:p w:rsidR="00B414C1" w:rsidRDefault="00B414C1" w:rsidP="00B414C1">
      <w:pPr>
        <w:jc w:val="center"/>
        <w:rPr>
          <w:rFonts w:cs="Times New Roman"/>
          <w:b/>
          <w:szCs w:val="24"/>
        </w:rPr>
      </w:pPr>
    </w:p>
    <w:p w:rsidR="00B414C1" w:rsidRDefault="00B414C1" w:rsidP="00B414C1">
      <w:pPr>
        <w:jc w:val="left"/>
        <w:rPr>
          <w:rFonts w:cs="Times New Roman"/>
          <w:szCs w:val="24"/>
        </w:rPr>
      </w:pPr>
      <w:r>
        <w:rPr>
          <w:rFonts w:cs="Times New Roman"/>
          <w:szCs w:val="24"/>
        </w:rPr>
        <w:t>T</w:t>
      </w:r>
      <w:r w:rsidRPr="00492AB7">
        <w:rPr>
          <w:rFonts w:cs="Times New Roman"/>
          <w:szCs w:val="24"/>
        </w:rPr>
        <w:t xml:space="preserve">ables </w:t>
      </w:r>
      <w:r>
        <w:rPr>
          <w:rFonts w:cs="Times New Roman"/>
          <w:szCs w:val="24"/>
        </w:rPr>
        <w:t xml:space="preserve">A4-4 and A4-5 allocate the forecasted savings by year assuming a two year measure life convention. </w:t>
      </w:r>
      <w:r w:rsidRPr="00492AB7">
        <w:rPr>
          <w:rFonts w:cs="Times New Roman"/>
          <w:szCs w:val="24"/>
        </w:rPr>
        <w:t xml:space="preserve"> </w:t>
      </w:r>
      <w:r>
        <w:rPr>
          <w:rFonts w:cs="Times New Roman"/>
          <w:szCs w:val="24"/>
        </w:rPr>
        <w:t xml:space="preserve">The allocation accounts for the decay between 2016 and 2017 (as reflected in the OPower forecasts in Table A4-3). </w:t>
      </w:r>
      <w:r w:rsidRPr="004B4479">
        <w:rPr>
          <w:rFonts w:cs="Times New Roman"/>
          <w:szCs w:val="24"/>
        </w:rPr>
        <w:t>The 2018 savings</w:t>
      </w:r>
      <w:r>
        <w:rPr>
          <w:rFonts w:cs="Times New Roman"/>
          <w:szCs w:val="24"/>
        </w:rPr>
        <w:t xml:space="preserve"> is calculated as 80% of the net (decayed) 2017 savings. The 20 percent degradation factor is recommended in a meta-study of residential behavior savings persistence performed by the Cadmus Group</w:t>
      </w:r>
      <w:r>
        <w:rPr>
          <w:rStyle w:val="FootnoteReference"/>
          <w:rFonts w:cs="Times New Roman"/>
          <w:szCs w:val="24"/>
        </w:rPr>
        <w:footnoteReference w:id="49"/>
      </w:r>
      <w:r>
        <w:rPr>
          <w:rFonts w:cs="Times New Roman"/>
          <w:szCs w:val="24"/>
        </w:rPr>
        <w:t xml:space="preserve">. The results are displayed separately for the legacy and expansion groups. </w:t>
      </w:r>
    </w:p>
    <w:p w:rsidR="00B414C1" w:rsidRPr="00F975AC" w:rsidRDefault="00B414C1" w:rsidP="00B414C1">
      <w:pPr>
        <w:jc w:val="left"/>
        <w:rPr>
          <w:rFonts w:cs="Times New Roman"/>
          <w:szCs w:val="24"/>
        </w:rPr>
      </w:pPr>
    </w:p>
    <w:p w:rsidR="00B414C1" w:rsidRDefault="00B414C1" w:rsidP="00B414C1">
      <w:pPr>
        <w:jc w:val="center"/>
        <w:rPr>
          <w:rFonts w:cs="Times New Roman"/>
          <w:b/>
          <w:szCs w:val="24"/>
        </w:rPr>
      </w:pPr>
      <w:r>
        <w:rPr>
          <w:rFonts w:cs="Times New Roman"/>
          <w:b/>
          <w:szCs w:val="24"/>
        </w:rPr>
        <w:t>Table A4-4</w:t>
      </w:r>
    </w:p>
    <w:p w:rsidR="00B414C1" w:rsidRDefault="00B414C1" w:rsidP="00B414C1">
      <w:pPr>
        <w:jc w:val="center"/>
        <w:rPr>
          <w:rFonts w:cs="Times New Roman"/>
          <w:b/>
          <w:szCs w:val="24"/>
        </w:rPr>
      </w:pPr>
      <w:r w:rsidRPr="00492AB7">
        <w:rPr>
          <w:rFonts w:cs="Times New Roman"/>
          <w:b/>
          <w:szCs w:val="24"/>
        </w:rPr>
        <w:t xml:space="preserve">Forecasted </w:t>
      </w:r>
      <w:r>
        <w:rPr>
          <w:rFonts w:cs="Times New Roman"/>
          <w:b/>
          <w:szCs w:val="24"/>
        </w:rPr>
        <w:t>Legacy Savings for Cost-Effectiveness Analysis</w:t>
      </w:r>
      <w:r w:rsidRPr="00492AB7">
        <w:rPr>
          <w:rFonts w:cs="Times New Roman"/>
          <w:b/>
          <w:szCs w:val="24"/>
        </w:rPr>
        <w:t xml:space="preserve"> </w:t>
      </w:r>
      <w:r>
        <w:rPr>
          <w:rFonts w:cs="Times New Roman"/>
          <w:b/>
          <w:szCs w:val="24"/>
        </w:rPr>
        <w:t>(MWh)</w:t>
      </w:r>
    </w:p>
    <w:p w:rsidR="00B414C1" w:rsidRDefault="00B414C1" w:rsidP="00B414C1">
      <w:pPr>
        <w:jc w:val="center"/>
        <w:rPr>
          <w:rFonts w:cs="Times New Roman"/>
          <w:b/>
          <w:szCs w:val="24"/>
        </w:rPr>
      </w:pPr>
    </w:p>
    <w:tbl>
      <w:tblPr>
        <w:tblW w:w="8082" w:type="dxa"/>
        <w:jc w:val="center"/>
        <w:tblInd w:w="-16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180"/>
        <w:gridCol w:w="1096"/>
        <w:gridCol w:w="1406"/>
        <w:gridCol w:w="1104"/>
        <w:gridCol w:w="1296"/>
      </w:tblGrid>
      <w:tr w:rsidR="00B414C1" w:rsidRPr="00A5635D" w:rsidTr="00B414C1">
        <w:trPr>
          <w:trHeight w:val="156"/>
          <w:jc w:val="center"/>
        </w:trPr>
        <w:tc>
          <w:tcPr>
            <w:tcW w:w="3180" w:type="dxa"/>
            <w:vAlign w:val="bottom"/>
          </w:tcPr>
          <w:p w:rsidR="00B414C1" w:rsidRPr="00492AB7" w:rsidRDefault="00B414C1" w:rsidP="00B414C1">
            <w:pPr>
              <w:jc w:val="left"/>
              <w:rPr>
                <w:rFonts w:cs="Times New Roman"/>
                <w:bCs/>
                <w:color w:val="000000"/>
                <w:sz w:val="20"/>
                <w:szCs w:val="20"/>
              </w:rPr>
            </w:pPr>
            <w:r w:rsidRPr="00492AB7">
              <w:rPr>
                <w:rFonts w:cs="Times New Roman"/>
                <w:color w:val="000000"/>
                <w:sz w:val="20"/>
                <w:szCs w:val="20"/>
              </w:rPr>
              <w:t xml:space="preserve"> </w:t>
            </w:r>
          </w:p>
        </w:tc>
        <w:tc>
          <w:tcPr>
            <w:tcW w:w="1096" w:type="dxa"/>
            <w:vAlign w:val="bottom"/>
          </w:tcPr>
          <w:p w:rsidR="00B414C1" w:rsidRPr="00492AB7" w:rsidRDefault="00B414C1" w:rsidP="00B414C1">
            <w:pPr>
              <w:jc w:val="center"/>
              <w:rPr>
                <w:rFonts w:cs="Times New Roman"/>
                <w:b/>
                <w:color w:val="000000"/>
                <w:sz w:val="20"/>
                <w:szCs w:val="20"/>
              </w:rPr>
            </w:pPr>
            <w:r w:rsidRPr="00492AB7">
              <w:rPr>
                <w:rFonts w:cs="Times New Roman"/>
                <w:b/>
                <w:color w:val="000000"/>
                <w:sz w:val="20"/>
                <w:szCs w:val="20"/>
              </w:rPr>
              <w:t>2016</w:t>
            </w:r>
          </w:p>
        </w:tc>
        <w:tc>
          <w:tcPr>
            <w:tcW w:w="1406" w:type="dxa"/>
            <w:vAlign w:val="bottom"/>
          </w:tcPr>
          <w:p w:rsidR="00B414C1" w:rsidRPr="00492AB7" w:rsidRDefault="00B414C1" w:rsidP="00B414C1">
            <w:pPr>
              <w:jc w:val="center"/>
              <w:rPr>
                <w:rFonts w:cs="Times New Roman"/>
                <w:b/>
                <w:color w:val="000000"/>
                <w:sz w:val="20"/>
                <w:szCs w:val="20"/>
              </w:rPr>
            </w:pPr>
            <w:r w:rsidRPr="00492AB7">
              <w:rPr>
                <w:rFonts w:cs="Times New Roman"/>
                <w:b/>
                <w:color w:val="000000"/>
                <w:sz w:val="20"/>
                <w:szCs w:val="20"/>
              </w:rPr>
              <w:t>2017</w:t>
            </w:r>
          </w:p>
        </w:tc>
        <w:tc>
          <w:tcPr>
            <w:tcW w:w="1104" w:type="dxa"/>
            <w:vAlign w:val="bottom"/>
          </w:tcPr>
          <w:p w:rsidR="00B414C1" w:rsidRPr="00492AB7" w:rsidRDefault="00B414C1" w:rsidP="00B414C1">
            <w:pPr>
              <w:jc w:val="center"/>
              <w:rPr>
                <w:rFonts w:cs="Times New Roman"/>
                <w:b/>
                <w:color w:val="000000"/>
                <w:sz w:val="20"/>
                <w:szCs w:val="20"/>
              </w:rPr>
            </w:pPr>
            <w:r w:rsidRPr="00492AB7">
              <w:rPr>
                <w:rFonts w:cs="Times New Roman"/>
                <w:b/>
                <w:color w:val="000000"/>
                <w:sz w:val="20"/>
                <w:szCs w:val="20"/>
              </w:rPr>
              <w:t>2018</w:t>
            </w:r>
          </w:p>
        </w:tc>
        <w:tc>
          <w:tcPr>
            <w:tcW w:w="1296" w:type="dxa"/>
            <w:vAlign w:val="bottom"/>
          </w:tcPr>
          <w:p w:rsidR="00B414C1" w:rsidRPr="00492AB7" w:rsidRDefault="00B414C1" w:rsidP="00B414C1">
            <w:pPr>
              <w:jc w:val="center"/>
              <w:rPr>
                <w:rFonts w:cs="Times New Roman"/>
                <w:b/>
                <w:color w:val="000000"/>
                <w:sz w:val="20"/>
                <w:szCs w:val="20"/>
              </w:rPr>
            </w:pPr>
            <w:r w:rsidRPr="00492AB7">
              <w:rPr>
                <w:rFonts w:cs="Times New Roman"/>
                <w:b/>
                <w:color w:val="000000"/>
                <w:sz w:val="20"/>
                <w:szCs w:val="20"/>
              </w:rPr>
              <w:t>Total</w:t>
            </w:r>
          </w:p>
        </w:tc>
      </w:tr>
      <w:tr w:rsidR="00B414C1" w:rsidRPr="00A5635D" w:rsidTr="00B414C1">
        <w:trPr>
          <w:trHeight w:val="156"/>
          <w:jc w:val="center"/>
        </w:trPr>
        <w:tc>
          <w:tcPr>
            <w:tcW w:w="3180" w:type="dxa"/>
            <w:vAlign w:val="center"/>
          </w:tcPr>
          <w:p w:rsidR="00B414C1" w:rsidRPr="00492AB7" w:rsidRDefault="00B414C1" w:rsidP="00B414C1">
            <w:pPr>
              <w:jc w:val="left"/>
              <w:rPr>
                <w:rFonts w:cs="Times New Roman"/>
                <w:b/>
                <w:color w:val="000000"/>
                <w:sz w:val="20"/>
                <w:szCs w:val="20"/>
              </w:rPr>
            </w:pPr>
            <w:r w:rsidRPr="00492AB7">
              <w:rPr>
                <w:rFonts w:cs="Times New Roman"/>
                <w:b/>
                <w:color w:val="000000"/>
                <w:sz w:val="20"/>
                <w:szCs w:val="20"/>
              </w:rPr>
              <w:t xml:space="preserve">2016 (year 1) </w:t>
            </w:r>
          </w:p>
        </w:tc>
        <w:tc>
          <w:tcPr>
            <w:tcW w:w="1096" w:type="dxa"/>
            <w:vAlign w:val="bottom"/>
          </w:tcPr>
          <w:p w:rsidR="00B414C1" w:rsidRPr="00A5635D" w:rsidRDefault="00B414C1" w:rsidP="00B414C1">
            <w:pPr>
              <w:rPr>
                <w:rFonts w:cs="Times New Roman"/>
                <w:color w:val="000000"/>
                <w:sz w:val="20"/>
                <w:szCs w:val="20"/>
              </w:rPr>
            </w:pPr>
            <w:r w:rsidRPr="00492AB7">
              <w:rPr>
                <w:rFonts w:cs="Times New Roman"/>
                <w:color w:val="000000"/>
                <w:sz w:val="20"/>
                <w:szCs w:val="20"/>
              </w:rPr>
              <w:t>5,112,000</w:t>
            </w:r>
          </w:p>
        </w:tc>
        <w:tc>
          <w:tcPr>
            <w:tcW w:w="1406" w:type="dxa"/>
            <w:vAlign w:val="bottom"/>
          </w:tcPr>
          <w:p w:rsidR="00B414C1" w:rsidRPr="00A5635D" w:rsidRDefault="00B414C1" w:rsidP="00B414C1">
            <w:pPr>
              <w:jc w:val="right"/>
              <w:rPr>
                <w:rFonts w:cs="Times New Roman"/>
                <w:color w:val="000000"/>
                <w:sz w:val="20"/>
                <w:szCs w:val="20"/>
              </w:rPr>
            </w:pPr>
          </w:p>
        </w:tc>
        <w:tc>
          <w:tcPr>
            <w:tcW w:w="1104" w:type="dxa"/>
            <w:vAlign w:val="bottom"/>
          </w:tcPr>
          <w:p w:rsidR="00B414C1" w:rsidRPr="00A5635D" w:rsidRDefault="00B414C1" w:rsidP="00B414C1">
            <w:pPr>
              <w:jc w:val="right"/>
              <w:rPr>
                <w:rFonts w:cs="Times New Roman"/>
                <w:color w:val="000000"/>
                <w:sz w:val="20"/>
                <w:szCs w:val="20"/>
              </w:rPr>
            </w:pPr>
          </w:p>
        </w:tc>
        <w:tc>
          <w:tcPr>
            <w:tcW w:w="1296" w:type="dxa"/>
            <w:vAlign w:val="bottom"/>
          </w:tcPr>
          <w:p w:rsidR="00B414C1" w:rsidRPr="00A5635D" w:rsidRDefault="00B414C1" w:rsidP="00B414C1">
            <w:pPr>
              <w:jc w:val="right"/>
              <w:rPr>
                <w:rFonts w:cs="Times New Roman"/>
                <w:color w:val="000000"/>
                <w:sz w:val="20"/>
                <w:szCs w:val="20"/>
              </w:rPr>
            </w:pPr>
            <w:r w:rsidRPr="00492AB7">
              <w:rPr>
                <w:rFonts w:cs="Times New Roman"/>
                <w:color w:val="000000"/>
                <w:sz w:val="20"/>
                <w:szCs w:val="20"/>
              </w:rPr>
              <w:t>5,112,000</w:t>
            </w:r>
          </w:p>
        </w:tc>
      </w:tr>
      <w:tr w:rsidR="00B414C1" w:rsidRPr="00A5635D" w:rsidTr="00B414C1">
        <w:trPr>
          <w:trHeight w:val="156"/>
          <w:jc w:val="center"/>
        </w:trPr>
        <w:tc>
          <w:tcPr>
            <w:tcW w:w="3180" w:type="dxa"/>
            <w:vAlign w:val="center"/>
          </w:tcPr>
          <w:p w:rsidR="00B414C1" w:rsidRPr="00A5635D" w:rsidRDefault="00B414C1" w:rsidP="00B414C1">
            <w:pPr>
              <w:jc w:val="left"/>
              <w:rPr>
                <w:rFonts w:cs="Times New Roman"/>
                <w:b/>
                <w:bCs/>
                <w:color w:val="000000"/>
                <w:sz w:val="20"/>
                <w:szCs w:val="20"/>
              </w:rPr>
            </w:pPr>
            <w:r w:rsidRPr="00492AB7">
              <w:rPr>
                <w:rFonts w:cs="Times New Roman"/>
                <w:b/>
                <w:color w:val="000000"/>
                <w:sz w:val="20"/>
                <w:szCs w:val="20"/>
              </w:rPr>
              <w:t xml:space="preserve">2016 (year 2) </w:t>
            </w:r>
          </w:p>
        </w:tc>
        <w:tc>
          <w:tcPr>
            <w:tcW w:w="1096" w:type="dxa"/>
            <w:vAlign w:val="bottom"/>
          </w:tcPr>
          <w:p w:rsidR="00B414C1" w:rsidRPr="00A5635D" w:rsidRDefault="00B414C1" w:rsidP="00B414C1">
            <w:pPr>
              <w:rPr>
                <w:rFonts w:cs="Times New Roman"/>
                <w:color w:val="000000"/>
                <w:sz w:val="20"/>
                <w:szCs w:val="20"/>
              </w:rPr>
            </w:pPr>
          </w:p>
        </w:tc>
        <w:tc>
          <w:tcPr>
            <w:tcW w:w="1406" w:type="dxa"/>
            <w:vAlign w:val="bottom"/>
          </w:tcPr>
          <w:p w:rsidR="00B414C1" w:rsidRPr="00A5635D" w:rsidRDefault="00B414C1" w:rsidP="00B414C1">
            <w:pPr>
              <w:jc w:val="right"/>
              <w:rPr>
                <w:rFonts w:cs="Times New Roman"/>
                <w:color w:val="000000"/>
                <w:sz w:val="20"/>
                <w:szCs w:val="20"/>
              </w:rPr>
            </w:pPr>
            <w:r w:rsidRPr="00492AB7">
              <w:rPr>
                <w:rFonts w:cs="Times New Roman"/>
                <w:color w:val="000000"/>
                <w:sz w:val="20"/>
                <w:szCs w:val="20"/>
              </w:rPr>
              <w:t>5,112,000</w:t>
            </w:r>
          </w:p>
        </w:tc>
        <w:tc>
          <w:tcPr>
            <w:tcW w:w="1104" w:type="dxa"/>
            <w:vAlign w:val="bottom"/>
          </w:tcPr>
          <w:p w:rsidR="00B414C1" w:rsidRPr="00A5635D" w:rsidRDefault="00B414C1" w:rsidP="00B414C1">
            <w:pPr>
              <w:jc w:val="right"/>
              <w:rPr>
                <w:rFonts w:cs="Times New Roman"/>
                <w:color w:val="000000"/>
                <w:sz w:val="20"/>
                <w:szCs w:val="20"/>
              </w:rPr>
            </w:pPr>
          </w:p>
        </w:tc>
        <w:tc>
          <w:tcPr>
            <w:tcW w:w="1296" w:type="dxa"/>
            <w:vAlign w:val="bottom"/>
          </w:tcPr>
          <w:p w:rsidR="00B414C1" w:rsidRPr="00A5635D" w:rsidRDefault="00B414C1" w:rsidP="00B414C1">
            <w:pPr>
              <w:jc w:val="right"/>
              <w:rPr>
                <w:rFonts w:cs="Times New Roman"/>
                <w:color w:val="000000"/>
                <w:sz w:val="20"/>
                <w:szCs w:val="20"/>
              </w:rPr>
            </w:pPr>
            <w:r w:rsidRPr="00492AB7">
              <w:rPr>
                <w:rFonts w:cs="Times New Roman"/>
                <w:color w:val="000000"/>
                <w:sz w:val="20"/>
                <w:szCs w:val="20"/>
              </w:rPr>
              <w:t>5,112,000</w:t>
            </w:r>
          </w:p>
        </w:tc>
      </w:tr>
      <w:tr w:rsidR="00B414C1" w:rsidRPr="00A5635D" w:rsidTr="00B414C1">
        <w:trPr>
          <w:trHeight w:val="39"/>
          <w:jc w:val="center"/>
        </w:trPr>
        <w:tc>
          <w:tcPr>
            <w:tcW w:w="3180" w:type="dxa"/>
            <w:vAlign w:val="center"/>
          </w:tcPr>
          <w:p w:rsidR="00B414C1" w:rsidRPr="00A5635D" w:rsidRDefault="00B414C1" w:rsidP="00B414C1">
            <w:pPr>
              <w:jc w:val="left"/>
              <w:rPr>
                <w:rFonts w:cs="Times New Roman"/>
                <w:b/>
                <w:bCs/>
                <w:color w:val="000000"/>
                <w:sz w:val="20"/>
                <w:szCs w:val="20"/>
              </w:rPr>
            </w:pPr>
            <w:r w:rsidRPr="00492AB7">
              <w:rPr>
                <w:rFonts w:cs="Times New Roman"/>
                <w:b/>
                <w:color w:val="000000"/>
                <w:sz w:val="20"/>
                <w:szCs w:val="20"/>
              </w:rPr>
              <w:t xml:space="preserve">2016 (decay) </w:t>
            </w:r>
          </w:p>
        </w:tc>
        <w:tc>
          <w:tcPr>
            <w:tcW w:w="1096" w:type="dxa"/>
            <w:vAlign w:val="center"/>
          </w:tcPr>
          <w:p w:rsidR="00B414C1" w:rsidRPr="00A5635D" w:rsidRDefault="00B414C1" w:rsidP="00B414C1">
            <w:pPr>
              <w:jc w:val="right"/>
              <w:rPr>
                <w:rFonts w:cs="Times New Roman"/>
                <w:color w:val="000000"/>
                <w:sz w:val="20"/>
                <w:szCs w:val="20"/>
              </w:rPr>
            </w:pPr>
          </w:p>
        </w:tc>
        <w:tc>
          <w:tcPr>
            <w:tcW w:w="1406" w:type="dxa"/>
            <w:vAlign w:val="center"/>
          </w:tcPr>
          <w:p w:rsidR="00B414C1" w:rsidRPr="00492AB7" w:rsidRDefault="00B414C1" w:rsidP="00B414C1">
            <w:pPr>
              <w:ind w:left="57"/>
              <w:jc w:val="right"/>
              <w:rPr>
                <w:rFonts w:cs="Times New Roman"/>
                <w:color w:val="000000"/>
                <w:sz w:val="20"/>
                <w:szCs w:val="20"/>
              </w:rPr>
            </w:pPr>
            <w:r>
              <w:rPr>
                <w:rFonts w:cs="Times New Roman"/>
                <w:color w:val="000000"/>
                <w:sz w:val="20"/>
                <w:szCs w:val="20"/>
              </w:rPr>
              <w:t>-</w:t>
            </w:r>
            <w:r w:rsidRPr="00492AB7">
              <w:rPr>
                <w:rFonts w:cs="Times New Roman"/>
                <w:color w:val="000000"/>
                <w:sz w:val="20"/>
                <w:szCs w:val="20"/>
              </w:rPr>
              <w:t>527,000</w:t>
            </w:r>
          </w:p>
        </w:tc>
        <w:tc>
          <w:tcPr>
            <w:tcW w:w="1104" w:type="dxa"/>
            <w:vAlign w:val="center"/>
          </w:tcPr>
          <w:p w:rsidR="00B414C1" w:rsidRPr="00A5635D" w:rsidRDefault="00B414C1" w:rsidP="00B414C1">
            <w:pPr>
              <w:jc w:val="right"/>
              <w:rPr>
                <w:rFonts w:cs="Times New Roman"/>
                <w:color w:val="000000"/>
                <w:sz w:val="20"/>
                <w:szCs w:val="20"/>
              </w:rPr>
            </w:pPr>
          </w:p>
        </w:tc>
        <w:tc>
          <w:tcPr>
            <w:tcW w:w="1296" w:type="dxa"/>
            <w:vAlign w:val="center"/>
          </w:tcPr>
          <w:p w:rsidR="00B414C1" w:rsidRPr="00A5635D" w:rsidRDefault="00B414C1" w:rsidP="00B414C1">
            <w:pPr>
              <w:jc w:val="right"/>
              <w:rPr>
                <w:rFonts w:cs="Times New Roman"/>
                <w:color w:val="000000"/>
                <w:sz w:val="20"/>
                <w:szCs w:val="20"/>
              </w:rPr>
            </w:pPr>
            <w:r w:rsidRPr="00492AB7">
              <w:rPr>
                <w:rFonts w:cs="Times New Roman"/>
                <w:color w:val="000000"/>
                <w:sz w:val="20"/>
                <w:szCs w:val="20"/>
              </w:rPr>
              <w:t>-527,000</w:t>
            </w:r>
          </w:p>
        </w:tc>
      </w:tr>
      <w:tr w:rsidR="00B414C1" w:rsidRPr="00A5635D" w:rsidTr="00B414C1">
        <w:trPr>
          <w:trHeight w:val="156"/>
          <w:jc w:val="center"/>
        </w:trPr>
        <w:tc>
          <w:tcPr>
            <w:tcW w:w="3180" w:type="dxa"/>
            <w:vAlign w:val="center"/>
          </w:tcPr>
          <w:p w:rsidR="00B414C1" w:rsidRPr="00A5635D" w:rsidRDefault="00B414C1" w:rsidP="00B414C1">
            <w:pPr>
              <w:jc w:val="left"/>
              <w:rPr>
                <w:rFonts w:cs="Times New Roman"/>
                <w:b/>
                <w:bCs/>
                <w:color w:val="000000"/>
                <w:sz w:val="20"/>
                <w:szCs w:val="20"/>
              </w:rPr>
            </w:pPr>
            <w:r w:rsidRPr="00492AB7">
              <w:rPr>
                <w:rFonts w:cs="Times New Roman"/>
                <w:b/>
                <w:color w:val="000000"/>
                <w:sz w:val="20"/>
                <w:szCs w:val="20"/>
              </w:rPr>
              <w:t>2017 - (y</w:t>
            </w:r>
            <w:r>
              <w:rPr>
                <w:rFonts w:cs="Times New Roman"/>
                <w:b/>
                <w:color w:val="000000"/>
                <w:sz w:val="20"/>
                <w:szCs w:val="20"/>
              </w:rPr>
              <w:t>ea</w:t>
            </w:r>
            <w:r w:rsidRPr="00492AB7">
              <w:rPr>
                <w:rFonts w:cs="Times New Roman"/>
                <w:b/>
                <w:color w:val="000000"/>
                <w:sz w:val="20"/>
                <w:szCs w:val="20"/>
              </w:rPr>
              <w:t>r 1 )  - captured in 2016 y</w:t>
            </w:r>
            <w:r>
              <w:rPr>
                <w:rFonts w:cs="Times New Roman"/>
                <w:b/>
                <w:color w:val="000000"/>
                <w:sz w:val="20"/>
                <w:szCs w:val="20"/>
              </w:rPr>
              <w:t>ea</w:t>
            </w:r>
            <w:r w:rsidRPr="00492AB7">
              <w:rPr>
                <w:rFonts w:cs="Times New Roman"/>
                <w:b/>
                <w:color w:val="000000"/>
                <w:sz w:val="20"/>
                <w:szCs w:val="20"/>
              </w:rPr>
              <w:t>r 2 + decay</w:t>
            </w:r>
          </w:p>
        </w:tc>
        <w:tc>
          <w:tcPr>
            <w:tcW w:w="1096" w:type="dxa"/>
            <w:vAlign w:val="bottom"/>
          </w:tcPr>
          <w:p w:rsidR="00B414C1" w:rsidRPr="00A5635D" w:rsidRDefault="00B414C1" w:rsidP="00B414C1">
            <w:pPr>
              <w:rPr>
                <w:rFonts w:cs="Times New Roman"/>
                <w:color w:val="000000"/>
                <w:sz w:val="20"/>
                <w:szCs w:val="20"/>
              </w:rPr>
            </w:pPr>
          </w:p>
        </w:tc>
        <w:tc>
          <w:tcPr>
            <w:tcW w:w="1406" w:type="dxa"/>
            <w:vAlign w:val="bottom"/>
          </w:tcPr>
          <w:p w:rsidR="00B414C1" w:rsidRPr="00A5635D" w:rsidRDefault="00B414C1" w:rsidP="00B414C1">
            <w:pPr>
              <w:jc w:val="right"/>
              <w:rPr>
                <w:rFonts w:cs="Times New Roman"/>
                <w:color w:val="000000"/>
                <w:sz w:val="20"/>
                <w:szCs w:val="20"/>
              </w:rPr>
            </w:pPr>
          </w:p>
        </w:tc>
        <w:tc>
          <w:tcPr>
            <w:tcW w:w="1104" w:type="dxa"/>
            <w:vAlign w:val="bottom"/>
          </w:tcPr>
          <w:p w:rsidR="00B414C1" w:rsidRPr="00A5635D" w:rsidRDefault="00B414C1" w:rsidP="00B414C1">
            <w:pPr>
              <w:jc w:val="right"/>
              <w:rPr>
                <w:rFonts w:cs="Times New Roman"/>
                <w:color w:val="000000"/>
                <w:sz w:val="20"/>
                <w:szCs w:val="20"/>
              </w:rPr>
            </w:pPr>
          </w:p>
        </w:tc>
        <w:tc>
          <w:tcPr>
            <w:tcW w:w="1296" w:type="dxa"/>
            <w:vAlign w:val="bottom"/>
          </w:tcPr>
          <w:p w:rsidR="00B414C1" w:rsidRPr="00A5635D" w:rsidRDefault="00B414C1" w:rsidP="00B414C1">
            <w:pPr>
              <w:jc w:val="right"/>
              <w:rPr>
                <w:rFonts w:cs="Times New Roman"/>
                <w:color w:val="000000"/>
                <w:sz w:val="20"/>
                <w:szCs w:val="20"/>
              </w:rPr>
            </w:pPr>
            <w:r w:rsidRPr="00492AB7">
              <w:rPr>
                <w:rFonts w:cs="Times New Roman"/>
                <w:color w:val="000000"/>
                <w:sz w:val="20"/>
                <w:szCs w:val="20"/>
              </w:rPr>
              <w:t>-</w:t>
            </w:r>
          </w:p>
        </w:tc>
      </w:tr>
      <w:tr w:rsidR="00B414C1" w:rsidRPr="00A5635D" w:rsidTr="00B414C1">
        <w:trPr>
          <w:trHeight w:val="156"/>
          <w:jc w:val="center"/>
        </w:trPr>
        <w:tc>
          <w:tcPr>
            <w:tcW w:w="3180" w:type="dxa"/>
            <w:vAlign w:val="center"/>
          </w:tcPr>
          <w:p w:rsidR="00B414C1" w:rsidRPr="00A5635D" w:rsidRDefault="00B414C1" w:rsidP="00B414C1">
            <w:pPr>
              <w:jc w:val="left"/>
              <w:rPr>
                <w:rFonts w:cs="Times New Roman"/>
                <w:b/>
                <w:bCs/>
                <w:color w:val="000000"/>
                <w:sz w:val="20"/>
                <w:szCs w:val="20"/>
              </w:rPr>
            </w:pPr>
            <w:r w:rsidRPr="00492AB7">
              <w:rPr>
                <w:rFonts w:cs="Times New Roman"/>
                <w:b/>
                <w:color w:val="000000"/>
                <w:sz w:val="20"/>
                <w:szCs w:val="20"/>
              </w:rPr>
              <w:t>2017 (y</w:t>
            </w:r>
            <w:r>
              <w:rPr>
                <w:rFonts w:cs="Times New Roman"/>
                <w:b/>
                <w:color w:val="000000"/>
                <w:sz w:val="20"/>
                <w:szCs w:val="20"/>
              </w:rPr>
              <w:t>ea</w:t>
            </w:r>
            <w:r w:rsidRPr="00492AB7">
              <w:rPr>
                <w:rFonts w:cs="Times New Roman"/>
                <w:b/>
                <w:color w:val="000000"/>
                <w:sz w:val="20"/>
                <w:szCs w:val="20"/>
              </w:rPr>
              <w:t xml:space="preserve">r 2 - reports stop - 20% decay) </w:t>
            </w:r>
            <w:r w:rsidRPr="00492AB7">
              <w:rPr>
                <w:rFonts w:cs="Times New Roman"/>
                <w:b/>
                <w:color w:val="000000"/>
                <w:sz w:val="20"/>
                <w:szCs w:val="20"/>
                <w:vertAlign w:val="superscript"/>
              </w:rPr>
              <w:t>1</w:t>
            </w:r>
          </w:p>
        </w:tc>
        <w:tc>
          <w:tcPr>
            <w:tcW w:w="1096" w:type="dxa"/>
            <w:vAlign w:val="bottom"/>
          </w:tcPr>
          <w:p w:rsidR="00B414C1" w:rsidRPr="00A5635D" w:rsidRDefault="00B414C1" w:rsidP="00B414C1">
            <w:pPr>
              <w:rPr>
                <w:rFonts w:cs="Times New Roman"/>
                <w:color w:val="000000"/>
                <w:sz w:val="20"/>
                <w:szCs w:val="20"/>
              </w:rPr>
            </w:pPr>
          </w:p>
        </w:tc>
        <w:tc>
          <w:tcPr>
            <w:tcW w:w="1406" w:type="dxa"/>
            <w:vAlign w:val="bottom"/>
          </w:tcPr>
          <w:p w:rsidR="00B414C1" w:rsidRPr="00A5635D" w:rsidRDefault="00B414C1" w:rsidP="00B414C1">
            <w:pPr>
              <w:jc w:val="right"/>
              <w:rPr>
                <w:rFonts w:cs="Times New Roman"/>
                <w:color w:val="000000"/>
                <w:sz w:val="20"/>
                <w:szCs w:val="20"/>
              </w:rPr>
            </w:pPr>
          </w:p>
        </w:tc>
        <w:tc>
          <w:tcPr>
            <w:tcW w:w="1104" w:type="dxa"/>
            <w:vAlign w:val="bottom"/>
          </w:tcPr>
          <w:p w:rsidR="00B414C1" w:rsidRPr="00A5635D" w:rsidRDefault="00B414C1" w:rsidP="00B414C1">
            <w:pPr>
              <w:jc w:val="right"/>
              <w:rPr>
                <w:rFonts w:cs="Times New Roman"/>
                <w:color w:val="000000"/>
                <w:sz w:val="20"/>
                <w:szCs w:val="20"/>
              </w:rPr>
            </w:pPr>
            <w:r w:rsidRPr="00492AB7">
              <w:rPr>
                <w:rFonts w:cs="Times New Roman"/>
                <w:color w:val="000000"/>
                <w:sz w:val="20"/>
                <w:szCs w:val="20"/>
              </w:rPr>
              <w:t>3,668,000</w:t>
            </w:r>
          </w:p>
        </w:tc>
        <w:tc>
          <w:tcPr>
            <w:tcW w:w="1296" w:type="dxa"/>
            <w:vAlign w:val="bottom"/>
          </w:tcPr>
          <w:p w:rsidR="00B414C1" w:rsidRPr="00A5635D" w:rsidRDefault="00B414C1" w:rsidP="00B414C1">
            <w:pPr>
              <w:jc w:val="right"/>
              <w:rPr>
                <w:rFonts w:cs="Times New Roman"/>
                <w:color w:val="000000"/>
                <w:sz w:val="20"/>
                <w:szCs w:val="20"/>
              </w:rPr>
            </w:pPr>
            <w:r w:rsidRPr="00492AB7">
              <w:rPr>
                <w:rFonts w:cs="Times New Roman"/>
                <w:b/>
                <w:bCs/>
                <w:color w:val="000000"/>
                <w:sz w:val="20"/>
                <w:szCs w:val="20"/>
              </w:rPr>
              <w:t>9,697,000</w:t>
            </w:r>
          </w:p>
        </w:tc>
      </w:tr>
      <w:tr w:rsidR="00B414C1" w:rsidRPr="00A5635D" w:rsidTr="00B414C1">
        <w:trPr>
          <w:trHeight w:val="183"/>
          <w:jc w:val="center"/>
        </w:trPr>
        <w:tc>
          <w:tcPr>
            <w:tcW w:w="3180" w:type="dxa"/>
            <w:vAlign w:val="bottom"/>
          </w:tcPr>
          <w:p w:rsidR="00B414C1" w:rsidRPr="00A5635D" w:rsidRDefault="00B414C1" w:rsidP="00B414C1">
            <w:pPr>
              <w:jc w:val="left"/>
              <w:rPr>
                <w:rFonts w:cs="Times New Roman"/>
                <w:b/>
                <w:bCs/>
                <w:color w:val="000000"/>
                <w:sz w:val="20"/>
                <w:szCs w:val="20"/>
              </w:rPr>
            </w:pPr>
            <w:r w:rsidRPr="00492AB7">
              <w:rPr>
                <w:rFonts w:cs="Times New Roman"/>
                <w:b/>
                <w:color w:val="000000"/>
                <w:sz w:val="20"/>
                <w:szCs w:val="20"/>
              </w:rPr>
              <w:t>Total</w:t>
            </w:r>
            <w:r>
              <w:rPr>
                <w:rFonts w:cs="Times New Roman"/>
                <w:b/>
                <w:color w:val="000000"/>
                <w:sz w:val="20"/>
                <w:szCs w:val="20"/>
              </w:rPr>
              <w:t xml:space="preserve"> </w:t>
            </w:r>
            <w:r w:rsidRPr="00492AB7">
              <w:rPr>
                <w:rFonts w:cs="Times New Roman"/>
                <w:b/>
                <w:color w:val="000000"/>
                <w:sz w:val="20"/>
                <w:szCs w:val="20"/>
                <w:vertAlign w:val="superscript"/>
              </w:rPr>
              <w:t>2</w:t>
            </w:r>
          </w:p>
        </w:tc>
        <w:tc>
          <w:tcPr>
            <w:tcW w:w="1096" w:type="dxa"/>
            <w:vAlign w:val="bottom"/>
          </w:tcPr>
          <w:p w:rsidR="00B414C1" w:rsidRPr="00A5635D" w:rsidRDefault="00B414C1" w:rsidP="00B414C1">
            <w:pPr>
              <w:rPr>
                <w:rFonts w:cs="Times New Roman"/>
                <w:color w:val="000000"/>
                <w:sz w:val="20"/>
                <w:szCs w:val="20"/>
              </w:rPr>
            </w:pPr>
            <w:r w:rsidRPr="00492AB7">
              <w:rPr>
                <w:rFonts w:cs="Times New Roman"/>
                <w:color w:val="000000"/>
                <w:sz w:val="20"/>
                <w:szCs w:val="20"/>
              </w:rPr>
              <w:t>5,112,000</w:t>
            </w:r>
          </w:p>
        </w:tc>
        <w:tc>
          <w:tcPr>
            <w:tcW w:w="1406" w:type="dxa"/>
            <w:vAlign w:val="bottom"/>
          </w:tcPr>
          <w:p w:rsidR="00B414C1" w:rsidRPr="00A5635D" w:rsidRDefault="00B414C1" w:rsidP="00B414C1">
            <w:pPr>
              <w:jc w:val="right"/>
              <w:rPr>
                <w:rFonts w:cs="Times New Roman"/>
                <w:color w:val="000000"/>
                <w:sz w:val="20"/>
                <w:szCs w:val="20"/>
              </w:rPr>
            </w:pPr>
            <w:r w:rsidRPr="00492AB7">
              <w:rPr>
                <w:rFonts w:cs="Times New Roman"/>
                <w:color w:val="000000"/>
                <w:sz w:val="20"/>
                <w:szCs w:val="20"/>
              </w:rPr>
              <w:t>4,585,000</w:t>
            </w:r>
          </w:p>
        </w:tc>
        <w:tc>
          <w:tcPr>
            <w:tcW w:w="1104" w:type="dxa"/>
            <w:vAlign w:val="bottom"/>
          </w:tcPr>
          <w:p w:rsidR="00B414C1" w:rsidRPr="00A5635D" w:rsidRDefault="00B414C1" w:rsidP="00B414C1">
            <w:pPr>
              <w:jc w:val="right"/>
              <w:rPr>
                <w:rFonts w:cs="Times New Roman"/>
                <w:color w:val="000000"/>
                <w:sz w:val="20"/>
                <w:szCs w:val="20"/>
              </w:rPr>
            </w:pPr>
            <w:r w:rsidRPr="00492AB7">
              <w:rPr>
                <w:rFonts w:cs="Times New Roman"/>
                <w:color w:val="000000"/>
                <w:sz w:val="20"/>
                <w:szCs w:val="20"/>
              </w:rPr>
              <w:t>3,668,000</w:t>
            </w:r>
          </w:p>
        </w:tc>
        <w:tc>
          <w:tcPr>
            <w:tcW w:w="1296" w:type="dxa"/>
            <w:vAlign w:val="bottom"/>
          </w:tcPr>
          <w:p w:rsidR="00B414C1" w:rsidRPr="00A5635D" w:rsidRDefault="00B414C1" w:rsidP="00B414C1">
            <w:pPr>
              <w:jc w:val="right"/>
              <w:rPr>
                <w:rFonts w:cs="Times New Roman"/>
                <w:color w:val="000000"/>
                <w:sz w:val="20"/>
                <w:szCs w:val="20"/>
              </w:rPr>
            </w:pPr>
            <w:r w:rsidRPr="00492AB7">
              <w:rPr>
                <w:rFonts w:cs="Times New Roman"/>
                <w:b/>
                <w:bCs/>
                <w:color w:val="000000"/>
                <w:sz w:val="20"/>
                <w:szCs w:val="20"/>
              </w:rPr>
              <w:t>13,365,000</w:t>
            </w:r>
          </w:p>
        </w:tc>
      </w:tr>
      <w:tr w:rsidR="00B414C1" w:rsidRPr="00A5635D" w:rsidTr="00B414C1">
        <w:trPr>
          <w:trHeight w:val="156"/>
          <w:jc w:val="center"/>
        </w:trPr>
        <w:tc>
          <w:tcPr>
            <w:tcW w:w="8082" w:type="dxa"/>
            <w:gridSpan w:val="5"/>
            <w:vAlign w:val="bottom"/>
          </w:tcPr>
          <w:p w:rsidR="00B414C1" w:rsidRPr="00A5635D" w:rsidRDefault="00B414C1" w:rsidP="00B414C1">
            <w:pPr>
              <w:jc w:val="left"/>
              <w:rPr>
                <w:rFonts w:cs="Times New Roman"/>
                <w:b/>
                <w:bCs/>
                <w:color w:val="000000"/>
                <w:sz w:val="20"/>
                <w:szCs w:val="20"/>
              </w:rPr>
            </w:pPr>
            <w:r w:rsidRPr="00FF51C3">
              <w:rPr>
                <w:rFonts w:cs="Times New Roman"/>
                <w:color w:val="000000"/>
                <w:sz w:val="20"/>
                <w:szCs w:val="20"/>
              </w:rPr>
              <w:t>Note 1: One year life - lifetime savings -2016-2017</w:t>
            </w:r>
          </w:p>
        </w:tc>
      </w:tr>
      <w:tr w:rsidR="00B414C1" w:rsidRPr="00A5635D" w:rsidTr="00B414C1">
        <w:trPr>
          <w:trHeight w:val="156"/>
          <w:jc w:val="center"/>
        </w:trPr>
        <w:tc>
          <w:tcPr>
            <w:tcW w:w="8082" w:type="dxa"/>
            <w:gridSpan w:val="5"/>
            <w:vAlign w:val="bottom"/>
          </w:tcPr>
          <w:p w:rsidR="00B414C1" w:rsidRPr="00A5635D" w:rsidRDefault="00B414C1" w:rsidP="00B414C1">
            <w:pPr>
              <w:jc w:val="left"/>
              <w:rPr>
                <w:rFonts w:cs="Times New Roman"/>
                <w:b/>
                <w:bCs/>
                <w:color w:val="000000"/>
                <w:sz w:val="20"/>
                <w:szCs w:val="20"/>
              </w:rPr>
            </w:pPr>
            <w:r w:rsidRPr="00FF51C3">
              <w:rPr>
                <w:rFonts w:cs="Times New Roman"/>
                <w:color w:val="000000"/>
                <w:sz w:val="20"/>
                <w:szCs w:val="20"/>
              </w:rPr>
              <w:t>Note 2: Two year life - lifetime savings - 2016-2017</w:t>
            </w:r>
          </w:p>
        </w:tc>
      </w:tr>
    </w:tbl>
    <w:p w:rsidR="00B414C1" w:rsidRDefault="00B414C1" w:rsidP="00B414C1">
      <w:pPr>
        <w:jc w:val="center"/>
        <w:rPr>
          <w:rFonts w:cs="Times New Roman"/>
          <w:szCs w:val="24"/>
          <w:u w:val="single"/>
        </w:rPr>
      </w:pPr>
    </w:p>
    <w:p w:rsidR="00B414C1" w:rsidRDefault="00B414C1" w:rsidP="00B414C1">
      <w:pPr>
        <w:jc w:val="center"/>
        <w:rPr>
          <w:rFonts w:cs="Times New Roman"/>
          <w:b/>
          <w:szCs w:val="24"/>
        </w:rPr>
      </w:pPr>
      <w:r>
        <w:rPr>
          <w:rFonts w:cs="Times New Roman"/>
          <w:b/>
          <w:szCs w:val="24"/>
        </w:rPr>
        <w:t>Table A4-5</w:t>
      </w:r>
    </w:p>
    <w:p w:rsidR="00B414C1" w:rsidRDefault="00B414C1" w:rsidP="00B414C1">
      <w:pPr>
        <w:jc w:val="center"/>
        <w:rPr>
          <w:rFonts w:cs="Times New Roman"/>
          <w:b/>
          <w:szCs w:val="24"/>
        </w:rPr>
      </w:pPr>
      <w:r w:rsidRPr="00FF51C3">
        <w:rPr>
          <w:rFonts w:cs="Times New Roman"/>
          <w:b/>
          <w:szCs w:val="24"/>
        </w:rPr>
        <w:t xml:space="preserve">Forecasted </w:t>
      </w:r>
      <w:r>
        <w:rPr>
          <w:rFonts w:cs="Times New Roman"/>
          <w:b/>
          <w:szCs w:val="24"/>
        </w:rPr>
        <w:t>Expansion Savings for Cost-Effectiveness Analysis</w:t>
      </w:r>
      <w:r w:rsidRPr="00FF51C3">
        <w:rPr>
          <w:rFonts w:cs="Times New Roman"/>
          <w:b/>
          <w:szCs w:val="24"/>
        </w:rPr>
        <w:t xml:space="preserve"> </w:t>
      </w:r>
      <w:r>
        <w:rPr>
          <w:rFonts w:cs="Times New Roman"/>
          <w:b/>
          <w:szCs w:val="24"/>
        </w:rPr>
        <w:t>(MWh)</w:t>
      </w:r>
    </w:p>
    <w:p w:rsidR="00B414C1" w:rsidRDefault="00B414C1" w:rsidP="00B414C1">
      <w:pPr>
        <w:jc w:val="center"/>
        <w:rPr>
          <w:rFonts w:cs="Times New Roman"/>
          <w:b/>
          <w:szCs w:val="24"/>
        </w:rPr>
      </w:pPr>
    </w:p>
    <w:tbl>
      <w:tblPr>
        <w:tblW w:w="8082" w:type="dxa"/>
        <w:jc w:val="center"/>
        <w:tblInd w:w="-16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180"/>
        <w:gridCol w:w="1096"/>
        <w:gridCol w:w="1406"/>
        <w:gridCol w:w="1104"/>
        <w:gridCol w:w="1296"/>
      </w:tblGrid>
      <w:tr w:rsidR="00B414C1" w:rsidRPr="00A5635D" w:rsidTr="00B414C1">
        <w:trPr>
          <w:trHeight w:val="156"/>
          <w:jc w:val="center"/>
        </w:trPr>
        <w:tc>
          <w:tcPr>
            <w:tcW w:w="3180" w:type="dxa"/>
            <w:vAlign w:val="bottom"/>
          </w:tcPr>
          <w:p w:rsidR="00B414C1" w:rsidRPr="00FF51C3" w:rsidRDefault="00B414C1" w:rsidP="00B414C1">
            <w:pPr>
              <w:jc w:val="left"/>
              <w:rPr>
                <w:rFonts w:cs="Times New Roman"/>
                <w:bCs/>
                <w:color w:val="000000"/>
                <w:sz w:val="20"/>
                <w:szCs w:val="20"/>
              </w:rPr>
            </w:pPr>
          </w:p>
        </w:tc>
        <w:tc>
          <w:tcPr>
            <w:tcW w:w="1096" w:type="dxa"/>
            <w:vAlign w:val="bottom"/>
          </w:tcPr>
          <w:p w:rsidR="00B414C1" w:rsidRPr="00FF51C3" w:rsidRDefault="00B414C1" w:rsidP="00B414C1">
            <w:pPr>
              <w:jc w:val="center"/>
              <w:rPr>
                <w:rFonts w:cs="Times New Roman"/>
                <w:b/>
                <w:color w:val="000000"/>
                <w:sz w:val="20"/>
                <w:szCs w:val="20"/>
              </w:rPr>
            </w:pPr>
            <w:r w:rsidRPr="00FF51C3">
              <w:rPr>
                <w:rFonts w:cs="Times New Roman"/>
                <w:b/>
                <w:color w:val="000000"/>
                <w:sz w:val="20"/>
                <w:szCs w:val="20"/>
              </w:rPr>
              <w:t>2016</w:t>
            </w:r>
          </w:p>
        </w:tc>
        <w:tc>
          <w:tcPr>
            <w:tcW w:w="1406" w:type="dxa"/>
            <w:vAlign w:val="bottom"/>
          </w:tcPr>
          <w:p w:rsidR="00B414C1" w:rsidRPr="00FF51C3" w:rsidRDefault="00B414C1" w:rsidP="00B414C1">
            <w:pPr>
              <w:jc w:val="center"/>
              <w:rPr>
                <w:rFonts w:cs="Times New Roman"/>
                <w:b/>
                <w:color w:val="000000"/>
                <w:sz w:val="20"/>
                <w:szCs w:val="20"/>
              </w:rPr>
            </w:pPr>
            <w:r w:rsidRPr="00FF51C3">
              <w:rPr>
                <w:rFonts w:cs="Times New Roman"/>
                <w:b/>
                <w:color w:val="000000"/>
                <w:sz w:val="20"/>
                <w:szCs w:val="20"/>
              </w:rPr>
              <w:t>2017</w:t>
            </w:r>
          </w:p>
        </w:tc>
        <w:tc>
          <w:tcPr>
            <w:tcW w:w="1104" w:type="dxa"/>
            <w:vAlign w:val="bottom"/>
          </w:tcPr>
          <w:p w:rsidR="00B414C1" w:rsidRPr="00FF51C3" w:rsidRDefault="00B414C1" w:rsidP="00B414C1">
            <w:pPr>
              <w:jc w:val="center"/>
              <w:rPr>
                <w:rFonts w:cs="Times New Roman"/>
                <w:b/>
                <w:color w:val="000000"/>
                <w:sz w:val="20"/>
                <w:szCs w:val="20"/>
              </w:rPr>
            </w:pPr>
            <w:r w:rsidRPr="00FF51C3">
              <w:rPr>
                <w:rFonts w:cs="Times New Roman"/>
                <w:b/>
                <w:color w:val="000000"/>
                <w:sz w:val="20"/>
                <w:szCs w:val="20"/>
              </w:rPr>
              <w:t>2018</w:t>
            </w:r>
          </w:p>
        </w:tc>
        <w:tc>
          <w:tcPr>
            <w:tcW w:w="1296" w:type="dxa"/>
            <w:vAlign w:val="bottom"/>
          </w:tcPr>
          <w:p w:rsidR="00B414C1" w:rsidRPr="00FF51C3" w:rsidRDefault="00B414C1" w:rsidP="00B414C1">
            <w:pPr>
              <w:jc w:val="center"/>
              <w:rPr>
                <w:rFonts w:cs="Times New Roman"/>
                <w:b/>
                <w:color w:val="000000"/>
                <w:sz w:val="20"/>
                <w:szCs w:val="20"/>
              </w:rPr>
            </w:pPr>
            <w:r w:rsidRPr="00FF51C3">
              <w:rPr>
                <w:rFonts w:cs="Times New Roman"/>
                <w:b/>
                <w:color w:val="000000"/>
                <w:sz w:val="20"/>
                <w:szCs w:val="20"/>
              </w:rPr>
              <w:t>Total</w:t>
            </w:r>
          </w:p>
        </w:tc>
      </w:tr>
      <w:tr w:rsidR="00B414C1" w:rsidRPr="00A5635D" w:rsidTr="00B414C1">
        <w:trPr>
          <w:trHeight w:val="156"/>
          <w:jc w:val="center"/>
        </w:trPr>
        <w:tc>
          <w:tcPr>
            <w:tcW w:w="3180" w:type="dxa"/>
            <w:vAlign w:val="center"/>
          </w:tcPr>
          <w:p w:rsidR="00B414C1" w:rsidRPr="00FF51C3" w:rsidRDefault="00B414C1" w:rsidP="00B414C1">
            <w:pPr>
              <w:jc w:val="left"/>
              <w:rPr>
                <w:rFonts w:cs="Times New Roman"/>
                <w:b/>
                <w:color w:val="000000"/>
                <w:sz w:val="20"/>
                <w:szCs w:val="20"/>
              </w:rPr>
            </w:pPr>
            <w:r w:rsidRPr="00FF51C3">
              <w:rPr>
                <w:rFonts w:cs="Times New Roman"/>
                <w:b/>
                <w:color w:val="000000"/>
                <w:sz w:val="20"/>
                <w:szCs w:val="20"/>
              </w:rPr>
              <w:t xml:space="preserve">2016 (year 1) </w:t>
            </w:r>
          </w:p>
        </w:tc>
        <w:tc>
          <w:tcPr>
            <w:tcW w:w="1096" w:type="dxa"/>
            <w:vAlign w:val="center"/>
          </w:tcPr>
          <w:p w:rsidR="00B414C1" w:rsidRPr="00A5635D" w:rsidRDefault="00B414C1" w:rsidP="00B414C1">
            <w:pPr>
              <w:jc w:val="right"/>
              <w:rPr>
                <w:rFonts w:cs="Times New Roman"/>
                <w:color w:val="000000"/>
                <w:sz w:val="20"/>
                <w:szCs w:val="20"/>
              </w:rPr>
            </w:pPr>
            <w:r w:rsidRPr="00492AB7">
              <w:rPr>
                <w:rFonts w:cs="Times New Roman"/>
                <w:color w:val="000000"/>
                <w:sz w:val="20"/>
                <w:szCs w:val="20"/>
              </w:rPr>
              <w:t>4,112,026</w:t>
            </w:r>
          </w:p>
        </w:tc>
        <w:tc>
          <w:tcPr>
            <w:tcW w:w="1406" w:type="dxa"/>
            <w:vAlign w:val="center"/>
          </w:tcPr>
          <w:p w:rsidR="00B414C1" w:rsidRPr="00A5635D" w:rsidRDefault="00B414C1" w:rsidP="00B414C1">
            <w:pPr>
              <w:jc w:val="right"/>
              <w:rPr>
                <w:rFonts w:cs="Times New Roman"/>
                <w:color w:val="000000"/>
                <w:sz w:val="20"/>
                <w:szCs w:val="20"/>
              </w:rPr>
            </w:pPr>
          </w:p>
        </w:tc>
        <w:tc>
          <w:tcPr>
            <w:tcW w:w="1104" w:type="dxa"/>
            <w:vAlign w:val="center"/>
          </w:tcPr>
          <w:p w:rsidR="00B414C1" w:rsidRPr="00A5635D" w:rsidRDefault="00B414C1" w:rsidP="00B414C1">
            <w:pPr>
              <w:jc w:val="right"/>
              <w:rPr>
                <w:rFonts w:cs="Times New Roman"/>
                <w:color w:val="000000"/>
                <w:sz w:val="20"/>
                <w:szCs w:val="20"/>
              </w:rPr>
            </w:pPr>
          </w:p>
        </w:tc>
        <w:tc>
          <w:tcPr>
            <w:tcW w:w="1296" w:type="dxa"/>
            <w:vAlign w:val="center"/>
          </w:tcPr>
          <w:p w:rsidR="00B414C1" w:rsidRPr="00A5635D" w:rsidRDefault="00B414C1" w:rsidP="00B414C1">
            <w:pPr>
              <w:jc w:val="right"/>
              <w:rPr>
                <w:rFonts w:cs="Times New Roman"/>
                <w:color w:val="000000"/>
                <w:sz w:val="20"/>
                <w:szCs w:val="20"/>
              </w:rPr>
            </w:pPr>
            <w:r w:rsidRPr="00492AB7">
              <w:rPr>
                <w:rFonts w:cs="Times New Roman"/>
                <w:color w:val="000000"/>
                <w:sz w:val="20"/>
                <w:szCs w:val="20"/>
              </w:rPr>
              <w:t>4,112,026</w:t>
            </w:r>
          </w:p>
        </w:tc>
      </w:tr>
      <w:tr w:rsidR="00B414C1" w:rsidRPr="00A5635D" w:rsidTr="00B414C1">
        <w:trPr>
          <w:trHeight w:val="156"/>
          <w:jc w:val="center"/>
        </w:trPr>
        <w:tc>
          <w:tcPr>
            <w:tcW w:w="3180" w:type="dxa"/>
            <w:vAlign w:val="center"/>
          </w:tcPr>
          <w:p w:rsidR="00B414C1" w:rsidRPr="00A5635D" w:rsidRDefault="00B414C1" w:rsidP="00B414C1">
            <w:pPr>
              <w:jc w:val="left"/>
              <w:rPr>
                <w:rFonts w:cs="Times New Roman"/>
                <w:b/>
                <w:bCs/>
                <w:color w:val="000000"/>
                <w:sz w:val="20"/>
                <w:szCs w:val="20"/>
              </w:rPr>
            </w:pPr>
            <w:r w:rsidRPr="00FF51C3">
              <w:rPr>
                <w:rFonts w:cs="Times New Roman"/>
                <w:b/>
                <w:color w:val="000000"/>
                <w:sz w:val="20"/>
                <w:szCs w:val="20"/>
              </w:rPr>
              <w:t xml:space="preserve">2016 (year 2) </w:t>
            </w:r>
          </w:p>
        </w:tc>
        <w:tc>
          <w:tcPr>
            <w:tcW w:w="1096" w:type="dxa"/>
            <w:vAlign w:val="center"/>
          </w:tcPr>
          <w:p w:rsidR="00B414C1" w:rsidRPr="00A5635D" w:rsidRDefault="00B414C1" w:rsidP="00B414C1">
            <w:pPr>
              <w:jc w:val="right"/>
              <w:rPr>
                <w:rFonts w:cs="Times New Roman"/>
                <w:color w:val="000000"/>
                <w:sz w:val="20"/>
                <w:szCs w:val="20"/>
              </w:rPr>
            </w:pPr>
          </w:p>
        </w:tc>
        <w:tc>
          <w:tcPr>
            <w:tcW w:w="1406" w:type="dxa"/>
            <w:vAlign w:val="center"/>
          </w:tcPr>
          <w:p w:rsidR="00B414C1" w:rsidRPr="00A5635D" w:rsidRDefault="00B414C1" w:rsidP="00B414C1">
            <w:pPr>
              <w:jc w:val="right"/>
              <w:rPr>
                <w:rFonts w:cs="Times New Roman"/>
                <w:color w:val="000000"/>
                <w:sz w:val="20"/>
                <w:szCs w:val="20"/>
              </w:rPr>
            </w:pPr>
            <w:r w:rsidRPr="00492AB7">
              <w:rPr>
                <w:rFonts w:cs="Times New Roman"/>
                <w:color w:val="000000"/>
                <w:sz w:val="20"/>
                <w:szCs w:val="20"/>
              </w:rPr>
              <w:t>4,112,026</w:t>
            </w:r>
          </w:p>
        </w:tc>
        <w:tc>
          <w:tcPr>
            <w:tcW w:w="1104" w:type="dxa"/>
            <w:vAlign w:val="center"/>
          </w:tcPr>
          <w:p w:rsidR="00B414C1" w:rsidRPr="00A5635D" w:rsidRDefault="00B414C1" w:rsidP="00B414C1">
            <w:pPr>
              <w:jc w:val="right"/>
              <w:rPr>
                <w:rFonts w:cs="Times New Roman"/>
                <w:color w:val="000000"/>
                <w:sz w:val="20"/>
                <w:szCs w:val="20"/>
              </w:rPr>
            </w:pPr>
          </w:p>
        </w:tc>
        <w:tc>
          <w:tcPr>
            <w:tcW w:w="1296" w:type="dxa"/>
            <w:vAlign w:val="center"/>
          </w:tcPr>
          <w:p w:rsidR="00B414C1" w:rsidRPr="00A5635D" w:rsidRDefault="00B414C1" w:rsidP="00B414C1">
            <w:pPr>
              <w:jc w:val="right"/>
              <w:rPr>
                <w:rFonts w:cs="Times New Roman"/>
                <w:color w:val="000000"/>
                <w:sz w:val="20"/>
                <w:szCs w:val="20"/>
              </w:rPr>
            </w:pPr>
            <w:r w:rsidRPr="00492AB7">
              <w:rPr>
                <w:rFonts w:cs="Times New Roman"/>
                <w:color w:val="000000"/>
                <w:sz w:val="20"/>
                <w:szCs w:val="20"/>
              </w:rPr>
              <w:t>4,112,026</w:t>
            </w:r>
          </w:p>
        </w:tc>
      </w:tr>
      <w:tr w:rsidR="00B414C1" w:rsidRPr="00A5635D" w:rsidTr="00B414C1">
        <w:trPr>
          <w:trHeight w:val="39"/>
          <w:jc w:val="center"/>
        </w:trPr>
        <w:tc>
          <w:tcPr>
            <w:tcW w:w="3180" w:type="dxa"/>
            <w:vAlign w:val="center"/>
          </w:tcPr>
          <w:p w:rsidR="00B414C1" w:rsidRPr="00A5635D" w:rsidRDefault="00B414C1" w:rsidP="00B414C1">
            <w:pPr>
              <w:jc w:val="left"/>
              <w:rPr>
                <w:rFonts w:cs="Times New Roman"/>
                <w:b/>
                <w:bCs/>
                <w:color w:val="000000"/>
                <w:sz w:val="20"/>
                <w:szCs w:val="20"/>
              </w:rPr>
            </w:pPr>
            <w:r w:rsidRPr="00FF51C3">
              <w:rPr>
                <w:rFonts w:cs="Times New Roman"/>
                <w:b/>
                <w:color w:val="000000"/>
                <w:sz w:val="20"/>
                <w:szCs w:val="20"/>
              </w:rPr>
              <w:t xml:space="preserve">2016 (decay) </w:t>
            </w:r>
          </w:p>
        </w:tc>
        <w:tc>
          <w:tcPr>
            <w:tcW w:w="1096" w:type="dxa"/>
            <w:vAlign w:val="center"/>
          </w:tcPr>
          <w:p w:rsidR="00B414C1" w:rsidRPr="00A5635D" w:rsidRDefault="00B414C1" w:rsidP="00B414C1">
            <w:pPr>
              <w:jc w:val="right"/>
              <w:rPr>
                <w:rFonts w:cs="Times New Roman"/>
                <w:color w:val="000000"/>
                <w:sz w:val="20"/>
                <w:szCs w:val="20"/>
              </w:rPr>
            </w:pPr>
          </w:p>
        </w:tc>
        <w:tc>
          <w:tcPr>
            <w:tcW w:w="1406" w:type="dxa"/>
            <w:vAlign w:val="center"/>
          </w:tcPr>
          <w:p w:rsidR="00B414C1" w:rsidRPr="00A5635D" w:rsidRDefault="00B414C1" w:rsidP="00B414C1">
            <w:pPr>
              <w:ind w:left="57"/>
              <w:jc w:val="right"/>
              <w:rPr>
                <w:rFonts w:cs="Times New Roman"/>
                <w:color w:val="000000"/>
                <w:sz w:val="20"/>
                <w:szCs w:val="20"/>
              </w:rPr>
            </w:pPr>
            <w:r w:rsidRPr="00492AB7">
              <w:rPr>
                <w:rFonts w:cs="Times New Roman"/>
                <w:color w:val="000000"/>
                <w:sz w:val="20"/>
                <w:szCs w:val="20"/>
              </w:rPr>
              <w:t>-98,424</w:t>
            </w:r>
          </w:p>
        </w:tc>
        <w:tc>
          <w:tcPr>
            <w:tcW w:w="1104" w:type="dxa"/>
            <w:vAlign w:val="center"/>
          </w:tcPr>
          <w:p w:rsidR="00B414C1" w:rsidRPr="00A5635D" w:rsidRDefault="00B414C1" w:rsidP="00B414C1">
            <w:pPr>
              <w:jc w:val="right"/>
              <w:rPr>
                <w:rFonts w:cs="Times New Roman"/>
                <w:color w:val="000000"/>
                <w:sz w:val="20"/>
                <w:szCs w:val="20"/>
              </w:rPr>
            </w:pPr>
          </w:p>
        </w:tc>
        <w:tc>
          <w:tcPr>
            <w:tcW w:w="1296" w:type="dxa"/>
            <w:vAlign w:val="center"/>
          </w:tcPr>
          <w:p w:rsidR="00B414C1" w:rsidRPr="00A5635D" w:rsidRDefault="00B414C1" w:rsidP="00B414C1">
            <w:pPr>
              <w:jc w:val="right"/>
              <w:rPr>
                <w:rFonts w:cs="Times New Roman"/>
                <w:color w:val="000000"/>
                <w:sz w:val="20"/>
                <w:szCs w:val="20"/>
              </w:rPr>
            </w:pPr>
            <w:r w:rsidRPr="00492AB7">
              <w:rPr>
                <w:rFonts w:cs="Times New Roman"/>
                <w:color w:val="000000"/>
                <w:sz w:val="20"/>
                <w:szCs w:val="20"/>
              </w:rPr>
              <w:t>-98,424</w:t>
            </w:r>
          </w:p>
        </w:tc>
      </w:tr>
      <w:tr w:rsidR="00B414C1" w:rsidRPr="00A5635D" w:rsidTr="00B414C1">
        <w:trPr>
          <w:trHeight w:val="156"/>
          <w:jc w:val="center"/>
        </w:trPr>
        <w:tc>
          <w:tcPr>
            <w:tcW w:w="3180" w:type="dxa"/>
            <w:vAlign w:val="center"/>
          </w:tcPr>
          <w:p w:rsidR="00B414C1" w:rsidRPr="00A5635D" w:rsidRDefault="00B414C1" w:rsidP="00B414C1">
            <w:pPr>
              <w:jc w:val="left"/>
              <w:rPr>
                <w:rFonts w:cs="Times New Roman"/>
                <w:b/>
                <w:bCs/>
                <w:color w:val="000000"/>
                <w:sz w:val="20"/>
                <w:szCs w:val="20"/>
              </w:rPr>
            </w:pPr>
            <w:r w:rsidRPr="00FF51C3">
              <w:rPr>
                <w:rFonts w:cs="Times New Roman"/>
                <w:b/>
                <w:color w:val="000000"/>
                <w:sz w:val="20"/>
                <w:szCs w:val="20"/>
              </w:rPr>
              <w:t>2017 - (y</w:t>
            </w:r>
            <w:r>
              <w:rPr>
                <w:rFonts w:cs="Times New Roman"/>
                <w:b/>
                <w:color w:val="000000"/>
                <w:sz w:val="20"/>
                <w:szCs w:val="20"/>
              </w:rPr>
              <w:t>ea</w:t>
            </w:r>
            <w:r w:rsidRPr="00FF51C3">
              <w:rPr>
                <w:rFonts w:cs="Times New Roman"/>
                <w:b/>
                <w:color w:val="000000"/>
                <w:sz w:val="20"/>
                <w:szCs w:val="20"/>
              </w:rPr>
              <w:t>r 1 )  - captured in 2016 y</w:t>
            </w:r>
            <w:r>
              <w:rPr>
                <w:rFonts w:cs="Times New Roman"/>
                <w:b/>
                <w:color w:val="000000"/>
                <w:sz w:val="20"/>
                <w:szCs w:val="20"/>
              </w:rPr>
              <w:t>ea</w:t>
            </w:r>
            <w:r w:rsidRPr="00FF51C3">
              <w:rPr>
                <w:rFonts w:cs="Times New Roman"/>
                <w:b/>
                <w:color w:val="000000"/>
                <w:sz w:val="20"/>
                <w:szCs w:val="20"/>
              </w:rPr>
              <w:t>r 2 + decay</w:t>
            </w:r>
          </w:p>
        </w:tc>
        <w:tc>
          <w:tcPr>
            <w:tcW w:w="1096" w:type="dxa"/>
            <w:vAlign w:val="center"/>
          </w:tcPr>
          <w:p w:rsidR="00B414C1" w:rsidRPr="00A5635D" w:rsidRDefault="00B414C1" w:rsidP="00B414C1">
            <w:pPr>
              <w:jc w:val="right"/>
              <w:rPr>
                <w:rFonts w:cs="Times New Roman"/>
                <w:color w:val="000000"/>
                <w:sz w:val="20"/>
                <w:szCs w:val="20"/>
              </w:rPr>
            </w:pPr>
          </w:p>
        </w:tc>
        <w:tc>
          <w:tcPr>
            <w:tcW w:w="1406" w:type="dxa"/>
            <w:vAlign w:val="center"/>
          </w:tcPr>
          <w:p w:rsidR="00B414C1" w:rsidRPr="00A5635D" w:rsidRDefault="00B414C1" w:rsidP="00B414C1">
            <w:pPr>
              <w:jc w:val="right"/>
              <w:rPr>
                <w:rFonts w:cs="Times New Roman"/>
                <w:color w:val="000000"/>
                <w:sz w:val="20"/>
                <w:szCs w:val="20"/>
              </w:rPr>
            </w:pPr>
          </w:p>
        </w:tc>
        <w:tc>
          <w:tcPr>
            <w:tcW w:w="1104" w:type="dxa"/>
            <w:vAlign w:val="center"/>
          </w:tcPr>
          <w:p w:rsidR="00B414C1" w:rsidRPr="00A5635D" w:rsidRDefault="00B414C1" w:rsidP="00B414C1">
            <w:pPr>
              <w:jc w:val="right"/>
              <w:rPr>
                <w:rFonts w:cs="Times New Roman"/>
                <w:color w:val="000000"/>
                <w:sz w:val="20"/>
                <w:szCs w:val="20"/>
              </w:rPr>
            </w:pPr>
          </w:p>
        </w:tc>
        <w:tc>
          <w:tcPr>
            <w:tcW w:w="1296" w:type="dxa"/>
            <w:vAlign w:val="center"/>
          </w:tcPr>
          <w:p w:rsidR="00B414C1" w:rsidRPr="00A5635D" w:rsidRDefault="00B414C1" w:rsidP="00B414C1">
            <w:pPr>
              <w:jc w:val="right"/>
              <w:rPr>
                <w:rFonts w:cs="Times New Roman"/>
                <w:color w:val="000000"/>
                <w:sz w:val="20"/>
                <w:szCs w:val="20"/>
              </w:rPr>
            </w:pPr>
            <w:r w:rsidRPr="00492AB7">
              <w:rPr>
                <w:rFonts w:cs="Times New Roman"/>
                <w:color w:val="000000"/>
                <w:sz w:val="20"/>
                <w:szCs w:val="20"/>
              </w:rPr>
              <w:t>-</w:t>
            </w:r>
          </w:p>
        </w:tc>
      </w:tr>
      <w:tr w:rsidR="00B414C1" w:rsidRPr="00A5635D" w:rsidTr="00B414C1">
        <w:trPr>
          <w:trHeight w:val="156"/>
          <w:jc w:val="center"/>
        </w:trPr>
        <w:tc>
          <w:tcPr>
            <w:tcW w:w="3180" w:type="dxa"/>
            <w:vAlign w:val="center"/>
          </w:tcPr>
          <w:p w:rsidR="00B414C1" w:rsidRPr="00A5635D" w:rsidRDefault="00B414C1" w:rsidP="00B414C1">
            <w:pPr>
              <w:jc w:val="left"/>
              <w:rPr>
                <w:rFonts w:cs="Times New Roman"/>
                <w:b/>
                <w:bCs/>
                <w:color w:val="000000"/>
                <w:sz w:val="20"/>
                <w:szCs w:val="20"/>
              </w:rPr>
            </w:pPr>
            <w:r w:rsidRPr="00FF51C3">
              <w:rPr>
                <w:rFonts w:cs="Times New Roman"/>
                <w:b/>
                <w:color w:val="000000"/>
                <w:sz w:val="20"/>
                <w:szCs w:val="20"/>
              </w:rPr>
              <w:t>2017 (y</w:t>
            </w:r>
            <w:r>
              <w:rPr>
                <w:rFonts w:cs="Times New Roman"/>
                <w:b/>
                <w:color w:val="000000"/>
                <w:sz w:val="20"/>
                <w:szCs w:val="20"/>
              </w:rPr>
              <w:t>ea</w:t>
            </w:r>
            <w:r w:rsidRPr="00FF51C3">
              <w:rPr>
                <w:rFonts w:cs="Times New Roman"/>
                <w:b/>
                <w:color w:val="000000"/>
                <w:sz w:val="20"/>
                <w:szCs w:val="20"/>
              </w:rPr>
              <w:t xml:space="preserve">r 2 - reports stop - 20% decay) </w:t>
            </w:r>
            <w:r w:rsidRPr="00FF51C3">
              <w:rPr>
                <w:rFonts w:cs="Times New Roman"/>
                <w:b/>
                <w:color w:val="000000"/>
                <w:sz w:val="20"/>
                <w:szCs w:val="20"/>
                <w:vertAlign w:val="superscript"/>
              </w:rPr>
              <w:t>1</w:t>
            </w:r>
          </w:p>
        </w:tc>
        <w:tc>
          <w:tcPr>
            <w:tcW w:w="1096" w:type="dxa"/>
            <w:vAlign w:val="center"/>
          </w:tcPr>
          <w:p w:rsidR="00B414C1" w:rsidRPr="00A5635D" w:rsidRDefault="00B414C1" w:rsidP="00B414C1">
            <w:pPr>
              <w:jc w:val="right"/>
              <w:rPr>
                <w:rFonts w:cs="Times New Roman"/>
                <w:color w:val="000000"/>
                <w:sz w:val="20"/>
                <w:szCs w:val="20"/>
              </w:rPr>
            </w:pPr>
          </w:p>
        </w:tc>
        <w:tc>
          <w:tcPr>
            <w:tcW w:w="1406" w:type="dxa"/>
            <w:vAlign w:val="center"/>
          </w:tcPr>
          <w:p w:rsidR="00B414C1" w:rsidRPr="00A5635D" w:rsidRDefault="00B414C1" w:rsidP="00B414C1">
            <w:pPr>
              <w:jc w:val="right"/>
              <w:rPr>
                <w:rFonts w:cs="Times New Roman"/>
                <w:color w:val="000000"/>
                <w:sz w:val="20"/>
                <w:szCs w:val="20"/>
              </w:rPr>
            </w:pPr>
          </w:p>
        </w:tc>
        <w:tc>
          <w:tcPr>
            <w:tcW w:w="1104" w:type="dxa"/>
            <w:vAlign w:val="center"/>
          </w:tcPr>
          <w:p w:rsidR="00B414C1" w:rsidRPr="00A5635D" w:rsidRDefault="00B414C1" w:rsidP="00B414C1">
            <w:pPr>
              <w:jc w:val="right"/>
              <w:rPr>
                <w:rFonts w:cs="Times New Roman"/>
                <w:color w:val="000000"/>
                <w:sz w:val="20"/>
                <w:szCs w:val="20"/>
              </w:rPr>
            </w:pPr>
            <w:r w:rsidRPr="00492AB7">
              <w:rPr>
                <w:rFonts w:cs="Times New Roman"/>
                <w:color w:val="000000"/>
                <w:sz w:val="20"/>
                <w:szCs w:val="20"/>
              </w:rPr>
              <w:t>3,210,882</w:t>
            </w:r>
          </w:p>
        </w:tc>
        <w:tc>
          <w:tcPr>
            <w:tcW w:w="1296" w:type="dxa"/>
            <w:vAlign w:val="center"/>
          </w:tcPr>
          <w:p w:rsidR="00B414C1" w:rsidRPr="00A5635D" w:rsidRDefault="00B414C1" w:rsidP="00B414C1">
            <w:pPr>
              <w:jc w:val="right"/>
              <w:rPr>
                <w:rFonts w:cs="Times New Roman"/>
                <w:color w:val="000000"/>
                <w:sz w:val="20"/>
                <w:szCs w:val="20"/>
              </w:rPr>
            </w:pPr>
            <w:r w:rsidRPr="00492AB7">
              <w:rPr>
                <w:rFonts w:cs="Times New Roman"/>
                <w:b/>
                <w:bCs/>
                <w:color w:val="000000"/>
                <w:sz w:val="20"/>
                <w:szCs w:val="20"/>
              </w:rPr>
              <w:t>8,125,628</w:t>
            </w:r>
          </w:p>
        </w:tc>
      </w:tr>
      <w:tr w:rsidR="00B414C1" w:rsidRPr="00A5635D" w:rsidTr="00B414C1">
        <w:trPr>
          <w:trHeight w:val="183"/>
          <w:jc w:val="center"/>
        </w:trPr>
        <w:tc>
          <w:tcPr>
            <w:tcW w:w="3180" w:type="dxa"/>
            <w:vAlign w:val="bottom"/>
          </w:tcPr>
          <w:p w:rsidR="00B414C1" w:rsidRPr="00A5635D" w:rsidRDefault="00B414C1" w:rsidP="00B414C1">
            <w:pPr>
              <w:jc w:val="left"/>
              <w:rPr>
                <w:rFonts w:cs="Times New Roman"/>
                <w:b/>
                <w:bCs/>
                <w:color w:val="000000"/>
                <w:sz w:val="20"/>
                <w:szCs w:val="20"/>
              </w:rPr>
            </w:pPr>
            <w:r w:rsidRPr="00FF51C3">
              <w:rPr>
                <w:rFonts w:cs="Times New Roman"/>
                <w:b/>
                <w:color w:val="000000"/>
                <w:sz w:val="20"/>
                <w:szCs w:val="20"/>
              </w:rPr>
              <w:t>Total</w:t>
            </w:r>
            <w:r>
              <w:rPr>
                <w:rFonts w:cs="Times New Roman"/>
                <w:b/>
                <w:color w:val="000000"/>
                <w:sz w:val="20"/>
                <w:szCs w:val="20"/>
              </w:rPr>
              <w:t xml:space="preserve"> </w:t>
            </w:r>
            <w:r w:rsidRPr="00FF51C3">
              <w:rPr>
                <w:rFonts w:cs="Times New Roman"/>
                <w:b/>
                <w:color w:val="000000"/>
                <w:sz w:val="20"/>
                <w:szCs w:val="20"/>
                <w:vertAlign w:val="superscript"/>
              </w:rPr>
              <w:t>2</w:t>
            </w:r>
          </w:p>
        </w:tc>
        <w:tc>
          <w:tcPr>
            <w:tcW w:w="1096" w:type="dxa"/>
            <w:vAlign w:val="center"/>
          </w:tcPr>
          <w:p w:rsidR="00B414C1" w:rsidRPr="00A5635D" w:rsidRDefault="00B414C1" w:rsidP="00B414C1">
            <w:pPr>
              <w:jc w:val="right"/>
              <w:rPr>
                <w:rFonts w:cs="Times New Roman"/>
                <w:color w:val="000000"/>
                <w:sz w:val="20"/>
                <w:szCs w:val="20"/>
              </w:rPr>
            </w:pPr>
            <w:r w:rsidRPr="00492AB7">
              <w:rPr>
                <w:rFonts w:cs="Times New Roman"/>
                <w:color w:val="000000"/>
                <w:sz w:val="20"/>
                <w:szCs w:val="20"/>
              </w:rPr>
              <w:t>4,112,026</w:t>
            </w:r>
          </w:p>
        </w:tc>
        <w:tc>
          <w:tcPr>
            <w:tcW w:w="1406" w:type="dxa"/>
            <w:vAlign w:val="center"/>
          </w:tcPr>
          <w:p w:rsidR="00B414C1" w:rsidRPr="00A5635D" w:rsidRDefault="00B414C1" w:rsidP="00B414C1">
            <w:pPr>
              <w:jc w:val="right"/>
              <w:rPr>
                <w:rFonts w:cs="Times New Roman"/>
                <w:color w:val="000000"/>
                <w:sz w:val="20"/>
                <w:szCs w:val="20"/>
              </w:rPr>
            </w:pPr>
            <w:r w:rsidRPr="00492AB7">
              <w:rPr>
                <w:rFonts w:cs="Times New Roman"/>
                <w:color w:val="000000"/>
                <w:sz w:val="20"/>
                <w:szCs w:val="20"/>
              </w:rPr>
              <w:t>4,013,602</w:t>
            </w:r>
          </w:p>
        </w:tc>
        <w:tc>
          <w:tcPr>
            <w:tcW w:w="1104" w:type="dxa"/>
            <w:vAlign w:val="center"/>
          </w:tcPr>
          <w:p w:rsidR="00B414C1" w:rsidRPr="00A5635D" w:rsidRDefault="00B414C1" w:rsidP="00B414C1">
            <w:pPr>
              <w:jc w:val="right"/>
              <w:rPr>
                <w:rFonts w:cs="Times New Roman"/>
                <w:color w:val="000000"/>
                <w:sz w:val="20"/>
                <w:szCs w:val="20"/>
              </w:rPr>
            </w:pPr>
            <w:r w:rsidRPr="00492AB7">
              <w:rPr>
                <w:rFonts w:cs="Times New Roman"/>
                <w:color w:val="000000"/>
                <w:sz w:val="20"/>
                <w:szCs w:val="20"/>
              </w:rPr>
              <w:t>3,210,882</w:t>
            </w:r>
          </w:p>
        </w:tc>
        <w:tc>
          <w:tcPr>
            <w:tcW w:w="1296" w:type="dxa"/>
            <w:vAlign w:val="center"/>
          </w:tcPr>
          <w:p w:rsidR="00B414C1" w:rsidRPr="00A5635D" w:rsidRDefault="00B414C1" w:rsidP="00B414C1">
            <w:pPr>
              <w:jc w:val="right"/>
              <w:rPr>
                <w:rFonts w:cs="Times New Roman"/>
                <w:color w:val="000000"/>
                <w:sz w:val="20"/>
                <w:szCs w:val="20"/>
              </w:rPr>
            </w:pPr>
            <w:r w:rsidRPr="00492AB7">
              <w:rPr>
                <w:rFonts w:cs="Times New Roman"/>
                <w:b/>
                <w:bCs/>
                <w:color w:val="000000"/>
                <w:sz w:val="20"/>
                <w:szCs w:val="20"/>
              </w:rPr>
              <w:t>11,336,510</w:t>
            </w:r>
          </w:p>
        </w:tc>
      </w:tr>
      <w:tr w:rsidR="00B414C1" w:rsidRPr="00A5635D" w:rsidTr="00B414C1">
        <w:trPr>
          <w:trHeight w:val="156"/>
          <w:jc w:val="center"/>
        </w:trPr>
        <w:tc>
          <w:tcPr>
            <w:tcW w:w="8082" w:type="dxa"/>
            <w:gridSpan w:val="5"/>
            <w:vAlign w:val="bottom"/>
          </w:tcPr>
          <w:p w:rsidR="00B414C1" w:rsidRPr="00A5635D" w:rsidRDefault="00B414C1" w:rsidP="00B414C1">
            <w:pPr>
              <w:jc w:val="left"/>
              <w:rPr>
                <w:rFonts w:cs="Times New Roman"/>
                <w:b/>
                <w:bCs/>
                <w:color w:val="000000"/>
                <w:sz w:val="20"/>
                <w:szCs w:val="20"/>
              </w:rPr>
            </w:pPr>
            <w:r w:rsidRPr="00FF51C3">
              <w:rPr>
                <w:rFonts w:cs="Times New Roman"/>
                <w:color w:val="000000"/>
                <w:sz w:val="20"/>
                <w:szCs w:val="20"/>
              </w:rPr>
              <w:t>Note 1: One year life - lifetime savings -2016-2017</w:t>
            </w:r>
          </w:p>
        </w:tc>
      </w:tr>
      <w:tr w:rsidR="00B414C1" w:rsidRPr="00A5635D" w:rsidTr="00B414C1">
        <w:trPr>
          <w:trHeight w:val="156"/>
          <w:jc w:val="center"/>
        </w:trPr>
        <w:tc>
          <w:tcPr>
            <w:tcW w:w="8082" w:type="dxa"/>
            <w:gridSpan w:val="5"/>
            <w:vAlign w:val="bottom"/>
          </w:tcPr>
          <w:p w:rsidR="00B414C1" w:rsidRPr="00A5635D" w:rsidRDefault="00B414C1" w:rsidP="00B414C1">
            <w:pPr>
              <w:jc w:val="left"/>
              <w:rPr>
                <w:rFonts w:cs="Times New Roman"/>
                <w:b/>
                <w:bCs/>
                <w:color w:val="000000"/>
                <w:sz w:val="20"/>
                <w:szCs w:val="20"/>
              </w:rPr>
            </w:pPr>
            <w:r w:rsidRPr="00FF51C3">
              <w:rPr>
                <w:rFonts w:cs="Times New Roman"/>
                <w:color w:val="000000"/>
                <w:sz w:val="20"/>
                <w:szCs w:val="20"/>
              </w:rPr>
              <w:t>Note 2: Two year life - lifetime savings - 2016-2017</w:t>
            </w:r>
          </w:p>
        </w:tc>
      </w:tr>
    </w:tbl>
    <w:p w:rsidR="00B414C1" w:rsidRDefault="00B414C1" w:rsidP="00B414C1">
      <w:pPr>
        <w:jc w:val="center"/>
        <w:rPr>
          <w:rFonts w:cs="Times New Roman"/>
          <w:b/>
          <w:szCs w:val="24"/>
        </w:rPr>
      </w:pPr>
    </w:p>
    <w:p w:rsidR="00B414C1" w:rsidRDefault="00B414C1" w:rsidP="00B414C1">
      <w:pPr>
        <w:rPr>
          <w:rFonts w:cs="Times New Roman"/>
          <w:szCs w:val="24"/>
          <w:u w:val="single"/>
        </w:rPr>
      </w:pPr>
    </w:p>
    <w:p w:rsidR="00B414C1" w:rsidRPr="004B4479" w:rsidRDefault="00B414C1" w:rsidP="00B414C1">
      <w:pPr>
        <w:rPr>
          <w:rFonts w:cs="Times New Roman"/>
          <w:szCs w:val="24"/>
        </w:rPr>
      </w:pPr>
      <w:r w:rsidRPr="004B4479">
        <w:rPr>
          <w:rFonts w:cs="Times New Roman"/>
          <w:szCs w:val="24"/>
        </w:rPr>
        <w:t>While program economics will utilize the two measure life, only first year savings will be provided in reports and counted against the biennial conservation target. This reporting convention will generate a reporting challenge for 2017, a period in which report costs will be incurred, but no new savings are forecasted to be reported.</w:t>
      </w:r>
      <w:r w:rsidR="004B4479">
        <w:rPr>
          <w:rFonts w:cs="Times New Roman"/>
          <w:szCs w:val="24"/>
        </w:rPr>
        <w:t xml:space="preserve"> </w:t>
      </w:r>
      <w:r w:rsidRPr="004B4479">
        <w:rPr>
          <w:rFonts w:cs="Times New Roman"/>
          <w:szCs w:val="24"/>
        </w:rPr>
        <w:t xml:space="preserve">For 2017, it may be appropriate to re-assess the two-year economics using the lifetime savings stream associated with 2016 reported savings and program costs for both 2016 and 2017.   </w:t>
      </w:r>
    </w:p>
    <w:p w:rsidR="00B414C1" w:rsidRDefault="00B414C1" w:rsidP="00B414C1">
      <w:pPr>
        <w:rPr>
          <w:rFonts w:cs="Times New Roman"/>
          <w:szCs w:val="24"/>
          <w:u w:val="single"/>
        </w:rPr>
      </w:pPr>
    </w:p>
    <w:p w:rsidR="00B414C1" w:rsidRDefault="00B414C1" w:rsidP="00B414C1">
      <w:pPr>
        <w:rPr>
          <w:rFonts w:cs="Times New Roman"/>
          <w:szCs w:val="24"/>
          <w:u w:val="single"/>
        </w:rPr>
      </w:pPr>
      <w:r>
        <w:rPr>
          <w:rFonts w:cs="Times New Roman"/>
          <w:szCs w:val="24"/>
          <w:u w:val="single"/>
        </w:rPr>
        <w:t>Clothes Washers</w:t>
      </w:r>
    </w:p>
    <w:p w:rsidR="00B414C1" w:rsidRDefault="00B414C1" w:rsidP="00B414C1">
      <w:pPr>
        <w:rPr>
          <w:rFonts w:cs="Times New Roman"/>
          <w:szCs w:val="24"/>
          <w:u w:val="single"/>
        </w:rPr>
      </w:pPr>
      <w:r>
        <w:rPr>
          <w:rFonts w:cs="Times New Roman"/>
          <w:szCs w:val="24"/>
        </w:rPr>
        <w:t>Clothes washer UES values were updated from those used in the CPA to 2015 values from the RTF. While performing this update, the Company discovered that non-energy benefits were not applied correctly in CPA levelized cost calculations, causing clothes washers to be omitted from selected bundles in the 2015 IRP. As such, the entire re-estimated potential was taken as an upward adjustment to the conservation forecast to reflect that these measures are cost-effective when correctly accounting for non-energy benefits.</w:t>
      </w:r>
      <w:r>
        <w:rPr>
          <w:rFonts w:cs="Times New Roman"/>
          <w:szCs w:val="24"/>
          <w:u w:val="single"/>
        </w:rPr>
        <w:t xml:space="preserve"> </w:t>
      </w:r>
    </w:p>
    <w:p w:rsidR="00B414C1" w:rsidRDefault="00B414C1" w:rsidP="00B414C1">
      <w:pPr>
        <w:rPr>
          <w:rFonts w:cs="Times New Roman"/>
          <w:szCs w:val="24"/>
          <w:u w:val="single"/>
        </w:rPr>
      </w:pPr>
    </w:p>
    <w:p w:rsidR="004B4479" w:rsidRDefault="004B4479" w:rsidP="00B414C1">
      <w:pPr>
        <w:rPr>
          <w:rFonts w:cs="Times New Roman"/>
          <w:szCs w:val="24"/>
          <w:u w:val="single"/>
        </w:rPr>
      </w:pPr>
    </w:p>
    <w:p w:rsidR="004B4479" w:rsidRDefault="004B4479" w:rsidP="00B414C1">
      <w:pPr>
        <w:rPr>
          <w:rFonts w:cs="Times New Roman"/>
          <w:szCs w:val="24"/>
          <w:u w:val="single"/>
        </w:rPr>
      </w:pPr>
    </w:p>
    <w:p w:rsidR="00B414C1" w:rsidRDefault="00B414C1" w:rsidP="00B414C1">
      <w:pPr>
        <w:rPr>
          <w:rFonts w:cs="Times New Roman"/>
          <w:szCs w:val="24"/>
          <w:u w:val="single"/>
        </w:rPr>
      </w:pPr>
      <w:r>
        <w:rPr>
          <w:rFonts w:cs="Times New Roman"/>
          <w:szCs w:val="24"/>
          <w:u w:val="single"/>
        </w:rPr>
        <w:t>Residential Ductless Heat Pumps</w:t>
      </w:r>
    </w:p>
    <w:p w:rsidR="00B414C1" w:rsidRDefault="00B414C1" w:rsidP="00B414C1">
      <w:pPr>
        <w:rPr>
          <w:rFonts w:cs="Times New Roman"/>
          <w:szCs w:val="24"/>
          <w:u w:val="single"/>
        </w:rPr>
      </w:pPr>
      <w:r>
        <w:rPr>
          <w:rFonts w:cs="Times New Roman"/>
          <w:szCs w:val="24"/>
        </w:rPr>
        <w:t>Ductless heat pump UES values were updated from those used in the CPA to 2015 values from the RTF. While performing this update, the Company discovered that Operation and Maintenance (O&amp;M) benefits were not applied correctly in CPA levelized cost calculations, causing ductless heat pumps to be omitted from selected bundles in the 2015 IRP. As such, the entire re-estimated potential was taken as an upward adjustment to the conservation forecast to reflect that these measures are cost-effective when correctly accounting for O&amp;M benefits.</w:t>
      </w:r>
      <w:r>
        <w:rPr>
          <w:rFonts w:cs="Times New Roman"/>
          <w:szCs w:val="24"/>
          <w:u w:val="single"/>
        </w:rPr>
        <w:t xml:space="preserve"> </w:t>
      </w:r>
    </w:p>
    <w:p w:rsidR="00B414C1" w:rsidRDefault="00B414C1" w:rsidP="00B414C1">
      <w:pPr>
        <w:rPr>
          <w:rFonts w:cs="Times New Roman"/>
          <w:szCs w:val="24"/>
          <w:u w:val="single"/>
        </w:rPr>
      </w:pPr>
    </w:p>
    <w:p w:rsidR="00B414C1" w:rsidRDefault="00B414C1" w:rsidP="00B414C1">
      <w:pPr>
        <w:rPr>
          <w:rFonts w:cs="Times New Roman"/>
          <w:szCs w:val="24"/>
          <w:u w:val="single"/>
        </w:rPr>
      </w:pPr>
      <w:r>
        <w:rPr>
          <w:rFonts w:cs="Times New Roman"/>
          <w:szCs w:val="24"/>
          <w:u w:val="single"/>
        </w:rPr>
        <w:t>Appliance Recycling</w:t>
      </w:r>
    </w:p>
    <w:p w:rsidR="00B414C1" w:rsidRPr="002D3E41" w:rsidRDefault="00B414C1" w:rsidP="00B414C1">
      <w:pPr>
        <w:rPr>
          <w:rFonts w:cs="Times New Roman"/>
          <w:szCs w:val="24"/>
        </w:rPr>
      </w:pPr>
      <w:r w:rsidRPr="002D3E41">
        <w:rPr>
          <w:rFonts w:cs="Times New Roman"/>
          <w:szCs w:val="24"/>
        </w:rPr>
        <w:t>The CPA utilized UES values (583 kWh for refrigerators, 495 kWh for freezers) from the prior program impact evaluation which utilized a methodology consistent with the RTF methodology. In August 2015, the Company received draft evaluation results utilizing the Uniforms Methods Project methodology for appliance recycling, which is consistent with the current RTF methodology. This evaluation utilizes a set of legacy RTF values (50% yes, 50% no) in response to a program logic question about whether the “would-be acquirer finds an alternate unit” The Table A4-6 provides the revised unit energy savings per recycled appliance.</w:t>
      </w:r>
    </w:p>
    <w:p w:rsidR="00B414C1" w:rsidRPr="002D3E41" w:rsidRDefault="00B414C1" w:rsidP="00B414C1">
      <w:pPr>
        <w:rPr>
          <w:rFonts w:cs="Times New Roman"/>
          <w:szCs w:val="24"/>
        </w:rPr>
      </w:pPr>
    </w:p>
    <w:p w:rsidR="00B414C1" w:rsidRDefault="00B414C1" w:rsidP="00B414C1">
      <w:pPr>
        <w:jc w:val="center"/>
        <w:rPr>
          <w:rFonts w:cs="Times New Roman"/>
          <w:b/>
          <w:szCs w:val="24"/>
        </w:rPr>
      </w:pPr>
      <w:r w:rsidRPr="002D3E41">
        <w:rPr>
          <w:rFonts w:cs="Times New Roman"/>
          <w:b/>
          <w:szCs w:val="24"/>
        </w:rPr>
        <w:t>Table A4-6</w:t>
      </w:r>
    </w:p>
    <w:p w:rsidR="00B414C1" w:rsidRDefault="00B414C1" w:rsidP="00B414C1">
      <w:pPr>
        <w:jc w:val="center"/>
        <w:rPr>
          <w:rFonts w:cs="Times New Roman"/>
          <w:b/>
          <w:szCs w:val="24"/>
        </w:rPr>
      </w:pPr>
      <w:r>
        <w:rPr>
          <w:rFonts w:cs="Times New Roman"/>
          <w:b/>
          <w:szCs w:val="24"/>
        </w:rPr>
        <w:t>Draft 2013-2014 Program Evaluation Results – 50/50</w:t>
      </w:r>
    </w:p>
    <w:p w:rsidR="00B414C1" w:rsidRDefault="00B414C1" w:rsidP="00B414C1">
      <w:pPr>
        <w:jc w:val="center"/>
        <w:rPr>
          <w:rFonts w:cs="Times New Roman"/>
          <w:b/>
          <w:szCs w:val="24"/>
        </w:rPr>
      </w:pPr>
    </w:p>
    <w:tbl>
      <w:tblPr>
        <w:tblW w:w="73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751"/>
        <w:gridCol w:w="988"/>
        <w:gridCol w:w="1076"/>
        <w:gridCol w:w="1372"/>
        <w:gridCol w:w="1091"/>
        <w:gridCol w:w="1091"/>
      </w:tblGrid>
      <w:tr w:rsidR="00B414C1" w:rsidRPr="00432C28" w:rsidTr="00B414C1">
        <w:trPr>
          <w:trHeight w:val="305"/>
          <w:jc w:val="center"/>
        </w:trPr>
        <w:tc>
          <w:tcPr>
            <w:tcW w:w="1885" w:type="dxa"/>
          </w:tcPr>
          <w:p w:rsidR="00B414C1" w:rsidRPr="00664764" w:rsidRDefault="00B414C1" w:rsidP="00B414C1">
            <w:pPr>
              <w:jc w:val="center"/>
              <w:rPr>
                <w:rFonts w:eastAsia="Times New Roman" w:cs="Times New Roman"/>
                <w:b/>
                <w:color w:val="000000"/>
                <w:sz w:val="20"/>
                <w:szCs w:val="20"/>
              </w:rPr>
            </w:pPr>
            <w:r w:rsidRPr="00492AB7">
              <w:rPr>
                <w:b/>
                <w:sz w:val="20"/>
                <w:szCs w:val="20"/>
              </w:rPr>
              <w:t>Appliance</w:t>
            </w:r>
          </w:p>
        </w:tc>
        <w:tc>
          <w:tcPr>
            <w:tcW w:w="1016" w:type="dxa"/>
          </w:tcPr>
          <w:p w:rsidR="00B414C1" w:rsidRPr="00664764" w:rsidRDefault="00B414C1" w:rsidP="00B414C1">
            <w:pPr>
              <w:jc w:val="center"/>
              <w:rPr>
                <w:rFonts w:eastAsia="Times New Roman" w:cs="Times New Roman"/>
                <w:b/>
                <w:color w:val="000000"/>
                <w:sz w:val="20"/>
                <w:szCs w:val="20"/>
              </w:rPr>
            </w:pPr>
            <w:r w:rsidRPr="00492AB7">
              <w:rPr>
                <w:b/>
                <w:sz w:val="20"/>
                <w:szCs w:val="20"/>
              </w:rPr>
              <w:t>Gross Savings (kWh)</w:t>
            </w:r>
          </w:p>
        </w:tc>
        <w:tc>
          <w:tcPr>
            <w:tcW w:w="1117" w:type="dxa"/>
          </w:tcPr>
          <w:p w:rsidR="00B414C1" w:rsidRPr="00664764" w:rsidRDefault="00B414C1" w:rsidP="00B414C1">
            <w:pPr>
              <w:jc w:val="center"/>
              <w:rPr>
                <w:rFonts w:eastAsia="Times New Roman" w:cs="Times New Roman"/>
                <w:b/>
                <w:color w:val="000000"/>
                <w:sz w:val="20"/>
                <w:szCs w:val="20"/>
              </w:rPr>
            </w:pPr>
            <w:r w:rsidRPr="00492AB7">
              <w:rPr>
                <w:b/>
                <w:sz w:val="20"/>
                <w:szCs w:val="20"/>
              </w:rPr>
              <w:t>Free Rider and SMI Impacts (kWh)</w:t>
            </w:r>
          </w:p>
        </w:tc>
        <w:tc>
          <w:tcPr>
            <w:tcW w:w="1117" w:type="dxa"/>
          </w:tcPr>
          <w:p w:rsidR="00B414C1" w:rsidRPr="00664764" w:rsidRDefault="00B414C1" w:rsidP="00B414C1">
            <w:pPr>
              <w:jc w:val="center"/>
              <w:rPr>
                <w:rFonts w:cs="Times New Roman"/>
                <w:b/>
                <w:bCs/>
                <w:color w:val="000000"/>
                <w:sz w:val="20"/>
                <w:szCs w:val="20"/>
              </w:rPr>
            </w:pPr>
            <w:r w:rsidRPr="00492AB7">
              <w:rPr>
                <w:b/>
                <w:sz w:val="20"/>
                <w:szCs w:val="20"/>
              </w:rPr>
              <w:t>Induced Consumption (kWh)</w:t>
            </w:r>
          </w:p>
        </w:tc>
        <w:tc>
          <w:tcPr>
            <w:tcW w:w="1117" w:type="dxa"/>
          </w:tcPr>
          <w:p w:rsidR="00B414C1" w:rsidRPr="00664764" w:rsidRDefault="00B414C1" w:rsidP="00B414C1">
            <w:pPr>
              <w:jc w:val="center"/>
              <w:rPr>
                <w:rFonts w:cs="Times New Roman"/>
                <w:b/>
                <w:bCs/>
                <w:color w:val="000000"/>
                <w:sz w:val="20"/>
                <w:szCs w:val="20"/>
              </w:rPr>
            </w:pPr>
            <w:r w:rsidRPr="00492AB7">
              <w:rPr>
                <w:b/>
                <w:sz w:val="20"/>
                <w:szCs w:val="20"/>
              </w:rPr>
              <w:t>Spillover</w:t>
            </w:r>
          </w:p>
        </w:tc>
        <w:tc>
          <w:tcPr>
            <w:tcW w:w="1117" w:type="dxa"/>
          </w:tcPr>
          <w:p w:rsidR="00B414C1" w:rsidRPr="00664764" w:rsidRDefault="00B414C1" w:rsidP="00B414C1">
            <w:pPr>
              <w:jc w:val="center"/>
              <w:rPr>
                <w:rFonts w:cs="Times New Roman"/>
                <w:b/>
                <w:bCs/>
                <w:color w:val="000000"/>
                <w:sz w:val="20"/>
                <w:szCs w:val="20"/>
              </w:rPr>
            </w:pPr>
            <w:r w:rsidRPr="00492AB7">
              <w:rPr>
                <w:b/>
                <w:sz w:val="20"/>
                <w:szCs w:val="20"/>
              </w:rPr>
              <w:t>Total Program Net Savings (kWh)</w:t>
            </w:r>
          </w:p>
        </w:tc>
      </w:tr>
      <w:tr w:rsidR="00B414C1" w:rsidRPr="00432C28" w:rsidTr="00B414C1">
        <w:trPr>
          <w:trHeight w:val="156"/>
          <w:jc w:val="center"/>
        </w:trPr>
        <w:tc>
          <w:tcPr>
            <w:tcW w:w="1885" w:type="dxa"/>
          </w:tcPr>
          <w:p w:rsidR="00B414C1" w:rsidRPr="00664764" w:rsidRDefault="00B414C1" w:rsidP="00B414C1">
            <w:pPr>
              <w:jc w:val="left"/>
              <w:rPr>
                <w:rFonts w:cs="Times New Roman"/>
                <w:b/>
                <w:bCs/>
                <w:color w:val="000000"/>
                <w:sz w:val="20"/>
                <w:szCs w:val="20"/>
              </w:rPr>
            </w:pPr>
            <w:r w:rsidRPr="00492AB7">
              <w:rPr>
                <w:sz w:val="20"/>
                <w:szCs w:val="20"/>
              </w:rPr>
              <w:t>Refrigerator</w:t>
            </w:r>
          </w:p>
        </w:tc>
        <w:tc>
          <w:tcPr>
            <w:tcW w:w="1016" w:type="dxa"/>
          </w:tcPr>
          <w:p w:rsidR="00B414C1" w:rsidRPr="00664764" w:rsidRDefault="00B414C1" w:rsidP="00B414C1">
            <w:pPr>
              <w:rPr>
                <w:rFonts w:cs="Times New Roman"/>
                <w:color w:val="000000"/>
                <w:sz w:val="20"/>
                <w:szCs w:val="20"/>
              </w:rPr>
            </w:pPr>
            <w:r w:rsidRPr="00492AB7">
              <w:rPr>
                <w:sz w:val="20"/>
                <w:szCs w:val="20"/>
              </w:rPr>
              <w:t>1,112</w:t>
            </w:r>
          </w:p>
        </w:tc>
        <w:tc>
          <w:tcPr>
            <w:tcW w:w="1117" w:type="dxa"/>
          </w:tcPr>
          <w:p w:rsidR="00B414C1" w:rsidRPr="00664764" w:rsidRDefault="00B414C1" w:rsidP="00B414C1">
            <w:pPr>
              <w:jc w:val="right"/>
              <w:rPr>
                <w:rFonts w:cs="Times New Roman"/>
                <w:color w:val="000000"/>
                <w:sz w:val="20"/>
                <w:szCs w:val="20"/>
              </w:rPr>
            </w:pPr>
            <w:r w:rsidRPr="00492AB7">
              <w:rPr>
                <w:sz w:val="20"/>
                <w:szCs w:val="20"/>
              </w:rPr>
              <w:t>733</w:t>
            </w:r>
          </w:p>
        </w:tc>
        <w:tc>
          <w:tcPr>
            <w:tcW w:w="1117" w:type="dxa"/>
          </w:tcPr>
          <w:p w:rsidR="00B414C1" w:rsidRPr="00664764" w:rsidRDefault="00B414C1" w:rsidP="00B414C1">
            <w:pPr>
              <w:jc w:val="right"/>
              <w:rPr>
                <w:rFonts w:cs="Times New Roman"/>
                <w:color w:val="000000"/>
                <w:sz w:val="20"/>
                <w:szCs w:val="20"/>
              </w:rPr>
            </w:pPr>
            <w:r w:rsidRPr="00492AB7">
              <w:rPr>
                <w:sz w:val="20"/>
                <w:szCs w:val="20"/>
              </w:rPr>
              <w:t>51</w:t>
            </w:r>
          </w:p>
        </w:tc>
        <w:tc>
          <w:tcPr>
            <w:tcW w:w="1117" w:type="dxa"/>
          </w:tcPr>
          <w:p w:rsidR="00B414C1" w:rsidRPr="00664764" w:rsidRDefault="00B414C1" w:rsidP="00B414C1">
            <w:pPr>
              <w:jc w:val="right"/>
              <w:rPr>
                <w:rFonts w:cs="Times New Roman"/>
                <w:color w:val="000000"/>
                <w:sz w:val="20"/>
                <w:szCs w:val="20"/>
              </w:rPr>
            </w:pPr>
            <w:r w:rsidRPr="00492AB7">
              <w:rPr>
                <w:sz w:val="20"/>
                <w:szCs w:val="20"/>
              </w:rPr>
              <w:t>-</w:t>
            </w:r>
          </w:p>
        </w:tc>
        <w:tc>
          <w:tcPr>
            <w:tcW w:w="1117" w:type="dxa"/>
          </w:tcPr>
          <w:p w:rsidR="00B414C1" w:rsidRPr="00664764" w:rsidRDefault="00B414C1" w:rsidP="00B414C1">
            <w:pPr>
              <w:jc w:val="right"/>
              <w:rPr>
                <w:rFonts w:cs="Times New Roman"/>
                <w:color w:val="000000"/>
                <w:sz w:val="20"/>
                <w:szCs w:val="20"/>
              </w:rPr>
            </w:pPr>
            <w:r w:rsidRPr="00492AB7">
              <w:rPr>
                <w:sz w:val="20"/>
                <w:szCs w:val="20"/>
              </w:rPr>
              <w:t>328</w:t>
            </w:r>
          </w:p>
        </w:tc>
      </w:tr>
      <w:tr w:rsidR="00B414C1" w:rsidRPr="00432C28" w:rsidTr="00B414C1">
        <w:trPr>
          <w:trHeight w:val="156"/>
          <w:jc w:val="center"/>
        </w:trPr>
        <w:tc>
          <w:tcPr>
            <w:tcW w:w="1885" w:type="dxa"/>
          </w:tcPr>
          <w:p w:rsidR="00B414C1" w:rsidRPr="00664764" w:rsidRDefault="00B414C1" w:rsidP="00B414C1">
            <w:pPr>
              <w:jc w:val="left"/>
              <w:rPr>
                <w:rFonts w:cs="Times New Roman"/>
                <w:color w:val="000000"/>
                <w:sz w:val="20"/>
                <w:szCs w:val="20"/>
              </w:rPr>
            </w:pPr>
            <w:r w:rsidRPr="00492AB7">
              <w:rPr>
                <w:sz w:val="20"/>
                <w:szCs w:val="20"/>
              </w:rPr>
              <w:t>Freezer</w:t>
            </w:r>
          </w:p>
        </w:tc>
        <w:tc>
          <w:tcPr>
            <w:tcW w:w="1016" w:type="dxa"/>
          </w:tcPr>
          <w:p w:rsidR="00B414C1" w:rsidRPr="00664764" w:rsidRDefault="00B414C1" w:rsidP="00B414C1">
            <w:pPr>
              <w:rPr>
                <w:rFonts w:cs="Times New Roman"/>
                <w:color w:val="000000"/>
                <w:sz w:val="20"/>
                <w:szCs w:val="20"/>
              </w:rPr>
            </w:pPr>
            <w:r w:rsidRPr="00492AB7">
              <w:rPr>
                <w:sz w:val="20"/>
                <w:szCs w:val="20"/>
              </w:rPr>
              <w:t>964</w:t>
            </w:r>
          </w:p>
        </w:tc>
        <w:tc>
          <w:tcPr>
            <w:tcW w:w="1117" w:type="dxa"/>
          </w:tcPr>
          <w:p w:rsidR="00B414C1" w:rsidRPr="00664764" w:rsidRDefault="00B414C1" w:rsidP="00B414C1">
            <w:pPr>
              <w:jc w:val="right"/>
              <w:rPr>
                <w:rFonts w:cs="Times New Roman"/>
                <w:color w:val="000000"/>
                <w:sz w:val="20"/>
                <w:szCs w:val="20"/>
              </w:rPr>
            </w:pPr>
            <w:r w:rsidRPr="00492AB7">
              <w:rPr>
                <w:sz w:val="20"/>
                <w:szCs w:val="20"/>
              </w:rPr>
              <w:t>564</w:t>
            </w:r>
          </w:p>
        </w:tc>
        <w:tc>
          <w:tcPr>
            <w:tcW w:w="1117" w:type="dxa"/>
          </w:tcPr>
          <w:p w:rsidR="00B414C1" w:rsidRPr="00664764" w:rsidRDefault="00B414C1" w:rsidP="00B414C1">
            <w:pPr>
              <w:jc w:val="right"/>
              <w:rPr>
                <w:rFonts w:cs="Times New Roman"/>
                <w:color w:val="000000"/>
                <w:sz w:val="20"/>
                <w:szCs w:val="20"/>
              </w:rPr>
            </w:pPr>
            <w:r w:rsidRPr="00492AB7">
              <w:rPr>
                <w:sz w:val="20"/>
                <w:szCs w:val="20"/>
              </w:rPr>
              <w:t>79</w:t>
            </w:r>
          </w:p>
        </w:tc>
        <w:tc>
          <w:tcPr>
            <w:tcW w:w="1117" w:type="dxa"/>
          </w:tcPr>
          <w:p w:rsidR="00B414C1" w:rsidRPr="00664764" w:rsidRDefault="00B414C1" w:rsidP="00B414C1">
            <w:pPr>
              <w:jc w:val="right"/>
              <w:rPr>
                <w:rFonts w:cs="Times New Roman"/>
                <w:color w:val="000000"/>
                <w:sz w:val="20"/>
                <w:szCs w:val="20"/>
              </w:rPr>
            </w:pPr>
            <w:r w:rsidRPr="00492AB7">
              <w:rPr>
                <w:sz w:val="20"/>
                <w:szCs w:val="20"/>
              </w:rPr>
              <w:t>-</w:t>
            </w:r>
          </w:p>
        </w:tc>
        <w:tc>
          <w:tcPr>
            <w:tcW w:w="1117" w:type="dxa"/>
          </w:tcPr>
          <w:p w:rsidR="00B414C1" w:rsidRPr="00664764" w:rsidRDefault="00B414C1" w:rsidP="00B414C1">
            <w:pPr>
              <w:jc w:val="right"/>
              <w:rPr>
                <w:rFonts w:cs="Times New Roman"/>
                <w:color w:val="000000"/>
                <w:sz w:val="20"/>
                <w:szCs w:val="20"/>
              </w:rPr>
            </w:pPr>
            <w:r w:rsidRPr="00492AB7">
              <w:rPr>
                <w:sz w:val="20"/>
                <w:szCs w:val="20"/>
              </w:rPr>
              <w:t>321</w:t>
            </w:r>
          </w:p>
        </w:tc>
      </w:tr>
    </w:tbl>
    <w:p w:rsidR="00B414C1" w:rsidRDefault="00B414C1" w:rsidP="00B414C1">
      <w:pPr>
        <w:rPr>
          <w:rFonts w:cs="Times New Roman"/>
          <w:szCs w:val="24"/>
          <w:u w:val="single"/>
        </w:rPr>
      </w:pPr>
    </w:p>
    <w:p w:rsidR="00B414C1" w:rsidRDefault="00B414C1" w:rsidP="00B414C1">
      <w:pPr>
        <w:rPr>
          <w:rFonts w:cs="Times New Roman"/>
          <w:szCs w:val="24"/>
          <w:u w:val="single"/>
        </w:rPr>
      </w:pPr>
    </w:p>
    <w:p w:rsidR="00B414C1" w:rsidRPr="00492AB7" w:rsidRDefault="00B414C1" w:rsidP="00B414C1">
      <w:pPr>
        <w:rPr>
          <w:rFonts w:cs="Times New Roman"/>
          <w:szCs w:val="24"/>
        </w:rPr>
      </w:pPr>
      <w:r w:rsidRPr="00492AB7">
        <w:rPr>
          <w:rFonts w:cs="Times New Roman"/>
          <w:szCs w:val="24"/>
        </w:rPr>
        <w:t>The RTF is in the process of updating the unit energy savings for appliance recycling. While the work is not yet complete and is more applicable to the region as a whole, the RTF is proposing to change the values incorporated in the “would be acquirer” program logic question to 75</w:t>
      </w:r>
      <w:r w:rsidR="004B4479">
        <w:rPr>
          <w:rFonts w:cs="Times New Roman"/>
          <w:szCs w:val="24"/>
        </w:rPr>
        <w:t xml:space="preserve"> percent</w:t>
      </w:r>
      <w:r w:rsidRPr="00492AB7">
        <w:rPr>
          <w:rFonts w:cs="Times New Roman"/>
          <w:szCs w:val="24"/>
        </w:rPr>
        <w:t xml:space="preserve"> yes, 25</w:t>
      </w:r>
      <w:r w:rsidR="004B4479">
        <w:rPr>
          <w:rFonts w:cs="Times New Roman"/>
          <w:szCs w:val="24"/>
        </w:rPr>
        <w:t xml:space="preserve"> percent</w:t>
      </w:r>
      <w:r w:rsidRPr="00492AB7">
        <w:rPr>
          <w:rFonts w:cs="Times New Roman"/>
          <w:szCs w:val="24"/>
        </w:rPr>
        <w:t xml:space="preserve"> no, which would lower the unit energy savings. Table A4-7 illustrates the unit energy savings from the Company’s draft impact evaluation if the “would be acquirer” values are changed from 50</w:t>
      </w:r>
      <w:r w:rsidR="004B4479">
        <w:rPr>
          <w:rFonts w:cs="Times New Roman"/>
          <w:szCs w:val="24"/>
        </w:rPr>
        <w:t xml:space="preserve"> percent</w:t>
      </w:r>
      <w:r w:rsidRPr="00492AB7">
        <w:rPr>
          <w:rFonts w:cs="Times New Roman"/>
          <w:szCs w:val="24"/>
        </w:rPr>
        <w:t xml:space="preserve"> yes, 50</w:t>
      </w:r>
      <w:r w:rsidR="004B4479">
        <w:rPr>
          <w:rFonts w:cs="Times New Roman"/>
          <w:szCs w:val="24"/>
        </w:rPr>
        <w:t xml:space="preserve"> percent</w:t>
      </w:r>
      <w:r w:rsidRPr="00492AB7">
        <w:rPr>
          <w:rFonts w:cs="Times New Roman"/>
          <w:szCs w:val="24"/>
        </w:rPr>
        <w:t xml:space="preserve"> no to 75</w:t>
      </w:r>
      <w:r w:rsidR="004B4479">
        <w:rPr>
          <w:rFonts w:cs="Times New Roman"/>
          <w:szCs w:val="24"/>
        </w:rPr>
        <w:t xml:space="preserve"> percent</w:t>
      </w:r>
      <w:r w:rsidRPr="00492AB7">
        <w:rPr>
          <w:rFonts w:cs="Times New Roman"/>
          <w:szCs w:val="24"/>
        </w:rPr>
        <w:t xml:space="preserve"> yes and 25</w:t>
      </w:r>
      <w:r w:rsidR="004B4479">
        <w:rPr>
          <w:rFonts w:cs="Times New Roman"/>
          <w:szCs w:val="24"/>
        </w:rPr>
        <w:t xml:space="preserve"> percent</w:t>
      </w:r>
      <w:r w:rsidRPr="00492AB7">
        <w:rPr>
          <w:rFonts w:cs="Times New Roman"/>
          <w:szCs w:val="24"/>
        </w:rPr>
        <w:t xml:space="preserve"> no. </w:t>
      </w:r>
    </w:p>
    <w:p w:rsidR="00B414C1" w:rsidRPr="00492AB7" w:rsidRDefault="00B414C1" w:rsidP="00B414C1">
      <w:pPr>
        <w:rPr>
          <w:rFonts w:cs="Times New Roman"/>
          <w:szCs w:val="24"/>
        </w:rPr>
      </w:pPr>
    </w:p>
    <w:p w:rsidR="00B414C1" w:rsidRDefault="00B414C1" w:rsidP="00B414C1">
      <w:pPr>
        <w:jc w:val="center"/>
        <w:rPr>
          <w:rFonts w:cs="Times New Roman"/>
          <w:b/>
          <w:szCs w:val="24"/>
        </w:rPr>
      </w:pPr>
      <w:r>
        <w:rPr>
          <w:rFonts w:cs="Times New Roman"/>
          <w:b/>
          <w:szCs w:val="24"/>
        </w:rPr>
        <w:t>Table A4-7</w:t>
      </w:r>
    </w:p>
    <w:p w:rsidR="00B414C1" w:rsidRDefault="00B414C1" w:rsidP="00B414C1">
      <w:pPr>
        <w:jc w:val="center"/>
        <w:rPr>
          <w:rFonts w:cs="Times New Roman"/>
          <w:b/>
          <w:szCs w:val="24"/>
        </w:rPr>
      </w:pPr>
      <w:r>
        <w:rPr>
          <w:rFonts w:cs="Times New Roman"/>
          <w:b/>
          <w:szCs w:val="24"/>
        </w:rPr>
        <w:t>Draft 2013-2014 Program Evaluation Results – 75/25</w:t>
      </w:r>
    </w:p>
    <w:p w:rsidR="00B414C1" w:rsidRDefault="00B414C1" w:rsidP="00B414C1">
      <w:pPr>
        <w:jc w:val="center"/>
        <w:rPr>
          <w:rFonts w:cs="Times New Roman"/>
          <w:b/>
          <w:szCs w:val="24"/>
        </w:rPr>
      </w:pPr>
    </w:p>
    <w:tbl>
      <w:tblPr>
        <w:tblW w:w="73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751"/>
        <w:gridCol w:w="988"/>
        <w:gridCol w:w="1076"/>
        <w:gridCol w:w="1372"/>
        <w:gridCol w:w="1091"/>
        <w:gridCol w:w="1091"/>
      </w:tblGrid>
      <w:tr w:rsidR="00B414C1" w:rsidRPr="00432C28" w:rsidTr="00B414C1">
        <w:trPr>
          <w:trHeight w:val="305"/>
          <w:jc w:val="center"/>
        </w:trPr>
        <w:tc>
          <w:tcPr>
            <w:tcW w:w="1885" w:type="dxa"/>
          </w:tcPr>
          <w:p w:rsidR="00B414C1" w:rsidRPr="00664764" w:rsidRDefault="00B414C1" w:rsidP="00B414C1">
            <w:pPr>
              <w:jc w:val="center"/>
              <w:rPr>
                <w:rFonts w:eastAsia="Times New Roman" w:cs="Times New Roman"/>
                <w:b/>
                <w:color w:val="000000"/>
                <w:sz w:val="20"/>
                <w:szCs w:val="20"/>
              </w:rPr>
            </w:pPr>
            <w:r w:rsidRPr="00FF51C3">
              <w:rPr>
                <w:b/>
                <w:sz w:val="20"/>
                <w:szCs w:val="20"/>
              </w:rPr>
              <w:t>Appliance</w:t>
            </w:r>
          </w:p>
        </w:tc>
        <w:tc>
          <w:tcPr>
            <w:tcW w:w="1016" w:type="dxa"/>
          </w:tcPr>
          <w:p w:rsidR="00B414C1" w:rsidRPr="00664764" w:rsidRDefault="00B414C1" w:rsidP="00B414C1">
            <w:pPr>
              <w:jc w:val="center"/>
              <w:rPr>
                <w:rFonts w:eastAsia="Times New Roman" w:cs="Times New Roman"/>
                <w:b/>
                <w:color w:val="000000"/>
                <w:sz w:val="20"/>
                <w:szCs w:val="20"/>
              </w:rPr>
            </w:pPr>
            <w:r w:rsidRPr="00FF51C3">
              <w:rPr>
                <w:b/>
                <w:sz w:val="20"/>
                <w:szCs w:val="20"/>
              </w:rPr>
              <w:t>Gross Savings (kWh)</w:t>
            </w:r>
          </w:p>
        </w:tc>
        <w:tc>
          <w:tcPr>
            <w:tcW w:w="1117" w:type="dxa"/>
          </w:tcPr>
          <w:p w:rsidR="00B414C1" w:rsidRPr="00664764" w:rsidRDefault="00B414C1" w:rsidP="00B414C1">
            <w:pPr>
              <w:jc w:val="center"/>
              <w:rPr>
                <w:rFonts w:eastAsia="Times New Roman" w:cs="Times New Roman"/>
                <w:b/>
                <w:color w:val="000000"/>
                <w:sz w:val="20"/>
                <w:szCs w:val="20"/>
              </w:rPr>
            </w:pPr>
            <w:r w:rsidRPr="00FF51C3">
              <w:rPr>
                <w:b/>
                <w:sz w:val="20"/>
                <w:szCs w:val="20"/>
              </w:rPr>
              <w:t>Free Rider and SMI Impacts (kWh)</w:t>
            </w:r>
          </w:p>
        </w:tc>
        <w:tc>
          <w:tcPr>
            <w:tcW w:w="1117" w:type="dxa"/>
          </w:tcPr>
          <w:p w:rsidR="00B414C1" w:rsidRPr="00664764" w:rsidRDefault="00B414C1" w:rsidP="00B414C1">
            <w:pPr>
              <w:jc w:val="center"/>
              <w:rPr>
                <w:rFonts w:cs="Times New Roman"/>
                <w:b/>
                <w:bCs/>
                <w:color w:val="000000"/>
                <w:sz w:val="20"/>
                <w:szCs w:val="20"/>
              </w:rPr>
            </w:pPr>
            <w:r w:rsidRPr="00FF51C3">
              <w:rPr>
                <w:b/>
                <w:sz w:val="20"/>
                <w:szCs w:val="20"/>
              </w:rPr>
              <w:t>Induced Consumption (kWh)</w:t>
            </w:r>
          </w:p>
        </w:tc>
        <w:tc>
          <w:tcPr>
            <w:tcW w:w="1117" w:type="dxa"/>
          </w:tcPr>
          <w:p w:rsidR="00B414C1" w:rsidRPr="00664764" w:rsidRDefault="00B414C1" w:rsidP="00B414C1">
            <w:pPr>
              <w:jc w:val="center"/>
              <w:rPr>
                <w:rFonts w:cs="Times New Roman"/>
                <w:b/>
                <w:bCs/>
                <w:color w:val="000000"/>
                <w:sz w:val="20"/>
                <w:szCs w:val="20"/>
              </w:rPr>
            </w:pPr>
            <w:r w:rsidRPr="00FF51C3">
              <w:rPr>
                <w:b/>
                <w:sz w:val="20"/>
                <w:szCs w:val="20"/>
              </w:rPr>
              <w:t>Spillover</w:t>
            </w:r>
          </w:p>
        </w:tc>
        <w:tc>
          <w:tcPr>
            <w:tcW w:w="1117" w:type="dxa"/>
          </w:tcPr>
          <w:p w:rsidR="00B414C1" w:rsidRPr="00664764" w:rsidRDefault="00B414C1" w:rsidP="00B414C1">
            <w:pPr>
              <w:jc w:val="center"/>
              <w:rPr>
                <w:rFonts w:cs="Times New Roman"/>
                <w:b/>
                <w:bCs/>
                <w:color w:val="000000"/>
                <w:sz w:val="20"/>
                <w:szCs w:val="20"/>
              </w:rPr>
            </w:pPr>
            <w:r w:rsidRPr="00FF51C3">
              <w:rPr>
                <w:b/>
                <w:sz w:val="20"/>
                <w:szCs w:val="20"/>
              </w:rPr>
              <w:t>Total Program Net Savings (kWh)</w:t>
            </w:r>
          </w:p>
        </w:tc>
      </w:tr>
      <w:tr w:rsidR="00B414C1" w:rsidRPr="00432C28" w:rsidTr="00B414C1">
        <w:trPr>
          <w:trHeight w:val="156"/>
          <w:jc w:val="center"/>
        </w:trPr>
        <w:tc>
          <w:tcPr>
            <w:tcW w:w="1885" w:type="dxa"/>
          </w:tcPr>
          <w:p w:rsidR="00B414C1" w:rsidRPr="00664764" w:rsidRDefault="00B414C1" w:rsidP="00B414C1">
            <w:pPr>
              <w:jc w:val="left"/>
              <w:rPr>
                <w:rFonts w:cs="Times New Roman"/>
                <w:b/>
                <w:bCs/>
                <w:color w:val="000000"/>
                <w:sz w:val="20"/>
                <w:szCs w:val="20"/>
              </w:rPr>
            </w:pPr>
            <w:r w:rsidRPr="00FF51C3">
              <w:rPr>
                <w:sz w:val="20"/>
                <w:szCs w:val="20"/>
              </w:rPr>
              <w:t>Refrigerator</w:t>
            </w:r>
          </w:p>
        </w:tc>
        <w:tc>
          <w:tcPr>
            <w:tcW w:w="1016" w:type="dxa"/>
          </w:tcPr>
          <w:p w:rsidR="00B414C1" w:rsidRPr="00664764" w:rsidRDefault="00B414C1" w:rsidP="00B414C1">
            <w:pPr>
              <w:rPr>
                <w:rFonts w:cs="Times New Roman"/>
                <w:color w:val="000000"/>
                <w:sz w:val="20"/>
                <w:szCs w:val="20"/>
              </w:rPr>
            </w:pPr>
            <w:r w:rsidRPr="00FF51C3">
              <w:rPr>
                <w:sz w:val="20"/>
                <w:szCs w:val="20"/>
              </w:rPr>
              <w:t>1,112</w:t>
            </w:r>
          </w:p>
        </w:tc>
        <w:tc>
          <w:tcPr>
            <w:tcW w:w="1117" w:type="dxa"/>
          </w:tcPr>
          <w:p w:rsidR="00B414C1" w:rsidRPr="00664764" w:rsidRDefault="00B414C1" w:rsidP="00B414C1">
            <w:pPr>
              <w:jc w:val="right"/>
              <w:rPr>
                <w:rFonts w:cs="Times New Roman"/>
                <w:color w:val="000000"/>
                <w:sz w:val="20"/>
                <w:szCs w:val="20"/>
              </w:rPr>
            </w:pPr>
            <w:r>
              <w:rPr>
                <w:sz w:val="20"/>
                <w:szCs w:val="20"/>
              </w:rPr>
              <w:t>762</w:t>
            </w:r>
          </w:p>
        </w:tc>
        <w:tc>
          <w:tcPr>
            <w:tcW w:w="1117" w:type="dxa"/>
          </w:tcPr>
          <w:p w:rsidR="00B414C1" w:rsidRPr="00664764" w:rsidRDefault="00B414C1" w:rsidP="00B414C1">
            <w:pPr>
              <w:jc w:val="right"/>
              <w:rPr>
                <w:rFonts w:cs="Times New Roman"/>
                <w:color w:val="000000"/>
                <w:sz w:val="20"/>
                <w:szCs w:val="20"/>
              </w:rPr>
            </w:pPr>
            <w:r w:rsidRPr="00FF51C3">
              <w:rPr>
                <w:sz w:val="20"/>
                <w:szCs w:val="20"/>
              </w:rPr>
              <w:t>51</w:t>
            </w:r>
          </w:p>
        </w:tc>
        <w:tc>
          <w:tcPr>
            <w:tcW w:w="1117" w:type="dxa"/>
          </w:tcPr>
          <w:p w:rsidR="00B414C1" w:rsidRPr="00664764" w:rsidRDefault="00B414C1" w:rsidP="00B414C1">
            <w:pPr>
              <w:jc w:val="right"/>
              <w:rPr>
                <w:rFonts w:cs="Times New Roman"/>
                <w:color w:val="000000"/>
                <w:sz w:val="20"/>
                <w:szCs w:val="20"/>
              </w:rPr>
            </w:pPr>
            <w:r w:rsidRPr="00FF51C3">
              <w:rPr>
                <w:sz w:val="20"/>
                <w:szCs w:val="20"/>
              </w:rPr>
              <w:t>-</w:t>
            </w:r>
          </w:p>
        </w:tc>
        <w:tc>
          <w:tcPr>
            <w:tcW w:w="1117" w:type="dxa"/>
          </w:tcPr>
          <w:p w:rsidR="00B414C1" w:rsidRPr="00664764" w:rsidRDefault="00B414C1" w:rsidP="00B414C1">
            <w:pPr>
              <w:jc w:val="right"/>
              <w:rPr>
                <w:rFonts w:cs="Times New Roman"/>
                <w:color w:val="000000"/>
                <w:sz w:val="20"/>
                <w:szCs w:val="20"/>
              </w:rPr>
            </w:pPr>
            <w:r>
              <w:rPr>
                <w:sz w:val="20"/>
                <w:szCs w:val="20"/>
              </w:rPr>
              <w:t>299</w:t>
            </w:r>
          </w:p>
        </w:tc>
      </w:tr>
      <w:tr w:rsidR="00B414C1" w:rsidRPr="00432C28" w:rsidTr="00B414C1">
        <w:trPr>
          <w:trHeight w:val="156"/>
          <w:jc w:val="center"/>
        </w:trPr>
        <w:tc>
          <w:tcPr>
            <w:tcW w:w="1885" w:type="dxa"/>
          </w:tcPr>
          <w:p w:rsidR="00B414C1" w:rsidRPr="00664764" w:rsidRDefault="00B414C1" w:rsidP="00B414C1">
            <w:pPr>
              <w:jc w:val="left"/>
              <w:rPr>
                <w:rFonts w:cs="Times New Roman"/>
                <w:color w:val="000000"/>
                <w:sz w:val="20"/>
                <w:szCs w:val="20"/>
              </w:rPr>
            </w:pPr>
            <w:r w:rsidRPr="00FF51C3">
              <w:rPr>
                <w:sz w:val="20"/>
                <w:szCs w:val="20"/>
              </w:rPr>
              <w:t>Freezer</w:t>
            </w:r>
          </w:p>
        </w:tc>
        <w:tc>
          <w:tcPr>
            <w:tcW w:w="1016" w:type="dxa"/>
          </w:tcPr>
          <w:p w:rsidR="00B414C1" w:rsidRPr="00664764" w:rsidRDefault="00B414C1" w:rsidP="00B414C1">
            <w:pPr>
              <w:rPr>
                <w:rFonts w:cs="Times New Roman"/>
                <w:color w:val="000000"/>
                <w:sz w:val="20"/>
                <w:szCs w:val="20"/>
              </w:rPr>
            </w:pPr>
            <w:r w:rsidRPr="00FF51C3">
              <w:rPr>
                <w:sz w:val="20"/>
                <w:szCs w:val="20"/>
              </w:rPr>
              <w:t>964</w:t>
            </w:r>
          </w:p>
        </w:tc>
        <w:tc>
          <w:tcPr>
            <w:tcW w:w="1117" w:type="dxa"/>
          </w:tcPr>
          <w:p w:rsidR="00B414C1" w:rsidRPr="00664764" w:rsidRDefault="00B414C1" w:rsidP="00B414C1">
            <w:pPr>
              <w:jc w:val="right"/>
              <w:rPr>
                <w:rFonts w:cs="Times New Roman"/>
                <w:color w:val="000000"/>
                <w:sz w:val="20"/>
                <w:szCs w:val="20"/>
              </w:rPr>
            </w:pPr>
            <w:r>
              <w:rPr>
                <w:sz w:val="20"/>
                <w:szCs w:val="20"/>
              </w:rPr>
              <w:t>620</w:t>
            </w:r>
          </w:p>
        </w:tc>
        <w:tc>
          <w:tcPr>
            <w:tcW w:w="1117" w:type="dxa"/>
          </w:tcPr>
          <w:p w:rsidR="00B414C1" w:rsidRPr="00664764" w:rsidRDefault="00B414C1" w:rsidP="00B414C1">
            <w:pPr>
              <w:jc w:val="right"/>
              <w:rPr>
                <w:rFonts w:cs="Times New Roman"/>
                <w:color w:val="000000"/>
                <w:sz w:val="20"/>
                <w:szCs w:val="20"/>
              </w:rPr>
            </w:pPr>
            <w:r w:rsidRPr="00FF51C3">
              <w:rPr>
                <w:sz w:val="20"/>
                <w:szCs w:val="20"/>
              </w:rPr>
              <w:t>79</w:t>
            </w:r>
          </w:p>
        </w:tc>
        <w:tc>
          <w:tcPr>
            <w:tcW w:w="1117" w:type="dxa"/>
          </w:tcPr>
          <w:p w:rsidR="00B414C1" w:rsidRPr="00664764" w:rsidRDefault="00B414C1" w:rsidP="00B414C1">
            <w:pPr>
              <w:jc w:val="right"/>
              <w:rPr>
                <w:rFonts w:cs="Times New Roman"/>
                <w:color w:val="000000"/>
                <w:sz w:val="20"/>
                <w:szCs w:val="20"/>
              </w:rPr>
            </w:pPr>
            <w:r w:rsidRPr="00FF51C3">
              <w:rPr>
                <w:sz w:val="20"/>
                <w:szCs w:val="20"/>
              </w:rPr>
              <w:t>-</w:t>
            </w:r>
          </w:p>
        </w:tc>
        <w:tc>
          <w:tcPr>
            <w:tcW w:w="1117" w:type="dxa"/>
          </w:tcPr>
          <w:p w:rsidR="00B414C1" w:rsidRPr="00664764" w:rsidRDefault="00B414C1" w:rsidP="00B414C1">
            <w:pPr>
              <w:jc w:val="right"/>
              <w:rPr>
                <w:rFonts w:cs="Times New Roman"/>
                <w:color w:val="000000"/>
                <w:sz w:val="20"/>
                <w:szCs w:val="20"/>
              </w:rPr>
            </w:pPr>
            <w:r>
              <w:rPr>
                <w:sz w:val="20"/>
                <w:szCs w:val="20"/>
              </w:rPr>
              <w:t>265</w:t>
            </w:r>
          </w:p>
        </w:tc>
      </w:tr>
    </w:tbl>
    <w:p w:rsidR="00B414C1" w:rsidRDefault="00B414C1" w:rsidP="00B414C1">
      <w:pPr>
        <w:rPr>
          <w:rFonts w:cs="Times New Roman"/>
          <w:szCs w:val="24"/>
          <w:u w:val="single"/>
        </w:rPr>
      </w:pPr>
    </w:p>
    <w:p w:rsidR="00B414C1" w:rsidRDefault="00B414C1" w:rsidP="00B414C1">
      <w:pPr>
        <w:rPr>
          <w:rFonts w:cs="Times New Roman"/>
          <w:szCs w:val="24"/>
          <w:u w:val="single"/>
        </w:rPr>
      </w:pPr>
    </w:p>
    <w:p w:rsidR="00B414C1" w:rsidRDefault="00B414C1" w:rsidP="00B414C1">
      <w:pPr>
        <w:rPr>
          <w:rFonts w:cs="Times New Roman"/>
          <w:szCs w:val="24"/>
        </w:rPr>
      </w:pPr>
      <w:r w:rsidRPr="00492AB7">
        <w:rPr>
          <w:rFonts w:cs="Times New Roman"/>
          <w:szCs w:val="24"/>
        </w:rPr>
        <w:t>Given the material decline in UES values relative to the 2014-2015 biennium</w:t>
      </w:r>
      <w:r w:rsidR="004B4479">
        <w:rPr>
          <w:rFonts w:cs="Times New Roman"/>
          <w:szCs w:val="24"/>
        </w:rPr>
        <w:t xml:space="preserve"> values</w:t>
      </w:r>
      <w:r w:rsidRPr="00492AB7">
        <w:rPr>
          <w:rFonts w:cs="Times New Roman"/>
          <w:szCs w:val="24"/>
        </w:rPr>
        <w:t>, the Company evaluated cost effectiveness by appliance and channel (i.e</w:t>
      </w:r>
      <w:r w:rsidR="004B4479">
        <w:rPr>
          <w:rFonts w:cs="Times New Roman"/>
          <w:szCs w:val="24"/>
        </w:rPr>
        <w:t>.</w:t>
      </w:r>
      <w:r w:rsidRPr="00492AB7">
        <w:rPr>
          <w:rFonts w:cs="Times New Roman"/>
          <w:szCs w:val="24"/>
        </w:rPr>
        <w:t xml:space="preserve"> customer or retailer pick-up) basis utilizing the 2015 Class 2 DSM decrement values as part of the adjustment process to determine whether the measure should remain in the forecast. Utilizing the UMP assumptions (highest unit energy savings), three of the four appliance/channel configurations were not cost-effective. The remaining configuration (refrigerator/retailer pick-up) was not cost effective when the unit energy savings associated with the RTF values for “would be acquirer” are utilized. </w:t>
      </w:r>
    </w:p>
    <w:p w:rsidR="008A651C" w:rsidRPr="00492AB7" w:rsidRDefault="008A651C" w:rsidP="00B414C1">
      <w:pPr>
        <w:rPr>
          <w:rFonts w:cs="Times New Roman"/>
          <w:szCs w:val="24"/>
        </w:rPr>
      </w:pPr>
    </w:p>
    <w:p w:rsidR="00B414C1" w:rsidRDefault="00B414C1" w:rsidP="00B414C1">
      <w:pPr>
        <w:rPr>
          <w:rFonts w:cs="Times New Roman"/>
          <w:szCs w:val="24"/>
          <w:u w:val="single"/>
        </w:rPr>
      </w:pPr>
      <w:r>
        <w:rPr>
          <w:rFonts w:cs="Times New Roman"/>
          <w:szCs w:val="24"/>
          <w:u w:val="single"/>
        </w:rPr>
        <w:t>Smart Plug Power Strips</w:t>
      </w:r>
    </w:p>
    <w:p w:rsidR="00B414C1" w:rsidRPr="004F6C8A" w:rsidRDefault="00B414C1" w:rsidP="00B414C1">
      <w:pPr>
        <w:rPr>
          <w:rFonts w:cs="Times New Roman"/>
          <w:szCs w:val="24"/>
        </w:rPr>
      </w:pPr>
      <w:r>
        <w:rPr>
          <w:rFonts w:cs="Times New Roman"/>
          <w:szCs w:val="24"/>
        </w:rPr>
        <w:t>The RTF has not updated its analysis of residential advanced power strips since the time of the CPA, however, a new commercial smart plug power strip workbook was posted in June of 2014. This update reflected a UES update from 100 kWh to 118 kWh, which the Company incorporated as an adjustment to its conservation forecast. While applying this update, an input inconsistency was discovered in the CPA’s calculation, which had the effect of overstating levelized costs and understating potential. Correcting these inputs and calculations, along with the update to the RTF commercial UES led to an upward adjustment in the conservation forecast.</w:t>
      </w:r>
    </w:p>
    <w:p w:rsidR="00B414C1" w:rsidRDefault="00B414C1" w:rsidP="00B414C1">
      <w:pPr>
        <w:rPr>
          <w:rFonts w:cs="Times New Roman"/>
          <w:szCs w:val="24"/>
          <w:u w:val="single"/>
        </w:rPr>
      </w:pPr>
    </w:p>
    <w:p w:rsidR="00B414C1" w:rsidRDefault="00B414C1" w:rsidP="00B414C1">
      <w:pPr>
        <w:rPr>
          <w:rFonts w:cs="Times New Roman"/>
          <w:szCs w:val="24"/>
          <w:u w:val="single"/>
        </w:rPr>
      </w:pPr>
      <w:r>
        <w:rPr>
          <w:rFonts w:cs="Times New Roman"/>
          <w:szCs w:val="24"/>
          <w:u w:val="single"/>
        </w:rPr>
        <w:t>Non-Residential Solid State Lighting</w:t>
      </w:r>
    </w:p>
    <w:p w:rsidR="00B414C1" w:rsidRDefault="00B414C1" w:rsidP="00B414C1">
      <w:pPr>
        <w:rPr>
          <w:rFonts w:cs="Times New Roman"/>
          <w:szCs w:val="24"/>
        </w:rPr>
      </w:pPr>
      <w:r>
        <w:rPr>
          <w:rFonts w:cs="Times New Roman"/>
          <w:szCs w:val="24"/>
        </w:rPr>
        <w:t>Over the past several years, the solid state lighting market has seen significant changes in cost, efficacy (in lumens/Watt), and applicability, particularly in non-residential applications. To estimate how these factors may continue to change over the IRP planning horizon, the CPA relied on projections from the Energy Information Administration from December 2012</w:t>
      </w:r>
      <w:r>
        <w:rPr>
          <w:rStyle w:val="FootnoteReference"/>
          <w:rFonts w:cs="Times New Roman"/>
          <w:szCs w:val="24"/>
        </w:rPr>
        <w:footnoteReference w:id="50"/>
      </w:r>
      <w:r>
        <w:rPr>
          <w:rFonts w:cs="Times New Roman"/>
          <w:szCs w:val="24"/>
        </w:rPr>
        <w:t>, which forecasted significant increases in efficacy and decreased in costs by 2020.</w:t>
      </w:r>
    </w:p>
    <w:p w:rsidR="00B414C1" w:rsidRDefault="00B414C1" w:rsidP="00B414C1">
      <w:pPr>
        <w:rPr>
          <w:rFonts w:cs="Times New Roman"/>
          <w:szCs w:val="24"/>
        </w:rPr>
      </w:pPr>
    </w:p>
    <w:p w:rsidR="00B414C1" w:rsidRDefault="00B414C1" w:rsidP="00B414C1">
      <w:pPr>
        <w:rPr>
          <w:rFonts w:cs="Times New Roman"/>
          <w:szCs w:val="24"/>
        </w:rPr>
      </w:pPr>
      <w:r>
        <w:rPr>
          <w:rFonts w:cs="Times New Roman"/>
          <w:szCs w:val="24"/>
        </w:rPr>
        <w:t>The Council</w:t>
      </w:r>
      <w:r w:rsidR="00951968">
        <w:rPr>
          <w:rFonts w:cs="Times New Roman"/>
          <w:szCs w:val="24"/>
        </w:rPr>
        <w:t xml:space="preserve"> </w:t>
      </w:r>
      <w:r>
        <w:rPr>
          <w:rFonts w:cs="Times New Roman"/>
          <w:szCs w:val="24"/>
        </w:rPr>
        <w:t>also made projections of LED efficacy in its development of the draft 7</w:t>
      </w:r>
      <w:r w:rsidRPr="00320314">
        <w:rPr>
          <w:rFonts w:cs="Times New Roman"/>
          <w:szCs w:val="24"/>
          <w:vertAlign w:val="superscript"/>
        </w:rPr>
        <w:t>th</w:t>
      </w:r>
      <w:r>
        <w:rPr>
          <w:rFonts w:cs="Times New Roman"/>
          <w:szCs w:val="24"/>
        </w:rPr>
        <w:t xml:space="preserve"> Power Plan supply curves in early 2015, which Council staff provided to the Company, by non-residential application and year, The ratios of 7</w:t>
      </w:r>
      <w:r w:rsidRPr="0039350D">
        <w:rPr>
          <w:rFonts w:cs="Times New Roman"/>
          <w:szCs w:val="24"/>
          <w:vertAlign w:val="superscript"/>
        </w:rPr>
        <w:t>th</w:t>
      </w:r>
      <w:r>
        <w:rPr>
          <w:rFonts w:cs="Times New Roman"/>
          <w:szCs w:val="24"/>
        </w:rPr>
        <w:t xml:space="preserve"> Plan-to-CPA efficacy assumptions, by technology and year, were used to adjust the conservation forecast for these measures. The CPA and 7</w:t>
      </w:r>
      <w:r w:rsidRPr="0039350D">
        <w:rPr>
          <w:rFonts w:cs="Times New Roman"/>
          <w:szCs w:val="24"/>
          <w:vertAlign w:val="superscript"/>
        </w:rPr>
        <w:t>th</w:t>
      </w:r>
      <w:r>
        <w:rPr>
          <w:rFonts w:cs="Times New Roman"/>
          <w:szCs w:val="24"/>
        </w:rPr>
        <w:t xml:space="preserve"> Plan efficacy assumptions are provided in Table A4-8.</w:t>
      </w:r>
    </w:p>
    <w:p w:rsidR="00B414C1" w:rsidRDefault="00B414C1" w:rsidP="00B414C1">
      <w:pPr>
        <w:rPr>
          <w:rFonts w:cs="Times New Roman"/>
          <w:szCs w:val="24"/>
        </w:rPr>
      </w:pPr>
    </w:p>
    <w:p w:rsidR="00B414C1" w:rsidRPr="000E395F" w:rsidRDefault="00B414C1" w:rsidP="00B414C1">
      <w:pPr>
        <w:jc w:val="center"/>
        <w:rPr>
          <w:rFonts w:cs="Times New Roman"/>
          <w:b/>
          <w:szCs w:val="24"/>
        </w:rPr>
      </w:pPr>
      <w:r w:rsidRPr="000E395F">
        <w:rPr>
          <w:rFonts w:cs="Times New Roman"/>
          <w:b/>
          <w:szCs w:val="24"/>
        </w:rPr>
        <w:t>Table A4-</w:t>
      </w:r>
      <w:r>
        <w:rPr>
          <w:rFonts w:cs="Times New Roman"/>
          <w:b/>
          <w:szCs w:val="24"/>
        </w:rPr>
        <w:t>8</w:t>
      </w:r>
    </w:p>
    <w:p w:rsidR="00B414C1" w:rsidRDefault="00B414C1" w:rsidP="00B414C1">
      <w:pPr>
        <w:jc w:val="center"/>
        <w:rPr>
          <w:rFonts w:cs="Times New Roman"/>
          <w:b/>
          <w:szCs w:val="24"/>
        </w:rPr>
      </w:pPr>
      <w:r w:rsidRPr="0039350D">
        <w:rPr>
          <w:rFonts w:cs="Times New Roman"/>
          <w:b/>
          <w:szCs w:val="24"/>
        </w:rPr>
        <w:t>Non-Residential Solid State Lighting Efficacy Adjustments</w:t>
      </w:r>
    </w:p>
    <w:tbl>
      <w:tblPr>
        <w:tblW w:w="9056" w:type="dxa"/>
        <w:jc w:val="center"/>
        <w:tblInd w:w="3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973"/>
        <w:gridCol w:w="923"/>
        <w:gridCol w:w="616"/>
        <w:gridCol w:w="616"/>
        <w:gridCol w:w="616"/>
        <w:gridCol w:w="616"/>
        <w:gridCol w:w="616"/>
        <w:gridCol w:w="616"/>
        <w:gridCol w:w="616"/>
        <w:gridCol w:w="616"/>
        <w:gridCol w:w="616"/>
        <w:gridCol w:w="616"/>
      </w:tblGrid>
      <w:tr w:rsidR="00B414C1" w:rsidRPr="00432C28" w:rsidTr="00B414C1">
        <w:trPr>
          <w:trHeight w:val="305"/>
          <w:jc w:val="center"/>
        </w:trPr>
        <w:tc>
          <w:tcPr>
            <w:tcW w:w="1973" w:type="dxa"/>
            <w:vAlign w:val="center"/>
          </w:tcPr>
          <w:p w:rsidR="00B414C1" w:rsidRDefault="00B414C1" w:rsidP="00B414C1">
            <w:pPr>
              <w:jc w:val="center"/>
              <w:rPr>
                <w:rFonts w:eastAsia="Times New Roman" w:cs="Times New Roman"/>
                <w:b/>
                <w:color w:val="000000"/>
                <w:sz w:val="20"/>
                <w:szCs w:val="20"/>
              </w:rPr>
            </w:pPr>
            <w:r>
              <w:rPr>
                <w:rFonts w:eastAsia="Times New Roman" w:cs="Times New Roman"/>
                <w:b/>
                <w:color w:val="000000"/>
                <w:sz w:val="20"/>
                <w:szCs w:val="20"/>
              </w:rPr>
              <w:t>Application</w:t>
            </w:r>
          </w:p>
        </w:tc>
        <w:tc>
          <w:tcPr>
            <w:tcW w:w="923" w:type="dxa"/>
            <w:vAlign w:val="center"/>
          </w:tcPr>
          <w:p w:rsidR="00B414C1" w:rsidRDefault="00B414C1" w:rsidP="00B414C1">
            <w:pPr>
              <w:jc w:val="center"/>
              <w:rPr>
                <w:rFonts w:eastAsia="Times New Roman" w:cs="Times New Roman"/>
                <w:b/>
                <w:color w:val="000000"/>
                <w:sz w:val="20"/>
                <w:szCs w:val="20"/>
              </w:rPr>
            </w:pPr>
            <w:r>
              <w:rPr>
                <w:rFonts w:eastAsia="Times New Roman" w:cs="Times New Roman"/>
                <w:b/>
                <w:color w:val="000000"/>
                <w:sz w:val="20"/>
                <w:szCs w:val="20"/>
              </w:rPr>
              <w:t>Source</w:t>
            </w:r>
          </w:p>
        </w:tc>
        <w:tc>
          <w:tcPr>
            <w:tcW w:w="616" w:type="dxa"/>
            <w:vAlign w:val="center"/>
          </w:tcPr>
          <w:p w:rsidR="00B414C1" w:rsidRDefault="00B414C1" w:rsidP="00B414C1">
            <w:pPr>
              <w:jc w:val="center"/>
              <w:rPr>
                <w:rFonts w:eastAsia="Times New Roman" w:cs="Times New Roman"/>
                <w:b/>
                <w:color w:val="000000"/>
                <w:sz w:val="20"/>
                <w:szCs w:val="20"/>
              </w:rPr>
            </w:pPr>
            <w:r>
              <w:rPr>
                <w:rFonts w:eastAsia="Times New Roman" w:cs="Times New Roman"/>
                <w:b/>
                <w:color w:val="000000"/>
                <w:sz w:val="20"/>
                <w:szCs w:val="20"/>
              </w:rPr>
              <w:t>2016</w:t>
            </w:r>
          </w:p>
        </w:tc>
        <w:tc>
          <w:tcPr>
            <w:tcW w:w="616" w:type="dxa"/>
            <w:vAlign w:val="center"/>
          </w:tcPr>
          <w:p w:rsidR="00B414C1" w:rsidRDefault="00B414C1" w:rsidP="00B414C1">
            <w:pPr>
              <w:jc w:val="center"/>
              <w:rPr>
                <w:rFonts w:eastAsia="Times New Roman" w:cs="Times New Roman"/>
                <w:b/>
                <w:color w:val="000000"/>
                <w:sz w:val="20"/>
                <w:szCs w:val="20"/>
              </w:rPr>
            </w:pPr>
            <w:r>
              <w:rPr>
                <w:rFonts w:eastAsia="Times New Roman" w:cs="Times New Roman"/>
                <w:b/>
                <w:color w:val="000000"/>
                <w:sz w:val="20"/>
                <w:szCs w:val="20"/>
              </w:rPr>
              <w:t>2017</w:t>
            </w:r>
          </w:p>
        </w:tc>
        <w:tc>
          <w:tcPr>
            <w:tcW w:w="616" w:type="dxa"/>
            <w:vAlign w:val="center"/>
          </w:tcPr>
          <w:p w:rsidR="00B414C1" w:rsidRDefault="00B414C1" w:rsidP="00B414C1">
            <w:pPr>
              <w:jc w:val="center"/>
              <w:rPr>
                <w:rFonts w:eastAsia="Times New Roman" w:cs="Times New Roman"/>
                <w:b/>
                <w:color w:val="000000"/>
                <w:sz w:val="20"/>
                <w:szCs w:val="20"/>
              </w:rPr>
            </w:pPr>
            <w:r>
              <w:rPr>
                <w:rFonts w:eastAsia="Times New Roman" w:cs="Times New Roman"/>
                <w:b/>
                <w:color w:val="000000"/>
                <w:sz w:val="20"/>
                <w:szCs w:val="20"/>
              </w:rPr>
              <w:t>2018</w:t>
            </w:r>
          </w:p>
        </w:tc>
        <w:tc>
          <w:tcPr>
            <w:tcW w:w="616" w:type="dxa"/>
            <w:vAlign w:val="center"/>
          </w:tcPr>
          <w:p w:rsidR="00B414C1" w:rsidRDefault="00B414C1" w:rsidP="00B414C1">
            <w:pPr>
              <w:jc w:val="center"/>
              <w:rPr>
                <w:rFonts w:eastAsia="Times New Roman" w:cs="Times New Roman"/>
                <w:b/>
                <w:color w:val="000000"/>
                <w:sz w:val="20"/>
                <w:szCs w:val="20"/>
              </w:rPr>
            </w:pPr>
            <w:r>
              <w:rPr>
                <w:rFonts w:eastAsia="Times New Roman" w:cs="Times New Roman"/>
                <w:b/>
                <w:color w:val="000000"/>
                <w:sz w:val="20"/>
                <w:szCs w:val="20"/>
              </w:rPr>
              <w:t>2019</w:t>
            </w:r>
          </w:p>
        </w:tc>
        <w:tc>
          <w:tcPr>
            <w:tcW w:w="616" w:type="dxa"/>
            <w:vAlign w:val="center"/>
          </w:tcPr>
          <w:p w:rsidR="00B414C1" w:rsidRDefault="00B414C1" w:rsidP="00B414C1">
            <w:pPr>
              <w:jc w:val="center"/>
              <w:rPr>
                <w:rFonts w:eastAsia="Times New Roman" w:cs="Times New Roman"/>
                <w:b/>
                <w:color w:val="000000"/>
                <w:sz w:val="20"/>
                <w:szCs w:val="20"/>
              </w:rPr>
            </w:pPr>
            <w:r>
              <w:rPr>
                <w:rFonts w:eastAsia="Times New Roman" w:cs="Times New Roman"/>
                <w:b/>
                <w:color w:val="000000"/>
                <w:sz w:val="20"/>
                <w:szCs w:val="20"/>
              </w:rPr>
              <w:t>2020</w:t>
            </w:r>
          </w:p>
        </w:tc>
        <w:tc>
          <w:tcPr>
            <w:tcW w:w="616" w:type="dxa"/>
            <w:vAlign w:val="center"/>
          </w:tcPr>
          <w:p w:rsidR="00B414C1" w:rsidRDefault="00B414C1" w:rsidP="00B414C1">
            <w:pPr>
              <w:jc w:val="center"/>
              <w:rPr>
                <w:rFonts w:eastAsia="Times New Roman" w:cs="Times New Roman"/>
                <w:b/>
                <w:color w:val="000000"/>
                <w:sz w:val="20"/>
                <w:szCs w:val="20"/>
              </w:rPr>
            </w:pPr>
            <w:r>
              <w:rPr>
                <w:rFonts w:eastAsia="Times New Roman" w:cs="Times New Roman"/>
                <w:b/>
                <w:color w:val="000000"/>
                <w:sz w:val="20"/>
                <w:szCs w:val="20"/>
              </w:rPr>
              <w:t>2021</w:t>
            </w:r>
          </w:p>
        </w:tc>
        <w:tc>
          <w:tcPr>
            <w:tcW w:w="616" w:type="dxa"/>
            <w:vAlign w:val="center"/>
          </w:tcPr>
          <w:p w:rsidR="00B414C1" w:rsidRDefault="00B414C1" w:rsidP="00B414C1">
            <w:pPr>
              <w:jc w:val="center"/>
              <w:rPr>
                <w:rFonts w:eastAsia="Times New Roman" w:cs="Times New Roman"/>
                <w:b/>
                <w:color w:val="000000"/>
                <w:sz w:val="20"/>
                <w:szCs w:val="20"/>
              </w:rPr>
            </w:pPr>
            <w:r>
              <w:rPr>
                <w:rFonts w:eastAsia="Times New Roman" w:cs="Times New Roman"/>
                <w:b/>
                <w:color w:val="000000"/>
                <w:sz w:val="20"/>
                <w:szCs w:val="20"/>
              </w:rPr>
              <w:t>2022</w:t>
            </w:r>
          </w:p>
        </w:tc>
        <w:tc>
          <w:tcPr>
            <w:tcW w:w="616" w:type="dxa"/>
            <w:vAlign w:val="center"/>
          </w:tcPr>
          <w:p w:rsidR="00B414C1" w:rsidRDefault="00B414C1" w:rsidP="00B414C1">
            <w:pPr>
              <w:jc w:val="center"/>
              <w:rPr>
                <w:rFonts w:eastAsia="Times New Roman" w:cs="Times New Roman"/>
                <w:b/>
                <w:color w:val="000000"/>
                <w:sz w:val="20"/>
                <w:szCs w:val="20"/>
              </w:rPr>
            </w:pPr>
            <w:r>
              <w:rPr>
                <w:rFonts w:eastAsia="Times New Roman" w:cs="Times New Roman"/>
                <w:b/>
                <w:color w:val="000000"/>
                <w:sz w:val="20"/>
                <w:szCs w:val="20"/>
              </w:rPr>
              <w:t>2023</w:t>
            </w:r>
          </w:p>
        </w:tc>
        <w:tc>
          <w:tcPr>
            <w:tcW w:w="616" w:type="dxa"/>
            <w:vAlign w:val="center"/>
          </w:tcPr>
          <w:p w:rsidR="00B414C1" w:rsidRDefault="00B414C1" w:rsidP="00B414C1">
            <w:pPr>
              <w:jc w:val="center"/>
              <w:rPr>
                <w:rFonts w:eastAsia="Times New Roman" w:cs="Times New Roman"/>
                <w:b/>
                <w:color w:val="000000"/>
                <w:sz w:val="20"/>
                <w:szCs w:val="20"/>
              </w:rPr>
            </w:pPr>
            <w:r>
              <w:rPr>
                <w:rFonts w:eastAsia="Times New Roman" w:cs="Times New Roman"/>
                <w:b/>
                <w:color w:val="000000"/>
                <w:sz w:val="20"/>
                <w:szCs w:val="20"/>
              </w:rPr>
              <w:t>2024</w:t>
            </w:r>
          </w:p>
        </w:tc>
        <w:tc>
          <w:tcPr>
            <w:tcW w:w="616" w:type="dxa"/>
            <w:vAlign w:val="center"/>
          </w:tcPr>
          <w:p w:rsidR="00B414C1" w:rsidRDefault="00B414C1" w:rsidP="00B414C1">
            <w:pPr>
              <w:jc w:val="center"/>
              <w:rPr>
                <w:rFonts w:eastAsia="Times New Roman" w:cs="Times New Roman"/>
                <w:b/>
                <w:color w:val="000000"/>
                <w:sz w:val="20"/>
                <w:szCs w:val="20"/>
              </w:rPr>
            </w:pPr>
            <w:r>
              <w:rPr>
                <w:rFonts w:eastAsia="Times New Roman" w:cs="Times New Roman"/>
                <w:b/>
                <w:color w:val="000000"/>
                <w:sz w:val="20"/>
                <w:szCs w:val="20"/>
              </w:rPr>
              <w:t>2025</w:t>
            </w:r>
          </w:p>
        </w:tc>
      </w:tr>
      <w:tr w:rsidR="00B414C1" w:rsidRPr="00432C28" w:rsidTr="00B414C1">
        <w:trPr>
          <w:trHeight w:val="66"/>
          <w:jc w:val="center"/>
        </w:trPr>
        <w:tc>
          <w:tcPr>
            <w:tcW w:w="1973" w:type="dxa"/>
            <w:vMerge w:val="restart"/>
            <w:vAlign w:val="center"/>
          </w:tcPr>
          <w:p w:rsidR="00B414C1" w:rsidRDefault="00B414C1" w:rsidP="00B414C1">
            <w:pPr>
              <w:jc w:val="left"/>
              <w:rPr>
                <w:rFonts w:ascii="Calibri" w:hAnsi="Calibri"/>
                <w:color w:val="000000"/>
                <w:sz w:val="22"/>
              </w:rPr>
            </w:pPr>
            <w:r>
              <w:rPr>
                <w:rFonts w:ascii="Calibri" w:hAnsi="Calibri"/>
                <w:color w:val="000000"/>
                <w:sz w:val="22"/>
              </w:rPr>
              <w:t>Linear Fluorescent</w:t>
            </w:r>
          </w:p>
        </w:tc>
        <w:tc>
          <w:tcPr>
            <w:tcW w:w="923" w:type="dxa"/>
            <w:vAlign w:val="center"/>
          </w:tcPr>
          <w:p w:rsidR="00B414C1" w:rsidRPr="00D40854" w:rsidRDefault="00B414C1" w:rsidP="00B414C1">
            <w:pPr>
              <w:jc w:val="left"/>
              <w:rPr>
                <w:rFonts w:eastAsia="Times New Roman" w:cs="Times New Roman"/>
                <w:color w:val="000000"/>
                <w:sz w:val="20"/>
                <w:szCs w:val="20"/>
              </w:rPr>
            </w:pPr>
            <w:r w:rsidRPr="00D40854">
              <w:rPr>
                <w:rFonts w:eastAsia="Times New Roman" w:cs="Times New Roman"/>
                <w:color w:val="000000"/>
                <w:sz w:val="20"/>
                <w:szCs w:val="20"/>
              </w:rPr>
              <w:t>CPA</w:t>
            </w:r>
          </w:p>
        </w:tc>
        <w:tc>
          <w:tcPr>
            <w:tcW w:w="616" w:type="dxa"/>
            <w:vAlign w:val="center"/>
          </w:tcPr>
          <w:p w:rsidR="00B414C1" w:rsidRDefault="00B414C1" w:rsidP="00B414C1">
            <w:pPr>
              <w:jc w:val="right"/>
              <w:rPr>
                <w:rFonts w:ascii="Calibri" w:hAnsi="Calibri"/>
                <w:color w:val="000000"/>
                <w:sz w:val="22"/>
              </w:rPr>
            </w:pPr>
            <w:r>
              <w:rPr>
                <w:rFonts w:ascii="Calibri" w:hAnsi="Calibri"/>
                <w:color w:val="000000"/>
                <w:sz w:val="22"/>
              </w:rPr>
              <w:t>58</w:t>
            </w:r>
          </w:p>
        </w:tc>
        <w:tc>
          <w:tcPr>
            <w:tcW w:w="616" w:type="dxa"/>
            <w:vAlign w:val="center"/>
          </w:tcPr>
          <w:p w:rsidR="00B414C1" w:rsidRDefault="00B414C1" w:rsidP="00B414C1">
            <w:pPr>
              <w:jc w:val="right"/>
              <w:rPr>
                <w:rFonts w:ascii="Calibri" w:hAnsi="Calibri"/>
                <w:color w:val="000000"/>
                <w:sz w:val="22"/>
              </w:rPr>
            </w:pPr>
            <w:r>
              <w:rPr>
                <w:rFonts w:ascii="Calibri" w:hAnsi="Calibri"/>
                <w:color w:val="000000"/>
                <w:sz w:val="22"/>
              </w:rPr>
              <w:t>58</w:t>
            </w:r>
          </w:p>
        </w:tc>
        <w:tc>
          <w:tcPr>
            <w:tcW w:w="616" w:type="dxa"/>
            <w:vAlign w:val="center"/>
          </w:tcPr>
          <w:p w:rsidR="00B414C1" w:rsidRDefault="00B414C1" w:rsidP="00B414C1">
            <w:pPr>
              <w:jc w:val="right"/>
              <w:rPr>
                <w:rFonts w:ascii="Calibri" w:hAnsi="Calibri"/>
                <w:color w:val="000000"/>
                <w:sz w:val="22"/>
              </w:rPr>
            </w:pPr>
            <w:r>
              <w:rPr>
                <w:rFonts w:ascii="Calibri" w:hAnsi="Calibri"/>
                <w:color w:val="000000"/>
                <w:sz w:val="22"/>
              </w:rPr>
              <w:t>58</w:t>
            </w:r>
          </w:p>
        </w:tc>
        <w:tc>
          <w:tcPr>
            <w:tcW w:w="616" w:type="dxa"/>
            <w:vAlign w:val="center"/>
          </w:tcPr>
          <w:p w:rsidR="00B414C1" w:rsidRDefault="00B414C1" w:rsidP="00B414C1">
            <w:pPr>
              <w:jc w:val="right"/>
              <w:rPr>
                <w:rFonts w:ascii="Calibri" w:hAnsi="Calibri"/>
                <w:color w:val="000000"/>
                <w:sz w:val="22"/>
              </w:rPr>
            </w:pPr>
            <w:r>
              <w:rPr>
                <w:rFonts w:ascii="Calibri" w:hAnsi="Calibri"/>
                <w:color w:val="000000"/>
                <w:sz w:val="22"/>
              </w:rPr>
              <w:t>58</w:t>
            </w:r>
          </w:p>
        </w:tc>
        <w:tc>
          <w:tcPr>
            <w:tcW w:w="616" w:type="dxa"/>
            <w:vAlign w:val="center"/>
          </w:tcPr>
          <w:p w:rsidR="00B414C1" w:rsidRDefault="00B414C1" w:rsidP="00B414C1">
            <w:pPr>
              <w:jc w:val="right"/>
              <w:rPr>
                <w:rFonts w:ascii="Calibri" w:hAnsi="Calibri"/>
                <w:color w:val="000000"/>
                <w:sz w:val="22"/>
              </w:rPr>
            </w:pPr>
            <w:r>
              <w:rPr>
                <w:rFonts w:ascii="Calibri" w:hAnsi="Calibri"/>
                <w:color w:val="000000"/>
                <w:sz w:val="22"/>
              </w:rPr>
              <w:t>170</w:t>
            </w:r>
          </w:p>
        </w:tc>
        <w:tc>
          <w:tcPr>
            <w:tcW w:w="616" w:type="dxa"/>
            <w:vAlign w:val="center"/>
          </w:tcPr>
          <w:p w:rsidR="00B414C1" w:rsidRDefault="00B414C1" w:rsidP="00B414C1">
            <w:pPr>
              <w:jc w:val="right"/>
              <w:rPr>
                <w:rFonts w:ascii="Calibri" w:hAnsi="Calibri"/>
                <w:color w:val="000000"/>
                <w:sz w:val="22"/>
              </w:rPr>
            </w:pPr>
            <w:r>
              <w:rPr>
                <w:rFonts w:ascii="Calibri" w:hAnsi="Calibri"/>
                <w:color w:val="000000"/>
                <w:sz w:val="22"/>
              </w:rPr>
              <w:t>170</w:t>
            </w:r>
          </w:p>
        </w:tc>
        <w:tc>
          <w:tcPr>
            <w:tcW w:w="616" w:type="dxa"/>
            <w:vAlign w:val="center"/>
          </w:tcPr>
          <w:p w:rsidR="00B414C1" w:rsidRDefault="00B414C1" w:rsidP="00B414C1">
            <w:pPr>
              <w:jc w:val="right"/>
              <w:rPr>
                <w:rFonts w:ascii="Calibri" w:hAnsi="Calibri"/>
                <w:color w:val="000000"/>
                <w:sz w:val="22"/>
              </w:rPr>
            </w:pPr>
            <w:r>
              <w:rPr>
                <w:rFonts w:ascii="Calibri" w:hAnsi="Calibri"/>
                <w:color w:val="000000"/>
                <w:sz w:val="22"/>
              </w:rPr>
              <w:t>170</w:t>
            </w:r>
          </w:p>
        </w:tc>
        <w:tc>
          <w:tcPr>
            <w:tcW w:w="616" w:type="dxa"/>
            <w:vAlign w:val="center"/>
          </w:tcPr>
          <w:p w:rsidR="00B414C1" w:rsidRDefault="00B414C1" w:rsidP="00B414C1">
            <w:pPr>
              <w:jc w:val="right"/>
              <w:rPr>
                <w:rFonts w:ascii="Calibri" w:hAnsi="Calibri"/>
                <w:color w:val="000000"/>
                <w:sz w:val="22"/>
              </w:rPr>
            </w:pPr>
            <w:r>
              <w:rPr>
                <w:rFonts w:ascii="Calibri" w:hAnsi="Calibri"/>
                <w:color w:val="000000"/>
                <w:sz w:val="22"/>
              </w:rPr>
              <w:t>170</w:t>
            </w:r>
          </w:p>
        </w:tc>
        <w:tc>
          <w:tcPr>
            <w:tcW w:w="616" w:type="dxa"/>
            <w:vAlign w:val="center"/>
          </w:tcPr>
          <w:p w:rsidR="00B414C1" w:rsidRDefault="00B414C1" w:rsidP="00B414C1">
            <w:pPr>
              <w:jc w:val="right"/>
              <w:rPr>
                <w:rFonts w:ascii="Calibri" w:hAnsi="Calibri"/>
                <w:color w:val="000000"/>
                <w:sz w:val="22"/>
              </w:rPr>
            </w:pPr>
            <w:r>
              <w:rPr>
                <w:rFonts w:ascii="Calibri" w:hAnsi="Calibri"/>
                <w:color w:val="000000"/>
                <w:sz w:val="22"/>
              </w:rPr>
              <w:t>170</w:t>
            </w:r>
          </w:p>
        </w:tc>
        <w:tc>
          <w:tcPr>
            <w:tcW w:w="616" w:type="dxa"/>
            <w:vAlign w:val="center"/>
          </w:tcPr>
          <w:p w:rsidR="00B414C1" w:rsidRDefault="00B414C1" w:rsidP="00B414C1">
            <w:pPr>
              <w:jc w:val="right"/>
              <w:rPr>
                <w:rFonts w:ascii="Calibri" w:hAnsi="Calibri"/>
                <w:color w:val="000000"/>
                <w:sz w:val="22"/>
              </w:rPr>
            </w:pPr>
            <w:r>
              <w:rPr>
                <w:rFonts w:ascii="Calibri" w:hAnsi="Calibri"/>
                <w:color w:val="000000"/>
                <w:sz w:val="22"/>
              </w:rPr>
              <w:t>170</w:t>
            </w:r>
          </w:p>
        </w:tc>
      </w:tr>
      <w:tr w:rsidR="00B414C1" w:rsidRPr="00432C28" w:rsidTr="00B414C1">
        <w:trPr>
          <w:trHeight w:val="32"/>
          <w:jc w:val="center"/>
        </w:trPr>
        <w:tc>
          <w:tcPr>
            <w:tcW w:w="1973" w:type="dxa"/>
            <w:vMerge/>
            <w:vAlign w:val="center"/>
          </w:tcPr>
          <w:p w:rsidR="00B414C1" w:rsidRDefault="00B414C1" w:rsidP="00B414C1">
            <w:pPr>
              <w:jc w:val="left"/>
              <w:rPr>
                <w:rFonts w:ascii="Calibri" w:hAnsi="Calibri"/>
                <w:color w:val="000000"/>
                <w:sz w:val="22"/>
              </w:rPr>
            </w:pPr>
          </w:p>
        </w:tc>
        <w:tc>
          <w:tcPr>
            <w:tcW w:w="923" w:type="dxa"/>
            <w:vAlign w:val="center"/>
          </w:tcPr>
          <w:p w:rsidR="00B414C1" w:rsidRPr="00D40854" w:rsidRDefault="00B414C1" w:rsidP="00B414C1">
            <w:pPr>
              <w:jc w:val="left"/>
              <w:rPr>
                <w:rFonts w:eastAsia="Times New Roman" w:cs="Times New Roman"/>
                <w:color w:val="000000"/>
                <w:sz w:val="20"/>
                <w:szCs w:val="20"/>
              </w:rPr>
            </w:pPr>
            <w:r w:rsidRPr="00D40854">
              <w:rPr>
                <w:rFonts w:eastAsia="Times New Roman" w:cs="Times New Roman"/>
                <w:color w:val="000000"/>
                <w:sz w:val="20"/>
                <w:szCs w:val="20"/>
              </w:rPr>
              <w:t>7</w:t>
            </w:r>
            <w:r w:rsidRPr="00D40854">
              <w:rPr>
                <w:rFonts w:eastAsia="Times New Roman" w:cs="Times New Roman"/>
                <w:color w:val="000000"/>
                <w:sz w:val="20"/>
                <w:szCs w:val="20"/>
                <w:vertAlign w:val="superscript"/>
              </w:rPr>
              <w:t>th</w:t>
            </w:r>
            <w:r w:rsidRPr="00D40854">
              <w:rPr>
                <w:rFonts w:eastAsia="Times New Roman" w:cs="Times New Roman"/>
                <w:color w:val="000000"/>
                <w:sz w:val="20"/>
                <w:szCs w:val="20"/>
              </w:rPr>
              <w:t xml:space="preserve"> Plan</w:t>
            </w:r>
          </w:p>
        </w:tc>
        <w:tc>
          <w:tcPr>
            <w:tcW w:w="616" w:type="dxa"/>
            <w:vAlign w:val="center"/>
          </w:tcPr>
          <w:p w:rsidR="00B414C1" w:rsidRDefault="00B414C1" w:rsidP="00B414C1">
            <w:pPr>
              <w:jc w:val="right"/>
              <w:rPr>
                <w:rFonts w:ascii="Calibri" w:hAnsi="Calibri"/>
                <w:color w:val="000000"/>
                <w:sz w:val="22"/>
              </w:rPr>
            </w:pPr>
            <w:r>
              <w:rPr>
                <w:rFonts w:ascii="Calibri" w:hAnsi="Calibri"/>
                <w:color w:val="000000"/>
                <w:sz w:val="22"/>
              </w:rPr>
              <w:t>89</w:t>
            </w:r>
          </w:p>
        </w:tc>
        <w:tc>
          <w:tcPr>
            <w:tcW w:w="616" w:type="dxa"/>
            <w:vAlign w:val="center"/>
          </w:tcPr>
          <w:p w:rsidR="00B414C1" w:rsidRDefault="00B414C1" w:rsidP="00B414C1">
            <w:pPr>
              <w:jc w:val="right"/>
              <w:rPr>
                <w:rFonts w:ascii="Calibri" w:hAnsi="Calibri"/>
                <w:color w:val="000000"/>
                <w:sz w:val="22"/>
              </w:rPr>
            </w:pPr>
            <w:r>
              <w:rPr>
                <w:rFonts w:ascii="Calibri" w:hAnsi="Calibri"/>
                <w:color w:val="000000"/>
                <w:sz w:val="22"/>
              </w:rPr>
              <w:t>89</w:t>
            </w:r>
          </w:p>
        </w:tc>
        <w:tc>
          <w:tcPr>
            <w:tcW w:w="616" w:type="dxa"/>
            <w:vAlign w:val="center"/>
          </w:tcPr>
          <w:p w:rsidR="00B414C1" w:rsidRDefault="00B414C1" w:rsidP="00B414C1">
            <w:pPr>
              <w:jc w:val="right"/>
              <w:rPr>
                <w:rFonts w:ascii="Calibri" w:hAnsi="Calibri"/>
                <w:color w:val="000000"/>
                <w:sz w:val="22"/>
              </w:rPr>
            </w:pPr>
            <w:r>
              <w:rPr>
                <w:rFonts w:ascii="Calibri" w:hAnsi="Calibri"/>
                <w:color w:val="000000"/>
                <w:sz w:val="22"/>
              </w:rPr>
              <w:t>89</w:t>
            </w:r>
          </w:p>
        </w:tc>
        <w:tc>
          <w:tcPr>
            <w:tcW w:w="616" w:type="dxa"/>
            <w:vAlign w:val="center"/>
          </w:tcPr>
          <w:p w:rsidR="00B414C1" w:rsidRDefault="00B414C1" w:rsidP="00B414C1">
            <w:pPr>
              <w:jc w:val="right"/>
              <w:rPr>
                <w:rFonts w:ascii="Calibri" w:hAnsi="Calibri"/>
                <w:color w:val="000000"/>
                <w:sz w:val="22"/>
              </w:rPr>
            </w:pPr>
            <w:r>
              <w:rPr>
                <w:rFonts w:ascii="Calibri" w:hAnsi="Calibri"/>
                <w:color w:val="000000"/>
                <w:sz w:val="22"/>
              </w:rPr>
              <w:t>89</w:t>
            </w:r>
          </w:p>
        </w:tc>
        <w:tc>
          <w:tcPr>
            <w:tcW w:w="616" w:type="dxa"/>
            <w:vAlign w:val="center"/>
          </w:tcPr>
          <w:p w:rsidR="00B414C1" w:rsidRDefault="00B414C1" w:rsidP="00B414C1">
            <w:pPr>
              <w:jc w:val="right"/>
              <w:rPr>
                <w:rFonts w:ascii="Calibri" w:hAnsi="Calibri"/>
                <w:color w:val="000000"/>
                <w:sz w:val="22"/>
              </w:rPr>
            </w:pPr>
            <w:r>
              <w:rPr>
                <w:rFonts w:ascii="Calibri" w:hAnsi="Calibri"/>
                <w:color w:val="000000"/>
                <w:sz w:val="22"/>
              </w:rPr>
              <w:t>89</w:t>
            </w:r>
          </w:p>
        </w:tc>
        <w:tc>
          <w:tcPr>
            <w:tcW w:w="616" w:type="dxa"/>
            <w:vAlign w:val="center"/>
          </w:tcPr>
          <w:p w:rsidR="00B414C1" w:rsidRDefault="00B414C1" w:rsidP="00B414C1">
            <w:pPr>
              <w:jc w:val="right"/>
              <w:rPr>
                <w:rFonts w:ascii="Calibri" w:hAnsi="Calibri"/>
                <w:color w:val="000000"/>
                <w:sz w:val="22"/>
              </w:rPr>
            </w:pPr>
            <w:r>
              <w:rPr>
                <w:rFonts w:ascii="Calibri" w:hAnsi="Calibri"/>
                <w:color w:val="000000"/>
                <w:sz w:val="22"/>
              </w:rPr>
              <w:t>89</w:t>
            </w:r>
          </w:p>
        </w:tc>
        <w:tc>
          <w:tcPr>
            <w:tcW w:w="616" w:type="dxa"/>
            <w:vAlign w:val="center"/>
          </w:tcPr>
          <w:p w:rsidR="00B414C1" w:rsidRDefault="00B414C1" w:rsidP="00B414C1">
            <w:pPr>
              <w:jc w:val="right"/>
              <w:rPr>
                <w:rFonts w:ascii="Calibri" w:hAnsi="Calibri"/>
                <w:color w:val="000000"/>
                <w:sz w:val="22"/>
              </w:rPr>
            </w:pPr>
            <w:r>
              <w:rPr>
                <w:rFonts w:ascii="Calibri" w:hAnsi="Calibri"/>
                <w:color w:val="000000"/>
                <w:sz w:val="22"/>
              </w:rPr>
              <w:t>89</w:t>
            </w:r>
          </w:p>
        </w:tc>
        <w:tc>
          <w:tcPr>
            <w:tcW w:w="616" w:type="dxa"/>
            <w:vAlign w:val="center"/>
          </w:tcPr>
          <w:p w:rsidR="00B414C1" w:rsidRDefault="00B414C1" w:rsidP="00B414C1">
            <w:pPr>
              <w:jc w:val="right"/>
              <w:rPr>
                <w:rFonts w:ascii="Calibri" w:hAnsi="Calibri"/>
                <w:color w:val="000000"/>
                <w:sz w:val="22"/>
              </w:rPr>
            </w:pPr>
            <w:r>
              <w:rPr>
                <w:rFonts w:ascii="Calibri" w:hAnsi="Calibri"/>
                <w:color w:val="000000"/>
                <w:sz w:val="22"/>
              </w:rPr>
              <w:t>89</w:t>
            </w:r>
          </w:p>
        </w:tc>
        <w:tc>
          <w:tcPr>
            <w:tcW w:w="616" w:type="dxa"/>
            <w:vAlign w:val="center"/>
          </w:tcPr>
          <w:p w:rsidR="00B414C1" w:rsidRDefault="00B414C1" w:rsidP="00B414C1">
            <w:pPr>
              <w:jc w:val="right"/>
              <w:rPr>
                <w:rFonts w:ascii="Calibri" w:hAnsi="Calibri"/>
                <w:color w:val="000000"/>
                <w:sz w:val="22"/>
              </w:rPr>
            </w:pPr>
            <w:r>
              <w:rPr>
                <w:rFonts w:ascii="Calibri" w:hAnsi="Calibri"/>
                <w:color w:val="000000"/>
                <w:sz w:val="22"/>
              </w:rPr>
              <w:t>89</w:t>
            </w:r>
          </w:p>
        </w:tc>
        <w:tc>
          <w:tcPr>
            <w:tcW w:w="616" w:type="dxa"/>
            <w:vAlign w:val="center"/>
          </w:tcPr>
          <w:p w:rsidR="00B414C1" w:rsidRDefault="00B414C1" w:rsidP="00B414C1">
            <w:pPr>
              <w:jc w:val="right"/>
              <w:rPr>
                <w:rFonts w:ascii="Calibri" w:hAnsi="Calibri"/>
                <w:color w:val="000000"/>
                <w:sz w:val="22"/>
              </w:rPr>
            </w:pPr>
            <w:r>
              <w:rPr>
                <w:rFonts w:ascii="Calibri" w:hAnsi="Calibri"/>
                <w:color w:val="000000"/>
                <w:sz w:val="22"/>
              </w:rPr>
              <w:t>89</w:t>
            </w:r>
          </w:p>
        </w:tc>
      </w:tr>
      <w:tr w:rsidR="00B414C1" w:rsidRPr="00432C28" w:rsidTr="00B414C1">
        <w:trPr>
          <w:trHeight w:val="32"/>
          <w:jc w:val="center"/>
        </w:trPr>
        <w:tc>
          <w:tcPr>
            <w:tcW w:w="1973" w:type="dxa"/>
            <w:vMerge w:val="restart"/>
            <w:vAlign w:val="center"/>
          </w:tcPr>
          <w:p w:rsidR="00B414C1" w:rsidRDefault="00B414C1" w:rsidP="00B414C1">
            <w:pPr>
              <w:jc w:val="left"/>
              <w:rPr>
                <w:rFonts w:ascii="Calibri" w:hAnsi="Calibri"/>
                <w:color w:val="000000"/>
                <w:sz w:val="22"/>
              </w:rPr>
            </w:pPr>
            <w:r>
              <w:rPr>
                <w:rFonts w:ascii="Calibri" w:hAnsi="Calibri"/>
                <w:color w:val="000000"/>
                <w:sz w:val="22"/>
              </w:rPr>
              <w:t>High Bay</w:t>
            </w:r>
          </w:p>
        </w:tc>
        <w:tc>
          <w:tcPr>
            <w:tcW w:w="923" w:type="dxa"/>
            <w:vAlign w:val="center"/>
          </w:tcPr>
          <w:p w:rsidR="00B414C1" w:rsidRPr="00D40854" w:rsidRDefault="00B414C1" w:rsidP="00B414C1">
            <w:pPr>
              <w:jc w:val="left"/>
              <w:rPr>
                <w:rFonts w:eastAsia="Times New Roman" w:cs="Times New Roman"/>
                <w:color w:val="000000"/>
                <w:sz w:val="20"/>
                <w:szCs w:val="20"/>
              </w:rPr>
            </w:pPr>
            <w:r w:rsidRPr="00D40854">
              <w:rPr>
                <w:rFonts w:eastAsia="Times New Roman" w:cs="Times New Roman"/>
                <w:color w:val="000000"/>
                <w:sz w:val="20"/>
                <w:szCs w:val="20"/>
              </w:rPr>
              <w:t>CPA</w:t>
            </w:r>
          </w:p>
        </w:tc>
        <w:tc>
          <w:tcPr>
            <w:tcW w:w="616" w:type="dxa"/>
            <w:vAlign w:val="center"/>
          </w:tcPr>
          <w:p w:rsidR="00B414C1" w:rsidRDefault="00B414C1" w:rsidP="00B414C1">
            <w:pPr>
              <w:jc w:val="right"/>
              <w:rPr>
                <w:rFonts w:ascii="Calibri" w:hAnsi="Calibri"/>
                <w:color w:val="000000"/>
                <w:sz w:val="22"/>
              </w:rPr>
            </w:pPr>
            <w:r>
              <w:rPr>
                <w:rFonts w:ascii="Calibri" w:hAnsi="Calibri"/>
                <w:color w:val="000000"/>
                <w:sz w:val="22"/>
              </w:rPr>
              <w:t>85</w:t>
            </w:r>
          </w:p>
        </w:tc>
        <w:tc>
          <w:tcPr>
            <w:tcW w:w="616" w:type="dxa"/>
            <w:vAlign w:val="center"/>
          </w:tcPr>
          <w:p w:rsidR="00B414C1" w:rsidRDefault="00B414C1" w:rsidP="00B414C1">
            <w:pPr>
              <w:jc w:val="right"/>
              <w:rPr>
                <w:rFonts w:ascii="Calibri" w:hAnsi="Calibri"/>
                <w:color w:val="000000"/>
                <w:sz w:val="22"/>
              </w:rPr>
            </w:pPr>
            <w:r>
              <w:rPr>
                <w:rFonts w:ascii="Calibri" w:hAnsi="Calibri"/>
                <w:color w:val="000000"/>
                <w:sz w:val="22"/>
              </w:rPr>
              <w:t>85</w:t>
            </w:r>
          </w:p>
        </w:tc>
        <w:tc>
          <w:tcPr>
            <w:tcW w:w="616" w:type="dxa"/>
            <w:vAlign w:val="center"/>
          </w:tcPr>
          <w:p w:rsidR="00B414C1" w:rsidRDefault="00B414C1" w:rsidP="00B414C1">
            <w:pPr>
              <w:jc w:val="right"/>
              <w:rPr>
                <w:rFonts w:ascii="Calibri" w:hAnsi="Calibri"/>
                <w:color w:val="000000"/>
                <w:sz w:val="22"/>
              </w:rPr>
            </w:pPr>
            <w:r>
              <w:rPr>
                <w:rFonts w:ascii="Calibri" w:hAnsi="Calibri"/>
                <w:color w:val="000000"/>
                <w:sz w:val="22"/>
              </w:rPr>
              <w:t>85</w:t>
            </w:r>
          </w:p>
        </w:tc>
        <w:tc>
          <w:tcPr>
            <w:tcW w:w="616" w:type="dxa"/>
            <w:vAlign w:val="center"/>
          </w:tcPr>
          <w:p w:rsidR="00B414C1" w:rsidRDefault="00B414C1" w:rsidP="00B414C1">
            <w:pPr>
              <w:jc w:val="right"/>
              <w:rPr>
                <w:rFonts w:ascii="Calibri" w:hAnsi="Calibri"/>
                <w:color w:val="000000"/>
                <w:sz w:val="22"/>
              </w:rPr>
            </w:pPr>
            <w:r>
              <w:rPr>
                <w:rFonts w:ascii="Calibri" w:hAnsi="Calibri"/>
                <w:color w:val="000000"/>
                <w:sz w:val="22"/>
              </w:rPr>
              <w:t>85</w:t>
            </w:r>
          </w:p>
        </w:tc>
        <w:tc>
          <w:tcPr>
            <w:tcW w:w="616" w:type="dxa"/>
            <w:vAlign w:val="center"/>
          </w:tcPr>
          <w:p w:rsidR="00B414C1" w:rsidRDefault="00B414C1" w:rsidP="00B414C1">
            <w:pPr>
              <w:jc w:val="right"/>
              <w:rPr>
                <w:rFonts w:ascii="Calibri" w:hAnsi="Calibri"/>
                <w:color w:val="000000"/>
                <w:sz w:val="22"/>
              </w:rPr>
            </w:pPr>
            <w:r>
              <w:rPr>
                <w:rFonts w:ascii="Calibri" w:hAnsi="Calibri"/>
                <w:color w:val="000000"/>
                <w:sz w:val="22"/>
              </w:rPr>
              <w:t>170</w:t>
            </w:r>
          </w:p>
        </w:tc>
        <w:tc>
          <w:tcPr>
            <w:tcW w:w="616" w:type="dxa"/>
            <w:vAlign w:val="center"/>
          </w:tcPr>
          <w:p w:rsidR="00B414C1" w:rsidRDefault="00B414C1" w:rsidP="00B414C1">
            <w:pPr>
              <w:jc w:val="right"/>
              <w:rPr>
                <w:rFonts w:ascii="Calibri" w:hAnsi="Calibri"/>
                <w:color w:val="000000"/>
                <w:sz w:val="22"/>
              </w:rPr>
            </w:pPr>
            <w:r>
              <w:rPr>
                <w:rFonts w:ascii="Calibri" w:hAnsi="Calibri"/>
                <w:color w:val="000000"/>
                <w:sz w:val="22"/>
              </w:rPr>
              <w:t>170</w:t>
            </w:r>
          </w:p>
        </w:tc>
        <w:tc>
          <w:tcPr>
            <w:tcW w:w="616" w:type="dxa"/>
            <w:vAlign w:val="center"/>
          </w:tcPr>
          <w:p w:rsidR="00B414C1" w:rsidRDefault="00B414C1" w:rsidP="00B414C1">
            <w:pPr>
              <w:jc w:val="right"/>
              <w:rPr>
                <w:rFonts w:ascii="Calibri" w:hAnsi="Calibri"/>
                <w:color w:val="000000"/>
                <w:sz w:val="22"/>
              </w:rPr>
            </w:pPr>
            <w:r>
              <w:rPr>
                <w:rFonts w:ascii="Calibri" w:hAnsi="Calibri"/>
                <w:color w:val="000000"/>
                <w:sz w:val="22"/>
              </w:rPr>
              <w:t>170</w:t>
            </w:r>
          </w:p>
        </w:tc>
        <w:tc>
          <w:tcPr>
            <w:tcW w:w="616" w:type="dxa"/>
            <w:vAlign w:val="center"/>
          </w:tcPr>
          <w:p w:rsidR="00B414C1" w:rsidRDefault="00B414C1" w:rsidP="00B414C1">
            <w:pPr>
              <w:jc w:val="right"/>
              <w:rPr>
                <w:rFonts w:ascii="Calibri" w:hAnsi="Calibri"/>
                <w:color w:val="000000"/>
                <w:sz w:val="22"/>
              </w:rPr>
            </w:pPr>
            <w:r>
              <w:rPr>
                <w:rFonts w:ascii="Calibri" w:hAnsi="Calibri"/>
                <w:color w:val="000000"/>
                <w:sz w:val="22"/>
              </w:rPr>
              <w:t>170</w:t>
            </w:r>
          </w:p>
        </w:tc>
        <w:tc>
          <w:tcPr>
            <w:tcW w:w="616" w:type="dxa"/>
            <w:vAlign w:val="center"/>
          </w:tcPr>
          <w:p w:rsidR="00B414C1" w:rsidRDefault="00B414C1" w:rsidP="00B414C1">
            <w:pPr>
              <w:jc w:val="right"/>
              <w:rPr>
                <w:rFonts w:ascii="Calibri" w:hAnsi="Calibri"/>
                <w:color w:val="000000"/>
                <w:sz w:val="22"/>
              </w:rPr>
            </w:pPr>
            <w:r>
              <w:rPr>
                <w:rFonts w:ascii="Calibri" w:hAnsi="Calibri"/>
                <w:color w:val="000000"/>
                <w:sz w:val="22"/>
              </w:rPr>
              <w:t>170</w:t>
            </w:r>
          </w:p>
        </w:tc>
        <w:tc>
          <w:tcPr>
            <w:tcW w:w="616" w:type="dxa"/>
            <w:vAlign w:val="center"/>
          </w:tcPr>
          <w:p w:rsidR="00B414C1" w:rsidRDefault="00B414C1" w:rsidP="00B414C1">
            <w:pPr>
              <w:jc w:val="right"/>
              <w:rPr>
                <w:rFonts w:ascii="Calibri" w:hAnsi="Calibri"/>
                <w:color w:val="000000"/>
                <w:sz w:val="22"/>
              </w:rPr>
            </w:pPr>
            <w:r>
              <w:rPr>
                <w:rFonts w:ascii="Calibri" w:hAnsi="Calibri"/>
                <w:color w:val="000000"/>
                <w:sz w:val="22"/>
              </w:rPr>
              <w:t>170</w:t>
            </w:r>
          </w:p>
        </w:tc>
      </w:tr>
      <w:tr w:rsidR="00B414C1" w:rsidRPr="00432C28" w:rsidTr="00B414C1">
        <w:trPr>
          <w:trHeight w:val="32"/>
          <w:jc w:val="center"/>
        </w:trPr>
        <w:tc>
          <w:tcPr>
            <w:tcW w:w="1973" w:type="dxa"/>
            <w:vMerge/>
            <w:vAlign w:val="center"/>
          </w:tcPr>
          <w:p w:rsidR="00B414C1" w:rsidRDefault="00B414C1" w:rsidP="00B414C1">
            <w:pPr>
              <w:jc w:val="left"/>
              <w:rPr>
                <w:rFonts w:ascii="Calibri" w:hAnsi="Calibri"/>
                <w:color w:val="000000"/>
                <w:sz w:val="22"/>
              </w:rPr>
            </w:pPr>
          </w:p>
        </w:tc>
        <w:tc>
          <w:tcPr>
            <w:tcW w:w="923" w:type="dxa"/>
            <w:vAlign w:val="center"/>
          </w:tcPr>
          <w:p w:rsidR="00B414C1" w:rsidRPr="00D40854" w:rsidRDefault="00B414C1" w:rsidP="00B414C1">
            <w:pPr>
              <w:jc w:val="left"/>
              <w:rPr>
                <w:rFonts w:eastAsia="Times New Roman" w:cs="Times New Roman"/>
                <w:color w:val="000000"/>
                <w:sz w:val="20"/>
                <w:szCs w:val="20"/>
              </w:rPr>
            </w:pPr>
            <w:r w:rsidRPr="00D40854">
              <w:rPr>
                <w:rFonts w:eastAsia="Times New Roman" w:cs="Times New Roman"/>
                <w:color w:val="000000"/>
                <w:sz w:val="20"/>
                <w:szCs w:val="20"/>
              </w:rPr>
              <w:t>7</w:t>
            </w:r>
            <w:r w:rsidRPr="00D40854">
              <w:rPr>
                <w:rFonts w:eastAsia="Times New Roman" w:cs="Times New Roman"/>
                <w:color w:val="000000"/>
                <w:sz w:val="20"/>
                <w:szCs w:val="20"/>
                <w:vertAlign w:val="superscript"/>
              </w:rPr>
              <w:t>th</w:t>
            </w:r>
            <w:r w:rsidRPr="00D40854">
              <w:rPr>
                <w:rFonts w:eastAsia="Times New Roman" w:cs="Times New Roman"/>
                <w:color w:val="000000"/>
                <w:sz w:val="20"/>
                <w:szCs w:val="20"/>
              </w:rPr>
              <w:t xml:space="preserve"> Plan</w:t>
            </w:r>
          </w:p>
        </w:tc>
        <w:tc>
          <w:tcPr>
            <w:tcW w:w="616" w:type="dxa"/>
            <w:vAlign w:val="center"/>
          </w:tcPr>
          <w:p w:rsidR="00B414C1" w:rsidRDefault="00B414C1" w:rsidP="00B414C1">
            <w:pPr>
              <w:jc w:val="right"/>
              <w:rPr>
                <w:rFonts w:ascii="Calibri" w:hAnsi="Calibri"/>
                <w:color w:val="000000"/>
                <w:sz w:val="22"/>
              </w:rPr>
            </w:pPr>
            <w:r>
              <w:rPr>
                <w:rFonts w:ascii="Calibri" w:hAnsi="Calibri"/>
                <w:color w:val="000000"/>
                <w:sz w:val="22"/>
              </w:rPr>
              <w:t>139</w:t>
            </w:r>
          </w:p>
        </w:tc>
        <w:tc>
          <w:tcPr>
            <w:tcW w:w="616" w:type="dxa"/>
            <w:vAlign w:val="center"/>
          </w:tcPr>
          <w:p w:rsidR="00B414C1" w:rsidRDefault="00B414C1" w:rsidP="00B414C1">
            <w:pPr>
              <w:jc w:val="right"/>
              <w:rPr>
                <w:rFonts w:ascii="Calibri" w:hAnsi="Calibri"/>
                <w:color w:val="000000"/>
                <w:sz w:val="22"/>
              </w:rPr>
            </w:pPr>
            <w:r>
              <w:rPr>
                <w:rFonts w:ascii="Calibri" w:hAnsi="Calibri"/>
                <w:color w:val="000000"/>
                <w:sz w:val="22"/>
              </w:rPr>
              <w:t>139</w:t>
            </w:r>
          </w:p>
        </w:tc>
        <w:tc>
          <w:tcPr>
            <w:tcW w:w="616" w:type="dxa"/>
            <w:vAlign w:val="center"/>
          </w:tcPr>
          <w:p w:rsidR="00B414C1" w:rsidRDefault="00B414C1" w:rsidP="00B414C1">
            <w:pPr>
              <w:jc w:val="right"/>
              <w:rPr>
                <w:rFonts w:ascii="Calibri" w:hAnsi="Calibri"/>
                <w:color w:val="000000"/>
                <w:sz w:val="22"/>
              </w:rPr>
            </w:pPr>
            <w:r>
              <w:rPr>
                <w:rFonts w:ascii="Calibri" w:hAnsi="Calibri"/>
                <w:color w:val="000000"/>
                <w:sz w:val="22"/>
              </w:rPr>
              <w:t>139</w:t>
            </w:r>
          </w:p>
        </w:tc>
        <w:tc>
          <w:tcPr>
            <w:tcW w:w="616" w:type="dxa"/>
            <w:vAlign w:val="center"/>
          </w:tcPr>
          <w:p w:rsidR="00B414C1" w:rsidRDefault="00B414C1" w:rsidP="00B414C1">
            <w:pPr>
              <w:jc w:val="right"/>
              <w:rPr>
                <w:rFonts w:ascii="Calibri" w:hAnsi="Calibri"/>
                <w:color w:val="000000"/>
                <w:sz w:val="22"/>
              </w:rPr>
            </w:pPr>
            <w:r>
              <w:rPr>
                <w:rFonts w:ascii="Calibri" w:hAnsi="Calibri"/>
                <w:color w:val="000000"/>
                <w:sz w:val="22"/>
              </w:rPr>
              <w:t>139</w:t>
            </w:r>
          </w:p>
        </w:tc>
        <w:tc>
          <w:tcPr>
            <w:tcW w:w="616" w:type="dxa"/>
            <w:vAlign w:val="center"/>
          </w:tcPr>
          <w:p w:rsidR="00B414C1" w:rsidRDefault="00B414C1" w:rsidP="00B414C1">
            <w:pPr>
              <w:jc w:val="right"/>
              <w:rPr>
                <w:rFonts w:ascii="Calibri" w:hAnsi="Calibri"/>
                <w:color w:val="000000"/>
                <w:sz w:val="22"/>
              </w:rPr>
            </w:pPr>
            <w:r>
              <w:rPr>
                <w:rFonts w:ascii="Calibri" w:hAnsi="Calibri"/>
                <w:color w:val="000000"/>
                <w:sz w:val="22"/>
              </w:rPr>
              <w:t>139</w:t>
            </w:r>
          </w:p>
        </w:tc>
        <w:tc>
          <w:tcPr>
            <w:tcW w:w="616" w:type="dxa"/>
            <w:vAlign w:val="center"/>
          </w:tcPr>
          <w:p w:rsidR="00B414C1" w:rsidRDefault="00B414C1" w:rsidP="00B414C1">
            <w:pPr>
              <w:jc w:val="right"/>
              <w:rPr>
                <w:rFonts w:ascii="Calibri" w:hAnsi="Calibri"/>
                <w:color w:val="000000"/>
                <w:sz w:val="22"/>
              </w:rPr>
            </w:pPr>
            <w:r>
              <w:rPr>
                <w:rFonts w:ascii="Calibri" w:hAnsi="Calibri"/>
                <w:color w:val="000000"/>
                <w:sz w:val="22"/>
              </w:rPr>
              <w:t>139</w:t>
            </w:r>
          </w:p>
        </w:tc>
        <w:tc>
          <w:tcPr>
            <w:tcW w:w="616" w:type="dxa"/>
            <w:vAlign w:val="center"/>
          </w:tcPr>
          <w:p w:rsidR="00B414C1" w:rsidRDefault="00B414C1" w:rsidP="00B414C1">
            <w:pPr>
              <w:jc w:val="right"/>
              <w:rPr>
                <w:rFonts w:ascii="Calibri" w:hAnsi="Calibri"/>
                <w:color w:val="000000"/>
                <w:sz w:val="22"/>
              </w:rPr>
            </w:pPr>
            <w:r>
              <w:rPr>
                <w:rFonts w:ascii="Calibri" w:hAnsi="Calibri"/>
                <w:color w:val="000000"/>
                <w:sz w:val="22"/>
              </w:rPr>
              <w:t>139</w:t>
            </w:r>
          </w:p>
        </w:tc>
        <w:tc>
          <w:tcPr>
            <w:tcW w:w="616" w:type="dxa"/>
            <w:vAlign w:val="center"/>
          </w:tcPr>
          <w:p w:rsidR="00B414C1" w:rsidRDefault="00B414C1" w:rsidP="00B414C1">
            <w:pPr>
              <w:jc w:val="right"/>
              <w:rPr>
                <w:rFonts w:ascii="Calibri" w:hAnsi="Calibri"/>
                <w:color w:val="000000"/>
                <w:sz w:val="22"/>
              </w:rPr>
            </w:pPr>
            <w:r>
              <w:rPr>
                <w:rFonts w:ascii="Calibri" w:hAnsi="Calibri"/>
                <w:color w:val="000000"/>
                <w:sz w:val="22"/>
              </w:rPr>
              <w:t>139</w:t>
            </w:r>
          </w:p>
        </w:tc>
        <w:tc>
          <w:tcPr>
            <w:tcW w:w="616" w:type="dxa"/>
            <w:vAlign w:val="center"/>
          </w:tcPr>
          <w:p w:rsidR="00B414C1" w:rsidRDefault="00B414C1" w:rsidP="00B414C1">
            <w:pPr>
              <w:jc w:val="right"/>
              <w:rPr>
                <w:rFonts w:ascii="Calibri" w:hAnsi="Calibri"/>
                <w:color w:val="000000"/>
                <w:sz w:val="22"/>
              </w:rPr>
            </w:pPr>
            <w:r>
              <w:rPr>
                <w:rFonts w:ascii="Calibri" w:hAnsi="Calibri"/>
                <w:color w:val="000000"/>
                <w:sz w:val="22"/>
              </w:rPr>
              <w:t>139</w:t>
            </w:r>
          </w:p>
        </w:tc>
        <w:tc>
          <w:tcPr>
            <w:tcW w:w="616" w:type="dxa"/>
            <w:vAlign w:val="center"/>
          </w:tcPr>
          <w:p w:rsidR="00B414C1" w:rsidRDefault="00B414C1" w:rsidP="00B414C1">
            <w:pPr>
              <w:jc w:val="right"/>
              <w:rPr>
                <w:rFonts w:ascii="Calibri" w:hAnsi="Calibri"/>
                <w:color w:val="000000"/>
                <w:sz w:val="22"/>
              </w:rPr>
            </w:pPr>
            <w:r>
              <w:rPr>
                <w:rFonts w:ascii="Calibri" w:hAnsi="Calibri"/>
                <w:color w:val="000000"/>
                <w:sz w:val="22"/>
              </w:rPr>
              <w:t>139</w:t>
            </w:r>
          </w:p>
        </w:tc>
      </w:tr>
      <w:tr w:rsidR="00B414C1" w:rsidRPr="00432C28" w:rsidTr="00B414C1">
        <w:trPr>
          <w:trHeight w:val="32"/>
          <w:jc w:val="center"/>
        </w:trPr>
        <w:tc>
          <w:tcPr>
            <w:tcW w:w="1973" w:type="dxa"/>
            <w:vMerge w:val="restart"/>
            <w:vAlign w:val="center"/>
          </w:tcPr>
          <w:p w:rsidR="00B414C1" w:rsidRDefault="00B414C1" w:rsidP="00B414C1">
            <w:pPr>
              <w:jc w:val="left"/>
              <w:rPr>
                <w:rFonts w:ascii="Calibri" w:hAnsi="Calibri"/>
                <w:color w:val="000000"/>
                <w:sz w:val="22"/>
              </w:rPr>
            </w:pPr>
            <w:r>
              <w:rPr>
                <w:rFonts w:ascii="Calibri" w:hAnsi="Calibri"/>
                <w:color w:val="000000"/>
                <w:sz w:val="22"/>
              </w:rPr>
              <w:t>Screw-in</w:t>
            </w:r>
          </w:p>
        </w:tc>
        <w:tc>
          <w:tcPr>
            <w:tcW w:w="923" w:type="dxa"/>
            <w:vAlign w:val="center"/>
          </w:tcPr>
          <w:p w:rsidR="00B414C1" w:rsidRPr="00D40854" w:rsidRDefault="00B414C1" w:rsidP="00B414C1">
            <w:pPr>
              <w:jc w:val="left"/>
              <w:rPr>
                <w:rFonts w:eastAsia="Times New Roman" w:cs="Times New Roman"/>
                <w:color w:val="000000"/>
                <w:sz w:val="20"/>
                <w:szCs w:val="20"/>
              </w:rPr>
            </w:pPr>
            <w:r w:rsidRPr="00D40854">
              <w:rPr>
                <w:rFonts w:eastAsia="Times New Roman" w:cs="Times New Roman"/>
                <w:color w:val="000000"/>
                <w:sz w:val="20"/>
                <w:szCs w:val="20"/>
              </w:rPr>
              <w:t>CPA</w:t>
            </w:r>
          </w:p>
        </w:tc>
        <w:tc>
          <w:tcPr>
            <w:tcW w:w="616" w:type="dxa"/>
            <w:vAlign w:val="center"/>
          </w:tcPr>
          <w:p w:rsidR="00B414C1" w:rsidRDefault="00B414C1" w:rsidP="00B414C1">
            <w:pPr>
              <w:jc w:val="right"/>
              <w:rPr>
                <w:rFonts w:ascii="Calibri" w:hAnsi="Calibri"/>
                <w:color w:val="000000"/>
                <w:sz w:val="22"/>
              </w:rPr>
            </w:pPr>
            <w:r>
              <w:rPr>
                <w:rFonts w:ascii="Calibri" w:hAnsi="Calibri"/>
                <w:color w:val="000000"/>
                <w:sz w:val="22"/>
              </w:rPr>
              <w:t>73</w:t>
            </w:r>
          </w:p>
        </w:tc>
        <w:tc>
          <w:tcPr>
            <w:tcW w:w="616" w:type="dxa"/>
            <w:vAlign w:val="center"/>
          </w:tcPr>
          <w:p w:rsidR="00B414C1" w:rsidRDefault="00B414C1" w:rsidP="00B414C1">
            <w:pPr>
              <w:jc w:val="right"/>
              <w:rPr>
                <w:rFonts w:ascii="Calibri" w:hAnsi="Calibri"/>
                <w:color w:val="000000"/>
                <w:sz w:val="22"/>
              </w:rPr>
            </w:pPr>
            <w:r>
              <w:rPr>
                <w:rFonts w:ascii="Calibri" w:hAnsi="Calibri"/>
                <w:color w:val="000000"/>
                <w:sz w:val="22"/>
              </w:rPr>
              <w:t>73</w:t>
            </w:r>
          </w:p>
        </w:tc>
        <w:tc>
          <w:tcPr>
            <w:tcW w:w="616" w:type="dxa"/>
            <w:vAlign w:val="center"/>
          </w:tcPr>
          <w:p w:rsidR="00B414C1" w:rsidRDefault="00B414C1" w:rsidP="00B414C1">
            <w:pPr>
              <w:jc w:val="right"/>
              <w:rPr>
                <w:rFonts w:ascii="Calibri" w:hAnsi="Calibri"/>
                <w:color w:val="000000"/>
                <w:sz w:val="22"/>
              </w:rPr>
            </w:pPr>
            <w:r>
              <w:rPr>
                <w:rFonts w:ascii="Calibri" w:hAnsi="Calibri"/>
                <w:color w:val="000000"/>
                <w:sz w:val="22"/>
              </w:rPr>
              <w:t>73</w:t>
            </w:r>
          </w:p>
        </w:tc>
        <w:tc>
          <w:tcPr>
            <w:tcW w:w="616" w:type="dxa"/>
            <w:vAlign w:val="center"/>
          </w:tcPr>
          <w:p w:rsidR="00B414C1" w:rsidRDefault="00B414C1" w:rsidP="00B414C1">
            <w:pPr>
              <w:jc w:val="right"/>
              <w:rPr>
                <w:rFonts w:ascii="Calibri" w:hAnsi="Calibri"/>
                <w:color w:val="000000"/>
                <w:sz w:val="22"/>
              </w:rPr>
            </w:pPr>
            <w:r>
              <w:rPr>
                <w:rFonts w:ascii="Calibri" w:hAnsi="Calibri"/>
                <w:color w:val="000000"/>
                <w:sz w:val="22"/>
              </w:rPr>
              <w:t>73</w:t>
            </w:r>
          </w:p>
        </w:tc>
        <w:tc>
          <w:tcPr>
            <w:tcW w:w="616" w:type="dxa"/>
            <w:vAlign w:val="center"/>
          </w:tcPr>
          <w:p w:rsidR="00B414C1" w:rsidRDefault="00B414C1" w:rsidP="00B414C1">
            <w:pPr>
              <w:jc w:val="right"/>
              <w:rPr>
                <w:rFonts w:ascii="Calibri" w:hAnsi="Calibri"/>
                <w:color w:val="000000"/>
                <w:sz w:val="22"/>
              </w:rPr>
            </w:pPr>
            <w:r>
              <w:rPr>
                <w:rFonts w:ascii="Calibri" w:hAnsi="Calibri"/>
                <w:color w:val="000000"/>
                <w:sz w:val="22"/>
              </w:rPr>
              <w:t>170</w:t>
            </w:r>
          </w:p>
        </w:tc>
        <w:tc>
          <w:tcPr>
            <w:tcW w:w="616" w:type="dxa"/>
            <w:vAlign w:val="center"/>
          </w:tcPr>
          <w:p w:rsidR="00B414C1" w:rsidRDefault="00B414C1" w:rsidP="00B414C1">
            <w:pPr>
              <w:jc w:val="right"/>
              <w:rPr>
                <w:rFonts w:ascii="Calibri" w:hAnsi="Calibri"/>
                <w:color w:val="000000"/>
                <w:sz w:val="22"/>
              </w:rPr>
            </w:pPr>
            <w:r>
              <w:rPr>
                <w:rFonts w:ascii="Calibri" w:hAnsi="Calibri"/>
                <w:color w:val="000000"/>
                <w:sz w:val="22"/>
              </w:rPr>
              <w:t>170</w:t>
            </w:r>
          </w:p>
        </w:tc>
        <w:tc>
          <w:tcPr>
            <w:tcW w:w="616" w:type="dxa"/>
            <w:vAlign w:val="center"/>
          </w:tcPr>
          <w:p w:rsidR="00B414C1" w:rsidRDefault="00B414C1" w:rsidP="00B414C1">
            <w:pPr>
              <w:jc w:val="right"/>
              <w:rPr>
                <w:rFonts w:ascii="Calibri" w:hAnsi="Calibri"/>
                <w:color w:val="000000"/>
                <w:sz w:val="22"/>
              </w:rPr>
            </w:pPr>
            <w:r>
              <w:rPr>
                <w:rFonts w:ascii="Calibri" w:hAnsi="Calibri"/>
                <w:color w:val="000000"/>
                <w:sz w:val="22"/>
              </w:rPr>
              <w:t>170</w:t>
            </w:r>
          </w:p>
        </w:tc>
        <w:tc>
          <w:tcPr>
            <w:tcW w:w="616" w:type="dxa"/>
            <w:vAlign w:val="center"/>
          </w:tcPr>
          <w:p w:rsidR="00B414C1" w:rsidRDefault="00B414C1" w:rsidP="00B414C1">
            <w:pPr>
              <w:jc w:val="right"/>
              <w:rPr>
                <w:rFonts w:ascii="Calibri" w:hAnsi="Calibri"/>
                <w:color w:val="000000"/>
                <w:sz w:val="22"/>
              </w:rPr>
            </w:pPr>
            <w:r>
              <w:rPr>
                <w:rFonts w:ascii="Calibri" w:hAnsi="Calibri"/>
                <w:color w:val="000000"/>
                <w:sz w:val="22"/>
              </w:rPr>
              <w:t>170</w:t>
            </w:r>
          </w:p>
        </w:tc>
        <w:tc>
          <w:tcPr>
            <w:tcW w:w="616" w:type="dxa"/>
            <w:vAlign w:val="center"/>
          </w:tcPr>
          <w:p w:rsidR="00B414C1" w:rsidRDefault="00B414C1" w:rsidP="00B414C1">
            <w:pPr>
              <w:jc w:val="right"/>
              <w:rPr>
                <w:rFonts w:ascii="Calibri" w:hAnsi="Calibri"/>
                <w:color w:val="000000"/>
                <w:sz w:val="22"/>
              </w:rPr>
            </w:pPr>
            <w:r>
              <w:rPr>
                <w:rFonts w:ascii="Calibri" w:hAnsi="Calibri"/>
                <w:color w:val="000000"/>
                <w:sz w:val="22"/>
              </w:rPr>
              <w:t>170</w:t>
            </w:r>
          </w:p>
        </w:tc>
        <w:tc>
          <w:tcPr>
            <w:tcW w:w="616" w:type="dxa"/>
            <w:vAlign w:val="center"/>
          </w:tcPr>
          <w:p w:rsidR="00B414C1" w:rsidRDefault="00B414C1" w:rsidP="00B414C1">
            <w:pPr>
              <w:jc w:val="right"/>
              <w:rPr>
                <w:rFonts w:ascii="Calibri" w:hAnsi="Calibri"/>
                <w:color w:val="000000"/>
                <w:sz w:val="22"/>
              </w:rPr>
            </w:pPr>
            <w:r>
              <w:rPr>
                <w:rFonts w:ascii="Calibri" w:hAnsi="Calibri"/>
                <w:color w:val="000000"/>
                <w:sz w:val="22"/>
              </w:rPr>
              <w:t>170</w:t>
            </w:r>
          </w:p>
        </w:tc>
      </w:tr>
      <w:tr w:rsidR="00B414C1" w:rsidRPr="00432C28" w:rsidTr="00B414C1">
        <w:trPr>
          <w:trHeight w:val="32"/>
          <w:jc w:val="center"/>
        </w:trPr>
        <w:tc>
          <w:tcPr>
            <w:tcW w:w="1973" w:type="dxa"/>
            <w:vMerge/>
          </w:tcPr>
          <w:p w:rsidR="00B414C1" w:rsidRDefault="00B414C1" w:rsidP="00B414C1">
            <w:pPr>
              <w:jc w:val="center"/>
              <w:rPr>
                <w:rFonts w:eastAsia="Times New Roman" w:cs="Times New Roman"/>
                <w:b/>
                <w:color w:val="000000"/>
                <w:sz w:val="20"/>
                <w:szCs w:val="20"/>
              </w:rPr>
            </w:pPr>
          </w:p>
        </w:tc>
        <w:tc>
          <w:tcPr>
            <w:tcW w:w="923" w:type="dxa"/>
            <w:vAlign w:val="center"/>
          </w:tcPr>
          <w:p w:rsidR="00B414C1" w:rsidRPr="00D40854" w:rsidRDefault="00B414C1" w:rsidP="00B414C1">
            <w:pPr>
              <w:jc w:val="left"/>
              <w:rPr>
                <w:rFonts w:eastAsia="Times New Roman" w:cs="Times New Roman"/>
                <w:color w:val="000000"/>
                <w:sz w:val="20"/>
                <w:szCs w:val="20"/>
              </w:rPr>
            </w:pPr>
            <w:r w:rsidRPr="00D40854">
              <w:rPr>
                <w:rFonts w:eastAsia="Times New Roman" w:cs="Times New Roman"/>
                <w:color w:val="000000"/>
                <w:sz w:val="20"/>
                <w:szCs w:val="20"/>
              </w:rPr>
              <w:t>7</w:t>
            </w:r>
            <w:r w:rsidRPr="00D40854">
              <w:rPr>
                <w:rFonts w:eastAsia="Times New Roman" w:cs="Times New Roman"/>
                <w:color w:val="000000"/>
                <w:sz w:val="20"/>
                <w:szCs w:val="20"/>
                <w:vertAlign w:val="superscript"/>
              </w:rPr>
              <w:t>th</w:t>
            </w:r>
            <w:r w:rsidRPr="00D40854">
              <w:rPr>
                <w:rFonts w:eastAsia="Times New Roman" w:cs="Times New Roman"/>
                <w:color w:val="000000"/>
                <w:sz w:val="20"/>
                <w:szCs w:val="20"/>
              </w:rPr>
              <w:t xml:space="preserve"> Plan</w:t>
            </w:r>
          </w:p>
        </w:tc>
        <w:tc>
          <w:tcPr>
            <w:tcW w:w="616" w:type="dxa"/>
            <w:vAlign w:val="center"/>
          </w:tcPr>
          <w:p w:rsidR="00B414C1" w:rsidRDefault="00B414C1" w:rsidP="00B414C1">
            <w:pPr>
              <w:jc w:val="right"/>
              <w:rPr>
                <w:rFonts w:ascii="Calibri" w:hAnsi="Calibri"/>
                <w:color w:val="000000"/>
                <w:sz w:val="22"/>
              </w:rPr>
            </w:pPr>
            <w:r>
              <w:rPr>
                <w:rFonts w:ascii="Calibri" w:hAnsi="Calibri"/>
                <w:color w:val="000000"/>
                <w:sz w:val="22"/>
              </w:rPr>
              <w:t>73</w:t>
            </w:r>
          </w:p>
        </w:tc>
        <w:tc>
          <w:tcPr>
            <w:tcW w:w="616" w:type="dxa"/>
            <w:vAlign w:val="center"/>
          </w:tcPr>
          <w:p w:rsidR="00B414C1" w:rsidRDefault="00B414C1" w:rsidP="00B414C1">
            <w:pPr>
              <w:jc w:val="right"/>
              <w:rPr>
                <w:rFonts w:ascii="Calibri" w:hAnsi="Calibri"/>
                <w:color w:val="000000"/>
                <w:sz w:val="22"/>
              </w:rPr>
            </w:pPr>
            <w:r>
              <w:rPr>
                <w:rFonts w:ascii="Calibri" w:hAnsi="Calibri"/>
                <w:color w:val="000000"/>
                <w:sz w:val="22"/>
              </w:rPr>
              <w:t>73</w:t>
            </w:r>
          </w:p>
        </w:tc>
        <w:tc>
          <w:tcPr>
            <w:tcW w:w="616" w:type="dxa"/>
            <w:vAlign w:val="center"/>
          </w:tcPr>
          <w:p w:rsidR="00B414C1" w:rsidRDefault="00B414C1" w:rsidP="00B414C1">
            <w:pPr>
              <w:jc w:val="right"/>
              <w:rPr>
                <w:rFonts w:ascii="Calibri" w:hAnsi="Calibri"/>
                <w:color w:val="000000"/>
                <w:sz w:val="22"/>
              </w:rPr>
            </w:pPr>
            <w:r>
              <w:rPr>
                <w:rFonts w:ascii="Calibri" w:hAnsi="Calibri"/>
                <w:color w:val="000000"/>
                <w:sz w:val="22"/>
              </w:rPr>
              <w:t>73</w:t>
            </w:r>
          </w:p>
        </w:tc>
        <w:tc>
          <w:tcPr>
            <w:tcW w:w="616" w:type="dxa"/>
            <w:vAlign w:val="center"/>
          </w:tcPr>
          <w:p w:rsidR="00B414C1" w:rsidRDefault="00B414C1" w:rsidP="00B414C1">
            <w:pPr>
              <w:jc w:val="right"/>
              <w:rPr>
                <w:rFonts w:ascii="Calibri" w:hAnsi="Calibri"/>
                <w:color w:val="000000"/>
                <w:sz w:val="22"/>
              </w:rPr>
            </w:pPr>
            <w:r>
              <w:rPr>
                <w:rFonts w:ascii="Calibri" w:hAnsi="Calibri"/>
                <w:color w:val="000000"/>
                <w:sz w:val="22"/>
              </w:rPr>
              <w:t>73</w:t>
            </w:r>
          </w:p>
        </w:tc>
        <w:tc>
          <w:tcPr>
            <w:tcW w:w="616" w:type="dxa"/>
            <w:vAlign w:val="center"/>
          </w:tcPr>
          <w:p w:rsidR="00B414C1" w:rsidRDefault="00B414C1" w:rsidP="00B414C1">
            <w:pPr>
              <w:jc w:val="right"/>
              <w:rPr>
                <w:rFonts w:ascii="Calibri" w:hAnsi="Calibri"/>
                <w:color w:val="000000"/>
                <w:sz w:val="22"/>
              </w:rPr>
            </w:pPr>
            <w:r>
              <w:rPr>
                <w:rFonts w:ascii="Calibri" w:hAnsi="Calibri"/>
                <w:color w:val="000000"/>
                <w:sz w:val="22"/>
              </w:rPr>
              <w:t>73</w:t>
            </w:r>
          </w:p>
        </w:tc>
        <w:tc>
          <w:tcPr>
            <w:tcW w:w="616" w:type="dxa"/>
            <w:vAlign w:val="center"/>
          </w:tcPr>
          <w:p w:rsidR="00B414C1" w:rsidRDefault="00B414C1" w:rsidP="00B414C1">
            <w:pPr>
              <w:jc w:val="right"/>
              <w:rPr>
                <w:rFonts w:ascii="Calibri" w:hAnsi="Calibri"/>
                <w:color w:val="000000"/>
                <w:sz w:val="22"/>
              </w:rPr>
            </w:pPr>
            <w:r>
              <w:rPr>
                <w:rFonts w:ascii="Calibri" w:hAnsi="Calibri"/>
                <w:color w:val="000000"/>
                <w:sz w:val="22"/>
              </w:rPr>
              <w:t>73</w:t>
            </w:r>
          </w:p>
        </w:tc>
        <w:tc>
          <w:tcPr>
            <w:tcW w:w="616" w:type="dxa"/>
            <w:vAlign w:val="center"/>
          </w:tcPr>
          <w:p w:rsidR="00B414C1" w:rsidRDefault="00B414C1" w:rsidP="00B414C1">
            <w:pPr>
              <w:jc w:val="right"/>
              <w:rPr>
                <w:rFonts w:ascii="Calibri" w:hAnsi="Calibri"/>
                <w:color w:val="000000"/>
                <w:sz w:val="22"/>
              </w:rPr>
            </w:pPr>
            <w:r>
              <w:rPr>
                <w:rFonts w:ascii="Calibri" w:hAnsi="Calibri"/>
                <w:color w:val="000000"/>
                <w:sz w:val="22"/>
              </w:rPr>
              <w:t>73</w:t>
            </w:r>
          </w:p>
        </w:tc>
        <w:tc>
          <w:tcPr>
            <w:tcW w:w="616" w:type="dxa"/>
            <w:vAlign w:val="center"/>
          </w:tcPr>
          <w:p w:rsidR="00B414C1" w:rsidRDefault="00B414C1" w:rsidP="00B414C1">
            <w:pPr>
              <w:jc w:val="right"/>
              <w:rPr>
                <w:rFonts w:ascii="Calibri" w:hAnsi="Calibri"/>
                <w:color w:val="000000"/>
                <w:sz w:val="22"/>
              </w:rPr>
            </w:pPr>
            <w:r>
              <w:rPr>
                <w:rFonts w:ascii="Calibri" w:hAnsi="Calibri"/>
                <w:color w:val="000000"/>
                <w:sz w:val="22"/>
              </w:rPr>
              <w:t>73</w:t>
            </w:r>
          </w:p>
        </w:tc>
        <w:tc>
          <w:tcPr>
            <w:tcW w:w="616" w:type="dxa"/>
            <w:vAlign w:val="center"/>
          </w:tcPr>
          <w:p w:rsidR="00B414C1" w:rsidRDefault="00B414C1" w:rsidP="00B414C1">
            <w:pPr>
              <w:jc w:val="right"/>
              <w:rPr>
                <w:rFonts w:ascii="Calibri" w:hAnsi="Calibri"/>
                <w:color w:val="000000"/>
                <w:sz w:val="22"/>
              </w:rPr>
            </w:pPr>
            <w:r>
              <w:rPr>
                <w:rFonts w:ascii="Calibri" w:hAnsi="Calibri"/>
                <w:color w:val="000000"/>
                <w:sz w:val="22"/>
              </w:rPr>
              <w:t>73</w:t>
            </w:r>
          </w:p>
        </w:tc>
        <w:tc>
          <w:tcPr>
            <w:tcW w:w="616" w:type="dxa"/>
            <w:vAlign w:val="center"/>
          </w:tcPr>
          <w:p w:rsidR="00B414C1" w:rsidRDefault="00B414C1" w:rsidP="00B414C1">
            <w:pPr>
              <w:jc w:val="right"/>
              <w:rPr>
                <w:rFonts w:ascii="Calibri" w:hAnsi="Calibri"/>
                <w:color w:val="000000"/>
                <w:sz w:val="22"/>
              </w:rPr>
            </w:pPr>
            <w:r>
              <w:rPr>
                <w:rFonts w:ascii="Calibri" w:hAnsi="Calibri"/>
                <w:color w:val="000000"/>
                <w:sz w:val="22"/>
              </w:rPr>
              <w:t>73</w:t>
            </w:r>
          </w:p>
        </w:tc>
      </w:tr>
    </w:tbl>
    <w:p w:rsidR="00B414C1" w:rsidRDefault="00B414C1" w:rsidP="00B414C1">
      <w:pPr>
        <w:jc w:val="center"/>
        <w:rPr>
          <w:rFonts w:cs="Times New Roman"/>
          <w:b/>
          <w:szCs w:val="24"/>
        </w:rPr>
      </w:pPr>
    </w:p>
    <w:p w:rsidR="00EB6F1C" w:rsidRDefault="00EB6F1C" w:rsidP="00B414C1">
      <w:pPr>
        <w:rPr>
          <w:rFonts w:cs="Times New Roman"/>
          <w:szCs w:val="24"/>
          <w:u w:val="single"/>
        </w:rPr>
      </w:pPr>
    </w:p>
    <w:p w:rsidR="00EB6F1C" w:rsidRDefault="00EB6F1C" w:rsidP="00B414C1">
      <w:pPr>
        <w:rPr>
          <w:rFonts w:cs="Times New Roman"/>
          <w:szCs w:val="24"/>
          <w:u w:val="single"/>
        </w:rPr>
      </w:pPr>
    </w:p>
    <w:p w:rsidR="00B414C1" w:rsidRDefault="00B414C1" w:rsidP="00B414C1">
      <w:pPr>
        <w:rPr>
          <w:rFonts w:cs="Times New Roman"/>
          <w:szCs w:val="24"/>
          <w:u w:val="single"/>
        </w:rPr>
      </w:pPr>
      <w:r>
        <w:rPr>
          <w:rFonts w:cs="Times New Roman"/>
          <w:szCs w:val="24"/>
          <w:u w:val="single"/>
        </w:rPr>
        <w:t>Waste Heat to Power and Regenerative Technologies</w:t>
      </w:r>
    </w:p>
    <w:p w:rsidR="00B414C1" w:rsidRDefault="00B414C1" w:rsidP="00B414C1">
      <w:pPr>
        <w:rPr>
          <w:rFonts w:cs="Times New Roman"/>
          <w:szCs w:val="24"/>
        </w:rPr>
      </w:pPr>
      <w:r>
        <w:rPr>
          <w:rFonts w:cs="Times New Roman"/>
          <w:szCs w:val="24"/>
        </w:rPr>
        <w:t>The 2013 IRP Action Plan included a Company commitment to perform “</w:t>
      </w:r>
      <w:r w:rsidRPr="00D40854">
        <w:rPr>
          <w:rFonts w:cs="Times New Roman"/>
          <w:szCs w:val="24"/>
        </w:rPr>
        <w:t>an evaluation of waste heat to power where generation is used to offset</w:t>
      </w:r>
      <w:r>
        <w:rPr>
          <w:rFonts w:cs="Times New Roman"/>
          <w:szCs w:val="24"/>
        </w:rPr>
        <w:t xml:space="preserve"> </w:t>
      </w:r>
      <w:r w:rsidRPr="00D40854">
        <w:rPr>
          <w:rFonts w:cs="Times New Roman"/>
          <w:szCs w:val="24"/>
        </w:rPr>
        <w:t>customer requirements</w:t>
      </w:r>
      <w:r>
        <w:rPr>
          <w:rFonts w:cs="Times New Roman"/>
          <w:szCs w:val="24"/>
        </w:rPr>
        <w:t xml:space="preserve">”. The evaluation, performed by CLEAResult, was completed in mid-2014 and is included as </w:t>
      </w:r>
      <w:r w:rsidRPr="00627827">
        <w:rPr>
          <w:rFonts w:cs="Times New Roman"/>
          <w:szCs w:val="24"/>
        </w:rPr>
        <w:t xml:space="preserve">Appendix </w:t>
      </w:r>
      <w:r w:rsidR="006E32D5" w:rsidRPr="00627827">
        <w:rPr>
          <w:rFonts w:cs="Times New Roman"/>
          <w:szCs w:val="24"/>
        </w:rPr>
        <w:t>6</w:t>
      </w:r>
      <w:r w:rsidR="006E32D5" w:rsidRPr="00B61A9D">
        <w:rPr>
          <w:rFonts w:cs="Times New Roman"/>
          <w:szCs w:val="24"/>
        </w:rPr>
        <w:t xml:space="preserve"> </w:t>
      </w:r>
      <w:r w:rsidRPr="00B61A9D">
        <w:rPr>
          <w:rFonts w:cs="Times New Roman"/>
          <w:szCs w:val="24"/>
        </w:rPr>
        <w:t>to</w:t>
      </w:r>
      <w:r>
        <w:rPr>
          <w:rFonts w:cs="Times New Roman"/>
          <w:szCs w:val="24"/>
        </w:rPr>
        <w:t xml:space="preserve"> this document. The evaluation estimated the cost and available potential of the following technologies in each of the Company’s six states:</w:t>
      </w:r>
    </w:p>
    <w:p w:rsidR="00B414C1" w:rsidRDefault="00B414C1" w:rsidP="00B414C1">
      <w:pPr>
        <w:pStyle w:val="ListParagraph"/>
        <w:numPr>
          <w:ilvl w:val="0"/>
          <w:numId w:val="74"/>
        </w:numPr>
        <w:rPr>
          <w:rFonts w:cs="Times New Roman"/>
          <w:szCs w:val="24"/>
        </w:rPr>
      </w:pPr>
      <w:r>
        <w:rPr>
          <w:rFonts w:cs="Times New Roman"/>
          <w:szCs w:val="24"/>
        </w:rPr>
        <w:t>Waste Heat to Power</w:t>
      </w:r>
    </w:p>
    <w:p w:rsidR="00B414C1" w:rsidRDefault="00B414C1" w:rsidP="00B414C1">
      <w:pPr>
        <w:pStyle w:val="ListParagraph"/>
        <w:numPr>
          <w:ilvl w:val="1"/>
          <w:numId w:val="74"/>
        </w:numPr>
        <w:rPr>
          <w:rFonts w:cs="Times New Roman"/>
          <w:szCs w:val="24"/>
        </w:rPr>
      </w:pPr>
      <w:r>
        <w:rPr>
          <w:rFonts w:cs="Times New Roman"/>
          <w:szCs w:val="24"/>
        </w:rPr>
        <w:t>High Temperature Waste Heat Recovery</w:t>
      </w:r>
    </w:p>
    <w:p w:rsidR="00B414C1" w:rsidRDefault="00B414C1" w:rsidP="00B414C1">
      <w:pPr>
        <w:pStyle w:val="ListParagraph"/>
        <w:numPr>
          <w:ilvl w:val="1"/>
          <w:numId w:val="74"/>
        </w:numPr>
        <w:rPr>
          <w:rFonts w:cs="Times New Roman"/>
          <w:szCs w:val="24"/>
        </w:rPr>
      </w:pPr>
      <w:r>
        <w:rPr>
          <w:rFonts w:cs="Times New Roman"/>
          <w:szCs w:val="24"/>
        </w:rPr>
        <w:t>Organic Rankine Cycle (</w:t>
      </w:r>
      <w:r w:rsidR="00EB6F1C">
        <w:rPr>
          <w:rFonts w:cs="Times New Roman"/>
          <w:szCs w:val="24"/>
        </w:rPr>
        <w:t>“</w:t>
      </w:r>
      <w:r>
        <w:rPr>
          <w:rFonts w:cs="Times New Roman"/>
          <w:szCs w:val="24"/>
        </w:rPr>
        <w:t>ORC</w:t>
      </w:r>
      <w:r w:rsidR="00EB6F1C">
        <w:rPr>
          <w:rFonts w:cs="Times New Roman"/>
          <w:szCs w:val="24"/>
        </w:rPr>
        <w:t>”</w:t>
      </w:r>
      <w:r>
        <w:rPr>
          <w:rFonts w:cs="Times New Roman"/>
          <w:szCs w:val="24"/>
        </w:rPr>
        <w:t>)</w:t>
      </w:r>
    </w:p>
    <w:p w:rsidR="00B414C1" w:rsidRDefault="00B414C1" w:rsidP="00B414C1">
      <w:pPr>
        <w:pStyle w:val="ListParagraph"/>
        <w:numPr>
          <w:ilvl w:val="1"/>
          <w:numId w:val="74"/>
        </w:numPr>
        <w:rPr>
          <w:rFonts w:cs="Times New Roman"/>
          <w:szCs w:val="24"/>
        </w:rPr>
      </w:pPr>
      <w:r>
        <w:rPr>
          <w:rFonts w:cs="Times New Roman"/>
          <w:szCs w:val="24"/>
        </w:rPr>
        <w:t>Steam Power Generation Optimization</w:t>
      </w:r>
    </w:p>
    <w:p w:rsidR="00B414C1" w:rsidRDefault="00B414C1" w:rsidP="00B414C1">
      <w:pPr>
        <w:pStyle w:val="ListParagraph"/>
        <w:numPr>
          <w:ilvl w:val="0"/>
          <w:numId w:val="74"/>
        </w:numPr>
        <w:rPr>
          <w:rFonts w:cs="Times New Roman"/>
          <w:szCs w:val="24"/>
        </w:rPr>
      </w:pPr>
      <w:r>
        <w:rPr>
          <w:rFonts w:cs="Times New Roman"/>
          <w:szCs w:val="24"/>
        </w:rPr>
        <w:t>Regenerative Braking</w:t>
      </w:r>
    </w:p>
    <w:p w:rsidR="00B414C1" w:rsidRDefault="00B414C1" w:rsidP="00B414C1">
      <w:pPr>
        <w:pStyle w:val="ListParagraph"/>
        <w:numPr>
          <w:ilvl w:val="1"/>
          <w:numId w:val="74"/>
        </w:numPr>
        <w:rPr>
          <w:rFonts w:cs="Times New Roman"/>
          <w:szCs w:val="24"/>
        </w:rPr>
      </w:pPr>
      <w:r>
        <w:rPr>
          <w:rFonts w:cs="Times New Roman"/>
          <w:szCs w:val="24"/>
        </w:rPr>
        <w:t>Elevators</w:t>
      </w:r>
    </w:p>
    <w:p w:rsidR="00B414C1" w:rsidRDefault="00B414C1" w:rsidP="00B414C1">
      <w:pPr>
        <w:pStyle w:val="ListParagraph"/>
        <w:numPr>
          <w:ilvl w:val="1"/>
          <w:numId w:val="74"/>
        </w:numPr>
        <w:rPr>
          <w:rFonts w:cs="Times New Roman"/>
          <w:szCs w:val="24"/>
        </w:rPr>
      </w:pPr>
      <w:r>
        <w:rPr>
          <w:rFonts w:cs="Times New Roman"/>
          <w:szCs w:val="24"/>
        </w:rPr>
        <w:t>Internal Conveyors</w:t>
      </w:r>
    </w:p>
    <w:p w:rsidR="00B414C1" w:rsidRPr="0037414F" w:rsidRDefault="00B414C1" w:rsidP="00B414C1">
      <w:pPr>
        <w:pStyle w:val="ListParagraph"/>
        <w:numPr>
          <w:ilvl w:val="0"/>
          <w:numId w:val="74"/>
        </w:numPr>
        <w:rPr>
          <w:rFonts w:cs="Times New Roman"/>
          <w:szCs w:val="24"/>
        </w:rPr>
      </w:pPr>
      <w:r>
        <w:rPr>
          <w:rFonts w:cs="Times New Roman"/>
          <w:szCs w:val="24"/>
        </w:rPr>
        <w:t>Micro Hydro</w:t>
      </w:r>
    </w:p>
    <w:p w:rsidR="00B414C1" w:rsidRDefault="00B414C1" w:rsidP="00B414C1">
      <w:pPr>
        <w:rPr>
          <w:rFonts w:cs="Times New Roman"/>
          <w:szCs w:val="24"/>
          <w:u w:val="single"/>
        </w:rPr>
      </w:pPr>
    </w:p>
    <w:p w:rsidR="00B414C1" w:rsidRDefault="00B414C1" w:rsidP="00B414C1">
      <w:pPr>
        <w:rPr>
          <w:rFonts w:cs="Times New Roman"/>
          <w:szCs w:val="24"/>
        </w:rPr>
      </w:pPr>
      <w:r>
        <w:rPr>
          <w:rFonts w:cs="Times New Roman"/>
          <w:szCs w:val="24"/>
        </w:rPr>
        <w:t>The evaluation identified available potential in Washington for ORC, steam power generation optimization, and elevator regeneration in Washington at the levels and levelized costs shown in Table A4-9. Because the levelized cost of elevator regeneration is higher than Class 2 DSM resources selected by the 2015 IRP, only the potential of ORC and Steam System Optimization were added to the conservation forecast.</w:t>
      </w:r>
    </w:p>
    <w:p w:rsidR="00B414C1" w:rsidRDefault="00B414C1" w:rsidP="00B414C1">
      <w:pPr>
        <w:rPr>
          <w:rFonts w:cs="Times New Roman"/>
          <w:szCs w:val="24"/>
        </w:rPr>
      </w:pPr>
    </w:p>
    <w:p w:rsidR="00B414C1" w:rsidRPr="000E395F" w:rsidRDefault="00B414C1" w:rsidP="00B414C1">
      <w:pPr>
        <w:jc w:val="center"/>
        <w:rPr>
          <w:rFonts w:cs="Times New Roman"/>
          <w:b/>
          <w:szCs w:val="24"/>
        </w:rPr>
      </w:pPr>
      <w:r>
        <w:rPr>
          <w:rFonts w:cs="Times New Roman"/>
          <w:szCs w:val="24"/>
        </w:rPr>
        <w:t xml:space="preserve"> </w:t>
      </w:r>
      <w:r w:rsidRPr="000E395F">
        <w:rPr>
          <w:rFonts w:cs="Times New Roman"/>
          <w:b/>
          <w:szCs w:val="24"/>
        </w:rPr>
        <w:t>Table A4-</w:t>
      </w:r>
      <w:r>
        <w:rPr>
          <w:rFonts w:cs="Times New Roman"/>
          <w:b/>
          <w:szCs w:val="24"/>
        </w:rPr>
        <w:t>9</w:t>
      </w:r>
    </w:p>
    <w:p w:rsidR="00B414C1" w:rsidRDefault="00B414C1" w:rsidP="00B414C1">
      <w:pPr>
        <w:jc w:val="center"/>
        <w:rPr>
          <w:rFonts w:cs="Times New Roman"/>
          <w:b/>
          <w:szCs w:val="24"/>
        </w:rPr>
      </w:pPr>
      <w:r>
        <w:rPr>
          <w:rFonts w:cs="Times New Roman"/>
          <w:b/>
          <w:szCs w:val="24"/>
        </w:rPr>
        <w:t xml:space="preserve">Potential and Cost for </w:t>
      </w:r>
      <w:r w:rsidRPr="00183098">
        <w:rPr>
          <w:rFonts w:cs="Times New Roman"/>
          <w:b/>
          <w:szCs w:val="24"/>
        </w:rPr>
        <w:t>Waste Heat to Pow</w:t>
      </w:r>
      <w:r>
        <w:rPr>
          <w:rFonts w:cs="Times New Roman"/>
          <w:b/>
          <w:szCs w:val="24"/>
        </w:rPr>
        <w:t>er and Regenerative Technology</w:t>
      </w:r>
    </w:p>
    <w:tbl>
      <w:tblPr>
        <w:tblW w:w="8575" w:type="dxa"/>
        <w:jc w:val="center"/>
        <w:tblInd w:w="3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21"/>
        <w:gridCol w:w="939"/>
        <w:gridCol w:w="2796"/>
        <w:gridCol w:w="2319"/>
      </w:tblGrid>
      <w:tr w:rsidR="00B414C1" w:rsidRPr="00432C28" w:rsidTr="00B414C1">
        <w:trPr>
          <w:trHeight w:val="84"/>
          <w:jc w:val="center"/>
        </w:trPr>
        <w:tc>
          <w:tcPr>
            <w:tcW w:w="2521" w:type="dxa"/>
            <w:vAlign w:val="bottom"/>
          </w:tcPr>
          <w:p w:rsidR="00B414C1" w:rsidRDefault="00B414C1" w:rsidP="00B414C1">
            <w:pPr>
              <w:rPr>
                <w:rFonts w:ascii="Calibri" w:hAnsi="Calibri"/>
                <w:color w:val="000000"/>
                <w:sz w:val="22"/>
              </w:rPr>
            </w:pPr>
          </w:p>
        </w:tc>
        <w:tc>
          <w:tcPr>
            <w:tcW w:w="939" w:type="dxa"/>
            <w:vAlign w:val="bottom"/>
          </w:tcPr>
          <w:p w:rsidR="00B414C1" w:rsidRDefault="00B414C1" w:rsidP="00B414C1">
            <w:pPr>
              <w:jc w:val="center"/>
              <w:rPr>
                <w:rFonts w:ascii="Calibri" w:hAnsi="Calibri"/>
                <w:color w:val="000000"/>
                <w:sz w:val="22"/>
              </w:rPr>
            </w:pPr>
            <w:r>
              <w:rPr>
                <w:rFonts w:ascii="Calibri" w:hAnsi="Calibri"/>
                <w:color w:val="000000"/>
                <w:sz w:val="22"/>
              </w:rPr>
              <w:t>ORC</w:t>
            </w:r>
          </w:p>
        </w:tc>
        <w:tc>
          <w:tcPr>
            <w:tcW w:w="2796" w:type="dxa"/>
            <w:vAlign w:val="bottom"/>
          </w:tcPr>
          <w:p w:rsidR="00B414C1" w:rsidRDefault="00B414C1" w:rsidP="00B414C1">
            <w:pPr>
              <w:jc w:val="center"/>
              <w:rPr>
                <w:rFonts w:ascii="Calibri" w:hAnsi="Calibri"/>
                <w:color w:val="000000"/>
                <w:sz w:val="22"/>
              </w:rPr>
            </w:pPr>
            <w:r>
              <w:rPr>
                <w:rFonts w:ascii="Calibri" w:hAnsi="Calibri"/>
                <w:color w:val="000000"/>
                <w:sz w:val="22"/>
              </w:rPr>
              <w:t>Steam System Optimization</w:t>
            </w:r>
          </w:p>
        </w:tc>
        <w:tc>
          <w:tcPr>
            <w:tcW w:w="2319" w:type="dxa"/>
            <w:vAlign w:val="bottom"/>
          </w:tcPr>
          <w:p w:rsidR="00B414C1" w:rsidRDefault="00B414C1" w:rsidP="00B414C1">
            <w:pPr>
              <w:jc w:val="center"/>
              <w:rPr>
                <w:rFonts w:ascii="Calibri" w:hAnsi="Calibri"/>
                <w:color w:val="000000"/>
                <w:sz w:val="22"/>
              </w:rPr>
            </w:pPr>
            <w:r>
              <w:rPr>
                <w:rFonts w:ascii="Calibri" w:hAnsi="Calibri"/>
                <w:color w:val="000000"/>
                <w:sz w:val="22"/>
              </w:rPr>
              <w:t>Elevator Regeneration</w:t>
            </w:r>
          </w:p>
        </w:tc>
      </w:tr>
      <w:tr w:rsidR="00B414C1" w:rsidRPr="00432C28" w:rsidTr="00B414C1">
        <w:trPr>
          <w:trHeight w:val="66"/>
          <w:jc w:val="center"/>
        </w:trPr>
        <w:tc>
          <w:tcPr>
            <w:tcW w:w="2521" w:type="dxa"/>
            <w:vAlign w:val="bottom"/>
          </w:tcPr>
          <w:p w:rsidR="00B414C1" w:rsidRDefault="00B414C1" w:rsidP="00B414C1">
            <w:pPr>
              <w:jc w:val="left"/>
              <w:rPr>
                <w:rFonts w:ascii="Calibri" w:hAnsi="Calibri"/>
                <w:color w:val="000000"/>
                <w:sz w:val="22"/>
              </w:rPr>
            </w:pPr>
            <w:r>
              <w:rPr>
                <w:rFonts w:ascii="Calibri" w:hAnsi="Calibri"/>
                <w:color w:val="000000"/>
                <w:sz w:val="22"/>
              </w:rPr>
              <w:t>Levelized Cost ($/ MWh)</w:t>
            </w:r>
          </w:p>
        </w:tc>
        <w:tc>
          <w:tcPr>
            <w:tcW w:w="939" w:type="dxa"/>
            <w:vAlign w:val="bottom"/>
          </w:tcPr>
          <w:p w:rsidR="00B414C1" w:rsidRDefault="00B414C1" w:rsidP="00B414C1">
            <w:pPr>
              <w:jc w:val="right"/>
              <w:rPr>
                <w:rFonts w:ascii="Calibri" w:hAnsi="Calibri"/>
                <w:color w:val="000000"/>
                <w:sz w:val="22"/>
              </w:rPr>
            </w:pPr>
            <w:r>
              <w:rPr>
                <w:rFonts w:ascii="Calibri" w:hAnsi="Calibri"/>
                <w:color w:val="000000"/>
                <w:sz w:val="22"/>
              </w:rPr>
              <w:t>$66.21</w:t>
            </w:r>
          </w:p>
        </w:tc>
        <w:tc>
          <w:tcPr>
            <w:tcW w:w="2796" w:type="dxa"/>
            <w:vAlign w:val="bottom"/>
          </w:tcPr>
          <w:p w:rsidR="00B414C1" w:rsidRDefault="00B414C1" w:rsidP="00B414C1">
            <w:pPr>
              <w:jc w:val="right"/>
              <w:rPr>
                <w:rFonts w:ascii="Calibri" w:hAnsi="Calibri"/>
                <w:color w:val="000000"/>
                <w:sz w:val="22"/>
              </w:rPr>
            </w:pPr>
            <w:r>
              <w:rPr>
                <w:rFonts w:ascii="Calibri" w:hAnsi="Calibri"/>
                <w:color w:val="000000"/>
                <w:sz w:val="22"/>
              </w:rPr>
              <w:t>$11.96</w:t>
            </w:r>
          </w:p>
        </w:tc>
        <w:tc>
          <w:tcPr>
            <w:tcW w:w="2319" w:type="dxa"/>
            <w:vAlign w:val="bottom"/>
          </w:tcPr>
          <w:p w:rsidR="00B414C1" w:rsidRDefault="00B414C1" w:rsidP="00B414C1">
            <w:pPr>
              <w:jc w:val="right"/>
              <w:rPr>
                <w:rFonts w:ascii="Calibri" w:hAnsi="Calibri"/>
                <w:color w:val="000000"/>
                <w:sz w:val="22"/>
              </w:rPr>
            </w:pPr>
            <w:r>
              <w:rPr>
                <w:rFonts w:ascii="Calibri" w:hAnsi="Calibri"/>
                <w:color w:val="000000"/>
                <w:sz w:val="22"/>
              </w:rPr>
              <w:t>$145.01</w:t>
            </w:r>
          </w:p>
        </w:tc>
      </w:tr>
      <w:tr w:rsidR="00B414C1" w:rsidRPr="00432C28" w:rsidTr="00B414C1">
        <w:trPr>
          <w:trHeight w:val="66"/>
          <w:jc w:val="center"/>
        </w:trPr>
        <w:tc>
          <w:tcPr>
            <w:tcW w:w="8575" w:type="dxa"/>
            <w:gridSpan w:val="4"/>
            <w:vAlign w:val="bottom"/>
          </w:tcPr>
          <w:p w:rsidR="00B414C1" w:rsidRDefault="00B414C1" w:rsidP="00B414C1">
            <w:pPr>
              <w:jc w:val="center"/>
              <w:rPr>
                <w:rFonts w:ascii="Calibri" w:hAnsi="Calibri"/>
                <w:color w:val="000000"/>
                <w:sz w:val="22"/>
              </w:rPr>
            </w:pPr>
            <w:r>
              <w:rPr>
                <w:rFonts w:ascii="Calibri" w:hAnsi="Calibri"/>
                <w:color w:val="000000"/>
                <w:sz w:val="22"/>
              </w:rPr>
              <w:t>Magnitude of Opportunity (MWh)</w:t>
            </w:r>
          </w:p>
        </w:tc>
      </w:tr>
      <w:tr w:rsidR="00B414C1" w:rsidRPr="00432C28" w:rsidTr="00B414C1">
        <w:trPr>
          <w:trHeight w:val="66"/>
          <w:jc w:val="center"/>
        </w:trPr>
        <w:tc>
          <w:tcPr>
            <w:tcW w:w="2521" w:type="dxa"/>
            <w:vAlign w:val="bottom"/>
          </w:tcPr>
          <w:p w:rsidR="00B414C1" w:rsidRDefault="00B414C1" w:rsidP="00B414C1">
            <w:pPr>
              <w:jc w:val="right"/>
              <w:rPr>
                <w:rFonts w:ascii="Calibri" w:hAnsi="Calibri"/>
                <w:color w:val="000000"/>
                <w:sz w:val="22"/>
              </w:rPr>
            </w:pPr>
            <w:r>
              <w:rPr>
                <w:rFonts w:ascii="Calibri" w:hAnsi="Calibri"/>
                <w:color w:val="000000"/>
                <w:sz w:val="22"/>
              </w:rPr>
              <w:t>2016</w:t>
            </w:r>
          </w:p>
        </w:tc>
        <w:tc>
          <w:tcPr>
            <w:tcW w:w="939" w:type="dxa"/>
            <w:vAlign w:val="bottom"/>
          </w:tcPr>
          <w:p w:rsidR="00B414C1" w:rsidRDefault="00B414C1" w:rsidP="00B414C1">
            <w:pPr>
              <w:jc w:val="right"/>
              <w:rPr>
                <w:rFonts w:ascii="Calibri" w:hAnsi="Calibri"/>
                <w:color w:val="000000"/>
                <w:sz w:val="22"/>
              </w:rPr>
            </w:pPr>
          </w:p>
        </w:tc>
        <w:tc>
          <w:tcPr>
            <w:tcW w:w="2796" w:type="dxa"/>
            <w:vAlign w:val="bottom"/>
          </w:tcPr>
          <w:p w:rsidR="00B414C1" w:rsidRDefault="00B414C1" w:rsidP="00B414C1">
            <w:pPr>
              <w:jc w:val="right"/>
              <w:rPr>
                <w:rFonts w:ascii="Calibri" w:hAnsi="Calibri"/>
                <w:color w:val="000000"/>
                <w:sz w:val="22"/>
              </w:rPr>
            </w:pPr>
          </w:p>
        </w:tc>
        <w:tc>
          <w:tcPr>
            <w:tcW w:w="2319" w:type="dxa"/>
            <w:vAlign w:val="bottom"/>
          </w:tcPr>
          <w:p w:rsidR="00B414C1" w:rsidRDefault="00B414C1" w:rsidP="00B414C1">
            <w:pPr>
              <w:jc w:val="right"/>
              <w:rPr>
                <w:rFonts w:ascii="Calibri" w:hAnsi="Calibri"/>
                <w:color w:val="000000"/>
                <w:sz w:val="22"/>
              </w:rPr>
            </w:pPr>
            <w:r>
              <w:rPr>
                <w:rFonts w:ascii="Calibri" w:hAnsi="Calibri"/>
                <w:color w:val="000000"/>
                <w:sz w:val="22"/>
              </w:rPr>
              <w:t>47</w:t>
            </w:r>
          </w:p>
        </w:tc>
      </w:tr>
      <w:tr w:rsidR="00B414C1" w:rsidRPr="00432C28" w:rsidTr="00B414C1">
        <w:trPr>
          <w:trHeight w:val="66"/>
          <w:jc w:val="center"/>
        </w:trPr>
        <w:tc>
          <w:tcPr>
            <w:tcW w:w="2521" w:type="dxa"/>
            <w:vAlign w:val="bottom"/>
          </w:tcPr>
          <w:p w:rsidR="00B414C1" w:rsidRDefault="00B414C1" w:rsidP="00B414C1">
            <w:pPr>
              <w:jc w:val="right"/>
              <w:rPr>
                <w:rFonts w:ascii="Calibri" w:hAnsi="Calibri"/>
                <w:color w:val="000000"/>
                <w:sz w:val="22"/>
              </w:rPr>
            </w:pPr>
            <w:r>
              <w:rPr>
                <w:rFonts w:ascii="Calibri" w:hAnsi="Calibri"/>
                <w:color w:val="000000"/>
                <w:sz w:val="22"/>
              </w:rPr>
              <w:t>2017</w:t>
            </w:r>
          </w:p>
        </w:tc>
        <w:tc>
          <w:tcPr>
            <w:tcW w:w="939" w:type="dxa"/>
            <w:vAlign w:val="bottom"/>
          </w:tcPr>
          <w:p w:rsidR="00B414C1" w:rsidRDefault="00B414C1" w:rsidP="00B414C1">
            <w:pPr>
              <w:jc w:val="right"/>
              <w:rPr>
                <w:rFonts w:ascii="Calibri" w:hAnsi="Calibri"/>
                <w:color w:val="000000"/>
                <w:sz w:val="22"/>
              </w:rPr>
            </w:pPr>
          </w:p>
        </w:tc>
        <w:tc>
          <w:tcPr>
            <w:tcW w:w="2796" w:type="dxa"/>
            <w:vAlign w:val="bottom"/>
          </w:tcPr>
          <w:p w:rsidR="00B414C1" w:rsidRDefault="00B414C1" w:rsidP="00B414C1">
            <w:pPr>
              <w:jc w:val="right"/>
              <w:rPr>
                <w:rFonts w:ascii="Calibri" w:hAnsi="Calibri"/>
                <w:color w:val="000000"/>
                <w:sz w:val="22"/>
              </w:rPr>
            </w:pPr>
          </w:p>
        </w:tc>
        <w:tc>
          <w:tcPr>
            <w:tcW w:w="2319" w:type="dxa"/>
            <w:vAlign w:val="bottom"/>
          </w:tcPr>
          <w:p w:rsidR="00B414C1" w:rsidRDefault="00B414C1" w:rsidP="00B414C1">
            <w:pPr>
              <w:jc w:val="right"/>
              <w:rPr>
                <w:rFonts w:ascii="Calibri" w:hAnsi="Calibri"/>
                <w:color w:val="000000"/>
                <w:sz w:val="22"/>
              </w:rPr>
            </w:pPr>
            <w:r>
              <w:rPr>
                <w:rFonts w:ascii="Calibri" w:hAnsi="Calibri"/>
                <w:color w:val="000000"/>
                <w:sz w:val="22"/>
              </w:rPr>
              <w:t>31</w:t>
            </w:r>
          </w:p>
        </w:tc>
      </w:tr>
      <w:tr w:rsidR="00B414C1" w:rsidRPr="00432C28" w:rsidTr="00B414C1">
        <w:trPr>
          <w:trHeight w:val="66"/>
          <w:jc w:val="center"/>
        </w:trPr>
        <w:tc>
          <w:tcPr>
            <w:tcW w:w="2521" w:type="dxa"/>
            <w:vAlign w:val="bottom"/>
          </w:tcPr>
          <w:p w:rsidR="00B414C1" w:rsidRDefault="00B414C1" w:rsidP="00B414C1">
            <w:pPr>
              <w:jc w:val="right"/>
              <w:rPr>
                <w:rFonts w:ascii="Calibri" w:hAnsi="Calibri"/>
                <w:color w:val="000000"/>
                <w:sz w:val="22"/>
              </w:rPr>
            </w:pPr>
            <w:r>
              <w:rPr>
                <w:rFonts w:ascii="Calibri" w:hAnsi="Calibri"/>
                <w:color w:val="000000"/>
                <w:sz w:val="22"/>
              </w:rPr>
              <w:t>2018</w:t>
            </w:r>
          </w:p>
        </w:tc>
        <w:tc>
          <w:tcPr>
            <w:tcW w:w="939" w:type="dxa"/>
            <w:vAlign w:val="bottom"/>
          </w:tcPr>
          <w:p w:rsidR="00B414C1" w:rsidRDefault="00B414C1" w:rsidP="00B414C1">
            <w:pPr>
              <w:jc w:val="right"/>
              <w:rPr>
                <w:rFonts w:ascii="Calibri" w:hAnsi="Calibri"/>
                <w:color w:val="000000"/>
                <w:sz w:val="22"/>
              </w:rPr>
            </w:pPr>
          </w:p>
        </w:tc>
        <w:tc>
          <w:tcPr>
            <w:tcW w:w="2796" w:type="dxa"/>
            <w:vAlign w:val="bottom"/>
          </w:tcPr>
          <w:p w:rsidR="00B414C1" w:rsidRDefault="00B414C1" w:rsidP="00B414C1">
            <w:pPr>
              <w:jc w:val="right"/>
              <w:rPr>
                <w:rFonts w:ascii="Calibri" w:hAnsi="Calibri"/>
                <w:color w:val="000000"/>
                <w:sz w:val="22"/>
              </w:rPr>
            </w:pPr>
          </w:p>
        </w:tc>
        <w:tc>
          <w:tcPr>
            <w:tcW w:w="2319" w:type="dxa"/>
            <w:vAlign w:val="bottom"/>
          </w:tcPr>
          <w:p w:rsidR="00B414C1" w:rsidRDefault="00B414C1" w:rsidP="00B414C1">
            <w:pPr>
              <w:jc w:val="right"/>
              <w:rPr>
                <w:rFonts w:ascii="Calibri" w:hAnsi="Calibri"/>
                <w:color w:val="000000"/>
                <w:sz w:val="22"/>
              </w:rPr>
            </w:pPr>
            <w:r>
              <w:rPr>
                <w:rFonts w:ascii="Calibri" w:hAnsi="Calibri"/>
                <w:color w:val="000000"/>
                <w:sz w:val="22"/>
              </w:rPr>
              <w:t>47</w:t>
            </w:r>
          </w:p>
        </w:tc>
      </w:tr>
      <w:tr w:rsidR="00B414C1" w:rsidRPr="00432C28" w:rsidTr="00B414C1">
        <w:trPr>
          <w:trHeight w:val="66"/>
          <w:jc w:val="center"/>
        </w:trPr>
        <w:tc>
          <w:tcPr>
            <w:tcW w:w="2521" w:type="dxa"/>
            <w:vAlign w:val="bottom"/>
          </w:tcPr>
          <w:p w:rsidR="00B414C1" w:rsidRDefault="00B414C1" w:rsidP="00B414C1">
            <w:pPr>
              <w:jc w:val="right"/>
              <w:rPr>
                <w:rFonts w:ascii="Calibri" w:hAnsi="Calibri"/>
                <w:color w:val="000000"/>
                <w:sz w:val="22"/>
              </w:rPr>
            </w:pPr>
            <w:r>
              <w:rPr>
                <w:rFonts w:ascii="Calibri" w:hAnsi="Calibri"/>
                <w:color w:val="000000"/>
                <w:sz w:val="22"/>
              </w:rPr>
              <w:t>2019</w:t>
            </w:r>
          </w:p>
        </w:tc>
        <w:tc>
          <w:tcPr>
            <w:tcW w:w="939" w:type="dxa"/>
            <w:vAlign w:val="bottom"/>
          </w:tcPr>
          <w:p w:rsidR="00B414C1" w:rsidRDefault="00B414C1" w:rsidP="00B414C1">
            <w:pPr>
              <w:jc w:val="right"/>
              <w:rPr>
                <w:rFonts w:ascii="Calibri" w:hAnsi="Calibri"/>
                <w:color w:val="000000"/>
                <w:sz w:val="22"/>
              </w:rPr>
            </w:pPr>
          </w:p>
        </w:tc>
        <w:tc>
          <w:tcPr>
            <w:tcW w:w="2796" w:type="dxa"/>
            <w:vAlign w:val="bottom"/>
          </w:tcPr>
          <w:p w:rsidR="00B414C1" w:rsidRDefault="00B414C1" w:rsidP="00B414C1">
            <w:pPr>
              <w:jc w:val="right"/>
              <w:rPr>
                <w:rFonts w:ascii="Calibri" w:hAnsi="Calibri"/>
                <w:color w:val="000000"/>
                <w:sz w:val="22"/>
              </w:rPr>
            </w:pPr>
            <w:r>
              <w:rPr>
                <w:rFonts w:ascii="Calibri" w:hAnsi="Calibri"/>
                <w:color w:val="000000"/>
                <w:sz w:val="22"/>
              </w:rPr>
              <w:t>4,199</w:t>
            </w:r>
          </w:p>
        </w:tc>
        <w:tc>
          <w:tcPr>
            <w:tcW w:w="2319" w:type="dxa"/>
            <w:vAlign w:val="bottom"/>
          </w:tcPr>
          <w:p w:rsidR="00B414C1" w:rsidRDefault="00B414C1" w:rsidP="00B414C1">
            <w:pPr>
              <w:jc w:val="right"/>
              <w:rPr>
                <w:rFonts w:ascii="Calibri" w:hAnsi="Calibri"/>
                <w:color w:val="000000"/>
                <w:sz w:val="22"/>
              </w:rPr>
            </w:pPr>
            <w:r>
              <w:rPr>
                <w:rFonts w:ascii="Calibri" w:hAnsi="Calibri"/>
                <w:color w:val="000000"/>
                <w:sz w:val="22"/>
              </w:rPr>
              <w:t>31</w:t>
            </w:r>
          </w:p>
        </w:tc>
      </w:tr>
      <w:tr w:rsidR="00B414C1" w:rsidRPr="00432C28" w:rsidTr="00B414C1">
        <w:trPr>
          <w:trHeight w:val="66"/>
          <w:jc w:val="center"/>
        </w:trPr>
        <w:tc>
          <w:tcPr>
            <w:tcW w:w="2521" w:type="dxa"/>
            <w:vAlign w:val="bottom"/>
          </w:tcPr>
          <w:p w:rsidR="00B414C1" w:rsidRDefault="00B414C1" w:rsidP="00B414C1">
            <w:pPr>
              <w:jc w:val="right"/>
              <w:rPr>
                <w:rFonts w:ascii="Calibri" w:hAnsi="Calibri"/>
                <w:color w:val="000000"/>
                <w:sz w:val="22"/>
              </w:rPr>
            </w:pPr>
            <w:r>
              <w:rPr>
                <w:rFonts w:ascii="Calibri" w:hAnsi="Calibri"/>
                <w:color w:val="000000"/>
                <w:sz w:val="22"/>
              </w:rPr>
              <w:t>2020</w:t>
            </w:r>
          </w:p>
        </w:tc>
        <w:tc>
          <w:tcPr>
            <w:tcW w:w="939" w:type="dxa"/>
            <w:vAlign w:val="bottom"/>
          </w:tcPr>
          <w:p w:rsidR="00B414C1" w:rsidRDefault="00B414C1" w:rsidP="00B414C1">
            <w:pPr>
              <w:jc w:val="right"/>
              <w:rPr>
                <w:rFonts w:ascii="Calibri" w:hAnsi="Calibri"/>
                <w:color w:val="000000"/>
                <w:sz w:val="22"/>
              </w:rPr>
            </w:pPr>
            <w:r>
              <w:rPr>
                <w:rFonts w:ascii="Calibri" w:hAnsi="Calibri"/>
                <w:color w:val="000000"/>
                <w:sz w:val="22"/>
              </w:rPr>
              <w:t>3,338</w:t>
            </w:r>
          </w:p>
        </w:tc>
        <w:tc>
          <w:tcPr>
            <w:tcW w:w="2796" w:type="dxa"/>
            <w:vAlign w:val="bottom"/>
          </w:tcPr>
          <w:p w:rsidR="00B414C1" w:rsidRDefault="00B414C1" w:rsidP="00B414C1">
            <w:pPr>
              <w:jc w:val="right"/>
              <w:rPr>
                <w:rFonts w:ascii="Calibri" w:hAnsi="Calibri"/>
                <w:color w:val="000000"/>
                <w:sz w:val="22"/>
              </w:rPr>
            </w:pPr>
          </w:p>
        </w:tc>
        <w:tc>
          <w:tcPr>
            <w:tcW w:w="2319" w:type="dxa"/>
            <w:vAlign w:val="bottom"/>
          </w:tcPr>
          <w:p w:rsidR="00B414C1" w:rsidRDefault="00B414C1" w:rsidP="00B414C1">
            <w:pPr>
              <w:jc w:val="right"/>
              <w:rPr>
                <w:rFonts w:ascii="Calibri" w:hAnsi="Calibri"/>
                <w:color w:val="000000"/>
                <w:sz w:val="22"/>
              </w:rPr>
            </w:pPr>
            <w:r>
              <w:rPr>
                <w:rFonts w:ascii="Calibri" w:hAnsi="Calibri"/>
                <w:color w:val="000000"/>
                <w:sz w:val="22"/>
              </w:rPr>
              <w:t>47</w:t>
            </w:r>
          </w:p>
        </w:tc>
      </w:tr>
      <w:tr w:rsidR="00B414C1" w:rsidRPr="00432C28" w:rsidTr="00B414C1">
        <w:trPr>
          <w:trHeight w:val="66"/>
          <w:jc w:val="center"/>
        </w:trPr>
        <w:tc>
          <w:tcPr>
            <w:tcW w:w="2521" w:type="dxa"/>
            <w:vAlign w:val="bottom"/>
          </w:tcPr>
          <w:p w:rsidR="00B414C1" w:rsidRDefault="00B414C1" w:rsidP="00B414C1">
            <w:pPr>
              <w:jc w:val="right"/>
              <w:rPr>
                <w:rFonts w:ascii="Calibri" w:hAnsi="Calibri"/>
                <w:color w:val="000000"/>
                <w:sz w:val="22"/>
              </w:rPr>
            </w:pPr>
            <w:r>
              <w:rPr>
                <w:rFonts w:ascii="Calibri" w:hAnsi="Calibri"/>
                <w:color w:val="000000"/>
                <w:sz w:val="22"/>
              </w:rPr>
              <w:t>2021</w:t>
            </w:r>
          </w:p>
        </w:tc>
        <w:tc>
          <w:tcPr>
            <w:tcW w:w="939" w:type="dxa"/>
            <w:vAlign w:val="bottom"/>
          </w:tcPr>
          <w:p w:rsidR="00B414C1" w:rsidRDefault="00B414C1" w:rsidP="00B414C1">
            <w:pPr>
              <w:jc w:val="right"/>
              <w:rPr>
                <w:rFonts w:ascii="Calibri" w:hAnsi="Calibri"/>
                <w:color w:val="000000"/>
                <w:sz w:val="22"/>
              </w:rPr>
            </w:pPr>
          </w:p>
        </w:tc>
        <w:tc>
          <w:tcPr>
            <w:tcW w:w="2796" w:type="dxa"/>
            <w:vAlign w:val="bottom"/>
          </w:tcPr>
          <w:p w:rsidR="00B414C1" w:rsidRDefault="00B414C1" w:rsidP="00B414C1">
            <w:pPr>
              <w:jc w:val="right"/>
              <w:rPr>
                <w:rFonts w:ascii="Calibri" w:hAnsi="Calibri"/>
                <w:color w:val="000000"/>
                <w:sz w:val="22"/>
              </w:rPr>
            </w:pPr>
          </w:p>
        </w:tc>
        <w:tc>
          <w:tcPr>
            <w:tcW w:w="2319" w:type="dxa"/>
            <w:vAlign w:val="bottom"/>
          </w:tcPr>
          <w:p w:rsidR="00B414C1" w:rsidRDefault="00B414C1" w:rsidP="00B414C1">
            <w:pPr>
              <w:jc w:val="right"/>
              <w:rPr>
                <w:rFonts w:ascii="Calibri" w:hAnsi="Calibri"/>
                <w:color w:val="000000"/>
                <w:sz w:val="22"/>
              </w:rPr>
            </w:pPr>
            <w:r>
              <w:rPr>
                <w:rFonts w:ascii="Calibri" w:hAnsi="Calibri"/>
                <w:color w:val="000000"/>
                <w:sz w:val="22"/>
              </w:rPr>
              <w:t>31</w:t>
            </w:r>
          </w:p>
        </w:tc>
      </w:tr>
      <w:tr w:rsidR="00B414C1" w:rsidRPr="00432C28" w:rsidTr="00B414C1">
        <w:trPr>
          <w:trHeight w:val="66"/>
          <w:jc w:val="center"/>
        </w:trPr>
        <w:tc>
          <w:tcPr>
            <w:tcW w:w="2521" w:type="dxa"/>
            <w:vAlign w:val="bottom"/>
          </w:tcPr>
          <w:p w:rsidR="00B414C1" w:rsidRDefault="00B414C1" w:rsidP="00B414C1">
            <w:pPr>
              <w:jc w:val="right"/>
              <w:rPr>
                <w:rFonts w:ascii="Calibri" w:hAnsi="Calibri"/>
                <w:color w:val="000000"/>
                <w:sz w:val="22"/>
              </w:rPr>
            </w:pPr>
            <w:r>
              <w:rPr>
                <w:rFonts w:ascii="Calibri" w:hAnsi="Calibri"/>
                <w:color w:val="000000"/>
                <w:sz w:val="22"/>
              </w:rPr>
              <w:t>2022</w:t>
            </w:r>
          </w:p>
        </w:tc>
        <w:tc>
          <w:tcPr>
            <w:tcW w:w="939" w:type="dxa"/>
            <w:vAlign w:val="bottom"/>
          </w:tcPr>
          <w:p w:rsidR="00B414C1" w:rsidRDefault="00B414C1" w:rsidP="00B414C1">
            <w:pPr>
              <w:jc w:val="right"/>
              <w:rPr>
                <w:rFonts w:ascii="Calibri" w:hAnsi="Calibri"/>
                <w:color w:val="000000"/>
                <w:sz w:val="22"/>
              </w:rPr>
            </w:pPr>
          </w:p>
        </w:tc>
        <w:tc>
          <w:tcPr>
            <w:tcW w:w="2796" w:type="dxa"/>
            <w:vAlign w:val="bottom"/>
          </w:tcPr>
          <w:p w:rsidR="00B414C1" w:rsidRDefault="00B414C1" w:rsidP="00B414C1">
            <w:pPr>
              <w:jc w:val="right"/>
              <w:rPr>
                <w:rFonts w:ascii="Calibri" w:hAnsi="Calibri"/>
                <w:color w:val="000000"/>
                <w:sz w:val="22"/>
              </w:rPr>
            </w:pPr>
          </w:p>
        </w:tc>
        <w:tc>
          <w:tcPr>
            <w:tcW w:w="2319" w:type="dxa"/>
            <w:vAlign w:val="bottom"/>
          </w:tcPr>
          <w:p w:rsidR="00B414C1" w:rsidRDefault="00B414C1" w:rsidP="00B414C1">
            <w:pPr>
              <w:jc w:val="right"/>
              <w:rPr>
                <w:rFonts w:ascii="Calibri" w:hAnsi="Calibri"/>
                <w:color w:val="000000"/>
                <w:sz w:val="22"/>
              </w:rPr>
            </w:pPr>
            <w:r>
              <w:rPr>
                <w:rFonts w:ascii="Calibri" w:hAnsi="Calibri"/>
                <w:color w:val="000000"/>
                <w:sz w:val="22"/>
              </w:rPr>
              <w:t>47</w:t>
            </w:r>
          </w:p>
        </w:tc>
      </w:tr>
      <w:tr w:rsidR="00B414C1" w:rsidRPr="00432C28" w:rsidTr="00B414C1">
        <w:trPr>
          <w:trHeight w:val="66"/>
          <w:jc w:val="center"/>
        </w:trPr>
        <w:tc>
          <w:tcPr>
            <w:tcW w:w="2521" w:type="dxa"/>
            <w:vAlign w:val="bottom"/>
          </w:tcPr>
          <w:p w:rsidR="00B414C1" w:rsidRDefault="00B414C1" w:rsidP="00B414C1">
            <w:pPr>
              <w:jc w:val="right"/>
              <w:rPr>
                <w:rFonts w:ascii="Calibri" w:hAnsi="Calibri"/>
                <w:color w:val="000000"/>
                <w:sz w:val="22"/>
              </w:rPr>
            </w:pPr>
            <w:r>
              <w:rPr>
                <w:rFonts w:ascii="Calibri" w:hAnsi="Calibri"/>
                <w:color w:val="000000"/>
                <w:sz w:val="22"/>
              </w:rPr>
              <w:t>2023</w:t>
            </w:r>
          </w:p>
        </w:tc>
        <w:tc>
          <w:tcPr>
            <w:tcW w:w="939" w:type="dxa"/>
            <w:vAlign w:val="bottom"/>
          </w:tcPr>
          <w:p w:rsidR="00B414C1" w:rsidRDefault="00B414C1" w:rsidP="00B414C1">
            <w:pPr>
              <w:jc w:val="right"/>
              <w:rPr>
                <w:rFonts w:ascii="Calibri" w:hAnsi="Calibri"/>
                <w:color w:val="000000"/>
                <w:sz w:val="22"/>
              </w:rPr>
            </w:pPr>
          </w:p>
        </w:tc>
        <w:tc>
          <w:tcPr>
            <w:tcW w:w="2796" w:type="dxa"/>
            <w:vAlign w:val="bottom"/>
          </w:tcPr>
          <w:p w:rsidR="00B414C1" w:rsidRDefault="00B414C1" w:rsidP="00B414C1">
            <w:pPr>
              <w:jc w:val="right"/>
              <w:rPr>
                <w:rFonts w:ascii="Calibri" w:hAnsi="Calibri"/>
                <w:color w:val="000000"/>
                <w:sz w:val="22"/>
              </w:rPr>
            </w:pPr>
          </w:p>
        </w:tc>
        <w:tc>
          <w:tcPr>
            <w:tcW w:w="2319" w:type="dxa"/>
            <w:vAlign w:val="bottom"/>
          </w:tcPr>
          <w:p w:rsidR="00B414C1" w:rsidRDefault="00B414C1" w:rsidP="00B414C1">
            <w:pPr>
              <w:jc w:val="right"/>
              <w:rPr>
                <w:rFonts w:ascii="Calibri" w:hAnsi="Calibri"/>
                <w:color w:val="000000"/>
                <w:sz w:val="22"/>
              </w:rPr>
            </w:pPr>
            <w:r>
              <w:rPr>
                <w:rFonts w:ascii="Calibri" w:hAnsi="Calibri"/>
                <w:color w:val="000000"/>
                <w:sz w:val="22"/>
              </w:rPr>
              <w:t>31</w:t>
            </w:r>
          </w:p>
        </w:tc>
      </w:tr>
      <w:tr w:rsidR="00B414C1" w:rsidRPr="00432C28" w:rsidTr="00B414C1">
        <w:trPr>
          <w:trHeight w:val="66"/>
          <w:jc w:val="center"/>
        </w:trPr>
        <w:tc>
          <w:tcPr>
            <w:tcW w:w="2521" w:type="dxa"/>
            <w:vAlign w:val="bottom"/>
          </w:tcPr>
          <w:p w:rsidR="00B414C1" w:rsidRDefault="00B414C1" w:rsidP="00B414C1">
            <w:pPr>
              <w:jc w:val="right"/>
              <w:rPr>
                <w:rFonts w:ascii="Calibri" w:hAnsi="Calibri"/>
                <w:color w:val="000000"/>
                <w:sz w:val="22"/>
              </w:rPr>
            </w:pPr>
            <w:r>
              <w:rPr>
                <w:rFonts w:ascii="Calibri" w:hAnsi="Calibri"/>
                <w:color w:val="000000"/>
                <w:sz w:val="22"/>
              </w:rPr>
              <w:t>2024</w:t>
            </w:r>
          </w:p>
        </w:tc>
        <w:tc>
          <w:tcPr>
            <w:tcW w:w="939" w:type="dxa"/>
            <w:vAlign w:val="bottom"/>
          </w:tcPr>
          <w:p w:rsidR="00B414C1" w:rsidRDefault="00B414C1" w:rsidP="00B414C1">
            <w:pPr>
              <w:jc w:val="right"/>
              <w:rPr>
                <w:rFonts w:ascii="Calibri" w:hAnsi="Calibri"/>
                <w:color w:val="000000"/>
                <w:sz w:val="22"/>
              </w:rPr>
            </w:pPr>
          </w:p>
        </w:tc>
        <w:tc>
          <w:tcPr>
            <w:tcW w:w="2796" w:type="dxa"/>
            <w:vAlign w:val="bottom"/>
          </w:tcPr>
          <w:p w:rsidR="00B414C1" w:rsidRDefault="00B414C1" w:rsidP="00B414C1">
            <w:pPr>
              <w:jc w:val="right"/>
              <w:rPr>
                <w:rFonts w:ascii="Calibri" w:hAnsi="Calibri"/>
                <w:color w:val="000000"/>
                <w:sz w:val="22"/>
              </w:rPr>
            </w:pPr>
          </w:p>
        </w:tc>
        <w:tc>
          <w:tcPr>
            <w:tcW w:w="2319" w:type="dxa"/>
            <w:vAlign w:val="bottom"/>
          </w:tcPr>
          <w:p w:rsidR="00B414C1" w:rsidRDefault="00B414C1" w:rsidP="00B414C1">
            <w:pPr>
              <w:jc w:val="right"/>
              <w:rPr>
                <w:rFonts w:ascii="Calibri" w:hAnsi="Calibri"/>
                <w:color w:val="000000"/>
                <w:sz w:val="22"/>
              </w:rPr>
            </w:pPr>
            <w:r>
              <w:rPr>
                <w:rFonts w:ascii="Calibri" w:hAnsi="Calibri"/>
                <w:color w:val="000000"/>
                <w:sz w:val="22"/>
              </w:rPr>
              <w:t>47</w:t>
            </w:r>
          </w:p>
        </w:tc>
      </w:tr>
      <w:tr w:rsidR="00B414C1" w:rsidRPr="00432C28" w:rsidTr="00B414C1">
        <w:trPr>
          <w:trHeight w:val="66"/>
          <w:jc w:val="center"/>
        </w:trPr>
        <w:tc>
          <w:tcPr>
            <w:tcW w:w="2521" w:type="dxa"/>
            <w:vAlign w:val="bottom"/>
          </w:tcPr>
          <w:p w:rsidR="00B414C1" w:rsidRDefault="00B414C1" w:rsidP="00B414C1">
            <w:pPr>
              <w:jc w:val="right"/>
              <w:rPr>
                <w:rFonts w:ascii="Calibri" w:hAnsi="Calibri"/>
                <w:color w:val="000000"/>
                <w:sz w:val="22"/>
              </w:rPr>
            </w:pPr>
            <w:r>
              <w:rPr>
                <w:rFonts w:ascii="Calibri" w:hAnsi="Calibri"/>
                <w:color w:val="000000"/>
                <w:sz w:val="22"/>
              </w:rPr>
              <w:t>2025</w:t>
            </w:r>
          </w:p>
        </w:tc>
        <w:tc>
          <w:tcPr>
            <w:tcW w:w="939" w:type="dxa"/>
            <w:vAlign w:val="bottom"/>
          </w:tcPr>
          <w:p w:rsidR="00B414C1" w:rsidRDefault="00B414C1" w:rsidP="00B414C1">
            <w:pPr>
              <w:jc w:val="right"/>
              <w:rPr>
                <w:rFonts w:ascii="Calibri" w:hAnsi="Calibri"/>
                <w:color w:val="000000"/>
                <w:sz w:val="22"/>
              </w:rPr>
            </w:pPr>
          </w:p>
        </w:tc>
        <w:tc>
          <w:tcPr>
            <w:tcW w:w="2796" w:type="dxa"/>
            <w:vAlign w:val="bottom"/>
          </w:tcPr>
          <w:p w:rsidR="00B414C1" w:rsidRDefault="00B414C1" w:rsidP="00B414C1">
            <w:pPr>
              <w:jc w:val="right"/>
              <w:rPr>
                <w:rFonts w:ascii="Calibri" w:hAnsi="Calibri"/>
                <w:color w:val="000000"/>
                <w:sz w:val="22"/>
              </w:rPr>
            </w:pPr>
          </w:p>
        </w:tc>
        <w:tc>
          <w:tcPr>
            <w:tcW w:w="2319" w:type="dxa"/>
            <w:vAlign w:val="bottom"/>
          </w:tcPr>
          <w:p w:rsidR="00B414C1" w:rsidRDefault="00B414C1" w:rsidP="00B414C1">
            <w:pPr>
              <w:jc w:val="right"/>
              <w:rPr>
                <w:rFonts w:ascii="Calibri" w:hAnsi="Calibri"/>
                <w:color w:val="000000"/>
                <w:sz w:val="22"/>
              </w:rPr>
            </w:pPr>
            <w:r>
              <w:rPr>
                <w:rFonts w:ascii="Calibri" w:hAnsi="Calibri"/>
                <w:color w:val="000000"/>
                <w:sz w:val="22"/>
              </w:rPr>
              <w:t>31</w:t>
            </w:r>
          </w:p>
        </w:tc>
      </w:tr>
    </w:tbl>
    <w:p w:rsidR="00B414C1" w:rsidRDefault="00B414C1" w:rsidP="00B414C1">
      <w:pPr>
        <w:rPr>
          <w:rFonts w:cs="Times New Roman"/>
          <w:szCs w:val="24"/>
        </w:rPr>
      </w:pPr>
    </w:p>
    <w:p w:rsidR="00B414C1" w:rsidRPr="00EB6F1C" w:rsidRDefault="00B414C1" w:rsidP="00B414C1">
      <w:pPr>
        <w:rPr>
          <w:rFonts w:cs="Times New Roman"/>
          <w:szCs w:val="24"/>
          <w:u w:val="single"/>
        </w:rPr>
      </w:pPr>
      <w:r w:rsidRPr="00EB6F1C">
        <w:rPr>
          <w:rFonts w:cs="Times New Roman"/>
          <w:szCs w:val="24"/>
          <w:u w:val="single"/>
        </w:rPr>
        <w:t>N</w:t>
      </w:r>
      <w:r w:rsidR="00065E37">
        <w:rPr>
          <w:rFonts w:cs="Times New Roman"/>
          <w:szCs w:val="24"/>
          <w:u w:val="single"/>
        </w:rPr>
        <w:t xml:space="preserve">orthwest Energy Efficiency Alliance (“NEEA”) </w:t>
      </w:r>
    </w:p>
    <w:p w:rsidR="00065E37" w:rsidRDefault="00B414C1" w:rsidP="00B414C1">
      <w:pPr>
        <w:rPr>
          <w:rFonts w:cs="Times New Roman"/>
          <w:szCs w:val="24"/>
        </w:rPr>
      </w:pPr>
      <w:r w:rsidRPr="00EB6F1C">
        <w:rPr>
          <w:rFonts w:cs="Times New Roman"/>
          <w:szCs w:val="24"/>
        </w:rPr>
        <w:t xml:space="preserve">Savings available from market transformation is included in the 2015 IRP selections, and thus, the conservation forecast. </w:t>
      </w:r>
      <w:r w:rsidR="00EB6F1C">
        <w:rPr>
          <w:rFonts w:cs="Times New Roman"/>
          <w:szCs w:val="24"/>
        </w:rPr>
        <w:t xml:space="preserve">In preparation for the 2016-2017 biennium target setting process, the three utilities met in August, 2015 and revisited the treatment and methodology with Commission staff and DSM advisory groups. It was determined that although there could be </w:t>
      </w:r>
      <w:r w:rsidR="00EB6F1C" w:rsidRPr="00065E37">
        <w:rPr>
          <w:rFonts w:cs="Times New Roman"/>
          <w:szCs w:val="24"/>
        </w:rPr>
        <w:t>reporting clarifications made, particularly with how NEEA savings related to percent of goal achievement t</w:t>
      </w:r>
      <w:r w:rsidR="00EB6F1C" w:rsidRPr="008A54D7">
        <w:rPr>
          <w:rFonts w:cs="Times New Roman"/>
          <w:szCs w:val="24"/>
        </w:rPr>
        <w:t xml:space="preserve">racked by the Department of Commerce, the </w:t>
      </w:r>
      <w:r w:rsidR="00EB6F1C" w:rsidRPr="006E32D5">
        <w:rPr>
          <w:rFonts w:cs="Times New Roman"/>
          <w:szCs w:val="24"/>
        </w:rPr>
        <w:t>methodology worked well and would be used again for the coming biennium. As a result, PacifiCorp requested NEEA prepare a 2016-</w:t>
      </w:r>
      <w:r w:rsidR="00EB6F1C">
        <w:rPr>
          <w:rFonts w:cs="Times New Roman"/>
          <w:szCs w:val="24"/>
        </w:rPr>
        <w:t xml:space="preserve">2017 savings forecast for the Company’s Washington service area for use in adjusting our 2016-2017 biennial target. </w:t>
      </w:r>
    </w:p>
    <w:p w:rsidR="00065E37" w:rsidRDefault="00065E37" w:rsidP="00B414C1">
      <w:pPr>
        <w:rPr>
          <w:rFonts w:cs="Times New Roman"/>
          <w:szCs w:val="24"/>
        </w:rPr>
      </w:pPr>
    </w:p>
    <w:p w:rsidR="00065E37" w:rsidRDefault="00065E37" w:rsidP="00065E37">
      <w:pPr>
        <w:rPr>
          <w:rFonts w:cs="Times New Roman"/>
          <w:szCs w:val="24"/>
        </w:rPr>
      </w:pPr>
      <w:r>
        <w:rPr>
          <w:rFonts w:cs="Times New Roman"/>
          <w:szCs w:val="24"/>
        </w:rPr>
        <w:t>The forecast provided by NEEA to PacifiCorp detailing the methodology and forecast is included as Appendix 9 to this report. As NEEA forecasts savings at the customer site, the Company grossed the forecast up to the generator using PacifiCorp’s sector-specific line losses, for consistency with the other numbers presented in this document. The generator-level savings are 2,176 MWh and 3,069 MWh for 2016 and 2017, respectively. As specified in the joint utility proposal, these savings are subtracted from the first two years of PacifiCorp’s conservation forecast to arrive at the energy efficiency component of the Company’s 2016-2017 biennial conservation target.</w:t>
      </w:r>
    </w:p>
    <w:p w:rsidR="00EB6F1C" w:rsidRPr="00EB6F1C" w:rsidRDefault="00EB6F1C" w:rsidP="00B414C1">
      <w:pPr>
        <w:rPr>
          <w:rFonts w:cs="Times New Roman"/>
          <w:szCs w:val="24"/>
          <w:u w:val="single"/>
        </w:rPr>
      </w:pPr>
    </w:p>
    <w:p w:rsidR="00B414C1" w:rsidRPr="00432C28" w:rsidRDefault="00B414C1" w:rsidP="00381FF2">
      <w:pPr>
        <w:rPr>
          <w:rFonts w:cs="Times New Roman"/>
          <w:szCs w:val="24"/>
          <w:u w:val="single"/>
        </w:rPr>
      </w:pPr>
    </w:p>
    <w:p w:rsidR="00B414C1" w:rsidRDefault="00B414C1" w:rsidP="00B414C1">
      <w:pPr>
        <w:rPr>
          <w:rFonts w:cs="Times New Roman"/>
          <w:szCs w:val="24"/>
        </w:rPr>
      </w:pPr>
    </w:p>
    <w:p w:rsidR="00B414C1" w:rsidRDefault="00B414C1" w:rsidP="00B414C1">
      <w:pPr>
        <w:rPr>
          <w:rFonts w:cs="Times New Roman"/>
          <w:szCs w:val="24"/>
        </w:rPr>
      </w:pPr>
    </w:p>
    <w:p w:rsidR="00B414C1" w:rsidRDefault="00B414C1" w:rsidP="00B414C1">
      <w:pPr>
        <w:rPr>
          <w:rFonts w:cs="Times New Roman"/>
          <w:szCs w:val="24"/>
        </w:rPr>
      </w:pPr>
    </w:p>
    <w:p w:rsidR="00205286" w:rsidRPr="00561A3D" w:rsidRDefault="00205286" w:rsidP="00FF5E74">
      <w:pPr>
        <w:rPr>
          <w:rFonts w:cs="Times New Roman"/>
          <w:color w:val="000000"/>
          <w:sz w:val="20"/>
          <w:szCs w:val="20"/>
        </w:rPr>
      </w:pPr>
    </w:p>
    <w:p w:rsidR="00FF5E74" w:rsidRDefault="00FF5E74" w:rsidP="00EF198D">
      <w:pPr>
        <w:rPr>
          <w:rFonts w:cs="Times New Roman"/>
          <w:szCs w:val="24"/>
        </w:rPr>
      </w:pPr>
    </w:p>
    <w:p w:rsidR="00DD168E" w:rsidRPr="00432C28" w:rsidRDefault="00DD168E" w:rsidP="0070198E">
      <w:pPr>
        <w:jc w:val="center"/>
        <w:rPr>
          <w:rFonts w:cs="Times New Roman"/>
          <w:sz w:val="48"/>
          <w:szCs w:val="48"/>
        </w:rPr>
      </w:pPr>
    </w:p>
    <w:p w:rsidR="00DD168E" w:rsidRPr="00432C28" w:rsidRDefault="00DD168E" w:rsidP="0070198E">
      <w:pPr>
        <w:jc w:val="center"/>
        <w:rPr>
          <w:rFonts w:cs="Times New Roman"/>
          <w:sz w:val="48"/>
          <w:szCs w:val="48"/>
        </w:rPr>
      </w:pPr>
    </w:p>
    <w:p w:rsidR="00335900" w:rsidRPr="00432C28" w:rsidRDefault="00EC4DA0" w:rsidP="0070198E">
      <w:pPr>
        <w:jc w:val="center"/>
        <w:rPr>
          <w:rFonts w:cs="Times New Roman"/>
          <w:sz w:val="48"/>
          <w:szCs w:val="48"/>
        </w:rPr>
      </w:pPr>
      <w:r w:rsidRPr="00432C28">
        <w:rPr>
          <w:rFonts w:cs="Times New Roman"/>
          <w:sz w:val="48"/>
          <w:szCs w:val="48"/>
        </w:rPr>
        <w:t xml:space="preserve"> </w:t>
      </w:r>
    </w:p>
    <w:p w:rsidR="00EC4DA0" w:rsidRPr="00432C28" w:rsidRDefault="00EC4DA0" w:rsidP="0070198E">
      <w:pPr>
        <w:jc w:val="center"/>
        <w:rPr>
          <w:rFonts w:cs="Times New Roman"/>
          <w:sz w:val="48"/>
          <w:szCs w:val="48"/>
        </w:rPr>
      </w:pPr>
    </w:p>
    <w:p w:rsidR="00EC4DA0" w:rsidRPr="00432C28" w:rsidRDefault="00EC4DA0" w:rsidP="0070198E">
      <w:pPr>
        <w:jc w:val="center"/>
        <w:rPr>
          <w:rFonts w:cs="Times New Roman"/>
          <w:sz w:val="48"/>
          <w:szCs w:val="48"/>
        </w:rPr>
      </w:pPr>
    </w:p>
    <w:p w:rsidR="005D09E1" w:rsidRDefault="000E30E5">
      <w:pPr>
        <w:jc w:val="left"/>
        <w:rPr>
          <w:rFonts w:cs="Times New Roman"/>
          <w:sz w:val="48"/>
          <w:szCs w:val="48"/>
        </w:rPr>
        <w:sectPr w:rsidR="005D09E1">
          <w:headerReference w:type="even" r:id="rId48"/>
          <w:headerReference w:type="default" r:id="rId49"/>
          <w:footerReference w:type="default" r:id="rId50"/>
          <w:headerReference w:type="first" r:id="rId51"/>
          <w:pgSz w:w="12240" w:h="15840"/>
          <w:pgMar w:top="1440" w:right="1440" w:bottom="1440" w:left="1440" w:header="720" w:footer="720" w:gutter="0"/>
          <w:pgNumType w:start="1"/>
          <w:cols w:space="720"/>
          <w:docGrid w:linePitch="360"/>
        </w:sectPr>
      </w:pPr>
      <w:r>
        <w:rPr>
          <w:rFonts w:cs="Times New Roman"/>
          <w:sz w:val="48"/>
          <w:szCs w:val="48"/>
        </w:rPr>
        <w:br w:type="page"/>
      </w:r>
    </w:p>
    <w:p w:rsidR="003E2787" w:rsidRPr="00432C28" w:rsidRDefault="003E2787" w:rsidP="003E2787">
      <w:pPr>
        <w:jc w:val="center"/>
        <w:rPr>
          <w:rFonts w:cs="Times New Roman"/>
          <w:sz w:val="48"/>
          <w:szCs w:val="48"/>
        </w:rPr>
      </w:pPr>
      <w:r w:rsidRPr="00432C28">
        <w:rPr>
          <w:rFonts w:cs="Times New Roman"/>
          <w:sz w:val="48"/>
          <w:szCs w:val="48"/>
        </w:rPr>
        <w:t>Appendix 5</w:t>
      </w:r>
    </w:p>
    <w:p w:rsidR="003E2787" w:rsidRPr="00432C28" w:rsidRDefault="003E2787" w:rsidP="003E2787">
      <w:pPr>
        <w:jc w:val="center"/>
        <w:rPr>
          <w:rFonts w:cs="Times New Roman"/>
          <w:sz w:val="48"/>
          <w:szCs w:val="48"/>
        </w:rPr>
      </w:pPr>
      <w:r w:rsidRPr="00432C28">
        <w:rPr>
          <w:rFonts w:cs="Times New Roman"/>
          <w:sz w:val="48"/>
          <w:szCs w:val="48"/>
        </w:rPr>
        <w:t xml:space="preserve">List of Measures Selected </w:t>
      </w:r>
      <w:r>
        <w:rPr>
          <w:rFonts w:cs="Times New Roman"/>
          <w:sz w:val="48"/>
          <w:szCs w:val="48"/>
        </w:rPr>
        <w:t xml:space="preserve">in </w:t>
      </w:r>
      <w:r w:rsidRPr="00432C28">
        <w:rPr>
          <w:rFonts w:cs="Times New Roman"/>
          <w:sz w:val="48"/>
          <w:szCs w:val="48"/>
        </w:rPr>
        <w:t>201</w:t>
      </w:r>
      <w:r>
        <w:rPr>
          <w:rFonts w:cs="Times New Roman"/>
          <w:sz w:val="48"/>
          <w:szCs w:val="48"/>
        </w:rPr>
        <w:t>6</w:t>
      </w:r>
      <w:r w:rsidRPr="00432C28">
        <w:rPr>
          <w:rFonts w:cs="Times New Roman"/>
          <w:sz w:val="48"/>
          <w:szCs w:val="48"/>
        </w:rPr>
        <w:t xml:space="preserve"> and 201</w:t>
      </w:r>
      <w:r>
        <w:rPr>
          <w:rFonts w:cs="Times New Roman"/>
          <w:sz w:val="48"/>
          <w:szCs w:val="48"/>
        </w:rPr>
        <w:t>7</w:t>
      </w:r>
    </w:p>
    <w:p w:rsidR="003E2787" w:rsidRPr="00432C28" w:rsidRDefault="003E2787" w:rsidP="003E2787">
      <w:pPr>
        <w:jc w:val="center"/>
        <w:rPr>
          <w:rFonts w:cs="Times New Roman"/>
          <w:sz w:val="48"/>
          <w:szCs w:val="48"/>
        </w:rPr>
      </w:pPr>
      <w:r w:rsidRPr="00432C28">
        <w:rPr>
          <w:rFonts w:cs="Times New Roman"/>
          <w:sz w:val="48"/>
          <w:szCs w:val="48"/>
        </w:rPr>
        <w:t>PacifiCorp 201</w:t>
      </w:r>
      <w:r>
        <w:rPr>
          <w:rFonts w:cs="Times New Roman"/>
          <w:sz w:val="48"/>
          <w:szCs w:val="48"/>
        </w:rPr>
        <w:t>5</w:t>
      </w:r>
      <w:r w:rsidRPr="00432C28">
        <w:rPr>
          <w:rFonts w:cs="Times New Roman"/>
          <w:sz w:val="48"/>
          <w:szCs w:val="48"/>
        </w:rPr>
        <w:t xml:space="preserve"> IRP Preferred Portfolio</w:t>
      </w:r>
    </w:p>
    <w:p w:rsidR="003E2787" w:rsidRPr="00432C28" w:rsidRDefault="003E2787" w:rsidP="003E2787">
      <w:pPr>
        <w:rPr>
          <w:rFonts w:cs="Times New Roman"/>
          <w:szCs w:val="24"/>
        </w:rPr>
      </w:pPr>
    </w:p>
    <w:p w:rsidR="003E2787" w:rsidRPr="00432C28" w:rsidRDefault="003E2787" w:rsidP="003E2787">
      <w:pPr>
        <w:rPr>
          <w:rFonts w:cs="Times New Roman"/>
          <w:b/>
          <w:szCs w:val="24"/>
        </w:rPr>
      </w:pPr>
      <w:r>
        <w:rPr>
          <w:rFonts w:cs="Times New Roman"/>
          <w:szCs w:val="24"/>
        </w:rPr>
        <w:t>The 2015</w:t>
      </w:r>
      <w:r w:rsidRPr="00432C28">
        <w:rPr>
          <w:rFonts w:cs="Times New Roman"/>
          <w:szCs w:val="24"/>
        </w:rPr>
        <w:t xml:space="preserve"> Integrated Resource Plan selected </w:t>
      </w:r>
      <w:r>
        <w:rPr>
          <w:rFonts w:cs="Times New Roman"/>
          <w:szCs w:val="24"/>
        </w:rPr>
        <w:t>b</w:t>
      </w:r>
      <w:r w:rsidRPr="00432C28">
        <w:rPr>
          <w:rFonts w:cs="Times New Roman"/>
          <w:szCs w:val="24"/>
        </w:rPr>
        <w:t xml:space="preserve">undles </w:t>
      </w:r>
      <w:r>
        <w:rPr>
          <w:rFonts w:cs="Times New Roman"/>
          <w:szCs w:val="24"/>
        </w:rPr>
        <w:t>up to $0.10/kWh levelized in both 2016 and 2017. Table A5-1</w:t>
      </w:r>
      <w:r w:rsidRPr="00432C28">
        <w:rPr>
          <w:rFonts w:cs="Times New Roman"/>
          <w:szCs w:val="24"/>
        </w:rPr>
        <w:t xml:space="preserve"> below contain</w:t>
      </w:r>
      <w:r>
        <w:rPr>
          <w:rFonts w:cs="Times New Roman"/>
          <w:szCs w:val="24"/>
        </w:rPr>
        <w:t>s</w:t>
      </w:r>
      <w:r w:rsidRPr="00432C28">
        <w:rPr>
          <w:rFonts w:cs="Times New Roman"/>
          <w:szCs w:val="24"/>
        </w:rPr>
        <w:t xml:space="preserve"> a list of the measures select</w:t>
      </w:r>
      <w:r>
        <w:rPr>
          <w:rFonts w:cs="Times New Roman"/>
          <w:szCs w:val="24"/>
        </w:rPr>
        <w:t>ed by year, bundle and sector. A measure may appear in multiple bundles due to differences in savings and/or cost by building type, end use, or construction vintage.</w:t>
      </w:r>
    </w:p>
    <w:p w:rsidR="003E2787" w:rsidRPr="00432C28" w:rsidRDefault="003E2787" w:rsidP="003E2787">
      <w:pPr>
        <w:rPr>
          <w:rFonts w:cs="Times New Roman"/>
          <w:b/>
          <w:szCs w:val="24"/>
        </w:rPr>
      </w:pPr>
    </w:p>
    <w:p w:rsidR="003E2787" w:rsidRPr="00432C28" w:rsidRDefault="003E2787" w:rsidP="003E2787">
      <w:pPr>
        <w:jc w:val="center"/>
        <w:rPr>
          <w:rFonts w:cs="Times New Roman"/>
          <w:b/>
          <w:szCs w:val="24"/>
        </w:rPr>
      </w:pPr>
      <w:r>
        <w:rPr>
          <w:rFonts w:cs="Times New Roman"/>
          <w:b/>
          <w:szCs w:val="24"/>
        </w:rPr>
        <w:t>Table A5-1</w:t>
      </w:r>
    </w:p>
    <w:p w:rsidR="003E2787" w:rsidRPr="00432C28" w:rsidRDefault="003E2787" w:rsidP="003E2787">
      <w:pPr>
        <w:jc w:val="center"/>
        <w:rPr>
          <w:rFonts w:cs="Times New Roman"/>
          <w:b/>
          <w:szCs w:val="24"/>
        </w:rPr>
      </w:pPr>
      <w:r>
        <w:rPr>
          <w:rFonts w:cs="Times New Roman"/>
          <w:b/>
          <w:szCs w:val="24"/>
        </w:rPr>
        <w:t>Measures Selected in the 201</w:t>
      </w:r>
      <w:r w:rsidR="00253232">
        <w:rPr>
          <w:rFonts w:cs="Times New Roman"/>
          <w:b/>
          <w:szCs w:val="24"/>
        </w:rPr>
        <w:t>5</w:t>
      </w:r>
      <w:r>
        <w:rPr>
          <w:rFonts w:cs="Times New Roman"/>
          <w:b/>
          <w:szCs w:val="24"/>
        </w:rPr>
        <w:t xml:space="preserve"> IRP Preferred Portfolio – 2016 and 2017</w:t>
      </w:r>
    </w:p>
    <w:p w:rsidR="003E2787" w:rsidRPr="00432C28" w:rsidRDefault="003E2787" w:rsidP="003E2787">
      <w:pPr>
        <w:jc w:val="center"/>
        <w:rPr>
          <w:rFonts w:cs="Times New Roman"/>
          <w:b/>
          <w:szCs w:val="24"/>
        </w:rPr>
      </w:pPr>
    </w:p>
    <w:tbl>
      <w:tblPr>
        <w:tblW w:w="971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4744"/>
        <w:gridCol w:w="1677"/>
        <w:gridCol w:w="974"/>
        <w:gridCol w:w="916"/>
      </w:tblGrid>
      <w:tr w:rsidR="003E2787" w:rsidRPr="00B33B41" w:rsidTr="00D15D3C">
        <w:trPr>
          <w:trHeight w:val="300"/>
          <w:tblHeader/>
        </w:trPr>
        <w:tc>
          <w:tcPr>
            <w:tcW w:w="1403" w:type="dxa"/>
            <w:shd w:val="clear" w:color="auto" w:fill="auto"/>
            <w:noWrap/>
            <w:vAlign w:val="bottom"/>
            <w:hideMark/>
          </w:tcPr>
          <w:p w:rsidR="003E2787" w:rsidRPr="00B33B41" w:rsidRDefault="003E2787" w:rsidP="00D15D3C">
            <w:pPr>
              <w:jc w:val="center"/>
              <w:rPr>
                <w:rFonts w:eastAsia="Times New Roman" w:cs="Times New Roman"/>
                <w:b/>
                <w:color w:val="000000"/>
                <w:sz w:val="20"/>
                <w:szCs w:val="20"/>
              </w:rPr>
            </w:pPr>
            <w:r w:rsidRPr="00B33B41">
              <w:rPr>
                <w:rFonts w:eastAsia="Times New Roman" w:cs="Times New Roman"/>
                <w:b/>
                <w:color w:val="000000"/>
                <w:sz w:val="20"/>
                <w:szCs w:val="20"/>
              </w:rPr>
              <w:t>Sector</w:t>
            </w:r>
          </w:p>
        </w:tc>
        <w:tc>
          <w:tcPr>
            <w:tcW w:w="4744" w:type="dxa"/>
            <w:shd w:val="clear" w:color="auto" w:fill="auto"/>
            <w:noWrap/>
            <w:vAlign w:val="bottom"/>
            <w:hideMark/>
          </w:tcPr>
          <w:p w:rsidR="003E2787" w:rsidRPr="00B33B41" w:rsidRDefault="003E2787" w:rsidP="00D15D3C">
            <w:pPr>
              <w:jc w:val="center"/>
              <w:rPr>
                <w:rFonts w:eastAsia="Times New Roman" w:cs="Times New Roman"/>
                <w:b/>
                <w:color w:val="000000"/>
                <w:sz w:val="20"/>
                <w:szCs w:val="20"/>
              </w:rPr>
            </w:pPr>
            <w:r w:rsidRPr="00B33B41">
              <w:rPr>
                <w:rFonts w:eastAsia="Times New Roman" w:cs="Times New Roman"/>
                <w:b/>
                <w:color w:val="000000"/>
                <w:sz w:val="20"/>
                <w:szCs w:val="20"/>
              </w:rPr>
              <w:t>Measure Name</w:t>
            </w:r>
          </w:p>
        </w:tc>
        <w:tc>
          <w:tcPr>
            <w:tcW w:w="1677" w:type="dxa"/>
            <w:shd w:val="clear" w:color="auto" w:fill="auto"/>
            <w:noWrap/>
            <w:vAlign w:val="bottom"/>
            <w:hideMark/>
          </w:tcPr>
          <w:p w:rsidR="003E2787" w:rsidRPr="00B33B41" w:rsidRDefault="003E2787" w:rsidP="00D15D3C">
            <w:pPr>
              <w:jc w:val="center"/>
              <w:rPr>
                <w:rFonts w:eastAsia="Times New Roman" w:cs="Times New Roman"/>
                <w:b/>
                <w:color w:val="000000"/>
                <w:sz w:val="20"/>
                <w:szCs w:val="20"/>
              </w:rPr>
            </w:pPr>
            <w:r w:rsidRPr="00B33B41">
              <w:rPr>
                <w:rFonts w:eastAsia="Times New Roman" w:cs="Times New Roman"/>
                <w:b/>
                <w:color w:val="000000"/>
                <w:sz w:val="20"/>
                <w:szCs w:val="20"/>
              </w:rPr>
              <w:t>Cost Bundle</w:t>
            </w:r>
            <w:r>
              <w:rPr>
                <w:rFonts w:eastAsia="Times New Roman" w:cs="Times New Roman"/>
                <w:b/>
                <w:color w:val="000000"/>
                <w:sz w:val="20"/>
                <w:szCs w:val="20"/>
              </w:rPr>
              <w:t xml:space="preserve"> ($/kWh)</w:t>
            </w:r>
          </w:p>
        </w:tc>
        <w:tc>
          <w:tcPr>
            <w:tcW w:w="974" w:type="dxa"/>
            <w:shd w:val="clear" w:color="auto" w:fill="auto"/>
            <w:noWrap/>
            <w:vAlign w:val="bottom"/>
            <w:hideMark/>
          </w:tcPr>
          <w:p w:rsidR="003E2787" w:rsidRPr="00B33B41" w:rsidRDefault="003E2787" w:rsidP="00253232">
            <w:pPr>
              <w:jc w:val="center"/>
              <w:rPr>
                <w:rFonts w:eastAsia="Times New Roman" w:cs="Times New Roman"/>
                <w:b/>
                <w:color w:val="000000"/>
                <w:sz w:val="20"/>
                <w:szCs w:val="20"/>
              </w:rPr>
            </w:pPr>
            <w:r w:rsidRPr="00B33B41">
              <w:rPr>
                <w:rFonts w:eastAsia="Times New Roman" w:cs="Times New Roman"/>
                <w:b/>
                <w:color w:val="000000"/>
                <w:sz w:val="20"/>
                <w:szCs w:val="20"/>
              </w:rPr>
              <w:t>Selected 201</w:t>
            </w:r>
            <w:r>
              <w:rPr>
                <w:rFonts w:eastAsia="Times New Roman" w:cs="Times New Roman"/>
                <w:b/>
                <w:color w:val="000000"/>
                <w:sz w:val="20"/>
                <w:szCs w:val="20"/>
              </w:rPr>
              <w:t>6</w:t>
            </w:r>
          </w:p>
        </w:tc>
        <w:tc>
          <w:tcPr>
            <w:tcW w:w="915" w:type="dxa"/>
            <w:shd w:val="clear" w:color="auto" w:fill="auto"/>
            <w:noWrap/>
            <w:vAlign w:val="bottom"/>
            <w:hideMark/>
          </w:tcPr>
          <w:p w:rsidR="003E2787" w:rsidRPr="00B33B41" w:rsidRDefault="003E2787" w:rsidP="00253232">
            <w:pPr>
              <w:jc w:val="center"/>
              <w:rPr>
                <w:rFonts w:eastAsia="Times New Roman" w:cs="Times New Roman"/>
                <w:b/>
                <w:color w:val="000000"/>
                <w:sz w:val="20"/>
                <w:szCs w:val="20"/>
              </w:rPr>
            </w:pPr>
            <w:r w:rsidRPr="00B33B41">
              <w:rPr>
                <w:rFonts w:eastAsia="Times New Roman" w:cs="Times New Roman"/>
                <w:b/>
                <w:color w:val="000000"/>
                <w:sz w:val="20"/>
                <w:szCs w:val="20"/>
              </w:rPr>
              <w:t>Selected 201</w:t>
            </w:r>
            <w:r>
              <w:rPr>
                <w:rFonts w:eastAsia="Times New Roman" w:cs="Times New Roman"/>
                <w:b/>
                <w:color w:val="000000"/>
                <w:sz w:val="20"/>
                <w:szCs w:val="20"/>
              </w:rPr>
              <w:t>7</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Air-Cooled Chiller - Chilled Water Reset</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1. Up to $0.01</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Desktop Computer</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1. Up to $0.01</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Dishwasher</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1. Up to $0.01</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Ductless Mini Split Heat Pump</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1. Up to $0.01</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Exterior Lighting - Photovoltaic Installation</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1. Up to $0.01</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Fruit Storage Refrigeration Retrofit</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1. Up to $0.01</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Fruit Storage Refrigeration Tuneup</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1. Up to $0.01</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Fruit Storage Retrofit - CO2 Scrub</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1. Up to $0.01</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Fruit Storage Retrofit - Membrane</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1. Up to $0.01</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Fryer</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1. Up to $0.01</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Geothermal Heat Pump</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1. Up to $0.01</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HID - High Output T5 (75.5 lm/W)</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1. Up to $0.01</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HID - LED (170 lm/W)</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1. Up to $0.01</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High-Bay Fixtures - High Output T5 (75.5 lm/W)</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1. Up to $0.01</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High-Bay Fixtures - LED (170 lm/W)</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1. Up to $0.01</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Hot Food Container</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1. Up to $0.01</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HVAC - Duct Repair and Sealing</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1. Up to $0.01</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HVAC - Occupancy Sensors</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1. Up to $0.01</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Icemaker</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1. Up to $0.01</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Insulation - Ducting</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1. Up to $0.01</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Interior Fluorescent - Delamp and Install Reflectors</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1. Up to $0.01</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Laptop</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1. Up to $0.01</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Linear Fluorescent - LED (170 lm/W)</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1. Up to $0.01</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Lodging - Guest Room Controls</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1. Up to $0.01</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Office Equipment - Plug Load Occupancy Sensors</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1. Up to $0.01</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Oven</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1. Up to $0.01</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Pool Heater</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1. Up to $0.01</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Pool Pump</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1. Up to $0.01</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POS Terminal</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1. Up to $0.01</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Printer/Copier/Fax</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1. Up to $0.01</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Refrigeration - Strip Curtain</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1. Up to $0.01</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Server</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1. Up to $0.01</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Vending Machine</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1. Up to $0.01</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Ventilation - ECM on VAV Boxes</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1. Up to $0.01</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Ventilation - Variable Speed Control</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1. Up to $0.01</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Water Heater - Desuperheater</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1. Up to $0.01</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Water Heater - Faucet Aerators/Low Flow Nozzles</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1. Up to $0.01</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Water Heater - High Efficiency Circulation Pump</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1. Up to $0.01</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Water Heater - Install Timer</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1. Up to $0.01</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Water Heating</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1. Up to $0.01</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Water-Cooled Chiller - Chilled Water Reset</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1. Up to $0.01</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Water-Cooled Chiller - Condenser Water Temperature Reset</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1. Up to $0.01</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Industrial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Agriculture - Engine Block Heater Timers</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1. Up to $0.01</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Industrial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Air-Cooled Chiller</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1. Up to $0.01</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Industrial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Clean Room: Change Filter Strategy</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1. Up to $0.01</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Industrial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Compressed Air - Air Usage Reduction</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1. Up to $0.01</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Industrial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Fan System - Controls</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1. Up to $0.01</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Industrial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Heat Lamp/Heating Pad Controller</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1. Up to $0.01</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Industrial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Heat Lamps</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1. Up to $0.01</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Industrial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HID - LED (170 lm/W)</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1. Up to $0.01</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Industrial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High-Bay Fixtures - LED (170 lm/W)</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1. Up to $0.01</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Industrial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High-efficiency Livestock Waterers</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1. Up to $0.01</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Industrial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Interior Lighting - LED Exit Lighting</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1. Up to $0.01</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Industrial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Motors - Magnetic Adjustable Speed Drives</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1. Up to $0.01</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Industrial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Strategic Energy Management</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1. Up to $0.01</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Industrial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Wood: Replace Pneumatic Conveyor</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1. Up to $0.01</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Residential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Convert CAC to Evap AC</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1. Up to $0.01</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Residential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Ductless Mini Split Heat Pump</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1. Up to $0.01</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Residential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Laptops</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1. Up to $0.01</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Residential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Linear Fluorescent</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1. Up to $0.01</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Residential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Monitor</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1. Up to $0.01</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Residential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Personal Computers</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1. Up to $0.01</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Residential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Printer/Fax/Copier</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1. Up to $0.01</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Residential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Screw-in CFL</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1. Up to $0.01</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Residential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Screw-in LED</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1. Up to $0.01</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Residential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Set-top Boxes/DVR</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1. Up to $0.01</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Residential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Specialty CFL</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1. Up to $0.01</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Residential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Specialty LED</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1. Up to $0.01</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Residential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Water Heater - Faucet Aerators</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1. Up to $0.01</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Street Lighting</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100W Fixture</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1. Up to $0.01</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Street Lighting</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150W Fixture</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1. Up to $0.01</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Air Source Heat Pump</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2. $0.01 to $0.02</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Air-Cooled Chiller - Chilled Water Reset</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2. $0.01 to $0.02</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Air-Cooled Chiller - Variable Speed Chilled Water Loop</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2. $0.01 to $0.02</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Data Center - Server Virtualization</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2. $0.01 to $0.02</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Doors - High Efficiency</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2. $0.01 to $0.02</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Ductless Mini Split Heat Pump</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2. $0.01 to $0.02</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Electronics - Smart Power Strips</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2. $0.01 to $0.02</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Energy Management System</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2. $0.01 to $0.02</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ENERGY STAR Battery Chargers</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2. $0.01 to $0.02</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Evaporative Cooling</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2. $0.01 to $0.02</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Exterior Lighting - Photovoltaic Installation</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2. $0.01 to $0.02</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Fryer</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2. $0.01 to $0.02</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Geothermal Heat Pump</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2. $0.01 to $0.02</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Hot Food Container</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2. $0.01 to $0.02</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HVAC - Duct Repair and Sealing</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2. $0.01 to $0.02</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HVAC - Economizer</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2. $0.01 to $0.02</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Icemaker</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2. $0.01 to $0.02</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Insulation - Ducting</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2. $0.01 to $0.02</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Insulation - Radiant Barrier</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2. $0.01 to $0.02</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Interior Fluorescent - Delamp and Install Reflectors</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2. $0.01 to $0.02</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Interior Lighting - LED Exit Lighting</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2. $0.01 to $0.02</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Interior Lighting - Occupancy Sensors</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2. $0.01 to $0.02</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Linear Fluorescent - LED (170 lm/W)</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2. $0.01 to $0.02</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Monitor</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2. $0.01 to $0.02</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Non-HVAC Motors - Variable Speed Control</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2. $0.01 to $0.02</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Oven</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2. $0.01 to $0.02</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Pool Pump</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2. $0.01 to $0.02</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Screw-in - LED (170 lm/W)</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2. $0.01 to $0.02</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Vending Machine</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2. $0.01 to $0.02</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Ventilation - Variable Speed Control</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2. $0.01 to $0.02</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Water Heater - Desuperheater</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2. $0.01 to $0.02</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Water Heater - Drainwater Heat Recovery</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2. $0.01 to $0.02</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Water Heater - Faucet Aerators/Low Flow Nozzles</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2. $0.01 to $0.02</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Water Heater - High Efficiency Circulation Pump</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2. $0.01 to $0.02</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Water Heater - Install Timer</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2. $0.01 to $0.02</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Water Heating</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2. $0.01 to $0.02</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Water-Cooled Chiller - Chilled Water Reset</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2. $0.01 to $0.02</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Water-Cooled Chiller - Condenser Water Temperature Reset</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2. $0.01 to $0.02</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Water-Cooled Chiller - Variable Speed Chilled Water Loop</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2. $0.01 to $0.02</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Industrial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Air-Cooled Chiller</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2. $0.01 to $0.02</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Industrial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Clean Room: Chiller Optimize</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2. $0.01 to $0.02</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Industrial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Clean Room: Clean Room HVAC</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2. $0.01 to $0.02</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Industrial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Fan Equipment Upgrade</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2. $0.01 to $0.02</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Industrial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Fan System - Maintenance</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2. $0.01 to $0.02</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Industrial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Fan System - Optimization</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2. $0.01 to $0.02</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Industrial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Interior Lighting - LED Exit Lighting</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2. $0.01 to $0.02</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Industrial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Interior Screw-in - Task Lighting</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2. $0.01 to $0.02</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Industrial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Kraft: Efficient Agitator</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2. $0.01 to $0.02</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Industrial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Linear Fluorescent LED (170 lm/W)</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2. $0.01 to $0.02</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Industrial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Metal: New Arc Furnace</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2. $0.01 to $0.02</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Industrial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Pump Equipment Upgrade</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2. $0.01 to $0.02</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Industrial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Pumping System - Controls</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2. $0.01 to $0.02</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Industrial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Strategic Energy Management</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2. $0.01 to $0.02</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Residential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Freezer</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2. $0.01 to $0.02</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Residential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Screw-in LED</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2. $0.01 to $0.02</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Residential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Water Heater - Faucet Aerators</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2. $0.01 to $0.02</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Residential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Water Heater - Low-Flow Showerheads</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2. $0.01 to $0.02</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Street Lighting</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Smart Dimming Controller</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2. $0.01 to $0.02</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Air Source Heat Pump</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3. $0.02 to $0.03</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Air-Cooled Chiller</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3. $0.02 to $0.03</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Air-Cooled Chiller - Chilled Water Reset</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3. $0.02 to $0.03</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Air-Cooled Chiller - Variable Speed Chilled Water Loop</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3. $0.02 to $0.03</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Cool Roofs</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3. $0.02 to $0.03</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Data Center - Direct Server Cabinet Cooling</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3. $0.02 to $0.03</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Doors - High Efficiency</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3. $0.02 to $0.03</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Ductless Mini Split Heat Pump</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3. $0.02 to $0.03</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Energy Management System</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3. $0.02 to $0.03</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ENERGY STAR Water Cooler</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3. $0.02 to $0.03</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Fryer</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3. $0.02 to $0.03</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Geothermal Heat Pump</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3. $0.02 to $0.03</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Hot Food Container</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3. $0.02 to $0.03</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HVAC - Duct Repair and Sealing</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3. $0.02 to $0.03</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Insulation - Radiant Barrier</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3. $0.02 to $0.03</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Interior Fluorescent - Delamp and Install Reflectors</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3. $0.02 to $0.03</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Interior Lighting - LED Exit Lighting</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3. $0.02 to $0.03</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Interior Lighting - Occupancy Sensors</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3. $0.02 to $0.03</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Non-HVAC Motors - Variable Speed Control</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3. $0.02 to $0.03</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Oven</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3. $0.02 to $0.03</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Pool Heater</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3. $0.02 to $0.03</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Screw-in - LED (170 lm/W)</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3. $0.02 to $0.03</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Vending Machine</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3. $0.02 to $0.03</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Ventilation - ECM on VAV Boxes</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3. $0.02 to $0.03</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Ventilation - Variable Speed Control</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3. $0.02 to $0.03</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Water Heater - Desuperheater</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3. $0.02 to $0.03</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Water Heater - Drainwater Heat Recovery</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3. $0.02 to $0.03</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Water Heater - Faucet Aerators/Low Flow Nozzles</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3. $0.02 to $0.03</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Water Heater - Install Timer</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3. $0.02 to $0.03</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Water Heater - Pipe Insulation</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3. $0.02 to $0.03</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Water Heating</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3. $0.02 to $0.03</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Water-Cooled Chiller - Chilled Water Reset</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3. $0.02 to $0.03</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Water-Cooled Chiller - Condenser Water Temperature Reset</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3. $0.02 to $0.03</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Water-Cooled Chiller - Variable Speed Chilled Water Loop</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3. $0.02 to $0.03</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Industrial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Air-Cooled Chiller</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3. $0.02 to $0.03</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Industrial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Elec Chip Fab: Eliminate Exhaust</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3. $0.02 to $0.03</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Industrial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Exterior Lighting - Bi-Level Fixture</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3. $0.02 to $0.03</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Industrial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Heat Lamp Setback (Microzone)</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3. $0.02 to $0.03</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Industrial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HVAC - Economizer</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3. $0.02 to $0.03</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Industrial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Linear Fluorescent LED (170 lm/W)</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3. $0.02 to $0.03</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Industrial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Motors - Synchronous Belts</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3. $0.02 to $0.03</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Industrial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Motors - Variable Frequency Drive</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3. $0.02 to $0.03</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Industrial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 xml:space="preserve">Paper: Efficient Pulp Screen </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3. $0.02 to $0.03</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Industrial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Strategic Energy Management</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3. $0.02 to $0.03</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Industrial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Ventilation - CO2 Controlled</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3. $0.02 to $0.03</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Irrigation</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Green Motor Rewind (100 HP+)</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3. $0.02 to $0.03</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Residential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Doors - Storm and Thermal</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3. $0.02 to $0.03</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Residential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Ducting - Repair and Sealing</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3. $0.02 to $0.03</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Residential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Freezer - Decommisioning and Recycling</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3. $0.02 to $0.03</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Residential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Pool Pump - Timer</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3. $0.02 to $0.03</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Residential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Refrigerator - Decommissioning and Recycling</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3. $0.02 to $0.03</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Residential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Screw-in LED</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3. $0.02 to $0.03</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Residential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Water Heater - Pipe Insulation</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3. $0.02 to $0.03</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Street Lighting</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1000W Fixture</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3. $0.02 to $0.03</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Advanced New Construction Designs</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4. $0.03 to $0.04</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Air Source Heat Pump</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4. $0.03 to $0.04</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Air-Cooled Chiller</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4. $0.03 to $0.04</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Air-Cooled Chiller - Chilled Water Reset</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4. $0.03 to $0.04</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Air-Cooled Chiller - Variable Speed Chilled Water Loop</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4. $0.03 to $0.04</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Air-Cooled Chiller - Variable Speed Condenser Fans</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4. $0.03 to $0.04</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Data Center - Air Flow Optimization and Commissioning</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4. $0.03 to $0.04</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Doors - High Efficiency</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4. $0.03 to $0.04</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Ductless Mini Split Heat Pump</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4. $0.03 to $0.04</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Energy Management System</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4. $0.03 to $0.04</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Exterior Lighting - Bi-Level Fixture</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4. $0.03 to $0.04</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Exterior Lighting - Photovoltaic Installation</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4. $0.03 to $0.04</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Fryer</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4. $0.03 to $0.04</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Geothermal Heat Pump</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4. $0.03 to $0.04</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Hot Food Container</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4. $0.03 to $0.04</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HVAC - Duct Repair and Sealing</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4. $0.03 to $0.04</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Insulation - Ducting</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4. $0.03 to $0.04</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Insulation - Foundation</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4. $0.03 to $0.04</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Insulation - Wall Cavity</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4. $0.03 to $0.04</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Interior Fluorescent - Delamp and Install Reflectors</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4. $0.03 to $0.04</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Interior Lighting - LED Exit Lighting</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4. $0.03 to $0.04</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Interior Lighting - Occupancy Sensors</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4. $0.03 to $0.04</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Oven</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4. $0.03 to $0.04</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Pool Heater</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4. $0.03 to $0.04</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Screw-in - LED (170 lm/W)</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4. $0.03 to $0.04</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Vending Machine</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4. $0.03 to $0.04</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Ventilation - Variable Speed Control</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4. $0.03 to $0.04</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Water Heater - Desuperheater</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4. $0.03 to $0.04</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Water Heater - Faucet Aerators/Low Flow Nozzles</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4. $0.03 to $0.04</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Water Heater - Install Timer</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4. $0.03 to $0.04</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Water Heater - Pipe Insulation</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4. $0.03 to $0.04</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Water-Cooled Chiller</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4. $0.03 to $0.04</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Water-Cooled Chiller - Chilled Water Reset</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4. $0.03 to $0.04</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Water-Cooled Chiller - Condenser Water Temperature Reset</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4. $0.03 to $0.04</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Water-Cooled Chiller - Variable Speed Chilled Water Loop</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4. $0.03 to $0.04</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Industrial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Air-Cooled Chiller - Chilled Water Reset</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4. $0.03 to $0.04</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Industrial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Commissioning</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4. $0.03 to $0.04</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Industrial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Compressed Air - Heat of Compression Dessicant Dryer</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4. $0.03 to $0.04</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Industrial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Compressed Air - Low Pressure-Drop Filters</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4. $0.03 to $0.04</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Industrial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Compressed Air - Raise Compressed Air Dryer Dewpoint</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4. $0.03 to $0.04</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Industrial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Compressed Air - System Maintenance</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4. $0.03 to $0.04</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Industrial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Exterior Lighting - Bi-Level Fixture</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4. $0.03 to $0.04</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Industrial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Interior Fluorescent - Bi-Level Fixture</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4. $0.03 to $0.04</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Industrial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Interior Fluorescent - Delamp and Install Reflectors</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4. $0.03 to $0.04</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Industrial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Interior Lighting - Timeclocks and Timers</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4. $0.03 to $0.04</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Industrial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Mech Pulp: Refiner Plate Improvement</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4. $0.03 to $0.04</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Industrial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Motors - Synchronous Belts</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4. $0.03 to $0.04</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Industrial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Motors - Variable Frequency Drive</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4. $0.03 to $0.04</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Industrial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Pumping System - Maintenance</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4. $0.03 to $0.04</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Industrial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Pumping System - Optimization</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4. $0.03 to $0.04</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Industrial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Refrigeration - System Maintenance</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4. $0.03 to $0.04</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Industrial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Retrocommissioning</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4. $0.03 to $0.04</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Industrial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Strategic Energy Management</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4. $0.03 to $0.04</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Industrial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Ventilation - CO2 Controlled</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4. $0.03 to $0.04</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Industrial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Water-Cooled Chiller - Chilled Water Reset</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4. $0.03 to $0.04</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Industrial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Water-Cooled Chiller - Condenser Water Temperature Reset</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4. $0.03 to $0.04</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Irrigation</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Multiple Configuration Nozzle</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4. $0.03 to $0.04</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Irrigation</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Pump Equipment Upgrade</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4. $0.03 to $0.04</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Residential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Ducting - Repair and Sealing</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4. $0.03 to $0.04</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Residential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ENERGY STAR Battery Chargers</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4. $0.03 to $0.04</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Residential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Freezer - Decommisioning and Recycling</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4. $0.03 to $0.04</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Residential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Infiltration Control</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4. $0.03 to $0.04</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Residential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Water Heater - Pipe Insulation</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4. $0.03 to $0.04</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Street Lighting</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250W Fixture</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4. $0.03 to $0.04</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Street Lighting</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400W Fixture</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4. $0.03 to $0.04</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Street Lighting</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Smart Dimming Controller</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4. $0.03 to $0.04</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Air-Cooled Chiller</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5. $0.04 to $0.05</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Air-Cooled Chiller - Variable Speed Chilled Water Loop</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5. $0.04 to $0.05</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Data Center - Air Flow Optimization and Commissioning</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5. $0.04 to $0.05</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Doors - High Efficiency</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5. $0.04 to $0.05</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Exterior Lighting - Bi-Level Fixture</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5. $0.04 to $0.05</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Exterior Lighting - Photovoltaic Installation</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5. $0.04 to $0.05</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Hot Food Container</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5. $0.04 to $0.05</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HVAC - Duct Repair and Sealing</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5. $0.04 to $0.05</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Insulation - Ceiling</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5. $0.04 to $0.05</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Insulation - Radiant Barrier</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5. $0.04 to $0.05</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Insulation - Wall Cavity</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5. $0.04 to $0.05</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Interior Fluorescent - Delamp and Install Reflectors</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5. $0.04 to $0.05</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Interior Lighting - LED Exit Lighting</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5. $0.04 to $0.05</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Interior Lighting - Occupancy Sensors</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5. $0.04 to $0.05</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Oven</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5. $0.04 to $0.05</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Pool Heater</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5. $0.04 to $0.05</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Screw-in - LED (170 lm/W)</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5. $0.04 to $0.05</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Vending Machine</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5. $0.04 to $0.05</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Ventilation</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5. $0.04 to $0.05</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Ventilation - ECM on VAV Boxes</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5. $0.04 to $0.05</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Ventilation - Variable Speed Control</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5. $0.04 to $0.05</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Water Heater - Drainwater Heat Recovery</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5. $0.04 to $0.05</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Water Heater - High Efficiency Circulation Pump</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5. $0.04 to $0.05</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Water Heater - Install Timer</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5. $0.04 to $0.05</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Water Heater - Solar System</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5. $0.04 to $0.05</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Water-Cooled Chiller</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5. $0.04 to $0.05</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Water-Cooled Chiller - Chilled Water Reset</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5. $0.04 to $0.05</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Water-Cooled Chiller - Condenser Water Temperature Reset</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5. $0.04 to $0.05</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Water-Cooled Chiller - Variable Speed Chilled Water Loop</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5. $0.04 to $0.05</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Industrial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Air-Cooled Chiller - Chilled Water Reset</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5. $0.04 to $0.05</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Industrial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Compressed Air - Compressor Replacement</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5. $0.04 to $0.05</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Industrial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Compressed Air - Receiver Capacity Addition</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5. $0.04 to $0.05</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Industrial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Compressed Air - System Controls</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5. $0.04 to $0.05</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Industrial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Compressed Air - System Optimization and Improvements</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5. $0.04 to $0.05</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Industrial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Exterior Lighting - Photovoltaic Installation</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5. $0.04 to $0.05</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Industrial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Motors - Variable Frequency Drive</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5. $0.04 to $0.05</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Industrial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Screw-in - CFL (67.3 lm/W)</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5. $0.04 to $0.05</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Industrial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Strategic Energy Management</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5. $0.04 to $0.05</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Industrial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Transformer - High Efficiency</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5. $0.04 to $0.05</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Industrial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Water-Cooled Chiller - Chilled Water Reset</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5. $0.04 to $0.05</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Irrigation</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Center Pivot Base Boot Gasket</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5. $0.04 to $0.05</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Irrigation</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Low Pressure Regulators</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5. $0.04 to $0.05</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Residential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Behavioral Programs</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5. $0.04 to $0.05</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Residential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Home Energy Management System</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5. $0.04 to $0.05</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Residential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Infiltration Control</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5. $0.04 to $0.05</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Residential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Second Refrigerator</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5. $0.04 to $0.05</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Residential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TVs</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5. $0.04 to $0.05</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Street Lighting</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Smart Dimming Controller</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5. $0.04 to $0.05</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Advanced New Construction Designs</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6. $0.05 to $0.06</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Air-Cooled Chiller</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6. $0.05 to $0.06</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Air-Cooled Chiller - Variable Speed Chilled Water Loop</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6. $0.05 to $0.06</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Doors - High Efficiency</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6. $0.05 to $0.06</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Energy Management System</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6. $0.05 to $0.06</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Exterior Lighting - Photovoltaic Installation</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6. $0.05 to $0.06</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Hot Food Container</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6. $0.05 to $0.06</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HVAC - Duct Repair and Sealing</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6. $0.05 to $0.06</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HVAC - Economizer</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6. $0.05 to $0.06</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HVAC - Occupancy Sensors</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6. $0.05 to $0.06</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HVAC - Outside or Underfloor Air Distribution</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6. $0.05 to $0.06</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Insulation - Ceiling</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6. $0.05 to $0.06</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Insulation - Wall Cavity</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6. $0.05 to $0.06</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Interior Lighting - LED Exit Lighting</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6. $0.05 to $0.06</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Interior Lighting - Occupancy Sensors</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6. $0.05 to $0.06</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Non-HVAC Motors - Variable Speed Control</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6. $0.05 to $0.06</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Refrigeration - Anti-Sweat Heater Controls</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6. $0.05 to $0.06</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Refrigeration - Floating Head Pressure</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6. $0.05 to $0.06</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Refrigeration - High Efficiency Compressor</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6. $0.05 to $0.06</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Retrocommissioning</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6. $0.05 to $0.06</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Screw-in - LED (170 lm/W)</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6. $0.05 to $0.06</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Vending Machine</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6. $0.05 to $0.06</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Ventilation</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6. $0.05 to $0.06</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Ventilation - ECM on VAV Boxes</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6. $0.05 to $0.06</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Water Heater - Drainwater Heat Recovery</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6. $0.05 to $0.06</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Water Heater - Faucet Aerators/Low Flow Nozzles</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6. $0.05 to $0.06</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Water Heater - Pipe Insulation</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6. $0.05 to $0.06</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Water-Cooled Chiller - Condenser Water Temperature Reset</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6. $0.05 to $0.06</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Water-Cooled Chiller - Variable Speed Chilled Water Loop</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6. $0.05 to $0.06</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Industrial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Air-Cooled Chiller</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6. $0.05 to $0.06</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Industrial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Commissioning</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6. $0.05 to $0.06</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Industrial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Exterior Lighting - Photovoltaic Installation</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6. $0.05 to $0.06</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Industrial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Insulation - Wall Cavity</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6. $0.05 to $0.06</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Industrial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Interior Lighting - Occupancy Sensors</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6. $0.05 to $0.06</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Industrial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Kraft: Effluent Treatment System</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6. $0.05 to $0.06</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Industrial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Motors - Variable Frequency Drive</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6. $0.05 to $0.06</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Industrial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Refrigeration - Floating Head Pressure</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6. $0.05 to $0.06</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Industrial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Refrigeration - System Optimization</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6. $0.05 to $0.06</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Industrial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Retrocommissioning</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6. $0.05 to $0.06</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Industrial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Transformer - High Efficiency</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6. $0.05 to $0.06</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Industrial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Water-Cooled Chiller</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6. $0.05 to $0.06</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Irrigation</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Green Motor Rewind (&lt;100 HP)</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6. $0.05 to $0.06</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Irrigation</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Low Pressure Regulators</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6. $0.05 to $0.06</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Residential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Behavioral Programs</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6. $0.05 to $0.06</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Residential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Ducting - Repair and Sealing</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6. $0.05 to $0.06</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Street Lighting</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Smart Dimming Controller</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6. $0.05 to $0.06</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Air-Cooled Chiller</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7. $0.06 to $0.07</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Air-Cooled Chiller - Chiller Heat Recovery</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7. $0.06 to $0.07</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Air-Cooled Chiller - Variable Speed Chilled Water Loop</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7. $0.06 to $0.07</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Doors - High Efficiency</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7. $0.06 to $0.07</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Energy Management System</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7. $0.06 to $0.07</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ENERGY STAR Battery Chargers</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7. $0.06 to $0.07</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Exterior Lighting - Photovoltaic Installation</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7. $0.06 to $0.07</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Grocery - Open Display Case - Night Covers</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7. $0.06 to $0.07</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Insulation - Ducting</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7. $0.06 to $0.07</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Insulation - Foundation</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7. $0.06 to $0.07</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Insulation - Wall Cavity</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7. $0.06 to $0.07</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Interior Lighting - Daylighting Controls</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7. $0.06 to $0.07</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Interior Lighting - LED Exit Lighting</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7. $0.06 to $0.07</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Interior Lighting - Occupancy Sensors</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7. $0.06 to $0.07</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Retrocommissioning</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7. $0.06 to $0.07</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Screw-in - LED (170 lm/W)</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7. $0.06 to $0.07</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Vending Machine</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7. $0.06 to $0.07</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Ventilation - CO2 Controlled</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7. $0.06 to $0.07</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Ventilation - ECM on VAV Boxes</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7. $0.06 to $0.07</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Ventilation - Variable Speed Control</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7. $0.06 to $0.07</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Water Heater - High Efficiency Circulation Pump</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7. $0.06 to $0.07</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Water Heater - Pipe Insulation</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7. $0.06 to $0.07</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Water-Cooled Chiller - Chiller Heat Recovery</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7. $0.06 to $0.07</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Industrial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Commissioning</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7. $0.06 to $0.07</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Industrial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Compressed Air - Outside Air Intake</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7. $0.06 to $0.07</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Industrial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Elec Chip Fab: Exhaust Injector</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7. $0.06 to $0.07</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Industrial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Exterior Lighting - Daylighting Controls</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7. $0.06 to $0.07</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Industrial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Exterior Lighting - Photovoltaic Installation</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7. $0.06 to $0.07</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Industrial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HVAC - Duct Repair and Sealing</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7. $0.06 to $0.07</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Industrial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HVAC - Economizer</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7. $0.06 to $0.07</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Industrial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Insulation - Wall Cavity</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7. $0.06 to $0.07</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Industrial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Process - Conductivity Controls</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7. $0.06 to $0.07</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Industrial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Refrigeration - System Controls</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7. $0.06 to $0.07</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Industrial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Retrocommissioning</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7. $0.06 to $0.07</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Industrial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Water-Cooled Chiller</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7. $0.06 to $0.07</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Industrial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Water-Cooled Chiller - Variable Speed Chilled Water Loop</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7. $0.06 to $0.07</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Residential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Behavioral Programs</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7. $0.06 to $0.07</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Residential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Ducting - Repair and Sealing</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7. $0.06 to $0.07</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Residential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TVs</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7. $0.06 to $0.07</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Residential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Water Heater &lt;= 55 Gal</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7. $0.06 to $0.07</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Street Lighting</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Smart Dimming Controller</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7. $0.06 to $0.07</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Advanced New Construction Designs</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8. $0.07 to $0.08</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Air Source Heat Pump</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8. $0.07 to $0.08</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Air-Cooled Chiller</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8. $0.07 to $0.08</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Doors - High Efficiency</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8. $0.07 to $0.08</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Energy Management System</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8. $0.07 to $0.08</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Exterior Lighting - Photovoltaic Installation</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8. $0.07 to $0.08</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Geothermal Heat Pump</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8. $0.07 to $0.08</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Grocery - Open Display Case - Night Covers</w:t>
            </w:r>
          </w:p>
        </w:tc>
        <w:tc>
          <w:tcPr>
            <w:tcW w:w="1677" w:type="dxa"/>
            <w:shd w:val="clear" w:color="auto" w:fill="auto"/>
            <w:noWrap/>
            <w:vAlign w:val="center"/>
            <w:hideMark/>
          </w:tcPr>
          <w:p w:rsidR="003E2787" w:rsidRPr="001E3234" w:rsidRDefault="003E2787" w:rsidP="00D15D3C">
            <w:pPr>
              <w:jc w:val="left"/>
              <w:rPr>
                <w:rFonts w:cs="Times New Roman"/>
                <w:sz w:val="20"/>
                <w:szCs w:val="20"/>
              </w:rPr>
            </w:pPr>
            <w:r w:rsidRPr="001E3234">
              <w:rPr>
                <w:rFonts w:cs="Times New Roman"/>
                <w:sz w:val="20"/>
                <w:szCs w:val="20"/>
              </w:rPr>
              <w:t>8. $0.07 to $0.08</w:t>
            </w:r>
          </w:p>
        </w:tc>
        <w:tc>
          <w:tcPr>
            <w:tcW w:w="974"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hideMark/>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Hot Food Container</w:t>
            </w:r>
          </w:p>
        </w:tc>
        <w:tc>
          <w:tcPr>
            <w:tcW w:w="1677"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8. $0.07 to $0.08</w:t>
            </w:r>
          </w:p>
        </w:tc>
        <w:tc>
          <w:tcPr>
            <w:tcW w:w="974" w:type="dxa"/>
            <w:shd w:val="clear" w:color="auto" w:fill="auto"/>
            <w:noWrap/>
            <w:vAlign w:val="center"/>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HVAC - Economizer</w:t>
            </w:r>
          </w:p>
        </w:tc>
        <w:tc>
          <w:tcPr>
            <w:tcW w:w="1677"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8. $0.07 to $0.08</w:t>
            </w:r>
          </w:p>
        </w:tc>
        <w:tc>
          <w:tcPr>
            <w:tcW w:w="974" w:type="dxa"/>
            <w:shd w:val="clear" w:color="auto" w:fill="auto"/>
            <w:noWrap/>
            <w:vAlign w:val="center"/>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Insulation - Ceiling</w:t>
            </w:r>
          </w:p>
        </w:tc>
        <w:tc>
          <w:tcPr>
            <w:tcW w:w="1677"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8. $0.07 to $0.08</w:t>
            </w:r>
          </w:p>
        </w:tc>
        <w:tc>
          <w:tcPr>
            <w:tcW w:w="974" w:type="dxa"/>
            <w:shd w:val="clear" w:color="auto" w:fill="auto"/>
            <w:noWrap/>
            <w:vAlign w:val="center"/>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Insulation - Radiant Barrier</w:t>
            </w:r>
          </w:p>
        </w:tc>
        <w:tc>
          <w:tcPr>
            <w:tcW w:w="1677"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8. $0.07 to $0.08</w:t>
            </w:r>
          </w:p>
        </w:tc>
        <w:tc>
          <w:tcPr>
            <w:tcW w:w="974" w:type="dxa"/>
            <w:shd w:val="clear" w:color="auto" w:fill="auto"/>
            <w:noWrap/>
            <w:vAlign w:val="center"/>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Insulation - Wall Cavity</w:t>
            </w:r>
          </w:p>
        </w:tc>
        <w:tc>
          <w:tcPr>
            <w:tcW w:w="1677"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8. $0.07 to $0.08</w:t>
            </w:r>
          </w:p>
        </w:tc>
        <w:tc>
          <w:tcPr>
            <w:tcW w:w="974" w:type="dxa"/>
            <w:shd w:val="clear" w:color="auto" w:fill="auto"/>
            <w:noWrap/>
            <w:vAlign w:val="center"/>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Interior Lighting - Daylighting Controls</w:t>
            </w:r>
          </w:p>
        </w:tc>
        <w:tc>
          <w:tcPr>
            <w:tcW w:w="1677"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8. $0.07 to $0.08</w:t>
            </w:r>
          </w:p>
        </w:tc>
        <w:tc>
          <w:tcPr>
            <w:tcW w:w="974" w:type="dxa"/>
            <w:shd w:val="clear" w:color="auto" w:fill="auto"/>
            <w:noWrap/>
            <w:vAlign w:val="center"/>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Interior Lighting - Occupancy Sensors</w:t>
            </w:r>
          </w:p>
        </w:tc>
        <w:tc>
          <w:tcPr>
            <w:tcW w:w="1677"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8. $0.07 to $0.08</w:t>
            </w:r>
          </w:p>
        </w:tc>
        <w:tc>
          <w:tcPr>
            <w:tcW w:w="974" w:type="dxa"/>
            <w:shd w:val="clear" w:color="auto" w:fill="auto"/>
            <w:noWrap/>
            <w:vAlign w:val="center"/>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PTAC</w:t>
            </w:r>
          </w:p>
        </w:tc>
        <w:tc>
          <w:tcPr>
            <w:tcW w:w="1677"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8. $0.07 to $0.08</w:t>
            </w:r>
          </w:p>
        </w:tc>
        <w:tc>
          <w:tcPr>
            <w:tcW w:w="974" w:type="dxa"/>
            <w:shd w:val="clear" w:color="auto" w:fill="auto"/>
            <w:noWrap/>
            <w:vAlign w:val="center"/>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Ventilation</w:t>
            </w:r>
          </w:p>
        </w:tc>
        <w:tc>
          <w:tcPr>
            <w:tcW w:w="1677"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8. $0.07 to $0.08</w:t>
            </w:r>
          </w:p>
        </w:tc>
        <w:tc>
          <w:tcPr>
            <w:tcW w:w="974" w:type="dxa"/>
            <w:shd w:val="clear" w:color="auto" w:fill="auto"/>
            <w:noWrap/>
            <w:vAlign w:val="center"/>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Ventilation - CO2 Controlled</w:t>
            </w:r>
          </w:p>
        </w:tc>
        <w:tc>
          <w:tcPr>
            <w:tcW w:w="1677"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8. $0.07 to $0.08</w:t>
            </w:r>
          </w:p>
        </w:tc>
        <w:tc>
          <w:tcPr>
            <w:tcW w:w="974" w:type="dxa"/>
            <w:shd w:val="clear" w:color="auto" w:fill="auto"/>
            <w:noWrap/>
            <w:vAlign w:val="center"/>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Ventilation - ECM on VAV Boxes</w:t>
            </w:r>
          </w:p>
        </w:tc>
        <w:tc>
          <w:tcPr>
            <w:tcW w:w="1677"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8. $0.07 to $0.08</w:t>
            </w:r>
          </w:p>
        </w:tc>
        <w:tc>
          <w:tcPr>
            <w:tcW w:w="974" w:type="dxa"/>
            <w:shd w:val="clear" w:color="auto" w:fill="auto"/>
            <w:noWrap/>
            <w:vAlign w:val="center"/>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Ventilation - Variable Speed Control</w:t>
            </w:r>
          </w:p>
        </w:tc>
        <w:tc>
          <w:tcPr>
            <w:tcW w:w="1677"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8. $0.07 to $0.08</w:t>
            </w:r>
          </w:p>
        </w:tc>
        <w:tc>
          <w:tcPr>
            <w:tcW w:w="974" w:type="dxa"/>
            <w:shd w:val="clear" w:color="auto" w:fill="auto"/>
            <w:noWrap/>
            <w:vAlign w:val="center"/>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Water Heater - Install Timer</w:t>
            </w:r>
          </w:p>
        </w:tc>
        <w:tc>
          <w:tcPr>
            <w:tcW w:w="1677"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8. $0.07 to $0.08</w:t>
            </w:r>
          </w:p>
        </w:tc>
        <w:tc>
          <w:tcPr>
            <w:tcW w:w="974" w:type="dxa"/>
            <w:shd w:val="clear" w:color="auto" w:fill="auto"/>
            <w:noWrap/>
            <w:vAlign w:val="center"/>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Water Heater - Solar System</w:t>
            </w:r>
          </w:p>
        </w:tc>
        <w:tc>
          <w:tcPr>
            <w:tcW w:w="1677"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8. $0.07 to $0.08</w:t>
            </w:r>
          </w:p>
        </w:tc>
        <w:tc>
          <w:tcPr>
            <w:tcW w:w="974" w:type="dxa"/>
            <w:shd w:val="clear" w:color="auto" w:fill="auto"/>
            <w:noWrap/>
            <w:vAlign w:val="center"/>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Industrial</w:t>
            </w:r>
          </w:p>
        </w:tc>
        <w:tc>
          <w:tcPr>
            <w:tcW w:w="4744"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Air-Cooled Chiller - Variable Speed Chilled Water Loop</w:t>
            </w:r>
          </w:p>
        </w:tc>
        <w:tc>
          <w:tcPr>
            <w:tcW w:w="1677"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8. $0.07 to $0.08</w:t>
            </w:r>
          </w:p>
        </w:tc>
        <w:tc>
          <w:tcPr>
            <w:tcW w:w="974" w:type="dxa"/>
            <w:shd w:val="clear" w:color="auto" w:fill="auto"/>
            <w:noWrap/>
            <w:vAlign w:val="center"/>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Industrial</w:t>
            </w:r>
          </w:p>
        </w:tc>
        <w:tc>
          <w:tcPr>
            <w:tcW w:w="4744"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Commissioning</w:t>
            </w:r>
          </w:p>
        </w:tc>
        <w:tc>
          <w:tcPr>
            <w:tcW w:w="1677"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8. $0.07 to $0.08</w:t>
            </w:r>
          </w:p>
        </w:tc>
        <w:tc>
          <w:tcPr>
            <w:tcW w:w="974" w:type="dxa"/>
            <w:shd w:val="clear" w:color="auto" w:fill="auto"/>
            <w:noWrap/>
            <w:vAlign w:val="center"/>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Industrial</w:t>
            </w:r>
          </w:p>
        </w:tc>
        <w:tc>
          <w:tcPr>
            <w:tcW w:w="4744"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Elec Chip Fab: Reduce Gas Pressure</w:t>
            </w:r>
          </w:p>
        </w:tc>
        <w:tc>
          <w:tcPr>
            <w:tcW w:w="1677"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8. $0.07 to $0.08</w:t>
            </w:r>
          </w:p>
        </w:tc>
        <w:tc>
          <w:tcPr>
            <w:tcW w:w="974" w:type="dxa"/>
            <w:shd w:val="clear" w:color="auto" w:fill="auto"/>
            <w:noWrap/>
            <w:vAlign w:val="center"/>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Industrial</w:t>
            </w:r>
          </w:p>
        </w:tc>
        <w:tc>
          <w:tcPr>
            <w:tcW w:w="4744"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Elec Chip Fab: Solidstate Chiller</w:t>
            </w:r>
          </w:p>
        </w:tc>
        <w:tc>
          <w:tcPr>
            <w:tcW w:w="1677"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8. $0.07 to $0.08</w:t>
            </w:r>
          </w:p>
        </w:tc>
        <w:tc>
          <w:tcPr>
            <w:tcW w:w="974" w:type="dxa"/>
            <w:shd w:val="clear" w:color="auto" w:fill="auto"/>
            <w:noWrap/>
            <w:vAlign w:val="center"/>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Industrial</w:t>
            </w:r>
          </w:p>
        </w:tc>
        <w:tc>
          <w:tcPr>
            <w:tcW w:w="4744"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Exterior Lighting - Daylighting Controls</w:t>
            </w:r>
          </w:p>
        </w:tc>
        <w:tc>
          <w:tcPr>
            <w:tcW w:w="1677"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8. $0.07 to $0.08</w:t>
            </w:r>
          </w:p>
        </w:tc>
        <w:tc>
          <w:tcPr>
            <w:tcW w:w="974" w:type="dxa"/>
            <w:shd w:val="clear" w:color="auto" w:fill="auto"/>
            <w:noWrap/>
            <w:vAlign w:val="center"/>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Industrial</w:t>
            </w:r>
          </w:p>
        </w:tc>
        <w:tc>
          <w:tcPr>
            <w:tcW w:w="4744"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HVAC - Economizer</w:t>
            </w:r>
          </w:p>
        </w:tc>
        <w:tc>
          <w:tcPr>
            <w:tcW w:w="1677"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8. $0.07 to $0.08</w:t>
            </w:r>
          </w:p>
        </w:tc>
        <w:tc>
          <w:tcPr>
            <w:tcW w:w="974" w:type="dxa"/>
            <w:shd w:val="clear" w:color="auto" w:fill="auto"/>
            <w:noWrap/>
            <w:vAlign w:val="center"/>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Industrial</w:t>
            </w:r>
          </w:p>
        </w:tc>
        <w:tc>
          <w:tcPr>
            <w:tcW w:w="4744"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Insulation - Ducting</w:t>
            </w:r>
          </w:p>
        </w:tc>
        <w:tc>
          <w:tcPr>
            <w:tcW w:w="1677"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8. $0.07 to $0.08</w:t>
            </w:r>
          </w:p>
        </w:tc>
        <w:tc>
          <w:tcPr>
            <w:tcW w:w="974" w:type="dxa"/>
            <w:shd w:val="clear" w:color="auto" w:fill="auto"/>
            <w:noWrap/>
            <w:vAlign w:val="center"/>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Industrial</w:t>
            </w:r>
          </w:p>
        </w:tc>
        <w:tc>
          <w:tcPr>
            <w:tcW w:w="4744"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Retrocommissioning</w:t>
            </w:r>
          </w:p>
        </w:tc>
        <w:tc>
          <w:tcPr>
            <w:tcW w:w="1677"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8. $0.07 to $0.08</w:t>
            </w:r>
          </w:p>
        </w:tc>
        <w:tc>
          <w:tcPr>
            <w:tcW w:w="974" w:type="dxa"/>
            <w:shd w:val="clear" w:color="auto" w:fill="auto"/>
            <w:noWrap/>
            <w:vAlign w:val="center"/>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Industrial</w:t>
            </w:r>
          </w:p>
        </w:tc>
        <w:tc>
          <w:tcPr>
            <w:tcW w:w="4744"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Water-Cooled Chiller - Variable Speed Chilled Water Loop</w:t>
            </w:r>
          </w:p>
        </w:tc>
        <w:tc>
          <w:tcPr>
            <w:tcW w:w="1677"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8. $0.07 to $0.08</w:t>
            </w:r>
          </w:p>
        </w:tc>
        <w:tc>
          <w:tcPr>
            <w:tcW w:w="974" w:type="dxa"/>
            <w:shd w:val="clear" w:color="auto" w:fill="auto"/>
            <w:noWrap/>
            <w:vAlign w:val="center"/>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Residential</w:t>
            </w:r>
          </w:p>
        </w:tc>
        <w:tc>
          <w:tcPr>
            <w:tcW w:w="4744"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Home Energy Management System</w:t>
            </w:r>
          </w:p>
        </w:tc>
        <w:tc>
          <w:tcPr>
            <w:tcW w:w="1677"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8. $0.07 to $0.08</w:t>
            </w:r>
          </w:p>
        </w:tc>
        <w:tc>
          <w:tcPr>
            <w:tcW w:w="974" w:type="dxa"/>
            <w:shd w:val="clear" w:color="auto" w:fill="auto"/>
            <w:noWrap/>
            <w:vAlign w:val="center"/>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Residential</w:t>
            </w:r>
          </w:p>
        </w:tc>
        <w:tc>
          <w:tcPr>
            <w:tcW w:w="4744"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Pool Heater</w:t>
            </w:r>
          </w:p>
        </w:tc>
        <w:tc>
          <w:tcPr>
            <w:tcW w:w="1677"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8. $0.07 to $0.08</w:t>
            </w:r>
          </w:p>
        </w:tc>
        <w:tc>
          <w:tcPr>
            <w:tcW w:w="974" w:type="dxa"/>
            <w:shd w:val="clear" w:color="auto" w:fill="auto"/>
            <w:noWrap/>
            <w:vAlign w:val="center"/>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Residential</w:t>
            </w:r>
          </w:p>
        </w:tc>
        <w:tc>
          <w:tcPr>
            <w:tcW w:w="4744"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Water Heater &lt;= 55 Gal</w:t>
            </w:r>
          </w:p>
        </w:tc>
        <w:tc>
          <w:tcPr>
            <w:tcW w:w="1677"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8. $0.07 to $0.08</w:t>
            </w:r>
          </w:p>
        </w:tc>
        <w:tc>
          <w:tcPr>
            <w:tcW w:w="974" w:type="dxa"/>
            <w:shd w:val="clear" w:color="auto" w:fill="auto"/>
            <w:noWrap/>
            <w:vAlign w:val="center"/>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Street Lighting</w:t>
            </w:r>
          </w:p>
        </w:tc>
        <w:tc>
          <w:tcPr>
            <w:tcW w:w="4744"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Smart Dimming Controller</w:t>
            </w:r>
          </w:p>
        </w:tc>
        <w:tc>
          <w:tcPr>
            <w:tcW w:w="1677"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8. $0.07 to $0.08</w:t>
            </w:r>
          </w:p>
        </w:tc>
        <w:tc>
          <w:tcPr>
            <w:tcW w:w="974" w:type="dxa"/>
            <w:shd w:val="clear" w:color="auto" w:fill="auto"/>
            <w:noWrap/>
            <w:vAlign w:val="center"/>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Air Source Heat Pump</w:t>
            </w:r>
          </w:p>
        </w:tc>
        <w:tc>
          <w:tcPr>
            <w:tcW w:w="1677"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9. $0.08 to $0.09</w:t>
            </w:r>
          </w:p>
        </w:tc>
        <w:tc>
          <w:tcPr>
            <w:tcW w:w="974" w:type="dxa"/>
            <w:shd w:val="clear" w:color="auto" w:fill="auto"/>
            <w:noWrap/>
            <w:vAlign w:val="center"/>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Air-Cooled Chiller - Variable Speed Chilled Water Loop</w:t>
            </w:r>
          </w:p>
        </w:tc>
        <w:tc>
          <w:tcPr>
            <w:tcW w:w="1677"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9. $0.08 to $0.09</w:t>
            </w:r>
          </w:p>
        </w:tc>
        <w:tc>
          <w:tcPr>
            <w:tcW w:w="974" w:type="dxa"/>
            <w:shd w:val="clear" w:color="auto" w:fill="auto"/>
            <w:noWrap/>
            <w:vAlign w:val="center"/>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Data Center - Direct Server Cabinet Cooling</w:t>
            </w:r>
          </w:p>
        </w:tc>
        <w:tc>
          <w:tcPr>
            <w:tcW w:w="1677"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9. $0.08 to $0.09</w:t>
            </w:r>
          </w:p>
        </w:tc>
        <w:tc>
          <w:tcPr>
            <w:tcW w:w="974" w:type="dxa"/>
            <w:shd w:val="clear" w:color="auto" w:fill="auto"/>
            <w:noWrap/>
            <w:vAlign w:val="center"/>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Doors - High Efficiency</w:t>
            </w:r>
          </w:p>
        </w:tc>
        <w:tc>
          <w:tcPr>
            <w:tcW w:w="1677"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9. $0.08 to $0.09</w:t>
            </w:r>
          </w:p>
        </w:tc>
        <w:tc>
          <w:tcPr>
            <w:tcW w:w="974" w:type="dxa"/>
            <w:shd w:val="clear" w:color="auto" w:fill="auto"/>
            <w:noWrap/>
            <w:vAlign w:val="center"/>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Energy Management System</w:t>
            </w:r>
          </w:p>
        </w:tc>
        <w:tc>
          <w:tcPr>
            <w:tcW w:w="1677"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9. $0.08 to $0.09</w:t>
            </w:r>
          </w:p>
        </w:tc>
        <w:tc>
          <w:tcPr>
            <w:tcW w:w="974" w:type="dxa"/>
            <w:shd w:val="clear" w:color="auto" w:fill="auto"/>
            <w:noWrap/>
            <w:vAlign w:val="center"/>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Exterior Lighting - Bi-Level Fixture</w:t>
            </w:r>
          </w:p>
        </w:tc>
        <w:tc>
          <w:tcPr>
            <w:tcW w:w="1677"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9. $0.08 to $0.09</w:t>
            </w:r>
          </w:p>
        </w:tc>
        <w:tc>
          <w:tcPr>
            <w:tcW w:w="974" w:type="dxa"/>
            <w:shd w:val="clear" w:color="auto" w:fill="auto"/>
            <w:noWrap/>
            <w:vAlign w:val="center"/>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Exterior Lighting - Photovoltaic Installation</w:t>
            </w:r>
          </w:p>
        </w:tc>
        <w:tc>
          <w:tcPr>
            <w:tcW w:w="1677"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9. $0.08 to $0.09</w:t>
            </w:r>
          </w:p>
        </w:tc>
        <w:tc>
          <w:tcPr>
            <w:tcW w:w="974" w:type="dxa"/>
            <w:shd w:val="clear" w:color="auto" w:fill="auto"/>
            <w:noWrap/>
            <w:vAlign w:val="center"/>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HVAC - Outside or Underfloor Air Distribution</w:t>
            </w:r>
          </w:p>
        </w:tc>
        <w:tc>
          <w:tcPr>
            <w:tcW w:w="1677"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9. $0.08 to $0.09</w:t>
            </w:r>
          </w:p>
        </w:tc>
        <w:tc>
          <w:tcPr>
            <w:tcW w:w="974" w:type="dxa"/>
            <w:shd w:val="clear" w:color="auto" w:fill="auto"/>
            <w:noWrap/>
            <w:vAlign w:val="center"/>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Insulation - Ceiling</w:t>
            </w:r>
          </w:p>
        </w:tc>
        <w:tc>
          <w:tcPr>
            <w:tcW w:w="1677"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9. $0.08 to $0.09</w:t>
            </w:r>
          </w:p>
        </w:tc>
        <w:tc>
          <w:tcPr>
            <w:tcW w:w="974" w:type="dxa"/>
            <w:shd w:val="clear" w:color="auto" w:fill="auto"/>
            <w:noWrap/>
            <w:vAlign w:val="center"/>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Insulation - Ducting</w:t>
            </w:r>
          </w:p>
        </w:tc>
        <w:tc>
          <w:tcPr>
            <w:tcW w:w="1677"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9. $0.08 to $0.09</w:t>
            </w:r>
          </w:p>
        </w:tc>
        <w:tc>
          <w:tcPr>
            <w:tcW w:w="974" w:type="dxa"/>
            <w:shd w:val="clear" w:color="auto" w:fill="auto"/>
            <w:noWrap/>
            <w:vAlign w:val="center"/>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Insulation - Radiant Barrier</w:t>
            </w:r>
          </w:p>
        </w:tc>
        <w:tc>
          <w:tcPr>
            <w:tcW w:w="1677"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9. $0.08 to $0.09</w:t>
            </w:r>
          </w:p>
        </w:tc>
        <w:tc>
          <w:tcPr>
            <w:tcW w:w="974" w:type="dxa"/>
            <w:shd w:val="clear" w:color="auto" w:fill="auto"/>
            <w:noWrap/>
            <w:vAlign w:val="center"/>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Insulation - Wall Cavity</w:t>
            </w:r>
          </w:p>
        </w:tc>
        <w:tc>
          <w:tcPr>
            <w:tcW w:w="1677"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9. $0.08 to $0.09</w:t>
            </w:r>
          </w:p>
        </w:tc>
        <w:tc>
          <w:tcPr>
            <w:tcW w:w="974" w:type="dxa"/>
            <w:shd w:val="clear" w:color="auto" w:fill="auto"/>
            <w:noWrap/>
            <w:vAlign w:val="center"/>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Interior Lighting - Daylighting Controls</w:t>
            </w:r>
          </w:p>
        </w:tc>
        <w:tc>
          <w:tcPr>
            <w:tcW w:w="1677"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9. $0.08 to $0.09</w:t>
            </w:r>
          </w:p>
        </w:tc>
        <w:tc>
          <w:tcPr>
            <w:tcW w:w="974" w:type="dxa"/>
            <w:shd w:val="clear" w:color="auto" w:fill="auto"/>
            <w:noWrap/>
            <w:vAlign w:val="center"/>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Interior Lighting - LED Exit Lighting</w:t>
            </w:r>
          </w:p>
        </w:tc>
        <w:tc>
          <w:tcPr>
            <w:tcW w:w="1677"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9. $0.08 to $0.09</w:t>
            </w:r>
          </w:p>
        </w:tc>
        <w:tc>
          <w:tcPr>
            <w:tcW w:w="974" w:type="dxa"/>
            <w:shd w:val="clear" w:color="auto" w:fill="auto"/>
            <w:noWrap/>
            <w:vAlign w:val="center"/>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Refrigeration - Strip Curtain</w:t>
            </w:r>
          </w:p>
        </w:tc>
        <w:tc>
          <w:tcPr>
            <w:tcW w:w="1677"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9. $0.08 to $0.09</w:t>
            </w:r>
          </w:p>
        </w:tc>
        <w:tc>
          <w:tcPr>
            <w:tcW w:w="974" w:type="dxa"/>
            <w:shd w:val="clear" w:color="auto" w:fill="auto"/>
            <w:noWrap/>
            <w:vAlign w:val="center"/>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Strategic Energy Management</w:t>
            </w:r>
          </w:p>
        </w:tc>
        <w:tc>
          <w:tcPr>
            <w:tcW w:w="1677"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9. $0.08 to $0.09</w:t>
            </w:r>
          </w:p>
        </w:tc>
        <w:tc>
          <w:tcPr>
            <w:tcW w:w="974" w:type="dxa"/>
            <w:shd w:val="clear" w:color="auto" w:fill="auto"/>
            <w:noWrap/>
            <w:vAlign w:val="center"/>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Ventilation</w:t>
            </w:r>
          </w:p>
        </w:tc>
        <w:tc>
          <w:tcPr>
            <w:tcW w:w="1677"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9. $0.08 to $0.09</w:t>
            </w:r>
          </w:p>
        </w:tc>
        <w:tc>
          <w:tcPr>
            <w:tcW w:w="974" w:type="dxa"/>
            <w:shd w:val="clear" w:color="auto" w:fill="auto"/>
            <w:noWrap/>
            <w:vAlign w:val="center"/>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Water Heater - Pipe Insulation</w:t>
            </w:r>
          </w:p>
        </w:tc>
        <w:tc>
          <w:tcPr>
            <w:tcW w:w="1677"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9. $0.08 to $0.09</w:t>
            </w:r>
          </w:p>
        </w:tc>
        <w:tc>
          <w:tcPr>
            <w:tcW w:w="974" w:type="dxa"/>
            <w:shd w:val="clear" w:color="auto" w:fill="auto"/>
            <w:noWrap/>
            <w:vAlign w:val="center"/>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Industrial</w:t>
            </w:r>
          </w:p>
        </w:tc>
        <w:tc>
          <w:tcPr>
            <w:tcW w:w="4744"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Commissioning</w:t>
            </w:r>
          </w:p>
        </w:tc>
        <w:tc>
          <w:tcPr>
            <w:tcW w:w="1677"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9. $0.08 to $0.09</w:t>
            </w:r>
          </w:p>
        </w:tc>
        <w:tc>
          <w:tcPr>
            <w:tcW w:w="974" w:type="dxa"/>
            <w:shd w:val="clear" w:color="auto" w:fill="auto"/>
            <w:noWrap/>
            <w:vAlign w:val="center"/>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Industrial</w:t>
            </w:r>
          </w:p>
        </w:tc>
        <w:tc>
          <w:tcPr>
            <w:tcW w:w="4744"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Exterior Lighting - Daylighting Controls</w:t>
            </w:r>
          </w:p>
        </w:tc>
        <w:tc>
          <w:tcPr>
            <w:tcW w:w="1677"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9. $0.08 to $0.09</w:t>
            </w:r>
          </w:p>
        </w:tc>
        <w:tc>
          <w:tcPr>
            <w:tcW w:w="974" w:type="dxa"/>
            <w:shd w:val="clear" w:color="auto" w:fill="auto"/>
            <w:noWrap/>
            <w:vAlign w:val="center"/>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Industrial</w:t>
            </w:r>
          </w:p>
        </w:tc>
        <w:tc>
          <w:tcPr>
            <w:tcW w:w="4744"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Interior Lighting - Daylighting Controls</w:t>
            </w:r>
          </w:p>
        </w:tc>
        <w:tc>
          <w:tcPr>
            <w:tcW w:w="1677"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9. $0.08 to $0.09</w:t>
            </w:r>
          </w:p>
        </w:tc>
        <w:tc>
          <w:tcPr>
            <w:tcW w:w="974" w:type="dxa"/>
            <w:shd w:val="clear" w:color="auto" w:fill="auto"/>
            <w:noWrap/>
            <w:vAlign w:val="center"/>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Industrial</w:t>
            </w:r>
          </w:p>
        </w:tc>
        <w:tc>
          <w:tcPr>
            <w:tcW w:w="4744"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Motors - Magnetic Adjustable Speed Drives</w:t>
            </w:r>
          </w:p>
        </w:tc>
        <w:tc>
          <w:tcPr>
            <w:tcW w:w="1677"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9. $0.08 to $0.09</w:t>
            </w:r>
          </w:p>
        </w:tc>
        <w:tc>
          <w:tcPr>
            <w:tcW w:w="974" w:type="dxa"/>
            <w:shd w:val="clear" w:color="auto" w:fill="auto"/>
            <w:noWrap/>
            <w:vAlign w:val="center"/>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Industrial</w:t>
            </w:r>
          </w:p>
        </w:tc>
        <w:tc>
          <w:tcPr>
            <w:tcW w:w="4744"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Process - Controls on Fume Hoods</w:t>
            </w:r>
          </w:p>
        </w:tc>
        <w:tc>
          <w:tcPr>
            <w:tcW w:w="1677"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9. $0.08 to $0.09</w:t>
            </w:r>
          </w:p>
        </w:tc>
        <w:tc>
          <w:tcPr>
            <w:tcW w:w="974" w:type="dxa"/>
            <w:shd w:val="clear" w:color="auto" w:fill="auto"/>
            <w:noWrap/>
            <w:vAlign w:val="center"/>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Industrial</w:t>
            </w:r>
          </w:p>
        </w:tc>
        <w:tc>
          <w:tcPr>
            <w:tcW w:w="4744"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Retrocommissioning</w:t>
            </w:r>
          </w:p>
        </w:tc>
        <w:tc>
          <w:tcPr>
            <w:tcW w:w="1677"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9. $0.08 to $0.09</w:t>
            </w:r>
          </w:p>
        </w:tc>
        <w:tc>
          <w:tcPr>
            <w:tcW w:w="974" w:type="dxa"/>
            <w:shd w:val="clear" w:color="auto" w:fill="auto"/>
            <w:noWrap/>
            <w:vAlign w:val="center"/>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Residential</w:t>
            </w:r>
          </w:p>
        </w:tc>
        <w:tc>
          <w:tcPr>
            <w:tcW w:w="4744"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Air-Source Heat Pump</w:t>
            </w:r>
          </w:p>
        </w:tc>
        <w:tc>
          <w:tcPr>
            <w:tcW w:w="1677"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9. $0.08 to $0.09</w:t>
            </w:r>
          </w:p>
        </w:tc>
        <w:tc>
          <w:tcPr>
            <w:tcW w:w="974" w:type="dxa"/>
            <w:shd w:val="clear" w:color="auto" w:fill="auto"/>
            <w:noWrap/>
            <w:vAlign w:val="center"/>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Residential</w:t>
            </w:r>
          </w:p>
        </w:tc>
        <w:tc>
          <w:tcPr>
            <w:tcW w:w="4744"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Central Heat Pump - Maintenance</w:t>
            </w:r>
          </w:p>
        </w:tc>
        <w:tc>
          <w:tcPr>
            <w:tcW w:w="1677"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9. $0.08 to $0.09</w:t>
            </w:r>
          </w:p>
        </w:tc>
        <w:tc>
          <w:tcPr>
            <w:tcW w:w="974" w:type="dxa"/>
            <w:shd w:val="clear" w:color="auto" w:fill="auto"/>
            <w:noWrap/>
            <w:vAlign w:val="center"/>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Residential</w:t>
            </w:r>
          </w:p>
        </w:tc>
        <w:tc>
          <w:tcPr>
            <w:tcW w:w="4744"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Refrigerator</w:t>
            </w:r>
          </w:p>
        </w:tc>
        <w:tc>
          <w:tcPr>
            <w:tcW w:w="1677"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9. $0.08 to $0.09</w:t>
            </w:r>
          </w:p>
        </w:tc>
        <w:tc>
          <w:tcPr>
            <w:tcW w:w="974" w:type="dxa"/>
            <w:shd w:val="clear" w:color="auto" w:fill="auto"/>
            <w:noWrap/>
            <w:vAlign w:val="center"/>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Residential</w:t>
            </w:r>
          </w:p>
        </w:tc>
        <w:tc>
          <w:tcPr>
            <w:tcW w:w="4744"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Water Heater - Desuperheater</w:t>
            </w:r>
          </w:p>
        </w:tc>
        <w:tc>
          <w:tcPr>
            <w:tcW w:w="1677"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9. $0.08 to $0.09</w:t>
            </w:r>
          </w:p>
        </w:tc>
        <w:tc>
          <w:tcPr>
            <w:tcW w:w="974" w:type="dxa"/>
            <w:shd w:val="clear" w:color="auto" w:fill="auto"/>
            <w:noWrap/>
            <w:vAlign w:val="center"/>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Residential</w:t>
            </w:r>
          </w:p>
        </w:tc>
        <w:tc>
          <w:tcPr>
            <w:tcW w:w="4744"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Water Heater &lt;= 55 Gal</w:t>
            </w:r>
          </w:p>
        </w:tc>
        <w:tc>
          <w:tcPr>
            <w:tcW w:w="1677"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9. $0.08 to $0.09</w:t>
            </w:r>
          </w:p>
        </w:tc>
        <w:tc>
          <w:tcPr>
            <w:tcW w:w="974" w:type="dxa"/>
            <w:shd w:val="clear" w:color="auto" w:fill="auto"/>
            <w:noWrap/>
            <w:vAlign w:val="center"/>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Advanced New Construction Designs</w:t>
            </w:r>
          </w:p>
        </w:tc>
        <w:tc>
          <w:tcPr>
            <w:tcW w:w="1677"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10. $0.09 to $0.10</w:t>
            </w:r>
          </w:p>
        </w:tc>
        <w:tc>
          <w:tcPr>
            <w:tcW w:w="974" w:type="dxa"/>
            <w:shd w:val="clear" w:color="auto" w:fill="auto"/>
            <w:noWrap/>
            <w:vAlign w:val="center"/>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Air Source Heat Pump</w:t>
            </w:r>
          </w:p>
        </w:tc>
        <w:tc>
          <w:tcPr>
            <w:tcW w:w="1677"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10. $0.09 to $0.10</w:t>
            </w:r>
          </w:p>
        </w:tc>
        <w:tc>
          <w:tcPr>
            <w:tcW w:w="974" w:type="dxa"/>
            <w:shd w:val="clear" w:color="auto" w:fill="auto"/>
            <w:noWrap/>
            <w:vAlign w:val="center"/>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Air-Cooled Chiller - Chiller Heat Recovery</w:t>
            </w:r>
          </w:p>
        </w:tc>
        <w:tc>
          <w:tcPr>
            <w:tcW w:w="1677"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10. $0.09 to $0.10</w:t>
            </w:r>
          </w:p>
        </w:tc>
        <w:tc>
          <w:tcPr>
            <w:tcW w:w="974" w:type="dxa"/>
            <w:shd w:val="clear" w:color="auto" w:fill="auto"/>
            <w:noWrap/>
            <w:vAlign w:val="center"/>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Air-Cooled Chiller - Variable Speed Chilled Water Loop</w:t>
            </w:r>
          </w:p>
        </w:tc>
        <w:tc>
          <w:tcPr>
            <w:tcW w:w="1677"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10. $0.09 to $0.10</w:t>
            </w:r>
          </w:p>
        </w:tc>
        <w:tc>
          <w:tcPr>
            <w:tcW w:w="974" w:type="dxa"/>
            <w:shd w:val="clear" w:color="auto" w:fill="auto"/>
            <w:noWrap/>
            <w:vAlign w:val="center"/>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Doors - High Efficiency</w:t>
            </w:r>
          </w:p>
        </w:tc>
        <w:tc>
          <w:tcPr>
            <w:tcW w:w="1677"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10. $0.09 to $0.10</w:t>
            </w:r>
          </w:p>
        </w:tc>
        <w:tc>
          <w:tcPr>
            <w:tcW w:w="974" w:type="dxa"/>
            <w:shd w:val="clear" w:color="auto" w:fill="auto"/>
            <w:noWrap/>
            <w:vAlign w:val="center"/>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Energy Management System</w:t>
            </w:r>
          </w:p>
        </w:tc>
        <w:tc>
          <w:tcPr>
            <w:tcW w:w="1677"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10. $0.09 to $0.10</w:t>
            </w:r>
          </w:p>
        </w:tc>
        <w:tc>
          <w:tcPr>
            <w:tcW w:w="974" w:type="dxa"/>
            <w:shd w:val="clear" w:color="auto" w:fill="auto"/>
            <w:noWrap/>
            <w:vAlign w:val="center"/>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Exterior Lighting - Bi-Level Fixture</w:t>
            </w:r>
          </w:p>
        </w:tc>
        <w:tc>
          <w:tcPr>
            <w:tcW w:w="1677"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10. $0.09 to $0.10</w:t>
            </w:r>
          </w:p>
        </w:tc>
        <w:tc>
          <w:tcPr>
            <w:tcW w:w="974" w:type="dxa"/>
            <w:shd w:val="clear" w:color="auto" w:fill="auto"/>
            <w:noWrap/>
            <w:vAlign w:val="center"/>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Geothermal Heat Pump</w:t>
            </w:r>
          </w:p>
        </w:tc>
        <w:tc>
          <w:tcPr>
            <w:tcW w:w="1677"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10. $0.09 to $0.10</w:t>
            </w:r>
          </w:p>
        </w:tc>
        <w:tc>
          <w:tcPr>
            <w:tcW w:w="974" w:type="dxa"/>
            <w:shd w:val="clear" w:color="auto" w:fill="auto"/>
            <w:noWrap/>
            <w:vAlign w:val="center"/>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HVAC - Economizer</w:t>
            </w:r>
          </w:p>
        </w:tc>
        <w:tc>
          <w:tcPr>
            <w:tcW w:w="1677"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10. $0.09 to $0.10</w:t>
            </w:r>
          </w:p>
        </w:tc>
        <w:tc>
          <w:tcPr>
            <w:tcW w:w="974" w:type="dxa"/>
            <w:shd w:val="clear" w:color="auto" w:fill="auto"/>
            <w:noWrap/>
            <w:vAlign w:val="center"/>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Insulation - Ceiling</w:t>
            </w:r>
          </w:p>
        </w:tc>
        <w:tc>
          <w:tcPr>
            <w:tcW w:w="1677"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10. $0.09 to $0.10</w:t>
            </w:r>
          </w:p>
        </w:tc>
        <w:tc>
          <w:tcPr>
            <w:tcW w:w="974" w:type="dxa"/>
            <w:shd w:val="clear" w:color="auto" w:fill="auto"/>
            <w:noWrap/>
            <w:vAlign w:val="center"/>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Insulation - Foundation</w:t>
            </w:r>
          </w:p>
        </w:tc>
        <w:tc>
          <w:tcPr>
            <w:tcW w:w="1677"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10. $0.09 to $0.10</w:t>
            </w:r>
          </w:p>
        </w:tc>
        <w:tc>
          <w:tcPr>
            <w:tcW w:w="974" w:type="dxa"/>
            <w:shd w:val="clear" w:color="auto" w:fill="auto"/>
            <w:noWrap/>
            <w:vAlign w:val="center"/>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Insulation - Radiant Barrier</w:t>
            </w:r>
          </w:p>
        </w:tc>
        <w:tc>
          <w:tcPr>
            <w:tcW w:w="1677"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10. $0.09 to $0.10</w:t>
            </w:r>
          </w:p>
        </w:tc>
        <w:tc>
          <w:tcPr>
            <w:tcW w:w="974" w:type="dxa"/>
            <w:shd w:val="clear" w:color="auto" w:fill="auto"/>
            <w:noWrap/>
            <w:vAlign w:val="center"/>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Insulation - Wall Cavity</w:t>
            </w:r>
          </w:p>
        </w:tc>
        <w:tc>
          <w:tcPr>
            <w:tcW w:w="1677"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10. $0.09 to $0.10</w:t>
            </w:r>
          </w:p>
        </w:tc>
        <w:tc>
          <w:tcPr>
            <w:tcW w:w="974" w:type="dxa"/>
            <w:shd w:val="clear" w:color="auto" w:fill="auto"/>
            <w:noWrap/>
            <w:vAlign w:val="center"/>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Interior Lighting - Daylighting Controls</w:t>
            </w:r>
          </w:p>
        </w:tc>
        <w:tc>
          <w:tcPr>
            <w:tcW w:w="1677"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10. $0.09 to $0.10</w:t>
            </w:r>
          </w:p>
        </w:tc>
        <w:tc>
          <w:tcPr>
            <w:tcW w:w="974" w:type="dxa"/>
            <w:shd w:val="clear" w:color="auto" w:fill="auto"/>
            <w:noWrap/>
            <w:vAlign w:val="center"/>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Interior Lighting - LED Exit Lighting</w:t>
            </w:r>
          </w:p>
        </w:tc>
        <w:tc>
          <w:tcPr>
            <w:tcW w:w="1677"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10. $0.09 to $0.10</w:t>
            </w:r>
          </w:p>
        </w:tc>
        <w:tc>
          <w:tcPr>
            <w:tcW w:w="974" w:type="dxa"/>
            <w:shd w:val="clear" w:color="auto" w:fill="auto"/>
            <w:noWrap/>
            <w:vAlign w:val="center"/>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Interior Screw-in - Task Lighting</w:t>
            </w:r>
          </w:p>
        </w:tc>
        <w:tc>
          <w:tcPr>
            <w:tcW w:w="1677"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10. $0.09 to $0.10</w:t>
            </w:r>
          </w:p>
        </w:tc>
        <w:tc>
          <w:tcPr>
            <w:tcW w:w="974" w:type="dxa"/>
            <w:shd w:val="clear" w:color="auto" w:fill="auto"/>
            <w:noWrap/>
            <w:vAlign w:val="center"/>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Refrigeration - Anti-Sweat Heater Controls</w:t>
            </w:r>
          </w:p>
        </w:tc>
        <w:tc>
          <w:tcPr>
            <w:tcW w:w="1677"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10. $0.09 to $0.10</w:t>
            </w:r>
          </w:p>
        </w:tc>
        <w:tc>
          <w:tcPr>
            <w:tcW w:w="974" w:type="dxa"/>
            <w:shd w:val="clear" w:color="auto" w:fill="auto"/>
            <w:noWrap/>
            <w:vAlign w:val="center"/>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RTU</w:t>
            </w:r>
          </w:p>
        </w:tc>
        <w:tc>
          <w:tcPr>
            <w:tcW w:w="1677"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10. $0.09 to $0.10</w:t>
            </w:r>
          </w:p>
        </w:tc>
        <w:tc>
          <w:tcPr>
            <w:tcW w:w="974" w:type="dxa"/>
            <w:shd w:val="clear" w:color="auto" w:fill="auto"/>
            <w:noWrap/>
            <w:vAlign w:val="center"/>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Ventilation</w:t>
            </w:r>
          </w:p>
        </w:tc>
        <w:tc>
          <w:tcPr>
            <w:tcW w:w="1677"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10. $0.09 to $0.10</w:t>
            </w:r>
          </w:p>
        </w:tc>
        <w:tc>
          <w:tcPr>
            <w:tcW w:w="974" w:type="dxa"/>
            <w:shd w:val="clear" w:color="auto" w:fill="auto"/>
            <w:noWrap/>
            <w:vAlign w:val="center"/>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Ventilation - ECM on VAV Boxes</w:t>
            </w:r>
          </w:p>
        </w:tc>
        <w:tc>
          <w:tcPr>
            <w:tcW w:w="1677"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10. $0.09 to $0.10</w:t>
            </w:r>
          </w:p>
        </w:tc>
        <w:tc>
          <w:tcPr>
            <w:tcW w:w="974" w:type="dxa"/>
            <w:shd w:val="clear" w:color="auto" w:fill="auto"/>
            <w:noWrap/>
            <w:vAlign w:val="center"/>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Ventilation - Variable Speed Control</w:t>
            </w:r>
          </w:p>
        </w:tc>
        <w:tc>
          <w:tcPr>
            <w:tcW w:w="1677"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10. $0.09 to $0.10</w:t>
            </w:r>
          </w:p>
        </w:tc>
        <w:tc>
          <w:tcPr>
            <w:tcW w:w="974" w:type="dxa"/>
            <w:shd w:val="clear" w:color="auto" w:fill="auto"/>
            <w:noWrap/>
            <w:vAlign w:val="center"/>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Water Heater - Drainwater Heat Recovery</w:t>
            </w:r>
          </w:p>
        </w:tc>
        <w:tc>
          <w:tcPr>
            <w:tcW w:w="1677"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10. $0.09 to $0.10</w:t>
            </w:r>
          </w:p>
        </w:tc>
        <w:tc>
          <w:tcPr>
            <w:tcW w:w="974" w:type="dxa"/>
            <w:shd w:val="clear" w:color="auto" w:fill="auto"/>
            <w:noWrap/>
            <w:vAlign w:val="center"/>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Water Heater - High Efficiency Circulation Pump</w:t>
            </w:r>
          </w:p>
        </w:tc>
        <w:tc>
          <w:tcPr>
            <w:tcW w:w="1677"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10. $0.09 to $0.10</w:t>
            </w:r>
          </w:p>
        </w:tc>
        <w:tc>
          <w:tcPr>
            <w:tcW w:w="974" w:type="dxa"/>
            <w:shd w:val="clear" w:color="auto" w:fill="auto"/>
            <w:noWrap/>
            <w:vAlign w:val="center"/>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Water-Cooled Chiller - Chiller Heat Recovery</w:t>
            </w:r>
          </w:p>
        </w:tc>
        <w:tc>
          <w:tcPr>
            <w:tcW w:w="1677"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10. $0.09 to $0.10</w:t>
            </w:r>
          </w:p>
        </w:tc>
        <w:tc>
          <w:tcPr>
            <w:tcW w:w="974" w:type="dxa"/>
            <w:shd w:val="clear" w:color="auto" w:fill="auto"/>
            <w:noWrap/>
            <w:vAlign w:val="center"/>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Commercial</w:t>
            </w:r>
          </w:p>
        </w:tc>
        <w:tc>
          <w:tcPr>
            <w:tcW w:w="4744"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Water-Cooled Chiller - Variable Speed Chilled Water Loop</w:t>
            </w:r>
          </w:p>
        </w:tc>
        <w:tc>
          <w:tcPr>
            <w:tcW w:w="1677"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10. $0.09 to $0.10</w:t>
            </w:r>
          </w:p>
        </w:tc>
        <w:tc>
          <w:tcPr>
            <w:tcW w:w="974" w:type="dxa"/>
            <w:shd w:val="clear" w:color="auto" w:fill="auto"/>
            <w:noWrap/>
            <w:vAlign w:val="center"/>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Industrial</w:t>
            </w:r>
          </w:p>
        </w:tc>
        <w:tc>
          <w:tcPr>
            <w:tcW w:w="4744"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Air-Cooled Chiller - Variable Speed Condenser Fans</w:t>
            </w:r>
          </w:p>
        </w:tc>
        <w:tc>
          <w:tcPr>
            <w:tcW w:w="1677"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10. $0.09 to $0.10</w:t>
            </w:r>
          </w:p>
        </w:tc>
        <w:tc>
          <w:tcPr>
            <w:tcW w:w="974" w:type="dxa"/>
            <w:shd w:val="clear" w:color="auto" w:fill="auto"/>
            <w:noWrap/>
            <w:vAlign w:val="center"/>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Industrial</w:t>
            </w:r>
          </w:p>
        </w:tc>
        <w:tc>
          <w:tcPr>
            <w:tcW w:w="4744"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Commissioning</w:t>
            </w:r>
          </w:p>
        </w:tc>
        <w:tc>
          <w:tcPr>
            <w:tcW w:w="1677"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10. $0.09 to $0.10</w:t>
            </w:r>
          </w:p>
        </w:tc>
        <w:tc>
          <w:tcPr>
            <w:tcW w:w="974" w:type="dxa"/>
            <w:shd w:val="clear" w:color="auto" w:fill="auto"/>
            <w:noWrap/>
            <w:vAlign w:val="center"/>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Industrial</w:t>
            </w:r>
          </w:p>
        </w:tc>
        <w:tc>
          <w:tcPr>
            <w:tcW w:w="4744"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Exterior Lighting - Daylighting Controls</w:t>
            </w:r>
          </w:p>
        </w:tc>
        <w:tc>
          <w:tcPr>
            <w:tcW w:w="1677"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10. $0.09 to $0.10</w:t>
            </w:r>
          </w:p>
        </w:tc>
        <w:tc>
          <w:tcPr>
            <w:tcW w:w="974" w:type="dxa"/>
            <w:shd w:val="clear" w:color="auto" w:fill="auto"/>
            <w:noWrap/>
            <w:vAlign w:val="center"/>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Industrial</w:t>
            </w:r>
          </w:p>
        </w:tc>
        <w:tc>
          <w:tcPr>
            <w:tcW w:w="4744"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Interior Lighting - Daylighting Controls</w:t>
            </w:r>
          </w:p>
        </w:tc>
        <w:tc>
          <w:tcPr>
            <w:tcW w:w="1677"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10. $0.09 to $0.10</w:t>
            </w:r>
          </w:p>
        </w:tc>
        <w:tc>
          <w:tcPr>
            <w:tcW w:w="974" w:type="dxa"/>
            <w:shd w:val="clear" w:color="auto" w:fill="auto"/>
            <w:noWrap/>
            <w:vAlign w:val="center"/>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Industrial</w:t>
            </w:r>
          </w:p>
        </w:tc>
        <w:tc>
          <w:tcPr>
            <w:tcW w:w="4744"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Retrocommissioning</w:t>
            </w:r>
          </w:p>
        </w:tc>
        <w:tc>
          <w:tcPr>
            <w:tcW w:w="1677"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10. $0.09 to $0.10</w:t>
            </w:r>
          </w:p>
        </w:tc>
        <w:tc>
          <w:tcPr>
            <w:tcW w:w="974" w:type="dxa"/>
            <w:shd w:val="clear" w:color="auto" w:fill="auto"/>
            <w:noWrap/>
            <w:vAlign w:val="center"/>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Industrial</w:t>
            </w:r>
          </w:p>
        </w:tc>
        <w:tc>
          <w:tcPr>
            <w:tcW w:w="4744"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Water-Cooled Chiller - Variable Speed Cooling Tower Fans</w:t>
            </w:r>
          </w:p>
        </w:tc>
        <w:tc>
          <w:tcPr>
            <w:tcW w:w="1677"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10. $0.09 to $0.10</w:t>
            </w:r>
          </w:p>
        </w:tc>
        <w:tc>
          <w:tcPr>
            <w:tcW w:w="974" w:type="dxa"/>
            <w:shd w:val="clear" w:color="auto" w:fill="auto"/>
            <w:noWrap/>
            <w:vAlign w:val="center"/>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Irrigation</w:t>
            </w:r>
          </w:p>
        </w:tc>
        <w:tc>
          <w:tcPr>
            <w:tcW w:w="4744"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Nozzle Replacement - Flow-Control Type</w:t>
            </w:r>
          </w:p>
        </w:tc>
        <w:tc>
          <w:tcPr>
            <w:tcW w:w="1677"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10. $0.09 to $0.10</w:t>
            </w:r>
          </w:p>
        </w:tc>
        <w:tc>
          <w:tcPr>
            <w:tcW w:w="974" w:type="dxa"/>
            <w:shd w:val="clear" w:color="auto" w:fill="auto"/>
            <w:noWrap/>
            <w:vAlign w:val="center"/>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Residential</w:t>
            </w:r>
          </w:p>
        </w:tc>
        <w:tc>
          <w:tcPr>
            <w:tcW w:w="4744"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Dishwasher</w:t>
            </w:r>
          </w:p>
        </w:tc>
        <w:tc>
          <w:tcPr>
            <w:tcW w:w="1677"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10. $0.09 to $0.10</w:t>
            </w:r>
          </w:p>
        </w:tc>
        <w:tc>
          <w:tcPr>
            <w:tcW w:w="974" w:type="dxa"/>
            <w:shd w:val="clear" w:color="auto" w:fill="auto"/>
            <w:noWrap/>
            <w:vAlign w:val="center"/>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Residential</w:t>
            </w:r>
          </w:p>
        </w:tc>
        <w:tc>
          <w:tcPr>
            <w:tcW w:w="4744"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Evaporative Cooling</w:t>
            </w:r>
          </w:p>
        </w:tc>
        <w:tc>
          <w:tcPr>
            <w:tcW w:w="1677"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10. $0.09 to $0.10</w:t>
            </w:r>
          </w:p>
        </w:tc>
        <w:tc>
          <w:tcPr>
            <w:tcW w:w="974" w:type="dxa"/>
            <w:shd w:val="clear" w:color="auto" w:fill="auto"/>
            <w:noWrap/>
            <w:vAlign w:val="center"/>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r w:rsidR="003E2787" w:rsidRPr="001E3234" w:rsidTr="00D15D3C">
        <w:trPr>
          <w:trHeight w:val="300"/>
        </w:trPr>
        <w:tc>
          <w:tcPr>
            <w:tcW w:w="1403"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Residential</w:t>
            </w:r>
          </w:p>
        </w:tc>
        <w:tc>
          <w:tcPr>
            <w:tcW w:w="4744"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Insulation - Floor</w:t>
            </w:r>
          </w:p>
        </w:tc>
        <w:tc>
          <w:tcPr>
            <w:tcW w:w="1677" w:type="dxa"/>
            <w:shd w:val="clear" w:color="auto" w:fill="auto"/>
            <w:noWrap/>
            <w:vAlign w:val="center"/>
          </w:tcPr>
          <w:p w:rsidR="003E2787" w:rsidRPr="001E3234" w:rsidRDefault="003E2787" w:rsidP="00D15D3C">
            <w:pPr>
              <w:jc w:val="left"/>
              <w:rPr>
                <w:rFonts w:cs="Times New Roman"/>
                <w:sz w:val="20"/>
                <w:szCs w:val="20"/>
              </w:rPr>
            </w:pPr>
            <w:r w:rsidRPr="001E3234">
              <w:rPr>
                <w:rFonts w:cs="Times New Roman"/>
                <w:sz w:val="20"/>
                <w:szCs w:val="20"/>
              </w:rPr>
              <w:t>10. $0.09 to $0.10</w:t>
            </w:r>
          </w:p>
        </w:tc>
        <w:tc>
          <w:tcPr>
            <w:tcW w:w="974" w:type="dxa"/>
            <w:shd w:val="clear" w:color="auto" w:fill="auto"/>
            <w:noWrap/>
            <w:vAlign w:val="center"/>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c>
          <w:tcPr>
            <w:tcW w:w="915" w:type="dxa"/>
            <w:shd w:val="clear" w:color="auto" w:fill="auto"/>
            <w:noWrap/>
            <w:vAlign w:val="center"/>
          </w:tcPr>
          <w:p w:rsidR="003E2787" w:rsidRPr="001E3234" w:rsidRDefault="003E2787" w:rsidP="00D15D3C">
            <w:pPr>
              <w:jc w:val="center"/>
              <w:rPr>
                <w:rFonts w:ascii="Wingdings" w:hAnsi="Wingdings"/>
                <w:sz w:val="20"/>
                <w:szCs w:val="20"/>
              </w:rPr>
            </w:pPr>
            <w:r w:rsidRPr="001E3234">
              <w:rPr>
                <w:rFonts w:ascii="Wingdings" w:hAnsi="Wingdings"/>
                <w:sz w:val="20"/>
                <w:szCs w:val="20"/>
              </w:rPr>
              <w:t></w:t>
            </w:r>
          </w:p>
        </w:tc>
      </w:tr>
    </w:tbl>
    <w:p w:rsidR="00232B78" w:rsidRDefault="00232B78" w:rsidP="0070198E">
      <w:pPr>
        <w:jc w:val="center"/>
        <w:rPr>
          <w:rFonts w:cs="Times New Roman"/>
          <w:b/>
          <w:szCs w:val="24"/>
        </w:rPr>
      </w:pPr>
    </w:p>
    <w:p w:rsidR="00232B78" w:rsidRPr="00432C28" w:rsidRDefault="00232B78" w:rsidP="0070198E">
      <w:pPr>
        <w:jc w:val="center"/>
        <w:rPr>
          <w:rFonts w:cs="Times New Roman"/>
          <w:b/>
          <w:szCs w:val="24"/>
        </w:rPr>
      </w:pPr>
    </w:p>
    <w:p w:rsidR="00F7709B" w:rsidRPr="00432C28" w:rsidRDefault="00F7709B" w:rsidP="00A33439">
      <w:pPr>
        <w:jc w:val="center"/>
        <w:rPr>
          <w:rFonts w:cs="Times New Roman"/>
          <w:b/>
          <w:szCs w:val="24"/>
        </w:rPr>
      </w:pPr>
    </w:p>
    <w:p w:rsidR="00F7709B" w:rsidRPr="00432C28" w:rsidRDefault="00F7709B" w:rsidP="00A33439">
      <w:pPr>
        <w:jc w:val="center"/>
        <w:rPr>
          <w:rFonts w:cs="Times New Roman"/>
          <w:b/>
          <w:szCs w:val="24"/>
        </w:rPr>
      </w:pPr>
    </w:p>
    <w:p w:rsidR="00AA5F41" w:rsidRPr="00432C28" w:rsidRDefault="00346ABC">
      <w:pPr>
        <w:jc w:val="left"/>
        <w:rPr>
          <w:rFonts w:cs="Times New Roman"/>
          <w:szCs w:val="24"/>
        </w:rPr>
        <w:sectPr w:rsidR="00AA5F41" w:rsidRPr="00432C28" w:rsidSect="00065E37">
          <w:headerReference w:type="even" r:id="rId52"/>
          <w:headerReference w:type="default" r:id="rId53"/>
          <w:footerReference w:type="default" r:id="rId54"/>
          <w:headerReference w:type="first" r:id="rId55"/>
          <w:pgSz w:w="12240" w:h="15840"/>
          <w:pgMar w:top="720" w:right="720" w:bottom="720" w:left="720" w:header="720" w:footer="720" w:gutter="0"/>
          <w:pgNumType w:start="1"/>
          <w:cols w:space="720"/>
          <w:docGrid w:linePitch="360"/>
        </w:sectPr>
      </w:pPr>
      <w:r w:rsidRPr="00432C28">
        <w:rPr>
          <w:rFonts w:cs="Times New Roman"/>
          <w:szCs w:val="24"/>
        </w:rPr>
        <w:br w:type="page"/>
      </w:r>
    </w:p>
    <w:p w:rsidR="006E32D5" w:rsidRDefault="006E32D5" w:rsidP="00E3675A">
      <w:pPr>
        <w:jc w:val="center"/>
        <w:rPr>
          <w:rFonts w:cs="Times New Roman"/>
          <w:color w:val="000000" w:themeColor="text1"/>
          <w:sz w:val="48"/>
          <w:szCs w:val="48"/>
        </w:rPr>
      </w:pPr>
    </w:p>
    <w:p w:rsidR="006E32D5" w:rsidRDefault="006E32D5" w:rsidP="00E3675A">
      <w:pPr>
        <w:jc w:val="center"/>
        <w:rPr>
          <w:rFonts w:cs="Times New Roman"/>
          <w:color w:val="000000" w:themeColor="text1"/>
          <w:sz w:val="48"/>
          <w:szCs w:val="48"/>
        </w:rPr>
      </w:pPr>
    </w:p>
    <w:p w:rsidR="006E32D5" w:rsidRDefault="006E32D5" w:rsidP="00E3675A">
      <w:pPr>
        <w:jc w:val="center"/>
        <w:rPr>
          <w:rFonts w:cs="Times New Roman"/>
          <w:color w:val="000000" w:themeColor="text1"/>
          <w:sz w:val="48"/>
          <w:szCs w:val="48"/>
        </w:rPr>
      </w:pPr>
    </w:p>
    <w:p w:rsidR="006E32D5" w:rsidRDefault="006E32D5" w:rsidP="00E3675A">
      <w:pPr>
        <w:jc w:val="center"/>
        <w:rPr>
          <w:rFonts w:cs="Times New Roman"/>
          <w:color w:val="000000" w:themeColor="text1"/>
          <w:sz w:val="48"/>
          <w:szCs w:val="48"/>
        </w:rPr>
      </w:pPr>
    </w:p>
    <w:p w:rsidR="006E32D5" w:rsidRDefault="006E32D5" w:rsidP="00E3675A">
      <w:pPr>
        <w:jc w:val="center"/>
        <w:rPr>
          <w:rFonts w:cs="Times New Roman"/>
          <w:color w:val="000000" w:themeColor="text1"/>
          <w:sz w:val="48"/>
          <w:szCs w:val="48"/>
        </w:rPr>
      </w:pPr>
    </w:p>
    <w:p w:rsidR="00E3675A" w:rsidRPr="00432C28" w:rsidRDefault="00E3675A" w:rsidP="00E3675A">
      <w:pPr>
        <w:jc w:val="center"/>
        <w:rPr>
          <w:rFonts w:cs="Times New Roman"/>
          <w:color w:val="000000" w:themeColor="text1"/>
          <w:sz w:val="48"/>
          <w:szCs w:val="48"/>
        </w:rPr>
      </w:pPr>
      <w:r w:rsidRPr="00432C28">
        <w:rPr>
          <w:rFonts w:cs="Times New Roman"/>
          <w:color w:val="000000" w:themeColor="text1"/>
          <w:sz w:val="48"/>
          <w:szCs w:val="48"/>
        </w:rPr>
        <w:t>Appendix 6</w:t>
      </w:r>
    </w:p>
    <w:p w:rsidR="006E32D5" w:rsidRPr="006E32D5" w:rsidRDefault="006E32D5" w:rsidP="00E3675A">
      <w:pPr>
        <w:jc w:val="center"/>
        <w:rPr>
          <w:rFonts w:cs="Times New Roman"/>
          <w:color w:val="000000" w:themeColor="text1"/>
          <w:sz w:val="48"/>
          <w:szCs w:val="48"/>
        </w:rPr>
      </w:pPr>
      <w:r w:rsidRPr="006E32D5">
        <w:rPr>
          <w:rFonts w:cs="Times New Roman"/>
          <w:sz w:val="48"/>
          <w:szCs w:val="48"/>
        </w:rPr>
        <w:t>CLEAResult Waste Heat to Power and Regenerative Technologies Analysis</w:t>
      </w:r>
    </w:p>
    <w:p w:rsidR="00196F54" w:rsidRDefault="00196F54" w:rsidP="00196F54">
      <w:pPr>
        <w:ind w:left="630"/>
        <w:jc w:val="center"/>
        <w:rPr>
          <w:rFonts w:cs="Times New Roman"/>
          <w:szCs w:val="24"/>
        </w:rPr>
      </w:pPr>
    </w:p>
    <w:p w:rsidR="00196F54" w:rsidRPr="00432C28" w:rsidRDefault="00196F54" w:rsidP="00196F54">
      <w:pPr>
        <w:ind w:left="630"/>
        <w:jc w:val="center"/>
        <w:rPr>
          <w:rFonts w:cs="Times New Roman"/>
          <w:sz w:val="48"/>
          <w:szCs w:val="48"/>
        </w:rPr>
      </w:pPr>
      <w:r w:rsidRPr="00432C28">
        <w:rPr>
          <w:rFonts w:cs="Times New Roman"/>
          <w:szCs w:val="24"/>
        </w:rPr>
        <w:t xml:space="preserve">(Appendix </w:t>
      </w:r>
      <w:r>
        <w:rPr>
          <w:rFonts w:cs="Times New Roman"/>
          <w:szCs w:val="24"/>
        </w:rPr>
        <w:t>6</w:t>
      </w:r>
      <w:r w:rsidRPr="00432C28">
        <w:rPr>
          <w:rFonts w:cs="Times New Roman"/>
          <w:szCs w:val="24"/>
        </w:rPr>
        <w:t xml:space="preserve"> is voluminous and therefore provided on compact disc)</w:t>
      </w:r>
    </w:p>
    <w:p w:rsidR="00E3675A" w:rsidRPr="00432C28" w:rsidRDefault="00E3675A" w:rsidP="00E3675A">
      <w:pPr>
        <w:jc w:val="center"/>
        <w:rPr>
          <w:rFonts w:cs="Times New Roman"/>
          <w:color w:val="000000" w:themeColor="text1"/>
          <w:sz w:val="48"/>
          <w:szCs w:val="48"/>
        </w:rPr>
      </w:pPr>
    </w:p>
    <w:p w:rsidR="00DF5805" w:rsidRPr="00432C28" w:rsidRDefault="00DF5805" w:rsidP="00346ABC">
      <w:pPr>
        <w:jc w:val="center"/>
        <w:rPr>
          <w:rFonts w:cs="Times New Roman"/>
          <w:sz w:val="48"/>
          <w:szCs w:val="48"/>
        </w:rPr>
      </w:pPr>
    </w:p>
    <w:p w:rsidR="002768CB" w:rsidRPr="00432C28" w:rsidRDefault="002768CB" w:rsidP="00346ABC">
      <w:pPr>
        <w:jc w:val="center"/>
        <w:rPr>
          <w:rFonts w:cs="Times New Roman"/>
          <w:sz w:val="48"/>
          <w:szCs w:val="48"/>
        </w:rPr>
      </w:pPr>
    </w:p>
    <w:p w:rsidR="002768CB" w:rsidRPr="00432C28" w:rsidRDefault="002768CB" w:rsidP="00346ABC">
      <w:pPr>
        <w:jc w:val="center"/>
        <w:rPr>
          <w:rFonts w:cs="Times New Roman"/>
          <w:sz w:val="48"/>
          <w:szCs w:val="48"/>
        </w:rPr>
      </w:pPr>
    </w:p>
    <w:p w:rsidR="00FF7889" w:rsidRPr="00432C28" w:rsidRDefault="00FF7889" w:rsidP="00346ABC">
      <w:pPr>
        <w:jc w:val="center"/>
        <w:rPr>
          <w:rFonts w:cs="Times New Roman"/>
          <w:sz w:val="48"/>
          <w:szCs w:val="48"/>
        </w:rPr>
      </w:pPr>
    </w:p>
    <w:p w:rsidR="006E32D5" w:rsidRDefault="006E32D5" w:rsidP="004501B2">
      <w:pPr>
        <w:jc w:val="center"/>
        <w:rPr>
          <w:rFonts w:cs="Times New Roman"/>
          <w:sz w:val="48"/>
          <w:szCs w:val="48"/>
        </w:rPr>
      </w:pPr>
    </w:p>
    <w:p w:rsidR="006E32D5" w:rsidRDefault="006E32D5" w:rsidP="004501B2">
      <w:pPr>
        <w:jc w:val="center"/>
        <w:rPr>
          <w:rFonts w:cs="Times New Roman"/>
          <w:sz w:val="48"/>
          <w:szCs w:val="48"/>
        </w:rPr>
      </w:pPr>
    </w:p>
    <w:p w:rsidR="006E32D5" w:rsidRDefault="006E32D5" w:rsidP="004501B2">
      <w:pPr>
        <w:jc w:val="center"/>
        <w:rPr>
          <w:rFonts w:cs="Times New Roman"/>
          <w:sz w:val="48"/>
          <w:szCs w:val="48"/>
        </w:rPr>
      </w:pPr>
    </w:p>
    <w:p w:rsidR="006E32D5" w:rsidRDefault="006E32D5" w:rsidP="004501B2">
      <w:pPr>
        <w:jc w:val="center"/>
        <w:rPr>
          <w:rFonts w:cs="Times New Roman"/>
          <w:sz w:val="48"/>
          <w:szCs w:val="48"/>
        </w:rPr>
      </w:pPr>
    </w:p>
    <w:p w:rsidR="006E32D5" w:rsidRDefault="006E32D5" w:rsidP="004501B2">
      <w:pPr>
        <w:jc w:val="center"/>
        <w:rPr>
          <w:rFonts w:cs="Times New Roman"/>
          <w:sz w:val="48"/>
          <w:szCs w:val="48"/>
        </w:rPr>
      </w:pPr>
    </w:p>
    <w:p w:rsidR="006E32D5" w:rsidRDefault="006E32D5" w:rsidP="004501B2">
      <w:pPr>
        <w:jc w:val="center"/>
        <w:rPr>
          <w:rFonts w:cs="Times New Roman"/>
          <w:sz w:val="48"/>
          <w:szCs w:val="48"/>
        </w:rPr>
      </w:pPr>
    </w:p>
    <w:p w:rsidR="006E32D5" w:rsidRDefault="006E32D5" w:rsidP="004501B2">
      <w:pPr>
        <w:jc w:val="center"/>
        <w:rPr>
          <w:rFonts w:cs="Times New Roman"/>
          <w:sz w:val="48"/>
          <w:szCs w:val="48"/>
        </w:rPr>
      </w:pPr>
    </w:p>
    <w:p w:rsidR="006E32D5" w:rsidRDefault="006E32D5" w:rsidP="004501B2">
      <w:pPr>
        <w:jc w:val="center"/>
        <w:rPr>
          <w:rFonts w:cs="Times New Roman"/>
          <w:sz w:val="48"/>
          <w:szCs w:val="48"/>
        </w:rPr>
      </w:pPr>
    </w:p>
    <w:p w:rsidR="006E32D5" w:rsidRDefault="006E32D5" w:rsidP="004501B2">
      <w:pPr>
        <w:jc w:val="center"/>
        <w:rPr>
          <w:rFonts w:cs="Times New Roman"/>
          <w:sz w:val="48"/>
          <w:szCs w:val="48"/>
        </w:rPr>
      </w:pPr>
    </w:p>
    <w:p w:rsidR="006E32D5" w:rsidRDefault="006E32D5" w:rsidP="004501B2">
      <w:pPr>
        <w:jc w:val="center"/>
        <w:rPr>
          <w:rFonts w:cs="Times New Roman"/>
          <w:sz w:val="48"/>
          <w:szCs w:val="48"/>
        </w:rPr>
      </w:pPr>
    </w:p>
    <w:p w:rsidR="006E32D5" w:rsidRDefault="006E32D5" w:rsidP="004501B2">
      <w:pPr>
        <w:jc w:val="center"/>
        <w:rPr>
          <w:rFonts w:cs="Times New Roman"/>
          <w:sz w:val="48"/>
          <w:szCs w:val="48"/>
        </w:rPr>
      </w:pPr>
    </w:p>
    <w:p w:rsidR="006E32D5" w:rsidRDefault="006E32D5" w:rsidP="004501B2">
      <w:pPr>
        <w:jc w:val="center"/>
        <w:rPr>
          <w:rFonts w:cs="Times New Roman"/>
          <w:sz w:val="48"/>
          <w:szCs w:val="48"/>
        </w:rPr>
      </w:pPr>
    </w:p>
    <w:p w:rsidR="006E32D5" w:rsidRDefault="006E32D5" w:rsidP="004501B2">
      <w:pPr>
        <w:jc w:val="center"/>
        <w:rPr>
          <w:rFonts w:cs="Times New Roman"/>
          <w:sz w:val="48"/>
          <w:szCs w:val="48"/>
        </w:rPr>
      </w:pPr>
    </w:p>
    <w:p w:rsidR="006E32D5" w:rsidRDefault="006E32D5" w:rsidP="004501B2">
      <w:pPr>
        <w:jc w:val="center"/>
        <w:rPr>
          <w:rFonts w:cs="Times New Roman"/>
          <w:sz w:val="48"/>
          <w:szCs w:val="48"/>
        </w:rPr>
      </w:pPr>
    </w:p>
    <w:p w:rsidR="00346ABC" w:rsidRPr="00432C28" w:rsidRDefault="00346ABC" w:rsidP="004501B2">
      <w:pPr>
        <w:jc w:val="center"/>
        <w:rPr>
          <w:rFonts w:cs="Times New Roman"/>
          <w:sz w:val="48"/>
          <w:szCs w:val="48"/>
        </w:rPr>
      </w:pPr>
      <w:r w:rsidRPr="00432C28">
        <w:rPr>
          <w:rFonts w:cs="Times New Roman"/>
          <w:sz w:val="48"/>
          <w:szCs w:val="48"/>
        </w:rPr>
        <w:t xml:space="preserve">Appendix </w:t>
      </w:r>
      <w:r w:rsidR="00B1748B" w:rsidRPr="00432C28">
        <w:rPr>
          <w:rFonts w:cs="Times New Roman"/>
          <w:sz w:val="48"/>
          <w:szCs w:val="48"/>
        </w:rPr>
        <w:t>7</w:t>
      </w:r>
    </w:p>
    <w:p w:rsidR="00346ABC" w:rsidRPr="00432C28" w:rsidRDefault="00346ABC" w:rsidP="004501B2">
      <w:pPr>
        <w:jc w:val="center"/>
        <w:rPr>
          <w:rFonts w:cs="Times New Roman"/>
          <w:sz w:val="48"/>
          <w:szCs w:val="48"/>
        </w:rPr>
      </w:pPr>
      <w:r w:rsidRPr="00432C28">
        <w:rPr>
          <w:rFonts w:cs="Times New Roman"/>
          <w:sz w:val="48"/>
          <w:szCs w:val="48"/>
        </w:rPr>
        <w:t>PacifiCorp’s Washington Demand-side Management Business Plan</w:t>
      </w:r>
      <w:r w:rsidR="006E370B" w:rsidRPr="00432C28">
        <w:rPr>
          <w:rFonts w:cs="Times New Roman"/>
          <w:sz w:val="48"/>
          <w:szCs w:val="48"/>
        </w:rPr>
        <w:t xml:space="preserve"> for 201</w:t>
      </w:r>
      <w:r w:rsidR="008A54D7">
        <w:rPr>
          <w:rFonts w:cs="Times New Roman"/>
          <w:sz w:val="48"/>
          <w:szCs w:val="48"/>
        </w:rPr>
        <w:t>6</w:t>
      </w:r>
      <w:r w:rsidR="006E370B" w:rsidRPr="00432C28">
        <w:rPr>
          <w:rFonts w:cs="Times New Roman"/>
          <w:sz w:val="48"/>
          <w:szCs w:val="48"/>
        </w:rPr>
        <w:t>-201</w:t>
      </w:r>
      <w:r w:rsidR="008A54D7">
        <w:rPr>
          <w:rFonts w:cs="Times New Roman"/>
          <w:sz w:val="48"/>
          <w:szCs w:val="48"/>
        </w:rPr>
        <w:t>7</w:t>
      </w:r>
    </w:p>
    <w:p w:rsidR="00FF7889" w:rsidRPr="00432C28" w:rsidRDefault="00FF7889" w:rsidP="004501B2">
      <w:pPr>
        <w:jc w:val="center"/>
        <w:rPr>
          <w:rFonts w:cs="Times New Roman"/>
          <w:szCs w:val="24"/>
        </w:rPr>
      </w:pPr>
    </w:p>
    <w:p w:rsidR="00346ABC" w:rsidRPr="00432C28" w:rsidRDefault="002333FD" w:rsidP="004501B2">
      <w:pPr>
        <w:jc w:val="center"/>
        <w:rPr>
          <w:rFonts w:cs="Times New Roman"/>
          <w:szCs w:val="24"/>
        </w:rPr>
      </w:pPr>
      <w:r w:rsidRPr="00432C28">
        <w:rPr>
          <w:rFonts w:cs="Times New Roman"/>
          <w:szCs w:val="24"/>
        </w:rPr>
        <w:t>(Appendix 7 is voluminous and therefore provided on compact disc)</w:t>
      </w:r>
    </w:p>
    <w:p w:rsidR="00AA5F41" w:rsidRPr="00432C28" w:rsidRDefault="00011FB1" w:rsidP="004501B2">
      <w:pPr>
        <w:jc w:val="center"/>
        <w:rPr>
          <w:rFonts w:cs="Times New Roman"/>
          <w:szCs w:val="24"/>
        </w:rPr>
        <w:sectPr w:rsidR="00AA5F41" w:rsidRPr="00432C28" w:rsidSect="00196F54">
          <w:headerReference w:type="even" r:id="rId56"/>
          <w:headerReference w:type="default" r:id="rId57"/>
          <w:footerReference w:type="default" r:id="rId58"/>
          <w:headerReference w:type="first" r:id="rId59"/>
          <w:pgSz w:w="12240" w:h="15840"/>
          <w:pgMar w:top="1440" w:right="1440" w:bottom="1440" w:left="1440" w:header="720" w:footer="720" w:gutter="0"/>
          <w:pgNumType w:start="1"/>
          <w:cols w:space="720"/>
          <w:docGrid w:linePitch="360"/>
        </w:sectPr>
      </w:pPr>
      <w:r w:rsidRPr="00432C28">
        <w:rPr>
          <w:rFonts w:cs="Times New Roman"/>
          <w:szCs w:val="24"/>
        </w:rPr>
        <w:br w:type="page"/>
      </w:r>
    </w:p>
    <w:p w:rsidR="00453318" w:rsidRPr="00432C28" w:rsidRDefault="00453318" w:rsidP="0092059C">
      <w:pPr>
        <w:jc w:val="center"/>
        <w:rPr>
          <w:rFonts w:cs="Times New Roman"/>
          <w:sz w:val="48"/>
          <w:szCs w:val="48"/>
        </w:rPr>
      </w:pPr>
    </w:p>
    <w:p w:rsidR="00453318" w:rsidRPr="00432C28" w:rsidRDefault="00453318" w:rsidP="0092059C">
      <w:pPr>
        <w:jc w:val="center"/>
        <w:rPr>
          <w:rFonts w:cs="Times New Roman"/>
          <w:sz w:val="48"/>
          <w:szCs w:val="48"/>
        </w:rPr>
      </w:pPr>
    </w:p>
    <w:p w:rsidR="00453318" w:rsidRPr="00432C28" w:rsidRDefault="00453318" w:rsidP="0092059C">
      <w:pPr>
        <w:jc w:val="center"/>
        <w:rPr>
          <w:rFonts w:cs="Times New Roman"/>
          <w:sz w:val="48"/>
          <w:szCs w:val="48"/>
        </w:rPr>
      </w:pPr>
    </w:p>
    <w:p w:rsidR="00453318" w:rsidRPr="00432C28" w:rsidRDefault="00453318" w:rsidP="0092059C">
      <w:pPr>
        <w:jc w:val="center"/>
        <w:rPr>
          <w:rFonts w:cs="Times New Roman"/>
          <w:sz w:val="48"/>
          <w:szCs w:val="48"/>
        </w:rPr>
      </w:pPr>
    </w:p>
    <w:p w:rsidR="00FF7889" w:rsidRPr="00432C28" w:rsidRDefault="00FF7889" w:rsidP="0092059C">
      <w:pPr>
        <w:jc w:val="center"/>
        <w:rPr>
          <w:rFonts w:cs="Times New Roman"/>
          <w:sz w:val="48"/>
          <w:szCs w:val="48"/>
        </w:rPr>
      </w:pPr>
    </w:p>
    <w:p w:rsidR="0092059C" w:rsidRPr="00432C28" w:rsidRDefault="0092059C" w:rsidP="0092059C">
      <w:pPr>
        <w:jc w:val="center"/>
        <w:rPr>
          <w:rFonts w:cs="Times New Roman"/>
          <w:sz w:val="48"/>
          <w:szCs w:val="48"/>
        </w:rPr>
      </w:pPr>
      <w:r w:rsidRPr="00432C28">
        <w:rPr>
          <w:rFonts w:cs="Times New Roman"/>
          <w:sz w:val="48"/>
          <w:szCs w:val="48"/>
        </w:rPr>
        <w:t>Appendix 8</w:t>
      </w:r>
    </w:p>
    <w:p w:rsidR="0076220A" w:rsidRPr="00432C28" w:rsidRDefault="0092059C" w:rsidP="0076220A">
      <w:pPr>
        <w:jc w:val="center"/>
        <w:rPr>
          <w:rFonts w:cs="Times New Roman"/>
          <w:sz w:val="48"/>
          <w:szCs w:val="48"/>
        </w:rPr>
      </w:pPr>
      <w:r w:rsidRPr="00432C28">
        <w:rPr>
          <w:rFonts w:cs="Times New Roman"/>
          <w:sz w:val="48"/>
          <w:szCs w:val="48"/>
        </w:rPr>
        <w:t>PacifiCorp’s Evaluation, Measurement, and Verification Framework</w:t>
      </w:r>
    </w:p>
    <w:p w:rsidR="00FF7889" w:rsidRPr="00432C28" w:rsidRDefault="00FF7889" w:rsidP="0076220A">
      <w:pPr>
        <w:jc w:val="center"/>
        <w:rPr>
          <w:rFonts w:cs="Times New Roman"/>
          <w:szCs w:val="24"/>
        </w:rPr>
      </w:pPr>
    </w:p>
    <w:p w:rsidR="00DE071F" w:rsidRPr="00432C28" w:rsidRDefault="0076220A" w:rsidP="0076220A">
      <w:pPr>
        <w:jc w:val="center"/>
        <w:rPr>
          <w:rFonts w:cs="Times New Roman"/>
          <w:szCs w:val="24"/>
        </w:rPr>
      </w:pPr>
      <w:r w:rsidRPr="00432C28">
        <w:rPr>
          <w:rFonts w:cs="Times New Roman"/>
          <w:szCs w:val="24"/>
        </w:rPr>
        <w:t>(Appendix 8 is voluminous and therefore provided on compact disc)</w:t>
      </w:r>
    </w:p>
    <w:p w:rsidR="0076220A" w:rsidRDefault="00DE071F" w:rsidP="00DE071F">
      <w:pPr>
        <w:jc w:val="left"/>
        <w:rPr>
          <w:rFonts w:cs="Times New Roman"/>
          <w:szCs w:val="24"/>
        </w:rPr>
      </w:pPr>
      <w:r w:rsidRPr="00432C28">
        <w:rPr>
          <w:rFonts w:cs="Times New Roman"/>
          <w:szCs w:val="24"/>
        </w:rPr>
        <w:br w:type="page"/>
      </w:r>
    </w:p>
    <w:p w:rsidR="00BE47AC" w:rsidRDefault="00BE47AC" w:rsidP="00DE071F">
      <w:pPr>
        <w:jc w:val="left"/>
        <w:rPr>
          <w:rFonts w:cs="Times New Roman"/>
          <w:szCs w:val="24"/>
        </w:rPr>
      </w:pPr>
    </w:p>
    <w:p w:rsidR="00BE47AC" w:rsidRPr="00432C28" w:rsidRDefault="00BE47AC" w:rsidP="00DE071F">
      <w:pPr>
        <w:jc w:val="left"/>
        <w:rPr>
          <w:rFonts w:cs="Times New Roman"/>
          <w:szCs w:val="24"/>
        </w:rPr>
      </w:pPr>
    </w:p>
    <w:p w:rsidR="001A6E4E" w:rsidRDefault="001A6E4E" w:rsidP="001A6E4E">
      <w:pPr>
        <w:jc w:val="left"/>
        <w:rPr>
          <w:rFonts w:cs="Times New Roman"/>
          <w:sz w:val="48"/>
          <w:szCs w:val="48"/>
        </w:rPr>
      </w:pPr>
    </w:p>
    <w:p w:rsidR="00BE47AC" w:rsidRDefault="00BE47AC" w:rsidP="001A6E4E">
      <w:pPr>
        <w:jc w:val="left"/>
        <w:rPr>
          <w:rFonts w:cs="Times New Roman"/>
          <w:sz w:val="48"/>
          <w:szCs w:val="48"/>
        </w:rPr>
      </w:pPr>
    </w:p>
    <w:p w:rsidR="00BE47AC" w:rsidRPr="00432C28" w:rsidRDefault="00BE47AC" w:rsidP="001A6E4E">
      <w:pPr>
        <w:jc w:val="left"/>
        <w:rPr>
          <w:rFonts w:cs="Times New Roman"/>
          <w:sz w:val="48"/>
          <w:szCs w:val="48"/>
        </w:rPr>
        <w:sectPr w:rsidR="00BE47AC" w:rsidRPr="00432C28">
          <w:headerReference w:type="even" r:id="rId60"/>
          <w:headerReference w:type="default" r:id="rId61"/>
          <w:footerReference w:type="default" r:id="rId62"/>
          <w:headerReference w:type="first" r:id="rId63"/>
          <w:pgSz w:w="12240" w:h="15840"/>
          <w:pgMar w:top="1440" w:right="1440" w:bottom="1440" w:left="1440" w:header="720" w:footer="720" w:gutter="0"/>
          <w:pgNumType w:start="1"/>
          <w:cols w:space="720"/>
          <w:docGrid w:linePitch="360"/>
        </w:sectPr>
      </w:pPr>
    </w:p>
    <w:p w:rsidR="0092059C" w:rsidRPr="00432C28" w:rsidRDefault="0092059C" w:rsidP="0092059C">
      <w:pPr>
        <w:jc w:val="center"/>
        <w:rPr>
          <w:rFonts w:cs="Times New Roman"/>
          <w:sz w:val="48"/>
          <w:szCs w:val="48"/>
        </w:rPr>
      </w:pPr>
      <w:r w:rsidRPr="00432C28">
        <w:rPr>
          <w:rFonts w:cs="Times New Roman"/>
          <w:sz w:val="48"/>
          <w:szCs w:val="48"/>
        </w:rPr>
        <w:t>Appendix 9</w:t>
      </w:r>
    </w:p>
    <w:p w:rsidR="0092059C" w:rsidRPr="00432C28" w:rsidRDefault="0092059C" w:rsidP="0092059C">
      <w:pPr>
        <w:jc w:val="center"/>
        <w:rPr>
          <w:rFonts w:cs="Times New Roman"/>
          <w:sz w:val="48"/>
          <w:szCs w:val="48"/>
        </w:rPr>
      </w:pPr>
      <w:r w:rsidRPr="00432C28">
        <w:rPr>
          <w:rFonts w:cs="Times New Roman"/>
          <w:sz w:val="48"/>
          <w:szCs w:val="48"/>
        </w:rPr>
        <w:t>Northwest Energy Efficiency Alliance</w:t>
      </w:r>
    </w:p>
    <w:p w:rsidR="0092059C" w:rsidRPr="00432C28" w:rsidRDefault="001D6EDC" w:rsidP="0092059C">
      <w:pPr>
        <w:jc w:val="center"/>
        <w:rPr>
          <w:rFonts w:cs="Times New Roman"/>
          <w:sz w:val="48"/>
          <w:szCs w:val="48"/>
        </w:rPr>
      </w:pPr>
      <w:r w:rsidRPr="00432C28">
        <w:rPr>
          <w:rFonts w:cs="Times New Roman"/>
          <w:sz w:val="48"/>
          <w:szCs w:val="48"/>
        </w:rPr>
        <w:t>201</w:t>
      </w:r>
      <w:r w:rsidR="0086318D">
        <w:rPr>
          <w:rFonts w:cs="Times New Roman"/>
          <w:sz w:val="48"/>
          <w:szCs w:val="48"/>
        </w:rPr>
        <w:t>6</w:t>
      </w:r>
      <w:r w:rsidRPr="00432C28">
        <w:rPr>
          <w:rFonts w:cs="Times New Roman"/>
          <w:sz w:val="48"/>
          <w:szCs w:val="48"/>
        </w:rPr>
        <w:t>-</w:t>
      </w:r>
      <w:r w:rsidR="0086318D" w:rsidRPr="00432C28">
        <w:rPr>
          <w:rFonts w:cs="Times New Roman"/>
          <w:sz w:val="48"/>
          <w:szCs w:val="48"/>
        </w:rPr>
        <w:t>201</w:t>
      </w:r>
      <w:r w:rsidR="0086318D">
        <w:rPr>
          <w:rFonts w:cs="Times New Roman"/>
          <w:sz w:val="48"/>
          <w:szCs w:val="48"/>
        </w:rPr>
        <w:t>7</w:t>
      </w:r>
      <w:r w:rsidR="0086318D" w:rsidRPr="00432C28">
        <w:rPr>
          <w:rFonts w:cs="Times New Roman"/>
          <w:sz w:val="48"/>
          <w:szCs w:val="48"/>
        </w:rPr>
        <w:t xml:space="preserve"> </w:t>
      </w:r>
      <w:r w:rsidR="0092059C" w:rsidRPr="00432C28">
        <w:rPr>
          <w:rFonts w:cs="Times New Roman"/>
          <w:sz w:val="48"/>
          <w:szCs w:val="48"/>
        </w:rPr>
        <w:t xml:space="preserve">PacifiCorp Forecast and </w:t>
      </w:r>
    </w:p>
    <w:p w:rsidR="00160E1D" w:rsidRDefault="0092059C" w:rsidP="0092059C">
      <w:pPr>
        <w:jc w:val="center"/>
        <w:rPr>
          <w:rFonts w:cs="Times New Roman"/>
          <w:sz w:val="48"/>
          <w:szCs w:val="48"/>
        </w:rPr>
      </w:pPr>
      <w:r w:rsidRPr="00432C28">
        <w:rPr>
          <w:rFonts w:cs="Times New Roman"/>
          <w:sz w:val="48"/>
          <w:szCs w:val="48"/>
        </w:rPr>
        <w:t>Forecast Methodology</w:t>
      </w:r>
    </w:p>
    <w:p w:rsidR="00E27E98" w:rsidRDefault="00E27E98" w:rsidP="00E27E98">
      <w:pPr>
        <w:jc w:val="left"/>
        <w:rPr>
          <w:rFonts w:ascii="Calibri" w:eastAsia="Cambria" w:hAnsi="Calibri" w:cs="Times New Roman"/>
          <w:b/>
          <w:color w:val="000000"/>
          <w:sz w:val="44"/>
          <w:szCs w:val="24"/>
        </w:rPr>
      </w:pPr>
    </w:p>
    <w:p w:rsidR="007B5401" w:rsidRPr="007B5401" w:rsidRDefault="007B5401" w:rsidP="00E27E98">
      <w:pPr>
        <w:jc w:val="left"/>
        <w:rPr>
          <w:rFonts w:ascii="Calibri" w:eastAsia="Cambria" w:hAnsi="Calibri" w:cs="Times New Roman"/>
          <w:b/>
          <w:color w:val="000000"/>
          <w:sz w:val="44"/>
          <w:szCs w:val="24"/>
        </w:rPr>
      </w:pPr>
      <w:r w:rsidRPr="007B5401">
        <w:rPr>
          <w:rFonts w:ascii="Calibri" w:eastAsia="Cambria" w:hAnsi="Calibri" w:cs="Times New Roman"/>
          <w:b/>
          <w:color w:val="000000"/>
          <w:sz w:val="44"/>
          <w:szCs w:val="24"/>
        </w:rPr>
        <w:t>Memorandum</w:t>
      </w:r>
    </w:p>
    <w:p w:rsidR="007B5401" w:rsidRPr="007B5401" w:rsidRDefault="007B5401" w:rsidP="007B5401">
      <w:pPr>
        <w:spacing w:line="276" w:lineRule="auto"/>
        <w:jc w:val="left"/>
        <w:rPr>
          <w:rFonts w:ascii="Calibri" w:eastAsia="Cambria" w:hAnsi="Calibri" w:cs="Times New Roman"/>
          <w:color w:val="000000"/>
          <w:sz w:val="22"/>
          <w:szCs w:val="24"/>
        </w:rPr>
      </w:pPr>
    </w:p>
    <w:p w:rsidR="007B5401" w:rsidRPr="007B5401" w:rsidRDefault="007B5401" w:rsidP="007B5401">
      <w:pPr>
        <w:jc w:val="left"/>
        <w:rPr>
          <w:rFonts w:ascii="Calibri" w:eastAsia="Cambria" w:hAnsi="Calibri" w:cs="Times New Roman"/>
          <w:color w:val="000000"/>
          <w:sz w:val="22"/>
          <w:szCs w:val="24"/>
        </w:rPr>
      </w:pPr>
      <w:r w:rsidRPr="007B5401">
        <w:rPr>
          <w:rFonts w:ascii="Calibri" w:eastAsia="Cambria" w:hAnsi="Calibri" w:cs="Times New Roman"/>
          <w:color w:val="000000"/>
          <w:sz w:val="22"/>
          <w:szCs w:val="24"/>
        </w:rPr>
        <w:t>Aug. 13, 2015</w:t>
      </w:r>
    </w:p>
    <w:p w:rsidR="007B5401" w:rsidRPr="007B5401" w:rsidRDefault="007B5401" w:rsidP="007B5401">
      <w:pPr>
        <w:jc w:val="left"/>
        <w:rPr>
          <w:rFonts w:ascii="Calibri" w:eastAsia="Cambria" w:hAnsi="Calibri" w:cs="Times New Roman"/>
          <w:color w:val="000000"/>
          <w:sz w:val="22"/>
          <w:szCs w:val="24"/>
        </w:rPr>
      </w:pPr>
    </w:p>
    <w:p w:rsidR="007B5401" w:rsidRPr="007B5401" w:rsidRDefault="007B5401" w:rsidP="007B5401">
      <w:pPr>
        <w:ind w:left="1440" w:hanging="1440"/>
        <w:jc w:val="left"/>
        <w:rPr>
          <w:rFonts w:ascii="Calibri" w:eastAsia="Cambria" w:hAnsi="Calibri" w:cs="Times New Roman"/>
          <w:sz w:val="22"/>
          <w:szCs w:val="24"/>
        </w:rPr>
      </w:pPr>
      <w:r w:rsidRPr="007B5401">
        <w:rPr>
          <w:rFonts w:ascii="Calibri" w:eastAsia="Cambria" w:hAnsi="Calibri" w:cs="Times New Roman"/>
          <w:caps/>
          <w:color w:val="000000"/>
          <w:sz w:val="22"/>
          <w:szCs w:val="24"/>
        </w:rPr>
        <w:t>To</w:t>
      </w:r>
      <w:r w:rsidRPr="007B5401">
        <w:rPr>
          <w:rFonts w:ascii="Calibri" w:eastAsia="Cambria" w:hAnsi="Calibri" w:cs="Times New Roman"/>
          <w:color w:val="000000"/>
          <w:sz w:val="22"/>
          <w:szCs w:val="24"/>
        </w:rPr>
        <w:t xml:space="preserve">: </w:t>
      </w:r>
      <w:r w:rsidRPr="007B5401">
        <w:rPr>
          <w:rFonts w:ascii="Calibri" w:eastAsia="Cambria" w:hAnsi="Calibri" w:cs="Times New Roman"/>
          <w:color w:val="000000"/>
          <w:sz w:val="22"/>
          <w:szCs w:val="24"/>
        </w:rPr>
        <w:tab/>
        <w:t xml:space="preserve">Don Jones, DSM Planning and Development Manager, Pacific Power; </w:t>
      </w:r>
      <w:r w:rsidRPr="007B5401">
        <w:rPr>
          <w:rFonts w:ascii="Calibri" w:eastAsia="Cambria" w:hAnsi="Calibri" w:cs="Times New Roman"/>
          <w:sz w:val="22"/>
          <w:szCs w:val="24"/>
        </w:rPr>
        <w:t>Eli Morris, Program Manager, PacifiCorp</w:t>
      </w:r>
    </w:p>
    <w:p w:rsidR="007B5401" w:rsidRPr="007B5401" w:rsidRDefault="007B5401" w:rsidP="007B5401">
      <w:pPr>
        <w:jc w:val="left"/>
        <w:rPr>
          <w:rFonts w:ascii="Calibri" w:eastAsia="Cambria" w:hAnsi="Calibri" w:cs="Times New Roman"/>
          <w:color w:val="000000"/>
          <w:sz w:val="22"/>
          <w:szCs w:val="24"/>
        </w:rPr>
      </w:pPr>
    </w:p>
    <w:p w:rsidR="007B5401" w:rsidRPr="007B5401" w:rsidRDefault="007B5401" w:rsidP="007B5401">
      <w:pPr>
        <w:ind w:left="1440" w:hanging="1440"/>
        <w:jc w:val="left"/>
        <w:rPr>
          <w:rFonts w:ascii="Calibri" w:eastAsia="Cambria" w:hAnsi="Calibri" w:cs="Times New Roman"/>
          <w:color w:val="000000"/>
          <w:sz w:val="22"/>
          <w:szCs w:val="24"/>
        </w:rPr>
      </w:pPr>
      <w:r w:rsidRPr="007B5401">
        <w:rPr>
          <w:rFonts w:ascii="Calibri" w:eastAsia="Cambria" w:hAnsi="Calibri" w:cs="Times New Roman"/>
          <w:caps/>
          <w:color w:val="000000"/>
          <w:sz w:val="22"/>
          <w:szCs w:val="24"/>
        </w:rPr>
        <w:t>From</w:t>
      </w:r>
      <w:r w:rsidRPr="007B5401">
        <w:rPr>
          <w:rFonts w:ascii="Calibri" w:eastAsia="Cambria" w:hAnsi="Calibri" w:cs="Times New Roman"/>
          <w:color w:val="000000"/>
          <w:sz w:val="22"/>
          <w:szCs w:val="24"/>
        </w:rPr>
        <w:t xml:space="preserve">: </w:t>
      </w:r>
      <w:r w:rsidRPr="007B5401">
        <w:rPr>
          <w:rFonts w:ascii="Calibri" w:eastAsia="Cambria" w:hAnsi="Calibri" w:cs="Times New Roman"/>
          <w:color w:val="000000"/>
          <w:sz w:val="22"/>
          <w:szCs w:val="24"/>
        </w:rPr>
        <w:tab/>
        <w:t>Christina Steinhoff, Planning Analyst</w:t>
      </w:r>
    </w:p>
    <w:p w:rsidR="007B5401" w:rsidRPr="007B5401" w:rsidRDefault="007B5401" w:rsidP="007B5401">
      <w:pPr>
        <w:ind w:left="1440" w:hanging="1440"/>
        <w:jc w:val="left"/>
        <w:rPr>
          <w:rFonts w:ascii="Calibri" w:eastAsia="Cambria" w:hAnsi="Calibri" w:cs="Times New Roman"/>
          <w:color w:val="000000"/>
          <w:sz w:val="22"/>
          <w:szCs w:val="24"/>
        </w:rPr>
      </w:pPr>
    </w:p>
    <w:p w:rsidR="007B5401" w:rsidRPr="007B5401" w:rsidRDefault="007B5401" w:rsidP="007B5401">
      <w:pPr>
        <w:ind w:left="1440" w:hanging="1440"/>
        <w:jc w:val="left"/>
        <w:rPr>
          <w:rFonts w:ascii="Calibri" w:eastAsia="Cambria" w:hAnsi="Calibri" w:cs="Times New Roman"/>
          <w:sz w:val="22"/>
          <w:szCs w:val="24"/>
        </w:rPr>
      </w:pPr>
      <w:r w:rsidRPr="007B5401">
        <w:rPr>
          <w:rFonts w:ascii="Calibri" w:eastAsia="Cambria" w:hAnsi="Calibri" w:cs="Times New Roman"/>
          <w:color w:val="000000"/>
          <w:sz w:val="22"/>
          <w:szCs w:val="24"/>
        </w:rPr>
        <w:t>CC:</w:t>
      </w:r>
      <w:r w:rsidRPr="007B5401">
        <w:rPr>
          <w:rFonts w:ascii="Calibri" w:eastAsia="Cambria" w:hAnsi="Calibri" w:cs="Times New Roman"/>
          <w:color w:val="000000"/>
          <w:sz w:val="22"/>
          <w:szCs w:val="24"/>
        </w:rPr>
        <w:tab/>
      </w:r>
      <w:r w:rsidRPr="007B5401">
        <w:rPr>
          <w:rFonts w:ascii="Calibri" w:eastAsia="Cambria" w:hAnsi="Calibri" w:cs="Times New Roman"/>
          <w:sz w:val="22"/>
          <w:szCs w:val="24"/>
        </w:rPr>
        <w:t>Stephanie Rider, Senior Manager, NEEA Planning; Susan Hermenet, Director of Planning, Evaluation and Technology</w:t>
      </w:r>
    </w:p>
    <w:p w:rsidR="007B5401" w:rsidRPr="007B5401" w:rsidRDefault="007B5401" w:rsidP="007B5401">
      <w:pPr>
        <w:jc w:val="left"/>
        <w:rPr>
          <w:rFonts w:ascii="Calibri" w:eastAsia="Cambria" w:hAnsi="Calibri" w:cs="Times New Roman"/>
          <w:color w:val="000000"/>
          <w:sz w:val="22"/>
          <w:szCs w:val="24"/>
        </w:rPr>
      </w:pPr>
    </w:p>
    <w:p w:rsidR="007B5401" w:rsidRPr="007B5401" w:rsidRDefault="007B5401" w:rsidP="007B5401">
      <w:pPr>
        <w:jc w:val="left"/>
        <w:rPr>
          <w:rFonts w:ascii="Calibri" w:eastAsia="Cambria" w:hAnsi="Calibri" w:cs="Times New Roman"/>
          <w:color w:val="000000"/>
          <w:sz w:val="22"/>
          <w:szCs w:val="24"/>
        </w:rPr>
      </w:pPr>
      <w:r w:rsidRPr="007B5401">
        <w:rPr>
          <w:rFonts w:ascii="Calibri" w:eastAsia="Cambria" w:hAnsi="Calibri" w:cs="Times New Roman"/>
          <w:caps/>
          <w:color w:val="000000"/>
          <w:sz w:val="22"/>
          <w:szCs w:val="24"/>
        </w:rPr>
        <w:t>Subject</w:t>
      </w:r>
      <w:r w:rsidRPr="007B5401">
        <w:rPr>
          <w:rFonts w:ascii="Calibri" w:eastAsia="Cambria" w:hAnsi="Calibri" w:cs="Times New Roman"/>
          <w:color w:val="000000"/>
          <w:sz w:val="22"/>
          <w:szCs w:val="24"/>
        </w:rPr>
        <w:t>:</w:t>
      </w:r>
      <w:r w:rsidRPr="007B5401">
        <w:rPr>
          <w:rFonts w:ascii="Calibri" w:eastAsia="Cambria" w:hAnsi="Calibri" w:cs="Times New Roman"/>
          <w:color w:val="000000"/>
          <w:sz w:val="22"/>
          <w:szCs w:val="24"/>
        </w:rPr>
        <w:tab/>
      </w:r>
      <w:r w:rsidRPr="007B5401">
        <w:rPr>
          <w:rFonts w:ascii="Calibri" w:eastAsia="Cambria" w:hAnsi="Calibri" w:cs="Times New Roman"/>
          <w:sz w:val="22"/>
          <w:szCs w:val="24"/>
        </w:rPr>
        <w:t xml:space="preserve">2016-2017 Biennial Savings Forecast Final </w:t>
      </w:r>
    </w:p>
    <w:p w:rsidR="007B5401" w:rsidRPr="007B5401" w:rsidRDefault="007B5401" w:rsidP="007B5401">
      <w:pPr>
        <w:spacing w:line="276" w:lineRule="auto"/>
        <w:jc w:val="left"/>
        <w:rPr>
          <w:rFonts w:ascii="Calibri" w:eastAsia="Cambria" w:hAnsi="Calibri" w:cs="Times New Roman"/>
          <w:color w:val="000000"/>
          <w:sz w:val="22"/>
          <w:szCs w:val="24"/>
        </w:rPr>
      </w:pPr>
    </w:p>
    <w:p w:rsidR="007B5401" w:rsidRPr="007B5401" w:rsidRDefault="007B5401" w:rsidP="007B5401">
      <w:pPr>
        <w:spacing w:line="276" w:lineRule="auto"/>
        <w:jc w:val="left"/>
        <w:rPr>
          <w:rFonts w:ascii="Calibri" w:eastAsia="Cambria" w:hAnsi="Calibri" w:cs="Times New Roman"/>
          <w:color w:val="000000"/>
          <w:sz w:val="22"/>
          <w:szCs w:val="24"/>
        </w:rPr>
      </w:pPr>
      <w:r w:rsidRPr="007B5401">
        <w:rPr>
          <w:rFonts w:ascii="Calibri" w:eastAsia="Cambria" w:hAnsi="Calibri" w:cs="Times New Roman"/>
          <w:noProof/>
          <w:color w:val="000000"/>
          <w:sz w:val="22"/>
          <w:szCs w:val="24"/>
        </w:rPr>
        <mc:AlternateContent>
          <mc:Choice Requires="wps">
            <w:drawing>
              <wp:anchor distT="0" distB="0" distL="114300" distR="114300" simplePos="0" relativeHeight="251667456" behindDoc="0" locked="0" layoutInCell="1" allowOverlap="1" wp14:anchorId="76AD30EB" wp14:editId="6D3AA912">
                <wp:simplePos x="0" y="0"/>
                <wp:positionH relativeFrom="column">
                  <wp:posOffset>28575</wp:posOffset>
                </wp:positionH>
                <wp:positionV relativeFrom="paragraph">
                  <wp:posOffset>49530</wp:posOffset>
                </wp:positionV>
                <wp:extent cx="6057900" cy="0"/>
                <wp:effectExtent l="19050" t="20955" r="19050" b="26670"/>
                <wp:wrapNone/>
                <wp:docPr id="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38100">
                          <a:solidFill>
                            <a:srgbClr val="72B633"/>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3.9pt" to="479.2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" strokecolor="#72b633" strokeweight="3pt">
                <v:stroke dashstyle="1 1"/>
                <v:shadow opacity="22938f" offset="0"/>
              </v:line>
            </w:pict>
          </mc:Fallback>
        </mc:AlternateContent>
      </w:r>
    </w:p>
    <w:p w:rsidR="007B5401" w:rsidRPr="007B5401" w:rsidRDefault="007B5401" w:rsidP="007B5401">
      <w:pPr>
        <w:spacing w:line="276" w:lineRule="auto"/>
        <w:jc w:val="left"/>
        <w:rPr>
          <w:rFonts w:ascii="Calibri" w:eastAsia="Cambria" w:hAnsi="Calibri" w:cs="Times New Roman"/>
          <w:sz w:val="22"/>
          <w:szCs w:val="24"/>
        </w:rPr>
      </w:pPr>
      <w:r w:rsidRPr="007B5401">
        <w:rPr>
          <w:rFonts w:ascii="Calibri" w:eastAsia="Cambria" w:hAnsi="Calibri" w:cs="Times New Roman"/>
          <w:sz w:val="22"/>
          <w:szCs w:val="24"/>
        </w:rPr>
        <w:t>Avista Washington, Pacific Power Washington and Puget Sound Energy have a joint approach to claim savings from NEEA initiatives.  As part of the utilities’ biennial savings updates, NEEA provides a two-year electric energy savings forecast.</w:t>
      </w:r>
      <w:r w:rsidRPr="007B5401">
        <w:rPr>
          <w:rFonts w:ascii="Calibri" w:eastAsia="Cambria" w:hAnsi="Calibri" w:cs="Times New Roman"/>
          <w:sz w:val="22"/>
          <w:szCs w:val="24"/>
          <w:vertAlign w:val="superscript"/>
        </w:rPr>
        <w:footnoteReference w:id="51"/>
      </w:r>
      <w:r w:rsidRPr="007B5401">
        <w:rPr>
          <w:rFonts w:ascii="Calibri" w:eastAsia="Cambria" w:hAnsi="Calibri" w:cs="Times New Roman"/>
          <w:sz w:val="22"/>
          <w:szCs w:val="24"/>
        </w:rPr>
        <w:t xml:space="preserve"> The utilities subtract the savings estimates from the first two years of their ten-year electric conservation potential to determine their Biennial Conservation Target. </w:t>
      </w:r>
    </w:p>
    <w:p w:rsidR="007B5401" w:rsidRPr="007B5401" w:rsidRDefault="007B5401" w:rsidP="007B5401">
      <w:pPr>
        <w:spacing w:line="276" w:lineRule="auto"/>
        <w:jc w:val="left"/>
        <w:rPr>
          <w:rFonts w:ascii="Calibri" w:eastAsia="Cambria" w:hAnsi="Calibri" w:cs="Times New Roman"/>
          <w:sz w:val="22"/>
          <w:szCs w:val="24"/>
        </w:rPr>
      </w:pPr>
    </w:p>
    <w:p w:rsidR="007B5401" w:rsidRPr="007B5401" w:rsidRDefault="007B5401" w:rsidP="007B5401">
      <w:pPr>
        <w:spacing w:line="276" w:lineRule="auto"/>
        <w:jc w:val="left"/>
        <w:rPr>
          <w:rFonts w:ascii="Calibri" w:eastAsia="Cambria" w:hAnsi="Calibri" w:cs="Times New Roman"/>
          <w:sz w:val="22"/>
          <w:szCs w:val="24"/>
        </w:rPr>
      </w:pPr>
      <w:r w:rsidRPr="007B5401">
        <w:rPr>
          <w:rFonts w:ascii="Calibri" w:eastAsia="Cambria" w:hAnsi="Calibri" w:cs="Times New Roman"/>
          <w:sz w:val="22"/>
          <w:szCs w:val="24"/>
        </w:rPr>
        <w:t xml:space="preserve">Below are NEEA’s values for the 2016-2017 Biennial Conservation Target. Appendix A documents how NEEA developed the values and the attached Excel spreadsheet contains the baseline and technical assumptions. </w:t>
      </w:r>
    </w:p>
    <w:p w:rsidR="007B5401" w:rsidRPr="007B5401" w:rsidRDefault="007B5401" w:rsidP="007B5401">
      <w:pPr>
        <w:spacing w:line="276" w:lineRule="auto"/>
        <w:jc w:val="left"/>
        <w:rPr>
          <w:rFonts w:ascii="Calibri" w:eastAsia="Cambria" w:hAnsi="Calibri" w:cs="Times New Roman"/>
          <w:sz w:val="22"/>
          <w:szCs w:val="24"/>
        </w:rPr>
      </w:pPr>
    </w:p>
    <w:p w:rsidR="007B5401" w:rsidRPr="007B5401" w:rsidRDefault="007B5401" w:rsidP="007B5401">
      <w:pPr>
        <w:spacing w:line="276" w:lineRule="auto"/>
        <w:jc w:val="left"/>
        <w:rPr>
          <w:rFonts w:ascii="Calibri" w:eastAsia="Cambria" w:hAnsi="Calibri" w:cs="Times New Roman"/>
          <w:sz w:val="22"/>
          <w:szCs w:val="24"/>
        </w:rPr>
      </w:pPr>
      <w:r w:rsidRPr="007B5401">
        <w:rPr>
          <w:rFonts w:ascii="Calibri" w:eastAsia="Cambria" w:hAnsi="Calibri" w:cs="Times New Roman"/>
          <w:sz w:val="22"/>
          <w:szCs w:val="24"/>
        </w:rPr>
        <w:t>Please contact Christina Steinhoff at 503.688.5427 with any questions about this report.</w:t>
      </w:r>
    </w:p>
    <w:p w:rsidR="007B5401" w:rsidRPr="00F24E1C" w:rsidRDefault="007B5401" w:rsidP="00F24E1C">
      <w:pPr>
        <w:pStyle w:val="Heading3"/>
        <w:rPr>
          <w:rFonts w:eastAsia="Times New Roman"/>
          <w:sz w:val="28"/>
        </w:rPr>
      </w:pPr>
      <w:r w:rsidRPr="00F24E1C">
        <w:rPr>
          <w:rFonts w:eastAsia="Times New Roman"/>
          <w:sz w:val="28"/>
        </w:rPr>
        <w:t>2016-2017 Biennial Savings Forecast</w:t>
      </w:r>
    </w:p>
    <w:p w:rsidR="007B5401" w:rsidRPr="007B5401" w:rsidRDefault="007B5401" w:rsidP="007B5401">
      <w:pPr>
        <w:spacing w:line="276" w:lineRule="auto"/>
        <w:jc w:val="left"/>
        <w:rPr>
          <w:rFonts w:ascii="Calibri" w:eastAsia="Cambria" w:hAnsi="Calibri" w:cs="Times New Roman"/>
          <w:sz w:val="22"/>
          <w:szCs w:val="24"/>
        </w:rPr>
      </w:pPr>
      <w:r w:rsidRPr="007B5401">
        <w:rPr>
          <w:rFonts w:ascii="Calibri" w:eastAsia="Cambria" w:hAnsi="Calibri" w:cs="Times New Roman"/>
          <w:sz w:val="22"/>
          <w:szCs w:val="24"/>
        </w:rPr>
        <w:t xml:space="preserve">NEEA forecasts </w:t>
      </w:r>
      <w:r w:rsidRPr="007B5401">
        <w:rPr>
          <w:rFonts w:ascii="Calibri" w:eastAsia="Cambria" w:hAnsi="Calibri" w:cs="Times New Roman"/>
          <w:sz w:val="22"/>
          <w:szCs w:val="24"/>
        </w:rPr>
        <w:softHyphen/>
      </w:r>
      <w:r w:rsidRPr="007B5401">
        <w:rPr>
          <w:rFonts w:ascii="Calibri" w:eastAsia="Cambria" w:hAnsi="Calibri" w:cs="Times New Roman"/>
          <w:sz w:val="22"/>
          <w:szCs w:val="24"/>
        </w:rPr>
        <w:softHyphen/>
      </w:r>
      <w:r w:rsidRPr="007B5401">
        <w:rPr>
          <w:rFonts w:ascii="Calibri" w:eastAsia="Cambria" w:hAnsi="Calibri" w:cs="Times New Roman"/>
          <w:sz w:val="22"/>
          <w:szCs w:val="24"/>
        </w:rPr>
        <w:softHyphen/>
        <w:t>Pacific Power’s share of annual electric energy savings associated with its initiatives for 2016-2017 is 0.55 aMW (Table 1). The energy savings forecast is above the Northwest Power and Conservation Council’s (Council) draft 7</w:t>
      </w:r>
      <w:r w:rsidRPr="007B5401">
        <w:rPr>
          <w:rFonts w:ascii="Calibri" w:eastAsia="Cambria" w:hAnsi="Calibri" w:cs="Times New Roman"/>
          <w:sz w:val="22"/>
          <w:szCs w:val="24"/>
          <w:vertAlign w:val="superscript"/>
        </w:rPr>
        <w:t>th</w:t>
      </w:r>
      <w:r w:rsidRPr="007B5401">
        <w:rPr>
          <w:rFonts w:ascii="Calibri" w:eastAsia="Cambria" w:hAnsi="Calibri" w:cs="Times New Roman"/>
          <w:sz w:val="22"/>
          <w:szCs w:val="24"/>
        </w:rPr>
        <w:t xml:space="preserve"> Power Plan baseline and exclude an estimate of savings the Energy Trust of Oregon, Bonneville Power Administration, and local utilities claim through their programs. NEEA allocates the savings using funder shares. </w:t>
      </w:r>
    </w:p>
    <w:p w:rsidR="007B5401" w:rsidRPr="007B5401" w:rsidRDefault="007B5401" w:rsidP="007B5401">
      <w:pPr>
        <w:jc w:val="left"/>
        <w:rPr>
          <w:rFonts w:ascii="Calibri" w:eastAsia="Cambria" w:hAnsi="Calibri" w:cs="Times New Roman"/>
          <w:b/>
          <w:bCs/>
          <w:color w:val="4F81BD"/>
          <w:sz w:val="18"/>
          <w:szCs w:val="18"/>
        </w:rPr>
      </w:pPr>
      <w:r w:rsidRPr="007B5401">
        <w:rPr>
          <w:rFonts w:ascii="Calibri" w:eastAsia="Cambria" w:hAnsi="Calibri" w:cs="Times New Roman"/>
          <w:sz w:val="22"/>
          <w:szCs w:val="24"/>
        </w:rPr>
        <w:br w:type="page"/>
      </w:r>
    </w:p>
    <w:p w:rsidR="007B5401" w:rsidRPr="007B5401" w:rsidRDefault="007B5401" w:rsidP="00C77B38">
      <w:r w:rsidRPr="007B5401">
        <w:t>Preliminary Biennial Remaining Savings Estimate</w:t>
      </w:r>
    </w:p>
    <w:tbl>
      <w:tblPr>
        <w:tblW w:w="10196" w:type="dxa"/>
        <w:tblInd w:w="98" w:type="dxa"/>
        <w:tblLook w:val="04A0" w:firstRow="1" w:lastRow="0" w:firstColumn="1" w:lastColumn="0" w:noHBand="0" w:noVBand="1"/>
      </w:tblPr>
      <w:tblGrid>
        <w:gridCol w:w="1628"/>
        <w:gridCol w:w="2228"/>
        <w:gridCol w:w="1184"/>
        <w:gridCol w:w="1184"/>
        <w:gridCol w:w="1183"/>
        <w:gridCol w:w="1185"/>
        <w:gridCol w:w="1604"/>
      </w:tblGrid>
      <w:tr w:rsidR="007B5401" w:rsidRPr="007B5401" w:rsidTr="00365032">
        <w:trPr>
          <w:trHeight w:val="585"/>
        </w:trPr>
        <w:tc>
          <w:tcPr>
            <w:tcW w:w="1628" w:type="dxa"/>
            <w:vMerge w:val="restart"/>
            <w:tcBorders>
              <w:top w:val="single" w:sz="8" w:space="0" w:color="auto"/>
              <w:left w:val="single" w:sz="8" w:space="0" w:color="auto"/>
              <w:bottom w:val="double" w:sz="6" w:space="0" w:color="000000"/>
              <w:right w:val="nil"/>
            </w:tcBorders>
            <w:shd w:val="clear" w:color="000000" w:fill="4F81BD"/>
            <w:noWrap/>
            <w:vAlign w:val="center"/>
            <w:hideMark/>
          </w:tcPr>
          <w:p w:rsidR="007B5401" w:rsidRPr="007B5401" w:rsidRDefault="007B5401" w:rsidP="007B5401">
            <w:pPr>
              <w:jc w:val="center"/>
              <w:rPr>
                <w:rFonts w:ascii="Cambria" w:eastAsia="Times New Roman" w:hAnsi="Cambria" w:cs="Calibri"/>
                <w:b/>
                <w:bCs/>
                <w:color w:val="FFFFFF"/>
                <w:sz w:val="22"/>
              </w:rPr>
            </w:pPr>
            <w:r w:rsidRPr="007B5401">
              <w:rPr>
                <w:rFonts w:ascii="Cambria" w:eastAsia="Times New Roman" w:hAnsi="Cambria" w:cs="Calibri"/>
                <w:b/>
                <w:bCs/>
                <w:color w:val="FFFFFF"/>
                <w:sz w:val="22"/>
              </w:rPr>
              <w:t>Sector</w:t>
            </w:r>
          </w:p>
        </w:tc>
        <w:tc>
          <w:tcPr>
            <w:tcW w:w="2228" w:type="dxa"/>
            <w:vMerge w:val="restart"/>
            <w:tcBorders>
              <w:top w:val="single" w:sz="8" w:space="0" w:color="auto"/>
              <w:left w:val="nil"/>
              <w:bottom w:val="double" w:sz="6" w:space="0" w:color="000000"/>
              <w:right w:val="single" w:sz="4" w:space="0" w:color="auto"/>
            </w:tcBorders>
            <w:shd w:val="clear" w:color="000000" w:fill="4F81BD"/>
            <w:noWrap/>
            <w:vAlign w:val="center"/>
            <w:hideMark/>
          </w:tcPr>
          <w:p w:rsidR="007B5401" w:rsidRPr="007B5401" w:rsidRDefault="007B5401" w:rsidP="007B5401">
            <w:pPr>
              <w:jc w:val="center"/>
              <w:rPr>
                <w:rFonts w:ascii="Cambria" w:eastAsia="Times New Roman" w:hAnsi="Cambria" w:cs="Calibri"/>
                <w:b/>
                <w:bCs/>
                <w:color w:val="FFFFFF"/>
                <w:sz w:val="22"/>
              </w:rPr>
            </w:pPr>
            <w:r w:rsidRPr="007B5401">
              <w:rPr>
                <w:rFonts w:ascii="Cambria" w:eastAsia="Times New Roman" w:hAnsi="Cambria" w:cs="Calibri"/>
                <w:b/>
                <w:bCs/>
                <w:color w:val="FFFFFF"/>
                <w:sz w:val="22"/>
              </w:rPr>
              <w:t>Initiative</w:t>
            </w:r>
          </w:p>
        </w:tc>
        <w:tc>
          <w:tcPr>
            <w:tcW w:w="2368" w:type="dxa"/>
            <w:gridSpan w:val="2"/>
            <w:tcBorders>
              <w:top w:val="single" w:sz="8" w:space="0" w:color="auto"/>
              <w:left w:val="nil"/>
              <w:bottom w:val="single" w:sz="8" w:space="0" w:color="auto"/>
              <w:right w:val="single" w:sz="4" w:space="0" w:color="000000"/>
            </w:tcBorders>
            <w:shd w:val="clear" w:color="000000" w:fill="4F81BD"/>
            <w:noWrap/>
            <w:vAlign w:val="center"/>
            <w:hideMark/>
          </w:tcPr>
          <w:p w:rsidR="007B5401" w:rsidRPr="007B5401" w:rsidRDefault="007B5401" w:rsidP="007B5401">
            <w:pPr>
              <w:jc w:val="center"/>
              <w:rPr>
                <w:rFonts w:ascii="Cambria" w:eastAsia="Times New Roman" w:hAnsi="Cambria" w:cs="Calibri"/>
                <w:b/>
                <w:bCs/>
                <w:color w:val="FFFFFF"/>
                <w:sz w:val="22"/>
              </w:rPr>
            </w:pPr>
            <w:r w:rsidRPr="007B5401">
              <w:rPr>
                <w:rFonts w:ascii="Cambria" w:eastAsia="Times New Roman" w:hAnsi="Cambria" w:cs="Calibri"/>
                <w:b/>
                <w:bCs/>
                <w:color w:val="FFFFFF"/>
                <w:sz w:val="22"/>
              </w:rPr>
              <w:t>2016</w:t>
            </w:r>
          </w:p>
        </w:tc>
        <w:tc>
          <w:tcPr>
            <w:tcW w:w="2368" w:type="dxa"/>
            <w:gridSpan w:val="2"/>
            <w:tcBorders>
              <w:top w:val="single" w:sz="8" w:space="0" w:color="auto"/>
              <w:left w:val="nil"/>
              <w:bottom w:val="single" w:sz="8" w:space="0" w:color="auto"/>
              <w:right w:val="single" w:sz="8" w:space="0" w:color="000000"/>
            </w:tcBorders>
            <w:shd w:val="clear" w:color="000000" w:fill="4F81BD"/>
            <w:noWrap/>
            <w:vAlign w:val="center"/>
            <w:hideMark/>
          </w:tcPr>
          <w:p w:rsidR="007B5401" w:rsidRPr="007B5401" w:rsidRDefault="007B5401" w:rsidP="007B5401">
            <w:pPr>
              <w:jc w:val="center"/>
              <w:rPr>
                <w:rFonts w:ascii="Cambria" w:eastAsia="Times New Roman" w:hAnsi="Cambria" w:cs="Calibri"/>
                <w:b/>
                <w:bCs/>
                <w:color w:val="FFFFFF"/>
                <w:sz w:val="22"/>
              </w:rPr>
            </w:pPr>
            <w:r w:rsidRPr="007B5401">
              <w:rPr>
                <w:rFonts w:ascii="Cambria" w:eastAsia="Times New Roman" w:hAnsi="Cambria" w:cs="Calibri"/>
                <w:b/>
                <w:bCs/>
                <w:color w:val="FFFFFF"/>
                <w:sz w:val="22"/>
              </w:rPr>
              <w:t>2017</w:t>
            </w:r>
          </w:p>
        </w:tc>
        <w:tc>
          <w:tcPr>
            <w:tcW w:w="1604" w:type="dxa"/>
            <w:tcBorders>
              <w:top w:val="single" w:sz="8" w:space="0" w:color="auto"/>
              <w:left w:val="nil"/>
              <w:bottom w:val="single" w:sz="8" w:space="0" w:color="auto"/>
              <w:right w:val="single" w:sz="8" w:space="0" w:color="auto"/>
            </w:tcBorders>
            <w:shd w:val="clear" w:color="000000" w:fill="4F81BD"/>
            <w:vAlign w:val="center"/>
            <w:hideMark/>
          </w:tcPr>
          <w:p w:rsidR="007B5401" w:rsidRPr="007B5401" w:rsidRDefault="007B5401" w:rsidP="007B5401">
            <w:pPr>
              <w:jc w:val="center"/>
              <w:rPr>
                <w:rFonts w:ascii="Cambria" w:eastAsia="Times New Roman" w:hAnsi="Cambria" w:cs="Calibri"/>
                <w:b/>
                <w:bCs/>
                <w:color w:val="FFFFFF"/>
                <w:sz w:val="22"/>
              </w:rPr>
            </w:pPr>
            <w:r w:rsidRPr="007B5401">
              <w:rPr>
                <w:rFonts w:ascii="Cambria" w:eastAsia="Times New Roman" w:hAnsi="Cambria" w:cs="Calibri"/>
                <w:b/>
                <w:bCs/>
                <w:color w:val="FFFFFF"/>
                <w:sz w:val="22"/>
              </w:rPr>
              <w:t xml:space="preserve">Biennial Target </w:t>
            </w:r>
          </w:p>
        </w:tc>
      </w:tr>
      <w:tr w:rsidR="007B5401" w:rsidRPr="007B5401" w:rsidTr="00365032">
        <w:trPr>
          <w:trHeight w:val="585"/>
        </w:trPr>
        <w:tc>
          <w:tcPr>
            <w:tcW w:w="1628" w:type="dxa"/>
            <w:vMerge/>
            <w:tcBorders>
              <w:top w:val="single" w:sz="8" w:space="0" w:color="auto"/>
              <w:left w:val="single" w:sz="8" w:space="0" w:color="auto"/>
              <w:bottom w:val="double" w:sz="6" w:space="0" w:color="000000"/>
              <w:right w:val="nil"/>
            </w:tcBorders>
            <w:vAlign w:val="center"/>
            <w:hideMark/>
          </w:tcPr>
          <w:p w:rsidR="007B5401" w:rsidRPr="007B5401" w:rsidRDefault="007B5401" w:rsidP="007B5401">
            <w:pPr>
              <w:jc w:val="left"/>
              <w:rPr>
                <w:rFonts w:ascii="Cambria" w:eastAsia="Times New Roman" w:hAnsi="Cambria" w:cs="Calibri"/>
                <w:b/>
                <w:bCs/>
                <w:color w:val="FFFFFF"/>
                <w:sz w:val="22"/>
              </w:rPr>
            </w:pPr>
          </w:p>
        </w:tc>
        <w:tc>
          <w:tcPr>
            <w:tcW w:w="2228" w:type="dxa"/>
            <w:vMerge/>
            <w:tcBorders>
              <w:top w:val="single" w:sz="8" w:space="0" w:color="auto"/>
              <w:left w:val="nil"/>
              <w:bottom w:val="double" w:sz="6" w:space="0" w:color="000000"/>
              <w:right w:val="single" w:sz="4" w:space="0" w:color="auto"/>
            </w:tcBorders>
            <w:vAlign w:val="center"/>
            <w:hideMark/>
          </w:tcPr>
          <w:p w:rsidR="007B5401" w:rsidRPr="007B5401" w:rsidRDefault="007B5401" w:rsidP="007B5401">
            <w:pPr>
              <w:jc w:val="left"/>
              <w:rPr>
                <w:rFonts w:ascii="Cambria" w:eastAsia="Times New Roman" w:hAnsi="Cambria" w:cs="Calibri"/>
                <w:b/>
                <w:bCs/>
                <w:color w:val="FFFFFF"/>
                <w:sz w:val="22"/>
              </w:rPr>
            </w:pPr>
          </w:p>
        </w:tc>
        <w:tc>
          <w:tcPr>
            <w:tcW w:w="1184" w:type="dxa"/>
            <w:tcBorders>
              <w:top w:val="single" w:sz="8" w:space="0" w:color="auto"/>
              <w:left w:val="nil"/>
              <w:bottom w:val="double" w:sz="6" w:space="0" w:color="auto"/>
              <w:right w:val="nil"/>
            </w:tcBorders>
            <w:shd w:val="clear" w:color="000000" w:fill="D9D9D9"/>
            <w:vAlign w:val="bottom"/>
            <w:hideMark/>
          </w:tcPr>
          <w:p w:rsidR="007B5401" w:rsidRPr="007B5401" w:rsidRDefault="007B5401" w:rsidP="007B5401">
            <w:pPr>
              <w:jc w:val="center"/>
              <w:rPr>
                <w:rFonts w:ascii="Calibri" w:eastAsia="Times New Roman" w:hAnsi="Calibri" w:cs="Calibri"/>
                <w:color w:val="000000"/>
                <w:sz w:val="22"/>
              </w:rPr>
            </w:pPr>
            <w:r w:rsidRPr="007B5401">
              <w:rPr>
                <w:rFonts w:ascii="Calibri" w:eastAsia="Times New Roman" w:hAnsi="Calibri" w:cs="Calibri"/>
                <w:color w:val="000000"/>
                <w:sz w:val="22"/>
              </w:rPr>
              <w:t>Regional Savings</w:t>
            </w:r>
          </w:p>
        </w:tc>
        <w:tc>
          <w:tcPr>
            <w:tcW w:w="1184" w:type="dxa"/>
            <w:tcBorders>
              <w:top w:val="single" w:sz="8" w:space="0" w:color="auto"/>
              <w:left w:val="single" w:sz="4" w:space="0" w:color="BFBFBF"/>
              <w:bottom w:val="double" w:sz="6" w:space="0" w:color="auto"/>
              <w:right w:val="single" w:sz="4" w:space="0" w:color="auto"/>
            </w:tcBorders>
            <w:shd w:val="clear" w:color="000000" w:fill="D9D9D9"/>
            <w:vAlign w:val="bottom"/>
            <w:hideMark/>
          </w:tcPr>
          <w:p w:rsidR="007B5401" w:rsidRPr="007B5401" w:rsidRDefault="007B5401" w:rsidP="007B5401">
            <w:pPr>
              <w:jc w:val="center"/>
              <w:rPr>
                <w:rFonts w:ascii="Calibri" w:eastAsia="Times New Roman" w:hAnsi="Calibri" w:cs="Calibri"/>
                <w:color w:val="000000"/>
                <w:sz w:val="22"/>
              </w:rPr>
            </w:pPr>
            <w:r w:rsidRPr="007B5401">
              <w:rPr>
                <w:rFonts w:ascii="Calibri" w:eastAsia="Times New Roman" w:hAnsi="Calibri" w:cs="Calibri"/>
                <w:color w:val="000000"/>
                <w:sz w:val="22"/>
              </w:rPr>
              <w:t>Remaining Savings</w:t>
            </w:r>
          </w:p>
        </w:tc>
        <w:tc>
          <w:tcPr>
            <w:tcW w:w="1183" w:type="dxa"/>
            <w:tcBorders>
              <w:top w:val="nil"/>
              <w:left w:val="nil"/>
              <w:bottom w:val="double" w:sz="6" w:space="0" w:color="auto"/>
              <w:right w:val="nil"/>
            </w:tcBorders>
            <w:shd w:val="clear" w:color="000000" w:fill="D9D9D9"/>
            <w:vAlign w:val="bottom"/>
            <w:hideMark/>
          </w:tcPr>
          <w:p w:rsidR="007B5401" w:rsidRPr="007B5401" w:rsidRDefault="007B5401" w:rsidP="007B5401">
            <w:pPr>
              <w:jc w:val="center"/>
              <w:rPr>
                <w:rFonts w:ascii="Calibri" w:eastAsia="Times New Roman" w:hAnsi="Calibri" w:cs="Calibri"/>
                <w:color w:val="000000"/>
                <w:sz w:val="22"/>
              </w:rPr>
            </w:pPr>
            <w:r w:rsidRPr="007B5401">
              <w:rPr>
                <w:rFonts w:ascii="Calibri" w:eastAsia="Times New Roman" w:hAnsi="Calibri" w:cs="Calibri"/>
                <w:color w:val="000000"/>
                <w:sz w:val="22"/>
              </w:rPr>
              <w:t>Regional Savings</w:t>
            </w:r>
          </w:p>
        </w:tc>
        <w:tc>
          <w:tcPr>
            <w:tcW w:w="1185" w:type="dxa"/>
            <w:tcBorders>
              <w:top w:val="nil"/>
              <w:left w:val="single" w:sz="4" w:space="0" w:color="BFBFBF"/>
              <w:bottom w:val="double" w:sz="6" w:space="0" w:color="auto"/>
              <w:right w:val="single" w:sz="8" w:space="0" w:color="auto"/>
            </w:tcBorders>
            <w:shd w:val="clear" w:color="000000" w:fill="D9D9D9"/>
            <w:vAlign w:val="bottom"/>
            <w:hideMark/>
          </w:tcPr>
          <w:p w:rsidR="007B5401" w:rsidRPr="007B5401" w:rsidRDefault="007B5401" w:rsidP="007B5401">
            <w:pPr>
              <w:jc w:val="center"/>
              <w:rPr>
                <w:rFonts w:ascii="Calibri" w:eastAsia="Times New Roman" w:hAnsi="Calibri" w:cs="Calibri"/>
                <w:color w:val="000000"/>
                <w:sz w:val="22"/>
              </w:rPr>
            </w:pPr>
            <w:r w:rsidRPr="007B5401">
              <w:rPr>
                <w:rFonts w:ascii="Calibri" w:eastAsia="Times New Roman" w:hAnsi="Calibri" w:cs="Calibri"/>
                <w:color w:val="000000"/>
                <w:sz w:val="22"/>
              </w:rPr>
              <w:t>Remaining Savings</w:t>
            </w:r>
          </w:p>
        </w:tc>
        <w:tc>
          <w:tcPr>
            <w:tcW w:w="1604" w:type="dxa"/>
            <w:tcBorders>
              <w:top w:val="nil"/>
              <w:left w:val="single" w:sz="4" w:space="0" w:color="BFBFBF"/>
              <w:bottom w:val="double" w:sz="6" w:space="0" w:color="auto"/>
              <w:right w:val="single" w:sz="8" w:space="0" w:color="auto"/>
            </w:tcBorders>
            <w:shd w:val="clear" w:color="000000" w:fill="D9D9D9"/>
            <w:vAlign w:val="bottom"/>
            <w:hideMark/>
          </w:tcPr>
          <w:p w:rsidR="007B5401" w:rsidRPr="007B5401" w:rsidRDefault="007B5401" w:rsidP="007B5401">
            <w:pPr>
              <w:jc w:val="center"/>
              <w:rPr>
                <w:rFonts w:ascii="Calibri" w:eastAsia="Times New Roman" w:hAnsi="Calibri" w:cs="Calibri"/>
                <w:color w:val="000000"/>
                <w:sz w:val="22"/>
              </w:rPr>
            </w:pPr>
            <w:r w:rsidRPr="007B5401">
              <w:rPr>
                <w:rFonts w:ascii="Calibri" w:eastAsia="Times New Roman" w:hAnsi="Calibri" w:cs="Calibri"/>
                <w:color w:val="000000"/>
                <w:sz w:val="22"/>
              </w:rPr>
              <w:t>Remaining Savings</w:t>
            </w:r>
          </w:p>
        </w:tc>
      </w:tr>
      <w:tr w:rsidR="007B5401" w:rsidRPr="007B5401" w:rsidTr="00365032">
        <w:trPr>
          <w:trHeight w:val="315"/>
        </w:trPr>
        <w:tc>
          <w:tcPr>
            <w:tcW w:w="1628" w:type="dxa"/>
            <w:tcBorders>
              <w:top w:val="nil"/>
              <w:left w:val="single" w:sz="8" w:space="0" w:color="auto"/>
              <w:bottom w:val="single" w:sz="4" w:space="0" w:color="BFBFBF"/>
              <w:right w:val="single" w:sz="4" w:space="0" w:color="BFBFBF"/>
            </w:tcBorders>
            <w:shd w:val="clear" w:color="000000" w:fill="FFFFFF"/>
            <w:noWrap/>
            <w:vAlign w:val="bottom"/>
            <w:hideMark/>
          </w:tcPr>
          <w:p w:rsidR="007B5401" w:rsidRPr="007B5401" w:rsidRDefault="007B5401" w:rsidP="007B5401">
            <w:pPr>
              <w:jc w:val="left"/>
              <w:rPr>
                <w:rFonts w:ascii="Calibri" w:eastAsia="Times New Roman" w:hAnsi="Calibri" w:cs="Calibri"/>
                <w:color w:val="000000"/>
                <w:sz w:val="22"/>
              </w:rPr>
            </w:pPr>
            <w:r w:rsidRPr="007B5401">
              <w:rPr>
                <w:rFonts w:ascii="Calibri" w:eastAsia="Times New Roman" w:hAnsi="Calibri" w:cs="Calibri"/>
                <w:color w:val="000000"/>
                <w:sz w:val="22"/>
              </w:rPr>
              <w:t>Residential</w:t>
            </w:r>
          </w:p>
        </w:tc>
        <w:tc>
          <w:tcPr>
            <w:tcW w:w="2228" w:type="dxa"/>
            <w:tcBorders>
              <w:top w:val="nil"/>
              <w:left w:val="nil"/>
              <w:bottom w:val="single" w:sz="4" w:space="0" w:color="BFBFBF"/>
              <w:right w:val="nil"/>
            </w:tcBorders>
            <w:shd w:val="clear" w:color="000000" w:fill="FFFFFF"/>
            <w:vAlign w:val="bottom"/>
            <w:hideMark/>
          </w:tcPr>
          <w:p w:rsidR="007B5401" w:rsidRPr="007B5401" w:rsidRDefault="007B5401" w:rsidP="007B5401">
            <w:pPr>
              <w:jc w:val="left"/>
              <w:rPr>
                <w:rFonts w:ascii="Calibri" w:eastAsia="Times New Roman" w:hAnsi="Calibri" w:cs="Calibri"/>
                <w:color w:val="000000"/>
                <w:sz w:val="22"/>
              </w:rPr>
            </w:pPr>
            <w:r w:rsidRPr="007B5401">
              <w:rPr>
                <w:rFonts w:ascii="Calibri" w:eastAsia="Times New Roman" w:hAnsi="Calibri" w:cs="Calibri"/>
                <w:color w:val="000000"/>
                <w:sz w:val="22"/>
              </w:rPr>
              <w:t>Ductless Heat Pumps</w:t>
            </w:r>
          </w:p>
        </w:tc>
        <w:tc>
          <w:tcPr>
            <w:tcW w:w="1184" w:type="dxa"/>
            <w:tcBorders>
              <w:top w:val="nil"/>
              <w:left w:val="single" w:sz="4" w:space="0" w:color="auto"/>
              <w:bottom w:val="single" w:sz="4" w:space="0" w:color="BFBFBF"/>
              <w:right w:val="nil"/>
            </w:tcBorders>
            <w:shd w:val="clear" w:color="000000" w:fill="FFFFFF"/>
            <w:noWrap/>
            <w:vAlign w:val="bottom"/>
            <w:hideMark/>
          </w:tcPr>
          <w:p w:rsidR="007B5401" w:rsidRPr="007B5401" w:rsidRDefault="007B5401" w:rsidP="007B5401">
            <w:pPr>
              <w:jc w:val="right"/>
              <w:rPr>
                <w:rFonts w:ascii="Calibri" w:eastAsia="Times New Roman" w:hAnsi="Calibri" w:cs="Calibri"/>
                <w:color w:val="000000"/>
                <w:sz w:val="22"/>
              </w:rPr>
            </w:pPr>
            <w:r w:rsidRPr="007B5401">
              <w:rPr>
                <w:rFonts w:ascii="Calibri" w:eastAsia="Times New Roman" w:hAnsi="Calibri" w:cs="Calibri"/>
                <w:color w:val="000000"/>
                <w:sz w:val="22"/>
              </w:rPr>
              <w:t xml:space="preserve">               0.13 </w:t>
            </w:r>
          </w:p>
        </w:tc>
        <w:tc>
          <w:tcPr>
            <w:tcW w:w="1184" w:type="dxa"/>
            <w:tcBorders>
              <w:top w:val="nil"/>
              <w:left w:val="single" w:sz="4" w:space="0" w:color="BFBFBF"/>
              <w:bottom w:val="single" w:sz="4" w:space="0" w:color="BFBFBF"/>
              <w:right w:val="single" w:sz="4" w:space="0" w:color="auto"/>
            </w:tcBorders>
            <w:shd w:val="clear" w:color="000000" w:fill="FFFFFF"/>
            <w:noWrap/>
            <w:vAlign w:val="bottom"/>
            <w:hideMark/>
          </w:tcPr>
          <w:p w:rsidR="007B5401" w:rsidRPr="007B5401" w:rsidRDefault="007B5401" w:rsidP="007B5401">
            <w:pPr>
              <w:jc w:val="right"/>
              <w:rPr>
                <w:rFonts w:ascii="Calibri" w:eastAsia="Times New Roman" w:hAnsi="Calibri" w:cs="Calibri"/>
                <w:color w:val="000000"/>
                <w:sz w:val="22"/>
              </w:rPr>
            </w:pPr>
            <w:r w:rsidRPr="007B5401">
              <w:rPr>
                <w:rFonts w:ascii="Calibri" w:eastAsia="Times New Roman" w:hAnsi="Calibri" w:cs="Calibri"/>
                <w:color w:val="000000"/>
                <w:sz w:val="22"/>
              </w:rPr>
              <w:t xml:space="preserve">               0.04 </w:t>
            </w:r>
          </w:p>
        </w:tc>
        <w:tc>
          <w:tcPr>
            <w:tcW w:w="1183" w:type="dxa"/>
            <w:tcBorders>
              <w:top w:val="nil"/>
              <w:left w:val="nil"/>
              <w:bottom w:val="single" w:sz="4" w:space="0" w:color="BFBFBF"/>
              <w:right w:val="nil"/>
            </w:tcBorders>
            <w:shd w:val="clear" w:color="000000" w:fill="FFFFFF"/>
            <w:noWrap/>
            <w:vAlign w:val="bottom"/>
            <w:hideMark/>
          </w:tcPr>
          <w:p w:rsidR="007B5401" w:rsidRPr="007B5401" w:rsidRDefault="007B5401" w:rsidP="007B5401">
            <w:pPr>
              <w:jc w:val="right"/>
              <w:rPr>
                <w:rFonts w:ascii="Calibri" w:eastAsia="Times New Roman" w:hAnsi="Calibri" w:cs="Calibri"/>
                <w:color w:val="000000"/>
                <w:sz w:val="22"/>
              </w:rPr>
            </w:pPr>
            <w:r w:rsidRPr="007B5401">
              <w:rPr>
                <w:rFonts w:ascii="Calibri" w:eastAsia="Times New Roman" w:hAnsi="Calibri" w:cs="Calibri"/>
                <w:color w:val="000000"/>
                <w:sz w:val="22"/>
              </w:rPr>
              <w:t xml:space="preserve">               0.16 </w:t>
            </w:r>
          </w:p>
        </w:tc>
        <w:tc>
          <w:tcPr>
            <w:tcW w:w="1185" w:type="dxa"/>
            <w:tcBorders>
              <w:top w:val="nil"/>
              <w:left w:val="single" w:sz="4" w:space="0" w:color="BFBFBF"/>
              <w:bottom w:val="single" w:sz="4" w:space="0" w:color="BFBFBF"/>
              <w:right w:val="single" w:sz="8" w:space="0" w:color="auto"/>
            </w:tcBorders>
            <w:shd w:val="clear" w:color="000000" w:fill="FFFFFF"/>
            <w:noWrap/>
            <w:vAlign w:val="bottom"/>
            <w:hideMark/>
          </w:tcPr>
          <w:p w:rsidR="007B5401" w:rsidRPr="007B5401" w:rsidRDefault="007B5401" w:rsidP="007B5401">
            <w:pPr>
              <w:jc w:val="right"/>
              <w:rPr>
                <w:rFonts w:ascii="Calibri" w:eastAsia="Times New Roman" w:hAnsi="Calibri" w:cs="Calibri"/>
                <w:color w:val="000000"/>
                <w:sz w:val="22"/>
              </w:rPr>
            </w:pPr>
            <w:r w:rsidRPr="007B5401">
              <w:rPr>
                <w:rFonts w:ascii="Calibri" w:eastAsia="Times New Roman" w:hAnsi="Calibri" w:cs="Calibri"/>
                <w:color w:val="000000"/>
                <w:sz w:val="22"/>
              </w:rPr>
              <w:t xml:space="preserve">               0.07 </w:t>
            </w:r>
          </w:p>
        </w:tc>
        <w:tc>
          <w:tcPr>
            <w:tcW w:w="1604" w:type="dxa"/>
            <w:tcBorders>
              <w:top w:val="nil"/>
              <w:left w:val="single" w:sz="4" w:space="0" w:color="BFBFBF"/>
              <w:bottom w:val="single" w:sz="4" w:space="0" w:color="BFBFBF"/>
              <w:right w:val="single" w:sz="8" w:space="0" w:color="auto"/>
            </w:tcBorders>
            <w:shd w:val="clear" w:color="000000" w:fill="DAEEF3"/>
            <w:noWrap/>
            <w:vAlign w:val="bottom"/>
            <w:hideMark/>
          </w:tcPr>
          <w:p w:rsidR="007B5401" w:rsidRPr="007B5401" w:rsidRDefault="007B5401" w:rsidP="007B5401">
            <w:pPr>
              <w:jc w:val="right"/>
              <w:rPr>
                <w:rFonts w:ascii="Calibri" w:eastAsia="Times New Roman" w:hAnsi="Calibri" w:cs="Calibri"/>
                <w:color w:val="000000"/>
                <w:sz w:val="22"/>
              </w:rPr>
            </w:pPr>
            <w:r w:rsidRPr="007B5401">
              <w:rPr>
                <w:rFonts w:ascii="Calibri" w:eastAsia="Times New Roman" w:hAnsi="Calibri" w:cs="Calibri"/>
                <w:color w:val="000000"/>
                <w:sz w:val="22"/>
              </w:rPr>
              <w:t xml:space="preserve">                        0.11 </w:t>
            </w:r>
          </w:p>
        </w:tc>
      </w:tr>
      <w:tr w:rsidR="007B5401" w:rsidRPr="007B5401" w:rsidTr="00365032">
        <w:trPr>
          <w:trHeight w:val="600"/>
        </w:trPr>
        <w:tc>
          <w:tcPr>
            <w:tcW w:w="1628" w:type="dxa"/>
            <w:tcBorders>
              <w:top w:val="nil"/>
              <w:left w:val="single" w:sz="8" w:space="0" w:color="auto"/>
              <w:bottom w:val="single" w:sz="4" w:space="0" w:color="BFBFBF"/>
              <w:right w:val="single" w:sz="4" w:space="0" w:color="BFBFBF"/>
            </w:tcBorders>
            <w:shd w:val="clear" w:color="000000" w:fill="FFFFFF"/>
            <w:noWrap/>
            <w:vAlign w:val="bottom"/>
            <w:hideMark/>
          </w:tcPr>
          <w:p w:rsidR="007B5401" w:rsidRPr="007B5401" w:rsidRDefault="007B5401" w:rsidP="007B5401">
            <w:pPr>
              <w:jc w:val="left"/>
              <w:rPr>
                <w:rFonts w:ascii="Calibri" w:eastAsia="Times New Roman" w:hAnsi="Calibri" w:cs="Calibri"/>
                <w:color w:val="000000"/>
                <w:sz w:val="22"/>
              </w:rPr>
            </w:pPr>
            <w:r w:rsidRPr="007B5401">
              <w:rPr>
                <w:rFonts w:ascii="Calibri" w:eastAsia="Times New Roman" w:hAnsi="Calibri" w:cs="Calibri"/>
                <w:color w:val="000000"/>
                <w:sz w:val="22"/>
              </w:rPr>
              <w:t>Residential</w:t>
            </w:r>
          </w:p>
        </w:tc>
        <w:tc>
          <w:tcPr>
            <w:tcW w:w="2228" w:type="dxa"/>
            <w:tcBorders>
              <w:top w:val="nil"/>
              <w:left w:val="nil"/>
              <w:bottom w:val="single" w:sz="4" w:space="0" w:color="BFBFBF"/>
              <w:right w:val="nil"/>
            </w:tcBorders>
            <w:shd w:val="clear" w:color="000000" w:fill="FFFFFF"/>
            <w:vAlign w:val="bottom"/>
            <w:hideMark/>
          </w:tcPr>
          <w:p w:rsidR="007B5401" w:rsidRPr="007B5401" w:rsidRDefault="007B5401" w:rsidP="007B5401">
            <w:pPr>
              <w:jc w:val="left"/>
              <w:rPr>
                <w:rFonts w:ascii="Calibri" w:eastAsia="Times New Roman" w:hAnsi="Calibri" w:cs="Calibri"/>
                <w:color w:val="000000"/>
                <w:sz w:val="22"/>
              </w:rPr>
            </w:pPr>
            <w:r w:rsidRPr="007B5401">
              <w:rPr>
                <w:rFonts w:ascii="Calibri" w:eastAsia="Times New Roman" w:hAnsi="Calibri" w:cs="Calibri"/>
                <w:color w:val="000000"/>
                <w:sz w:val="22"/>
              </w:rPr>
              <w:t>Heat Pump Water Heaters</w:t>
            </w:r>
          </w:p>
        </w:tc>
        <w:tc>
          <w:tcPr>
            <w:tcW w:w="1184" w:type="dxa"/>
            <w:tcBorders>
              <w:top w:val="nil"/>
              <w:left w:val="single" w:sz="4" w:space="0" w:color="auto"/>
              <w:bottom w:val="single" w:sz="4" w:space="0" w:color="BFBFBF"/>
              <w:right w:val="nil"/>
            </w:tcBorders>
            <w:shd w:val="clear" w:color="000000" w:fill="FFFFFF"/>
            <w:noWrap/>
            <w:vAlign w:val="bottom"/>
            <w:hideMark/>
          </w:tcPr>
          <w:p w:rsidR="007B5401" w:rsidRPr="007B5401" w:rsidRDefault="007B5401" w:rsidP="007B5401">
            <w:pPr>
              <w:jc w:val="right"/>
              <w:rPr>
                <w:rFonts w:ascii="Calibri" w:eastAsia="Times New Roman" w:hAnsi="Calibri" w:cs="Calibri"/>
                <w:color w:val="000000"/>
                <w:sz w:val="22"/>
              </w:rPr>
            </w:pPr>
            <w:r w:rsidRPr="007B5401">
              <w:rPr>
                <w:rFonts w:ascii="Calibri" w:eastAsia="Times New Roman" w:hAnsi="Calibri" w:cs="Calibri"/>
                <w:color w:val="000000"/>
                <w:sz w:val="22"/>
              </w:rPr>
              <w:t xml:space="preserve">               0.02 </w:t>
            </w:r>
          </w:p>
        </w:tc>
        <w:tc>
          <w:tcPr>
            <w:tcW w:w="1184" w:type="dxa"/>
            <w:tcBorders>
              <w:top w:val="nil"/>
              <w:left w:val="single" w:sz="4" w:space="0" w:color="BFBFBF"/>
              <w:bottom w:val="single" w:sz="4" w:space="0" w:color="BFBFBF"/>
              <w:right w:val="single" w:sz="4" w:space="0" w:color="auto"/>
            </w:tcBorders>
            <w:shd w:val="clear" w:color="000000" w:fill="FFFFFF"/>
            <w:noWrap/>
            <w:vAlign w:val="bottom"/>
            <w:hideMark/>
          </w:tcPr>
          <w:p w:rsidR="007B5401" w:rsidRPr="007B5401" w:rsidRDefault="007B5401" w:rsidP="007B5401">
            <w:pPr>
              <w:jc w:val="right"/>
              <w:rPr>
                <w:rFonts w:ascii="Calibri" w:eastAsia="Times New Roman" w:hAnsi="Calibri" w:cs="Calibri"/>
                <w:color w:val="000000"/>
                <w:sz w:val="22"/>
              </w:rPr>
            </w:pPr>
            <w:r w:rsidRPr="007B5401">
              <w:rPr>
                <w:rFonts w:ascii="Calibri" w:eastAsia="Times New Roman" w:hAnsi="Calibri" w:cs="Calibri"/>
                <w:color w:val="000000"/>
                <w:sz w:val="22"/>
              </w:rPr>
              <w:t xml:space="preserve">               0.01 </w:t>
            </w:r>
          </w:p>
        </w:tc>
        <w:tc>
          <w:tcPr>
            <w:tcW w:w="1183" w:type="dxa"/>
            <w:tcBorders>
              <w:top w:val="nil"/>
              <w:left w:val="nil"/>
              <w:bottom w:val="single" w:sz="4" w:space="0" w:color="BFBFBF"/>
              <w:right w:val="nil"/>
            </w:tcBorders>
            <w:shd w:val="clear" w:color="000000" w:fill="FFFFFF"/>
            <w:noWrap/>
            <w:vAlign w:val="bottom"/>
            <w:hideMark/>
          </w:tcPr>
          <w:p w:rsidR="007B5401" w:rsidRPr="007B5401" w:rsidRDefault="007B5401" w:rsidP="007B5401">
            <w:pPr>
              <w:jc w:val="right"/>
              <w:rPr>
                <w:rFonts w:ascii="Calibri" w:eastAsia="Times New Roman" w:hAnsi="Calibri" w:cs="Calibri"/>
                <w:color w:val="000000"/>
                <w:sz w:val="22"/>
              </w:rPr>
            </w:pPr>
            <w:r w:rsidRPr="007B5401">
              <w:rPr>
                <w:rFonts w:ascii="Calibri" w:eastAsia="Times New Roman" w:hAnsi="Calibri" w:cs="Calibri"/>
                <w:color w:val="000000"/>
                <w:sz w:val="22"/>
              </w:rPr>
              <w:t xml:space="preserve">               0.03 </w:t>
            </w:r>
          </w:p>
        </w:tc>
        <w:tc>
          <w:tcPr>
            <w:tcW w:w="1185" w:type="dxa"/>
            <w:tcBorders>
              <w:top w:val="nil"/>
              <w:left w:val="single" w:sz="4" w:space="0" w:color="BFBFBF"/>
              <w:bottom w:val="single" w:sz="4" w:space="0" w:color="BFBFBF"/>
              <w:right w:val="single" w:sz="8" w:space="0" w:color="auto"/>
            </w:tcBorders>
            <w:shd w:val="clear" w:color="000000" w:fill="FFFFFF"/>
            <w:noWrap/>
            <w:vAlign w:val="bottom"/>
            <w:hideMark/>
          </w:tcPr>
          <w:p w:rsidR="007B5401" w:rsidRPr="007B5401" w:rsidRDefault="007B5401" w:rsidP="007B5401">
            <w:pPr>
              <w:jc w:val="right"/>
              <w:rPr>
                <w:rFonts w:ascii="Calibri" w:eastAsia="Times New Roman" w:hAnsi="Calibri" w:cs="Calibri"/>
                <w:color w:val="000000"/>
                <w:sz w:val="22"/>
              </w:rPr>
            </w:pPr>
            <w:r w:rsidRPr="007B5401">
              <w:rPr>
                <w:rFonts w:ascii="Calibri" w:eastAsia="Times New Roman" w:hAnsi="Calibri" w:cs="Calibri"/>
                <w:color w:val="000000"/>
                <w:sz w:val="22"/>
              </w:rPr>
              <w:t xml:space="preserve">               0.01 </w:t>
            </w:r>
          </w:p>
        </w:tc>
        <w:tc>
          <w:tcPr>
            <w:tcW w:w="1604" w:type="dxa"/>
            <w:tcBorders>
              <w:top w:val="nil"/>
              <w:left w:val="single" w:sz="4" w:space="0" w:color="BFBFBF"/>
              <w:bottom w:val="single" w:sz="4" w:space="0" w:color="BFBFBF"/>
              <w:right w:val="single" w:sz="8" w:space="0" w:color="auto"/>
            </w:tcBorders>
            <w:shd w:val="clear" w:color="000000" w:fill="DAEEF3"/>
            <w:noWrap/>
            <w:vAlign w:val="bottom"/>
            <w:hideMark/>
          </w:tcPr>
          <w:p w:rsidR="007B5401" w:rsidRPr="007B5401" w:rsidRDefault="007B5401" w:rsidP="007B5401">
            <w:pPr>
              <w:jc w:val="right"/>
              <w:rPr>
                <w:rFonts w:ascii="Calibri" w:eastAsia="Times New Roman" w:hAnsi="Calibri" w:cs="Calibri"/>
                <w:color w:val="000000"/>
                <w:sz w:val="22"/>
              </w:rPr>
            </w:pPr>
            <w:r w:rsidRPr="007B5401">
              <w:rPr>
                <w:rFonts w:ascii="Calibri" w:eastAsia="Times New Roman" w:hAnsi="Calibri" w:cs="Calibri"/>
                <w:color w:val="000000"/>
                <w:sz w:val="22"/>
              </w:rPr>
              <w:t xml:space="preserve">                        0.03 </w:t>
            </w:r>
          </w:p>
        </w:tc>
      </w:tr>
      <w:tr w:rsidR="007B5401" w:rsidRPr="007B5401" w:rsidTr="00365032">
        <w:trPr>
          <w:trHeight w:val="300"/>
        </w:trPr>
        <w:tc>
          <w:tcPr>
            <w:tcW w:w="1628" w:type="dxa"/>
            <w:tcBorders>
              <w:top w:val="nil"/>
              <w:left w:val="single" w:sz="8" w:space="0" w:color="auto"/>
              <w:bottom w:val="single" w:sz="4" w:space="0" w:color="BFBFBF"/>
              <w:right w:val="single" w:sz="4" w:space="0" w:color="BFBFBF"/>
            </w:tcBorders>
            <w:shd w:val="clear" w:color="000000" w:fill="FFFFFF"/>
            <w:noWrap/>
            <w:vAlign w:val="bottom"/>
            <w:hideMark/>
          </w:tcPr>
          <w:p w:rsidR="007B5401" w:rsidRPr="007B5401" w:rsidRDefault="007B5401" w:rsidP="007B5401">
            <w:pPr>
              <w:jc w:val="left"/>
              <w:rPr>
                <w:rFonts w:ascii="Calibri" w:eastAsia="Times New Roman" w:hAnsi="Calibri" w:cs="Calibri"/>
                <w:color w:val="000000"/>
                <w:sz w:val="22"/>
              </w:rPr>
            </w:pPr>
            <w:r w:rsidRPr="007B5401">
              <w:rPr>
                <w:rFonts w:ascii="Calibri" w:eastAsia="Times New Roman" w:hAnsi="Calibri" w:cs="Calibri"/>
                <w:color w:val="000000"/>
                <w:sz w:val="22"/>
              </w:rPr>
              <w:t>Residential</w:t>
            </w:r>
          </w:p>
        </w:tc>
        <w:tc>
          <w:tcPr>
            <w:tcW w:w="2228" w:type="dxa"/>
            <w:tcBorders>
              <w:top w:val="nil"/>
              <w:left w:val="nil"/>
              <w:bottom w:val="single" w:sz="4" w:space="0" w:color="BFBFBF"/>
              <w:right w:val="nil"/>
            </w:tcBorders>
            <w:shd w:val="clear" w:color="000000" w:fill="FFFFFF"/>
            <w:vAlign w:val="bottom"/>
            <w:hideMark/>
          </w:tcPr>
          <w:p w:rsidR="007B5401" w:rsidRPr="007B5401" w:rsidRDefault="007B5401" w:rsidP="007B5401">
            <w:pPr>
              <w:jc w:val="left"/>
              <w:rPr>
                <w:rFonts w:ascii="Calibri" w:eastAsia="Times New Roman" w:hAnsi="Calibri" w:cs="Calibri"/>
                <w:color w:val="000000"/>
                <w:sz w:val="22"/>
              </w:rPr>
            </w:pPr>
            <w:r w:rsidRPr="007B5401">
              <w:rPr>
                <w:rFonts w:ascii="Calibri" w:eastAsia="Times New Roman" w:hAnsi="Calibri" w:cs="Calibri"/>
                <w:color w:val="000000"/>
                <w:sz w:val="22"/>
              </w:rPr>
              <w:t>Residential Lighting</w:t>
            </w:r>
          </w:p>
        </w:tc>
        <w:tc>
          <w:tcPr>
            <w:tcW w:w="1184" w:type="dxa"/>
            <w:tcBorders>
              <w:top w:val="nil"/>
              <w:left w:val="single" w:sz="4" w:space="0" w:color="auto"/>
              <w:bottom w:val="single" w:sz="4" w:space="0" w:color="BFBFBF"/>
              <w:right w:val="nil"/>
            </w:tcBorders>
            <w:shd w:val="clear" w:color="000000" w:fill="FFFFFF"/>
            <w:noWrap/>
            <w:vAlign w:val="bottom"/>
            <w:hideMark/>
          </w:tcPr>
          <w:p w:rsidR="007B5401" w:rsidRPr="007B5401" w:rsidRDefault="007B5401" w:rsidP="007B5401">
            <w:pPr>
              <w:jc w:val="right"/>
              <w:rPr>
                <w:rFonts w:ascii="Calibri" w:eastAsia="Times New Roman" w:hAnsi="Calibri" w:cs="Calibri"/>
                <w:color w:val="000000"/>
                <w:sz w:val="22"/>
              </w:rPr>
            </w:pPr>
            <w:r w:rsidRPr="007B5401">
              <w:rPr>
                <w:rFonts w:ascii="Calibri" w:eastAsia="Times New Roman" w:hAnsi="Calibri" w:cs="Calibri"/>
                <w:color w:val="000000"/>
                <w:sz w:val="22"/>
              </w:rPr>
              <w:t xml:space="preserve">               0.23 </w:t>
            </w:r>
          </w:p>
        </w:tc>
        <w:tc>
          <w:tcPr>
            <w:tcW w:w="1184" w:type="dxa"/>
            <w:tcBorders>
              <w:top w:val="nil"/>
              <w:left w:val="single" w:sz="4" w:space="0" w:color="BFBFBF"/>
              <w:bottom w:val="single" w:sz="4" w:space="0" w:color="BFBFBF"/>
              <w:right w:val="single" w:sz="4" w:space="0" w:color="auto"/>
            </w:tcBorders>
            <w:shd w:val="clear" w:color="000000" w:fill="FFFFFF"/>
            <w:noWrap/>
            <w:vAlign w:val="bottom"/>
            <w:hideMark/>
          </w:tcPr>
          <w:p w:rsidR="007B5401" w:rsidRPr="007B5401" w:rsidRDefault="007B5401" w:rsidP="007B5401">
            <w:pPr>
              <w:jc w:val="right"/>
              <w:rPr>
                <w:rFonts w:ascii="Calibri" w:eastAsia="Times New Roman" w:hAnsi="Calibri" w:cs="Calibri"/>
                <w:color w:val="000000"/>
                <w:sz w:val="22"/>
              </w:rPr>
            </w:pPr>
            <w:r w:rsidRPr="007B5401">
              <w:rPr>
                <w:rFonts w:ascii="Calibri" w:eastAsia="Times New Roman" w:hAnsi="Calibri" w:cs="Calibri"/>
                <w:color w:val="000000"/>
                <w:sz w:val="22"/>
              </w:rPr>
              <w:t xml:space="preserve">               0.11 </w:t>
            </w:r>
          </w:p>
        </w:tc>
        <w:tc>
          <w:tcPr>
            <w:tcW w:w="1183" w:type="dxa"/>
            <w:tcBorders>
              <w:top w:val="nil"/>
              <w:left w:val="nil"/>
              <w:bottom w:val="single" w:sz="4" w:space="0" w:color="BFBFBF"/>
              <w:right w:val="nil"/>
            </w:tcBorders>
            <w:shd w:val="clear" w:color="000000" w:fill="FFFFFF"/>
            <w:noWrap/>
            <w:vAlign w:val="bottom"/>
            <w:hideMark/>
          </w:tcPr>
          <w:p w:rsidR="007B5401" w:rsidRPr="007B5401" w:rsidRDefault="007B5401" w:rsidP="007B5401">
            <w:pPr>
              <w:jc w:val="right"/>
              <w:rPr>
                <w:rFonts w:ascii="Calibri" w:eastAsia="Times New Roman" w:hAnsi="Calibri" w:cs="Calibri"/>
                <w:color w:val="000000"/>
                <w:sz w:val="22"/>
              </w:rPr>
            </w:pPr>
            <w:r w:rsidRPr="007B5401">
              <w:rPr>
                <w:rFonts w:ascii="Calibri" w:eastAsia="Times New Roman" w:hAnsi="Calibri" w:cs="Calibri"/>
                <w:color w:val="000000"/>
                <w:sz w:val="22"/>
              </w:rPr>
              <w:t xml:space="preserve">               0.20 </w:t>
            </w:r>
          </w:p>
        </w:tc>
        <w:tc>
          <w:tcPr>
            <w:tcW w:w="1185" w:type="dxa"/>
            <w:tcBorders>
              <w:top w:val="nil"/>
              <w:left w:val="single" w:sz="4" w:space="0" w:color="BFBFBF"/>
              <w:bottom w:val="single" w:sz="4" w:space="0" w:color="BFBFBF"/>
              <w:right w:val="single" w:sz="8" w:space="0" w:color="auto"/>
            </w:tcBorders>
            <w:shd w:val="clear" w:color="000000" w:fill="FFFFFF"/>
            <w:noWrap/>
            <w:vAlign w:val="bottom"/>
            <w:hideMark/>
          </w:tcPr>
          <w:p w:rsidR="007B5401" w:rsidRPr="007B5401" w:rsidRDefault="007B5401" w:rsidP="007B5401">
            <w:pPr>
              <w:jc w:val="right"/>
              <w:rPr>
                <w:rFonts w:ascii="Calibri" w:eastAsia="Times New Roman" w:hAnsi="Calibri" w:cs="Calibri"/>
                <w:color w:val="000000"/>
                <w:sz w:val="22"/>
              </w:rPr>
            </w:pPr>
            <w:r w:rsidRPr="007B5401">
              <w:rPr>
                <w:rFonts w:ascii="Calibri" w:eastAsia="Times New Roman" w:hAnsi="Calibri" w:cs="Calibri"/>
                <w:color w:val="000000"/>
                <w:sz w:val="22"/>
              </w:rPr>
              <w:t xml:space="preserve">               0.11 </w:t>
            </w:r>
          </w:p>
        </w:tc>
        <w:tc>
          <w:tcPr>
            <w:tcW w:w="1604" w:type="dxa"/>
            <w:tcBorders>
              <w:top w:val="nil"/>
              <w:left w:val="single" w:sz="4" w:space="0" w:color="BFBFBF"/>
              <w:bottom w:val="single" w:sz="4" w:space="0" w:color="BFBFBF"/>
              <w:right w:val="single" w:sz="8" w:space="0" w:color="auto"/>
            </w:tcBorders>
            <w:shd w:val="clear" w:color="000000" w:fill="DAEEF3"/>
            <w:noWrap/>
            <w:vAlign w:val="bottom"/>
            <w:hideMark/>
          </w:tcPr>
          <w:p w:rsidR="007B5401" w:rsidRPr="007B5401" w:rsidRDefault="007B5401" w:rsidP="007B5401">
            <w:pPr>
              <w:jc w:val="right"/>
              <w:rPr>
                <w:rFonts w:ascii="Calibri" w:eastAsia="Times New Roman" w:hAnsi="Calibri" w:cs="Calibri"/>
                <w:color w:val="000000"/>
                <w:sz w:val="22"/>
              </w:rPr>
            </w:pPr>
            <w:r w:rsidRPr="007B5401">
              <w:rPr>
                <w:rFonts w:ascii="Calibri" w:eastAsia="Times New Roman" w:hAnsi="Calibri" w:cs="Calibri"/>
                <w:color w:val="000000"/>
                <w:sz w:val="22"/>
              </w:rPr>
              <w:t xml:space="preserve">                        0.22 </w:t>
            </w:r>
          </w:p>
        </w:tc>
      </w:tr>
      <w:tr w:rsidR="007B5401" w:rsidRPr="007B5401" w:rsidTr="00365032">
        <w:trPr>
          <w:trHeight w:val="645"/>
        </w:trPr>
        <w:tc>
          <w:tcPr>
            <w:tcW w:w="1628" w:type="dxa"/>
            <w:tcBorders>
              <w:top w:val="nil"/>
              <w:left w:val="single" w:sz="8" w:space="0" w:color="auto"/>
              <w:bottom w:val="single" w:sz="4" w:space="0" w:color="BFBFBF"/>
              <w:right w:val="single" w:sz="4" w:space="0" w:color="BFBFBF"/>
            </w:tcBorders>
            <w:shd w:val="clear" w:color="000000" w:fill="FFFFFF"/>
            <w:noWrap/>
            <w:vAlign w:val="bottom"/>
            <w:hideMark/>
          </w:tcPr>
          <w:p w:rsidR="007B5401" w:rsidRPr="007B5401" w:rsidRDefault="007B5401" w:rsidP="007B5401">
            <w:pPr>
              <w:jc w:val="left"/>
              <w:rPr>
                <w:rFonts w:ascii="Calibri" w:eastAsia="Times New Roman" w:hAnsi="Calibri" w:cs="Calibri"/>
                <w:color w:val="000000"/>
                <w:sz w:val="22"/>
              </w:rPr>
            </w:pPr>
            <w:r w:rsidRPr="007B5401">
              <w:rPr>
                <w:rFonts w:ascii="Calibri" w:eastAsia="Times New Roman" w:hAnsi="Calibri" w:cs="Calibri"/>
                <w:color w:val="000000"/>
                <w:sz w:val="22"/>
              </w:rPr>
              <w:t>Residential</w:t>
            </w:r>
          </w:p>
        </w:tc>
        <w:tc>
          <w:tcPr>
            <w:tcW w:w="2228" w:type="dxa"/>
            <w:tcBorders>
              <w:top w:val="nil"/>
              <w:left w:val="nil"/>
              <w:bottom w:val="single" w:sz="4" w:space="0" w:color="BFBFBF"/>
              <w:right w:val="nil"/>
            </w:tcBorders>
            <w:shd w:val="clear" w:color="000000" w:fill="FFFFFF"/>
            <w:vAlign w:val="bottom"/>
            <w:hideMark/>
          </w:tcPr>
          <w:p w:rsidR="007B5401" w:rsidRPr="007B5401" w:rsidRDefault="007B5401" w:rsidP="007B5401">
            <w:pPr>
              <w:jc w:val="left"/>
              <w:rPr>
                <w:rFonts w:ascii="Calibri" w:eastAsia="Times New Roman" w:hAnsi="Calibri" w:cs="Calibri"/>
                <w:color w:val="000000"/>
                <w:sz w:val="22"/>
              </w:rPr>
            </w:pPr>
            <w:r w:rsidRPr="007B5401">
              <w:rPr>
                <w:rFonts w:ascii="Calibri" w:eastAsia="Times New Roman" w:hAnsi="Calibri" w:cs="Calibri"/>
                <w:color w:val="000000"/>
                <w:sz w:val="22"/>
              </w:rPr>
              <w:t>Residential New Construction</w:t>
            </w:r>
            <w:r w:rsidRPr="007B5401">
              <w:rPr>
                <w:rFonts w:ascii="Calibri" w:eastAsia="Times New Roman" w:hAnsi="Calibri" w:cs="Calibri"/>
                <w:color w:val="000000"/>
                <w:sz w:val="22"/>
                <w:vertAlign w:val="superscript"/>
              </w:rPr>
              <w:t>1</w:t>
            </w:r>
          </w:p>
        </w:tc>
        <w:tc>
          <w:tcPr>
            <w:tcW w:w="1184" w:type="dxa"/>
            <w:tcBorders>
              <w:top w:val="nil"/>
              <w:left w:val="single" w:sz="4" w:space="0" w:color="auto"/>
              <w:bottom w:val="single" w:sz="4" w:space="0" w:color="BFBFBF"/>
              <w:right w:val="nil"/>
            </w:tcBorders>
            <w:shd w:val="clear" w:color="000000" w:fill="FFFFFF"/>
            <w:noWrap/>
            <w:vAlign w:val="bottom"/>
            <w:hideMark/>
          </w:tcPr>
          <w:p w:rsidR="007B5401" w:rsidRPr="007B5401" w:rsidRDefault="007B5401" w:rsidP="007B5401">
            <w:pPr>
              <w:jc w:val="right"/>
              <w:rPr>
                <w:rFonts w:ascii="Calibri" w:eastAsia="Times New Roman" w:hAnsi="Calibri" w:cs="Calibri"/>
                <w:color w:val="000000"/>
                <w:sz w:val="22"/>
              </w:rPr>
            </w:pPr>
            <w:r w:rsidRPr="007B5401">
              <w:rPr>
                <w:rFonts w:ascii="Calibri" w:eastAsia="Times New Roman" w:hAnsi="Calibri" w:cs="Calibri"/>
                <w:color w:val="000000"/>
                <w:sz w:val="22"/>
              </w:rPr>
              <w:t xml:space="preserve">               0.01 </w:t>
            </w:r>
          </w:p>
        </w:tc>
        <w:tc>
          <w:tcPr>
            <w:tcW w:w="1184" w:type="dxa"/>
            <w:tcBorders>
              <w:top w:val="nil"/>
              <w:left w:val="single" w:sz="4" w:space="0" w:color="BFBFBF"/>
              <w:bottom w:val="single" w:sz="4" w:space="0" w:color="BFBFBF"/>
              <w:right w:val="single" w:sz="4" w:space="0" w:color="auto"/>
            </w:tcBorders>
            <w:shd w:val="clear" w:color="000000" w:fill="FFFFFF"/>
            <w:noWrap/>
            <w:vAlign w:val="bottom"/>
            <w:hideMark/>
          </w:tcPr>
          <w:p w:rsidR="007B5401" w:rsidRPr="007B5401" w:rsidRDefault="007B5401" w:rsidP="007B5401">
            <w:pPr>
              <w:jc w:val="right"/>
              <w:rPr>
                <w:rFonts w:ascii="Calibri" w:eastAsia="Times New Roman" w:hAnsi="Calibri" w:cs="Calibri"/>
                <w:color w:val="000000"/>
                <w:sz w:val="22"/>
              </w:rPr>
            </w:pPr>
            <w:r w:rsidRPr="007B5401">
              <w:rPr>
                <w:rFonts w:ascii="Calibri" w:eastAsia="Times New Roman" w:hAnsi="Calibri" w:cs="Calibri"/>
                <w:color w:val="000000"/>
                <w:sz w:val="22"/>
              </w:rPr>
              <w:t xml:space="preserve">                   -   </w:t>
            </w:r>
          </w:p>
        </w:tc>
        <w:tc>
          <w:tcPr>
            <w:tcW w:w="1183" w:type="dxa"/>
            <w:tcBorders>
              <w:top w:val="nil"/>
              <w:left w:val="nil"/>
              <w:bottom w:val="single" w:sz="4" w:space="0" w:color="BFBFBF"/>
              <w:right w:val="nil"/>
            </w:tcBorders>
            <w:shd w:val="clear" w:color="000000" w:fill="FFFFFF"/>
            <w:noWrap/>
            <w:vAlign w:val="bottom"/>
            <w:hideMark/>
          </w:tcPr>
          <w:p w:rsidR="007B5401" w:rsidRPr="007B5401" w:rsidRDefault="007B5401" w:rsidP="007B5401">
            <w:pPr>
              <w:jc w:val="right"/>
              <w:rPr>
                <w:rFonts w:ascii="Calibri" w:eastAsia="Times New Roman" w:hAnsi="Calibri" w:cs="Calibri"/>
                <w:color w:val="000000"/>
                <w:sz w:val="22"/>
              </w:rPr>
            </w:pPr>
            <w:r w:rsidRPr="007B5401">
              <w:rPr>
                <w:rFonts w:ascii="Calibri" w:eastAsia="Times New Roman" w:hAnsi="Calibri" w:cs="Calibri"/>
                <w:color w:val="000000"/>
                <w:sz w:val="22"/>
              </w:rPr>
              <w:t xml:space="preserve">               0.03 </w:t>
            </w:r>
          </w:p>
        </w:tc>
        <w:tc>
          <w:tcPr>
            <w:tcW w:w="1185" w:type="dxa"/>
            <w:tcBorders>
              <w:top w:val="nil"/>
              <w:left w:val="single" w:sz="4" w:space="0" w:color="BFBFBF"/>
              <w:bottom w:val="single" w:sz="4" w:space="0" w:color="BFBFBF"/>
              <w:right w:val="single" w:sz="8" w:space="0" w:color="auto"/>
            </w:tcBorders>
            <w:shd w:val="clear" w:color="000000" w:fill="FFFFFF"/>
            <w:noWrap/>
            <w:vAlign w:val="bottom"/>
            <w:hideMark/>
          </w:tcPr>
          <w:p w:rsidR="007B5401" w:rsidRPr="007B5401" w:rsidRDefault="007B5401" w:rsidP="007B5401">
            <w:pPr>
              <w:jc w:val="right"/>
              <w:rPr>
                <w:rFonts w:ascii="Calibri" w:eastAsia="Times New Roman" w:hAnsi="Calibri" w:cs="Calibri"/>
                <w:color w:val="000000"/>
                <w:sz w:val="22"/>
              </w:rPr>
            </w:pPr>
            <w:r w:rsidRPr="007B5401">
              <w:rPr>
                <w:rFonts w:ascii="Calibri" w:eastAsia="Times New Roman" w:hAnsi="Calibri" w:cs="Calibri"/>
                <w:color w:val="000000"/>
                <w:sz w:val="22"/>
              </w:rPr>
              <w:t xml:space="preserve">               0.02 </w:t>
            </w:r>
          </w:p>
        </w:tc>
        <w:tc>
          <w:tcPr>
            <w:tcW w:w="1604" w:type="dxa"/>
            <w:tcBorders>
              <w:top w:val="nil"/>
              <w:left w:val="single" w:sz="4" w:space="0" w:color="BFBFBF"/>
              <w:bottom w:val="single" w:sz="4" w:space="0" w:color="BFBFBF"/>
              <w:right w:val="single" w:sz="8" w:space="0" w:color="auto"/>
            </w:tcBorders>
            <w:shd w:val="clear" w:color="000000" w:fill="DAEEF3"/>
            <w:noWrap/>
            <w:vAlign w:val="bottom"/>
            <w:hideMark/>
          </w:tcPr>
          <w:p w:rsidR="007B5401" w:rsidRPr="007B5401" w:rsidRDefault="007B5401" w:rsidP="007B5401">
            <w:pPr>
              <w:jc w:val="right"/>
              <w:rPr>
                <w:rFonts w:ascii="Calibri" w:eastAsia="Times New Roman" w:hAnsi="Calibri" w:cs="Calibri"/>
                <w:color w:val="000000"/>
                <w:sz w:val="22"/>
              </w:rPr>
            </w:pPr>
            <w:r w:rsidRPr="007B5401">
              <w:rPr>
                <w:rFonts w:ascii="Calibri" w:eastAsia="Times New Roman" w:hAnsi="Calibri" w:cs="Calibri"/>
                <w:color w:val="000000"/>
                <w:sz w:val="22"/>
              </w:rPr>
              <w:t xml:space="preserve">                        0.02 </w:t>
            </w:r>
          </w:p>
        </w:tc>
      </w:tr>
      <w:tr w:rsidR="007B5401" w:rsidRPr="007B5401" w:rsidTr="00365032">
        <w:trPr>
          <w:trHeight w:val="345"/>
        </w:trPr>
        <w:tc>
          <w:tcPr>
            <w:tcW w:w="1628" w:type="dxa"/>
            <w:tcBorders>
              <w:top w:val="nil"/>
              <w:left w:val="single" w:sz="8" w:space="0" w:color="auto"/>
              <w:bottom w:val="single" w:sz="4" w:space="0" w:color="BFBFBF"/>
              <w:right w:val="single" w:sz="4" w:space="0" w:color="BFBFBF"/>
            </w:tcBorders>
            <w:shd w:val="clear" w:color="000000" w:fill="FFFFFF"/>
            <w:noWrap/>
            <w:vAlign w:val="bottom"/>
            <w:hideMark/>
          </w:tcPr>
          <w:p w:rsidR="007B5401" w:rsidRPr="007B5401" w:rsidRDefault="007B5401" w:rsidP="007B5401">
            <w:pPr>
              <w:jc w:val="left"/>
              <w:rPr>
                <w:rFonts w:ascii="Calibri" w:eastAsia="Times New Roman" w:hAnsi="Calibri" w:cs="Calibri"/>
                <w:color w:val="000000"/>
                <w:sz w:val="22"/>
              </w:rPr>
            </w:pPr>
            <w:r w:rsidRPr="007B5401">
              <w:rPr>
                <w:rFonts w:ascii="Calibri" w:eastAsia="Times New Roman" w:hAnsi="Calibri" w:cs="Calibri"/>
                <w:color w:val="000000"/>
                <w:sz w:val="22"/>
              </w:rPr>
              <w:t>Multiple Sectors</w:t>
            </w:r>
          </w:p>
        </w:tc>
        <w:tc>
          <w:tcPr>
            <w:tcW w:w="2228" w:type="dxa"/>
            <w:tcBorders>
              <w:top w:val="nil"/>
              <w:left w:val="nil"/>
              <w:bottom w:val="single" w:sz="4" w:space="0" w:color="BFBFBF"/>
              <w:right w:val="nil"/>
            </w:tcBorders>
            <w:shd w:val="clear" w:color="000000" w:fill="FFFFFF"/>
            <w:vAlign w:val="bottom"/>
            <w:hideMark/>
          </w:tcPr>
          <w:p w:rsidR="007B5401" w:rsidRPr="007B5401" w:rsidRDefault="007B5401" w:rsidP="007B5401">
            <w:pPr>
              <w:jc w:val="left"/>
              <w:rPr>
                <w:rFonts w:ascii="Calibri" w:eastAsia="Times New Roman" w:hAnsi="Calibri" w:cs="Calibri"/>
                <w:color w:val="000000"/>
                <w:sz w:val="22"/>
              </w:rPr>
            </w:pPr>
            <w:r w:rsidRPr="007B5401">
              <w:rPr>
                <w:rFonts w:ascii="Calibri" w:eastAsia="Times New Roman" w:hAnsi="Calibri" w:cs="Calibri"/>
                <w:color w:val="000000"/>
                <w:sz w:val="22"/>
              </w:rPr>
              <w:t>Standards</w:t>
            </w:r>
            <w:r w:rsidRPr="007B5401">
              <w:rPr>
                <w:rFonts w:ascii="Calibri" w:eastAsia="Times New Roman" w:hAnsi="Calibri" w:cs="Calibri"/>
                <w:color w:val="000000"/>
                <w:sz w:val="22"/>
                <w:vertAlign w:val="superscript"/>
              </w:rPr>
              <w:t>2</w:t>
            </w:r>
          </w:p>
        </w:tc>
        <w:tc>
          <w:tcPr>
            <w:tcW w:w="1184" w:type="dxa"/>
            <w:tcBorders>
              <w:top w:val="nil"/>
              <w:left w:val="single" w:sz="4" w:space="0" w:color="auto"/>
              <w:bottom w:val="single" w:sz="4" w:space="0" w:color="BFBFBF"/>
              <w:right w:val="nil"/>
            </w:tcBorders>
            <w:shd w:val="clear" w:color="000000" w:fill="FFFFFF"/>
            <w:noWrap/>
            <w:vAlign w:val="bottom"/>
            <w:hideMark/>
          </w:tcPr>
          <w:p w:rsidR="007B5401" w:rsidRPr="007B5401" w:rsidRDefault="007B5401" w:rsidP="007B5401">
            <w:pPr>
              <w:jc w:val="right"/>
              <w:rPr>
                <w:rFonts w:ascii="Calibri" w:eastAsia="Times New Roman" w:hAnsi="Calibri" w:cs="Calibri"/>
                <w:color w:val="000000"/>
                <w:sz w:val="22"/>
              </w:rPr>
            </w:pPr>
            <w:r w:rsidRPr="007B5401">
              <w:rPr>
                <w:rFonts w:ascii="Calibri" w:eastAsia="Times New Roman" w:hAnsi="Calibri" w:cs="Calibri"/>
                <w:color w:val="000000"/>
                <w:sz w:val="22"/>
              </w:rPr>
              <w:t xml:space="preserve">                   -   </w:t>
            </w:r>
          </w:p>
        </w:tc>
        <w:tc>
          <w:tcPr>
            <w:tcW w:w="1184" w:type="dxa"/>
            <w:tcBorders>
              <w:top w:val="nil"/>
              <w:left w:val="single" w:sz="4" w:space="0" w:color="BFBFBF"/>
              <w:bottom w:val="single" w:sz="4" w:space="0" w:color="BFBFBF"/>
              <w:right w:val="single" w:sz="4" w:space="0" w:color="auto"/>
            </w:tcBorders>
            <w:shd w:val="clear" w:color="000000" w:fill="FFFFFF"/>
            <w:noWrap/>
            <w:vAlign w:val="bottom"/>
            <w:hideMark/>
          </w:tcPr>
          <w:p w:rsidR="007B5401" w:rsidRPr="007B5401" w:rsidRDefault="007B5401" w:rsidP="007B5401">
            <w:pPr>
              <w:jc w:val="right"/>
              <w:rPr>
                <w:rFonts w:ascii="Calibri" w:eastAsia="Times New Roman" w:hAnsi="Calibri" w:cs="Calibri"/>
                <w:color w:val="000000"/>
                <w:sz w:val="22"/>
              </w:rPr>
            </w:pPr>
            <w:r w:rsidRPr="007B5401">
              <w:rPr>
                <w:rFonts w:ascii="Calibri" w:eastAsia="Times New Roman" w:hAnsi="Calibri" w:cs="Calibri"/>
                <w:color w:val="000000"/>
                <w:sz w:val="22"/>
              </w:rPr>
              <w:t xml:space="preserve">                   -   </w:t>
            </w:r>
          </w:p>
        </w:tc>
        <w:tc>
          <w:tcPr>
            <w:tcW w:w="1183" w:type="dxa"/>
            <w:tcBorders>
              <w:top w:val="nil"/>
              <w:left w:val="nil"/>
              <w:bottom w:val="single" w:sz="4" w:space="0" w:color="BFBFBF"/>
              <w:right w:val="nil"/>
            </w:tcBorders>
            <w:shd w:val="clear" w:color="000000" w:fill="FFFFFF"/>
            <w:noWrap/>
            <w:vAlign w:val="bottom"/>
            <w:hideMark/>
          </w:tcPr>
          <w:p w:rsidR="007B5401" w:rsidRPr="007B5401" w:rsidRDefault="007B5401" w:rsidP="007B5401">
            <w:pPr>
              <w:jc w:val="right"/>
              <w:rPr>
                <w:rFonts w:ascii="Calibri" w:eastAsia="Times New Roman" w:hAnsi="Calibri" w:cs="Calibri"/>
                <w:color w:val="000000"/>
                <w:sz w:val="22"/>
              </w:rPr>
            </w:pPr>
            <w:r w:rsidRPr="007B5401">
              <w:rPr>
                <w:rFonts w:ascii="Calibri" w:eastAsia="Times New Roman" w:hAnsi="Calibri" w:cs="Calibri"/>
                <w:color w:val="000000"/>
                <w:sz w:val="22"/>
              </w:rPr>
              <w:t xml:space="preserve">                   -   </w:t>
            </w:r>
          </w:p>
        </w:tc>
        <w:tc>
          <w:tcPr>
            <w:tcW w:w="1185" w:type="dxa"/>
            <w:tcBorders>
              <w:top w:val="nil"/>
              <w:left w:val="single" w:sz="4" w:space="0" w:color="BFBFBF"/>
              <w:bottom w:val="single" w:sz="4" w:space="0" w:color="BFBFBF"/>
              <w:right w:val="single" w:sz="8" w:space="0" w:color="auto"/>
            </w:tcBorders>
            <w:shd w:val="clear" w:color="000000" w:fill="FFFFFF"/>
            <w:noWrap/>
            <w:vAlign w:val="bottom"/>
            <w:hideMark/>
          </w:tcPr>
          <w:p w:rsidR="007B5401" w:rsidRPr="007B5401" w:rsidRDefault="007B5401" w:rsidP="007B5401">
            <w:pPr>
              <w:jc w:val="right"/>
              <w:rPr>
                <w:rFonts w:ascii="Calibri" w:eastAsia="Times New Roman" w:hAnsi="Calibri" w:cs="Calibri"/>
                <w:color w:val="000000"/>
                <w:sz w:val="22"/>
              </w:rPr>
            </w:pPr>
            <w:r w:rsidRPr="007B5401">
              <w:rPr>
                <w:rFonts w:ascii="Calibri" w:eastAsia="Times New Roman" w:hAnsi="Calibri" w:cs="Calibri"/>
                <w:color w:val="000000"/>
                <w:sz w:val="22"/>
              </w:rPr>
              <w:t xml:space="preserve">                   -   </w:t>
            </w:r>
          </w:p>
        </w:tc>
        <w:tc>
          <w:tcPr>
            <w:tcW w:w="1604" w:type="dxa"/>
            <w:tcBorders>
              <w:top w:val="nil"/>
              <w:left w:val="single" w:sz="4" w:space="0" w:color="BFBFBF"/>
              <w:bottom w:val="single" w:sz="4" w:space="0" w:color="BFBFBF"/>
              <w:right w:val="single" w:sz="8" w:space="0" w:color="auto"/>
            </w:tcBorders>
            <w:shd w:val="clear" w:color="000000" w:fill="DAEEF3"/>
            <w:noWrap/>
            <w:vAlign w:val="bottom"/>
            <w:hideMark/>
          </w:tcPr>
          <w:p w:rsidR="007B5401" w:rsidRPr="007B5401" w:rsidRDefault="007B5401" w:rsidP="007B5401">
            <w:pPr>
              <w:jc w:val="right"/>
              <w:rPr>
                <w:rFonts w:ascii="Calibri" w:eastAsia="Times New Roman" w:hAnsi="Calibri" w:cs="Calibri"/>
                <w:color w:val="000000"/>
                <w:sz w:val="22"/>
              </w:rPr>
            </w:pPr>
            <w:r w:rsidRPr="007B5401">
              <w:rPr>
                <w:rFonts w:ascii="Calibri" w:eastAsia="Times New Roman" w:hAnsi="Calibri" w:cs="Calibri"/>
                <w:color w:val="000000"/>
                <w:sz w:val="22"/>
              </w:rPr>
              <w:t xml:space="preserve">                            -   </w:t>
            </w:r>
          </w:p>
        </w:tc>
      </w:tr>
      <w:tr w:rsidR="007B5401" w:rsidRPr="007B5401" w:rsidTr="00365032">
        <w:trPr>
          <w:trHeight w:val="615"/>
        </w:trPr>
        <w:tc>
          <w:tcPr>
            <w:tcW w:w="1628" w:type="dxa"/>
            <w:tcBorders>
              <w:top w:val="nil"/>
              <w:left w:val="single" w:sz="8" w:space="0" w:color="auto"/>
              <w:bottom w:val="single" w:sz="4" w:space="0" w:color="BFBFBF"/>
              <w:right w:val="single" w:sz="4" w:space="0" w:color="BFBFBF"/>
            </w:tcBorders>
            <w:shd w:val="clear" w:color="000000" w:fill="FFFFFF"/>
            <w:noWrap/>
            <w:vAlign w:val="bottom"/>
            <w:hideMark/>
          </w:tcPr>
          <w:p w:rsidR="007B5401" w:rsidRPr="007B5401" w:rsidRDefault="007B5401" w:rsidP="007B5401">
            <w:pPr>
              <w:jc w:val="left"/>
              <w:rPr>
                <w:rFonts w:ascii="Calibri" w:eastAsia="Times New Roman" w:hAnsi="Calibri" w:cs="Calibri"/>
                <w:color w:val="000000"/>
                <w:sz w:val="22"/>
              </w:rPr>
            </w:pPr>
            <w:r w:rsidRPr="007B5401">
              <w:rPr>
                <w:rFonts w:ascii="Calibri" w:eastAsia="Times New Roman" w:hAnsi="Calibri" w:cs="Calibri"/>
                <w:color w:val="000000"/>
                <w:sz w:val="22"/>
              </w:rPr>
              <w:t>Commercial</w:t>
            </w:r>
          </w:p>
        </w:tc>
        <w:tc>
          <w:tcPr>
            <w:tcW w:w="2228" w:type="dxa"/>
            <w:tcBorders>
              <w:top w:val="nil"/>
              <w:left w:val="nil"/>
              <w:bottom w:val="single" w:sz="4" w:space="0" w:color="BFBFBF"/>
              <w:right w:val="nil"/>
            </w:tcBorders>
            <w:shd w:val="clear" w:color="000000" w:fill="FFFFFF"/>
            <w:vAlign w:val="bottom"/>
            <w:hideMark/>
          </w:tcPr>
          <w:p w:rsidR="007B5401" w:rsidRPr="007B5401" w:rsidRDefault="007B5401" w:rsidP="007B5401">
            <w:pPr>
              <w:jc w:val="left"/>
              <w:rPr>
                <w:rFonts w:ascii="Calibri" w:eastAsia="Times New Roman" w:hAnsi="Calibri" w:cs="Calibri"/>
                <w:color w:val="000000"/>
                <w:sz w:val="22"/>
              </w:rPr>
            </w:pPr>
            <w:r w:rsidRPr="007B5401">
              <w:rPr>
                <w:rFonts w:ascii="Calibri" w:eastAsia="Times New Roman" w:hAnsi="Calibri" w:cs="Calibri"/>
                <w:color w:val="000000"/>
                <w:sz w:val="22"/>
              </w:rPr>
              <w:t>Building Operator Certification Expansion</w:t>
            </w:r>
          </w:p>
        </w:tc>
        <w:tc>
          <w:tcPr>
            <w:tcW w:w="1184" w:type="dxa"/>
            <w:tcBorders>
              <w:top w:val="nil"/>
              <w:left w:val="single" w:sz="4" w:space="0" w:color="auto"/>
              <w:bottom w:val="single" w:sz="4" w:space="0" w:color="BFBFBF"/>
              <w:right w:val="nil"/>
            </w:tcBorders>
            <w:shd w:val="clear" w:color="000000" w:fill="FFFFFF"/>
            <w:noWrap/>
            <w:vAlign w:val="bottom"/>
            <w:hideMark/>
          </w:tcPr>
          <w:p w:rsidR="007B5401" w:rsidRPr="007B5401" w:rsidRDefault="007B5401" w:rsidP="007B5401">
            <w:pPr>
              <w:jc w:val="right"/>
              <w:rPr>
                <w:rFonts w:ascii="Calibri" w:eastAsia="Times New Roman" w:hAnsi="Calibri" w:cs="Calibri"/>
                <w:color w:val="000000"/>
                <w:sz w:val="22"/>
              </w:rPr>
            </w:pPr>
            <w:r w:rsidRPr="007B5401">
              <w:rPr>
                <w:rFonts w:ascii="Calibri" w:eastAsia="Times New Roman" w:hAnsi="Calibri" w:cs="Calibri"/>
                <w:color w:val="000000"/>
                <w:sz w:val="22"/>
              </w:rPr>
              <w:t xml:space="preserve">               0.03 </w:t>
            </w:r>
          </w:p>
        </w:tc>
        <w:tc>
          <w:tcPr>
            <w:tcW w:w="1184" w:type="dxa"/>
            <w:tcBorders>
              <w:top w:val="nil"/>
              <w:left w:val="single" w:sz="4" w:space="0" w:color="BFBFBF"/>
              <w:bottom w:val="single" w:sz="4" w:space="0" w:color="BFBFBF"/>
              <w:right w:val="single" w:sz="4" w:space="0" w:color="auto"/>
            </w:tcBorders>
            <w:shd w:val="clear" w:color="000000" w:fill="FFFFFF"/>
            <w:noWrap/>
            <w:vAlign w:val="bottom"/>
            <w:hideMark/>
          </w:tcPr>
          <w:p w:rsidR="007B5401" w:rsidRPr="007B5401" w:rsidRDefault="007B5401" w:rsidP="007B5401">
            <w:pPr>
              <w:jc w:val="right"/>
              <w:rPr>
                <w:rFonts w:ascii="Calibri" w:eastAsia="Times New Roman" w:hAnsi="Calibri" w:cs="Calibri"/>
                <w:color w:val="000000"/>
                <w:sz w:val="22"/>
              </w:rPr>
            </w:pPr>
            <w:r w:rsidRPr="007B5401">
              <w:rPr>
                <w:rFonts w:ascii="Calibri" w:eastAsia="Times New Roman" w:hAnsi="Calibri" w:cs="Calibri"/>
                <w:color w:val="000000"/>
                <w:sz w:val="22"/>
              </w:rPr>
              <w:t xml:space="preserve">               0.02 </w:t>
            </w:r>
          </w:p>
        </w:tc>
        <w:tc>
          <w:tcPr>
            <w:tcW w:w="1183" w:type="dxa"/>
            <w:tcBorders>
              <w:top w:val="nil"/>
              <w:left w:val="nil"/>
              <w:bottom w:val="single" w:sz="4" w:space="0" w:color="BFBFBF"/>
              <w:right w:val="nil"/>
            </w:tcBorders>
            <w:shd w:val="clear" w:color="000000" w:fill="FFFFFF"/>
            <w:noWrap/>
            <w:vAlign w:val="bottom"/>
            <w:hideMark/>
          </w:tcPr>
          <w:p w:rsidR="007B5401" w:rsidRPr="007B5401" w:rsidRDefault="007B5401" w:rsidP="007B5401">
            <w:pPr>
              <w:jc w:val="right"/>
              <w:rPr>
                <w:rFonts w:ascii="Calibri" w:eastAsia="Times New Roman" w:hAnsi="Calibri" w:cs="Calibri"/>
                <w:color w:val="000000"/>
                <w:sz w:val="22"/>
              </w:rPr>
            </w:pPr>
            <w:r w:rsidRPr="007B5401">
              <w:rPr>
                <w:rFonts w:ascii="Calibri" w:eastAsia="Times New Roman" w:hAnsi="Calibri" w:cs="Calibri"/>
                <w:color w:val="000000"/>
                <w:sz w:val="22"/>
              </w:rPr>
              <w:t xml:space="preserve">               0.03 </w:t>
            </w:r>
          </w:p>
        </w:tc>
        <w:tc>
          <w:tcPr>
            <w:tcW w:w="1185" w:type="dxa"/>
            <w:tcBorders>
              <w:top w:val="nil"/>
              <w:left w:val="single" w:sz="4" w:space="0" w:color="BFBFBF"/>
              <w:bottom w:val="single" w:sz="4" w:space="0" w:color="BFBFBF"/>
              <w:right w:val="single" w:sz="8" w:space="0" w:color="auto"/>
            </w:tcBorders>
            <w:shd w:val="clear" w:color="000000" w:fill="FFFFFF"/>
            <w:noWrap/>
            <w:vAlign w:val="bottom"/>
            <w:hideMark/>
          </w:tcPr>
          <w:p w:rsidR="007B5401" w:rsidRPr="007B5401" w:rsidRDefault="007B5401" w:rsidP="007B5401">
            <w:pPr>
              <w:jc w:val="right"/>
              <w:rPr>
                <w:rFonts w:ascii="Calibri" w:eastAsia="Times New Roman" w:hAnsi="Calibri" w:cs="Calibri"/>
                <w:color w:val="000000"/>
                <w:sz w:val="22"/>
              </w:rPr>
            </w:pPr>
            <w:r w:rsidRPr="007B5401">
              <w:rPr>
                <w:rFonts w:ascii="Calibri" w:eastAsia="Times New Roman" w:hAnsi="Calibri" w:cs="Calibri"/>
                <w:color w:val="000000"/>
                <w:sz w:val="22"/>
              </w:rPr>
              <w:t xml:space="preserve">               0.02 </w:t>
            </w:r>
          </w:p>
        </w:tc>
        <w:tc>
          <w:tcPr>
            <w:tcW w:w="1604" w:type="dxa"/>
            <w:tcBorders>
              <w:top w:val="nil"/>
              <w:left w:val="single" w:sz="4" w:space="0" w:color="BFBFBF"/>
              <w:bottom w:val="single" w:sz="4" w:space="0" w:color="BFBFBF"/>
              <w:right w:val="single" w:sz="8" w:space="0" w:color="auto"/>
            </w:tcBorders>
            <w:shd w:val="clear" w:color="000000" w:fill="DAEEF3"/>
            <w:noWrap/>
            <w:vAlign w:val="bottom"/>
            <w:hideMark/>
          </w:tcPr>
          <w:p w:rsidR="007B5401" w:rsidRPr="007B5401" w:rsidRDefault="007B5401" w:rsidP="007B5401">
            <w:pPr>
              <w:jc w:val="right"/>
              <w:rPr>
                <w:rFonts w:ascii="Calibri" w:eastAsia="Times New Roman" w:hAnsi="Calibri" w:cs="Calibri"/>
                <w:color w:val="000000"/>
                <w:sz w:val="22"/>
              </w:rPr>
            </w:pPr>
            <w:r w:rsidRPr="007B5401">
              <w:rPr>
                <w:rFonts w:ascii="Calibri" w:eastAsia="Times New Roman" w:hAnsi="Calibri" w:cs="Calibri"/>
                <w:color w:val="000000"/>
                <w:sz w:val="22"/>
              </w:rPr>
              <w:t xml:space="preserve">                        0.03 </w:t>
            </w:r>
          </w:p>
        </w:tc>
      </w:tr>
      <w:tr w:rsidR="007B5401" w:rsidRPr="007B5401" w:rsidTr="00365032">
        <w:trPr>
          <w:trHeight w:val="600"/>
        </w:trPr>
        <w:tc>
          <w:tcPr>
            <w:tcW w:w="1628" w:type="dxa"/>
            <w:tcBorders>
              <w:top w:val="nil"/>
              <w:left w:val="single" w:sz="8" w:space="0" w:color="auto"/>
              <w:bottom w:val="single" w:sz="4" w:space="0" w:color="BFBFBF"/>
              <w:right w:val="single" w:sz="4" w:space="0" w:color="BFBFBF"/>
            </w:tcBorders>
            <w:shd w:val="clear" w:color="000000" w:fill="FFFFFF"/>
            <w:noWrap/>
            <w:vAlign w:val="bottom"/>
            <w:hideMark/>
          </w:tcPr>
          <w:p w:rsidR="007B5401" w:rsidRPr="007B5401" w:rsidRDefault="007B5401" w:rsidP="007B5401">
            <w:pPr>
              <w:jc w:val="left"/>
              <w:rPr>
                <w:rFonts w:ascii="Calibri" w:eastAsia="Times New Roman" w:hAnsi="Calibri" w:cs="Calibri"/>
                <w:color w:val="000000"/>
                <w:sz w:val="22"/>
              </w:rPr>
            </w:pPr>
            <w:r w:rsidRPr="007B5401">
              <w:rPr>
                <w:rFonts w:ascii="Calibri" w:eastAsia="Times New Roman" w:hAnsi="Calibri" w:cs="Calibri"/>
                <w:color w:val="000000"/>
                <w:sz w:val="22"/>
              </w:rPr>
              <w:t>Commercial</w:t>
            </w:r>
          </w:p>
        </w:tc>
        <w:tc>
          <w:tcPr>
            <w:tcW w:w="2228" w:type="dxa"/>
            <w:tcBorders>
              <w:top w:val="nil"/>
              <w:left w:val="nil"/>
              <w:bottom w:val="single" w:sz="4" w:space="0" w:color="BFBFBF"/>
              <w:right w:val="nil"/>
            </w:tcBorders>
            <w:shd w:val="clear" w:color="000000" w:fill="FFFFFF"/>
            <w:vAlign w:val="bottom"/>
            <w:hideMark/>
          </w:tcPr>
          <w:p w:rsidR="007B5401" w:rsidRPr="007B5401" w:rsidRDefault="007B5401" w:rsidP="007B5401">
            <w:pPr>
              <w:jc w:val="left"/>
              <w:rPr>
                <w:rFonts w:ascii="Calibri" w:eastAsia="Times New Roman" w:hAnsi="Calibri" w:cs="Calibri"/>
                <w:color w:val="000000"/>
                <w:sz w:val="22"/>
              </w:rPr>
            </w:pPr>
            <w:r w:rsidRPr="007B5401">
              <w:rPr>
                <w:rFonts w:ascii="Calibri" w:eastAsia="Times New Roman" w:hAnsi="Calibri" w:cs="Calibri"/>
                <w:color w:val="000000"/>
                <w:sz w:val="22"/>
              </w:rPr>
              <w:t>Reduced Wattage Lamp Replacement</w:t>
            </w:r>
          </w:p>
        </w:tc>
        <w:tc>
          <w:tcPr>
            <w:tcW w:w="1184" w:type="dxa"/>
            <w:tcBorders>
              <w:top w:val="nil"/>
              <w:left w:val="single" w:sz="4" w:space="0" w:color="auto"/>
              <w:bottom w:val="single" w:sz="4" w:space="0" w:color="BFBFBF"/>
              <w:right w:val="nil"/>
            </w:tcBorders>
            <w:shd w:val="clear" w:color="000000" w:fill="FFFFFF"/>
            <w:noWrap/>
            <w:vAlign w:val="bottom"/>
            <w:hideMark/>
          </w:tcPr>
          <w:p w:rsidR="007B5401" w:rsidRPr="007B5401" w:rsidRDefault="007B5401" w:rsidP="007B5401">
            <w:pPr>
              <w:jc w:val="right"/>
              <w:rPr>
                <w:rFonts w:ascii="Calibri" w:eastAsia="Times New Roman" w:hAnsi="Calibri" w:cs="Calibri"/>
                <w:color w:val="000000"/>
                <w:sz w:val="22"/>
              </w:rPr>
            </w:pPr>
            <w:r w:rsidRPr="007B5401">
              <w:rPr>
                <w:rFonts w:ascii="Calibri" w:eastAsia="Times New Roman" w:hAnsi="Calibri" w:cs="Calibri"/>
                <w:color w:val="000000"/>
                <w:sz w:val="22"/>
              </w:rPr>
              <w:t xml:space="preserve">               0.04 </w:t>
            </w:r>
          </w:p>
        </w:tc>
        <w:tc>
          <w:tcPr>
            <w:tcW w:w="1184" w:type="dxa"/>
            <w:tcBorders>
              <w:top w:val="nil"/>
              <w:left w:val="single" w:sz="4" w:space="0" w:color="BFBFBF"/>
              <w:bottom w:val="single" w:sz="4" w:space="0" w:color="BFBFBF"/>
              <w:right w:val="single" w:sz="4" w:space="0" w:color="auto"/>
            </w:tcBorders>
            <w:shd w:val="clear" w:color="000000" w:fill="FFFFFF"/>
            <w:noWrap/>
            <w:vAlign w:val="bottom"/>
            <w:hideMark/>
          </w:tcPr>
          <w:p w:rsidR="007B5401" w:rsidRPr="007B5401" w:rsidRDefault="007B5401" w:rsidP="007B5401">
            <w:pPr>
              <w:jc w:val="right"/>
              <w:rPr>
                <w:rFonts w:ascii="Calibri" w:eastAsia="Times New Roman" w:hAnsi="Calibri" w:cs="Calibri"/>
                <w:color w:val="000000"/>
                <w:sz w:val="22"/>
              </w:rPr>
            </w:pPr>
            <w:r w:rsidRPr="007B5401">
              <w:rPr>
                <w:rFonts w:ascii="Calibri" w:eastAsia="Times New Roman" w:hAnsi="Calibri" w:cs="Calibri"/>
                <w:color w:val="000000"/>
                <w:sz w:val="22"/>
              </w:rPr>
              <w:t xml:space="preserve">               0.03 </w:t>
            </w:r>
          </w:p>
        </w:tc>
        <w:tc>
          <w:tcPr>
            <w:tcW w:w="1183" w:type="dxa"/>
            <w:tcBorders>
              <w:top w:val="nil"/>
              <w:left w:val="nil"/>
              <w:bottom w:val="single" w:sz="4" w:space="0" w:color="BFBFBF"/>
              <w:right w:val="nil"/>
            </w:tcBorders>
            <w:shd w:val="clear" w:color="000000" w:fill="FFFFFF"/>
            <w:noWrap/>
            <w:vAlign w:val="bottom"/>
            <w:hideMark/>
          </w:tcPr>
          <w:p w:rsidR="007B5401" w:rsidRPr="007B5401" w:rsidRDefault="007B5401" w:rsidP="007B5401">
            <w:pPr>
              <w:jc w:val="right"/>
              <w:rPr>
                <w:rFonts w:ascii="Calibri" w:eastAsia="Times New Roman" w:hAnsi="Calibri" w:cs="Calibri"/>
                <w:color w:val="000000"/>
                <w:sz w:val="22"/>
              </w:rPr>
            </w:pPr>
            <w:r w:rsidRPr="007B5401">
              <w:rPr>
                <w:rFonts w:ascii="Calibri" w:eastAsia="Times New Roman" w:hAnsi="Calibri" w:cs="Calibri"/>
                <w:color w:val="000000"/>
                <w:sz w:val="22"/>
              </w:rPr>
              <w:t xml:space="preserve">               0.07 </w:t>
            </w:r>
          </w:p>
        </w:tc>
        <w:tc>
          <w:tcPr>
            <w:tcW w:w="1185" w:type="dxa"/>
            <w:tcBorders>
              <w:top w:val="nil"/>
              <w:left w:val="single" w:sz="4" w:space="0" w:color="BFBFBF"/>
              <w:bottom w:val="single" w:sz="4" w:space="0" w:color="BFBFBF"/>
              <w:right w:val="single" w:sz="8" w:space="0" w:color="auto"/>
            </w:tcBorders>
            <w:shd w:val="clear" w:color="000000" w:fill="FFFFFF"/>
            <w:noWrap/>
            <w:vAlign w:val="bottom"/>
            <w:hideMark/>
          </w:tcPr>
          <w:p w:rsidR="007B5401" w:rsidRPr="007B5401" w:rsidRDefault="007B5401" w:rsidP="007B5401">
            <w:pPr>
              <w:jc w:val="right"/>
              <w:rPr>
                <w:rFonts w:ascii="Calibri" w:eastAsia="Times New Roman" w:hAnsi="Calibri" w:cs="Calibri"/>
                <w:color w:val="000000"/>
                <w:sz w:val="22"/>
              </w:rPr>
            </w:pPr>
            <w:r w:rsidRPr="007B5401">
              <w:rPr>
                <w:rFonts w:ascii="Calibri" w:eastAsia="Times New Roman" w:hAnsi="Calibri" w:cs="Calibri"/>
                <w:color w:val="000000"/>
                <w:sz w:val="22"/>
              </w:rPr>
              <w:t xml:space="preserve">               0.06 </w:t>
            </w:r>
          </w:p>
        </w:tc>
        <w:tc>
          <w:tcPr>
            <w:tcW w:w="1604" w:type="dxa"/>
            <w:tcBorders>
              <w:top w:val="nil"/>
              <w:left w:val="single" w:sz="4" w:space="0" w:color="BFBFBF"/>
              <w:bottom w:val="single" w:sz="4" w:space="0" w:color="BFBFBF"/>
              <w:right w:val="single" w:sz="8" w:space="0" w:color="auto"/>
            </w:tcBorders>
            <w:shd w:val="clear" w:color="000000" w:fill="DAEEF3"/>
            <w:noWrap/>
            <w:vAlign w:val="bottom"/>
            <w:hideMark/>
          </w:tcPr>
          <w:p w:rsidR="007B5401" w:rsidRPr="007B5401" w:rsidRDefault="007B5401" w:rsidP="007B5401">
            <w:pPr>
              <w:jc w:val="right"/>
              <w:rPr>
                <w:rFonts w:ascii="Calibri" w:eastAsia="Times New Roman" w:hAnsi="Calibri" w:cs="Calibri"/>
                <w:color w:val="000000"/>
                <w:sz w:val="22"/>
              </w:rPr>
            </w:pPr>
            <w:r w:rsidRPr="007B5401">
              <w:rPr>
                <w:rFonts w:ascii="Calibri" w:eastAsia="Times New Roman" w:hAnsi="Calibri" w:cs="Calibri"/>
                <w:color w:val="000000"/>
                <w:sz w:val="22"/>
              </w:rPr>
              <w:t xml:space="preserve">                        0.10 </w:t>
            </w:r>
          </w:p>
        </w:tc>
      </w:tr>
      <w:tr w:rsidR="007B5401" w:rsidRPr="007B5401" w:rsidTr="00365032">
        <w:trPr>
          <w:trHeight w:val="300"/>
        </w:trPr>
        <w:tc>
          <w:tcPr>
            <w:tcW w:w="1628" w:type="dxa"/>
            <w:tcBorders>
              <w:top w:val="nil"/>
              <w:left w:val="single" w:sz="8" w:space="0" w:color="auto"/>
              <w:bottom w:val="single" w:sz="4" w:space="0" w:color="BFBFBF"/>
              <w:right w:val="single" w:sz="4" w:space="0" w:color="BFBFBF"/>
            </w:tcBorders>
            <w:shd w:val="clear" w:color="000000" w:fill="FFFFFF"/>
            <w:noWrap/>
            <w:vAlign w:val="bottom"/>
            <w:hideMark/>
          </w:tcPr>
          <w:p w:rsidR="007B5401" w:rsidRPr="007B5401" w:rsidRDefault="007B5401" w:rsidP="007B5401">
            <w:pPr>
              <w:jc w:val="left"/>
              <w:rPr>
                <w:rFonts w:ascii="Calibri" w:eastAsia="Times New Roman" w:hAnsi="Calibri" w:cs="Calibri"/>
                <w:color w:val="000000"/>
                <w:sz w:val="22"/>
              </w:rPr>
            </w:pPr>
            <w:r w:rsidRPr="007B5401">
              <w:rPr>
                <w:rFonts w:ascii="Calibri" w:eastAsia="Times New Roman" w:hAnsi="Calibri" w:cs="Calibri"/>
                <w:color w:val="000000"/>
                <w:sz w:val="22"/>
              </w:rPr>
              <w:t>Commercial</w:t>
            </w:r>
          </w:p>
        </w:tc>
        <w:tc>
          <w:tcPr>
            <w:tcW w:w="2228" w:type="dxa"/>
            <w:tcBorders>
              <w:top w:val="nil"/>
              <w:left w:val="nil"/>
              <w:bottom w:val="single" w:sz="4" w:space="0" w:color="BFBFBF"/>
              <w:right w:val="nil"/>
            </w:tcBorders>
            <w:shd w:val="clear" w:color="000000" w:fill="FFFFFF"/>
            <w:vAlign w:val="bottom"/>
            <w:hideMark/>
          </w:tcPr>
          <w:p w:rsidR="007B5401" w:rsidRPr="007B5401" w:rsidRDefault="007B5401" w:rsidP="007B5401">
            <w:pPr>
              <w:jc w:val="left"/>
              <w:rPr>
                <w:rFonts w:ascii="Calibri" w:eastAsia="Times New Roman" w:hAnsi="Calibri" w:cs="Calibri"/>
                <w:color w:val="000000"/>
                <w:sz w:val="22"/>
              </w:rPr>
            </w:pPr>
            <w:r w:rsidRPr="007B5401">
              <w:rPr>
                <w:rFonts w:ascii="Calibri" w:eastAsia="Times New Roman" w:hAnsi="Calibri" w:cs="Calibri"/>
                <w:color w:val="000000"/>
                <w:sz w:val="22"/>
              </w:rPr>
              <w:t>Commissioning</w:t>
            </w:r>
          </w:p>
        </w:tc>
        <w:tc>
          <w:tcPr>
            <w:tcW w:w="1184" w:type="dxa"/>
            <w:tcBorders>
              <w:top w:val="nil"/>
              <w:left w:val="single" w:sz="4" w:space="0" w:color="auto"/>
              <w:bottom w:val="single" w:sz="4" w:space="0" w:color="BFBFBF"/>
              <w:right w:val="nil"/>
            </w:tcBorders>
            <w:shd w:val="clear" w:color="000000" w:fill="FFFFFF"/>
            <w:noWrap/>
            <w:vAlign w:val="bottom"/>
            <w:hideMark/>
          </w:tcPr>
          <w:p w:rsidR="007B5401" w:rsidRPr="007B5401" w:rsidRDefault="007B5401" w:rsidP="007B5401">
            <w:pPr>
              <w:jc w:val="right"/>
              <w:rPr>
                <w:rFonts w:ascii="Calibri" w:eastAsia="Times New Roman" w:hAnsi="Calibri" w:cs="Calibri"/>
                <w:color w:val="000000"/>
                <w:sz w:val="22"/>
              </w:rPr>
            </w:pPr>
            <w:r w:rsidRPr="007B5401">
              <w:rPr>
                <w:rFonts w:ascii="Calibri" w:eastAsia="Times New Roman" w:hAnsi="Calibri" w:cs="Calibri"/>
                <w:color w:val="000000"/>
                <w:sz w:val="22"/>
              </w:rPr>
              <w:t xml:space="preserve">               0.02 </w:t>
            </w:r>
          </w:p>
        </w:tc>
        <w:tc>
          <w:tcPr>
            <w:tcW w:w="1184" w:type="dxa"/>
            <w:tcBorders>
              <w:top w:val="nil"/>
              <w:left w:val="single" w:sz="4" w:space="0" w:color="BFBFBF"/>
              <w:bottom w:val="single" w:sz="4" w:space="0" w:color="BFBFBF"/>
              <w:right w:val="single" w:sz="4" w:space="0" w:color="auto"/>
            </w:tcBorders>
            <w:shd w:val="clear" w:color="000000" w:fill="FFFFFF"/>
            <w:noWrap/>
            <w:vAlign w:val="bottom"/>
            <w:hideMark/>
          </w:tcPr>
          <w:p w:rsidR="007B5401" w:rsidRPr="007B5401" w:rsidRDefault="007B5401" w:rsidP="007B5401">
            <w:pPr>
              <w:jc w:val="right"/>
              <w:rPr>
                <w:rFonts w:ascii="Calibri" w:eastAsia="Times New Roman" w:hAnsi="Calibri" w:cs="Calibri"/>
                <w:color w:val="000000"/>
                <w:sz w:val="22"/>
              </w:rPr>
            </w:pPr>
            <w:r w:rsidRPr="007B5401">
              <w:rPr>
                <w:rFonts w:ascii="Calibri" w:eastAsia="Times New Roman" w:hAnsi="Calibri" w:cs="Calibri"/>
                <w:color w:val="000000"/>
                <w:sz w:val="22"/>
              </w:rPr>
              <w:t xml:space="preserve">               0.02 </w:t>
            </w:r>
          </w:p>
        </w:tc>
        <w:tc>
          <w:tcPr>
            <w:tcW w:w="1183" w:type="dxa"/>
            <w:tcBorders>
              <w:top w:val="nil"/>
              <w:left w:val="nil"/>
              <w:bottom w:val="single" w:sz="4" w:space="0" w:color="BFBFBF"/>
              <w:right w:val="nil"/>
            </w:tcBorders>
            <w:shd w:val="clear" w:color="000000" w:fill="FFFFFF"/>
            <w:noWrap/>
            <w:vAlign w:val="bottom"/>
            <w:hideMark/>
          </w:tcPr>
          <w:p w:rsidR="007B5401" w:rsidRPr="007B5401" w:rsidRDefault="007B5401" w:rsidP="007B5401">
            <w:pPr>
              <w:jc w:val="right"/>
              <w:rPr>
                <w:rFonts w:ascii="Calibri" w:eastAsia="Times New Roman" w:hAnsi="Calibri" w:cs="Calibri"/>
                <w:color w:val="000000"/>
                <w:sz w:val="22"/>
              </w:rPr>
            </w:pPr>
            <w:r w:rsidRPr="007B5401">
              <w:rPr>
                <w:rFonts w:ascii="Calibri" w:eastAsia="Times New Roman" w:hAnsi="Calibri" w:cs="Calibri"/>
                <w:color w:val="000000"/>
                <w:sz w:val="22"/>
              </w:rPr>
              <w:t xml:space="preserve">               0.02 </w:t>
            </w:r>
          </w:p>
        </w:tc>
        <w:tc>
          <w:tcPr>
            <w:tcW w:w="1185" w:type="dxa"/>
            <w:tcBorders>
              <w:top w:val="nil"/>
              <w:left w:val="single" w:sz="4" w:space="0" w:color="BFBFBF"/>
              <w:bottom w:val="single" w:sz="4" w:space="0" w:color="BFBFBF"/>
              <w:right w:val="single" w:sz="8" w:space="0" w:color="auto"/>
            </w:tcBorders>
            <w:shd w:val="clear" w:color="000000" w:fill="FFFFFF"/>
            <w:noWrap/>
            <w:vAlign w:val="bottom"/>
            <w:hideMark/>
          </w:tcPr>
          <w:p w:rsidR="007B5401" w:rsidRPr="007B5401" w:rsidRDefault="007B5401" w:rsidP="007B5401">
            <w:pPr>
              <w:jc w:val="right"/>
              <w:rPr>
                <w:rFonts w:ascii="Calibri" w:eastAsia="Times New Roman" w:hAnsi="Calibri" w:cs="Calibri"/>
                <w:color w:val="000000"/>
                <w:sz w:val="22"/>
              </w:rPr>
            </w:pPr>
            <w:r w:rsidRPr="007B5401">
              <w:rPr>
                <w:rFonts w:ascii="Calibri" w:eastAsia="Times New Roman" w:hAnsi="Calibri" w:cs="Calibri"/>
                <w:color w:val="000000"/>
                <w:sz w:val="22"/>
              </w:rPr>
              <w:t xml:space="preserve">               0.02 </w:t>
            </w:r>
          </w:p>
        </w:tc>
        <w:tc>
          <w:tcPr>
            <w:tcW w:w="1604" w:type="dxa"/>
            <w:tcBorders>
              <w:top w:val="nil"/>
              <w:left w:val="single" w:sz="4" w:space="0" w:color="BFBFBF"/>
              <w:bottom w:val="single" w:sz="4" w:space="0" w:color="BFBFBF"/>
              <w:right w:val="single" w:sz="8" w:space="0" w:color="auto"/>
            </w:tcBorders>
            <w:shd w:val="clear" w:color="000000" w:fill="DAEEF3"/>
            <w:noWrap/>
            <w:vAlign w:val="bottom"/>
            <w:hideMark/>
          </w:tcPr>
          <w:p w:rsidR="007B5401" w:rsidRPr="007B5401" w:rsidRDefault="007B5401" w:rsidP="007B5401">
            <w:pPr>
              <w:jc w:val="right"/>
              <w:rPr>
                <w:rFonts w:ascii="Calibri" w:eastAsia="Times New Roman" w:hAnsi="Calibri" w:cs="Calibri"/>
                <w:color w:val="000000"/>
                <w:sz w:val="22"/>
              </w:rPr>
            </w:pPr>
            <w:r w:rsidRPr="007B5401">
              <w:rPr>
                <w:rFonts w:ascii="Calibri" w:eastAsia="Times New Roman" w:hAnsi="Calibri" w:cs="Calibri"/>
                <w:color w:val="000000"/>
                <w:sz w:val="22"/>
              </w:rPr>
              <w:t xml:space="preserve">                        0.04 </w:t>
            </w:r>
          </w:p>
        </w:tc>
      </w:tr>
      <w:tr w:rsidR="007B5401" w:rsidRPr="007B5401" w:rsidTr="00365032">
        <w:trPr>
          <w:trHeight w:val="300"/>
        </w:trPr>
        <w:tc>
          <w:tcPr>
            <w:tcW w:w="1628" w:type="dxa"/>
            <w:tcBorders>
              <w:top w:val="nil"/>
              <w:left w:val="single" w:sz="8" w:space="0" w:color="auto"/>
              <w:bottom w:val="single" w:sz="4" w:space="0" w:color="BFBFBF"/>
              <w:right w:val="single" w:sz="4" w:space="0" w:color="BFBFBF"/>
            </w:tcBorders>
            <w:shd w:val="clear" w:color="000000" w:fill="FFFFFF"/>
            <w:noWrap/>
            <w:vAlign w:val="bottom"/>
            <w:hideMark/>
          </w:tcPr>
          <w:p w:rsidR="007B5401" w:rsidRPr="007B5401" w:rsidRDefault="007B5401" w:rsidP="007B5401">
            <w:pPr>
              <w:jc w:val="left"/>
              <w:rPr>
                <w:rFonts w:ascii="Calibri" w:eastAsia="Times New Roman" w:hAnsi="Calibri" w:cs="Calibri"/>
                <w:color w:val="000000"/>
                <w:sz w:val="22"/>
              </w:rPr>
            </w:pPr>
            <w:r w:rsidRPr="007B5401">
              <w:rPr>
                <w:rFonts w:ascii="Calibri" w:eastAsia="Times New Roman" w:hAnsi="Calibri" w:cs="Calibri"/>
                <w:color w:val="000000"/>
                <w:sz w:val="22"/>
              </w:rPr>
              <w:t>Commercial</w:t>
            </w:r>
          </w:p>
        </w:tc>
        <w:tc>
          <w:tcPr>
            <w:tcW w:w="2228" w:type="dxa"/>
            <w:tcBorders>
              <w:top w:val="nil"/>
              <w:left w:val="nil"/>
              <w:bottom w:val="single" w:sz="4" w:space="0" w:color="BFBFBF"/>
              <w:right w:val="nil"/>
            </w:tcBorders>
            <w:shd w:val="clear" w:color="000000" w:fill="FFFFFF"/>
            <w:vAlign w:val="bottom"/>
            <w:hideMark/>
          </w:tcPr>
          <w:p w:rsidR="007B5401" w:rsidRPr="007B5401" w:rsidRDefault="007B5401" w:rsidP="007B5401">
            <w:pPr>
              <w:jc w:val="left"/>
              <w:rPr>
                <w:rFonts w:ascii="Calibri" w:eastAsia="Times New Roman" w:hAnsi="Calibri" w:cs="Calibri"/>
                <w:color w:val="000000"/>
                <w:sz w:val="22"/>
              </w:rPr>
            </w:pPr>
            <w:r w:rsidRPr="007B5401">
              <w:rPr>
                <w:rFonts w:ascii="Calibri" w:eastAsia="Times New Roman" w:hAnsi="Calibri" w:cs="Calibri"/>
                <w:color w:val="000000"/>
                <w:sz w:val="22"/>
              </w:rPr>
              <w:t>Commercial Codes</w:t>
            </w:r>
          </w:p>
        </w:tc>
        <w:tc>
          <w:tcPr>
            <w:tcW w:w="1184" w:type="dxa"/>
            <w:tcBorders>
              <w:top w:val="nil"/>
              <w:left w:val="single" w:sz="4" w:space="0" w:color="auto"/>
              <w:bottom w:val="single" w:sz="4" w:space="0" w:color="BFBFBF"/>
              <w:right w:val="nil"/>
            </w:tcBorders>
            <w:shd w:val="clear" w:color="000000" w:fill="FFFFFF"/>
            <w:noWrap/>
            <w:vAlign w:val="bottom"/>
            <w:hideMark/>
          </w:tcPr>
          <w:p w:rsidR="007B5401" w:rsidRPr="007B5401" w:rsidRDefault="007B5401" w:rsidP="007B5401">
            <w:pPr>
              <w:jc w:val="right"/>
              <w:rPr>
                <w:rFonts w:ascii="Calibri" w:eastAsia="Times New Roman" w:hAnsi="Calibri" w:cs="Calibri"/>
                <w:color w:val="000000"/>
                <w:sz w:val="22"/>
              </w:rPr>
            </w:pPr>
            <w:r w:rsidRPr="007B5401">
              <w:rPr>
                <w:rFonts w:ascii="Calibri" w:eastAsia="Times New Roman" w:hAnsi="Calibri" w:cs="Calibri"/>
                <w:color w:val="000000"/>
                <w:sz w:val="22"/>
              </w:rPr>
              <w:t xml:space="preserve">               0.00 </w:t>
            </w:r>
          </w:p>
        </w:tc>
        <w:tc>
          <w:tcPr>
            <w:tcW w:w="1184" w:type="dxa"/>
            <w:tcBorders>
              <w:top w:val="nil"/>
              <w:left w:val="single" w:sz="4" w:space="0" w:color="BFBFBF"/>
              <w:bottom w:val="single" w:sz="4" w:space="0" w:color="BFBFBF"/>
              <w:right w:val="single" w:sz="4" w:space="0" w:color="auto"/>
            </w:tcBorders>
            <w:shd w:val="clear" w:color="000000" w:fill="FFFFFF"/>
            <w:noWrap/>
            <w:vAlign w:val="bottom"/>
            <w:hideMark/>
          </w:tcPr>
          <w:p w:rsidR="007B5401" w:rsidRPr="007B5401" w:rsidRDefault="007B5401" w:rsidP="007B5401">
            <w:pPr>
              <w:jc w:val="right"/>
              <w:rPr>
                <w:rFonts w:ascii="Calibri" w:eastAsia="Times New Roman" w:hAnsi="Calibri" w:cs="Calibri"/>
                <w:color w:val="000000"/>
                <w:sz w:val="22"/>
              </w:rPr>
            </w:pPr>
            <w:r w:rsidRPr="007B5401">
              <w:rPr>
                <w:rFonts w:ascii="Calibri" w:eastAsia="Times New Roman" w:hAnsi="Calibri" w:cs="Calibri"/>
                <w:color w:val="000000"/>
                <w:sz w:val="22"/>
              </w:rPr>
              <w:t xml:space="preserve">               0.00 </w:t>
            </w:r>
          </w:p>
        </w:tc>
        <w:tc>
          <w:tcPr>
            <w:tcW w:w="1183" w:type="dxa"/>
            <w:tcBorders>
              <w:top w:val="nil"/>
              <w:left w:val="nil"/>
              <w:bottom w:val="single" w:sz="4" w:space="0" w:color="BFBFBF"/>
              <w:right w:val="nil"/>
            </w:tcBorders>
            <w:shd w:val="clear" w:color="000000" w:fill="FFFFFF"/>
            <w:noWrap/>
            <w:vAlign w:val="bottom"/>
            <w:hideMark/>
          </w:tcPr>
          <w:p w:rsidR="007B5401" w:rsidRPr="007B5401" w:rsidRDefault="007B5401" w:rsidP="007B5401">
            <w:pPr>
              <w:jc w:val="right"/>
              <w:rPr>
                <w:rFonts w:ascii="Calibri" w:eastAsia="Times New Roman" w:hAnsi="Calibri" w:cs="Calibri"/>
                <w:color w:val="000000"/>
                <w:sz w:val="22"/>
              </w:rPr>
            </w:pPr>
            <w:r w:rsidRPr="007B5401">
              <w:rPr>
                <w:rFonts w:ascii="Calibri" w:eastAsia="Times New Roman" w:hAnsi="Calibri" w:cs="Calibri"/>
                <w:color w:val="000000"/>
                <w:sz w:val="22"/>
              </w:rPr>
              <w:t xml:space="preserve">               0.01 </w:t>
            </w:r>
          </w:p>
        </w:tc>
        <w:tc>
          <w:tcPr>
            <w:tcW w:w="1185" w:type="dxa"/>
            <w:tcBorders>
              <w:top w:val="nil"/>
              <w:left w:val="single" w:sz="4" w:space="0" w:color="BFBFBF"/>
              <w:bottom w:val="single" w:sz="4" w:space="0" w:color="BFBFBF"/>
              <w:right w:val="single" w:sz="8" w:space="0" w:color="auto"/>
            </w:tcBorders>
            <w:shd w:val="clear" w:color="000000" w:fill="FFFFFF"/>
            <w:noWrap/>
            <w:vAlign w:val="bottom"/>
            <w:hideMark/>
          </w:tcPr>
          <w:p w:rsidR="007B5401" w:rsidRPr="007B5401" w:rsidRDefault="007B5401" w:rsidP="007B5401">
            <w:pPr>
              <w:jc w:val="right"/>
              <w:rPr>
                <w:rFonts w:ascii="Calibri" w:eastAsia="Times New Roman" w:hAnsi="Calibri" w:cs="Calibri"/>
                <w:color w:val="000000"/>
                <w:sz w:val="22"/>
              </w:rPr>
            </w:pPr>
            <w:r w:rsidRPr="007B5401">
              <w:rPr>
                <w:rFonts w:ascii="Calibri" w:eastAsia="Times New Roman" w:hAnsi="Calibri" w:cs="Calibri"/>
                <w:color w:val="000000"/>
                <w:sz w:val="22"/>
              </w:rPr>
              <w:t xml:space="preserve">               0.01 </w:t>
            </w:r>
          </w:p>
        </w:tc>
        <w:tc>
          <w:tcPr>
            <w:tcW w:w="1604" w:type="dxa"/>
            <w:tcBorders>
              <w:top w:val="nil"/>
              <w:left w:val="single" w:sz="4" w:space="0" w:color="BFBFBF"/>
              <w:bottom w:val="single" w:sz="4" w:space="0" w:color="BFBFBF"/>
              <w:right w:val="single" w:sz="8" w:space="0" w:color="auto"/>
            </w:tcBorders>
            <w:shd w:val="clear" w:color="000000" w:fill="DAEEF3"/>
            <w:noWrap/>
            <w:vAlign w:val="bottom"/>
            <w:hideMark/>
          </w:tcPr>
          <w:p w:rsidR="007B5401" w:rsidRPr="007B5401" w:rsidRDefault="007B5401" w:rsidP="007B5401">
            <w:pPr>
              <w:jc w:val="right"/>
              <w:rPr>
                <w:rFonts w:ascii="Calibri" w:eastAsia="Times New Roman" w:hAnsi="Calibri" w:cs="Calibri"/>
                <w:color w:val="000000"/>
                <w:sz w:val="22"/>
              </w:rPr>
            </w:pPr>
            <w:r w:rsidRPr="007B5401">
              <w:rPr>
                <w:rFonts w:ascii="Calibri" w:eastAsia="Times New Roman" w:hAnsi="Calibri" w:cs="Calibri"/>
                <w:color w:val="000000"/>
                <w:sz w:val="22"/>
              </w:rPr>
              <w:t xml:space="preserve">                        0.01 </w:t>
            </w:r>
          </w:p>
        </w:tc>
      </w:tr>
      <w:tr w:rsidR="007B5401" w:rsidRPr="007B5401" w:rsidTr="00365032">
        <w:trPr>
          <w:trHeight w:val="615"/>
        </w:trPr>
        <w:tc>
          <w:tcPr>
            <w:tcW w:w="1628" w:type="dxa"/>
            <w:tcBorders>
              <w:top w:val="nil"/>
              <w:left w:val="single" w:sz="8" w:space="0" w:color="auto"/>
              <w:bottom w:val="nil"/>
              <w:right w:val="single" w:sz="4" w:space="0" w:color="BFBFBF"/>
            </w:tcBorders>
            <w:shd w:val="clear" w:color="000000" w:fill="FFFFFF"/>
            <w:noWrap/>
            <w:vAlign w:val="bottom"/>
            <w:hideMark/>
          </w:tcPr>
          <w:p w:rsidR="007B5401" w:rsidRPr="007B5401" w:rsidRDefault="007B5401" w:rsidP="007B5401">
            <w:pPr>
              <w:jc w:val="left"/>
              <w:rPr>
                <w:rFonts w:ascii="Calibri" w:eastAsia="Times New Roman" w:hAnsi="Calibri" w:cs="Calibri"/>
                <w:color w:val="000000"/>
                <w:sz w:val="22"/>
              </w:rPr>
            </w:pPr>
            <w:r w:rsidRPr="007B5401">
              <w:rPr>
                <w:rFonts w:ascii="Calibri" w:eastAsia="Times New Roman" w:hAnsi="Calibri" w:cs="Calibri"/>
                <w:color w:val="000000"/>
                <w:sz w:val="22"/>
              </w:rPr>
              <w:t xml:space="preserve">Industrial </w:t>
            </w:r>
          </w:p>
        </w:tc>
        <w:tc>
          <w:tcPr>
            <w:tcW w:w="2228" w:type="dxa"/>
            <w:tcBorders>
              <w:top w:val="nil"/>
              <w:left w:val="nil"/>
              <w:bottom w:val="nil"/>
              <w:right w:val="nil"/>
            </w:tcBorders>
            <w:shd w:val="clear" w:color="000000" w:fill="FFFFFF"/>
            <w:vAlign w:val="bottom"/>
            <w:hideMark/>
          </w:tcPr>
          <w:p w:rsidR="007B5401" w:rsidRPr="007B5401" w:rsidRDefault="007B5401" w:rsidP="007B5401">
            <w:pPr>
              <w:jc w:val="left"/>
              <w:rPr>
                <w:rFonts w:ascii="Calibri" w:eastAsia="Times New Roman" w:hAnsi="Calibri" w:cs="Calibri"/>
                <w:color w:val="000000"/>
                <w:sz w:val="22"/>
              </w:rPr>
            </w:pPr>
            <w:r w:rsidRPr="007B5401">
              <w:rPr>
                <w:rFonts w:ascii="Calibri" w:eastAsia="Times New Roman" w:hAnsi="Calibri" w:cs="Calibri"/>
                <w:color w:val="000000"/>
                <w:sz w:val="22"/>
              </w:rPr>
              <w:t>Drive Power Motor Rewinds</w:t>
            </w:r>
          </w:p>
        </w:tc>
        <w:tc>
          <w:tcPr>
            <w:tcW w:w="1184" w:type="dxa"/>
            <w:tcBorders>
              <w:top w:val="nil"/>
              <w:left w:val="single" w:sz="4" w:space="0" w:color="auto"/>
              <w:bottom w:val="single" w:sz="4" w:space="0" w:color="BFBFBF"/>
              <w:right w:val="nil"/>
            </w:tcBorders>
            <w:shd w:val="clear" w:color="000000" w:fill="FFFFFF"/>
            <w:noWrap/>
            <w:vAlign w:val="bottom"/>
            <w:hideMark/>
          </w:tcPr>
          <w:p w:rsidR="007B5401" w:rsidRPr="007B5401" w:rsidRDefault="007B5401" w:rsidP="007B5401">
            <w:pPr>
              <w:jc w:val="right"/>
              <w:rPr>
                <w:rFonts w:ascii="Calibri" w:eastAsia="Times New Roman" w:hAnsi="Calibri" w:cs="Calibri"/>
                <w:color w:val="000000"/>
                <w:sz w:val="22"/>
              </w:rPr>
            </w:pPr>
            <w:r w:rsidRPr="007B5401">
              <w:rPr>
                <w:rFonts w:ascii="Calibri" w:eastAsia="Times New Roman" w:hAnsi="Calibri" w:cs="Calibri"/>
                <w:color w:val="000000"/>
                <w:sz w:val="22"/>
              </w:rPr>
              <w:t xml:space="preserve">               0.00 </w:t>
            </w:r>
          </w:p>
        </w:tc>
        <w:tc>
          <w:tcPr>
            <w:tcW w:w="1184" w:type="dxa"/>
            <w:tcBorders>
              <w:top w:val="nil"/>
              <w:left w:val="single" w:sz="4" w:space="0" w:color="BFBFBF"/>
              <w:bottom w:val="single" w:sz="4" w:space="0" w:color="BFBFBF"/>
              <w:right w:val="single" w:sz="4" w:space="0" w:color="auto"/>
            </w:tcBorders>
            <w:shd w:val="clear" w:color="000000" w:fill="FFFFFF"/>
            <w:noWrap/>
            <w:vAlign w:val="bottom"/>
            <w:hideMark/>
          </w:tcPr>
          <w:p w:rsidR="007B5401" w:rsidRPr="007B5401" w:rsidRDefault="007B5401" w:rsidP="007B5401">
            <w:pPr>
              <w:jc w:val="right"/>
              <w:rPr>
                <w:rFonts w:ascii="Calibri" w:eastAsia="Times New Roman" w:hAnsi="Calibri" w:cs="Calibri"/>
                <w:color w:val="000000"/>
                <w:sz w:val="22"/>
              </w:rPr>
            </w:pPr>
            <w:r w:rsidRPr="007B5401">
              <w:rPr>
                <w:rFonts w:ascii="Calibri" w:eastAsia="Times New Roman" w:hAnsi="Calibri" w:cs="Calibri"/>
                <w:color w:val="000000"/>
                <w:sz w:val="22"/>
              </w:rPr>
              <w:t xml:space="preserve">               0.00 </w:t>
            </w:r>
          </w:p>
        </w:tc>
        <w:tc>
          <w:tcPr>
            <w:tcW w:w="1183" w:type="dxa"/>
            <w:tcBorders>
              <w:top w:val="nil"/>
              <w:left w:val="nil"/>
              <w:bottom w:val="single" w:sz="4" w:space="0" w:color="BFBFBF"/>
              <w:right w:val="nil"/>
            </w:tcBorders>
            <w:shd w:val="clear" w:color="000000" w:fill="FFFFFF"/>
            <w:noWrap/>
            <w:vAlign w:val="bottom"/>
            <w:hideMark/>
          </w:tcPr>
          <w:p w:rsidR="007B5401" w:rsidRPr="007B5401" w:rsidRDefault="007B5401" w:rsidP="007B5401">
            <w:pPr>
              <w:jc w:val="right"/>
              <w:rPr>
                <w:rFonts w:ascii="Calibri" w:eastAsia="Times New Roman" w:hAnsi="Calibri" w:cs="Calibri"/>
                <w:color w:val="000000"/>
                <w:sz w:val="22"/>
              </w:rPr>
            </w:pPr>
            <w:r w:rsidRPr="007B5401">
              <w:rPr>
                <w:rFonts w:ascii="Calibri" w:eastAsia="Times New Roman" w:hAnsi="Calibri" w:cs="Calibri"/>
                <w:color w:val="000000"/>
                <w:sz w:val="22"/>
              </w:rPr>
              <w:t xml:space="preserve">               0.00 </w:t>
            </w:r>
          </w:p>
        </w:tc>
        <w:tc>
          <w:tcPr>
            <w:tcW w:w="1185" w:type="dxa"/>
            <w:tcBorders>
              <w:top w:val="nil"/>
              <w:left w:val="single" w:sz="4" w:space="0" w:color="BFBFBF"/>
              <w:bottom w:val="single" w:sz="4" w:space="0" w:color="BFBFBF"/>
              <w:right w:val="single" w:sz="8" w:space="0" w:color="auto"/>
            </w:tcBorders>
            <w:shd w:val="clear" w:color="000000" w:fill="FFFFFF"/>
            <w:noWrap/>
            <w:vAlign w:val="bottom"/>
            <w:hideMark/>
          </w:tcPr>
          <w:p w:rsidR="007B5401" w:rsidRPr="007B5401" w:rsidRDefault="007B5401" w:rsidP="007B5401">
            <w:pPr>
              <w:jc w:val="right"/>
              <w:rPr>
                <w:rFonts w:ascii="Calibri" w:eastAsia="Times New Roman" w:hAnsi="Calibri" w:cs="Calibri"/>
                <w:color w:val="000000"/>
                <w:sz w:val="22"/>
              </w:rPr>
            </w:pPr>
            <w:r w:rsidRPr="007B5401">
              <w:rPr>
                <w:rFonts w:ascii="Calibri" w:eastAsia="Times New Roman" w:hAnsi="Calibri" w:cs="Calibri"/>
                <w:color w:val="000000"/>
                <w:sz w:val="22"/>
              </w:rPr>
              <w:t xml:space="preserve">               0.00 </w:t>
            </w:r>
          </w:p>
        </w:tc>
        <w:tc>
          <w:tcPr>
            <w:tcW w:w="1604" w:type="dxa"/>
            <w:tcBorders>
              <w:top w:val="nil"/>
              <w:left w:val="single" w:sz="4" w:space="0" w:color="BFBFBF"/>
              <w:bottom w:val="single" w:sz="4" w:space="0" w:color="BFBFBF"/>
              <w:right w:val="single" w:sz="8" w:space="0" w:color="auto"/>
            </w:tcBorders>
            <w:shd w:val="clear" w:color="000000" w:fill="DAEEF3"/>
            <w:noWrap/>
            <w:vAlign w:val="bottom"/>
            <w:hideMark/>
          </w:tcPr>
          <w:p w:rsidR="007B5401" w:rsidRPr="007B5401" w:rsidRDefault="007B5401" w:rsidP="007B5401">
            <w:pPr>
              <w:jc w:val="right"/>
              <w:rPr>
                <w:rFonts w:ascii="Calibri" w:eastAsia="Times New Roman" w:hAnsi="Calibri" w:cs="Calibri"/>
                <w:color w:val="000000"/>
                <w:sz w:val="22"/>
              </w:rPr>
            </w:pPr>
            <w:r w:rsidRPr="007B5401">
              <w:rPr>
                <w:rFonts w:ascii="Calibri" w:eastAsia="Times New Roman" w:hAnsi="Calibri" w:cs="Calibri"/>
                <w:color w:val="000000"/>
                <w:sz w:val="22"/>
              </w:rPr>
              <w:t xml:space="preserve">                        0.00 </w:t>
            </w:r>
          </w:p>
        </w:tc>
      </w:tr>
      <w:tr w:rsidR="007B5401" w:rsidRPr="007B5401" w:rsidTr="00365032">
        <w:trPr>
          <w:trHeight w:val="300"/>
        </w:trPr>
        <w:tc>
          <w:tcPr>
            <w:tcW w:w="3856" w:type="dxa"/>
            <w:gridSpan w:val="2"/>
            <w:tcBorders>
              <w:top w:val="single" w:sz="8" w:space="0" w:color="auto"/>
              <w:left w:val="single" w:sz="8" w:space="0" w:color="auto"/>
              <w:bottom w:val="nil"/>
              <w:right w:val="single" w:sz="4" w:space="0" w:color="000000"/>
            </w:tcBorders>
            <w:shd w:val="clear" w:color="000000" w:fill="BFBFBF"/>
            <w:noWrap/>
            <w:vAlign w:val="bottom"/>
            <w:hideMark/>
          </w:tcPr>
          <w:p w:rsidR="007B5401" w:rsidRPr="007B5401" w:rsidRDefault="007B5401" w:rsidP="007B5401">
            <w:pPr>
              <w:jc w:val="left"/>
              <w:rPr>
                <w:rFonts w:ascii="Cambria" w:eastAsia="Times New Roman" w:hAnsi="Cambria" w:cs="Calibri"/>
                <w:b/>
                <w:bCs/>
                <w:color w:val="000000"/>
                <w:sz w:val="22"/>
              </w:rPr>
            </w:pPr>
            <w:r w:rsidRPr="007B5401">
              <w:rPr>
                <w:rFonts w:ascii="Cambria" w:eastAsia="Times New Roman" w:hAnsi="Cambria" w:cs="Calibri"/>
                <w:b/>
                <w:bCs/>
                <w:color w:val="000000"/>
                <w:sz w:val="22"/>
              </w:rPr>
              <w:t>Total</w:t>
            </w:r>
          </w:p>
        </w:tc>
        <w:tc>
          <w:tcPr>
            <w:tcW w:w="1184" w:type="dxa"/>
            <w:tcBorders>
              <w:top w:val="single" w:sz="8" w:space="0" w:color="auto"/>
              <w:left w:val="nil"/>
              <w:bottom w:val="nil"/>
              <w:right w:val="nil"/>
            </w:tcBorders>
            <w:shd w:val="clear" w:color="000000" w:fill="BFBFBF"/>
            <w:noWrap/>
            <w:vAlign w:val="bottom"/>
            <w:hideMark/>
          </w:tcPr>
          <w:p w:rsidR="007B5401" w:rsidRPr="007B5401" w:rsidRDefault="007B5401" w:rsidP="007B5401">
            <w:pPr>
              <w:jc w:val="right"/>
              <w:rPr>
                <w:rFonts w:ascii="Cambria" w:eastAsia="Times New Roman" w:hAnsi="Cambria" w:cs="Calibri"/>
                <w:b/>
                <w:bCs/>
                <w:color w:val="000000"/>
                <w:sz w:val="22"/>
              </w:rPr>
            </w:pPr>
            <w:r w:rsidRPr="007B5401">
              <w:rPr>
                <w:rFonts w:ascii="Cambria" w:eastAsia="Times New Roman" w:hAnsi="Cambria" w:cs="Calibri"/>
                <w:b/>
                <w:bCs/>
                <w:color w:val="000000"/>
                <w:sz w:val="22"/>
              </w:rPr>
              <w:t xml:space="preserve">            0.47 </w:t>
            </w:r>
          </w:p>
        </w:tc>
        <w:tc>
          <w:tcPr>
            <w:tcW w:w="1184" w:type="dxa"/>
            <w:tcBorders>
              <w:top w:val="single" w:sz="8" w:space="0" w:color="auto"/>
              <w:left w:val="single" w:sz="4" w:space="0" w:color="BFBFBF"/>
              <w:bottom w:val="nil"/>
              <w:right w:val="single" w:sz="4" w:space="0" w:color="auto"/>
            </w:tcBorders>
            <w:shd w:val="clear" w:color="000000" w:fill="BFBFBF"/>
            <w:noWrap/>
            <w:vAlign w:val="bottom"/>
            <w:hideMark/>
          </w:tcPr>
          <w:p w:rsidR="007B5401" w:rsidRPr="007B5401" w:rsidRDefault="007B5401" w:rsidP="007B5401">
            <w:pPr>
              <w:jc w:val="right"/>
              <w:rPr>
                <w:rFonts w:ascii="Cambria" w:eastAsia="Times New Roman" w:hAnsi="Cambria" w:cs="Calibri"/>
                <w:b/>
                <w:bCs/>
                <w:color w:val="000000"/>
                <w:sz w:val="22"/>
              </w:rPr>
            </w:pPr>
            <w:r w:rsidRPr="007B5401">
              <w:rPr>
                <w:rFonts w:ascii="Cambria" w:eastAsia="Times New Roman" w:hAnsi="Cambria" w:cs="Calibri"/>
                <w:b/>
                <w:bCs/>
                <w:color w:val="000000"/>
                <w:sz w:val="22"/>
              </w:rPr>
              <w:t xml:space="preserve">            0.23 </w:t>
            </w:r>
          </w:p>
        </w:tc>
        <w:tc>
          <w:tcPr>
            <w:tcW w:w="1183" w:type="dxa"/>
            <w:tcBorders>
              <w:top w:val="single" w:sz="8" w:space="0" w:color="auto"/>
              <w:left w:val="nil"/>
              <w:bottom w:val="nil"/>
              <w:right w:val="nil"/>
            </w:tcBorders>
            <w:shd w:val="clear" w:color="000000" w:fill="BFBFBF"/>
            <w:noWrap/>
            <w:vAlign w:val="bottom"/>
            <w:hideMark/>
          </w:tcPr>
          <w:p w:rsidR="007B5401" w:rsidRPr="007B5401" w:rsidRDefault="007B5401" w:rsidP="007B5401">
            <w:pPr>
              <w:jc w:val="right"/>
              <w:rPr>
                <w:rFonts w:ascii="Cambria" w:eastAsia="Times New Roman" w:hAnsi="Cambria" w:cs="Calibri"/>
                <w:b/>
                <w:bCs/>
                <w:color w:val="000000"/>
                <w:sz w:val="22"/>
              </w:rPr>
            </w:pPr>
            <w:r w:rsidRPr="007B5401">
              <w:rPr>
                <w:rFonts w:ascii="Cambria" w:eastAsia="Times New Roman" w:hAnsi="Cambria" w:cs="Calibri"/>
                <w:b/>
                <w:bCs/>
                <w:color w:val="000000"/>
                <w:sz w:val="22"/>
              </w:rPr>
              <w:t xml:space="preserve">            0.54 </w:t>
            </w:r>
          </w:p>
        </w:tc>
        <w:tc>
          <w:tcPr>
            <w:tcW w:w="1185" w:type="dxa"/>
            <w:tcBorders>
              <w:top w:val="single" w:sz="8" w:space="0" w:color="auto"/>
              <w:left w:val="single" w:sz="4" w:space="0" w:color="BFBFBF"/>
              <w:bottom w:val="nil"/>
              <w:right w:val="single" w:sz="8" w:space="0" w:color="auto"/>
            </w:tcBorders>
            <w:shd w:val="clear" w:color="000000" w:fill="BFBFBF"/>
            <w:noWrap/>
            <w:vAlign w:val="bottom"/>
            <w:hideMark/>
          </w:tcPr>
          <w:p w:rsidR="007B5401" w:rsidRPr="007B5401" w:rsidRDefault="007B5401" w:rsidP="007B5401">
            <w:pPr>
              <w:jc w:val="right"/>
              <w:rPr>
                <w:rFonts w:ascii="Cambria" w:eastAsia="Times New Roman" w:hAnsi="Cambria" w:cs="Calibri"/>
                <w:b/>
                <w:bCs/>
                <w:color w:val="000000"/>
                <w:sz w:val="22"/>
              </w:rPr>
            </w:pPr>
            <w:r w:rsidRPr="007B5401">
              <w:rPr>
                <w:rFonts w:ascii="Cambria" w:eastAsia="Times New Roman" w:hAnsi="Cambria" w:cs="Calibri"/>
                <w:b/>
                <w:bCs/>
                <w:color w:val="000000"/>
                <w:sz w:val="22"/>
              </w:rPr>
              <w:t xml:space="preserve">            0.32 </w:t>
            </w:r>
          </w:p>
        </w:tc>
        <w:tc>
          <w:tcPr>
            <w:tcW w:w="1604" w:type="dxa"/>
            <w:tcBorders>
              <w:top w:val="single" w:sz="8" w:space="0" w:color="auto"/>
              <w:left w:val="single" w:sz="4" w:space="0" w:color="BFBFBF"/>
              <w:bottom w:val="nil"/>
              <w:right w:val="single" w:sz="8" w:space="0" w:color="auto"/>
            </w:tcBorders>
            <w:shd w:val="clear" w:color="000000" w:fill="FFFF00"/>
            <w:noWrap/>
            <w:vAlign w:val="bottom"/>
            <w:hideMark/>
          </w:tcPr>
          <w:p w:rsidR="007B5401" w:rsidRPr="007B5401" w:rsidRDefault="007B5401" w:rsidP="007B5401">
            <w:pPr>
              <w:jc w:val="right"/>
              <w:rPr>
                <w:rFonts w:ascii="Cambria" w:eastAsia="Times New Roman" w:hAnsi="Cambria" w:cs="Calibri"/>
                <w:b/>
                <w:bCs/>
                <w:color w:val="000000"/>
                <w:sz w:val="22"/>
              </w:rPr>
            </w:pPr>
            <w:r w:rsidRPr="007B5401">
              <w:rPr>
                <w:rFonts w:ascii="Cambria" w:eastAsia="Times New Roman" w:hAnsi="Cambria" w:cs="Calibri"/>
                <w:b/>
                <w:bCs/>
                <w:color w:val="000000"/>
                <w:sz w:val="22"/>
              </w:rPr>
              <w:t xml:space="preserve">                     0.55 </w:t>
            </w:r>
          </w:p>
        </w:tc>
      </w:tr>
      <w:tr w:rsidR="007B5401" w:rsidRPr="007B5401" w:rsidTr="00365032">
        <w:trPr>
          <w:trHeight w:val="345"/>
        </w:trPr>
        <w:tc>
          <w:tcPr>
            <w:tcW w:w="7407" w:type="dxa"/>
            <w:gridSpan w:val="5"/>
            <w:tcBorders>
              <w:top w:val="single" w:sz="4" w:space="0" w:color="auto"/>
              <w:left w:val="single" w:sz="8" w:space="0" w:color="auto"/>
              <w:bottom w:val="nil"/>
              <w:right w:val="nil"/>
            </w:tcBorders>
            <w:shd w:val="clear" w:color="000000" w:fill="F2F2F2"/>
            <w:noWrap/>
            <w:vAlign w:val="bottom"/>
            <w:hideMark/>
          </w:tcPr>
          <w:p w:rsidR="007B5401" w:rsidRPr="007B5401" w:rsidRDefault="007B5401" w:rsidP="007B5401">
            <w:pPr>
              <w:jc w:val="left"/>
              <w:rPr>
                <w:rFonts w:ascii="Calibri" w:eastAsia="Times New Roman" w:hAnsi="Calibri" w:cs="Calibri"/>
                <w:i/>
                <w:iCs/>
                <w:color w:val="1F497D"/>
                <w:sz w:val="22"/>
              </w:rPr>
            </w:pPr>
            <w:r w:rsidRPr="007B5401">
              <w:rPr>
                <w:rFonts w:ascii="Calibri" w:eastAsia="Times New Roman" w:hAnsi="Calibri" w:cs="Calibri"/>
                <w:i/>
                <w:iCs/>
                <w:color w:val="1F497D"/>
                <w:sz w:val="22"/>
                <w:vertAlign w:val="superscript"/>
              </w:rPr>
              <w:t>1</w:t>
            </w:r>
            <w:r w:rsidRPr="007B5401">
              <w:rPr>
                <w:rFonts w:ascii="Calibri" w:eastAsia="Times New Roman" w:hAnsi="Calibri" w:cs="Calibri"/>
                <w:i/>
                <w:iCs/>
                <w:color w:val="1F497D"/>
                <w:sz w:val="22"/>
              </w:rPr>
              <w:t>Includes a savings forecast for the next Washington and Oregon code.</w:t>
            </w:r>
          </w:p>
        </w:tc>
        <w:tc>
          <w:tcPr>
            <w:tcW w:w="1185" w:type="dxa"/>
            <w:tcBorders>
              <w:top w:val="single" w:sz="4" w:space="0" w:color="auto"/>
              <w:left w:val="nil"/>
              <w:bottom w:val="nil"/>
              <w:right w:val="nil"/>
            </w:tcBorders>
            <w:shd w:val="clear" w:color="000000" w:fill="F2F2F2"/>
            <w:noWrap/>
            <w:vAlign w:val="bottom"/>
            <w:hideMark/>
          </w:tcPr>
          <w:p w:rsidR="007B5401" w:rsidRPr="007B5401" w:rsidRDefault="007B5401" w:rsidP="007B5401">
            <w:pPr>
              <w:jc w:val="left"/>
              <w:rPr>
                <w:rFonts w:ascii="Calibri" w:eastAsia="Times New Roman" w:hAnsi="Calibri" w:cs="Calibri"/>
                <w:color w:val="1F497D"/>
                <w:sz w:val="22"/>
              </w:rPr>
            </w:pPr>
            <w:r w:rsidRPr="007B5401">
              <w:rPr>
                <w:rFonts w:ascii="Calibri" w:eastAsia="Times New Roman" w:hAnsi="Calibri" w:cs="Calibri"/>
                <w:color w:val="1F497D"/>
                <w:sz w:val="22"/>
              </w:rPr>
              <w:t> </w:t>
            </w:r>
          </w:p>
        </w:tc>
        <w:tc>
          <w:tcPr>
            <w:tcW w:w="1604" w:type="dxa"/>
            <w:tcBorders>
              <w:top w:val="single" w:sz="4" w:space="0" w:color="auto"/>
              <w:left w:val="nil"/>
              <w:bottom w:val="nil"/>
              <w:right w:val="single" w:sz="8" w:space="0" w:color="auto"/>
            </w:tcBorders>
            <w:shd w:val="clear" w:color="000000" w:fill="F2F2F2"/>
            <w:noWrap/>
            <w:vAlign w:val="bottom"/>
            <w:hideMark/>
          </w:tcPr>
          <w:p w:rsidR="007B5401" w:rsidRPr="007B5401" w:rsidRDefault="007B5401" w:rsidP="007B5401">
            <w:pPr>
              <w:jc w:val="left"/>
              <w:rPr>
                <w:rFonts w:ascii="Calibri" w:eastAsia="Times New Roman" w:hAnsi="Calibri" w:cs="Calibri"/>
                <w:color w:val="1F497D"/>
                <w:sz w:val="22"/>
              </w:rPr>
            </w:pPr>
            <w:r w:rsidRPr="007B5401">
              <w:rPr>
                <w:rFonts w:ascii="Calibri" w:eastAsia="Times New Roman" w:hAnsi="Calibri" w:cs="Calibri"/>
                <w:color w:val="1F497D"/>
                <w:sz w:val="22"/>
              </w:rPr>
              <w:t> </w:t>
            </w:r>
          </w:p>
        </w:tc>
      </w:tr>
      <w:tr w:rsidR="007B5401" w:rsidRPr="007B5401" w:rsidTr="00365032">
        <w:trPr>
          <w:trHeight w:val="945"/>
        </w:trPr>
        <w:tc>
          <w:tcPr>
            <w:tcW w:w="10196" w:type="dxa"/>
            <w:gridSpan w:val="7"/>
            <w:tcBorders>
              <w:top w:val="nil"/>
              <w:left w:val="single" w:sz="8" w:space="0" w:color="auto"/>
              <w:bottom w:val="nil"/>
              <w:right w:val="single" w:sz="8" w:space="0" w:color="000000"/>
            </w:tcBorders>
            <w:shd w:val="clear" w:color="000000" w:fill="F2F2F2"/>
            <w:vAlign w:val="center"/>
            <w:hideMark/>
          </w:tcPr>
          <w:p w:rsidR="007B5401" w:rsidRPr="007B5401" w:rsidRDefault="007B5401" w:rsidP="007B5401">
            <w:pPr>
              <w:jc w:val="left"/>
              <w:rPr>
                <w:rFonts w:ascii="Calibri" w:eastAsia="Times New Roman" w:hAnsi="Calibri" w:cs="Calibri"/>
                <w:i/>
                <w:iCs/>
                <w:color w:val="1F497D"/>
                <w:sz w:val="22"/>
              </w:rPr>
            </w:pPr>
            <w:r w:rsidRPr="007B5401">
              <w:rPr>
                <w:rFonts w:ascii="Calibri" w:eastAsia="Times New Roman" w:hAnsi="Calibri" w:cs="Calibri"/>
                <w:i/>
                <w:iCs/>
                <w:color w:val="1F497D"/>
                <w:sz w:val="22"/>
                <w:vertAlign w:val="superscript"/>
              </w:rPr>
              <w:t>2</w:t>
            </w:r>
            <w:r w:rsidRPr="007B5401">
              <w:rPr>
                <w:rFonts w:ascii="Calibri" w:eastAsia="Times New Roman" w:hAnsi="Calibri" w:cs="Calibri"/>
                <w:i/>
                <w:iCs/>
                <w:color w:val="1F497D"/>
                <w:sz w:val="22"/>
              </w:rPr>
              <w:t>2016 and 2017 savings from NEEA's standards work are either in the 7th Power Plan load forecast or in the measure baseline. (See Appendix B)</w:t>
            </w:r>
          </w:p>
        </w:tc>
      </w:tr>
      <w:tr w:rsidR="007B5401" w:rsidRPr="007B5401" w:rsidTr="00365032">
        <w:trPr>
          <w:trHeight w:val="300"/>
        </w:trPr>
        <w:tc>
          <w:tcPr>
            <w:tcW w:w="10196" w:type="dxa"/>
            <w:gridSpan w:val="7"/>
            <w:vMerge w:val="restart"/>
            <w:tcBorders>
              <w:top w:val="nil"/>
              <w:left w:val="single" w:sz="8" w:space="0" w:color="auto"/>
              <w:bottom w:val="nil"/>
              <w:right w:val="single" w:sz="8" w:space="0" w:color="000000"/>
            </w:tcBorders>
            <w:shd w:val="clear" w:color="000000" w:fill="F2F2F2"/>
            <w:vAlign w:val="bottom"/>
            <w:hideMark/>
          </w:tcPr>
          <w:p w:rsidR="007B5401" w:rsidRPr="007B5401" w:rsidRDefault="007B5401" w:rsidP="007B5401">
            <w:pPr>
              <w:jc w:val="left"/>
              <w:rPr>
                <w:rFonts w:ascii="Cambria" w:eastAsia="Times New Roman" w:hAnsi="Cambria" w:cs="Calibri"/>
                <w:b/>
                <w:bCs/>
                <w:color w:val="1F497D"/>
                <w:sz w:val="22"/>
              </w:rPr>
            </w:pPr>
            <w:r w:rsidRPr="007B5401">
              <w:rPr>
                <w:rFonts w:ascii="Cambria" w:eastAsia="Times New Roman" w:hAnsi="Cambria" w:cs="Calibri"/>
                <w:b/>
                <w:bCs/>
                <w:color w:val="1F497D"/>
                <w:sz w:val="22"/>
              </w:rPr>
              <w:t>NEEA does not report savings forecasts for initiatives that are pre Market Development Phase</w:t>
            </w:r>
            <w:r w:rsidRPr="007B5401">
              <w:rPr>
                <w:rFonts w:ascii="Cambria" w:eastAsia="Times New Roman" w:hAnsi="Cambria" w:cs="Calibri"/>
                <w:b/>
                <w:bCs/>
                <w:color w:val="1F497D"/>
                <w:sz w:val="22"/>
                <w:vertAlign w:val="superscript"/>
              </w:rPr>
              <w:t>2</w:t>
            </w:r>
            <w:r w:rsidRPr="007B5401">
              <w:rPr>
                <w:rFonts w:ascii="Cambria" w:eastAsia="Times New Roman" w:hAnsi="Cambria" w:cs="Calibri"/>
                <w:b/>
                <w:bCs/>
                <w:color w:val="1F497D"/>
                <w:sz w:val="22"/>
              </w:rPr>
              <w:t>. These initiatives include the following:</w:t>
            </w:r>
          </w:p>
        </w:tc>
      </w:tr>
      <w:tr w:rsidR="007B5401" w:rsidRPr="007B5401" w:rsidTr="00365032">
        <w:trPr>
          <w:trHeight w:val="300"/>
        </w:trPr>
        <w:tc>
          <w:tcPr>
            <w:tcW w:w="10196" w:type="dxa"/>
            <w:gridSpan w:val="7"/>
            <w:vMerge/>
            <w:tcBorders>
              <w:top w:val="nil"/>
              <w:left w:val="single" w:sz="8" w:space="0" w:color="auto"/>
              <w:bottom w:val="nil"/>
              <w:right w:val="single" w:sz="8" w:space="0" w:color="000000"/>
            </w:tcBorders>
            <w:vAlign w:val="center"/>
            <w:hideMark/>
          </w:tcPr>
          <w:p w:rsidR="007B5401" w:rsidRPr="007B5401" w:rsidRDefault="007B5401" w:rsidP="007B5401">
            <w:pPr>
              <w:jc w:val="left"/>
              <w:rPr>
                <w:rFonts w:ascii="Cambria" w:eastAsia="Times New Roman" w:hAnsi="Cambria" w:cs="Calibri"/>
                <w:b/>
                <w:bCs/>
                <w:color w:val="1F497D"/>
                <w:sz w:val="22"/>
              </w:rPr>
            </w:pPr>
          </w:p>
        </w:tc>
      </w:tr>
      <w:tr w:rsidR="007B5401" w:rsidRPr="007B5401" w:rsidTr="00365032">
        <w:trPr>
          <w:trHeight w:val="300"/>
        </w:trPr>
        <w:tc>
          <w:tcPr>
            <w:tcW w:w="3856" w:type="dxa"/>
            <w:gridSpan w:val="2"/>
            <w:tcBorders>
              <w:top w:val="nil"/>
              <w:left w:val="single" w:sz="8" w:space="0" w:color="auto"/>
              <w:bottom w:val="nil"/>
              <w:right w:val="nil"/>
            </w:tcBorders>
            <w:shd w:val="clear" w:color="000000" w:fill="F2F2F2"/>
            <w:noWrap/>
            <w:vAlign w:val="bottom"/>
            <w:hideMark/>
          </w:tcPr>
          <w:p w:rsidR="007B5401" w:rsidRPr="007B5401" w:rsidRDefault="007B5401" w:rsidP="007B5401">
            <w:pPr>
              <w:ind w:firstLineChars="200" w:firstLine="440"/>
              <w:jc w:val="left"/>
              <w:rPr>
                <w:rFonts w:ascii="Calibri" w:eastAsia="Times New Roman" w:hAnsi="Calibri" w:cs="Calibri"/>
                <w:i/>
                <w:iCs/>
                <w:color w:val="1F497D"/>
                <w:sz w:val="22"/>
              </w:rPr>
            </w:pPr>
            <w:r w:rsidRPr="007B5401">
              <w:rPr>
                <w:rFonts w:ascii="Calibri" w:eastAsia="Times New Roman" w:hAnsi="Calibri" w:cs="Calibri"/>
                <w:i/>
                <w:iCs/>
                <w:color w:val="1F497D"/>
                <w:sz w:val="22"/>
              </w:rPr>
              <w:t>RETA Operator Certification</w:t>
            </w:r>
          </w:p>
        </w:tc>
        <w:tc>
          <w:tcPr>
            <w:tcW w:w="1184" w:type="dxa"/>
            <w:tcBorders>
              <w:top w:val="nil"/>
              <w:left w:val="nil"/>
              <w:bottom w:val="nil"/>
              <w:right w:val="nil"/>
            </w:tcBorders>
            <w:shd w:val="clear" w:color="000000" w:fill="F2F2F2"/>
            <w:noWrap/>
            <w:vAlign w:val="bottom"/>
            <w:hideMark/>
          </w:tcPr>
          <w:p w:rsidR="007B5401" w:rsidRPr="007B5401" w:rsidRDefault="007B5401" w:rsidP="007B5401">
            <w:pPr>
              <w:jc w:val="left"/>
              <w:rPr>
                <w:rFonts w:ascii="Calibri" w:eastAsia="Times New Roman" w:hAnsi="Calibri" w:cs="Calibri"/>
                <w:color w:val="000000"/>
                <w:sz w:val="22"/>
              </w:rPr>
            </w:pPr>
            <w:r w:rsidRPr="007B5401">
              <w:rPr>
                <w:rFonts w:ascii="Calibri" w:eastAsia="Times New Roman" w:hAnsi="Calibri" w:cs="Calibri"/>
                <w:color w:val="000000"/>
                <w:sz w:val="22"/>
              </w:rPr>
              <w:t> </w:t>
            </w:r>
          </w:p>
        </w:tc>
        <w:tc>
          <w:tcPr>
            <w:tcW w:w="1184" w:type="dxa"/>
            <w:tcBorders>
              <w:top w:val="nil"/>
              <w:left w:val="nil"/>
              <w:bottom w:val="nil"/>
              <w:right w:val="nil"/>
            </w:tcBorders>
            <w:shd w:val="clear" w:color="000000" w:fill="F2F2F2"/>
            <w:noWrap/>
            <w:vAlign w:val="bottom"/>
            <w:hideMark/>
          </w:tcPr>
          <w:p w:rsidR="007B5401" w:rsidRPr="007B5401" w:rsidRDefault="007B5401" w:rsidP="007B5401">
            <w:pPr>
              <w:jc w:val="left"/>
              <w:rPr>
                <w:rFonts w:ascii="Calibri" w:eastAsia="Times New Roman" w:hAnsi="Calibri" w:cs="Calibri"/>
                <w:color w:val="000000"/>
                <w:sz w:val="22"/>
              </w:rPr>
            </w:pPr>
            <w:r w:rsidRPr="007B5401">
              <w:rPr>
                <w:rFonts w:ascii="Calibri" w:eastAsia="Times New Roman" w:hAnsi="Calibri" w:cs="Calibri"/>
                <w:color w:val="000000"/>
                <w:sz w:val="22"/>
              </w:rPr>
              <w:t> </w:t>
            </w:r>
          </w:p>
        </w:tc>
        <w:tc>
          <w:tcPr>
            <w:tcW w:w="1183" w:type="dxa"/>
            <w:tcBorders>
              <w:top w:val="nil"/>
              <w:left w:val="nil"/>
              <w:bottom w:val="nil"/>
              <w:right w:val="nil"/>
            </w:tcBorders>
            <w:shd w:val="clear" w:color="000000" w:fill="F2F2F2"/>
            <w:noWrap/>
            <w:vAlign w:val="bottom"/>
            <w:hideMark/>
          </w:tcPr>
          <w:p w:rsidR="007B5401" w:rsidRPr="007B5401" w:rsidRDefault="007B5401" w:rsidP="007B5401">
            <w:pPr>
              <w:jc w:val="left"/>
              <w:rPr>
                <w:rFonts w:ascii="Calibri" w:eastAsia="Times New Roman" w:hAnsi="Calibri" w:cs="Calibri"/>
                <w:color w:val="000000"/>
                <w:sz w:val="22"/>
              </w:rPr>
            </w:pPr>
            <w:r w:rsidRPr="007B5401">
              <w:rPr>
                <w:rFonts w:ascii="Calibri" w:eastAsia="Times New Roman" w:hAnsi="Calibri" w:cs="Calibri"/>
                <w:color w:val="000000"/>
                <w:sz w:val="22"/>
              </w:rPr>
              <w:t> </w:t>
            </w:r>
          </w:p>
        </w:tc>
        <w:tc>
          <w:tcPr>
            <w:tcW w:w="1185" w:type="dxa"/>
            <w:tcBorders>
              <w:top w:val="nil"/>
              <w:left w:val="nil"/>
              <w:bottom w:val="nil"/>
              <w:right w:val="nil"/>
            </w:tcBorders>
            <w:shd w:val="clear" w:color="000000" w:fill="F2F2F2"/>
            <w:noWrap/>
            <w:vAlign w:val="bottom"/>
            <w:hideMark/>
          </w:tcPr>
          <w:p w:rsidR="007B5401" w:rsidRPr="007B5401" w:rsidRDefault="007B5401" w:rsidP="007B5401">
            <w:pPr>
              <w:jc w:val="left"/>
              <w:rPr>
                <w:rFonts w:ascii="Calibri" w:eastAsia="Times New Roman" w:hAnsi="Calibri" w:cs="Calibri"/>
                <w:color w:val="000000"/>
                <w:sz w:val="22"/>
              </w:rPr>
            </w:pPr>
            <w:r w:rsidRPr="007B5401">
              <w:rPr>
                <w:rFonts w:ascii="Calibri" w:eastAsia="Times New Roman" w:hAnsi="Calibri" w:cs="Calibri"/>
                <w:color w:val="000000"/>
                <w:sz w:val="22"/>
              </w:rPr>
              <w:t> </w:t>
            </w:r>
          </w:p>
        </w:tc>
        <w:tc>
          <w:tcPr>
            <w:tcW w:w="1604" w:type="dxa"/>
            <w:tcBorders>
              <w:top w:val="nil"/>
              <w:left w:val="nil"/>
              <w:bottom w:val="nil"/>
              <w:right w:val="single" w:sz="8" w:space="0" w:color="auto"/>
            </w:tcBorders>
            <w:shd w:val="clear" w:color="000000" w:fill="F2F2F2"/>
            <w:noWrap/>
            <w:vAlign w:val="bottom"/>
            <w:hideMark/>
          </w:tcPr>
          <w:p w:rsidR="007B5401" w:rsidRPr="007B5401" w:rsidRDefault="007B5401" w:rsidP="007B5401">
            <w:pPr>
              <w:jc w:val="left"/>
              <w:rPr>
                <w:rFonts w:ascii="Calibri" w:eastAsia="Times New Roman" w:hAnsi="Calibri" w:cs="Calibri"/>
                <w:color w:val="000000"/>
                <w:sz w:val="22"/>
              </w:rPr>
            </w:pPr>
            <w:r w:rsidRPr="007B5401">
              <w:rPr>
                <w:rFonts w:ascii="Calibri" w:eastAsia="Times New Roman" w:hAnsi="Calibri" w:cs="Calibri"/>
                <w:color w:val="000000"/>
                <w:sz w:val="22"/>
              </w:rPr>
              <w:t> </w:t>
            </w:r>
          </w:p>
        </w:tc>
      </w:tr>
      <w:tr w:rsidR="007B5401" w:rsidRPr="007B5401" w:rsidTr="00365032">
        <w:trPr>
          <w:trHeight w:val="300"/>
        </w:trPr>
        <w:tc>
          <w:tcPr>
            <w:tcW w:w="3856" w:type="dxa"/>
            <w:gridSpan w:val="2"/>
            <w:tcBorders>
              <w:top w:val="nil"/>
              <w:left w:val="single" w:sz="8" w:space="0" w:color="auto"/>
              <w:bottom w:val="nil"/>
              <w:right w:val="nil"/>
            </w:tcBorders>
            <w:shd w:val="clear" w:color="000000" w:fill="F2F2F2"/>
            <w:noWrap/>
            <w:vAlign w:val="bottom"/>
            <w:hideMark/>
          </w:tcPr>
          <w:p w:rsidR="007B5401" w:rsidRPr="007B5401" w:rsidRDefault="007B5401" w:rsidP="007B5401">
            <w:pPr>
              <w:ind w:firstLineChars="200" w:firstLine="440"/>
              <w:jc w:val="left"/>
              <w:rPr>
                <w:rFonts w:ascii="Calibri" w:eastAsia="Times New Roman" w:hAnsi="Calibri" w:cs="Calibri"/>
                <w:i/>
                <w:iCs/>
                <w:color w:val="1F497D"/>
                <w:sz w:val="22"/>
              </w:rPr>
            </w:pPr>
            <w:r w:rsidRPr="007B5401">
              <w:rPr>
                <w:rFonts w:ascii="Calibri" w:eastAsia="Times New Roman" w:hAnsi="Calibri" w:cs="Calibri"/>
                <w:i/>
                <w:iCs/>
                <w:color w:val="1F497D"/>
                <w:sz w:val="22"/>
              </w:rPr>
              <w:t>Super-Efficient Clothes Dryers</w:t>
            </w:r>
          </w:p>
        </w:tc>
        <w:tc>
          <w:tcPr>
            <w:tcW w:w="1184" w:type="dxa"/>
            <w:tcBorders>
              <w:top w:val="nil"/>
              <w:left w:val="nil"/>
              <w:bottom w:val="nil"/>
              <w:right w:val="nil"/>
            </w:tcBorders>
            <w:shd w:val="clear" w:color="000000" w:fill="F2F2F2"/>
            <w:noWrap/>
            <w:vAlign w:val="bottom"/>
            <w:hideMark/>
          </w:tcPr>
          <w:p w:rsidR="007B5401" w:rsidRPr="007B5401" w:rsidRDefault="007B5401" w:rsidP="007B5401">
            <w:pPr>
              <w:jc w:val="left"/>
              <w:rPr>
                <w:rFonts w:ascii="Calibri" w:eastAsia="Times New Roman" w:hAnsi="Calibri" w:cs="Calibri"/>
                <w:color w:val="000000"/>
                <w:sz w:val="22"/>
              </w:rPr>
            </w:pPr>
            <w:r w:rsidRPr="007B5401">
              <w:rPr>
                <w:rFonts w:ascii="Calibri" w:eastAsia="Times New Roman" w:hAnsi="Calibri" w:cs="Calibri"/>
                <w:color w:val="000000"/>
                <w:sz w:val="22"/>
              </w:rPr>
              <w:t> </w:t>
            </w:r>
          </w:p>
        </w:tc>
        <w:tc>
          <w:tcPr>
            <w:tcW w:w="1184" w:type="dxa"/>
            <w:tcBorders>
              <w:top w:val="nil"/>
              <w:left w:val="nil"/>
              <w:bottom w:val="nil"/>
              <w:right w:val="nil"/>
            </w:tcBorders>
            <w:shd w:val="clear" w:color="000000" w:fill="F2F2F2"/>
            <w:noWrap/>
            <w:vAlign w:val="bottom"/>
            <w:hideMark/>
          </w:tcPr>
          <w:p w:rsidR="007B5401" w:rsidRPr="007B5401" w:rsidRDefault="007B5401" w:rsidP="007B5401">
            <w:pPr>
              <w:jc w:val="left"/>
              <w:rPr>
                <w:rFonts w:ascii="Calibri" w:eastAsia="Times New Roman" w:hAnsi="Calibri" w:cs="Calibri"/>
                <w:color w:val="000000"/>
                <w:sz w:val="22"/>
              </w:rPr>
            </w:pPr>
            <w:r w:rsidRPr="007B5401">
              <w:rPr>
                <w:rFonts w:ascii="Calibri" w:eastAsia="Times New Roman" w:hAnsi="Calibri" w:cs="Calibri"/>
                <w:color w:val="000000"/>
                <w:sz w:val="22"/>
              </w:rPr>
              <w:t> </w:t>
            </w:r>
          </w:p>
        </w:tc>
        <w:tc>
          <w:tcPr>
            <w:tcW w:w="1183" w:type="dxa"/>
            <w:tcBorders>
              <w:top w:val="nil"/>
              <w:left w:val="nil"/>
              <w:bottom w:val="nil"/>
              <w:right w:val="nil"/>
            </w:tcBorders>
            <w:shd w:val="clear" w:color="000000" w:fill="F2F2F2"/>
            <w:noWrap/>
            <w:vAlign w:val="bottom"/>
            <w:hideMark/>
          </w:tcPr>
          <w:p w:rsidR="007B5401" w:rsidRPr="007B5401" w:rsidRDefault="007B5401" w:rsidP="007B5401">
            <w:pPr>
              <w:jc w:val="left"/>
              <w:rPr>
                <w:rFonts w:ascii="Calibri" w:eastAsia="Times New Roman" w:hAnsi="Calibri" w:cs="Calibri"/>
                <w:color w:val="000000"/>
                <w:sz w:val="22"/>
              </w:rPr>
            </w:pPr>
            <w:r w:rsidRPr="007B5401">
              <w:rPr>
                <w:rFonts w:ascii="Calibri" w:eastAsia="Times New Roman" w:hAnsi="Calibri" w:cs="Calibri"/>
                <w:color w:val="000000"/>
                <w:sz w:val="22"/>
              </w:rPr>
              <w:t> </w:t>
            </w:r>
          </w:p>
        </w:tc>
        <w:tc>
          <w:tcPr>
            <w:tcW w:w="1185" w:type="dxa"/>
            <w:tcBorders>
              <w:top w:val="nil"/>
              <w:left w:val="nil"/>
              <w:bottom w:val="nil"/>
              <w:right w:val="nil"/>
            </w:tcBorders>
            <w:shd w:val="clear" w:color="000000" w:fill="F2F2F2"/>
            <w:noWrap/>
            <w:vAlign w:val="bottom"/>
            <w:hideMark/>
          </w:tcPr>
          <w:p w:rsidR="007B5401" w:rsidRPr="007B5401" w:rsidRDefault="007B5401" w:rsidP="007B5401">
            <w:pPr>
              <w:jc w:val="left"/>
              <w:rPr>
                <w:rFonts w:ascii="Calibri" w:eastAsia="Times New Roman" w:hAnsi="Calibri" w:cs="Calibri"/>
                <w:color w:val="000000"/>
                <w:sz w:val="22"/>
              </w:rPr>
            </w:pPr>
            <w:r w:rsidRPr="007B5401">
              <w:rPr>
                <w:rFonts w:ascii="Calibri" w:eastAsia="Times New Roman" w:hAnsi="Calibri" w:cs="Calibri"/>
                <w:color w:val="000000"/>
                <w:sz w:val="22"/>
              </w:rPr>
              <w:t> </w:t>
            </w:r>
          </w:p>
        </w:tc>
        <w:tc>
          <w:tcPr>
            <w:tcW w:w="1604" w:type="dxa"/>
            <w:tcBorders>
              <w:top w:val="nil"/>
              <w:left w:val="nil"/>
              <w:bottom w:val="nil"/>
              <w:right w:val="single" w:sz="8" w:space="0" w:color="auto"/>
            </w:tcBorders>
            <w:shd w:val="clear" w:color="000000" w:fill="F2F2F2"/>
            <w:noWrap/>
            <w:vAlign w:val="bottom"/>
            <w:hideMark/>
          </w:tcPr>
          <w:p w:rsidR="007B5401" w:rsidRPr="007B5401" w:rsidRDefault="007B5401" w:rsidP="007B5401">
            <w:pPr>
              <w:jc w:val="left"/>
              <w:rPr>
                <w:rFonts w:ascii="Calibri" w:eastAsia="Times New Roman" w:hAnsi="Calibri" w:cs="Calibri"/>
                <w:color w:val="000000"/>
                <w:sz w:val="22"/>
              </w:rPr>
            </w:pPr>
            <w:r w:rsidRPr="007B5401">
              <w:rPr>
                <w:rFonts w:ascii="Calibri" w:eastAsia="Times New Roman" w:hAnsi="Calibri" w:cs="Calibri"/>
                <w:color w:val="000000"/>
                <w:sz w:val="22"/>
              </w:rPr>
              <w:t> </w:t>
            </w:r>
          </w:p>
        </w:tc>
      </w:tr>
      <w:tr w:rsidR="007B5401" w:rsidRPr="007B5401" w:rsidTr="00365032">
        <w:trPr>
          <w:trHeight w:val="300"/>
        </w:trPr>
        <w:tc>
          <w:tcPr>
            <w:tcW w:w="8592" w:type="dxa"/>
            <w:gridSpan w:val="6"/>
            <w:tcBorders>
              <w:top w:val="nil"/>
              <w:left w:val="single" w:sz="8" w:space="0" w:color="auto"/>
              <w:bottom w:val="nil"/>
              <w:right w:val="nil"/>
            </w:tcBorders>
            <w:shd w:val="clear" w:color="000000" w:fill="F2F2F2"/>
            <w:noWrap/>
            <w:vAlign w:val="bottom"/>
            <w:hideMark/>
          </w:tcPr>
          <w:p w:rsidR="007B5401" w:rsidRPr="007B5401" w:rsidRDefault="007B5401" w:rsidP="007B5401">
            <w:pPr>
              <w:ind w:firstLineChars="200" w:firstLine="440"/>
              <w:jc w:val="left"/>
              <w:rPr>
                <w:rFonts w:ascii="Calibri" w:eastAsia="Times New Roman" w:hAnsi="Calibri" w:cs="Calibri"/>
                <w:i/>
                <w:iCs/>
                <w:color w:val="1F497D"/>
                <w:sz w:val="22"/>
              </w:rPr>
            </w:pPr>
            <w:r w:rsidRPr="007B5401">
              <w:rPr>
                <w:rFonts w:ascii="Calibri" w:eastAsia="Times New Roman" w:hAnsi="Calibri" w:cs="Calibri"/>
                <w:i/>
                <w:iCs/>
                <w:color w:val="1F497D"/>
                <w:sz w:val="22"/>
              </w:rPr>
              <w:t>Commercial Real Estate and Existing Building Renewal</w:t>
            </w:r>
          </w:p>
        </w:tc>
        <w:tc>
          <w:tcPr>
            <w:tcW w:w="1604" w:type="dxa"/>
            <w:tcBorders>
              <w:top w:val="nil"/>
              <w:left w:val="nil"/>
              <w:bottom w:val="nil"/>
              <w:right w:val="single" w:sz="8" w:space="0" w:color="auto"/>
            </w:tcBorders>
            <w:shd w:val="clear" w:color="000000" w:fill="F2F2F2"/>
            <w:noWrap/>
            <w:vAlign w:val="bottom"/>
            <w:hideMark/>
          </w:tcPr>
          <w:p w:rsidR="007B5401" w:rsidRPr="007B5401" w:rsidRDefault="007B5401" w:rsidP="007B5401">
            <w:pPr>
              <w:jc w:val="left"/>
              <w:rPr>
                <w:rFonts w:ascii="Calibri" w:eastAsia="Times New Roman" w:hAnsi="Calibri" w:cs="Calibri"/>
                <w:color w:val="000000"/>
                <w:sz w:val="22"/>
              </w:rPr>
            </w:pPr>
            <w:r w:rsidRPr="007B5401">
              <w:rPr>
                <w:rFonts w:ascii="Calibri" w:eastAsia="Times New Roman" w:hAnsi="Calibri" w:cs="Calibri"/>
                <w:color w:val="000000"/>
                <w:sz w:val="22"/>
              </w:rPr>
              <w:t> </w:t>
            </w:r>
          </w:p>
        </w:tc>
      </w:tr>
      <w:tr w:rsidR="007B5401" w:rsidRPr="007B5401" w:rsidTr="00365032">
        <w:trPr>
          <w:trHeight w:val="300"/>
        </w:trPr>
        <w:tc>
          <w:tcPr>
            <w:tcW w:w="3856" w:type="dxa"/>
            <w:gridSpan w:val="2"/>
            <w:tcBorders>
              <w:top w:val="nil"/>
              <w:left w:val="single" w:sz="8" w:space="0" w:color="auto"/>
              <w:bottom w:val="nil"/>
              <w:right w:val="nil"/>
            </w:tcBorders>
            <w:shd w:val="clear" w:color="000000" w:fill="F2F2F2"/>
            <w:noWrap/>
            <w:vAlign w:val="bottom"/>
            <w:hideMark/>
          </w:tcPr>
          <w:p w:rsidR="007B5401" w:rsidRPr="007B5401" w:rsidRDefault="007B5401" w:rsidP="007B5401">
            <w:pPr>
              <w:ind w:firstLineChars="200" w:firstLine="440"/>
              <w:jc w:val="left"/>
              <w:rPr>
                <w:rFonts w:ascii="Calibri" w:eastAsia="Times New Roman" w:hAnsi="Calibri" w:cs="Calibri"/>
                <w:i/>
                <w:iCs/>
                <w:color w:val="1F497D"/>
                <w:sz w:val="22"/>
              </w:rPr>
            </w:pPr>
            <w:r w:rsidRPr="007B5401">
              <w:rPr>
                <w:rFonts w:ascii="Calibri" w:eastAsia="Times New Roman" w:hAnsi="Calibri" w:cs="Calibri"/>
                <w:i/>
                <w:iCs/>
                <w:color w:val="1F497D"/>
                <w:sz w:val="22"/>
              </w:rPr>
              <w:t>Luminaire Level Lighting Controls</w:t>
            </w:r>
          </w:p>
        </w:tc>
        <w:tc>
          <w:tcPr>
            <w:tcW w:w="1184" w:type="dxa"/>
            <w:tcBorders>
              <w:top w:val="nil"/>
              <w:left w:val="nil"/>
              <w:bottom w:val="nil"/>
              <w:right w:val="nil"/>
            </w:tcBorders>
            <w:shd w:val="clear" w:color="000000" w:fill="F2F2F2"/>
            <w:noWrap/>
            <w:vAlign w:val="bottom"/>
            <w:hideMark/>
          </w:tcPr>
          <w:p w:rsidR="007B5401" w:rsidRPr="007B5401" w:rsidRDefault="007B5401" w:rsidP="007B5401">
            <w:pPr>
              <w:jc w:val="left"/>
              <w:rPr>
                <w:rFonts w:ascii="Calibri" w:eastAsia="Times New Roman" w:hAnsi="Calibri" w:cs="Calibri"/>
                <w:color w:val="000000"/>
                <w:sz w:val="22"/>
              </w:rPr>
            </w:pPr>
            <w:r w:rsidRPr="007B5401">
              <w:rPr>
                <w:rFonts w:ascii="Calibri" w:eastAsia="Times New Roman" w:hAnsi="Calibri" w:cs="Calibri"/>
                <w:color w:val="000000"/>
                <w:sz w:val="22"/>
              </w:rPr>
              <w:t> </w:t>
            </w:r>
          </w:p>
        </w:tc>
        <w:tc>
          <w:tcPr>
            <w:tcW w:w="1184" w:type="dxa"/>
            <w:tcBorders>
              <w:top w:val="nil"/>
              <w:left w:val="nil"/>
              <w:bottom w:val="nil"/>
              <w:right w:val="nil"/>
            </w:tcBorders>
            <w:shd w:val="clear" w:color="000000" w:fill="F2F2F2"/>
            <w:noWrap/>
            <w:vAlign w:val="bottom"/>
            <w:hideMark/>
          </w:tcPr>
          <w:p w:rsidR="007B5401" w:rsidRPr="007B5401" w:rsidRDefault="007B5401" w:rsidP="007B5401">
            <w:pPr>
              <w:jc w:val="left"/>
              <w:rPr>
                <w:rFonts w:ascii="Calibri" w:eastAsia="Times New Roman" w:hAnsi="Calibri" w:cs="Calibri"/>
                <w:color w:val="000000"/>
                <w:sz w:val="22"/>
              </w:rPr>
            </w:pPr>
            <w:r w:rsidRPr="007B5401">
              <w:rPr>
                <w:rFonts w:ascii="Calibri" w:eastAsia="Times New Roman" w:hAnsi="Calibri" w:cs="Calibri"/>
                <w:color w:val="000000"/>
                <w:sz w:val="22"/>
              </w:rPr>
              <w:t> </w:t>
            </w:r>
          </w:p>
        </w:tc>
        <w:tc>
          <w:tcPr>
            <w:tcW w:w="1183" w:type="dxa"/>
            <w:tcBorders>
              <w:top w:val="nil"/>
              <w:left w:val="nil"/>
              <w:bottom w:val="nil"/>
              <w:right w:val="nil"/>
            </w:tcBorders>
            <w:shd w:val="clear" w:color="000000" w:fill="F2F2F2"/>
            <w:noWrap/>
            <w:vAlign w:val="bottom"/>
            <w:hideMark/>
          </w:tcPr>
          <w:p w:rsidR="007B5401" w:rsidRPr="007B5401" w:rsidRDefault="007B5401" w:rsidP="007B5401">
            <w:pPr>
              <w:jc w:val="left"/>
              <w:rPr>
                <w:rFonts w:ascii="Calibri" w:eastAsia="Times New Roman" w:hAnsi="Calibri" w:cs="Calibri"/>
                <w:color w:val="000000"/>
                <w:sz w:val="22"/>
              </w:rPr>
            </w:pPr>
            <w:r w:rsidRPr="007B5401">
              <w:rPr>
                <w:rFonts w:ascii="Calibri" w:eastAsia="Times New Roman" w:hAnsi="Calibri" w:cs="Calibri"/>
                <w:color w:val="000000"/>
                <w:sz w:val="22"/>
              </w:rPr>
              <w:t> </w:t>
            </w:r>
          </w:p>
        </w:tc>
        <w:tc>
          <w:tcPr>
            <w:tcW w:w="1185" w:type="dxa"/>
            <w:tcBorders>
              <w:top w:val="nil"/>
              <w:left w:val="nil"/>
              <w:bottom w:val="nil"/>
              <w:right w:val="nil"/>
            </w:tcBorders>
            <w:shd w:val="clear" w:color="000000" w:fill="F2F2F2"/>
            <w:noWrap/>
            <w:vAlign w:val="bottom"/>
            <w:hideMark/>
          </w:tcPr>
          <w:p w:rsidR="007B5401" w:rsidRPr="007B5401" w:rsidRDefault="007B5401" w:rsidP="007B5401">
            <w:pPr>
              <w:jc w:val="left"/>
              <w:rPr>
                <w:rFonts w:ascii="Calibri" w:eastAsia="Times New Roman" w:hAnsi="Calibri" w:cs="Calibri"/>
                <w:color w:val="000000"/>
                <w:sz w:val="22"/>
              </w:rPr>
            </w:pPr>
            <w:r w:rsidRPr="007B5401">
              <w:rPr>
                <w:rFonts w:ascii="Calibri" w:eastAsia="Times New Roman" w:hAnsi="Calibri" w:cs="Calibri"/>
                <w:color w:val="000000"/>
                <w:sz w:val="22"/>
              </w:rPr>
              <w:t> </w:t>
            </w:r>
          </w:p>
        </w:tc>
        <w:tc>
          <w:tcPr>
            <w:tcW w:w="1604" w:type="dxa"/>
            <w:tcBorders>
              <w:top w:val="nil"/>
              <w:left w:val="nil"/>
              <w:bottom w:val="nil"/>
              <w:right w:val="single" w:sz="8" w:space="0" w:color="auto"/>
            </w:tcBorders>
            <w:shd w:val="clear" w:color="000000" w:fill="F2F2F2"/>
            <w:noWrap/>
            <w:vAlign w:val="bottom"/>
            <w:hideMark/>
          </w:tcPr>
          <w:p w:rsidR="007B5401" w:rsidRPr="007B5401" w:rsidRDefault="007B5401" w:rsidP="007B5401">
            <w:pPr>
              <w:jc w:val="left"/>
              <w:rPr>
                <w:rFonts w:ascii="Calibri" w:eastAsia="Times New Roman" w:hAnsi="Calibri" w:cs="Calibri"/>
                <w:color w:val="000000"/>
                <w:sz w:val="22"/>
              </w:rPr>
            </w:pPr>
            <w:r w:rsidRPr="007B5401">
              <w:rPr>
                <w:rFonts w:ascii="Calibri" w:eastAsia="Times New Roman" w:hAnsi="Calibri" w:cs="Calibri"/>
                <w:color w:val="000000"/>
                <w:sz w:val="22"/>
              </w:rPr>
              <w:t> </w:t>
            </w:r>
          </w:p>
        </w:tc>
      </w:tr>
      <w:tr w:rsidR="007B5401" w:rsidRPr="007B5401" w:rsidTr="00365032">
        <w:trPr>
          <w:trHeight w:val="300"/>
        </w:trPr>
        <w:tc>
          <w:tcPr>
            <w:tcW w:w="5040" w:type="dxa"/>
            <w:gridSpan w:val="3"/>
            <w:tcBorders>
              <w:top w:val="nil"/>
              <w:left w:val="single" w:sz="8" w:space="0" w:color="auto"/>
              <w:bottom w:val="nil"/>
              <w:right w:val="nil"/>
            </w:tcBorders>
            <w:shd w:val="clear" w:color="000000" w:fill="F2F2F2"/>
            <w:noWrap/>
            <w:vAlign w:val="bottom"/>
            <w:hideMark/>
          </w:tcPr>
          <w:p w:rsidR="007B5401" w:rsidRPr="007B5401" w:rsidRDefault="007B5401" w:rsidP="007B5401">
            <w:pPr>
              <w:ind w:firstLineChars="200" w:firstLine="440"/>
              <w:jc w:val="left"/>
              <w:rPr>
                <w:rFonts w:ascii="Calibri" w:eastAsia="Times New Roman" w:hAnsi="Calibri" w:cs="Calibri"/>
                <w:i/>
                <w:iCs/>
                <w:color w:val="1F497D"/>
                <w:sz w:val="22"/>
              </w:rPr>
            </w:pPr>
            <w:r w:rsidRPr="007B5401">
              <w:rPr>
                <w:rFonts w:ascii="Calibri" w:eastAsia="Times New Roman" w:hAnsi="Calibri" w:cs="Calibri"/>
                <w:i/>
                <w:iCs/>
                <w:color w:val="1F497D"/>
                <w:sz w:val="22"/>
              </w:rPr>
              <w:t>Retail Products Portfolio</w:t>
            </w:r>
          </w:p>
        </w:tc>
        <w:tc>
          <w:tcPr>
            <w:tcW w:w="1184" w:type="dxa"/>
            <w:tcBorders>
              <w:top w:val="nil"/>
              <w:left w:val="nil"/>
              <w:bottom w:val="nil"/>
              <w:right w:val="nil"/>
            </w:tcBorders>
            <w:shd w:val="clear" w:color="000000" w:fill="F2F2F2"/>
            <w:noWrap/>
            <w:vAlign w:val="bottom"/>
            <w:hideMark/>
          </w:tcPr>
          <w:p w:rsidR="007B5401" w:rsidRPr="007B5401" w:rsidRDefault="007B5401" w:rsidP="007B5401">
            <w:pPr>
              <w:jc w:val="left"/>
              <w:rPr>
                <w:rFonts w:ascii="Calibri" w:eastAsia="Times New Roman" w:hAnsi="Calibri" w:cs="Calibri"/>
                <w:color w:val="000000"/>
                <w:sz w:val="22"/>
              </w:rPr>
            </w:pPr>
            <w:r w:rsidRPr="007B5401">
              <w:rPr>
                <w:rFonts w:ascii="Calibri" w:eastAsia="Times New Roman" w:hAnsi="Calibri" w:cs="Calibri"/>
                <w:color w:val="000000"/>
                <w:sz w:val="22"/>
              </w:rPr>
              <w:t> </w:t>
            </w:r>
          </w:p>
        </w:tc>
        <w:tc>
          <w:tcPr>
            <w:tcW w:w="1183" w:type="dxa"/>
            <w:tcBorders>
              <w:top w:val="nil"/>
              <w:left w:val="nil"/>
              <w:bottom w:val="nil"/>
              <w:right w:val="nil"/>
            </w:tcBorders>
            <w:shd w:val="clear" w:color="000000" w:fill="F2F2F2"/>
            <w:noWrap/>
            <w:vAlign w:val="bottom"/>
            <w:hideMark/>
          </w:tcPr>
          <w:p w:rsidR="007B5401" w:rsidRPr="007B5401" w:rsidRDefault="007B5401" w:rsidP="007B5401">
            <w:pPr>
              <w:jc w:val="left"/>
              <w:rPr>
                <w:rFonts w:ascii="Calibri" w:eastAsia="Times New Roman" w:hAnsi="Calibri" w:cs="Calibri"/>
                <w:color w:val="000000"/>
                <w:sz w:val="22"/>
              </w:rPr>
            </w:pPr>
            <w:r w:rsidRPr="007B5401">
              <w:rPr>
                <w:rFonts w:ascii="Calibri" w:eastAsia="Times New Roman" w:hAnsi="Calibri" w:cs="Calibri"/>
                <w:color w:val="000000"/>
                <w:sz w:val="22"/>
              </w:rPr>
              <w:t> </w:t>
            </w:r>
          </w:p>
        </w:tc>
        <w:tc>
          <w:tcPr>
            <w:tcW w:w="1185" w:type="dxa"/>
            <w:tcBorders>
              <w:top w:val="nil"/>
              <w:left w:val="nil"/>
              <w:bottom w:val="nil"/>
              <w:right w:val="nil"/>
            </w:tcBorders>
            <w:shd w:val="clear" w:color="000000" w:fill="F2F2F2"/>
            <w:noWrap/>
            <w:vAlign w:val="bottom"/>
            <w:hideMark/>
          </w:tcPr>
          <w:p w:rsidR="007B5401" w:rsidRPr="007B5401" w:rsidRDefault="007B5401" w:rsidP="007B5401">
            <w:pPr>
              <w:jc w:val="left"/>
              <w:rPr>
                <w:rFonts w:ascii="Calibri" w:eastAsia="Times New Roman" w:hAnsi="Calibri" w:cs="Calibri"/>
                <w:color w:val="000000"/>
                <w:sz w:val="22"/>
              </w:rPr>
            </w:pPr>
            <w:r w:rsidRPr="007B5401">
              <w:rPr>
                <w:rFonts w:ascii="Calibri" w:eastAsia="Times New Roman" w:hAnsi="Calibri" w:cs="Calibri"/>
                <w:color w:val="000000"/>
                <w:sz w:val="22"/>
              </w:rPr>
              <w:t> </w:t>
            </w:r>
          </w:p>
        </w:tc>
        <w:tc>
          <w:tcPr>
            <w:tcW w:w="1604" w:type="dxa"/>
            <w:tcBorders>
              <w:top w:val="nil"/>
              <w:left w:val="nil"/>
              <w:bottom w:val="nil"/>
              <w:right w:val="single" w:sz="8" w:space="0" w:color="auto"/>
            </w:tcBorders>
            <w:shd w:val="clear" w:color="000000" w:fill="F2F2F2"/>
            <w:noWrap/>
            <w:vAlign w:val="bottom"/>
            <w:hideMark/>
          </w:tcPr>
          <w:p w:rsidR="007B5401" w:rsidRPr="007B5401" w:rsidRDefault="007B5401" w:rsidP="007B5401">
            <w:pPr>
              <w:jc w:val="left"/>
              <w:rPr>
                <w:rFonts w:ascii="Calibri" w:eastAsia="Times New Roman" w:hAnsi="Calibri" w:cs="Calibri"/>
                <w:color w:val="000000"/>
                <w:sz w:val="22"/>
              </w:rPr>
            </w:pPr>
            <w:r w:rsidRPr="007B5401">
              <w:rPr>
                <w:rFonts w:ascii="Calibri" w:eastAsia="Times New Roman" w:hAnsi="Calibri" w:cs="Calibri"/>
                <w:color w:val="000000"/>
                <w:sz w:val="22"/>
              </w:rPr>
              <w:t> </w:t>
            </w:r>
          </w:p>
        </w:tc>
      </w:tr>
      <w:tr w:rsidR="007B5401" w:rsidRPr="007B5401" w:rsidTr="00365032">
        <w:trPr>
          <w:trHeight w:val="315"/>
        </w:trPr>
        <w:tc>
          <w:tcPr>
            <w:tcW w:w="1628" w:type="dxa"/>
            <w:tcBorders>
              <w:top w:val="nil"/>
              <w:left w:val="single" w:sz="8" w:space="0" w:color="auto"/>
              <w:bottom w:val="single" w:sz="8" w:space="0" w:color="auto"/>
              <w:right w:val="nil"/>
            </w:tcBorders>
            <w:shd w:val="clear" w:color="000000" w:fill="F2F2F2"/>
            <w:noWrap/>
            <w:vAlign w:val="bottom"/>
            <w:hideMark/>
          </w:tcPr>
          <w:p w:rsidR="007B5401" w:rsidRPr="007B5401" w:rsidRDefault="007B5401" w:rsidP="007B5401">
            <w:pPr>
              <w:ind w:firstLineChars="200" w:firstLine="440"/>
              <w:jc w:val="left"/>
              <w:rPr>
                <w:rFonts w:ascii="Calibri" w:eastAsia="Times New Roman" w:hAnsi="Calibri" w:cs="Calibri"/>
                <w:i/>
                <w:iCs/>
                <w:color w:val="1F497D"/>
                <w:sz w:val="22"/>
              </w:rPr>
            </w:pPr>
            <w:r w:rsidRPr="007B5401">
              <w:rPr>
                <w:rFonts w:ascii="Calibri" w:eastAsia="Times New Roman" w:hAnsi="Calibri" w:cs="Calibri"/>
                <w:i/>
                <w:iCs/>
                <w:color w:val="1F497D"/>
                <w:sz w:val="22"/>
              </w:rPr>
              <w:t> </w:t>
            </w:r>
          </w:p>
        </w:tc>
        <w:tc>
          <w:tcPr>
            <w:tcW w:w="2228" w:type="dxa"/>
            <w:tcBorders>
              <w:top w:val="nil"/>
              <w:left w:val="nil"/>
              <w:bottom w:val="single" w:sz="8" w:space="0" w:color="auto"/>
              <w:right w:val="nil"/>
            </w:tcBorders>
            <w:shd w:val="clear" w:color="000000" w:fill="F2F2F2"/>
            <w:noWrap/>
            <w:vAlign w:val="bottom"/>
            <w:hideMark/>
          </w:tcPr>
          <w:p w:rsidR="007B5401" w:rsidRPr="007B5401" w:rsidRDefault="007B5401" w:rsidP="007B5401">
            <w:pPr>
              <w:jc w:val="left"/>
              <w:rPr>
                <w:rFonts w:ascii="Calibri" w:eastAsia="Times New Roman" w:hAnsi="Calibri" w:cs="Calibri"/>
                <w:color w:val="000000"/>
                <w:sz w:val="22"/>
              </w:rPr>
            </w:pPr>
            <w:r w:rsidRPr="007B5401">
              <w:rPr>
                <w:rFonts w:ascii="Calibri" w:eastAsia="Times New Roman" w:hAnsi="Calibri" w:cs="Calibri"/>
                <w:color w:val="000000"/>
                <w:sz w:val="22"/>
              </w:rPr>
              <w:t> </w:t>
            </w:r>
          </w:p>
        </w:tc>
        <w:tc>
          <w:tcPr>
            <w:tcW w:w="1184" w:type="dxa"/>
            <w:tcBorders>
              <w:top w:val="nil"/>
              <w:left w:val="nil"/>
              <w:bottom w:val="single" w:sz="8" w:space="0" w:color="auto"/>
              <w:right w:val="nil"/>
            </w:tcBorders>
            <w:shd w:val="clear" w:color="000000" w:fill="F2F2F2"/>
            <w:noWrap/>
            <w:vAlign w:val="bottom"/>
            <w:hideMark/>
          </w:tcPr>
          <w:p w:rsidR="007B5401" w:rsidRPr="007B5401" w:rsidRDefault="007B5401" w:rsidP="007B5401">
            <w:pPr>
              <w:jc w:val="left"/>
              <w:rPr>
                <w:rFonts w:ascii="Calibri" w:eastAsia="Times New Roman" w:hAnsi="Calibri" w:cs="Calibri"/>
                <w:color w:val="000000"/>
                <w:sz w:val="22"/>
              </w:rPr>
            </w:pPr>
            <w:r w:rsidRPr="007B5401">
              <w:rPr>
                <w:rFonts w:ascii="Calibri" w:eastAsia="Times New Roman" w:hAnsi="Calibri" w:cs="Calibri"/>
                <w:color w:val="000000"/>
                <w:sz w:val="22"/>
              </w:rPr>
              <w:t> </w:t>
            </w:r>
          </w:p>
        </w:tc>
        <w:tc>
          <w:tcPr>
            <w:tcW w:w="1184" w:type="dxa"/>
            <w:tcBorders>
              <w:top w:val="nil"/>
              <w:left w:val="nil"/>
              <w:bottom w:val="single" w:sz="8" w:space="0" w:color="auto"/>
              <w:right w:val="nil"/>
            </w:tcBorders>
            <w:shd w:val="clear" w:color="000000" w:fill="F2F2F2"/>
            <w:noWrap/>
            <w:vAlign w:val="bottom"/>
            <w:hideMark/>
          </w:tcPr>
          <w:p w:rsidR="007B5401" w:rsidRPr="007B5401" w:rsidRDefault="007B5401" w:rsidP="007B5401">
            <w:pPr>
              <w:jc w:val="left"/>
              <w:rPr>
                <w:rFonts w:ascii="Calibri" w:eastAsia="Times New Roman" w:hAnsi="Calibri" w:cs="Calibri"/>
                <w:color w:val="000000"/>
                <w:sz w:val="22"/>
              </w:rPr>
            </w:pPr>
            <w:r w:rsidRPr="007B5401">
              <w:rPr>
                <w:rFonts w:ascii="Calibri" w:eastAsia="Times New Roman" w:hAnsi="Calibri" w:cs="Calibri"/>
                <w:color w:val="000000"/>
                <w:sz w:val="22"/>
              </w:rPr>
              <w:t> </w:t>
            </w:r>
          </w:p>
        </w:tc>
        <w:tc>
          <w:tcPr>
            <w:tcW w:w="1183" w:type="dxa"/>
            <w:tcBorders>
              <w:top w:val="nil"/>
              <w:left w:val="nil"/>
              <w:bottom w:val="single" w:sz="8" w:space="0" w:color="auto"/>
              <w:right w:val="nil"/>
            </w:tcBorders>
            <w:shd w:val="clear" w:color="000000" w:fill="F2F2F2"/>
            <w:noWrap/>
            <w:vAlign w:val="bottom"/>
            <w:hideMark/>
          </w:tcPr>
          <w:p w:rsidR="007B5401" w:rsidRPr="007B5401" w:rsidRDefault="007B5401" w:rsidP="007B5401">
            <w:pPr>
              <w:jc w:val="left"/>
              <w:rPr>
                <w:rFonts w:ascii="Calibri" w:eastAsia="Times New Roman" w:hAnsi="Calibri" w:cs="Calibri"/>
                <w:color w:val="000000"/>
                <w:sz w:val="22"/>
              </w:rPr>
            </w:pPr>
            <w:r w:rsidRPr="007B5401">
              <w:rPr>
                <w:rFonts w:ascii="Calibri" w:eastAsia="Times New Roman" w:hAnsi="Calibri" w:cs="Calibri"/>
                <w:color w:val="000000"/>
                <w:sz w:val="22"/>
              </w:rPr>
              <w:t> </w:t>
            </w:r>
          </w:p>
        </w:tc>
        <w:tc>
          <w:tcPr>
            <w:tcW w:w="1185" w:type="dxa"/>
            <w:tcBorders>
              <w:top w:val="nil"/>
              <w:left w:val="nil"/>
              <w:bottom w:val="single" w:sz="8" w:space="0" w:color="auto"/>
              <w:right w:val="nil"/>
            </w:tcBorders>
            <w:shd w:val="clear" w:color="000000" w:fill="F2F2F2"/>
            <w:noWrap/>
            <w:vAlign w:val="bottom"/>
            <w:hideMark/>
          </w:tcPr>
          <w:p w:rsidR="007B5401" w:rsidRPr="007B5401" w:rsidRDefault="007B5401" w:rsidP="007B5401">
            <w:pPr>
              <w:jc w:val="left"/>
              <w:rPr>
                <w:rFonts w:ascii="Calibri" w:eastAsia="Times New Roman" w:hAnsi="Calibri" w:cs="Calibri"/>
                <w:color w:val="000000"/>
                <w:sz w:val="22"/>
              </w:rPr>
            </w:pPr>
            <w:r w:rsidRPr="007B5401">
              <w:rPr>
                <w:rFonts w:ascii="Calibri" w:eastAsia="Times New Roman" w:hAnsi="Calibri" w:cs="Calibri"/>
                <w:color w:val="000000"/>
                <w:sz w:val="22"/>
              </w:rPr>
              <w:t> </w:t>
            </w:r>
          </w:p>
        </w:tc>
        <w:tc>
          <w:tcPr>
            <w:tcW w:w="1604" w:type="dxa"/>
            <w:tcBorders>
              <w:top w:val="nil"/>
              <w:left w:val="nil"/>
              <w:bottom w:val="single" w:sz="8" w:space="0" w:color="auto"/>
              <w:right w:val="single" w:sz="8" w:space="0" w:color="auto"/>
            </w:tcBorders>
            <w:shd w:val="clear" w:color="000000" w:fill="F2F2F2"/>
            <w:noWrap/>
            <w:vAlign w:val="bottom"/>
            <w:hideMark/>
          </w:tcPr>
          <w:p w:rsidR="007B5401" w:rsidRPr="007B5401" w:rsidRDefault="007B5401" w:rsidP="007B5401">
            <w:pPr>
              <w:jc w:val="left"/>
              <w:rPr>
                <w:rFonts w:ascii="Calibri" w:eastAsia="Times New Roman" w:hAnsi="Calibri" w:cs="Calibri"/>
                <w:color w:val="000000"/>
                <w:sz w:val="22"/>
              </w:rPr>
            </w:pPr>
            <w:r w:rsidRPr="007B5401">
              <w:rPr>
                <w:rFonts w:ascii="Calibri" w:eastAsia="Times New Roman" w:hAnsi="Calibri" w:cs="Calibri"/>
                <w:color w:val="000000"/>
                <w:sz w:val="22"/>
              </w:rPr>
              <w:t> </w:t>
            </w:r>
          </w:p>
        </w:tc>
      </w:tr>
    </w:tbl>
    <w:p w:rsidR="007B5401" w:rsidRPr="007B5401" w:rsidRDefault="007B5401" w:rsidP="007B5401">
      <w:pPr>
        <w:spacing w:line="276" w:lineRule="auto"/>
        <w:jc w:val="left"/>
        <w:rPr>
          <w:rFonts w:ascii="Calibri" w:eastAsia="Cambria" w:hAnsi="Calibri" w:cs="Times New Roman"/>
          <w:sz w:val="22"/>
          <w:szCs w:val="24"/>
        </w:rPr>
      </w:pPr>
    </w:p>
    <w:p w:rsidR="007B5401" w:rsidRPr="007B5401" w:rsidRDefault="007B5401" w:rsidP="007B5401">
      <w:pPr>
        <w:jc w:val="left"/>
        <w:rPr>
          <w:rFonts w:ascii="Calibri" w:eastAsia="Cambria" w:hAnsi="Calibri" w:cs="Times New Roman"/>
          <w:sz w:val="22"/>
          <w:szCs w:val="24"/>
        </w:rPr>
      </w:pPr>
      <w:r w:rsidRPr="007B5401">
        <w:rPr>
          <w:rFonts w:ascii="Calibri" w:eastAsia="Cambria" w:hAnsi="Calibri" w:cs="Times New Roman"/>
          <w:sz w:val="22"/>
          <w:szCs w:val="24"/>
        </w:rPr>
        <w:br w:type="page"/>
      </w:r>
    </w:p>
    <w:p w:rsidR="007B5401" w:rsidRPr="007B5401" w:rsidRDefault="007B5401" w:rsidP="007B5401">
      <w:pPr>
        <w:keepNext/>
        <w:keepLines/>
        <w:spacing w:before="480" w:line="276" w:lineRule="auto"/>
        <w:jc w:val="left"/>
        <w:outlineLvl w:val="0"/>
        <w:rPr>
          <w:rFonts w:ascii="Cambria" w:eastAsia="Times New Roman" w:hAnsi="Cambria" w:cs="Times New Roman"/>
          <w:b/>
          <w:bCs/>
          <w:color w:val="365F91"/>
          <w:sz w:val="28"/>
          <w:szCs w:val="28"/>
        </w:rPr>
        <w:sectPr w:rsidR="007B5401" w:rsidRPr="007B5401" w:rsidSect="00640911">
          <w:headerReference w:type="even" r:id="rId64"/>
          <w:headerReference w:type="default" r:id="rId65"/>
          <w:footerReference w:type="even" r:id="rId66"/>
          <w:footerReference w:type="default" r:id="rId67"/>
          <w:headerReference w:type="first" r:id="rId68"/>
          <w:footerReference w:type="first" r:id="rId69"/>
          <w:pgSz w:w="12240" w:h="15840"/>
          <w:pgMar w:top="720" w:right="720" w:bottom="720" w:left="720" w:header="720" w:footer="720" w:gutter="0"/>
          <w:cols w:space="720"/>
          <w:titlePg/>
        </w:sectPr>
      </w:pPr>
    </w:p>
    <w:p w:rsidR="007B5401" w:rsidRPr="00F24E1C" w:rsidRDefault="007B5401" w:rsidP="00F24E1C">
      <w:pPr>
        <w:pStyle w:val="Heading3"/>
        <w:rPr>
          <w:rFonts w:eastAsia="Times New Roman"/>
          <w:sz w:val="28"/>
        </w:rPr>
      </w:pPr>
      <w:r w:rsidRPr="00F24E1C">
        <w:rPr>
          <w:rFonts w:eastAsia="Times New Roman"/>
          <w:sz w:val="28"/>
        </w:rPr>
        <w:t>Appendix A: Methodology to Set Biennial Targets</w:t>
      </w:r>
    </w:p>
    <w:p w:rsidR="007B5401" w:rsidRPr="007B5401" w:rsidRDefault="007B5401" w:rsidP="00F24E1C">
      <w:pPr>
        <w:pStyle w:val="Heading3"/>
        <w:rPr>
          <w:rFonts w:eastAsia="Times New Roman"/>
        </w:rPr>
      </w:pPr>
      <w:r w:rsidRPr="007B5401">
        <w:rPr>
          <w:rFonts w:eastAsia="Times New Roman"/>
        </w:rPr>
        <w:t>Allocation Methodology</w:t>
      </w:r>
    </w:p>
    <w:p w:rsidR="007B5401" w:rsidRDefault="007B5401" w:rsidP="007B5401">
      <w:pPr>
        <w:spacing w:line="276" w:lineRule="auto"/>
        <w:jc w:val="left"/>
        <w:rPr>
          <w:rFonts w:ascii="Calibri" w:eastAsia="Cambria" w:hAnsi="Calibri" w:cs="Times New Roman"/>
          <w:sz w:val="22"/>
          <w:szCs w:val="24"/>
        </w:rPr>
      </w:pPr>
      <w:r w:rsidRPr="007B5401">
        <w:rPr>
          <w:rFonts w:ascii="Calibri" w:eastAsia="Cambria" w:hAnsi="Calibri" w:cs="Times New Roman"/>
          <w:sz w:val="22"/>
          <w:szCs w:val="24"/>
        </w:rPr>
        <w:t>NEEA allocates the regional savings using funder shares. The shares vary based on the funding cycle.  Savings from previous investments receive the previous funder share. Savings from current investments receive the current funder share. Table 2 shows the funder shares.</w:t>
      </w:r>
    </w:p>
    <w:p w:rsidR="00C77B38" w:rsidRPr="007B5401" w:rsidRDefault="00C77B38" w:rsidP="007B5401">
      <w:pPr>
        <w:spacing w:line="276" w:lineRule="auto"/>
        <w:jc w:val="left"/>
        <w:rPr>
          <w:rFonts w:ascii="Calibri" w:eastAsia="Cambria" w:hAnsi="Calibri" w:cs="Times New Roman"/>
          <w:sz w:val="22"/>
          <w:szCs w:val="24"/>
        </w:rPr>
      </w:pPr>
    </w:p>
    <w:p w:rsidR="007B5401" w:rsidRPr="00C77B38" w:rsidRDefault="007B5401" w:rsidP="00C77B38">
      <w:r w:rsidRPr="00C77B38">
        <w:t xml:space="preserve"> Pacific’s Funder Share for the Washington 2016-2017 Savings Forecast</w:t>
      </w:r>
    </w:p>
    <w:tbl>
      <w:tblPr>
        <w:tblW w:w="10045" w:type="dxa"/>
        <w:tblInd w:w="108" w:type="dxa"/>
        <w:tblLook w:val="04A0" w:firstRow="1" w:lastRow="0" w:firstColumn="1" w:lastColumn="0" w:noHBand="0" w:noVBand="1"/>
      </w:tblPr>
      <w:tblGrid>
        <w:gridCol w:w="7418"/>
        <w:gridCol w:w="411"/>
        <w:gridCol w:w="2216"/>
      </w:tblGrid>
      <w:tr w:rsidR="007B5401" w:rsidRPr="007B5401" w:rsidTr="007B5401">
        <w:trPr>
          <w:trHeight w:val="451"/>
        </w:trPr>
        <w:tc>
          <w:tcPr>
            <w:tcW w:w="7829" w:type="dxa"/>
            <w:gridSpan w:val="2"/>
            <w:tcBorders>
              <w:top w:val="nil"/>
              <w:left w:val="nil"/>
              <w:bottom w:val="single" w:sz="12" w:space="0" w:color="4F81BD"/>
              <w:right w:val="nil"/>
            </w:tcBorders>
            <w:shd w:val="clear" w:color="000000" w:fill="FFFFFF"/>
            <w:noWrap/>
            <w:vAlign w:val="bottom"/>
            <w:hideMark/>
          </w:tcPr>
          <w:p w:rsidR="007B5401" w:rsidRPr="007B5401" w:rsidRDefault="007B5401" w:rsidP="007B5401">
            <w:pPr>
              <w:spacing w:line="276" w:lineRule="auto"/>
              <w:jc w:val="left"/>
              <w:rPr>
                <w:rFonts w:ascii="Calibri" w:eastAsia="Times New Roman" w:hAnsi="Calibri" w:cs="Times New Roman"/>
                <w:b/>
                <w:bCs/>
                <w:color w:val="1F497D"/>
                <w:sz w:val="30"/>
                <w:szCs w:val="30"/>
              </w:rPr>
            </w:pPr>
            <w:r w:rsidRPr="007B5401">
              <w:rPr>
                <w:rFonts w:ascii="Calibri" w:eastAsia="Times New Roman" w:hAnsi="Calibri" w:cs="Times New Roman"/>
                <w:b/>
                <w:bCs/>
                <w:color w:val="1F497D"/>
                <w:sz w:val="30"/>
                <w:szCs w:val="30"/>
              </w:rPr>
              <w:t>Funder Share</w:t>
            </w:r>
          </w:p>
        </w:tc>
        <w:tc>
          <w:tcPr>
            <w:tcW w:w="2216" w:type="dxa"/>
            <w:tcBorders>
              <w:top w:val="nil"/>
              <w:left w:val="nil"/>
              <w:bottom w:val="single" w:sz="12" w:space="0" w:color="4F81BD"/>
              <w:right w:val="nil"/>
            </w:tcBorders>
            <w:shd w:val="clear" w:color="000000" w:fill="FFFFFF"/>
            <w:noWrap/>
            <w:vAlign w:val="bottom"/>
            <w:hideMark/>
          </w:tcPr>
          <w:p w:rsidR="007B5401" w:rsidRPr="007B5401" w:rsidRDefault="007B5401" w:rsidP="007B5401">
            <w:pPr>
              <w:spacing w:line="276" w:lineRule="auto"/>
              <w:jc w:val="left"/>
              <w:rPr>
                <w:rFonts w:ascii="Calibri" w:eastAsia="Times New Roman" w:hAnsi="Calibri" w:cs="Times New Roman"/>
                <w:b/>
                <w:bCs/>
                <w:color w:val="1F497D"/>
                <w:sz w:val="30"/>
                <w:szCs w:val="30"/>
              </w:rPr>
            </w:pPr>
            <w:r w:rsidRPr="007B5401">
              <w:rPr>
                <w:rFonts w:ascii="Calibri" w:eastAsia="Times New Roman" w:hAnsi="Calibri" w:cs="Times New Roman"/>
                <w:b/>
                <w:bCs/>
                <w:color w:val="1F497D"/>
                <w:sz w:val="30"/>
                <w:szCs w:val="30"/>
              </w:rPr>
              <w:t> </w:t>
            </w:r>
          </w:p>
        </w:tc>
      </w:tr>
      <w:tr w:rsidR="007B5401" w:rsidRPr="007B5401" w:rsidTr="007B5401">
        <w:trPr>
          <w:trHeight w:val="418"/>
        </w:trPr>
        <w:tc>
          <w:tcPr>
            <w:tcW w:w="7829" w:type="dxa"/>
            <w:gridSpan w:val="2"/>
            <w:tcBorders>
              <w:top w:val="nil"/>
              <w:left w:val="nil"/>
              <w:bottom w:val="nil"/>
              <w:right w:val="nil"/>
            </w:tcBorders>
            <w:shd w:val="clear" w:color="000000" w:fill="FFFFFF"/>
            <w:noWrap/>
            <w:vAlign w:val="bottom"/>
            <w:hideMark/>
          </w:tcPr>
          <w:p w:rsidR="007B5401" w:rsidRPr="007B5401" w:rsidRDefault="007B5401" w:rsidP="007B5401">
            <w:pPr>
              <w:spacing w:line="276" w:lineRule="auto"/>
              <w:jc w:val="left"/>
              <w:rPr>
                <w:rFonts w:ascii="Calibri" w:eastAsia="Times New Roman" w:hAnsi="Calibri" w:cs="Times New Roman"/>
                <w:i/>
                <w:iCs/>
                <w:color w:val="7F7F7F"/>
                <w:sz w:val="22"/>
              </w:rPr>
            </w:pPr>
            <w:r w:rsidRPr="007B5401">
              <w:rPr>
                <w:rFonts w:ascii="Calibri" w:eastAsia="Times New Roman" w:hAnsi="Calibri" w:cs="Times New Roman"/>
                <w:i/>
                <w:iCs/>
                <w:color w:val="7F7F7F"/>
                <w:sz w:val="22"/>
              </w:rPr>
              <w:t>PacifiCorp-Pacific Power-WA</w:t>
            </w:r>
          </w:p>
        </w:tc>
        <w:tc>
          <w:tcPr>
            <w:tcW w:w="2216" w:type="dxa"/>
            <w:tcBorders>
              <w:top w:val="single" w:sz="12" w:space="0" w:color="4F81BD"/>
              <w:left w:val="nil"/>
              <w:right w:val="nil"/>
            </w:tcBorders>
            <w:shd w:val="clear" w:color="000000" w:fill="FFFFFF"/>
            <w:vAlign w:val="bottom"/>
            <w:hideMark/>
          </w:tcPr>
          <w:p w:rsidR="007B5401" w:rsidRPr="007B5401" w:rsidRDefault="007B5401" w:rsidP="007B5401">
            <w:pPr>
              <w:spacing w:line="276" w:lineRule="auto"/>
              <w:jc w:val="center"/>
              <w:rPr>
                <w:rFonts w:ascii="Calibri" w:eastAsia="Times New Roman" w:hAnsi="Calibri" w:cs="Times New Roman"/>
                <w:b/>
                <w:bCs/>
                <w:color w:val="1F497D"/>
                <w:sz w:val="26"/>
                <w:szCs w:val="26"/>
              </w:rPr>
            </w:pPr>
          </w:p>
        </w:tc>
      </w:tr>
      <w:tr w:rsidR="007B5401" w:rsidRPr="007B5401" w:rsidTr="007B5401">
        <w:trPr>
          <w:trHeight w:val="351"/>
        </w:trPr>
        <w:tc>
          <w:tcPr>
            <w:tcW w:w="7418" w:type="dxa"/>
            <w:tcBorders>
              <w:top w:val="nil"/>
              <w:left w:val="nil"/>
              <w:bottom w:val="nil"/>
              <w:right w:val="nil"/>
            </w:tcBorders>
            <w:shd w:val="clear" w:color="000000" w:fill="FFFFFF"/>
            <w:noWrap/>
            <w:vAlign w:val="bottom"/>
            <w:hideMark/>
          </w:tcPr>
          <w:p w:rsidR="007B5401" w:rsidRPr="007B5401" w:rsidRDefault="007B5401" w:rsidP="007B5401">
            <w:pPr>
              <w:spacing w:line="276" w:lineRule="auto"/>
              <w:ind w:firstLineChars="100" w:firstLine="220"/>
              <w:jc w:val="left"/>
              <w:rPr>
                <w:rFonts w:ascii="Calibri" w:eastAsia="Times New Roman" w:hAnsi="Calibri" w:cs="Times New Roman"/>
                <w:color w:val="000000"/>
                <w:sz w:val="22"/>
              </w:rPr>
            </w:pPr>
            <w:r w:rsidRPr="007B5401">
              <w:rPr>
                <w:rFonts w:ascii="Calibri" w:eastAsia="Times New Roman" w:hAnsi="Calibri" w:cs="Times New Roman"/>
                <w:color w:val="000000"/>
                <w:sz w:val="22"/>
              </w:rPr>
              <w:t>Current</w:t>
            </w:r>
          </w:p>
        </w:tc>
        <w:tc>
          <w:tcPr>
            <w:tcW w:w="411" w:type="dxa"/>
            <w:tcBorders>
              <w:top w:val="nil"/>
              <w:left w:val="nil"/>
              <w:bottom w:val="nil"/>
              <w:right w:val="nil"/>
            </w:tcBorders>
            <w:shd w:val="clear" w:color="000000" w:fill="FFFFFF"/>
            <w:noWrap/>
            <w:vAlign w:val="bottom"/>
            <w:hideMark/>
          </w:tcPr>
          <w:p w:rsidR="007B5401" w:rsidRPr="007B5401" w:rsidRDefault="007B5401" w:rsidP="007B5401">
            <w:pPr>
              <w:spacing w:line="276" w:lineRule="auto"/>
              <w:jc w:val="left"/>
              <w:rPr>
                <w:rFonts w:ascii="Calibri" w:eastAsia="Times New Roman" w:hAnsi="Calibri" w:cs="Times New Roman"/>
                <w:color w:val="000000"/>
                <w:sz w:val="22"/>
              </w:rPr>
            </w:pPr>
            <w:r w:rsidRPr="007B5401">
              <w:rPr>
                <w:rFonts w:ascii="Calibri" w:eastAsia="Times New Roman" w:hAnsi="Calibri" w:cs="Times New Roman"/>
                <w:color w:val="000000"/>
                <w:sz w:val="22"/>
              </w:rPr>
              <w:t> </w:t>
            </w:r>
          </w:p>
        </w:tc>
        <w:tc>
          <w:tcPr>
            <w:tcW w:w="2216" w:type="dxa"/>
            <w:tcBorders>
              <w:left w:val="nil"/>
              <w:bottom w:val="nil"/>
              <w:right w:val="nil"/>
            </w:tcBorders>
            <w:shd w:val="clear" w:color="000000" w:fill="FFFFFF"/>
            <w:noWrap/>
            <w:vAlign w:val="bottom"/>
            <w:hideMark/>
          </w:tcPr>
          <w:p w:rsidR="007B5401" w:rsidRPr="007B5401" w:rsidRDefault="007B5401" w:rsidP="007B5401">
            <w:pPr>
              <w:spacing w:line="276" w:lineRule="auto"/>
              <w:jc w:val="right"/>
              <w:rPr>
                <w:rFonts w:ascii="Calibri" w:eastAsia="Times New Roman" w:hAnsi="Calibri" w:cs="Times New Roman"/>
                <w:color w:val="000000"/>
                <w:sz w:val="22"/>
              </w:rPr>
            </w:pPr>
            <w:r w:rsidRPr="007B5401">
              <w:rPr>
                <w:rFonts w:ascii="Calibri" w:eastAsia="Times New Roman" w:hAnsi="Calibri" w:cs="Times New Roman"/>
                <w:color w:val="000000"/>
                <w:sz w:val="22"/>
              </w:rPr>
              <w:t>2.55%</w:t>
            </w:r>
          </w:p>
        </w:tc>
      </w:tr>
      <w:tr w:rsidR="007B5401" w:rsidRPr="007B5401" w:rsidTr="007B5401">
        <w:trPr>
          <w:trHeight w:val="351"/>
        </w:trPr>
        <w:tc>
          <w:tcPr>
            <w:tcW w:w="7418" w:type="dxa"/>
            <w:tcBorders>
              <w:top w:val="nil"/>
              <w:left w:val="nil"/>
              <w:bottom w:val="nil"/>
              <w:right w:val="nil"/>
            </w:tcBorders>
            <w:shd w:val="clear" w:color="000000" w:fill="FFFFFF"/>
            <w:noWrap/>
            <w:vAlign w:val="bottom"/>
          </w:tcPr>
          <w:p w:rsidR="007B5401" w:rsidRPr="007B5401" w:rsidRDefault="007B5401" w:rsidP="007B5401">
            <w:pPr>
              <w:spacing w:line="276" w:lineRule="auto"/>
              <w:ind w:firstLineChars="100" w:firstLine="220"/>
              <w:jc w:val="left"/>
              <w:rPr>
                <w:rFonts w:ascii="Calibri" w:eastAsia="Times New Roman" w:hAnsi="Calibri" w:cs="Times New Roman"/>
                <w:color w:val="000000"/>
                <w:sz w:val="22"/>
              </w:rPr>
            </w:pPr>
            <w:r w:rsidRPr="007B5401">
              <w:rPr>
                <w:rFonts w:ascii="Calibri" w:eastAsia="Times New Roman" w:hAnsi="Calibri" w:cs="Times New Roman"/>
                <w:color w:val="000000"/>
                <w:sz w:val="22"/>
              </w:rPr>
              <w:t>2010-2014</w:t>
            </w:r>
          </w:p>
        </w:tc>
        <w:tc>
          <w:tcPr>
            <w:tcW w:w="411" w:type="dxa"/>
            <w:tcBorders>
              <w:top w:val="nil"/>
              <w:left w:val="nil"/>
              <w:bottom w:val="nil"/>
              <w:right w:val="nil"/>
            </w:tcBorders>
            <w:shd w:val="clear" w:color="000000" w:fill="FFFFFF"/>
            <w:noWrap/>
            <w:vAlign w:val="bottom"/>
          </w:tcPr>
          <w:p w:rsidR="007B5401" w:rsidRPr="007B5401" w:rsidRDefault="007B5401" w:rsidP="007B5401">
            <w:pPr>
              <w:spacing w:line="276" w:lineRule="auto"/>
              <w:jc w:val="left"/>
              <w:rPr>
                <w:rFonts w:ascii="Calibri" w:eastAsia="Times New Roman" w:hAnsi="Calibri" w:cs="Times New Roman"/>
                <w:color w:val="000000"/>
                <w:sz w:val="22"/>
              </w:rPr>
            </w:pPr>
          </w:p>
        </w:tc>
        <w:tc>
          <w:tcPr>
            <w:tcW w:w="2216" w:type="dxa"/>
            <w:tcBorders>
              <w:left w:val="nil"/>
              <w:bottom w:val="nil"/>
              <w:right w:val="nil"/>
            </w:tcBorders>
            <w:shd w:val="clear" w:color="000000" w:fill="FFFFFF"/>
            <w:noWrap/>
            <w:vAlign w:val="bottom"/>
          </w:tcPr>
          <w:p w:rsidR="007B5401" w:rsidRPr="007B5401" w:rsidRDefault="007B5401" w:rsidP="007B5401">
            <w:pPr>
              <w:spacing w:line="276" w:lineRule="auto"/>
              <w:jc w:val="right"/>
              <w:rPr>
                <w:rFonts w:ascii="Calibri" w:eastAsia="Times New Roman" w:hAnsi="Calibri" w:cs="Times New Roman"/>
                <w:color w:val="000000"/>
                <w:sz w:val="22"/>
              </w:rPr>
            </w:pPr>
            <w:r w:rsidRPr="007B5401">
              <w:rPr>
                <w:rFonts w:ascii="Calibri" w:eastAsia="Times New Roman" w:hAnsi="Calibri" w:cs="Times New Roman"/>
                <w:color w:val="000000"/>
                <w:sz w:val="22"/>
              </w:rPr>
              <w:t>3.01%</w:t>
            </w:r>
          </w:p>
        </w:tc>
      </w:tr>
      <w:tr w:rsidR="007B5401" w:rsidRPr="007B5401" w:rsidTr="007B5401">
        <w:trPr>
          <w:trHeight w:val="334"/>
        </w:trPr>
        <w:tc>
          <w:tcPr>
            <w:tcW w:w="7418" w:type="dxa"/>
            <w:tcBorders>
              <w:top w:val="nil"/>
              <w:left w:val="nil"/>
              <w:bottom w:val="nil"/>
              <w:right w:val="nil"/>
            </w:tcBorders>
            <w:shd w:val="clear" w:color="000000" w:fill="FFFFFF"/>
            <w:noWrap/>
            <w:vAlign w:val="bottom"/>
            <w:hideMark/>
          </w:tcPr>
          <w:p w:rsidR="007B5401" w:rsidRPr="007B5401" w:rsidRDefault="007B5401" w:rsidP="007B5401">
            <w:pPr>
              <w:spacing w:line="276" w:lineRule="auto"/>
              <w:ind w:firstLineChars="100" w:firstLine="220"/>
              <w:jc w:val="left"/>
              <w:rPr>
                <w:rFonts w:ascii="Calibri" w:eastAsia="Times New Roman" w:hAnsi="Calibri" w:cs="Times New Roman"/>
                <w:color w:val="000000"/>
                <w:sz w:val="22"/>
              </w:rPr>
            </w:pPr>
            <w:r w:rsidRPr="007B5401">
              <w:rPr>
                <w:rFonts w:ascii="Calibri" w:eastAsia="Times New Roman" w:hAnsi="Calibri" w:cs="Times New Roman"/>
                <w:color w:val="000000"/>
                <w:sz w:val="22"/>
              </w:rPr>
              <w:t>Previous (pre 2010 investments)</w:t>
            </w:r>
          </w:p>
        </w:tc>
        <w:tc>
          <w:tcPr>
            <w:tcW w:w="411" w:type="dxa"/>
            <w:tcBorders>
              <w:top w:val="nil"/>
              <w:left w:val="nil"/>
              <w:bottom w:val="nil"/>
              <w:right w:val="nil"/>
            </w:tcBorders>
            <w:shd w:val="clear" w:color="000000" w:fill="FFFFFF"/>
            <w:noWrap/>
            <w:vAlign w:val="bottom"/>
            <w:hideMark/>
          </w:tcPr>
          <w:p w:rsidR="007B5401" w:rsidRPr="007B5401" w:rsidRDefault="007B5401" w:rsidP="007B5401">
            <w:pPr>
              <w:spacing w:line="276" w:lineRule="auto"/>
              <w:jc w:val="left"/>
              <w:rPr>
                <w:rFonts w:ascii="Calibri" w:eastAsia="Times New Roman" w:hAnsi="Calibri" w:cs="Times New Roman"/>
                <w:color w:val="000000"/>
                <w:sz w:val="22"/>
              </w:rPr>
            </w:pPr>
            <w:r w:rsidRPr="007B5401">
              <w:rPr>
                <w:rFonts w:ascii="Calibri" w:eastAsia="Times New Roman" w:hAnsi="Calibri" w:cs="Times New Roman"/>
                <w:color w:val="000000"/>
                <w:sz w:val="22"/>
              </w:rPr>
              <w:t> </w:t>
            </w:r>
          </w:p>
        </w:tc>
        <w:tc>
          <w:tcPr>
            <w:tcW w:w="2216" w:type="dxa"/>
            <w:tcBorders>
              <w:top w:val="nil"/>
              <w:left w:val="nil"/>
              <w:bottom w:val="nil"/>
              <w:right w:val="nil"/>
            </w:tcBorders>
            <w:shd w:val="clear" w:color="000000" w:fill="FFFFFF"/>
            <w:noWrap/>
            <w:vAlign w:val="bottom"/>
            <w:hideMark/>
          </w:tcPr>
          <w:p w:rsidR="007B5401" w:rsidRPr="007B5401" w:rsidRDefault="007B5401" w:rsidP="007B5401">
            <w:pPr>
              <w:spacing w:line="276" w:lineRule="auto"/>
              <w:jc w:val="right"/>
              <w:rPr>
                <w:rFonts w:ascii="Calibri" w:eastAsia="Times New Roman" w:hAnsi="Calibri" w:cs="Times New Roman"/>
                <w:color w:val="000000"/>
                <w:sz w:val="22"/>
              </w:rPr>
            </w:pPr>
            <w:r w:rsidRPr="007B5401">
              <w:rPr>
                <w:rFonts w:ascii="Calibri" w:eastAsia="Times New Roman" w:hAnsi="Calibri" w:cs="Times New Roman"/>
                <w:color w:val="000000"/>
                <w:sz w:val="22"/>
              </w:rPr>
              <w:t>2.56%</w:t>
            </w:r>
          </w:p>
        </w:tc>
      </w:tr>
    </w:tbl>
    <w:p w:rsidR="007B5401" w:rsidRPr="007B5401" w:rsidRDefault="007B5401" w:rsidP="007B5401">
      <w:pPr>
        <w:numPr>
          <w:ilvl w:val="1"/>
          <w:numId w:val="0"/>
        </w:numPr>
        <w:spacing w:line="276" w:lineRule="auto"/>
        <w:jc w:val="left"/>
        <w:rPr>
          <w:rFonts w:ascii="Cambria" w:eastAsia="Times New Roman" w:hAnsi="Cambria" w:cs="Times New Roman"/>
          <w:i/>
          <w:iCs/>
          <w:color w:val="4F81BD"/>
          <w:spacing w:val="15"/>
          <w:sz w:val="20"/>
          <w:szCs w:val="24"/>
        </w:rPr>
      </w:pPr>
    </w:p>
    <w:p w:rsidR="007B5401" w:rsidRPr="007B5401" w:rsidRDefault="007B5401" w:rsidP="00F24E1C">
      <w:pPr>
        <w:pStyle w:val="Heading3"/>
        <w:rPr>
          <w:rFonts w:eastAsia="Times New Roman"/>
        </w:rPr>
      </w:pPr>
      <w:r w:rsidRPr="007B5401">
        <w:rPr>
          <w:rFonts w:eastAsia="Times New Roman"/>
        </w:rPr>
        <w:t>Baseline and Technical Assumptions</w:t>
      </w:r>
    </w:p>
    <w:p w:rsidR="007B5401" w:rsidRPr="007B5401" w:rsidRDefault="007B5401" w:rsidP="007B5401">
      <w:pPr>
        <w:spacing w:line="276" w:lineRule="auto"/>
        <w:jc w:val="left"/>
        <w:rPr>
          <w:rFonts w:ascii="Calibri" w:eastAsia="Cambria" w:hAnsi="Calibri" w:cs="Times New Roman"/>
          <w:sz w:val="22"/>
          <w:szCs w:val="24"/>
        </w:rPr>
      </w:pPr>
      <w:r w:rsidRPr="007B5401">
        <w:rPr>
          <w:rFonts w:ascii="Calibri" w:eastAsia="Cambria" w:hAnsi="Calibri" w:cs="Times New Roman"/>
          <w:sz w:val="22"/>
          <w:szCs w:val="24"/>
        </w:rPr>
        <w:t>Because the Council will not have a final 7</w:t>
      </w:r>
      <w:r w:rsidRPr="007B5401">
        <w:rPr>
          <w:rFonts w:ascii="Calibri" w:eastAsia="Cambria" w:hAnsi="Calibri" w:cs="Times New Roman"/>
          <w:sz w:val="22"/>
          <w:szCs w:val="24"/>
          <w:vertAlign w:val="superscript"/>
        </w:rPr>
        <w:t>th</w:t>
      </w:r>
      <w:r w:rsidRPr="007B5401">
        <w:rPr>
          <w:rFonts w:ascii="Calibri" w:eastAsia="Cambria" w:hAnsi="Calibri" w:cs="Times New Roman"/>
          <w:sz w:val="22"/>
          <w:szCs w:val="24"/>
        </w:rPr>
        <w:t xml:space="preserve"> Power Plan until the first quarter of 2016, this report uses the 7</w:t>
      </w:r>
      <w:r w:rsidRPr="007B5401">
        <w:rPr>
          <w:rFonts w:ascii="Calibri" w:eastAsia="Cambria" w:hAnsi="Calibri" w:cs="Times New Roman"/>
          <w:sz w:val="22"/>
          <w:szCs w:val="24"/>
          <w:vertAlign w:val="superscript"/>
        </w:rPr>
        <w:t>th</w:t>
      </w:r>
      <w:r w:rsidRPr="007B5401">
        <w:rPr>
          <w:rFonts w:ascii="Calibri" w:eastAsia="Cambria" w:hAnsi="Calibri" w:cs="Times New Roman"/>
          <w:sz w:val="22"/>
          <w:szCs w:val="24"/>
        </w:rPr>
        <w:t xml:space="preserve"> Power Plan baseline and technical assumptions available as of August 12, 2015.  NEEA met with Council staff in June 2015 to align its measures. NEEA will use these assumptions to report actual savings against the targets. </w:t>
      </w:r>
    </w:p>
    <w:p w:rsidR="007B5401" w:rsidRPr="007B5401" w:rsidRDefault="007B5401" w:rsidP="007B5401">
      <w:pPr>
        <w:jc w:val="left"/>
        <w:rPr>
          <w:rFonts w:ascii="Cambria" w:eastAsia="Times New Roman" w:hAnsi="Cambria" w:cs="Times New Roman"/>
          <w:b/>
          <w:bCs/>
          <w:color w:val="365F91"/>
          <w:sz w:val="28"/>
          <w:szCs w:val="28"/>
        </w:rPr>
      </w:pPr>
      <w:r w:rsidRPr="007B5401">
        <w:rPr>
          <w:rFonts w:ascii="Calibri" w:eastAsia="Cambria" w:hAnsi="Calibri" w:cs="Times New Roman"/>
          <w:sz w:val="22"/>
          <w:szCs w:val="24"/>
        </w:rPr>
        <w:br w:type="page"/>
      </w:r>
    </w:p>
    <w:p w:rsidR="007B5401" w:rsidRPr="00F24E1C" w:rsidRDefault="007B5401" w:rsidP="00F24E1C">
      <w:pPr>
        <w:pStyle w:val="Heading3"/>
        <w:rPr>
          <w:rFonts w:eastAsia="Times New Roman"/>
          <w:sz w:val="28"/>
        </w:rPr>
      </w:pPr>
      <w:bookmarkStart w:id="50" w:name="_Appendix_B:_Standards"/>
      <w:bookmarkEnd w:id="50"/>
      <w:r w:rsidRPr="00F24E1C">
        <w:rPr>
          <w:rFonts w:eastAsia="Times New Roman"/>
          <w:sz w:val="28"/>
        </w:rPr>
        <w:t>Appendix B: Standards included in the 7th Power Plan</w:t>
      </w:r>
    </w:p>
    <w:p w:rsidR="007B5401" w:rsidRDefault="007B5401" w:rsidP="00C77B38">
      <w:r w:rsidRPr="007B5401">
        <w:t>Compliance Date of Standards included in the 7</w:t>
      </w:r>
      <w:r w:rsidRPr="007B5401">
        <w:rPr>
          <w:vertAlign w:val="superscript"/>
        </w:rPr>
        <w:t>th</w:t>
      </w:r>
      <w:r w:rsidRPr="007B5401">
        <w:t xml:space="preserve"> Power Plan Load Forecast or Measure Baseline</w:t>
      </w:r>
    </w:p>
    <w:p w:rsidR="00C77B38" w:rsidRPr="007B5401" w:rsidRDefault="00C77B38" w:rsidP="00C77B38"/>
    <w:tbl>
      <w:tblPr>
        <w:tblW w:w="9771" w:type="dxa"/>
        <w:tblInd w:w="93" w:type="dxa"/>
        <w:tblLook w:val="04A0" w:firstRow="1" w:lastRow="0" w:firstColumn="1" w:lastColumn="0" w:noHBand="0" w:noVBand="1"/>
      </w:tblPr>
      <w:tblGrid>
        <w:gridCol w:w="1247"/>
        <w:gridCol w:w="3551"/>
        <w:gridCol w:w="459"/>
        <w:gridCol w:w="459"/>
        <w:gridCol w:w="459"/>
        <w:gridCol w:w="459"/>
        <w:gridCol w:w="459"/>
        <w:gridCol w:w="459"/>
        <w:gridCol w:w="459"/>
        <w:gridCol w:w="459"/>
        <w:gridCol w:w="459"/>
        <w:gridCol w:w="459"/>
        <w:gridCol w:w="459"/>
      </w:tblGrid>
      <w:tr w:rsidR="007B5401" w:rsidRPr="007B5401" w:rsidTr="007B5401">
        <w:trPr>
          <w:trHeight w:val="953"/>
        </w:trPr>
        <w:tc>
          <w:tcPr>
            <w:tcW w:w="1247" w:type="dxa"/>
            <w:tcBorders>
              <w:top w:val="single" w:sz="4" w:space="0" w:color="auto"/>
              <w:left w:val="single" w:sz="4" w:space="0" w:color="auto"/>
              <w:bottom w:val="nil"/>
              <w:right w:val="single" w:sz="4" w:space="0" w:color="auto"/>
            </w:tcBorders>
            <w:shd w:val="clear" w:color="000000" w:fill="BFBFBF"/>
            <w:vAlign w:val="center"/>
            <w:hideMark/>
          </w:tcPr>
          <w:p w:rsidR="007B5401" w:rsidRPr="007B5401" w:rsidRDefault="007B5401" w:rsidP="007B5401">
            <w:pPr>
              <w:jc w:val="center"/>
              <w:rPr>
                <w:rFonts w:ascii="Arial" w:eastAsia="Times New Roman" w:hAnsi="Arial" w:cs="Arial"/>
                <w:b/>
                <w:bCs/>
                <w:color w:val="000000"/>
                <w:sz w:val="18"/>
                <w:szCs w:val="18"/>
              </w:rPr>
            </w:pPr>
            <w:r w:rsidRPr="007B5401">
              <w:rPr>
                <w:rFonts w:ascii="Arial" w:eastAsia="Times New Roman" w:hAnsi="Arial" w:cs="Arial"/>
                <w:b/>
                <w:bCs/>
                <w:color w:val="000000"/>
                <w:sz w:val="18"/>
                <w:szCs w:val="18"/>
              </w:rPr>
              <w:t>Sector</w:t>
            </w:r>
          </w:p>
        </w:tc>
        <w:tc>
          <w:tcPr>
            <w:tcW w:w="3551" w:type="dxa"/>
            <w:tcBorders>
              <w:top w:val="single" w:sz="4" w:space="0" w:color="auto"/>
              <w:left w:val="nil"/>
              <w:bottom w:val="nil"/>
              <w:right w:val="single" w:sz="4" w:space="0" w:color="auto"/>
            </w:tcBorders>
            <w:shd w:val="clear" w:color="000000" w:fill="BFBFBF"/>
            <w:vAlign w:val="center"/>
            <w:hideMark/>
          </w:tcPr>
          <w:p w:rsidR="007B5401" w:rsidRPr="007B5401" w:rsidRDefault="007B5401" w:rsidP="007B5401">
            <w:pPr>
              <w:jc w:val="center"/>
              <w:rPr>
                <w:rFonts w:ascii="Arial" w:eastAsia="Times New Roman" w:hAnsi="Arial" w:cs="Arial"/>
                <w:b/>
                <w:bCs/>
                <w:color w:val="000000"/>
                <w:sz w:val="18"/>
                <w:szCs w:val="18"/>
              </w:rPr>
            </w:pPr>
            <w:r w:rsidRPr="007B5401">
              <w:rPr>
                <w:rFonts w:ascii="Arial" w:eastAsia="Times New Roman" w:hAnsi="Arial" w:cs="Arial"/>
                <w:b/>
                <w:bCs/>
                <w:color w:val="000000"/>
                <w:sz w:val="18"/>
                <w:szCs w:val="18"/>
              </w:rPr>
              <w:t>Product Regulated</w:t>
            </w:r>
          </w:p>
        </w:tc>
        <w:tc>
          <w:tcPr>
            <w:tcW w:w="453" w:type="dxa"/>
            <w:tcBorders>
              <w:top w:val="single" w:sz="4" w:space="0" w:color="auto"/>
              <w:left w:val="nil"/>
              <w:bottom w:val="nil"/>
              <w:right w:val="single" w:sz="4" w:space="0" w:color="auto"/>
            </w:tcBorders>
            <w:shd w:val="clear" w:color="000000" w:fill="BFBFBF"/>
            <w:textDirection w:val="btLr"/>
            <w:vAlign w:val="center"/>
            <w:hideMark/>
          </w:tcPr>
          <w:p w:rsidR="007B5401" w:rsidRPr="007B5401" w:rsidRDefault="007B5401" w:rsidP="007B5401">
            <w:pPr>
              <w:jc w:val="center"/>
              <w:rPr>
                <w:rFonts w:ascii="Arial" w:eastAsia="Times New Roman" w:hAnsi="Arial" w:cs="Arial"/>
                <w:b/>
                <w:bCs/>
                <w:color w:val="000000"/>
                <w:sz w:val="20"/>
                <w:szCs w:val="20"/>
              </w:rPr>
            </w:pPr>
            <w:r w:rsidRPr="007B5401">
              <w:rPr>
                <w:rFonts w:ascii="Arial" w:eastAsia="Times New Roman" w:hAnsi="Arial" w:cs="Arial"/>
                <w:b/>
                <w:bCs/>
                <w:color w:val="000000"/>
                <w:sz w:val="20"/>
                <w:szCs w:val="20"/>
              </w:rPr>
              <w:t>2010</w:t>
            </w:r>
          </w:p>
        </w:tc>
        <w:tc>
          <w:tcPr>
            <w:tcW w:w="452" w:type="dxa"/>
            <w:tcBorders>
              <w:top w:val="single" w:sz="4" w:space="0" w:color="auto"/>
              <w:left w:val="nil"/>
              <w:bottom w:val="nil"/>
              <w:right w:val="single" w:sz="4" w:space="0" w:color="auto"/>
            </w:tcBorders>
            <w:shd w:val="clear" w:color="000000" w:fill="BFBFBF"/>
            <w:textDirection w:val="btLr"/>
            <w:vAlign w:val="center"/>
            <w:hideMark/>
          </w:tcPr>
          <w:p w:rsidR="007B5401" w:rsidRPr="007B5401" w:rsidRDefault="007B5401" w:rsidP="007B5401">
            <w:pPr>
              <w:jc w:val="center"/>
              <w:rPr>
                <w:rFonts w:ascii="Arial" w:eastAsia="Times New Roman" w:hAnsi="Arial" w:cs="Arial"/>
                <w:b/>
                <w:bCs/>
                <w:color w:val="000000"/>
                <w:sz w:val="20"/>
                <w:szCs w:val="20"/>
              </w:rPr>
            </w:pPr>
            <w:r w:rsidRPr="007B5401">
              <w:rPr>
                <w:rFonts w:ascii="Arial" w:eastAsia="Times New Roman" w:hAnsi="Arial" w:cs="Arial"/>
                <w:b/>
                <w:bCs/>
                <w:color w:val="000000"/>
                <w:sz w:val="20"/>
                <w:szCs w:val="20"/>
              </w:rPr>
              <w:t>2011</w:t>
            </w:r>
          </w:p>
        </w:tc>
        <w:tc>
          <w:tcPr>
            <w:tcW w:w="452" w:type="dxa"/>
            <w:tcBorders>
              <w:top w:val="single" w:sz="4" w:space="0" w:color="auto"/>
              <w:left w:val="nil"/>
              <w:bottom w:val="nil"/>
              <w:right w:val="single" w:sz="4" w:space="0" w:color="auto"/>
            </w:tcBorders>
            <w:shd w:val="clear" w:color="000000" w:fill="BFBFBF"/>
            <w:textDirection w:val="btLr"/>
            <w:vAlign w:val="center"/>
            <w:hideMark/>
          </w:tcPr>
          <w:p w:rsidR="007B5401" w:rsidRPr="007B5401" w:rsidRDefault="007B5401" w:rsidP="007B5401">
            <w:pPr>
              <w:jc w:val="center"/>
              <w:rPr>
                <w:rFonts w:ascii="Arial" w:eastAsia="Times New Roman" w:hAnsi="Arial" w:cs="Arial"/>
                <w:b/>
                <w:bCs/>
                <w:color w:val="000000"/>
                <w:sz w:val="20"/>
                <w:szCs w:val="20"/>
              </w:rPr>
            </w:pPr>
            <w:r w:rsidRPr="007B5401">
              <w:rPr>
                <w:rFonts w:ascii="Arial" w:eastAsia="Times New Roman" w:hAnsi="Arial" w:cs="Arial"/>
                <w:b/>
                <w:bCs/>
                <w:color w:val="000000"/>
                <w:sz w:val="20"/>
                <w:szCs w:val="20"/>
              </w:rPr>
              <w:t>2012</w:t>
            </w:r>
          </w:p>
        </w:tc>
        <w:tc>
          <w:tcPr>
            <w:tcW w:w="452" w:type="dxa"/>
            <w:tcBorders>
              <w:top w:val="single" w:sz="4" w:space="0" w:color="auto"/>
              <w:left w:val="nil"/>
              <w:bottom w:val="nil"/>
              <w:right w:val="single" w:sz="4" w:space="0" w:color="auto"/>
            </w:tcBorders>
            <w:shd w:val="clear" w:color="000000" w:fill="BFBFBF"/>
            <w:noWrap/>
            <w:textDirection w:val="btLr"/>
            <w:vAlign w:val="center"/>
            <w:hideMark/>
          </w:tcPr>
          <w:p w:rsidR="007B5401" w:rsidRPr="007B5401" w:rsidRDefault="007B5401" w:rsidP="007B5401">
            <w:pPr>
              <w:jc w:val="center"/>
              <w:rPr>
                <w:rFonts w:ascii="Arial" w:eastAsia="Times New Roman" w:hAnsi="Arial" w:cs="Arial"/>
                <w:b/>
                <w:bCs/>
                <w:color w:val="000000"/>
                <w:sz w:val="20"/>
                <w:szCs w:val="20"/>
              </w:rPr>
            </w:pPr>
            <w:r w:rsidRPr="007B5401">
              <w:rPr>
                <w:rFonts w:ascii="Arial" w:eastAsia="Times New Roman" w:hAnsi="Arial" w:cs="Arial"/>
                <w:b/>
                <w:bCs/>
                <w:color w:val="000000"/>
                <w:sz w:val="20"/>
                <w:szCs w:val="20"/>
              </w:rPr>
              <w:t>2013</w:t>
            </w:r>
          </w:p>
        </w:tc>
        <w:tc>
          <w:tcPr>
            <w:tcW w:w="452" w:type="dxa"/>
            <w:tcBorders>
              <w:top w:val="single" w:sz="4" w:space="0" w:color="auto"/>
              <w:left w:val="nil"/>
              <w:bottom w:val="nil"/>
              <w:right w:val="single" w:sz="4" w:space="0" w:color="auto"/>
            </w:tcBorders>
            <w:shd w:val="clear" w:color="000000" w:fill="BFBFBF"/>
            <w:noWrap/>
            <w:textDirection w:val="btLr"/>
            <w:vAlign w:val="center"/>
            <w:hideMark/>
          </w:tcPr>
          <w:p w:rsidR="007B5401" w:rsidRPr="007B5401" w:rsidRDefault="007B5401" w:rsidP="007B5401">
            <w:pPr>
              <w:jc w:val="center"/>
              <w:rPr>
                <w:rFonts w:ascii="Arial" w:eastAsia="Times New Roman" w:hAnsi="Arial" w:cs="Arial"/>
                <w:b/>
                <w:bCs/>
                <w:color w:val="000000"/>
                <w:sz w:val="20"/>
                <w:szCs w:val="20"/>
              </w:rPr>
            </w:pPr>
            <w:r w:rsidRPr="007B5401">
              <w:rPr>
                <w:rFonts w:ascii="Arial" w:eastAsia="Times New Roman" w:hAnsi="Arial" w:cs="Arial"/>
                <w:b/>
                <w:bCs/>
                <w:color w:val="000000"/>
                <w:sz w:val="20"/>
                <w:szCs w:val="20"/>
              </w:rPr>
              <w:t>2014</w:t>
            </w:r>
          </w:p>
        </w:tc>
        <w:tc>
          <w:tcPr>
            <w:tcW w:w="452" w:type="dxa"/>
            <w:tcBorders>
              <w:top w:val="single" w:sz="4" w:space="0" w:color="auto"/>
              <w:left w:val="nil"/>
              <w:bottom w:val="nil"/>
              <w:right w:val="single" w:sz="4" w:space="0" w:color="auto"/>
            </w:tcBorders>
            <w:shd w:val="clear" w:color="000000" w:fill="BFBFBF"/>
            <w:noWrap/>
            <w:textDirection w:val="btLr"/>
            <w:vAlign w:val="center"/>
            <w:hideMark/>
          </w:tcPr>
          <w:p w:rsidR="007B5401" w:rsidRPr="007B5401" w:rsidRDefault="007B5401" w:rsidP="007B5401">
            <w:pPr>
              <w:jc w:val="center"/>
              <w:rPr>
                <w:rFonts w:ascii="Arial" w:eastAsia="Times New Roman" w:hAnsi="Arial" w:cs="Arial"/>
                <w:b/>
                <w:bCs/>
                <w:color w:val="000000"/>
                <w:sz w:val="20"/>
                <w:szCs w:val="20"/>
              </w:rPr>
            </w:pPr>
            <w:r w:rsidRPr="007B5401">
              <w:rPr>
                <w:rFonts w:ascii="Arial" w:eastAsia="Times New Roman" w:hAnsi="Arial" w:cs="Arial"/>
                <w:b/>
                <w:bCs/>
                <w:color w:val="000000"/>
                <w:sz w:val="20"/>
                <w:szCs w:val="20"/>
              </w:rPr>
              <w:t>2015</w:t>
            </w:r>
          </w:p>
        </w:tc>
        <w:tc>
          <w:tcPr>
            <w:tcW w:w="452" w:type="dxa"/>
            <w:tcBorders>
              <w:top w:val="single" w:sz="4" w:space="0" w:color="auto"/>
              <w:left w:val="nil"/>
              <w:bottom w:val="nil"/>
              <w:right w:val="single" w:sz="4" w:space="0" w:color="auto"/>
            </w:tcBorders>
            <w:shd w:val="clear" w:color="000000" w:fill="BFBFBF"/>
            <w:noWrap/>
            <w:textDirection w:val="btLr"/>
            <w:vAlign w:val="center"/>
            <w:hideMark/>
          </w:tcPr>
          <w:p w:rsidR="007B5401" w:rsidRPr="007B5401" w:rsidRDefault="007B5401" w:rsidP="007B5401">
            <w:pPr>
              <w:jc w:val="center"/>
              <w:rPr>
                <w:rFonts w:ascii="Arial" w:eastAsia="Times New Roman" w:hAnsi="Arial" w:cs="Arial"/>
                <w:b/>
                <w:bCs/>
                <w:color w:val="000000"/>
                <w:sz w:val="20"/>
                <w:szCs w:val="20"/>
              </w:rPr>
            </w:pPr>
            <w:r w:rsidRPr="007B5401">
              <w:rPr>
                <w:rFonts w:ascii="Arial" w:eastAsia="Times New Roman" w:hAnsi="Arial" w:cs="Arial"/>
                <w:b/>
                <w:bCs/>
                <w:color w:val="000000"/>
                <w:sz w:val="20"/>
                <w:szCs w:val="20"/>
              </w:rPr>
              <w:t>2016</w:t>
            </w:r>
          </w:p>
        </w:tc>
        <w:tc>
          <w:tcPr>
            <w:tcW w:w="452" w:type="dxa"/>
            <w:tcBorders>
              <w:top w:val="single" w:sz="4" w:space="0" w:color="auto"/>
              <w:left w:val="nil"/>
              <w:bottom w:val="nil"/>
              <w:right w:val="single" w:sz="4" w:space="0" w:color="auto"/>
            </w:tcBorders>
            <w:shd w:val="clear" w:color="000000" w:fill="BFBFBF"/>
            <w:noWrap/>
            <w:textDirection w:val="btLr"/>
            <w:vAlign w:val="center"/>
            <w:hideMark/>
          </w:tcPr>
          <w:p w:rsidR="007B5401" w:rsidRPr="007B5401" w:rsidRDefault="007B5401" w:rsidP="007B5401">
            <w:pPr>
              <w:jc w:val="center"/>
              <w:rPr>
                <w:rFonts w:ascii="Arial" w:eastAsia="Times New Roman" w:hAnsi="Arial" w:cs="Arial"/>
                <w:b/>
                <w:bCs/>
                <w:color w:val="000000"/>
                <w:sz w:val="20"/>
                <w:szCs w:val="20"/>
              </w:rPr>
            </w:pPr>
            <w:r w:rsidRPr="007B5401">
              <w:rPr>
                <w:rFonts w:ascii="Arial" w:eastAsia="Times New Roman" w:hAnsi="Arial" w:cs="Arial"/>
                <w:b/>
                <w:bCs/>
                <w:color w:val="000000"/>
                <w:sz w:val="20"/>
                <w:szCs w:val="20"/>
              </w:rPr>
              <w:t>2017</w:t>
            </w:r>
          </w:p>
        </w:tc>
        <w:tc>
          <w:tcPr>
            <w:tcW w:w="452" w:type="dxa"/>
            <w:tcBorders>
              <w:top w:val="single" w:sz="4" w:space="0" w:color="auto"/>
              <w:left w:val="nil"/>
              <w:bottom w:val="nil"/>
              <w:right w:val="single" w:sz="4" w:space="0" w:color="auto"/>
            </w:tcBorders>
            <w:shd w:val="clear" w:color="000000" w:fill="BFBFBF"/>
            <w:noWrap/>
            <w:textDirection w:val="btLr"/>
            <w:vAlign w:val="center"/>
            <w:hideMark/>
          </w:tcPr>
          <w:p w:rsidR="007B5401" w:rsidRPr="007B5401" w:rsidRDefault="007B5401" w:rsidP="007B5401">
            <w:pPr>
              <w:jc w:val="center"/>
              <w:rPr>
                <w:rFonts w:ascii="Arial" w:eastAsia="Times New Roman" w:hAnsi="Arial" w:cs="Arial"/>
                <w:b/>
                <w:bCs/>
                <w:color w:val="000000"/>
                <w:sz w:val="20"/>
                <w:szCs w:val="20"/>
              </w:rPr>
            </w:pPr>
            <w:r w:rsidRPr="007B5401">
              <w:rPr>
                <w:rFonts w:ascii="Arial" w:eastAsia="Times New Roman" w:hAnsi="Arial" w:cs="Arial"/>
                <w:b/>
                <w:bCs/>
                <w:color w:val="000000"/>
                <w:sz w:val="20"/>
                <w:szCs w:val="20"/>
              </w:rPr>
              <w:t>2018</w:t>
            </w:r>
          </w:p>
        </w:tc>
        <w:tc>
          <w:tcPr>
            <w:tcW w:w="452" w:type="dxa"/>
            <w:tcBorders>
              <w:top w:val="single" w:sz="4" w:space="0" w:color="auto"/>
              <w:left w:val="nil"/>
              <w:bottom w:val="nil"/>
              <w:right w:val="single" w:sz="4" w:space="0" w:color="auto"/>
            </w:tcBorders>
            <w:shd w:val="clear" w:color="000000" w:fill="BFBFBF"/>
            <w:noWrap/>
            <w:textDirection w:val="btLr"/>
            <w:vAlign w:val="center"/>
            <w:hideMark/>
          </w:tcPr>
          <w:p w:rsidR="007B5401" w:rsidRPr="007B5401" w:rsidRDefault="007B5401" w:rsidP="007B5401">
            <w:pPr>
              <w:jc w:val="center"/>
              <w:rPr>
                <w:rFonts w:ascii="Arial" w:eastAsia="Times New Roman" w:hAnsi="Arial" w:cs="Arial"/>
                <w:b/>
                <w:bCs/>
                <w:color w:val="000000"/>
                <w:sz w:val="20"/>
                <w:szCs w:val="20"/>
              </w:rPr>
            </w:pPr>
            <w:r w:rsidRPr="007B5401">
              <w:rPr>
                <w:rFonts w:ascii="Arial" w:eastAsia="Times New Roman" w:hAnsi="Arial" w:cs="Arial"/>
                <w:b/>
                <w:bCs/>
                <w:color w:val="000000"/>
                <w:sz w:val="20"/>
                <w:szCs w:val="20"/>
              </w:rPr>
              <w:t>2019</w:t>
            </w:r>
          </w:p>
        </w:tc>
        <w:tc>
          <w:tcPr>
            <w:tcW w:w="452" w:type="dxa"/>
            <w:tcBorders>
              <w:top w:val="single" w:sz="4" w:space="0" w:color="auto"/>
              <w:left w:val="nil"/>
              <w:bottom w:val="nil"/>
              <w:right w:val="single" w:sz="4" w:space="0" w:color="auto"/>
            </w:tcBorders>
            <w:shd w:val="clear" w:color="000000" w:fill="BFBFBF"/>
            <w:noWrap/>
            <w:textDirection w:val="btLr"/>
            <w:vAlign w:val="center"/>
            <w:hideMark/>
          </w:tcPr>
          <w:p w:rsidR="007B5401" w:rsidRPr="007B5401" w:rsidRDefault="007B5401" w:rsidP="007B5401">
            <w:pPr>
              <w:jc w:val="center"/>
              <w:rPr>
                <w:rFonts w:ascii="Arial" w:eastAsia="Times New Roman" w:hAnsi="Arial" w:cs="Arial"/>
                <w:b/>
                <w:bCs/>
                <w:color w:val="000000"/>
                <w:sz w:val="20"/>
                <w:szCs w:val="20"/>
              </w:rPr>
            </w:pPr>
            <w:r w:rsidRPr="007B5401">
              <w:rPr>
                <w:rFonts w:ascii="Arial" w:eastAsia="Times New Roman" w:hAnsi="Arial" w:cs="Arial"/>
                <w:b/>
                <w:bCs/>
                <w:color w:val="000000"/>
                <w:sz w:val="20"/>
                <w:szCs w:val="20"/>
              </w:rPr>
              <w:t>2020</w:t>
            </w:r>
          </w:p>
        </w:tc>
      </w:tr>
      <w:tr w:rsidR="007B5401" w:rsidRPr="007B5401" w:rsidTr="007B5401">
        <w:trPr>
          <w:trHeight w:val="255"/>
        </w:trPr>
        <w:tc>
          <w:tcPr>
            <w:tcW w:w="1247" w:type="dxa"/>
            <w:vMerge w:val="restart"/>
            <w:tcBorders>
              <w:top w:val="single" w:sz="4" w:space="0" w:color="auto"/>
              <w:left w:val="single" w:sz="4" w:space="0" w:color="auto"/>
              <w:bottom w:val="nil"/>
              <w:right w:val="single" w:sz="4" w:space="0" w:color="auto"/>
            </w:tcBorders>
            <w:shd w:val="clear" w:color="auto" w:fill="auto"/>
            <w:vAlign w:val="center"/>
            <w:hideMark/>
          </w:tcPr>
          <w:p w:rsidR="007B5401" w:rsidRPr="007B5401" w:rsidRDefault="007B5401" w:rsidP="007B5401">
            <w:pPr>
              <w:jc w:val="center"/>
              <w:rPr>
                <w:rFonts w:ascii="Arial" w:eastAsia="Times New Roman" w:hAnsi="Arial" w:cs="Arial"/>
                <w:color w:val="000000"/>
                <w:sz w:val="18"/>
                <w:szCs w:val="18"/>
              </w:rPr>
            </w:pPr>
            <w:r w:rsidRPr="007B5401">
              <w:rPr>
                <w:rFonts w:ascii="Arial" w:eastAsia="Times New Roman" w:hAnsi="Arial" w:cs="Arial"/>
                <w:color w:val="000000"/>
                <w:sz w:val="18"/>
                <w:szCs w:val="18"/>
              </w:rPr>
              <w:t>All</w:t>
            </w:r>
          </w:p>
        </w:tc>
        <w:tc>
          <w:tcPr>
            <w:tcW w:w="3551" w:type="dxa"/>
            <w:tcBorders>
              <w:top w:val="single" w:sz="4" w:space="0" w:color="auto"/>
              <w:left w:val="nil"/>
              <w:bottom w:val="nil"/>
              <w:right w:val="nil"/>
            </w:tcBorders>
            <w:shd w:val="clear" w:color="auto" w:fill="auto"/>
            <w:hideMark/>
          </w:tcPr>
          <w:p w:rsidR="007B5401" w:rsidRPr="007B5401" w:rsidRDefault="007B5401" w:rsidP="007B5401">
            <w:pPr>
              <w:jc w:val="left"/>
              <w:rPr>
                <w:rFonts w:ascii="Arial" w:eastAsia="Times New Roman" w:hAnsi="Arial" w:cs="Arial"/>
                <w:b/>
                <w:color w:val="000000"/>
                <w:sz w:val="18"/>
                <w:szCs w:val="18"/>
              </w:rPr>
            </w:pPr>
            <w:r w:rsidRPr="007B5401">
              <w:rPr>
                <w:rFonts w:ascii="Arial" w:eastAsia="Times New Roman" w:hAnsi="Arial" w:cs="Arial"/>
                <w:b/>
                <w:color w:val="000000"/>
                <w:sz w:val="18"/>
                <w:szCs w:val="18"/>
              </w:rPr>
              <w:t>Battery Charger Systems</w:t>
            </w:r>
          </w:p>
        </w:tc>
        <w:tc>
          <w:tcPr>
            <w:tcW w:w="453" w:type="dxa"/>
            <w:tcBorders>
              <w:top w:val="single" w:sz="4" w:space="0" w:color="auto"/>
              <w:left w:val="single" w:sz="4" w:space="0" w:color="auto"/>
              <w:bottom w:val="nil"/>
              <w:right w:val="nil"/>
            </w:tcBorders>
            <w:shd w:val="clear" w:color="auto" w:fill="auto"/>
            <w:hideMark/>
          </w:tcPr>
          <w:p w:rsidR="007B5401" w:rsidRPr="007B5401" w:rsidRDefault="007B5401" w:rsidP="007B5401">
            <w:pPr>
              <w:jc w:val="left"/>
              <w:rPr>
                <w:rFonts w:ascii="Arial" w:eastAsia="Times New Roman" w:hAnsi="Arial" w:cs="Arial"/>
                <w:b/>
                <w:color w:val="000000"/>
                <w:sz w:val="18"/>
                <w:szCs w:val="18"/>
              </w:rPr>
            </w:pPr>
            <w:r w:rsidRPr="007B5401">
              <w:rPr>
                <w:rFonts w:ascii="Arial" w:eastAsia="Times New Roman" w:hAnsi="Arial" w:cs="Arial"/>
                <w:b/>
                <w:color w:val="000000"/>
                <w:sz w:val="18"/>
                <w:szCs w:val="18"/>
              </w:rPr>
              <w:t> </w:t>
            </w:r>
          </w:p>
        </w:tc>
        <w:tc>
          <w:tcPr>
            <w:tcW w:w="452" w:type="dxa"/>
            <w:tcBorders>
              <w:top w:val="single" w:sz="4" w:space="0" w:color="auto"/>
              <w:left w:val="single" w:sz="4" w:space="0" w:color="auto"/>
              <w:bottom w:val="nil"/>
              <w:right w:val="nil"/>
            </w:tcBorders>
            <w:shd w:val="clear" w:color="auto" w:fill="auto"/>
            <w:hideMark/>
          </w:tcPr>
          <w:p w:rsidR="007B5401" w:rsidRPr="007B5401" w:rsidRDefault="007B5401" w:rsidP="007B5401">
            <w:pPr>
              <w:jc w:val="left"/>
              <w:rPr>
                <w:rFonts w:ascii="Arial" w:eastAsia="Times New Roman" w:hAnsi="Arial" w:cs="Arial"/>
                <w:b/>
                <w:color w:val="000000"/>
                <w:sz w:val="18"/>
                <w:szCs w:val="18"/>
              </w:rPr>
            </w:pPr>
            <w:r w:rsidRPr="007B5401">
              <w:rPr>
                <w:rFonts w:ascii="Arial" w:eastAsia="Times New Roman" w:hAnsi="Arial" w:cs="Arial"/>
                <w:b/>
                <w:color w:val="000000"/>
                <w:sz w:val="18"/>
                <w:szCs w:val="18"/>
              </w:rPr>
              <w:t> </w:t>
            </w:r>
          </w:p>
        </w:tc>
        <w:tc>
          <w:tcPr>
            <w:tcW w:w="452" w:type="dxa"/>
            <w:tcBorders>
              <w:top w:val="single" w:sz="4" w:space="0" w:color="auto"/>
              <w:left w:val="single" w:sz="4" w:space="0" w:color="auto"/>
              <w:bottom w:val="nil"/>
              <w:right w:val="single" w:sz="4" w:space="0" w:color="auto"/>
            </w:tcBorders>
            <w:shd w:val="clear" w:color="auto" w:fill="auto"/>
            <w:noWrap/>
            <w:vAlign w:val="bottom"/>
            <w:hideMark/>
          </w:tcPr>
          <w:p w:rsidR="007B5401" w:rsidRPr="007B5401" w:rsidRDefault="007B5401" w:rsidP="007B5401">
            <w:pPr>
              <w:jc w:val="left"/>
              <w:rPr>
                <w:rFonts w:ascii="Arial" w:eastAsia="Times New Roman" w:hAnsi="Arial" w:cs="Arial"/>
                <w:b/>
                <w:color w:val="000000"/>
                <w:sz w:val="18"/>
                <w:szCs w:val="18"/>
              </w:rPr>
            </w:pPr>
            <w:r w:rsidRPr="007B5401">
              <w:rPr>
                <w:rFonts w:ascii="Arial" w:eastAsia="Times New Roman" w:hAnsi="Arial" w:cs="Arial"/>
                <w:b/>
                <w:color w:val="000000"/>
                <w:sz w:val="18"/>
                <w:szCs w:val="18"/>
              </w:rPr>
              <w:t> </w:t>
            </w:r>
          </w:p>
        </w:tc>
        <w:tc>
          <w:tcPr>
            <w:tcW w:w="452" w:type="dxa"/>
            <w:tcBorders>
              <w:top w:val="single" w:sz="4" w:space="0" w:color="auto"/>
              <w:left w:val="nil"/>
              <w:bottom w:val="nil"/>
              <w:right w:val="single" w:sz="4" w:space="0" w:color="auto"/>
            </w:tcBorders>
            <w:shd w:val="clear" w:color="auto" w:fill="auto"/>
            <w:noWrap/>
            <w:vAlign w:val="bottom"/>
            <w:hideMark/>
          </w:tcPr>
          <w:p w:rsidR="007B5401" w:rsidRPr="007B5401" w:rsidRDefault="007B5401" w:rsidP="007B5401">
            <w:pPr>
              <w:jc w:val="left"/>
              <w:rPr>
                <w:rFonts w:ascii="Arial" w:eastAsia="Times New Roman" w:hAnsi="Arial" w:cs="Arial"/>
                <w:b/>
                <w:color w:val="000000"/>
                <w:sz w:val="20"/>
                <w:szCs w:val="20"/>
              </w:rPr>
            </w:pPr>
            <w:r w:rsidRPr="007B5401">
              <w:rPr>
                <w:rFonts w:ascii="Arial" w:eastAsia="Times New Roman" w:hAnsi="Arial" w:cs="Arial"/>
                <w:b/>
                <w:color w:val="000000"/>
                <w:sz w:val="20"/>
                <w:szCs w:val="20"/>
              </w:rPr>
              <w:t> </w:t>
            </w:r>
          </w:p>
        </w:tc>
        <w:tc>
          <w:tcPr>
            <w:tcW w:w="452" w:type="dxa"/>
            <w:tcBorders>
              <w:top w:val="single" w:sz="4" w:space="0" w:color="auto"/>
              <w:left w:val="nil"/>
              <w:bottom w:val="nil"/>
              <w:right w:val="single" w:sz="4" w:space="0" w:color="auto"/>
            </w:tcBorders>
            <w:shd w:val="clear" w:color="auto" w:fill="auto"/>
            <w:hideMark/>
          </w:tcPr>
          <w:p w:rsidR="007B5401" w:rsidRPr="007B5401" w:rsidRDefault="007B5401" w:rsidP="007B5401">
            <w:pPr>
              <w:jc w:val="center"/>
              <w:rPr>
                <w:rFonts w:ascii="Wingdings 2" w:eastAsia="Times New Roman" w:hAnsi="Wingdings 2" w:cs="Arial"/>
                <w:b/>
                <w:color w:val="000000"/>
                <w:sz w:val="18"/>
                <w:szCs w:val="18"/>
              </w:rPr>
            </w:pPr>
            <w:r w:rsidRPr="007B5401">
              <w:rPr>
                <w:rFonts w:ascii="Wingdings 2" w:eastAsia="Times New Roman" w:hAnsi="Wingdings 2" w:cs="Arial"/>
                <w:b/>
                <w:color w:val="000000"/>
                <w:sz w:val="18"/>
                <w:szCs w:val="18"/>
              </w:rPr>
              <w:t></w:t>
            </w:r>
          </w:p>
        </w:tc>
        <w:tc>
          <w:tcPr>
            <w:tcW w:w="452" w:type="dxa"/>
            <w:tcBorders>
              <w:top w:val="single" w:sz="4" w:space="0" w:color="auto"/>
              <w:left w:val="nil"/>
              <w:bottom w:val="nil"/>
              <w:right w:val="single" w:sz="4" w:space="0" w:color="auto"/>
            </w:tcBorders>
            <w:shd w:val="clear" w:color="auto" w:fill="auto"/>
            <w:noWrap/>
            <w:vAlign w:val="bottom"/>
            <w:hideMark/>
          </w:tcPr>
          <w:p w:rsidR="007B5401" w:rsidRPr="007B5401" w:rsidRDefault="007B5401" w:rsidP="007B5401">
            <w:pPr>
              <w:jc w:val="left"/>
              <w:rPr>
                <w:rFonts w:ascii="Arial" w:eastAsia="Times New Roman" w:hAnsi="Arial" w:cs="Arial"/>
                <w:b/>
                <w:color w:val="000000"/>
                <w:sz w:val="20"/>
                <w:szCs w:val="20"/>
              </w:rPr>
            </w:pPr>
            <w:r w:rsidRPr="007B5401">
              <w:rPr>
                <w:rFonts w:ascii="Arial" w:eastAsia="Times New Roman" w:hAnsi="Arial" w:cs="Arial"/>
                <w:b/>
                <w:color w:val="000000"/>
                <w:sz w:val="20"/>
                <w:szCs w:val="20"/>
              </w:rPr>
              <w:t> </w:t>
            </w:r>
          </w:p>
        </w:tc>
        <w:tc>
          <w:tcPr>
            <w:tcW w:w="452" w:type="dxa"/>
            <w:tcBorders>
              <w:top w:val="single" w:sz="4" w:space="0" w:color="auto"/>
              <w:left w:val="nil"/>
              <w:bottom w:val="nil"/>
              <w:right w:val="single" w:sz="4" w:space="0" w:color="auto"/>
            </w:tcBorders>
            <w:shd w:val="clear" w:color="auto" w:fill="auto"/>
            <w:noWrap/>
            <w:vAlign w:val="bottom"/>
            <w:hideMark/>
          </w:tcPr>
          <w:p w:rsidR="007B5401" w:rsidRPr="007B5401" w:rsidRDefault="007B5401" w:rsidP="007B5401">
            <w:pPr>
              <w:jc w:val="left"/>
              <w:rPr>
                <w:rFonts w:ascii="Arial" w:eastAsia="Times New Roman" w:hAnsi="Arial" w:cs="Arial"/>
                <w:b/>
                <w:color w:val="000000"/>
                <w:sz w:val="20"/>
                <w:szCs w:val="20"/>
              </w:rPr>
            </w:pPr>
            <w:r w:rsidRPr="007B5401">
              <w:rPr>
                <w:rFonts w:ascii="Arial" w:eastAsia="Times New Roman" w:hAnsi="Arial" w:cs="Arial"/>
                <w:b/>
                <w:color w:val="000000"/>
                <w:sz w:val="20"/>
                <w:szCs w:val="20"/>
              </w:rPr>
              <w:t> </w:t>
            </w:r>
          </w:p>
        </w:tc>
        <w:tc>
          <w:tcPr>
            <w:tcW w:w="452" w:type="dxa"/>
            <w:tcBorders>
              <w:top w:val="single" w:sz="4" w:space="0" w:color="auto"/>
              <w:left w:val="nil"/>
              <w:bottom w:val="nil"/>
              <w:right w:val="single" w:sz="4" w:space="0" w:color="auto"/>
            </w:tcBorders>
            <w:shd w:val="clear" w:color="auto" w:fill="auto"/>
            <w:noWrap/>
            <w:vAlign w:val="bottom"/>
            <w:hideMark/>
          </w:tcPr>
          <w:p w:rsidR="007B5401" w:rsidRPr="007B5401" w:rsidRDefault="007B5401" w:rsidP="007B5401">
            <w:pPr>
              <w:jc w:val="left"/>
              <w:rPr>
                <w:rFonts w:ascii="Arial" w:eastAsia="Times New Roman" w:hAnsi="Arial" w:cs="Arial"/>
                <w:b/>
                <w:color w:val="000000"/>
                <w:sz w:val="20"/>
                <w:szCs w:val="20"/>
              </w:rPr>
            </w:pPr>
            <w:r w:rsidRPr="007B5401">
              <w:rPr>
                <w:rFonts w:ascii="Arial" w:eastAsia="Times New Roman" w:hAnsi="Arial" w:cs="Arial"/>
                <w:b/>
                <w:color w:val="000000"/>
                <w:sz w:val="20"/>
                <w:szCs w:val="20"/>
              </w:rPr>
              <w:t> </w:t>
            </w:r>
          </w:p>
        </w:tc>
        <w:tc>
          <w:tcPr>
            <w:tcW w:w="452" w:type="dxa"/>
            <w:tcBorders>
              <w:top w:val="single" w:sz="4" w:space="0" w:color="auto"/>
              <w:left w:val="nil"/>
              <w:bottom w:val="nil"/>
              <w:right w:val="single" w:sz="4" w:space="0" w:color="auto"/>
            </w:tcBorders>
            <w:shd w:val="clear" w:color="auto" w:fill="auto"/>
            <w:noWrap/>
            <w:vAlign w:val="bottom"/>
            <w:hideMark/>
          </w:tcPr>
          <w:p w:rsidR="007B5401" w:rsidRPr="007B5401" w:rsidRDefault="007B5401" w:rsidP="007B5401">
            <w:pPr>
              <w:jc w:val="left"/>
              <w:rPr>
                <w:rFonts w:ascii="Arial" w:eastAsia="Times New Roman" w:hAnsi="Arial" w:cs="Arial"/>
                <w:b/>
                <w:color w:val="000000"/>
                <w:sz w:val="20"/>
                <w:szCs w:val="20"/>
              </w:rPr>
            </w:pPr>
            <w:r w:rsidRPr="007B5401">
              <w:rPr>
                <w:rFonts w:ascii="Arial" w:eastAsia="Times New Roman" w:hAnsi="Arial" w:cs="Arial"/>
                <w:b/>
                <w:color w:val="000000"/>
                <w:sz w:val="20"/>
                <w:szCs w:val="20"/>
              </w:rPr>
              <w:t> </w:t>
            </w:r>
          </w:p>
        </w:tc>
        <w:tc>
          <w:tcPr>
            <w:tcW w:w="452" w:type="dxa"/>
            <w:tcBorders>
              <w:top w:val="single" w:sz="4" w:space="0" w:color="auto"/>
              <w:left w:val="nil"/>
              <w:bottom w:val="nil"/>
              <w:right w:val="single" w:sz="4" w:space="0" w:color="auto"/>
            </w:tcBorders>
            <w:shd w:val="clear" w:color="auto" w:fill="auto"/>
            <w:noWrap/>
            <w:vAlign w:val="bottom"/>
            <w:hideMark/>
          </w:tcPr>
          <w:p w:rsidR="007B5401" w:rsidRPr="007B5401" w:rsidRDefault="007B5401" w:rsidP="007B5401">
            <w:pPr>
              <w:jc w:val="left"/>
              <w:rPr>
                <w:rFonts w:ascii="Arial" w:eastAsia="Times New Roman" w:hAnsi="Arial" w:cs="Arial"/>
                <w:b/>
                <w:color w:val="000000"/>
                <w:sz w:val="20"/>
                <w:szCs w:val="20"/>
              </w:rPr>
            </w:pPr>
            <w:r w:rsidRPr="007B5401">
              <w:rPr>
                <w:rFonts w:ascii="Arial" w:eastAsia="Times New Roman" w:hAnsi="Arial" w:cs="Arial"/>
                <w:b/>
                <w:color w:val="000000"/>
                <w:sz w:val="20"/>
                <w:szCs w:val="20"/>
              </w:rPr>
              <w:t> </w:t>
            </w:r>
          </w:p>
        </w:tc>
        <w:tc>
          <w:tcPr>
            <w:tcW w:w="452" w:type="dxa"/>
            <w:tcBorders>
              <w:top w:val="single" w:sz="4" w:space="0" w:color="auto"/>
              <w:left w:val="nil"/>
              <w:bottom w:val="nil"/>
              <w:right w:val="single" w:sz="4" w:space="0" w:color="auto"/>
            </w:tcBorders>
            <w:shd w:val="clear" w:color="auto" w:fill="auto"/>
            <w:noWrap/>
            <w:vAlign w:val="bottom"/>
            <w:hideMark/>
          </w:tcPr>
          <w:p w:rsidR="007B5401" w:rsidRPr="007B5401" w:rsidRDefault="007B5401" w:rsidP="007B5401">
            <w:pPr>
              <w:jc w:val="left"/>
              <w:rPr>
                <w:rFonts w:ascii="Arial" w:eastAsia="Times New Roman" w:hAnsi="Arial" w:cs="Arial"/>
                <w:b/>
                <w:color w:val="000000"/>
                <w:sz w:val="20"/>
                <w:szCs w:val="20"/>
              </w:rPr>
            </w:pPr>
            <w:r w:rsidRPr="007B5401">
              <w:rPr>
                <w:rFonts w:ascii="Arial" w:eastAsia="Times New Roman" w:hAnsi="Arial" w:cs="Arial"/>
                <w:b/>
                <w:color w:val="000000"/>
                <w:sz w:val="20"/>
                <w:szCs w:val="20"/>
              </w:rPr>
              <w:t> </w:t>
            </w:r>
          </w:p>
        </w:tc>
      </w:tr>
      <w:tr w:rsidR="007B5401" w:rsidRPr="007B5401" w:rsidTr="007B5401">
        <w:trPr>
          <w:trHeight w:val="255"/>
        </w:trPr>
        <w:tc>
          <w:tcPr>
            <w:tcW w:w="1247" w:type="dxa"/>
            <w:vMerge/>
            <w:tcBorders>
              <w:top w:val="single" w:sz="4" w:space="0" w:color="auto"/>
              <w:left w:val="single" w:sz="4" w:space="0" w:color="auto"/>
              <w:bottom w:val="nil"/>
              <w:right w:val="single" w:sz="4" w:space="0" w:color="auto"/>
            </w:tcBorders>
            <w:vAlign w:val="center"/>
            <w:hideMark/>
          </w:tcPr>
          <w:p w:rsidR="007B5401" w:rsidRPr="007B5401" w:rsidRDefault="007B5401" w:rsidP="007B5401">
            <w:pPr>
              <w:jc w:val="left"/>
              <w:rPr>
                <w:rFonts w:ascii="Arial" w:eastAsia="Times New Roman" w:hAnsi="Arial" w:cs="Arial"/>
                <w:color w:val="000000"/>
                <w:sz w:val="18"/>
                <w:szCs w:val="18"/>
              </w:rPr>
            </w:pPr>
          </w:p>
        </w:tc>
        <w:tc>
          <w:tcPr>
            <w:tcW w:w="3551" w:type="dxa"/>
            <w:tcBorders>
              <w:top w:val="nil"/>
              <w:left w:val="nil"/>
              <w:bottom w:val="nil"/>
              <w:right w:val="nil"/>
            </w:tcBorders>
            <w:shd w:val="clear" w:color="000000" w:fill="F2F2F2"/>
            <w:hideMark/>
          </w:tcPr>
          <w:p w:rsidR="007B5401" w:rsidRPr="007B5401" w:rsidRDefault="007B5401" w:rsidP="007B5401">
            <w:pPr>
              <w:jc w:val="left"/>
              <w:rPr>
                <w:rFonts w:ascii="Arial" w:eastAsia="Times New Roman" w:hAnsi="Arial" w:cs="Arial"/>
                <w:b/>
                <w:color w:val="000000"/>
                <w:sz w:val="18"/>
                <w:szCs w:val="18"/>
              </w:rPr>
            </w:pPr>
            <w:r w:rsidRPr="007B5401">
              <w:rPr>
                <w:rFonts w:ascii="Arial" w:eastAsia="Times New Roman" w:hAnsi="Arial" w:cs="Arial"/>
                <w:b/>
                <w:color w:val="000000"/>
                <w:sz w:val="18"/>
                <w:szCs w:val="18"/>
              </w:rPr>
              <w:t>External Power Supplies</w:t>
            </w:r>
          </w:p>
        </w:tc>
        <w:tc>
          <w:tcPr>
            <w:tcW w:w="453" w:type="dxa"/>
            <w:tcBorders>
              <w:top w:val="nil"/>
              <w:left w:val="single" w:sz="4" w:space="0" w:color="auto"/>
              <w:bottom w:val="nil"/>
              <w:right w:val="nil"/>
            </w:tcBorders>
            <w:shd w:val="clear" w:color="000000" w:fill="F2F2F2"/>
            <w:hideMark/>
          </w:tcPr>
          <w:p w:rsidR="007B5401" w:rsidRPr="007B5401" w:rsidRDefault="007B5401" w:rsidP="007B5401">
            <w:pPr>
              <w:jc w:val="left"/>
              <w:rPr>
                <w:rFonts w:ascii="Arial" w:eastAsia="Times New Roman" w:hAnsi="Arial" w:cs="Arial"/>
                <w:b/>
                <w:color w:val="000000"/>
                <w:sz w:val="18"/>
                <w:szCs w:val="18"/>
              </w:rPr>
            </w:pPr>
            <w:r w:rsidRPr="007B5401">
              <w:rPr>
                <w:rFonts w:ascii="Arial" w:eastAsia="Times New Roman" w:hAnsi="Arial" w:cs="Arial"/>
                <w:b/>
                <w:color w:val="000000"/>
                <w:sz w:val="18"/>
                <w:szCs w:val="18"/>
              </w:rPr>
              <w:t> </w:t>
            </w:r>
          </w:p>
        </w:tc>
        <w:tc>
          <w:tcPr>
            <w:tcW w:w="452" w:type="dxa"/>
            <w:tcBorders>
              <w:top w:val="nil"/>
              <w:left w:val="single" w:sz="4" w:space="0" w:color="auto"/>
              <w:bottom w:val="nil"/>
              <w:right w:val="nil"/>
            </w:tcBorders>
            <w:shd w:val="clear" w:color="000000" w:fill="F2F2F2"/>
            <w:hideMark/>
          </w:tcPr>
          <w:p w:rsidR="007B5401" w:rsidRPr="007B5401" w:rsidRDefault="007B5401" w:rsidP="007B5401">
            <w:pPr>
              <w:jc w:val="left"/>
              <w:rPr>
                <w:rFonts w:ascii="Arial" w:eastAsia="Times New Roman" w:hAnsi="Arial" w:cs="Arial"/>
                <w:b/>
                <w:color w:val="000000"/>
                <w:sz w:val="18"/>
                <w:szCs w:val="18"/>
              </w:rPr>
            </w:pPr>
            <w:r w:rsidRPr="007B5401">
              <w:rPr>
                <w:rFonts w:ascii="Arial" w:eastAsia="Times New Roman" w:hAnsi="Arial" w:cs="Arial"/>
                <w:b/>
                <w:color w:val="000000"/>
                <w:sz w:val="18"/>
                <w:szCs w:val="18"/>
              </w:rPr>
              <w:t> </w:t>
            </w:r>
          </w:p>
        </w:tc>
        <w:tc>
          <w:tcPr>
            <w:tcW w:w="452" w:type="dxa"/>
            <w:tcBorders>
              <w:top w:val="nil"/>
              <w:left w:val="single" w:sz="4" w:space="0" w:color="auto"/>
              <w:bottom w:val="nil"/>
              <w:right w:val="single" w:sz="4" w:space="0" w:color="auto"/>
            </w:tcBorders>
            <w:shd w:val="clear" w:color="000000" w:fill="F2F2F2"/>
          </w:tcPr>
          <w:p w:rsidR="007B5401" w:rsidRPr="007B5401" w:rsidRDefault="007B5401" w:rsidP="007B5401">
            <w:pPr>
              <w:jc w:val="center"/>
              <w:rPr>
                <w:rFonts w:ascii="Wingdings 2" w:eastAsia="Times New Roman" w:hAnsi="Wingdings 2" w:cs="Arial"/>
                <w:b/>
                <w:color w:val="000000"/>
                <w:sz w:val="18"/>
                <w:szCs w:val="18"/>
              </w:rPr>
            </w:pPr>
          </w:p>
        </w:tc>
        <w:tc>
          <w:tcPr>
            <w:tcW w:w="452" w:type="dxa"/>
            <w:tcBorders>
              <w:top w:val="nil"/>
              <w:left w:val="nil"/>
              <w:bottom w:val="nil"/>
              <w:right w:val="single" w:sz="4" w:space="0" w:color="auto"/>
            </w:tcBorders>
            <w:shd w:val="clear" w:color="000000" w:fill="F2F2F2"/>
          </w:tcPr>
          <w:p w:rsidR="007B5401" w:rsidRPr="007B5401" w:rsidRDefault="007B5401" w:rsidP="007B5401">
            <w:pPr>
              <w:jc w:val="center"/>
              <w:rPr>
                <w:rFonts w:ascii="Wingdings 2" w:eastAsia="Times New Roman" w:hAnsi="Wingdings 2" w:cs="Arial"/>
                <w:b/>
                <w:color w:val="000000"/>
                <w:sz w:val="18"/>
                <w:szCs w:val="18"/>
              </w:rPr>
            </w:pPr>
          </w:p>
        </w:tc>
        <w:tc>
          <w:tcPr>
            <w:tcW w:w="452" w:type="dxa"/>
            <w:tcBorders>
              <w:top w:val="nil"/>
              <w:left w:val="nil"/>
              <w:bottom w:val="nil"/>
              <w:right w:val="single" w:sz="4" w:space="0" w:color="auto"/>
            </w:tcBorders>
            <w:shd w:val="clear" w:color="000000" w:fill="F2F2F2"/>
          </w:tcPr>
          <w:p w:rsidR="007B5401" w:rsidRPr="007B5401" w:rsidRDefault="007B5401" w:rsidP="007B5401">
            <w:pPr>
              <w:jc w:val="center"/>
              <w:rPr>
                <w:rFonts w:ascii="Wingdings 2" w:eastAsia="Times New Roman" w:hAnsi="Wingdings 2" w:cs="Arial"/>
                <w:b/>
                <w:color w:val="000000"/>
                <w:sz w:val="18"/>
                <w:szCs w:val="18"/>
              </w:rPr>
            </w:pPr>
          </w:p>
        </w:tc>
        <w:tc>
          <w:tcPr>
            <w:tcW w:w="452" w:type="dxa"/>
            <w:tcBorders>
              <w:top w:val="nil"/>
              <w:left w:val="nil"/>
              <w:bottom w:val="nil"/>
              <w:right w:val="single" w:sz="4" w:space="0" w:color="auto"/>
            </w:tcBorders>
            <w:shd w:val="clear" w:color="000000" w:fill="F2F2F2"/>
            <w:noWrap/>
            <w:vAlign w:val="bottom"/>
            <w:hideMark/>
          </w:tcPr>
          <w:p w:rsidR="007B5401" w:rsidRPr="007B5401" w:rsidRDefault="007B5401" w:rsidP="007B5401">
            <w:pPr>
              <w:jc w:val="left"/>
              <w:rPr>
                <w:rFonts w:ascii="Arial" w:eastAsia="Times New Roman" w:hAnsi="Arial" w:cs="Arial"/>
                <w:b/>
                <w:color w:val="000000"/>
                <w:sz w:val="20"/>
                <w:szCs w:val="20"/>
              </w:rPr>
            </w:pPr>
            <w:r w:rsidRPr="007B5401">
              <w:rPr>
                <w:rFonts w:ascii="Arial" w:eastAsia="Times New Roman" w:hAnsi="Arial" w:cs="Arial"/>
                <w:b/>
                <w:color w:val="000000"/>
                <w:sz w:val="20"/>
                <w:szCs w:val="20"/>
              </w:rPr>
              <w:t> </w:t>
            </w:r>
          </w:p>
        </w:tc>
        <w:tc>
          <w:tcPr>
            <w:tcW w:w="452" w:type="dxa"/>
            <w:tcBorders>
              <w:top w:val="nil"/>
              <w:left w:val="nil"/>
              <w:bottom w:val="nil"/>
              <w:right w:val="single" w:sz="4" w:space="0" w:color="auto"/>
            </w:tcBorders>
            <w:shd w:val="clear" w:color="000000" w:fill="F2F2F2"/>
            <w:hideMark/>
          </w:tcPr>
          <w:p w:rsidR="007B5401" w:rsidRPr="007B5401" w:rsidRDefault="007B5401" w:rsidP="007B5401">
            <w:pPr>
              <w:jc w:val="center"/>
              <w:rPr>
                <w:rFonts w:ascii="Wingdings 2" w:eastAsia="Times New Roman" w:hAnsi="Wingdings 2" w:cs="Arial"/>
                <w:b/>
                <w:color w:val="000000"/>
                <w:sz w:val="18"/>
                <w:szCs w:val="18"/>
              </w:rPr>
            </w:pPr>
            <w:r w:rsidRPr="007B5401">
              <w:rPr>
                <w:rFonts w:ascii="Wingdings 2" w:eastAsia="Times New Roman" w:hAnsi="Wingdings 2" w:cs="Arial"/>
                <w:b/>
                <w:color w:val="000000"/>
                <w:sz w:val="18"/>
                <w:szCs w:val="18"/>
              </w:rPr>
              <w:t></w:t>
            </w:r>
          </w:p>
        </w:tc>
        <w:tc>
          <w:tcPr>
            <w:tcW w:w="452" w:type="dxa"/>
            <w:tcBorders>
              <w:top w:val="nil"/>
              <w:left w:val="nil"/>
              <w:bottom w:val="nil"/>
              <w:right w:val="single" w:sz="4" w:space="0" w:color="auto"/>
            </w:tcBorders>
            <w:shd w:val="clear" w:color="000000" w:fill="F2F2F2"/>
            <w:hideMark/>
          </w:tcPr>
          <w:p w:rsidR="007B5401" w:rsidRPr="007B5401" w:rsidRDefault="007B5401" w:rsidP="007B5401">
            <w:pPr>
              <w:jc w:val="center"/>
              <w:rPr>
                <w:rFonts w:ascii="Wingdings 2" w:eastAsia="Times New Roman" w:hAnsi="Wingdings 2" w:cs="Arial"/>
                <w:b/>
                <w:color w:val="000000"/>
                <w:sz w:val="18"/>
                <w:szCs w:val="18"/>
              </w:rPr>
            </w:pPr>
            <w:r w:rsidRPr="007B5401">
              <w:rPr>
                <w:rFonts w:ascii="Wingdings 2" w:eastAsia="Times New Roman" w:hAnsi="Wingdings 2" w:cs="Arial"/>
                <w:b/>
                <w:color w:val="000000"/>
                <w:sz w:val="18"/>
                <w:szCs w:val="18"/>
              </w:rPr>
              <w:t></w:t>
            </w:r>
          </w:p>
        </w:tc>
        <w:tc>
          <w:tcPr>
            <w:tcW w:w="452" w:type="dxa"/>
            <w:tcBorders>
              <w:top w:val="nil"/>
              <w:left w:val="nil"/>
              <w:bottom w:val="nil"/>
              <w:right w:val="single" w:sz="4" w:space="0" w:color="auto"/>
            </w:tcBorders>
            <w:shd w:val="clear" w:color="000000" w:fill="F2F2F2"/>
          </w:tcPr>
          <w:p w:rsidR="007B5401" w:rsidRPr="007B5401" w:rsidRDefault="007B5401" w:rsidP="007B5401">
            <w:pPr>
              <w:jc w:val="center"/>
              <w:rPr>
                <w:rFonts w:ascii="Wingdings 2" w:eastAsia="Times New Roman" w:hAnsi="Wingdings 2" w:cs="Arial"/>
                <w:b/>
                <w:color w:val="000000"/>
                <w:sz w:val="18"/>
                <w:szCs w:val="18"/>
              </w:rPr>
            </w:pPr>
          </w:p>
        </w:tc>
        <w:tc>
          <w:tcPr>
            <w:tcW w:w="452" w:type="dxa"/>
            <w:tcBorders>
              <w:top w:val="nil"/>
              <w:left w:val="nil"/>
              <w:bottom w:val="nil"/>
              <w:right w:val="single" w:sz="4" w:space="0" w:color="auto"/>
            </w:tcBorders>
            <w:shd w:val="clear" w:color="000000" w:fill="F2F2F2"/>
          </w:tcPr>
          <w:p w:rsidR="007B5401" w:rsidRPr="007B5401" w:rsidRDefault="007B5401" w:rsidP="007B5401">
            <w:pPr>
              <w:jc w:val="center"/>
              <w:rPr>
                <w:rFonts w:ascii="Wingdings 2" w:eastAsia="Times New Roman" w:hAnsi="Wingdings 2" w:cs="Arial"/>
                <w:b/>
                <w:color w:val="000000"/>
                <w:sz w:val="18"/>
                <w:szCs w:val="18"/>
              </w:rPr>
            </w:pPr>
          </w:p>
        </w:tc>
        <w:tc>
          <w:tcPr>
            <w:tcW w:w="452" w:type="dxa"/>
            <w:tcBorders>
              <w:top w:val="nil"/>
              <w:left w:val="nil"/>
              <w:bottom w:val="nil"/>
              <w:right w:val="single" w:sz="4" w:space="0" w:color="auto"/>
            </w:tcBorders>
            <w:shd w:val="clear" w:color="000000" w:fill="F2F2F2"/>
            <w:noWrap/>
            <w:vAlign w:val="bottom"/>
            <w:hideMark/>
          </w:tcPr>
          <w:p w:rsidR="007B5401" w:rsidRPr="007B5401" w:rsidRDefault="007B5401" w:rsidP="007B5401">
            <w:pPr>
              <w:jc w:val="left"/>
              <w:rPr>
                <w:rFonts w:ascii="Arial" w:eastAsia="Times New Roman" w:hAnsi="Arial" w:cs="Arial"/>
                <w:b/>
                <w:color w:val="000000"/>
                <w:sz w:val="20"/>
                <w:szCs w:val="20"/>
              </w:rPr>
            </w:pPr>
            <w:r w:rsidRPr="007B5401">
              <w:rPr>
                <w:rFonts w:ascii="Arial" w:eastAsia="Times New Roman" w:hAnsi="Arial" w:cs="Arial"/>
                <w:b/>
                <w:color w:val="000000"/>
                <w:sz w:val="20"/>
                <w:szCs w:val="20"/>
              </w:rPr>
              <w:t> </w:t>
            </w:r>
          </w:p>
        </w:tc>
      </w:tr>
      <w:tr w:rsidR="007B5401" w:rsidRPr="007B5401" w:rsidTr="007B5401">
        <w:trPr>
          <w:trHeight w:val="255"/>
        </w:trPr>
        <w:tc>
          <w:tcPr>
            <w:tcW w:w="1247" w:type="dxa"/>
            <w:vMerge/>
            <w:tcBorders>
              <w:top w:val="single" w:sz="4" w:space="0" w:color="auto"/>
              <w:left w:val="single" w:sz="4" w:space="0" w:color="auto"/>
              <w:bottom w:val="nil"/>
              <w:right w:val="single" w:sz="4" w:space="0" w:color="auto"/>
            </w:tcBorders>
            <w:vAlign w:val="center"/>
            <w:hideMark/>
          </w:tcPr>
          <w:p w:rsidR="007B5401" w:rsidRPr="007B5401" w:rsidRDefault="007B5401" w:rsidP="007B5401">
            <w:pPr>
              <w:jc w:val="left"/>
              <w:rPr>
                <w:rFonts w:ascii="Arial" w:eastAsia="Times New Roman" w:hAnsi="Arial" w:cs="Arial"/>
                <w:color w:val="000000"/>
                <w:sz w:val="18"/>
                <w:szCs w:val="18"/>
              </w:rPr>
            </w:pPr>
          </w:p>
        </w:tc>
        <w:tc>
          <w:tcPr>
            <w:tcW w:w="3551" w:type="dxa"/>
            <w:tcBorders>
              <w:top w:val="nil"/>
              <w:left w:val="nil"/>
              <w:bottom w:val="nil"/>
              <w:right w:val="nil"/>
            </w:tcBorders>
            <w:shd w:val="clear" w:color="auto" w:fill="auto"/>
            <w:hideMark/>
          </w:tcPr>
          <w:p w:rsidR="007B5401" w:rsidRPr="007B5401" w:rsidRDefault="007B5401" w:rsidP="007B5401">
            <w:pPr>
              <w:jc w:val="left"/>
              <w:rPr>
                <w:rFonts w:ascii="Arial" w:eastAsia="Times New Roman" w:hAnsi="Arial" w:cs="Arial"/>
                <w:b/>
                <w:color w:val="000000"/>
                <w:sz w:val="18"/>
                <w:szCs w:val="18"/>
              </w:rPr>
            </w:pPr>
            <w:r w:rsidRPr="007B5401">
              <w:rPr>
                <w:rFonts w:ascii="Arial" w:eastAsia="Times New Roman" w:hAnsi="Arial" w:cs="Arial"/>
                <w:b/>
                <w:color w:val="000000"/>
                <w:sz w:val="18"/>
                <w:szCs w:val="18"/>
              </w:rPr>
              <w:t>General Service Fluorescent Lamps</w:t>
            </w:r>
          </w:p>
        </w:tc>
        <w:tc>
          <w:tcPr>
            <w:tcW w:w="453" w:type="dxa"/>
            <w:tcBorders>
              <w:top w:val="nil"/>
              <w:left w:val="single" w:sz="4" w:space="0" w:color="auto"/>
              <w:bottom w:val="nil"/>
              <w:right w:val="nil"/>
            </w:tcBorders>
            <w:shd w:val="clear" w:color="auto" w:fill="auto"/>
            <w:hideMark/>
          </w:tcPr>
          <w:p w:rsidR="007B5401" w:rsidRPr="007B5401" w:rsidRDefault="007B5401" w:rsidP="007B5401">
            <w:pPr>
              <w:jc w:val="left"/>
              <w:rPr>
                <w:rFonts w:ascii="Arial" w:eastAsia="Times New Roman" w:hAnsi="Arial" w:cs="Arial"/>
                <w:b/>
                <w:color w:val="000000"/>
                <w:sz w:val="18"/>
                <w:szCs w:val="18"/>
              </w:rPr>
            </w:pPr>
            <w:r w:rsidRPr="007B5401">
              <w:rPr>
                <w:rFonts w:ascii="Arial" w:eastAsia="Times New Roman" w:hAnsi="Arial" w:cs="Arial"/>
                <w:b/>
                <w:color w:val="000000"/>
                <w:sz w:val="18"/>
                <w:szCs w:val="18"/>
              </w:rPr>
              <w:t> </w:t>
            </w:r>
          </w:p>
        </w:tc>
        <w:tc>
          <w:tcPr>
            <w:tcW w:w="452" w:type="dxa"/>
            <w:tcBorders>
              <w:top w:val="nil"/>
              <w:left w:val="single" w:sz="4" w:space="0" w:color="auto"/>
              <w:bottom w:val="nil"/>
              <w:right w:val="nil"/>
            </w:tcBorders>
            <w:shd w:val="clear" w:color="auto" w:fill="auto"/>
            <w:hideMark/>
          </w:tcPr>
          <w:p w:rsidR="007B5401" w:rsidRPr="007B5401" w:rsidRDefault="007B5401" w:rsidP="007B5401">
            <w:pPr>
              <w:jc w:val="left"/>
              <w:rPr>
                <w:rFonts w:ascii="Arial" w:eastAsia="Times New Roman" w:hAnsi="Arial" w:cs="Arial"/>
                <w:b/>
                <w:color w:val="000000"/>
                <w:sz w:val="18"/>
                <w:szCs w:val="18"/>
              </w:rPr>
            </w:pPr>
            <w:r w:rsidRPr="007B5401">
              <w:rPr>
                <w:rFonts w:ascii="Arial" w:eastAsia="Times New Roman" w:hAnsi="Arial" w:cs="Arial"/>
                <w:b/>
                <w:color w:val="000000"/>
                <w:sz w:val="18"/>
                <w:szCs w:val="18"/>
              </w:rPr>
              <w:t> </w:t>
            </w:r>
          </w:p>
        </w:tc>
        <w:tc>
          <w:tcPr>
            <w:tcW w:w="452" w:type="dxa"/>
            <w:tcBorders>
              <w:top w:val="nil"/>
              <w:left w:val="single" w:sz="4" w:space="0" w:color="auto"/>
              <w:bottom w:val="nil"/>
              <w:right w:val="single" w:sz="4" w:space="0" w:color="auto"/>
            </w:tcBorders>
            <w:shd w:val="clear" w:color="auto" w:fill="auto"/>
            <w:hideMark/>
          </w:tcPr>
          <w:p w:rsidR="007B5401" w:rsidRPr="007B5401" w:rsidRDefault="007B5401" w:rsidP="007B5401">
            <w:pPr>
              <w:jc w:val="center"/>
              <w:rPr>
                <w:rFonts w:ascii="Wingdings 2" w:eastAsia="Times New Roman" w:hAnsi="Wingdings 2" w:cs="Arial"/>
                <w:b/>
                <w:color w:val="000000"/>
                <w:sz w:val="18"/>
                <w:szCs w:val="18"/>
              </w:rPr>
            </w:pPr>
            <w:r w:rsidRPr="007B5401">
              <w:rPr>
                <w:rFonts w:ascii="Wingdings 2" w:eastAsia="Times New Roman" w:hAnsi="Wingdings 2" w:cs="Arial"/>
                <w:b/>
                <w:color w:val="000000"/>
                <w:sz w:val="18"/>
                <w:szCs w:val="18"/>
              </w:rPr>
              <w:t></w:t>
            </w:r>
          </w:p>
        </w:tc>
        <w:tc>
          <w:tcPr>
            <w:tcW w:w="452" w:type="dxa"/>
            <w:tcBorders>
              <w:top w:val="nil"/>
              <w:left w:val="nil"/>
              <w:bottom w:val="nil"/>
              <w:right w:val="single" w:sz="4" w:space="0" w:color="auto"/>
            </w:tcBorders>
            <w:shd w:val="clear" w:color="auto" w:fill="auto"/>
            <w:noWrap/>
            <w:vAlign w:val="bottom"/>
            <w:hideMark/>
          </w:tcPr>
          <w:p w:rsidR="007B5401" w:rsidRPr="007B5401" w:rsidRDefault="007B5401" w:rsidP="007B5401">
            <w:pPr>
              <w:jc w:val="left"/>
              <w:rPr>
                <w:rFonts w:ascii="Arial" w:eastAsia="Times New Roman" w:hAnsi="Arial" w:cs="Arial"/>
                <w:b/>
                <w:color w:val="000000"/>
                <w:sz w:val="20"/>
                <w:szCs w:val="20"/>
              </w:rPr>
            </w:pPr>
            <w:r w:rsidRPr="007B5401">
              <w:rPr>
                <w:rFonts w:ascii="Arial" w:eastAsia="Times New Roman" w:hAnsi="Arial" w:cs="Arial"/>
                <w:b/>
                <w:color w:val="000000"/>
                <w:sz w:val="20"/>
                <w:szCs w:val="20"/>
              </w:rPr>
              <w:t> </w:t>
            </w:r>
          </w:p>
        </w:tc>
        <w:tc>
          <w:tcPr>
            <w:tcW w:w="452" w:type="dxa"/>
            <w:tcBorders>
              <w:top w:val="nil"/>
              <w:left w:val="nil"/>
              <w:bottom w:val="nil"/>
              <w:right w:val="single" w:sz="4" w:space="0" w:color="auto"/>
            </w:tcBorders>
            <w:shd w:val="clear" w:color="auto" w:fill="auto"/>
            <w:hideMark/>
          </w:tcPr>
          <w:p w:rsidR="007B5401" w:rsidRPr="007B5401" w:rsidRDefault="007B5401" w:rsidP="007B5401">
            <w:pPr>
              <w:jc w:val="center"/>
              <w:rPr>
                <w:rFonts w:ascii="Wingdings 2" w:eastAsia="Times New Roman" w:hAnsi="Wingdings 2" w:cs="Arial"/>
                <w:b/>
                <w:color w:val="000000"/>
                <w:sz w:val="18"/>
                <w:szCs w:val="18"/>
              </w:rPr>
            </w:pPr>
            <w:r w:rsidRPr="007B5401">
              <w:rPr>
                <w:rFonts w:ascii="Wingdings 2" w:eastAsia="Times New Roman" w:hAnsi="Wingdings 2" w:cs="Arial"/>
                <w:b/>
                <w:color w:val="000000"/>
                <w:sz w:val="18"/>
                <w:szCs w:val="18"/>
              </w:rPr>
              <w:t></w:t>
            </w:r>
          </w:p>
        </w:tc>
        <w:tc>
          <w:tcPr>
            <w:tcW w:w="452" w:type="dxa"/>
            <w:tcBorders>
              <w:top w:val="nil"/>
              <w:left w:val="nil"/>
              <w:bottom w:val="nil"/>
              <w:right w:val="single" w:sz="4" w:space="0" w:color="auto"/>
            </w:tcBorders>
            <w:shd w:val="clear" w:color="auto" w:fill="auto"/>
            <w:noWrap/>
            <w:vAlign w:val="bottom"/>
            <w:hideMark/>
          </w:tcPr>
          <w:p w:rsidR="007B5401" w:rsidRPr="007B5401" w:rsidRDefault="007B5401" w:rsidP="007B5401">
            <w:pPr>
              <w:jc w:val="left"/>
              <w:rPr>
                <w:rFonts w:ascii="Arial" w:eastAsia="Times New Roman" w:hAnsi="Arial" w:cs="Arial"/>
                <w:b/>
                <w:color w:val="000000"/>
                <w:sz w:val="20"/>
                <w:szCs w:val="20"/>
              </w:rPr>
            </w:pPr>
            <w:r w:rsidRPr="007B5401">
              <w:rPr>
                <w:rFonts w:ascii="Arial" w:eastAsia="Times New Roman" w:hAnsi="Arial" w:cs="Arial"/>
                <w:b/>
                <w:color w:val="000000"/>
                <w:sz w:val="20"/>
                <w:szCs w:val="20"/>
              </w:rPr>
              <w:t> </w:t>
            </w:r>
          </w:p>
        </w:tc>
        <w:tc>
          <w:tcPr>
            <w:tcW w:w="452" w:type="dxa"/>
            <w:tcBorders>
              <w:top w:val="nil"/>
              <w:left w:val="nil"/>
              <w:bottom w:val="nil"/>
              <w:right w:val="single" w:sz="4" w:space="0" w:color="auto"/>
            </w:tcBorders>
            <w:shd w:val="clear" w:color="auto" w:fill="auto"/>
            <w:noWrap/>
            <w:vAlign w:val="bottom"/>
            <w:hideMark/>
          </w:tcPr>
          <w:p w:rsidR="007B5401" w:rsidRPr="007B5401" w:rsidRDefault="007B5401" w:rsidP="007B5401">
            <w:pPr>
              <w:jc w:val="left"/>
              <w:rPr>
                <w:rFonts w:ascii="Arial" w:eastAsia="Times New Roman" w:hAnsi="Arial" w:cs="Arial"/>
                <w:b/>
                <w:color w:val="000000"/>
                <w:sz w:val="20"/>
                <w:szCs w:val="20"/>
              </w:rPr>
            </w:pPr>
            <w:r w:rsidRPr="007B5401">
              <w:rPr>
                <w:rFonts w:ascii="Arial" w:eastAsia="Times New Roman" w:hAnsi="Arial" w:cs="Arial"/>
                <w:b/>
                <w:color w:val="000000"/>
                <w:sz w:val="20"/>
                <w:szCs w:val="20"/>
              </w:rPr>
              <w:t> </w:t>
            </w:r>
          </w:p>
        </w:tc>
        <w:tc>
          <w:tcPr>
            <w:tcW w:w="452" w:type="dxa"/>
            <w:tcBorders>
              <w:top w:val="nil"/>
              <w:left w:val="nil"/>
              <w:bottom w:val="nil"/>
              <w:right w:val="single" w:sz="4" w:space="0" w:color="auto"/>
            </w:tcBorders>
            <w:shd w:val="clear" w:color="auto" w:fill="auto"/>
            <w:noWrap/>
            <w:vAlign w:val="bottom"/>
            <w:hideMark/>
          </w:tcPr>
          <w:p w:rsidR="007B5401" w:rsidRPr="007B5401" w:rsidRDefault="007B5401" w:rsidP="007B5401">
            <w:pPr>
              <w:jc w:val="left"/>
              <w:rPr>
                <w:rFonts w:ascii="Arial" w:eastAsia="Times New Roman" w:hAnsi="Arial" w:cs="Arial"/>
                <w:b/>
                <w:color w:val="000000"/>
                <w:sz w:val="20"/>
                <w:szCs w:val="20"/>
              </w:rPr>
            </w:pPr>
            <w:r w:rsidRPr="007B5401">
              <w:rPr>
                <w:rFonts w:ascii="Arial" w:eastAsia="Times New Roman" w:hAnsi="Arial" w:cs="Arial"/>
                <w:b/>
                <w:color w:val="000000"/>
                <w:sz w:val="20"/>
                <w:szCs w:val="20"/>
              </w:rPr>
              <w:t> </w:t>
            </w:r>
          </w:p>
        </w:tc>
        <w:tc>
          <w:tcPr>
            <w:tcW w:w="452" w:type="dxa"/>
            <w:tcBorders>
              <w:top w:val="nil"/>
              <w:left w:val="nil"/>
              <w:bottom w:val="nil"/>
              <w:right w:val="single" w:sz="4" w:space="0" w:color="auto"/>
            </w:tcBorders>
            <w:shd w:val="clear" w:color="auto" w:fill="auto"/>
            <w:hideMark/>
          </w:tcPr>
          <w:p w:rsidR="007B5401" w:rsidRPr="007B5401" w:rsidRDefault="007B5401" w:rsidP="007B5401">
            <w:pPr>
              <w:jc w:val="center"/>
              <w:rPr>
                <w:rFonts w:ascii="Wingdings 2" w:eastAsia="Times New Roman" w:hAnsi="Wingdings 2" w:cs="Arial"/>
                <w:b/>
                <w:color w:val="000000"/>
                <w:sz w:val="18"/>
                <w:szCs w:val="18"/>
              </w:rPr>
            </w:pPr>
            <w:r w:rsidRPr="007B5401">
              <w:rPr>
                <w:rFonts w:ascii="Wingdings 2" w:eastAsia="Times New Roman" w:hAnsi="Wingdings 2" w:cs="Arial"/>
                <w:b/>
                <w:color w:val="000000"/>
                <w:sz w:val="18"/>
                <w:szCs w:val="18"/>
              </w:rPr>
              <w:t></w:t>
            </w:r>
          </w:p>
        </w:tc>
        <w:tc>
          <w:tcPr>
            <w:tcW w:w="452" w:type="dxa"/>
            <w:tcBorders>
              <w:top w:val="nil"/>
              <w:left w:val="nil"/>
              <w:bottom w:val="nil"/>
              <w:right w:val="single" w:sz="4" w:space="0" w:color="auto"/>
            </w:tcBorders>
            <w:shd w:val="clear" w:color="auto" w:fill="auto"/>
            <w:noWrap/>
            <w:vAlign w:val="bottom"/>
            <w:hideMark/>
          </w:tcPr>
          <w:p w:rsidR="007B5401" w:rsidRPr="007B5401" w:rsidRDefault="007B5401" w:rsidP="007B5401">
            <w:pPr>
              <w:jc w:val="left"/>
              <w:rPr>
                <w:rFonts w:ascii="Arial" w:eastAsia="Times New Roman" w:hAnsi="Arial" w:cs="Arial"/>
                <w:b/>
                <w:color w:val="000000"/>
                <w:sz w:val="20"/>
                <w:szCs w:val="20"/>
              </w:rPr>
            </w:pPr>
            <w:r w:rsidRPr="007B5401">
              <w:rPr>
                <w:rFonts w:ascii="Arial" w:eastAsia="Times New Roman" w:hAnsi="Arial" w:cs="Arial"/>
                <w:b/>
                <w:color w:val="000000"/>
                <w:sz w:val="20"/>
                <w:szCs w:val="20"/>
              </w:rPr>
              <w:t> </w:t>
            </w:r>
          </w:p>
        </w:tc>
        <w:tc>
          <w:tcPr>
            <w:tcW w:w="452" w:type="dxa"/>
            <w:tcBorders>
              <w:top w:val="nil"/>
              <w:left w:val="nil"/>
              <w:bottom w:val="nil"/>
              <w:right w:val="single" w:sz="4" w:space="0" w:color="auto"/>
            </w:tcBorders>
            <w:shd w:val="clear" w:color="auto" w:fill="auto"/>
            <w:hideMark/>
          </w:tcPr>
          <w:p w:rsidR="007B5401" w:rsidRPr="007B5401" w:rsidRDefault="007B5401" w:rsidP="007B5401">
            <w:pPr>
              <w:jc w:val="center"/>
              <w:rPr>
                <w:rFonts w:ascii="Wingdings 2" w:eastAsia="Times New Roman" w:hAnsi="Wingdings 2" w:cs="Arial"/>
                <w:b/>
                <w:color w:val="000000"/>
                <w:sz w:val="18"/>
                <w:szCs w:val="18"/>
              </w:rPr>
            </w:pPr>
          </w:p>
        </w:tc>
      </w:tr>
      <w:tr w:rsidR="007B5401" w:rsidRPr="007B5401" w:rsidTr="007B5401">
        <w:trPr>
          <w:trHeight w:val="255"/>
        </w:trPr>
        <w:tc>
          <w:tcPr>
            <w:tcW w:w="1247" w:type="dxa"/>
            <w:vMerge/>
            <w:tcBorders>
              <w:top w:val="single" w:sz="4" w:space="0" w:color="auto"/>
              <w:left w:val="single" w:sz="4" w:space="0" w:color="auto"/>
              <w:bottom w:val="nil"/>
              <w:right w:val="single" w:sz="4" w:space="0" w:color="auto"/>
            </w:tcBorders>
            <w:vAlign w:val="center"/>
            <w:hideMark/>
          </w:tcPr>
          <w:p w:rsidR="007B5401" w:rsidRPr="007B5401" w:rsidRDefault="007B5401" w:rsidP="007B5401">
            <w:pPr>
              <w:jc w:val="left"/>
              <w:rPr>
                <w:rFonts w:ascii="Arial" w:eastAsia="Times New Roman" w:hAnsi="Arial" w:cs="Arial"/>
                <w:color w:val="000000"/>
                <w:sz w:val="18"/>
                <w:szCs w:val="18"/>
              </w:rPr>
            </w:pPr>
          </w:p>
        </w:tc>
        <w:tc>
          <w:tcPr>
            <w:tcW w:w="3551" w:type="dxa"/>
            <w:tcBorders>
              <w:top w:val="nil"/>
              <w:left w:val="nil"/>
              <w:bottom w:val="nil"/>
              <w:right w:val="nil"/>
            </w:tcBorders>
            <w:shd w:val="clear" w:color="000000" w:fill="F2F2F2"/>
            <w:hideMark/>
          </w:tcPr>
          <w:p w:rsidR="007B5401" w:rsidRPr="007B5401" w:rsidRDefault="007B5401" w:rsidP="007B5401">
            <w:pPr>
              <w:jc w:val="left"/>
              <w:rPr>
                <w:rFonts w:ascii="Arial" w:eastAsia="Times New Roman" w:hAnsi="Arial" w:cs="Arial"/>
                <w:b/>
                <w:color w:val="000000"/>
                <w:sz w:val="18"/>
                <w:szCs w:val="18"/>
              </w:rPr>
            </w:pPr>
            <w:r w:rsidRPr="007B5401">
              <w:rPr>
                <w:rFonts w:ascii="Arial" w:eastAsia="Times New Roman" w:hAnsi="Arial" w:cs="Arial"/>
                <w:b/>
                <w:color w:val="000000"/>
                <w:sz w:val="18"/>
                <w:szCs w:val="18"/>
              </w:rPr>
              <w:t>General Service Incandescent Lamps</w:t>
            </w:r>
          </w:p>
        </w:tc>
        <w:tc>
          <w:tcPr>
            <w:tcW w:w="453" w:type="dxa"/>
            <w:tcBorders>
              <w:top w:val="nil"/>
              <w:left w:val="single" w:sz="4" w:space="0" w:color="auto"/>
              <w:bottom w:val="nil"/>
              <w:right w:val="nil"/>
            </w:tcBorders>
            <w:shd w:val="clear" w:color="000000" w:fill="F2F2F2"/>
            <w:hideMark/>
          </w:tcPr>
          <w:p w:rsidR="007B5401" w:rsidRPr="007B5401" w:rsidRDefault="007B5401" w:rsidP="007B5401">
            <w:pPr>
              <w:jc w:val="left"/>
              <w:rPr>
                <w:rFonts w:ascii="Arial" w:eastAsia="Times New Roman" w:hAnsi="Arial" w:cs="Arial"/>
                <w:b/>
                <w:color w:val="000000"/>
                <w:sz w:val="18"/>
                <w:szCs w:val="18"/>
              </w:rPr>
            </w:pPr>
            <w:r w:rsidRPr="007B5401">
              <w:rPr>
                <w:rFonts w:ascii="Arial" w:eastAsia="Times New Roman" w:hAnsi="Arial" w:cs="Arial"/>
                <w:b/>
                <w:color w:val="000000"/>
                <w:sz w:val="18"/>
                <w:szCs w:val="18"/>
              </w:rPr>
              <w:t> </w:t>
            </w:r>
          </w:p>
        </w:tc>
        <w:tc>
          <w:tcPr>
            <w:tcW w:w="452" w:type="dxa"/>
            <w:tcBorders>
              <w:top w:val="nil"/>
              <w:left w:val="single" w:sz="4" w:space="0" w:color="auto"/>
              <w:bottom w:val="nil"/>
              <w:right w:val="nil"/>
            </w:tcBorders>
            <w:shd w:val="clear" w:color="000000" w:fill="F2F2F2"/>
            <w:hideMark/>
          </w:tcPr>
          <w:p w:rsidR="007B5401" w:rsidRPr="007B5401" w:rsidRDefault="007B5401" w:rsidP="007B5401">
            <w:pPr>
              <w:jc w:val="left"/>
              <w:rPr>
                <w:rFonts w:ascii="Arial" w:eastAsia="Times New Roman" w:hAnsi="Arial" w:cs="Arial"/>
                <w:b/>
                <w:color w:val="000000"/>
                <w:sz w:val="18"/>
                <w:szCs w:val="18"/>
              </w:rPr>
            </w:pPr>
            <w:r w:rsidRPr="007B5401">
              <w:rPr>
                <w:rFonts w:ascii="Arial" w:eastAsia="Times New Roman" w:hAnsi="Arial" w:cs="Arial"/>
                <w:b/>
                <w:color w:val="000000"/>
                <w:sz w:val="18"/>
                <w:szCs w:val="18"/>
              </w:rPr>
              <w:t> </w:t>
            </w:r>
          </w:p>
        </w:tc>
        <w:tc>
          <w:tcPr>
            <w:tcW w:w="452" w:type="dxa"/>
            <w:tcBorders>
              <w:top w:val="nil"/>
              <w:left w:val="single" w:sz="4" w:space="0" w:color="auto"/>
              <w:bottom w:val="nil"/>
              <w:right w:val="single" w:sz="4" w:space="0" w:color="auto"/>
            </w:tcBorders>
            <w:shd w:val="clear" w:color="000000" w:fill="F2F2F2"/>
            <w:hideMark/>
          </w:tcPr>
          <w:p w:rsidR="007B5401" w:rsidRPr="007B5401" w:rsidRDefault="007B5401" w:rsidP="007B5401">
            <w:pPr>
              <w:jc w:val="center"/>
              <w:rPr>
                <w:rFonts w:ascii="Wingdings 2" w:eastAsia="Times New Roman" w:hAnsi="Wingdings 2" w:cs="Arial"/>
                <w:b/>
                <w:color w:val="000000"/>
                <w:sz w:val="18"/>
                <w:szCs w:val="18"/>
              </w:rPr>
            </w:pPr>
            <w:r w:rsidRPr="007B5401">
              <w:rPr>
                <w:rFonts w:ascii="Wingdings 2" w:eastAsia="Times New Roman" w:hAnsi="Wingdings 2" w:cs="Arial"/>
                <w:b/>
                <w:color w:val="000000"/>
                <w:sz w:val="18"/>
                <w:szCs w:val="18"/>
              </w:rPr>
              <w:t></w:t>
            </w:r>
          </w:p>
        </w:tc>
        <w:tc>
          <w:tcPr>
            <w:tcW w:w="452" w:type="dxa"/>
            <w:tcBorders>
              <w:top w:val="nil"/>
              <w:left w:val="nil"/>
              <w:bottom w:val="nil"/>
              <w:right w:val="single" w:sz="4" w:space="0" w:color="auto"/>
            </w:tcBorders>
            <w:shd w:val="clear" w:color="000000" w:fill="F2F2F2"/>
            <w:hideMark/>
          </w:tcPr>
          <w:p w:rsidR="007B5401" w:rsidRPr="007B5401" w:rsidRDefault="007B5401" w:rsidP="007B5401">
            <w:pPr>
              <w:jc w:val="center"/>
              <w:rPr>
                <w:rFonts w:ascii="Wingdings 2" w:eastAsia="Times New Roman" w:hAnsi="Wingdings 2" w:cs="Arial"/>
                <w:b/>
                <w:color w:val="000000"/>
                <w:sz w:val="18"/>
                <w:szCs w:val="18"/>
              </w:rPr>
            </w:pPr>
            <w:r w:rsidRPr="007B5401">
              <w:rPr>
                <w:rFonts w:ascii="Wingdings 2" w:eastAsia="Times New Roman" w:hAnsi="Wingdings 2" w:cs="Arial"/>
                <w:b/>
                <w:color w:val="000000"/>
                <w:sz w:val="18"/>
                <w:szCs w:val="18"/>
              </w:rPr>
              <w:t></w:t>
            </w:r>
          </w:p>
        </w:tc>
        <w:tc>
          <w:tcPr>
            <w:tcW w:w="452" w:type="dxa"/>
            <w:tcBorders>
              <w:top w:val="nil"/>
              <w:left w:val="nil"/>
              <w:bottom w:val="nil"/>
              <w:right w:val="single" w:sz="4" w:space="0" w:color="auto"/>
            </w:tcBorders>
            <w:shd w:val="clear" w:color="000000" w:fill="F2F2F2"/>
            <w:hideMark/>
          </w:tcPr>
          <w:p w:rsidR="007B5401" w:rsidRPr="007B5401" w:rsidRDefault="007B5401" w:rsidP="007B5401">
            <w:pPr>
              <w:jc w:val="center"/>
              <w:rPr>
                <w:rFonts w:ascii="Wingdings 2" w:eastAsia="Times New Roman" w:hAnsi="Wingdings 2" w:cs="Arial"/>
                <w:b/>
                <w:color w:val="000000"/>
                <w:sz w:val="18"/>
                <w:szCs w:val="18"/>
              </w:rPr>
            </w:pPr>
            <w:r w:rsidRPr="007B5401">
              <w:rPr>
                <w:rFonts w:ascii="Wingdings 2" w:eastAsia="Times New Roman" w:hAnsi="Wingdings 2" w:cs="Arial"/>
                <w:b/>
                <w:color w:val="000000"/>
                <w:sz w:val="18"/>
                <w:szCs w:val="18"/>
              </w:rPr>
              <w:t></w:t>
            </w:r>
          </w:p>
        </w:tc>
        <w:tc>
          <w:tcPr>
            <w:tcW w:w="452" w:type="dxa"/>
            <w:tcBorders>
              <w:top w:val="nil"/>
              <w:left w:val="nil"/>
              <w:bottom w:val="nil"/>
              <w:right w:val="single" w:sz="4" w:space="0" w:color="auto"/>
            </w:tcBorders>
            <w:shd w:val="clear" w:color="000000" w:fill="F2F2F2"/>
            <w:noWrap/>
            <w:vAlign w:val="bottom"/>
            <w:hideMark/>
          </w:tcPr>
          <w:p w:rsidR="007B5401" w:rsidRPr="007B5401" w:rsidRDefault="007B5401" w:rsidP="007B5401">
            <w:pPr>
              <w:jc w:val="left"/>
              <w:rPr>
                <w:rFonts w:ascii="Arial" w:eastAsia="Times New Roman" w:hAnsi="Arial" w:cs="Arial"/>
                <w:b/>
                <w:color w:val="000000"/>
                <w:sz w:val="20"/>
                <w:szCs w:val="20"/>
              </w:rPr>
            </w:pPr>
            <w:r w:rsidRPr="007B5401">
              <w:rPr>
                <w:rFonts w:ascii="Arial" w:eastAsia="Times New Roman" w:hAnsi="Arial" w:cs="Arial"/>
                <w:b/>
                <w:color w:val="000000"/>
                <w:sz w:val="20"/>
                <w:szCs w:val="20"/>
              </w:rPr>
              <w:t> </w:t>
            </w:r>
          </w:p>
        </w:tc>
        <w:tc>
          <w:tcPr>
            <w:tcW w:w="452" w:type="dxa"/>
            <w:tcBorders>
              <w:top w:val="nil"/>
              <w:left w:val="nil"/>
              <w:bottom w:val="nil"/>
              <w:right w:val="single" w:sz="4" w:space="0" w:color="auto"/>
            </w:tcBorders>
            <w:shd w:val="clear" w:color="000000" w:fill="F2F2F2"/>
            <w:hideMark/>
          </w:tcPr>
          <w:p w:rsidR="007B5401" w:rsidRPr="007B5401" w:rsidRDefault="007B5401" w:rsidP="007B5401">
            <w:pPr>
              <w:jc w:val="left"/>
              <w:rPr>
                <w:rFonts w:ascii="Arial" w:eastAsia="Times New Roman" w:hAnsi="Arial" w:cs="Arial"/>
                <w:b/>
                <w:color w:val="000000"/>
                <w:sz w:val="18"/>
                <w:szCs w:val="18"/>
              </w:rPr>
            </w:pPr>
            <w:r w:rsidRPr="007B5401">
              <w:rPr>
                <w:rFonts w:ascii="Arial" w:eastAsia="Times New Roman" w:hAnsi="Arial" w:cs="Arial"/>
                <w:b/>
                <w:color w:val="000000"/>
                <w:sz w:val="18"/>
                <w:szCs w:val="18"/>
              </w:rPr>
              <w:t> </w:t>
            </w:r>
          </w:p>
        </w:tc>
        <w:tc>
          <w:tcPr>
            <w:tcW w:w="452" w:type="dxa"/>
            <w:tcBorders>
              <w:top w:val="nil"/>
              <w:left w:val="nil"/>
              <w:bottom w:val="nil"/>
              <w:right w:val="single" w:sz="4" w:space="0" w:color="auto"/>
            </w:tcBorders>
            <w:shd w:val="clear" w:color="000000" w:fill="F2F2F2"/>
            <w:noWrap/>
            <w:vAlign w:val="bottom"/>
            <w:hideMark/>
          </w:tcPr>
          <w:p w:rsidR="007B5401" w:rsidRPr="007B5401" w:rsidRDefault="007B5401" w:rsidP="007B5401">
            <w:pPr>
              <w:jc w:val="left"/>
              <w:rPr>
                <w:rFonts w:ascii="Arial" w:eastAsia="Times New Roman" w:hAnsi="Arial" w:cs="Arial"/>
                <w:b/>
                <w:color w:val="000000"/>
                <w:sz w:val="20"/>
                <w:szCs w:val="20"/>
              </w:rPr>
            </w:pPr>
            <w:r w:rsidRPr="007B5401">
              <w:rPr>
                <w:rFonts w:ascii="Arial" w:eastAsia="Times New Roman" w:hAnsi="Arial" w:cs="Arial"/>
                <w:b/>
                <w:color w:val="000000"/>
                <w:sz w:val="20"/>
                <w:szCs w:val="20"/>
              </w:rPr>
              <w:t> </w:t>
            </w:r>
          </w:p>
        </w:tc>
        <w:tc>
          <w:tcPr>
            <w:tcW w:w="452" w:type="dxa"/>
            <w:tcBorders>
              <w:top w:val="nil"/>
              <w:left w:val="nil"/>
              <w:bottom w:val="nil"/>
              <w:right w:val="single" w:sz="4" w:space="0" w:color="auto"/>
            </w:tcBorders>
            <w:shd w:val="clear" w:color="000000" w:fill="F2F2F2"/>
          </w:tcPr>
          <w:p w:rsidR="007B5401" w:rsidRPr="007B5401" w:rsidRDefault="007B5401" w:rsidP="007B5401">
            <w:pPr>
              <w:jc w:val="center"/>
              <w:rPr>
                <w:rFonts w:ascii="Wingdings 2" w:eastAsia="Times New Roman" w:hAnsi="Wingdings 2" w:cs="Arial"/>
                <w:b/>
                <w:color w:val="000000"/>
                <w:sz w:val="18"/>
                <w:szCs w:val="18"/>
              </w:rPr>
            </w:pPr>
          </w:p>
        </w:tc>
        <w:tc>
          <w:tcPr>
            <w:tcW w:w="452" w:type="dxa"/>
            <w:tcBorders>
              <w:top w:val="nil"/>
              <w:left w:val="nil"/>
              <w:bottom w:val="nil"/>
              <w:right w:val="single" w:sz="4" w:space="0" w:color="auto"/>
            </w:tcBorders>
            <w:shd w:val="clear" w:color="000000" w:fill="F2F2F2"/>
            <w:noWrap/>
            <w:vAlign w:val="bottom"/>
          </w:tcPr>
          <w:p w:rsidR="007B5401" w:rsidRPr="007B5401" w:rsidRDefault="007B5401" w:rsidP="007B5401">
            <w:pPr>
              <w:jc w:val="left"/>
              <w:rPr>
                <w:rFonts w:ascii="Arial" w:eastAsia="Times New Roman" w:hAnsi="Arial" w:cs="Arial"/>
                <w:b/>
                <w:color w:val="000000"/>
                <w:sz w:val="20"/>
                <w:szCs w:val="20"/>
              </w:rPr>
            </w:pPr>
          </w:p>
        </w:tc>
        <w:tc>
          <w:tcPr>
            <w:tcW w:w="452" w:type="dxa"/>
            <w:tcBorders>
              <w:top w:val="nil"/>
              <w:left w:val="nil"/>
              <w:bottom w:val="nil"/>
              <w:right w:val="single" w:sz="4" w:space="0" w:color="auto"/>
            </w:tcBorders>
            <w:shd w:val="clear" w:color="000000" w:fill="F2F2F2"/>
            <w:hideMark/>
          </w:tcPr>
          <w:p w:rsidR="007B5401" w:rsidRPr="007B5401" w:rsidRDefault="007B5401" w:rsidP="007B5401">
            <w:pPr>
              <w:jc w:val="center"/>
              <w:rPr>
                <w:rFonts w:ascii="Wingdings 2" w:eastAsia="Times New Roman" w:hAnsi="Wingdings 2" w:cs="Arial"/>
                <w:b/>
                <w:color w:val="000000"/>
                <w:sz w:val="18"/>
                <w:szCs w:val="18"/>
              </w:rPr>
            </w:pPr>
            <w:r w:rsidRPr="007B5401">
              <w:rPr>
                <w:rFonts w:ascii="Wingdings 2" w:eastAsia="Times New Roman" w:hAnsi="Wingdings 2" w:cs="Arial"/>
                <w:b/>
                <w:color w:val="000000"/>
                <w:sz w:val="18"/>
                <w:szCs w:val="18"/>
              </w:rPr>
              <w:t></w:t>
            </w:r>
          </w:p>
        </w:tc>
      </w:tr>
      <w:tr w:rsidR="007B5401" w:rsidRPr="007B5401" w:rsidTr="007B5401">
        <w:trPr>
          <w:trHeight w:val="255"/>
        </w:trPr>
        <w:tc>
          <w:tcPr>
            <w:tcW w:w="1247" w:type="dxa"/>
            <w:vMerge/>
            <w:tcBorders>
              <w:top w:val="single" w:sz="4" w:space="0" w:color="auto"/>
              <w:left w:val="single" w:sz="4" w:space="0" w:color="auto"/>
              <w:bottom w:val="nil"/>
              <w:right w:val="single" w:sz="4" w:space="0" w:color="auto"/>
            </w:tcBorders>
            <w:vAlign w:val="center"/>
            <w:hideMark/>
          </w:tcPr>
          <w:p w:rsidR="007B5401" w:rsidRPr="007B5401" w:rsidRDefault="007B5401" w:rsidP="007B5401">
            <w:pPr>
              <w:jc w:val="left"/>
              <w:rPr>
                <w:rFonts w:ascii="Arial" w:eastAsia="Times New Roman" w:hAnsi="Arial" w:cs="Arial"/>
                <w:color w:val="000000"/>
                <w:sz w:val="18"/>
                <w:szCs w:val="18"/>
              </w:rPr>
            </w:pPr>
          </w:p>
        </w:tc>
        <w:tc>
          <w:tcPr>
            <w:tcW w:w="3551" w:type="dxa"/>
            <w:tcBorders>
              <w:top w:val="nil"/>
              <w:left w:val="nil"/>
              <w:bottom w:val="nil"/>
              <w:right w:val="nil"/>
            </w:tcBorders>
            <w:shd w:val="clear" w:color="auto" w:fill="auto"/>
            <w:hideMark/>
          </w:tcPr>
          <w:p w:rsidR="007B5401" w:rsidRPr="007B5401" w:rsidRDefault="007B5401" w:rsidP="007B5401">
            <w:pPr>
              <w:jc w:val="left"/>
              <w:rPr>
                <w:rFonts w:ascii="Arial" w:eastAsia="Times New Roman" w:hAnsi="Arial" w:cs="Arial"/>
                <w:color w:val="000000"/>
                <w:sz w:val="18"/>
                <w:szCs w:val="18"/>
              </w:rPr>
            </w:pPr>
            <w:r w:rsidRPr="007B5401">
              <w:rPr>
                <w:rFonts w:ascii="Arial" w:eastAsia="Times New Roman" w:hAnsi="Arial" w:cs="Arial"/>
                <w:color w:val="000000"/>
                <w:sz w:val="18"/>
                <w:szCs w:val="18"/>
              </w:rPr>
              <w:t>Incandescent Reflector Lamps</w:t>
            </w:r>
          </w:p>
        </w:tc>
        <w:tc>
          <w:tcPr>
            <w:tcW w:w="453" w:type="dxa"/>
            <w:tcBorders>
              <w:top w:val="nil"/>
              <w:left w:val="single" w:sz="4" w:space="0" w:color="auto"/>
              <w:bottom w:val="nil"/>
              <w:right w:val="nil"/>
            </w:tcBorders>
            <w:shd w:val="clear" w:color="auto" w:fill="auto"/>
            <w:hideMark/>
          </w:tcPr>
          <w:p w:rsidR="007B5401" w:rsidRPr="007B5401" w:rsidRDefault="007B5401" w:rsidP="007B5401">
            <w:pPr>
              <w:jc w:val="left"/>
              <w:rPr>
                <w:rFonts w:ascii="Arial" w:eastAsia="Times New Roman" w:hAnsi="Arial" w:cs="Arial"/>
                <w:color w:val="000000"/>
                <w:sz w:val="18"/>
                <w:szCs w:val="18"/>
              </w:rPr>
            </w:pPr>
            <w:r w:rsidRPr="007B5401">
              <w:rPr>
                <w:rFonts w:ascii="Arial" w:eastAsia="Times New Roman" w:hAnsi="Arial" w:cs="Arial"/>
                <w:color w:val="000000"/>
                <w:sz w:val="18"/>
                <w:szCs w:val="18"/>
              </w:rPr>
              <w:t> </w:t>
            </w:r>
          </w:p>
        </w:tc>
        <w:tc>
          <w:tcPr>
            <w:tcW w:w="452" w:type="dxa"/>
            <w:tcBorders>
              <w:top w:val="nil"/>
              <w:left w:val="single" w:sz="4" w:space="0" w:color="auto"/>
              <w:bottom w:val="nil"/>
              <w:right w:val="nil"/>
            </w:tcBorders>
            <w:shd w:val="clear" w:color="auto" w:fill="auto"/>
            <w:hideMark/>
          </w:tcPr>
          <w:p w:rsidR="007B5401" w:rsidRPr="007B5401" w:rsidRDefault="007B5401" w:rsidP="007B5401">
            <w:pPr>
              <w:jc w:val="left"/>
              <w:rPr>
                <w:rFonts w:ascii="Arial" w:eastAsia="Times New Roman" w:hAnsi="Arial" w:cs="Arial"/>
                <w:color w:val="000000"/>
                <w:sz w:val="18"/>
                <w:szCs w:val="18"/>
              </w:rPr>
            </w:pPr>
            <w:r w:rsidRPr="007B5401">
              <w:rPr>
                <w:rFonts w:ascii="Arial" w:eastAsia="Times New Roman" w:hAnsi="Arial" w:cs="Arial"/>
                <w:color w:val="000000"/>
                <w:sz w:val="18"/>
                <w:szCs w:val="18"/>
              </w:rPr>
              <w:t> </w:t>
            </w:r>
          </w:p>
        </w:tc>
        <w:tc>
          <w:tcPr>
            <w:tcW w:w="452" w:type="dxa"/>
            <w:tcBorders>
              <w:top w:val="nil"/>
              <w:left w:val="single" w:sz="4" w:space="0" w:color="auto"/>
              <w:bottom w:val="nil"/>
              <w:right w:val="single" w:sz="4" w:space="0" w:color="auto"/>
            </w:tcBorders>
            <w:shd w:val="clear" w:color="auto" w:fill="auto"/>
          </w:tcPr>
          <w:p w:rsidR="007B5401" w:rsidRPr="007B5401" w:rsidRDefault="007B5401" w:rsidP="007B5401">
            <w:pPr>
              <w:jc w:val="center"/>
              <w:rPr>
                <w:rFonts w:ascii="Wingdings 2" w:eastAsia="Times New Roman" w:hAnsi="Wingdings 2" w:cs="Arial"/>
                <w:color w:val="000000"/>
                <w:sz w:val="18"/>
                <w:szCs w:val="18"/>
              </w:rPr>
            </w:pPr>
          </w:p>
        </w:tc>
        <w:tc>
          <w:tcPr>
            <w:tcW w:w="452" w:type="dxa"/>
            <w:tcBorders>
              <w:top w:val="nil"/>
              <w:left w:val="nil"/>
              <w:bottom w:val="nil"/>
              <w:right w:val="single" w:sz="4" w:space="0" w:color="auto"/>
            </w:tcBorders>
            <w:shd w:val="clear" w:color="auto" w:fill="auto"/>
          </w:tcPr>
          <w:p w:rsidR="007B5401" w:rsidRPr="007B5401" w:rsidRDefault="007B5401" w:rsidP="007B5401">
            <w:pPr>
              <w:jc w:val="center"/>
              <w:rPr>
                <w:rFonts w:ascii="Wingdings 2" w:eastAsia="Times New Roman" w:hAnsi="Wingdings 2" w:cs="Arial"/>
                <w:color w:val="000000"/>
                <w:sz w:val="18"/>
                <w:szCs w:val="18"/>
              </w:rPr>
            </w:pPr>
          </w:p>
        </w:tc>
        <w:tc>
          <w:tcPr>
            <w:tcW w:w="452" w:type="dxa"/>
            <w:tcBorders>
              <w:top w:val="nil"/>
              <w:left w:val="nil"/>
              <w:bottom w:val="nil"/>
              <w:right w:val="single" w:sz="4" w:space="0" w:color="auto"/>
            </w:tcBorders>
            <w:shd w:val="clear" w:color="auto" w:fill="auto"/>
          </w:tcPr>
          <w:p w:rsidR="007B5401" w:rsidRPr="007B5401" w:rsidRDefault="007B5401" w:rsidP="007B5401">
            <w:pPr>
              <w:jc w:val="center"/>
              <w:rPr>
                <w:rFonts w:ascii="Wingdings 2" w:eastAsia="Times New Roman" w:hAnsi="Wingdings 2" w:cs="Arial"/>
                <w:color w:val="000000"/>
                <w:sz w:val="18"/>
                <w:szCs w:val="18"/>
              </w:rPr>
            </w:pPr>
          </w:p>
        </w:tc>
        <w:tc>
          <w:tcPr>
            <w:tcW w:w="452" w:type="dxa"/>
            <w:tcBorders>
              <w:top w:val="nil"/>
              <w:left w:val="nil"/>
              <w:bottom w:val="nil"/>
              <w:right w:val="single" w:sz="4" w:space="0" w:color="auto"/>
            </w:tcBorders>
            <w:shd w:val="clear" w:color="auto" w:fill="auto"/>
            <w:noWrap/>
            <w:vAlign w:val="bottom"/>
            <w:hideMark/>
          </w:tcPr>
          <w:p w:rsidR="007B5401" w:rsidRPr="007B5401" w:rsidRDefault="007B5401" w:rsidP="007B5401">
            <w:pPr>
              <w:jc w:val="left"/>
              <w:rPr>
                <w:rFonts w:ascii="Arial" w:eastAsia="Times New Roman" w:hAnsi="Arial" w:cs="Arial"/>
                <w:color w:val="000000"/>
                <w:sz w:val="20"/>
                <w:szCs w:val="20"/>
              </w:rPr>
            </w:pPr>
            <w:r w:rsidRPr="007B5401">
              <w:rPr>
                <w:rFonts w:ascii="Arial" w:eastAsia="Times New Roman" w:hAnsi="Arial" w:cs="Arial"/>
                <w:color w:val="000000"/>
                <w:sz w:val="20"/>
                <w:szCs w:val="20"/>
              </w:rPr>
              <w:t> </w:t>
            </w:r>
          </w:p>
        </w:tc>
        <w:tc>
          <w:tcPr>
            <w:tcW w:w="452" w:type="dxa"/>
            <w:tcBorders>
              <w:top w:val="nil"/>
              <w:left w:val="nil"/>
              <w:bottom w:val="nil"/>
              <w:right w:val="single" w:sz="4" w:space="0" w:color="auto"/>
            </w:tcBorders>
            <w:shd w:val="clear" w:color="auto" w:fill="auto"/>
            <w:hideMark/>
          </w:tcPr>
          <w:p w:rsidR="007B5401" w:rsidRPr="007B5401" w:rsidRDefault="007B5401" w:rsidP="007B5401">
            <w:pPr>
              <w:jc w:val="left"/>
              <w:rPr>
                <w:rFonts w:ascii="Arial" w:eastAsia="Times New Roman" w:hAnsi="Arial" w:cs="Arial"/>
                <w:color w:val="000000"/>
                <w:sz w:val="18"/>
                <w:szCs w:val="18"/>
              </w:rPr>
            </w:pPr>
            <w:r w:rsidRPr="007B5401">
              <w:rPr>
                <w:rFonts w:ascii="Arial" w:eastAsia="Times New Roman" w:hAnsi="Arial" w:cs="Arial"/>
                <w:color w:val="000000"/>
                <w:sz w:val="18"/>
                <w:szCs w:val="18"/>
              </w:rPr>
              <w:t> </w:t>
            </w:r>
          </w:p>
        </w:tc>
        <w:tc>
          <w:tcPr>
            <w:tcW w:w="452" w:type="dxa"/>
            <w:tcBorders>
              <w:top w:val="nil"/>
              <w:left w:val="nil"/>
              <w:bottom w:val="nil"/>
              <w:right w:val="single" w:sz="4" w:space="0" w:color="auto"/>
            </w:tcBorders>
            <w:shd w:val="clear" w:color="auto" w:fill="auto"/>
            <w:hideMark/>
          </w:tcPr>
          <w:p w:rsidR="007B5401" w:rsidRPr="007B5401" w:rsidRDefault="007B5401" w:rsidP="007B5401">
            <w:pPr>
              <w:jc w:val="center"/>
              <w:rPr>
                <w:rFonts w:ascii="Wingdings 2" w:eastAsia="Times New Roman" w:hAnsi="Wingdings 2" w:cs="Arial"/>
                <w:color w:val="000000"/>
                <w:sz w:val="18"/>
                <w:szCs w:val="18"/>
              </w:rPr>
            </w:pPr>
            <w:r w:rsidRPr="007B5401">
              <w:rPr>
                <w:rFonts w:ascii="Wingdings 2" w:eastAsia="Times New Roman" w:hAnsi="Wingdings 2" w:cs="Arial"/>
                <w:color w:val="000000"/>
                <w:sz w:val="18"/>
                <w:szCs w:val="18"/>
              </w:rPr>
              <w:t></w:t>
            </w:r>
          </w:p>
        </w:tc>
        <w:tc>
          <w:tcPr>
            <w:tcW w:w="452" w:type="dxa"/>
            <w:tcBorders>
              <w:top w:val="nil"/>
              <w:left w:val="nil"/>
              <w:bottom w:val="nil"/>
              <w:right w:val="single" w:sz="4" w:space="0" w:color="auto"/>
            </w:tcBorders>
            <w:shd w:val="clear" w:color="auto" w:fill="auto"/>
          </w:tcPr>
          <w:p w:rsidR="007B5401" w:rsidRPr="007B5401" w:rsidRDefault="007B5401" w:rsidP="007B5401">
            <w:pPr>
              <w:jc w:val="center"/>
              <w:rPr>
                <w:rFonts w:ascii="Wingdings 2" w:eastAsia="Times New Roman" w:hAnsi="Wingdings 2" w:cs="Arial"/>
                <w:color w:val="000000"/>
                <w:sz w:val="18"/>
                <w:szCs w:val="18"/>
              </w:rPr>
            </w:pPr>
          </w:p>
        </w:tc>
        <w:tc>
          <w:tcPr>
            <w:tcW w:w="452" w:type="dxa"/>
            <w:tcBorders>
              <w:top w:val="nil"/>
              <w:left w:val="nil"/>
              <w:bottom w:val="nil"/>
              <w:right w:val="single" w:sz="4" w:space="0" w:color="auto"/>
            </w:tcBorders>
            <w:shd w:val="clear" w:color="auto" w:fill="auto"/>
          </w:tcPr>
          <w:p w:rsidR="007B5401" w:rsidRPr="007B5401" w:rsidRDefault="007B5401" w:rsidP="007B5401">
            <w:pPr>
              <w:jc w:val="center"/>
              <w:rPr>
                <w:rFonts w:ascii="Wingdings 2" w:eastAsia="Times New Roman" w:hAnsi="Wingdings 2" w:cs="Arial"/>
                <w:color w:val="000000"/>
                <w:sz w:val="18"/>
                <w:szCs w:val="18"/>
              </w:rPr>
            </w:pPr>
          </w:p>
        </w:tc>
        <w:tc>
          <w:tcPr>
            <w:tcW w:w="452" w:type="dxa"/>
            <w:tcBorders>
              <w:top w:val="nil"/>
              <w:left w:val="nil"/>
              <w:bottom w:val="nil"/>
              <w:right w:val="single" w:sz="4" w:space="0" w:color="auto"/>
            </w:tcBorders>
            <w:shd w:val="clear" w:color="auto" w:fill="auto"/>
            <w:noWrap/>
            <w:vAlign w:val="bottom"/>
            <w:hideMark/>
          </w:tcPr>
          <w:p w:rsidR="007B5401" w:rsidRPr="007B5401" w:rsidRDefault="007B5401" w:rsidP="007B5401">
            <w:pPr>
              <w:jc w:val="left"/>
              <w:rPr>
                <w:rFonts w:ascii="Arial" w:eastAsia="Times New Roman" w:hAnsi="Arial" w:cs="Arial"/>
                <w:color w:val="000000"/>
                <w:sz w:val="18"/>
                <w:szCs w:val="18"/>
              </w:rPr>
            </w:pPr>
            <w:r w:rsidRPr="007B5401">
              <w:rPr>
                <w:rFonts w:ascii="Arial" w:eastAsia="Times New Roman" w:hAnsi="Arial" w:cs="Arial"/>
                <w:color w:val="000000"/>
                <w:sz w:val="18"/>
                <w:szCs w:val="18"/>
              </w:rPr>
              <w:t> </w:t>
            </w:r>
          </w:p>
        </w:tc>
      </w:tr>
      <w:tr w:rsidR="007B5401" w:rsidRPr="007B5401" w:rsidTr="007B5401">
        <w:trPr>
          <w:trHeight w:val="255"/>
        </w:trPr>
        <w:tc>
          <w:tcPr>
            <w:tcW w:w="1247" w:type="dxa"/>
            <w:vMerge/>
            <w:tcBorders>
              <w:top w:val="single" w:sz="4" w:space="0" w:color="auto"/>
              <w:left w:val="single" w:sz="4" w:space="0" w:color="auto"/>
              <w:bottom w:val="nil"/>
              <w:right w:val="single" w:sz="4" w:space="0" w:color="auto"/>
            </w:tcBorders>
            <w:vAlign w:val="center"/>
            <w:hideMark/>
          </w:tcPr>
          <w:p w:rsidR="007B5401" w:rsidRPr="007B5401" w:rsidRDefault="007B5401" w:rsidP="007B5401">
            <w:pPr>
              <w:jc w:val="left"/>
              <w:rPr>
                <w:rFonts w:ascii="Arial" w:eastAsia="Times New Roman" w:hAnsi="Arial" w:cs="Arial"/>
                <w:color w:val="000000"/>
                <w:sz w:val="18"/>
                <w:szCs w:val="18"/>
              </w:rPr>
            </w:pPr>
          </w:p>
        </w:tc>
        <w:tc>
          <w:tcPr>
            <w:tcW w:w="3551" w:type="dxa"/>
            <w:tcBorders>
              <w:top w:val="nil"/>
              <w:left w:val="nil"/>
              <w:bottom w:val="nil"/>
              <w:right w:val="nil"/>
            </w:tcBorders>
            <w:shd w:val="clear" w:color="000000" w:fill="F2F2F2"/>
            <w:hideMark/>
          </w:tcPr>
          <w:p w:rsidR="007B5401" w:rsidRPr="007B5401" w:rsidRDefault="007B5401" w:rsidP="007B5401">
            <w:pPr>
              <w:jc w:val="left"/>
              <w:rPr>
                <w:rFonts w:ascii="Arial" w:eastAsia="Times New Roman" w:hAnsi="Arial" w:cs="Arial"/>
                <w:b/>
                <w:color w:val="000000"/>
                <w:sz w:val="18"/>
                <w:szCs w:val="18"/>
              </w:rPr>
            </w:pPr>
            <w:r w:rsidRPr="007B5401">
              <w:rPr>
                <w:rFonts w:ascii="Arial" w:eastAsia="Times New Roman" w:hAnsi="Arial" w:cs="Arial"/>
                <w:b/>
                <w:color w:val="000000"/>
                <w:sz w:val="18"/>
                <w:szCs w:val="18"/>
              </w:rPr>
              <w:t>Metal Halide Lamp Fixtures</w:t>
            </w:r>
          </w:p>
        </w:tc>
        <w:tc>
          <w:tcPr>
            <w:tcW w:w="453" w:type="dxa"/>
            <w:tcBorders>
              <w:top w:val="nil"/>
              <w:left w:val="single" w:sz="4" w:space="0" w:color="auto"/>
              <w:bottom w:val="nil"/>
              <w:right w:val="nil"/>
            </w:tcBorders>
            <w:shd w:val="clear" w:color="000000" w:fill="F2F2F2"/>
            <w:hideMark/>
          </w:tcPr>
          <w:p w:rsidR="007B5401" w:rsidRPr="007B5401" w:rsidRDefault="007B5401" w:rsidP="007B5401">
            <w:pPr>
              <w:jc w:val="left"/>
              <w:rPr>
                <w:rFonts w:ascii="Arial" w:eastAsia="Times New Roman" w:hAnsi="Arial" w:cs="Arial"/>
                <w:b/>
                <w:color w:val="000000"/>
                <w:sz w:val="18"/>
                <w:szCs w:val="18"/>
              </w:rPr>
            </w:pPr>
            <w:r w:rsidRPr="007B5401">
              <w:rPr>
                <w:rFonts w:ascii="Arial" w:eastAsia="Times New Roman" w:hAnsi="Arial" w:cs="Arial"/>
                <w:b/>
                <w:color w:val="000000"/>
                <w:sz w:val="18"/>
                <w:szCs w:val="18"/>
              </w:rPr>
              <w:t> </w:t>
            </w:r>
          </w:p>
        </w:tc>
        <w:tc>
          <w:tcPr>
            <w:tcW w:w="452" w:type="dxa"/>
            <w:tcBorders>
              <w:top w:val="nil"/>
              <w:left w:val="single" w:sz="4" w:space="0" w:color="auto"/>
              <w:bottom w:val="nil"/>
              <w:right w:val="nil"/>
            </w:tcBorders>
            <w:shd w:val="clear" w:color="000000" w:fill="F2F2F2"/>
            <w:hideMark/>
          </w:tcPr>
          <w:p w:rsidR="007B5401" w:rsidRPr="007B5401" w:rsidRDefault="007B5401" w:rsidP="007B5401">
            <w:pPr>
              <w:jc w:val="left"/>
              <w:rPr>
                <w:rFonts w:ascii="Arial" w:eastAsia="Times New Roman" w:hAnsi="Arial" w:cs="Arial"/>
                <w:b/>
                <w:color w:val="000000"/>
                <w:sz w:val="18"/>
                <w:szCs w:val="18"/>
              </w:rPr>
            </w:pPr>
            <w:r w:rsidRPr="007B5401">
              <w:rPr>
                <w:rFonts w:ascii="Arial" w:eastAsia="Times New Roman" w:hAnsi="Arial" w:cs="Arial"/>
                <w:b/>
                <w:color w:val="000000"/>
                <w:sz w:val="18"/>
                <w:szCs w:val="18"/>
              </w:rPr>
              <w:t> </w:t>
            </w:r>
          </w:p>
        </w:tc>
        <w:tc>
          <w:tcPr>
            <w:tcW w:w="452" w:type="dxa"/>
            <w:tcBorders>
              <w:top w:val="nil"/>
              <w:left w:val="single" w:sz="4" w:space="0" w:color="auto"/>
              <w:bottom w:val="nil"/>
              <w:right w:val="single" w:sz="4" w:space="0" w:color="auto"/>
            </w:tcBorders>
            <w:shd w:val="clear" w:color="000000" w:fill="F2F2F2"/>
            <w:hideMark/>
          </w:tcPr>
          <w:p w:rsidR="007B5401" w:rsidRPr="007B5401" w:rsidRDefault="007B5401" w:rsidP="007B5401">
            <w:pPr>
              <w:jc w:val="left"/>
              <w:rPr>
                <w:rFonts w:ascii="Arial" w:eastAsia="Times New Roman" w:hAnsi="Arial" w:cs="Arial"/>
                <w:b/>
                <w:color w:val="000000"/>
                <w:sz w:val="18"/>
                <w:szCs w:val="18"/>
              </w:rPr>
            </w:pPr>
            <w:r w:rsidRPr="007B5401">
              <w:rPr>
                <w:rFonts w:ascii="Arial" w:eastAsia="Times New Roman" w:hAnsi="Arial" w:cs="Arial"/>
                <w:b/>
                <w:color w:val="000000"/>
                <w:sz w:val="18"/>
                <w:szCs w:val="18"/>
              </w:rPr>
              <w:t> </w:t>
            </w:r>
          </w:p>
        </w:tc>
        <w:tc>
          <w:tcPr>
            <w:tcW w:w="452" w:type="dxa"/>
            <w:tcBorders>
              <w:top w:val="nil"/>
              <w:left w:val="nil"/>
              <w:bottom w:val="nil"/>
              <w:right w:val="single" w:sz="4" w:space="0" w:color="auto"/>
            </w:tcBorders>
            <w:shd w:val="clear" w:color="000000" w:fill="F2F2F2"/>
            <w:noWrap/>
            <w:vAlign w:val="bottom"/>
            <w:hideMark/>
          </w:tcPr>
          <w:p w:rsidR="007B5401" w:rsidRPr="007B5401" w:rsidRDefault="007B5401" w:rsidP="007B5401">
            <w:pPr>
              <w:jc w:val="left"/>
              <w:rPr>
                <w:rFonts w:ascii="Arial" w:eastAsia="Times New Roman" w:hAnsi="Arial" w:cs="Arial"/>
                <w:b/>
                <w:color w:val="000000"/>
                <w:sz w:val="20"/>
                <w:szCs w:val="20"/>
              </w:rPr>
            </w:pPr>
            <w:r w:rsidRPr="007B5401">
              <w:rPr>
                <w:rFonts w:ascii="Arial" w:eastAsia="Times New Roman" w:hAnsi="Arial" w:cs="Arial"/>
                <w:b/>
                <w:color w:val="000000"/>
                <w:sz w:val="20"/>
                <w:szCs w:val="20"/>
              </w:rPr>
              <w:t> </w:t>
            </w:r>
          </w:p>
        </w:tc>
        <w:tc>
          <w:tcPr>
            <w:tcW w:w="452" w:type="dxa"/>
            <w:tcBorders>
              <w:top w:val="nil"/>
              <w:left w:val="nil"/>
              <w:bottom w:val="nil"/>
              <w:right w:val="single" w:sz="4" w:space="0" w:color="auto"/>
            </w:tcBorders>
            <w:shd w:val="clear" w:color="000000" w:fill="F2F2F2"/>
            <w:noWrap/>
            <w:vAlign w:val="bottom"/>
            <w:hideMark/>
          </w:tcPr>
          <w:p w:rsidR="007B5401" w:rsidRPr="007B5401" w:rsidRDefault="007B5401" w:rsidP="007B5401">
            <w:pPr>
              <w:jc w:val="left"/>
              <w:rPr>
                <w:rFonts w:ascii="Arial" w:eastAsia="Times New Roman" w:hAnsi="Arial" w:cs="Arial"/>
                <w:b/>
                <w:color w:val="000000"/>
                <w:sz w:val="20"/>
                <w:szCs w:val="20"/>
              </w:rPr>
            </w:pPr>
            <w:r w:rsidRPr="007B5401">
              <w:rPr>
                <w:rFonts w:ascii="Arial" w:eastAsia="Times New Roman" w:hAnsi="Arial" w:cs="Arial"/>
                <w:b/>
                <w:color w:val="000000"/>
                <w:sz w:val="20"/>
                <w:szCs w:val="20"/>
              </w:rPr>
              <w:t> </w:t>
            </w:r>
          </w:p>
        </w:tc>
        <w:tc>
          <w:tcPr>
            <w:tcW w:w="452" w:type="dxa"/>
            <w:tcBorders>
              <w:top w:val="nil"/>
              <w:left w:val="nil"/>
              <w:bottom w:val="nil"/>
              <w:right w:val="single" w:sz="4" w:space="0" w:color="auto"/>
            </w:tcBorders>
            <w:shd w:val="clear" w:color="000000" w:fill="F2F2F2"/>
            <w:noWrap/>
            <w:vAlign w:val="bottom"/>
            <w:hideMark/>
          </w:tcPr>
          <w:p w:rsidR="007B5401" w:rsidRPr="007B5401" w:rsidRDefault="007B5401" w:rsidP="007B5401">
            <w:pPr>
              <w:jc w:val="left"/>
              <w:rPr>
                <w:rFonts w:ascii="Arial" w:eastAsia="Times New Roman" w:hAnsi="Arial" w:cs="Arial"/>
                <w:b/>
                <w:color w:val="000000"/>
                <w:sz w:val="20"/>
                <w:szCs w:val="20"/>
              </w:rPr>
            </w:pPr>
            <w:r w:rsidRPr="007B5401">
              <w:rPr>
                <w:rFonts w:ascii="Arial" w:eastAsia="Times New Roman" w:hAnsi="Arial" w:cs="Arial"/>
                <w:b/>
                <w:color w:val="000000"/>
                <w:sz w:val="20"/>
                <w:szCs w:val="20"/>
              </w:rPr>
              <w:t> </w:t>
            </w:r>
          </w:p>
        </w:tc>
        <w:tc>
          <w:tcPr>
            <w:tcW w:w="452" w:type="dxa"/>
            <w:tcBorders>
              <w:top w:val="nil"/>
              <w:left w:val="nil"/>
              <w:bottom w:val="nil"/>
              <w:right w:val="single" w:sz="4" w:space="0" w:color="auto"/>
            </w:tcBorders>
            <w:shd w:val="clear" w:color="000000" w:fill="F2F2F2"/>
            <w:noWrap/>
            <w:vAlign w:val="bottom"/>
            <w:hideMark/>
          </w:tcPr>
          <w:p w:rsidR="007B5401" w:rsidRPr="007B5401" w:rsidRDefault="007B5401" w:rsidP="007B5401">
            <w:pPr>
              <w:jc w:val="left"/>
              <w:rPr>
                <w:rFonts w:ascii="Arial" w:eastAsia="Times New Roman" w:hAnsi="Arial" w:cs="Arial"/>
                <w:b/>
                <w:color w:val="000000"/>
                <w:sz w:val="20"/>
                <w:szCs w:val="20"/>
              </w:rPr>
            </w:pPr>
            <w:r w:rsidRPr="007B5401">
              <w:rPr>
                <w:rFonts w:ascii="Arial" w:eastAsia="Times New Roman" w:hAnsi="Arial" w:cs="Arial"/>
                <w:b/>
                <w:color w:val="000000"/>
                <w:sz w:val="20"/>
                <w:szCs w:val="20"/>
              </w:rPr>
              <w:t> </w:t>
            </w:r>
          </w:p>
        </w:tc>
        <w:tc>
          <w:tcPr>
            <w:tcW w:w="452" w:type="dxa"/>
            <w:tcBorders>
              <w:top w:val="nil"/>
              <w:left w:val="nil"/>
              <w:bottom w:val="nil"/>
              <w:right w:val="single" w:sz="4" w:space="0" w:color="auto"/>
            </w:tcBorders>
            <w:shd w:val="clear" w:color="000000" w:fill="F2F2F2"/>
            <w:hideMark/>
          </w:tcPr>
          <w:p w:rsidR="007B5401" w:rsidRPr="007B5401" w:rsidRDefault="007B5401" w:rsidP="007B5401">
            <w:pPr>
              <w:jc w:val="center"/>
              <w:rPr>
                <w:rFonts w:ascii="Wingdings 2" w:eastAsia="Times New Roman" w:hAnsi="Wingdings 2" w:cs="Arial"/>
                <w:b/>
                <w:color w:val="000000"/>
                <w:sz w:val="18"/>
                <w:szCs w:val="18"/>
              </w:rPr>
            </w:pPr>
            <w:r w:rsidRPr="007B5401">
              <w:rPr>
                <w:rFonts w:ascii="Wingdings 2" w:eastAsia="Times New Roman" w:hAnsi="Wingdings 2" w:cs="Arial"/>
                <w:b/>
                <w:color w:val="000000"/>
                <w:sz w:val="18"/>
                <w:szCs w:val="18"/>
              </w:rPr>
              <w:t></w:t>
            </w:r>
          </w:p>
        </w:tc>
        <w:tc>
          <w:tcPr>
            <w:tcW w:w="452" w:type="dxa"/>
            <w:tcBorders>
              <w:top w:val="nil"/>
              <w:left w:val="nil"/>
              <w:bottom w:val="nil"/>
              <w:right w:val="single" w:sz="4" w:space="0" w:color="auto"/>
            </w:tcBorders>
            <w:shd w:val="clear" w:color="000000" w:fill="F2F2F2"/>
          </w:tcPr>
          <w:p w:rsidR="007B5401" w:rsidRPr="007B5401" w:rsidRDefault="007B5401" w:rsidP="007B5401">
            <w:pPr>
              <w:jc w:val="center"/>
              <w:rPr>
                <w:rFonts w:ascii="Wingdings 2" w:eastAsia="Times New Roman" w:hAnsi="Wingdings 2" w:cs="Arial"/>
                <w:b/>
                <w:color w:val="000000"/>
                <w:sz w:val="18"/>
                <w:szCs w:val="18"/>
              </w:rPr>
            </w:pPr>
          </w:p>
        </w:tc>
        <w:tc>
          <w:tcPr>
            <w:tcW w:w="452" w:type="dxa"/>
            <w:tcBorders>
              <w:top w:val="nil"/>
              <w:left w:val="nil"/>
              <w:bottom w:val="nil"/>
              <w:right w:val="single" w:sz="4" w:space="0" w:color="auto"/>
            </w:tcBorders>
            <w:shd w:val="clear" w:color="000000" w:fill="F2F2F2"/>
          </w:tcPr>
          <w:p w:rsidR="007B5401" w:rsidRPr="007B5401" w:rsidRDefault="007B5401" w:rsidP="007B5401">
            <w:pPr>
              <w:jc w:val="center"/>
              <w:rPr>
                <w:rFonts w:ascii="Wingdings 2" w:eastAsia="Times New Roman" w:hAnsi="Wingdings 2" w:cs="Arial"/>
                <w:b/>
                <w:color w:val="000000"/>
                <w:sz w:val="18"/>
                <w:szCs w:val="18"/>
              </w:rPr>
            </w:pPr>
          </w:p>
        </w:tc>
        <w:tc>
          <w:tcPr>
            <w:tcW w:w="452" w:type="dxa"/>
            <w:tcBorders>
              <w:top w:val="nil"/>
              <w:left w:val="nil"/>
              <w:bottom w:val="nil"/>
              <w:right w:val="single" w:sz="4" w:space="0" w:color="auto"/>
            </w:tcBorders>
            <w:shd w:val="clear" w:color="000000" w:fill="F2F2F2"/>
            <w:noWrap/>
            <w:vAlign w:val="bottom"/>
            <w:hideMark/>
          </w:tcPr>
          <w:p w:rsidR="007B5401" w:rsidRPr="007B5401" w:rsidRDefault="007B5401" w:rsidP="007B5401">
            <w:pPr>
              <w:jc w:val="left"/>
              <w:rPr>
                <w:rFonts w:ascii="Arial" w:eastAsia="Times New Roman" w:hAnsi="Arial" w:cs="Arial"/>
                <w:b/>
                <w:color w:val="000000"/>
                <w:sz w:val="20"/>
                <w:szCs w:val="20"/>
              </w:rPr>
            </w:pPr>
            <w:r w:rsidRPr="007B5401">
              <w:rPr>
                <w:rFonts w:ascii="Arial" w:eastAsia="Times New Roman" w:hAnsi="Arial" w:cs="Arial"/>
                <w:b/>
                <w:color w:val="000000"/>
                <w:sz w:val="20"/>
                <w:szCs w:val="20"/>
              </w:rPr>
              <w:t> </w:t>
            </w:r>
          </w:p>
        </w:tc>
      </w:tr>
      <w:tr w:rsidR="007B5401" w:rsidRPr="007B5401" w:rsidTr="007B5401">
        <w:trPr>
          <w:trHeight w:val="255"/>
        </w:trPr>
        <w:tc>
          <w:tcPr>
            <w:tcW w:w="124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5401" w:rsidRPr="007B5401" w:rsidRDefault="007B5401" w:rsidP="007B5401">
            <w:pPr>
              <w:jc w:val="center"/>
              <w:rPr>
                <w:rFonts w:ascii="Arial" w:eastAsia="Times New Roman" w:hAnsi="Arial" w:cs="Arial"/>
                <w:color w:val="000000"/>
                <w:sz w:val="18"/>
                <w:szCs w:val="18"/>
              </w:rPr>
            </w:pPr>
            <w:r w:rsidRPr="007B5401">
              <w:rPr>
                <w:rFonts w:ascii="Arial" w:eastAsia="Times New Roman" w:hAnsi="Arial" w:cs="Arial"/>
                <w:color w:val="000000"/>
                <w:sz w:val="18"/>
                <w:szCs w:val="18"/>
              </w:rPr>
              <w:t>Residential</w:t>
            </w:r>
          </w:p>
        </w:tc>
        <w:tc>
          <w:tcPr>
            <w:tcW w:w="3551" w:type="dxa"/>
            <w:tcBorders>
              <w:top w:val="single" w:sz="4" w:space="0" w:color="auto"/>
              <w:left w:val="nil"/>
              <w:bottom w:val="nil"/>
              <w:right w:val="nil"/>
            </w:tcBorders>
            <w:shd w:val="clear" w:color="auto" w:fill="auto"/>
            <w:hideMark/>
          </w:tcPr>
          <w:p w:rsidR="007B5401" w:rsidRPr="007B5401" w:rsidRDefault="007B5401" w:rsidP="007B5401">
            <w:pPr>
              <w:jc w:val="left"/>
              <w:rPr>
                <w:rFonts w:ascii="Arial" w:eastAsia="Times New Roman" w:hAnsi="Arial" w:cs="Arial"/>
                <w:color w:val="000000"/>
                <w:sz w:val="18"/>
                <w:szCs w:val="18"/>
              </w:rPr>
            </w:pPr>
            <w:r w:rsidRPr="007B5401">
              <w:rPr>
                <w:rFonts w:ascii="Arial" w:eastAsia="Times New Roman" w:hAnsi="Arial" w:cs="Arial"/>
                <w:color w:val="000000"/>
                <w:sz w:val="18"/>
                <w:szCs w:val="18"/>
              </w:rPr>
              <w:t>Boilers</w:t>
            </w:r>
          </w:p>
        </w:tc>
        <w:tc>
          <w:tcPr>
            <w:tcW w:w="453" w:type="dxa"/>
            <w:tcBorders>
              <w:top w:val="single" w:sz="4" w:space="0" w:color="auto"/>
              <w:left w:val="single" w:sz="4" w:space="0" w:color="auto"/>
              <w:bottom w:val="nil"/>
              <w:right w:val="single" w:sz="4" w:space="0" w:color="auto"/>
            </w:tcBorders>
            <w:shd w:val="clear" w:color="auto" w:fill="auto"/>
            <w:hideMark/>
          </w:tcPr>
          <w:p w:rsidR="007B5401" w:rsidRPr="007B5401" w:rsidRDefault="007B5401" w:rsidP="007B5401">
            <w:pPr>
              <w:jc w:val="left"/>
              <w:rPr>
                <w:rFonts w:ascii="Arial" w:eastAsia="Times New Roman" w:hAnsi="Arial" w:cs="Arial"/>
                <w:color w:val="000000"/>
                <w:sz w:val="18"/>
                <w:szCs w:val="18"/>
              </w:rPr>
            </w:pPr>
            <w:r w:rsidRPr="007B5401">
              <w:rPr>
                <w:rFonts w:ascii="Arial" w:eastAsia="Times New Roman" w:hAnsi="Arial" w:cs="Arial"/>
                <w:color w:val="000000"/>
                <w:sz w:val="18"/>
                <w:szCs w:val="18"/>
              </w:rPr>
              <w:t> </w:t>
            </w:r>
          </w:p>
        </w:tc>
        <w:tc>
          <w:tcPr>
            <w:tcW w:w="452" w:type="dxa"/>
            <w:tcBorders>
              <w:top w:val="single" w:sz="4" w:space="0" w:color="auto"/>
              <w:left w:val="nil"/>
              <w:bottom w:val="nil"/>
              <w:right w:val="single" w:sz="4" w:space="0" w:color="auto"/>
            </w:tcBorders>
            <w:shd w:val="clear" w:color="auto" w:fill="auto"/>
            <w:hideMark/>
          </w:tcPr>
          <w:p w:rsidR="007B5401" w:rsidRPr="007B5401" w:rsidRDefault="007B5401" w:rsidP="007B5401">
            <w:pPr>
              <w:jc w:val="left"/>
              <w:rPr>
                <w:rFonts w:ascii="Arial" w:eastAsia="Times New Roman" w:hAnsi="Arial" w:cs="Arial"/>
                <w:color w:val="000000"/>
                <w:sz w:val="18"/>
                <w:szCs w:val="18"/>
              </w:rPr>
            </w:pPr>
            <w:r w:rsidRPr="007B5401">
              <w:rPr>
                <w:rFonts w:ascii="Arial" w:eastAsia="Times New Roman" w:hAnsi="Arial" w:cs="Arial"/>
                <w:color w:val="000000"/>
                <w:sz w:val="18"/>
                <w:szCs w:val="18"/>
              </w:rPr>
              <w:t> </w:t>
            </w:r>
          </w:p>
        </w:tc>
        <w:tc>
          <w:tcPr>
            <w:tcW w:w="452" w:type="dxa"/>
            <w:tcBorders>
              <w:top w:val="single" w:sz="4" w:space="0" w:color="auto"/>
              <w:left w:val="nil"/>
              <w:bottom w:val="nil"/>
              <w:right w:val="single" w:sz="4" w:space="0" w:color="auto"/>
            </w:tcBorders>
            <w:shd w:val="clear" w:color="auto" w:fill="auto"/>
            <w:hideMark/>
          </w:tcPr>
          <w:p w:rsidR="007B5401" w:rsidRPr="007B5401" w:rsidRDefault="007B5401" w:rsidP="007B5401">
            <w:pPr>
              <w:jc w:val="center"/>
              <w:rPr>
                <w:rFonts w:ascii="Wingdings 2" w:eastAsia="Times New Roman" w:hAnsi="Wingdings 2" w:cs="Arial"/>
                <w:color w:val="000000"/>
                <w:sz w:val="18"/>
                <w:szCs w:val="18"/>
              </w:rPr>
            </w:pPr>
            <w:r w:rsidRPr="007B5401">
              <w:rPr>
                <w:rFonts w:ascii="Wingdings 2" w:eastAsia="Times New Roman" w:hAnsi="Wingdings 2" w:cs="Arial"/>
                <w:color w:val="000000"/>
                <w:sz w:val="18"/>
                <w:szCs w:val="18"/>
              </w:rPr>
              <w:t></w:t>
            </w:r>
          </w:p>
        </w:tc>
        <w:tc>
          <w:tcPr>
            <w:tcW w:w="452" w:type="dxa"/>
            <w:tcBorders>
              <w:top w:val="single" w:sz="4" w:space="0" w:color="auto"/>
              <w:left w:val="nil"/>
              <w:bottom w:val="nil"/>
              <w:right w:val="single" w:sz="4" w:space="0" w:color="auto"/>
            </w:tcBorders>
            <w:shd w:val="clear" w:color="auto" w:fill="auto"/>
            <w:noWrap/>
            <w:vAlign w:val="bottom"/>
            <w:hideMark/>
          </w:tcPr>
          <w:p w:rsidR="007B5401" w:rsidRPr="007B5401" w:rsidRDefault="007B5401" w:rsidP="007B5401">
            <w:pPr>
              <w:jc w:val="left"/>
              <w:rPr>
                <w:rFonts w:ascii="Arial" w:eastAsia="Times New Roman" w:hAnsi="Arial" w:cs="Arial"/>
                <w:color w:val="000000"/>
                <w:sz w:val="20"/>
                <w:szCs w:val="20"/>
              </w:rPr>
            </w:pPr>
            <w:r w:rsidRPr="007B5401">
              <w:rPr>
                <w:rFonts w:ascii="Arial" w:eastAsia="Times New Roman" w:hAnsi="Arial" w:cs="Arial"/>
                <w:color w:val="000000"/>
                <w:sz w:val="20"/>
                <w:szCs w:val="20"/>
              </w:rPr>
              <w:t> </w:t>
            </w:r>
          </w:p>
        </w:tc>
        <w:tc>
          <w:tcPr>
            <w:tcW w:w="452" w:type="dxa"/>
            <w:tcBorders>
              <w:top w:val="single" w:sz="4" w:space="0" w:color="auto"/>
              <w:left w:val="nil"/>
              <w:bottom w:val="nil"/>
              <w:right w:val="single" w:sz="4" w:space="0" w:color="auto"/>
            </w:tcBorders>
            <w:shd w:val="clear" w:color="auto" w:fill="auto"/>
            <w:noWrap/>
            <w:vAlign w:val="bottom"/>
            <w:hideMark/>
          </w:tcPr>
          <w:p w:rsidR="007B5401" w:rsidRPr="007B5401" w:rsidRDefault="007B5401" w:rsidP="007B5401">
            <w:pPr>
              <w:jc w:val="left"/>
              <w:rPr>
                <w:rFonts w:ascii="Arial" w:eastAsia="Times New Roman" w:hAnsi="Arial" w:cs="Arial"/>
                <w:color w:val="000000"/>
                <w:sz w:val="20"/>
                <w:szCs w:val="20"/>
              </w:rPr>
            </w:pPr>
            <w:r w:rsidRPr="007B5401">
              <w:rPr>
                <w:rFonts w:ascii="Arial" w:eastAsia="Times New Roman" w:hAnsi="Arial" w:cs="Arial"/>
                <w:color w:val="000000"/>
                <w:sz w:val="20"/>
                <w:szCs w:val="20"/>
              </w:rPr>
              <w:t> </w:t>
            </w:r>
          </w:p>
        </w:tc>
        <w:tc>
          <w:tcPr>
            <w:tcW w:w="452" w:type="dxa"/>
            <w:tcBorders>
              <w:top w:val="single" w:sz="4" w:space="0" w:color="auto"/>
              <w:left w:val="nil"/>
              <w:bottom w:val="nil"/>
              <w:right w:val="single" w:sz="4" w:space="0" w:color="auto"/>
            </w:tcBorders>
            <w:shd w:val="clear" w:color="auto" w:fill="auto"/>
            <w:noWrap/>
            <w:vAlign w:val="bottom"/>
            <w:hideMark/>
          </w:tcPr>
          <w:p w:rsidR="007B5401" w:rsidRPr="007B5401" w:rsidRDefault="007B5401" w:rsidP="007B5401">
            <w:pPr>
              <w:jc w:val="left"/>
              <w:rPr>
                <w:rFonts w:ascii="Arial" w:eastAsia="Times New Roman" w:hAnsi="Arial" w:cs="Arial"/>
                <w:color w:val="000000"/>
                <w:sz w:val="20"/>
                <w:szCs w:val="20"/>
              </w:rPr>
            </w:pPr>
            <w:r w:rsidRPr="007B5401">
              <w:rPr>
                <w:rFonts w:ascii="Arial" w:eastAsia="Times New Roman" w:hAnsi="Arial" w:cs="Arial"/>
                <w:color w:val="000000"/>
                <w:sz w:val="20"/>
                <w:szCs w:val="20"/>
              </w:rPr>
              <w:t> </w:t>
            </w:r>
          </w:p>
        </w:tc>
        <w:tc>
          <w:tcPr>
            <w:tcW w:w="452" w:type="dxa"/>
            <w:tcBorders>
              <w:top w:val="single" w:sz="4" w:space="0" w:color="auto"/>
              <w:left w:val="nil"/>
              <w:bottom w:val="nil"/>
              <w:right w:val="single" w:sz="4" w:space="0" w:color="auto"/>
            </w:tcBorders>
            <w:shd w:val="clear" w:color="auto" w:fill="auto"/>
            <w:noWrap/>
            <w:vAlign w:val="bottom"/>
            <w:hideMark/>
          </w:tcPr>
          <w:p w:rsidR="007B5401" w:rsidRPr="007B5401" w:rsidRDefault="007B5401" w:rsidP="007B5401">
            <w:pPr>
              <w:jc w:val="left"/>
              <w:rPr>
                <w:rFonts w:ascii="Arial" w:eastAsia="Times New Roman" w:hAnsi="Arial" w:cs="Arial"/>
                <w:color w:val="000000"/>
                <w:sz w:val="20"/>
                <w:szCs w:val="20"/>
              </w:rPr>
            </w:pPr>
            <w:r w:rsidRPr="007B5401">
              <w:rPr>
                <w:rFonts w:ascii="Arial" w:eastAsia="Times New Roman" w:hAnsi="Arial" w:cs="Arial"/>
                <w:color w:val="000000"/>
                <w:sz w:val="20"/>
                <w:szCs w:val="20"/>
              </w:rPr>
              <w:t> </w:t>
            </w:r>
          </w:p>
        </w:tc>
        <w:tc>
          <w:tcPr>
            <w:tcW w:w="452" w:type="dxa"/>
            <w:tcBorders>
              <w:top w:val="single" w:sz="4" w:space="0" w:color="auto"/>
              <w:left w:val="nil"/>
              <w:bottom w:val="nil"/>
              <w:right w:val="single" w:sz="4" w:space="0" w:color="auto"/>
            </w:tcBorders>
            <w:shd w:val="clear" w:color="auto" w:fill="auto"/>
            <w:noWrap/>
            <w:vAlign w:val="bottom"/>
            <w:hideMark/>
          </w:tcPr>
          <w:p w:rsidR="007B5401" w:rsidRPr="007B5401" w:rsidRDefault="007B5401" w:rsidP="007B5401">
            <w:pPr>
              <w:jc w:val="left"/>
              <w:rPr>
                <w:rFonts w:ascii="Arial" w:eastAsia="Times New Roman" w:hAnsi="Arial" w:cs="Arial"/>
                <w:color w:val="000000"/>
                <w:sz w:val="20"/>
                <w:szCs w:val="20"/>
              </w:rPr>
            </w:pPr>
            <w:r w:rsidRPr="007B5401">
              <w:rPr>
                <w:rFonts w:ascii="Arial" w:eastAsia="Times New Roman" w:hAnsi="Arial" w:cs="Arial"/>
                <w:color w:val="000000"/>
                <w:sz w:val="20"/>
                <w:szCs w:val="20"/>
              </w:rPr>
              <w:t> </w:t>
            </w:r>
          </w:p>
        </w:tc>
        <w:tc>
          <w:tcPr>
            <w:tcW w:w="452" w:type="dxa"/>
            <w:tcBorders>
              <w:top w:val="single" w:sz="4" w:space="0" w:color="auto"/>
              <w:left w:val="nil"/>
              <w:bottom w:val="nil"/>
              <w:right w:val="single" w:sz="4" w:space="0" w:color="auto"/>
            </w:tcBorders>
            <w:shd w:val="clear" w:color="auto" w:fill="auto"/>
            <w:noWrap/>
            <w:vAlign w:val="bottom"/>
            <w:hideMark/>
          </w:tcPr>
          <w:p w:rsidR="007B5401" w:rsidRPr="007B5401" w:rsidRDefault="007B5401" w:rsidP="007B5401">
            <w:pPr>
              <w:jc w:val="left"/>
              <w:rPr>
                <w:rFonts w:ascii="Arial" w:eastAsia="Times New Roman" w:hAnsi="Arial" w:cs="Arial"/>
                <w:color w:val="000000"/>
                <w:sz w:val="20"/>
                <w:szCs w:val="20"/>
              </w:rPr>
            </w:pPr>
            <w:r w:rsidRPr="007B5401">
              <w:rPr>
                <w:rFonts w:ascii="Arial" w:eastAsia="Times New Roman" w:hAnsi="Arial" w:cs="Arial"/>
                <w:color w:val="000000"/>
                <w:sz w:val="20"/>
                <w:szCs w:val="20"/>
              </w:rPr>
              <w:t> </w:t>
            </w:r>
          </w:p>
        </w:tc>
        <w:tc>
          <w:tcPr>
            <w:tcW w:w="452" w:type="dxa"/>
            <w:tcBorders>
              <w:top w:val="single" w:sz="4" w:space="0" w:color="auto"/>
              <w:left w:val="nil"/>
              <w:bottom w:val="nil"/>
              <w:right w:val="single" w:sz="4" w:space="0" w:color="auto"/>
            </w:tcBorders>
            <w:shd w:val="clear" w:color="auto" w:fill="auto"/>
            <w:noWrap/>
            <w:vAlign w:val="bottom"/>
            <w:hideMark/>
          </w:tcPr>
          <w:p w:rsidR="007B5401" w:rsidRPr="007B5401" w:rsidRDefault="007B5401" w:rsidP="007B5401">
            <w:pPr>
              <w:jc w:val="left"/>
              <w:rPr>
                <w:rFonts w:ascii="Arial" w:eastAsia="Times New Roman" w:hAnsi="Arial" w:cs="Arial"/>
                <w:color w:val="000000"/>
                <w:sz w:val="20"/>
                <w:szCs w:val="20"/>
              </w:rPr>
            </w:pPr>
            <w:r w:rsidRPr="007B5401">
              <w:rPr>
                <w:rFonts w:ascii="Arial" w:eastAsia="Times New Roman" w:hAnsi="Arial" w:cs="Arial"/>
                <w:color w:val="000000"/>
                <w:sz w:val="20"/>
                <w:szCs w:val="20"/>
              </w:rPr>
              <w:t> </w:t>
            </w:r>
          </w:p>
        </w:tc>
        <w:tc>
          <w:tcPr>
            <w:tcW w:w="452" w:type="dxa"/>
            <w:tcBorders>
              <w:top w:val="single" w:sz="4" w:space="0" w:color="auto"/>
              <w:left w:val="nil"/>
              <w:bottom w:val="nil"/>
              <w:right w:val="single" w:sz="4" w:space="0" w:color="auto"/>
            </w:tcBorders>
            <w:shd w:val="clear" w:color="auto" w:fill="auto"/>
            <w:noWrap/>
            <w:vAlign w:val="bottom"/>
            <w:hideMark/>
          </w:tcPr>
          <w:p w:rsidR="007B5401" w:rsidRPr="007B5401" w:rsidRDefault="007B5401" w:rsidP="007B5401">
            <w:pPr>
              <w:jc w:val="left"/>
              <w:rPr>
                <w:rFonts w:ascii="Arial" w:eastAsia="Times New Roman" w:hAnsi="Arial" w:cs="Arial"/>
                <w:color w:val="000000"/>
                <w:sz w:val="20"/>
                <w:szCs w:val="20"/>
              </w:rPr>
            </w:pPr>
            <w:r w:rsidRPr="007B5401">
              <w:rPr>
                <w:rFonts w:ascii="Arial" w:eastAsia="Times New Roman" w:hAnsi="Arial" w:cs="Arial"/>
                <w:color w:val="000000"/>
                <w:sz w:val="20"/>
                <w:szCs w:val="20"/>
              </w:rPr>
              <w:t> </w:t>
            </w:r>
          </w:p>
        </w:tc>
      </w:tr>
      <w:tr w:rsidR="007B5401" w:rsidRPr="007B5401" w:rsidTr="007B5401">
        <w:trPr>
          <w:trHeight w:val="255"/>
        </w:trPr>
        <w:tc>
          <w:tcPr>
            <w:tcW w:w="1247" w:type="dxa"/>
            <w:vMerge/>
            <w:tcBorders>
              <w:top w:val="single" w:sz="4" w:space="0" w:color="auto"/>
              <w:left w:val="single" w:sz="4" w:space="0" w:color="auto"/>
              <w:bottom w:val="single" w:sz="4" w:space="0" w:color="000000"/>
              <w:right w:val="single" w:sz="4" w:space="0" w:color="auto"/>
            </w:tcBorders>
            <w:vAlign w:val="center"/>
            <w:hideMark/>
          </w:tcPr>
          <w:p w:rsidR="007B5401" w:rsidRPr="007B5401" w:rsidRDefault="007B5401" w:rsidP="007B5401">
            <w:pPr>
              <w:jc w:val="left"/>
              <w:rPr>
                <w:rFonts w:ascii="Arial" w:eastAsia="Times New Roman" w:hAnsi="Arial" w:cs="Arial"/>
                <w:color w:val="000000"/>
                <w:sz w:val="18"/>
                <w:szCs w:val="18"/>
              </w:rPr>
            </w:pPr>
          </w:p>
        </w:tc>
        <w:tc>
          <w:tcPr>
            <w:tcW w:w="3551" w:type="dxa"/>
            <w:tcBorders>
              <w:top w:val="nil"/>
              <w:left w:val="nil"/>
              <w:bottom w:val="nil"/>
              <w:right w:val="nil"/>
            </w:tcBorders>
            <w:shd w:val="clear" w:color="000000" w:fill="F2F2F2"/>
            <w:hideMark/>
          </w:tcPr>
          <w:p w:rsidR="007B5401" w:rsidRPr="007B5401" w:rsidRDefault="007B5401" w:rsidP="007B5401">
            <w:pPr>
              <w:jc w:val="left"/>
              <w:rPr>
                <w:rFonts w:ascii="Arial" w:eastAsia="Times New Roman" w:hAnsi="Arial" w:cs="Arial"/>
                <w:b/>
                <w:color w:val="000000"/>
                <w:sz w:val="18"/>
                <w:szCs w:val="18"/>
              </w:rPr>
            </w:pPr>
            <w:r w:rsidRPr="007B5401">
              <w:rPr>
                <w:rFonts w:ascii="Arial" w:eastAsia="Times New Roman" w:hAnsi="Arial" w:cs="Arial"/>
                <w:b/>
                <w:color w:val="000000"/>
                <w:sz w:val="18"/>
                <w:szCs w:val="18"/>
              </w:rPr>
              <w:t>Central Air Conditioners and Heat Pumps</w:t>
            </w:r>
          </w:p>
        </w:tc>
        <w:tc>
          <w:tcPr>
            <w:tcW w:w="453" w:type="dxa"/>
            <w:tcBorders>
              <w:top w:val="nil"/>
              <w:left w:val="single" w:sz="4" w:space="0" w:color="auto"/>
              <w:bottom w:val="nil"/>
              <w:right w:val="single" w:sz="4" w:space="0" w:color="auto"/>
            </w:tcBorders>
            <w:shd w:val="clear" w:color="000000" w:fill="F2F2F2"/>
            <w:hideMark/>
          </w:tcPr>
          <w:p w:rsidR="007B5401" w:rsidRPr="007B5401" w:rsidRDefault="007B5401" w:rsidP="007B5401">
            <w:pPr>
              <w:jc w:val="left"/>
              <w:rPr>
                <w:rFonts w:ascii="Arial" w:eastAsia="Times New Roman" w:hAnsi="Arial" w:cs="Arial"/>
                <w:b/>
                <w:color w:val="000000"/>
                <w:sz w:val="18"/>
                <w:szCs w:val="18"/>
              </w:rPr>
            </w:pPr>
            <w:r w:rsidRPr="007B5401">
              <w:rPr>
                <w:rFonts w:ascii="Arial" w:eastAsia="Times New Roman" w:hAnsi="Arial" w:cs="Arial"/>
                <w:b/>
                <w:color w:val="000000"/>
                <w:sz w:val="18"/>
                <w:szCs w:val="18"/>
              </w:rPr>
              <w:t> </w:t>
            </w:r>
          </w:p>
        </w:tc>
        <w:tc>
          <w:tcPr>
            <w:tcW w:w="452" w:type="dxa"/>
            <w:tcBorders>
              <w:top w:val="nil"/>
              <w:left w:val="nil"/>
              <w:bottom w:val="nil"/>
              <w:right w:val="single" w:sz="4" w:space="0" w:color="auto"/>
            </w:tcBorders>
            <w:shd w:val="clear" w:color="000000" w:fill="F2F2F2"/>
            <w:hideMark/>
          </w:tcPr>
          <w:p w:rsidR="007B5401" w:rsidRPr="007B5401" w:rsidRDefault="007B5401" w:rsidP="007B5401">
            <w:pPr>
              <w:jc w:val="left"/>
              <w:rPr>
                <w:rFonts w:ascii="Arial" w:eastAsia="Times New Roman" w:hAnsi="Arial" w:cs="Arial"/>
                <w:b/>
                <w:color w:val="000000"/>
                <w:sz w:val="18"/>
                <w:szCs w:val="18"/>
              </w:rPr>
            </w:pPr>
            <w:r w:rsidRPr="007B5401">
              <w:rPr>
                <w:rFonts w:ascii="Arial" w:eastAsia="Times New Roman" w:hAnsi="Arial" w:cs="Arial"/>
                <w:b/>
                <w:color w:val="000000"/>
                <w:sz w:val="18"/>
                <w:szCs w:val="18"/>
              </w:rPr>
              <w:t> </w:t>
            </w:r>
          </w:p>
        </w:tc>
        <w:tc>
          <w:tcPr>
            <w:tcW w:w="452" w:type="dxa"/>
            <w:tcBorders>
              <w:top w:val="nil"/>
              <w:left w:val="nil"/>
              <w:bottom w:val="nil"/>
              <w:right w:val="single" w:sz="4" w:space="0" w:color="auto"/>
            </w:tcBorders>
            <w:shd w:val="clear" w:color="000000" w:fill="F2F2F2"/>
          </w:tcPr>
          <w:p w:rsidR="007B5401" w:rsidRPr="007B5401" w:rsidRDefault="007B5401" w:rsidP="007B5401">
            <w:pPr>
              <w:jc w:val="center"/>
              <w:rPr>
                <w:rFonts w:ascii="Wingdings 2" w:eastAsia="Times New Roman" w:hAnsi="Wingdings 2" w:cs="Arial"/>
                <w:b/>
                <w:color w:val="000000"/>
                <w:sz w:val="18"/>
                <w:szCs w:val="18"/>
              </w:rPr>
            </w:pPr>
          </w:p>
        </w:tc>
        <w:tc>
          <w:tcPr>
            <w:tcW w:w="452" w:type="dxa"/>
            <w:tcBorders>
              <w:top w:val="nil"/>
              <w:left w:val="nil"/>
              <w:bottom w:val="nil"/>
              <w:right w:val="single" w:sz="4" w:space="0" w:color="auto"/>
            </w:tcBorders>
            <w:shd w:val="clear" w:color="000000" w:fill="F2F2F2"/>
            <w:noWrap/>
            <w:vAlign w:val="bottom"/>
          </w:tcPr>
          <w:p w:rsidR="007B5401" w:rsidRPr="007B5401" w:rsidRDefault="007B5401" w:rsidP="007B5401">
            <w:pPr>
              <w:jc w:val="left"/>
              <w:rPr>
                <w:rFonts w:ascii="Arial" w:eastAsia="Times New Roman" w:hAnsi="Arial" w:cs="Arial"/>
                <w:b/>
                <w:color w:val="000000"/>
                <w:sz w:val="20"/>
                <w:szCs w:val="20"/>
              </w:rPr>
            </w:pPr>
          </w:p>
        </w:tc>
        <w:tc>
          <w:tcPr>
            <w:tcW w:w="452" w:type="dxa"/>
            <w:tcBorders>
              <w:top w:val="nil"/>
              <w:left w:val="nil"/>
              <w:bottom w:val="nil"/>
              <w:right w:val="single" w:sz="4" w:space="0" w:color="auto"/>
            </w:tcBorders>
            <w:shd w:val="clear" w:color="000000" w:fill="F2F2F2"/>
            <w:noWrap/>
            <w:vAlign w:val="bottom"/>
          </w:tcPr>
          <w:p w:rsidR="007B5401" w:rsidRPr="007B5401" w:rsidRDefault="007B5401" w:rsidP="007B5401">
            <w:pPr>
              <w:jc w:val="left"/>
              <w:rPr>
                <w:rFonts w:ascii="Arial" w:eastAsia="Times New Roman" w:hAnsi="Arial" w:cs="Arial"/>
                <w:b/>
                <w:color w:val="000000"/>
                <w:sz w:val="20"/>
                <w:szCs w:val="20"/>
              </w:rPr>
            </w:pPr>
          </w:p>
        </w:tc>
        <w:tc>
          <w:tcPr>
            <w:tcW w:w="452" w:type="dxa"/>
            <w:tcBorders>
              <w:top w:val="nil"/>
              <w:left w:val="nil"/>
              <w:bottom w:val="nil"/>
              <w:right w:val="single" w:sz="4" w:space="0" w:color="auto"/>
            </w:tcBorders>
            <w:shd w:val="clear" w:color="000000" w:fill="F2F2F2"/>
            <w:hideMark/>
          </w:tcPr>
          <w:p w:rsidR="007B5401" w:rsidRPr="007B5401" w:rsidRDefault="007B5401" w:rsidP="007B5401">
            <w:pPr>
              <w:jc w:val="center"/>
              <w:rPr>
                <w:rFonts w:ascii="Wingdings 2" w:eastAsia="Times New Roman" w:hAnsi="Wingdings 2" w:cs="Arial"/>
                <w:b/>
                <w:color w:val="000000"/>
                <w:sz w:val="18"/>
                <w:szCs w:val="18"/>
              </w:rPr>
            </w:pPr>
            <w:r w:rsidRPr="007B5401">
              <w:rPr>
                <w:rFonts w:ascii="Wingdings 2" w:eastAsia="Times New Roman" w:hAnsi="Wingdings 2" w:cs="Arial"/>
                <w:b/>
                <w:color w:val="000000"/>
                <w:sz w:val="18"/>
                <w:szCs w:val="18"/>
              </w:rPr>
              <w:t></w:t>
            </w:r>
          </w:p>
        </w:tc>
        <w:tc>
          <w:tcPr>
            <w:tcW w:w="452" w:type="dxa"/>
            <w:tcBorders>
              <w:top w:val="nil"/>
              <w:left w:val="nil"/>
              <w:bottom w:val="nil"/>
              <w:right w:val="single" w:sz="4" w:space="0" w:color="auto"/>
            </w:tcBorders>
            <w:shd w:val="clear" w:color="000000" w:fill="F2F2F2"/>
            <w:noWrap/>
            <w:vAlign w:val="bottom"/>
            <w:hideMark/>
          </w:tcPr>
          <w:p w:rsidR="007B5401" w:rsidRPr="007B5401" w:rsidRDefault="007B5401" w:rsidP="007B5401">
            <w:pPr>
              <w:jc w:val="left"/>
              <w:rPr>
                <w:rFonts w:ascii="Arial" w:eastAsia="Times New Roman" w:hAnsi="Arial" w:cs="Arial"/>
                <w:b/>
                <w:color w:val="000000"/>
                <w:sz w:val="20"/>
                <w:szCs w:val="20"/>
              </w:rPr>
            </w:pPr>
            <w:r w:rsidRPr="007B5401">
              <w:rPr>
                <w:rFonts w:ascii="Arial" w:eastAsia="Times New Roman" w:hAnsi="Arial" w:cs="Arial"/>
                <w:b/>
                <w:color w:val="000000"/>
                <w:sz w:val="20"/>
                <w:szCs w:val="20"/>
              </w:rPr>
              <w:t> </w:t>
            </w:r>
          </w:p>
        </w:tc>
        <w:tc>
          <w:tcPr>
            <w:tcW w:w="452" w:type="dxa"/>
            <w:tcBorders>
              <w:top w:val="nil"/>
              <w:left w:val="nil"/>
              <w:bottom w:val="nil"/>
              <w:right w:val="single" w:sz="4" w:space="0" w:color="auto"/>
            </w:tcBorders>
            <w:shd w:val="clear" w:color="000000" w:fill="F2F2F2"/>
            <w:noWrap/>
            <w:vAlign w:val="bottom"/>
            <w:hideMark/>
          </w:tcPr>
          <w:p w:rsidR="007B5401" w:rsidRPr="007B5401" w:rsidRDefault="007B5401" w:rsidP="007B5401">
            <w:pPr>
              <w:jc w:val="left"/>
              <w:rPr>
                <w:rFonts w:ascii="Arial" w:eastAsia="Times New Roman" w:hAnsi="Arial" w:cs="Arial"/>
                <w:b/>
                <w:color w:val="000000"/>
                <w:sz w:val="20"/>
                <w:szCs w:val="20"/>
              </w:rPr>
            </w:pPr>
            <w:r w:rsidRPr="007B5401">
              <w:rPr>
                <w:rFonts w:ascii="Arial" w:eastAsia="Times New Roman" w:hAnsi="Arial" w:cs="Arial"/>
                <w:b/>
                <w:color w:val="000000"/>
                <w:sz w:val="20"/>
                <w:szCs w:val="20"/>
              </w:rPr>
              <w:t> </w:t>
            </w:r>
          </w:p>
        </w:tc>
        <w:tc>
          <w:tcPr>
            <w:tcW w:w="452" w:type="dxa"/>
            <w:tcBorders>
              <w:top w:val="nil"/>
              <w:left w:val="nil"/>
              <w:bottom w:val="nil"/>
              <w:right w:val="single" w:sz="4" w:space="0" w:color="auto"/>
            </w:tcBorders>
            <w:shd w:val="clear" w:color="000000" w:fill="F2F2F2"/>
            <w:noWrap/>
            <w:vAlign w:val="bottom"/>
            <w:hideMark/>
          </w:tcPr>
          <w:p w:rsidR="007B5401" w:rsidRPr="007B5401" w:rsidRDefault="007B5401" w:rsidP="007B5401">
            <w:pPr>
              <w:jc w:val="left"/>
              <w:rPr>
                <w:rFonts w:ascii="Arial" w:eastAsia="Times New Roman" w:hAnsi="Arial" w:cs="Arial"/>
                <w:b/>
                <w:color w:val="000000"/>
                <w:sz w:val="20"/>
                <w:szCs w:val="20"/>
              </w:rPr>
            </w:pPr>
            <w:r w:rsidRPr="007B5401">
              <w:rPr>
                <w:rFonts w:ascii="Arial" w:eastAsia="Times New Roman" w:hAnsi="Arial" w:cs="Arial"/>
                <w:b/>
                <w:color w:val="000000"/>
                <w:sz w:val="20"/>
                <w:szCs w:val="20"/>
              </w:rPr>
              <w:t> </w:t>
            </w:r>
          </w:p>
        </w:tc>
        <w:tc>
          <w:tcPr>
            <w:tcW w:w="452" w:type="dxa"/>
            <w:tcBorders>
              <w:top w:val="nil"/>
              <w:left w:val="nil"/>
              <w:bottom w:val="nil"/>
              <w:right w:val="single" w:sz="4" w:space="0" w:color="auto"/>
            </w:tcBorders>
            <w:shd w:val="clear" w:color="000000" w:fill="F2F2F2"/>
            <w:noWrap/>
            <w:vAlign w:val="bottom"/>
            <w:hideMark/>
          </w:tcPr>
          <w:p w:rsidR="007B5401" w:rsidRPr="007B5401" w:rsidRDefault="007B5401" w:rsidP="007B5401">
            <w:pPr>
              <w:jc w:val="left"/>
              <w:rPr>
                <w:rFonts w:ascii="Arial" w:eastAsia="Times New Roman" w:hAnsi="Arial" w:cs="Arial"/>
                <w:b/>
                <w:color w:val="000000"/>
                <w:sz w:val="20"/>
                <w:szCs w:val="20"/>
              </w:rPr>
            </w:pPr>
            <w:r w:rsidRPr="007B5401">
              <w:rPr>
                <w:rFonts w:ascii="Arial" w:eastAsia="Times New Roman" w:hAnsi="Arial" w:cs="Arial"/>
                <w:b/>
                <w:color w:val="000000"/>
                <w:sz w:val="20"/>
                <w:szCs w:val="20"/>
              </w:rPr>
              <w:t> </w:t>
            </w:r>
          </w:p>
        </w:tc>
        <w:tc>
          <w:tcPr>
            <w:tcW w:w="452" w:type="dxa"/>
            <w:tcBorders>
              <w:top w:val="nil"/>
              <w:left w:val="nil"/>
              <w:bottom w:val="nil"/>
              <w:right w:val="single" w:sz="4" w:space="0" w:color="auto"/>
            </w:tcBorders>
            <w:shd w:val="clear" w:color="000000" w:fill="F2F2F2"/>
            <w:noWrap/>
            <w:vAlign w:val="bottom"/>
            <w:hideMark/>
          </w:tcPr>
          <w:p w:rsidR="007B5401" w:rsidRPr="007B5401" w:rsidRDefault="007B5401" w:rsidP="007B5401">
            <w:pPr>
              <w:jc w:val="left"/>
              <w:rPr>
                <w:rFonts w:ascii="Arial" w:eastAsia="Times New Roman" w:hAnsi="Arial" w:cs="Arial"/>
                <w:b/>
                <w:color w:val="000000"/>
                <w:sz w:val="20"/>
                <w:szCs w:val="20"/>
              </w:rPr>
            </w:pPr>
            <w:r w:rsidRPr="007B5401">
              <w:rPr>
                <w:rFonts w:ascii="Arial" w:eastAsia="Times New Roman" w:hAnsi="Arial" w:cs="Arial"/>
                <w:b/>
                <w:color w:val="000000"/>
                <w:sz w:val="20"/>
                <w:szCs w:val="20"/>
              </w:rPr>
              <w:t> </w:t>
            </w:r>
          </w:p>
        </w:tc>
      </w:tr>
      <w:tr w:rsidR="007B5401" w:rsidRPr="007B5401" w:rsidTr="007B5401">
        <w:trPr>
          <w:trHeight w:val="255"/>
        </w:trPr>
        <w:tc>
          <w:tcPr>
            <w:tcW w:w="1247" w:type="dxa"/>
            <w:vMerge/>
            <w:tcBorders>
              <w:top w:val="single" w:sz="4" w:space="0" w:color="auto"/>
              <w:left w:val="single" w:sz="4" w:space="0" w:color="auto"/>
              <w:bottom w:val="single" w:sz="4" w:space="0" w:color="000000"/>
              <w:right w:val="single" w:sz="4" w:space="0" w:color="auto"/>
            </w:tcBorders>
            <w:vAlign w:val="center"/>
            <w:hideMark/>
          </w:tcPr>
          <w:p w:rsidR="007B5401" w:rsidRPr="007B5401" w:rsidRDefault="007B5401" w:rsidP="007B5401">
            <w:pPr>
              <w:jc w:val="left"/>
              <w:rPr>
                <w:rFonts w:ascii="Arial" w:eastAsia="Times New Roman" w:hAnsi="Arial" w:cs="Arial"/>
                <w:color w:val="000000"/>
                <w:sz w:val="18"/>
                <w:szCs w:val="18"/>
              </w:rPr>
            </w:pPr>
          </w:p>
        </w:tc>
        <w:tc>
          <w:tcPr>
            <w:tcW w:w="3551" w:type="dxa"/>
            <w:tcBorders>
              <w:top w:val="nil"/>
              <w:left w:val="nil"/>
              <w:bottom w:val="nil"/>
              <w:right w:val="nil"/>
            </w:tcBorders>
            <w:shd w:val="clear" w:color="auto" w:fill="auto"/>
            <w:hideMark/>
          </w:tcPr>
          <w:p w:rsidR="007B5401" w:rsidRPr="007B5401" w:rsidRDefault="007B5401" w:rsidP="007B5401">
            <w:pPr>
              <w:jc w:val="left"/>
              <w:rPr>
                <w:rFonts w:ascii="Arial" w:eastAsia="Times New Roman" w:hAnsi="Arial" w:cs="Arial"/>
                <w:b/>
                <w:color w:val="000000"/>
                <w:sz w:val="18"/>
                <w:szCs w:val="18"/>
              </w:rPr>
            </w:pPr>
            <w:r w:rsidRPr="007B5401">
              <w:rPr>
                <w:rFonts w:ascii="Arial" w:eastAsia="Times New Roman" w:hAnsi="Arial" w:cs="Arial"/>
                <w:b/>
                <w:color w:val="000000"/>
                <w:sz w:val="18"/>
                <w:szCs w:val="18"/>
              </w:rPr>
              <w:t>Clothes Dryers</w:t>
            </w:r>
          </w:p>
        </w:tc>
        <w:tc>
          <w:tcPr>
            <w:tcW w:w="453" w:type="dxa"/>
            <w:tcBorders>
              <w:top w:val="nil"/>
              <w:left w:val="single" w:sz="4" w:space="0" w:color="auto"/>
              <w:bottom w:val="nil"/>
              <w:right w:val="single" w:sz="4" w:space="0" w:color="auto"/>
            </w:tcBorders>
            <w:shd w:val="clear" w:color="auto" w:fill="auto"/>
            <w:hideMark/>
          </w:tcPr>
          <w:p w:rsidR="007B5401" w:rsidRPr="007B5401" w:rsidRDefault="007B5401" w:rsidP="007B5401">
            <w:pPr>
              <w:jc w:val="left"/>
              <w:rPr>
                <w:rFonts w:ascii="Arial" w:eastAsia="Times New Roman" w:hAnsi="Arial" w:cs="Arial"/>
                <w:b/>
                <w:color w:val="000000"/>
                <w:sz w:val="18"/>
                <w:szCs w:val="18"/>
              </w:rPr>
            </w:pPr>
            <w:r w:rsidRPr="007B5401">
              <w:rPr>
                <w:rFonts w:ascii="Arial" w:eastAsia="Times New Roman" w:hAnsi="Arial" w:cs="Arial"/>
                <w:b/>
                <w:color w:val="000000"/>
                <w:sz w:val="18"/>
                <w:szCs w:val="18"/>
              </w:rPr>
              <w:t> </w:t>
            </w:r>
          </w:p>
        </w:tc>
        <w:tc>
          <w:tcPr>
            <w:tcW w:w="452" w:type="dxa"/>
            <w:tcBorders>
              <w:top w:val="nil"/>
              <w:left w:val="nil"/>
              <w:bottom w:val="nil"/>
              <w:right w:val="single" w:sz="4" w:space="0" w:color="auto"/>
            </w:tcBorders>
            <w:shd w:val="clear" w:color="auto" w:fill="auto"/>
            <w:hideMark/>
          </w:tcPr>
          <w:p w:rsidR="007B5401" w:rsidRPr="007B5401" w:rsidRDefault="007B5401" w:rsidP="007B5401">
            <w:pPr>
              <w:jc w:val="left"/>
              <w:rPr>
                <w:rFonts w:ascii="Arial" w:eastAsia="Times New Roman" w:hAnsi="Arial" w:cs="Arial"/>
                <w:b/>
                <w:color w:val="000000"/>
                <w:sz w:val="18"/>
                <w:szCs w:val="18"/>
              </w:rPr>
            </w:pPr>
            <w:r w:rsidRPr="007B5401">
              <w:rPr>
                <w:rFonts w:ascii="Arial" w:eastAsia="Times New Roman" w:hAnsi="Arial" w:cs="Arial"/>
                <w:b/>
                <w:color w:val="000000"/>
                <w:sz w:val="18"/>
                <w:szCs w:val="18"/>
              </w:rPr>
              <w:t> </w:t>
            </w:r>
          </w:p>
        </w:tc>
        <w:tc>
          <w:tcPr>
            <w:tcW w:w="452" w:type="dxa"/>
            <w:tcBorders>
              <w:top w:val="nil"/>
              <w:left w:val="nil"/>
              <w:bottom w:val="nil"/>
              <w:right w:val="single" w:sz="4" w:space="0" w:color="auto"/>
            </w:tcBorders>
            <w:shd w:val="clear" w:color="auto" w:fill="auto"/>
          </w:tcPr>
          <w:p w:rsidR="007B5401" w:rsidRPr="007B5401" w:rsidRDefault="007B5401" w:rsidP="007B5401">
            <w:pPr>
              <w:jc w:val="left"/>
              <w:rPr>
                <w:rFonts w:ascii="Arial" w:eastAsia="Times New Roman" w:hAnsi="Arial" w:cs="Arial"/>
                <w:b/>
                <w:color w:val="000000"/>
                <w:sz w:val="18"/>
                <w:szCs w:val="18"/>
              </w:rPr>
            </w:pPr>
          </w:p>
        </w:tc>
        <w:tc>
          <w:tcPr>
            <w:tcW w:w="452" w:type="dxa"/>
            <w:tcBorders>
              <w:top w:val="nil"/>
              <w:left w:val="nil"/>
              <w:bottom w:val="nil"/>
              <w:right w:val="single" w:sz="4" w:space="0" w:color="auto"/>
            </w:tcBorders>
            <w:shd w:val="clear" w:color="auto" w:fill="auto"/>
            <w:noWrap/>
            <w:vAlign w:val="bottom"/>
          </w:tcPr>
          <w:p w:rsidR="007B5401" w:rsidRPr="007B5401" w:rsidRDefault="007B5401" w:rsidP="007B5401">
            <w:pPr>
              <w:jc w:val="left"/>
              <w:rPr>
                <w:rFonts w:ascii="Arial" w:eastAsia="Times New Roman" w:hAnsi="Arial" w:cs="Arial"/>
                <w:b/>
                <w:color w:val="000000"/>
                <w:sz w:val="20"/>
                <w:szCs w:val="20"/>
              </w:rPr>
            </w:pPr>
          </w:p>
        </w:tc>
        <w:tc>
          <w:tcPr>
            <w:tcW w:w="452" w:type="dxa"/>
            <w:tcBorders>
              <w:top w:val="nil"/>
              <w:left w:val="nil"/>
              <w:bottom w:val="nil"/>
              <w:right w:val="single" w:sz="4" w:space="0" w:color="auto"/>
            </w:tcBorders>
            <w:shd w:val="clear" w:color="auto" w:fill="auto"/>
            <w:noWrap/>
            <w:vAlign w:val="bottom"/>
          </w:tcPr>
          <w:p w:rsidR="007B5401" w:rsidRPr="007B5401" w:rsidRDefault="007B5401" w:rsidP="007B5401">
            <w:pPr>
              <w:jc w:val="left"/>
              <w:rPr>
                <w:rFonts w:ascii="Arial" w:eastAsia="Times New Roman" w:hAnsi="Arial" w:cs="Arial"/>
                <w:b/>
                <w:color w:val="000000"/>
                <w:sz w:val="20"/>
                <w:szCs w:val="20"/>
              </w:rPr>
            </w:pPr>
          </w:p>
        </w:tc>
        <w:tc>
          <w:tcPr>
            <w:tcW w:w="452" w:type="dxa"/>
            <w:tcBorders>
              <w:top w:val="nil"/>
              <w:left w:val="nil"/>
              <w:bottom w:val="nil"/>
              <w:right w:val="single" w:sz="4" w:space="0" w:color="auto"/>
            </w:tcBorders>
            <w:shd w:val="clear" w:color="auto" w:fill="auto"/>
            <w:hideMark/>
          </w:tcPr>
          <w:p w:rsidR="007B5401" w:rsidRPr="007B5401" w:rsidRDefault="007B5401" w:rsidP="007B5401">
            <w:pPr>
              <w:jc w:val="center"/>
              <w:rPr>
                <w:rFonts w:ascii="Wingdings 2" w:eastAsia="Times New Roman" w:hAnsi="Wingdings 2" w:cs="Arial"/>
                <w:b/>
                <w:color w:val="000000"/>
                <w:sz w:val="18"/>
                <w:szCs w:val="18"/>
              </w:rPr>
            </w:pPr>
            <w:r w:rsidRPr="007B5401">
              <w:rPr>
                <w:rFonts w:ascii="Wingdings 2" w:eastAsia="Times New Roman" w:hAnsi="Wingdings 2" w:cs="Arial"/>
                <w:b/>
                <w:color w:val="000000"/>
                <w:sz w:val="18"/>
                <w:szCs w:val="18"/>
              </w:rPr>
              <w:t></w:t>
            </w:r>
          </w:p>
        </w:tc>
        <w:tc>
          <w:tcPr>
            <w:tcW w:w="452" w:type="dxa"/>
            <w:tcBorders>
              <w:top w:val="nil"/>
              <w:left w:val="nil"/>
              <w:bottom w:val="nil"/>
              <w:right w:val="single" w:sz="4" w:space="0" w:color="auto"/>
            </w:tcBorders>
            <w:shd w:val="clear" w:color="auto" w:fill="auto"/>
            <w:noWrap/>
            <w:vAlign w:val="bottom"/>
            <w:hideMark/>
          </w:tcPr>
          <w:p w:rsidR="007B5401" w:rsidRPr="007B5401" w:rsidRDefault="007B5401" w:rsidP="007B5401">
            <w:pPr>
              <w:jc w:val="left"/>
              <w:rPr>
                <w:rFonts w:ascii="Arial" w:eastAsia="Times New Roman" w:hAnsi="Arial" w:cs="Arial"/>
                <w:b/>
                <w:color w:val="000000"/>
                <w:sz w:val="20"/>
                <w:szCs w:val="20"/>
              </w:rPr>
            </w:pPr>
            <w:r w:rsidRPr="007B5401">
              <w:rPr>
                <w:rFonts w:ascii="Arial" w:eastAsia="Times New Roman" w:hAnsi="Arial" w:cs="Arial"/>
                <w:b/>
                <w:color w:val="000000"/>
                <w:sz w:val="20"/>
                <w:szCs w:val="20"/>
              </w:rPr>
              <w:t> </w:t>
            </w:r>
          </w:p>
        </w:tc>
        <w:tc>
          <w:tcPr>
            <w:tcW w:w="452" w:type="dxa"/>
            <w:tcBorders>
              <w:top w:val="nil"/>
              <w:left w:val="nil"/>
              <w:bottom w:val="nil"/>
              <w:right w:val="single" w:sz="4" w:space="0" w:color="auto"/>
            </w:tcBorders>
            <w:shd w:val="clear" w:color="auto" w:fill="auto"/>
            <w:noWrap/>
            <w:vAlign w:val="bottom"/>
            <w:hideMark/>
          </w:tcPr>
          <w:p w:rsidR="007B5401" w:rsidRPr="007B5401" w:rsidRDefault="007B5401" w:rsidP="007B5401">
            <w:pPr>
              <w:jc w:val="left"/>
              <w:rPr>
                <w:rFonts w:ascii="Arial" w:eastAsia="Times New Roman" w:hAnsi="Arial" w:cs="Arial"/>
                <w:b/>
                <w:color w:val="000000"/>
                <w:sz w:val="20"/>
                <w:szCs w:val="20"/>
              </w:rPr>
            </w:pPr>
            <w:r w:rsidRPr="007B5401">
              <w:rPr>
                <w:rFonts w:ascii="Arial" w:eastAsia="Times New Roman" w:hAnsi="Arial" w:cs="Arial"/>
                <w:b/>
                <w:color w:val="000000"/>
                <w:sz w:val="20"/>
                <w:szCs w:val="20"/>
              </w:rPr>
              <w:t> </w:t>
            </w:r>
          </w:p>
        </w:tc>
        <w:tc>
          <w:tcPr>
            <w:tcW w:w="452" w:type="dxa"/>
            <w:tcBorders>
              <w:top w:val="nil"/>
              <w:left w:val="nil"/>
              <w:bottom w:val="nil"/>
              <w:right w:val="single" w:sz="4" w:space="0" w:color="auto"/>
            </w:tcBorders>
            <w:shd w:val="clear" w:color="auto" w:fill="auto"/>
            <w:noWrap/>
            <w:vAlign w:val="bottom"/>
            <w:hideMark/>
          </w:tcPr>
          <w:p w:rsidR="007B5401" w:rsidRPr="007B5401" w:rsidRDefault="007B5401" w:rsidP="007B5401">
            <w:pPr>
              <w:jc w:val="left"/>
              <w:rPr>
                <w:rFonts w:ascii="Arial" w:eastAsia="Times New Roman" w:hAnsi="Arial" w:cs="Arial"/>
                <w:b/>
                <w:color w:val="000000"/>
                <w:sz w:val="20"/>
                <w:szCs w:val="20"/>
              </w:rPr>
            </w:pPr>
            <w:r w:rsidRPr="007B5401">
              <w:rPr>
                <w:rFonts w:ascii="Arial" w:eastAsia="Times New Roman" w:hAnsi="Arial" w:cs="Arial"/>
                <w:b/>
                <w:color w:val="000000"/>
                <w:sz w:val="20"/>
                <w:szCs w:val="20"/>
              </w:rPr>
              <w:t> </w:t>
            </w:r>
          </w:p>
        </w:tc>
        <w:tc>
          <w:tcPr>
            <w:tcW w:w="452" w:type="dxa"/>
            <w:tcBorders>
              <w:top w:val="nil"/>
              <w:left w:val="nil"/>
              <w:bottom w:val="nil"/>
              <w:right w:val="single" w:sz="4" w:space="0" w:color="auto"/>
            </w:tcBorders>
            <w:shd w:val="clear" w:color="auto" w:fill="auto"/>
            <w:noWrap/>
            <w:vAlign w:val="bottom"/>
            <w:hideMark/>
          </w:tcPr>
          <w:p w:rsidR="007B5401" w:rsidRPr="007B5401" w:rsidRDefault="007B5401" w:rsidP="007B5401">
            <w:pPr>
              <w:jc w:val="left"/>
              <w:rPr>
                <w:rFonts w:ascii="Arial" w:eastAsia="Times New Roman" w:hAnsi="Arial" w:cs="Arial"/>
                <w:b/>
                <w:color w:val="000000"/>
                <w:sz w:val="20"/>
                <w:szCs w:val="20"/>
              </w:rPr>
            </w:pPr>
            <w:r w:rsidRPr="007B5401">
              <w:rPr>
                <w:rFonts w:ascii="Arial" w:eastAsia="Times New Roman" w:hAnsi="Arial" w:cs="Arial"/>
                <w:b/>
                <w:color w:val="000000"/>
                <w:sz w:val="20"/>
                <w:szCs w:val="20"/>
              </w:rPr>
              <w:t> </w:t>
            </w:r>
          </w:p>
        </w:tc>
        <w:tc>
          <w:tcPr>
            <w:tcW w:w="452" w:type="dxa"/>
            <w:tcBorders>
              <w:top w:val="nil"/>
              <w:left w:val="nil"/>
              <w:bottom w:val="nil"/>
              <w:right w:val="single" w:sz="4" w:space="0" w:color="auto"/>
            </w:tcBorders>
            <w:shd w:val="clear" w:color="auto" w:fill="auto"/>
            <w:noWrap/>
            <w:vAlign w:val="bottom"/>
            <w:hideMark/>
          </w:tcPr>
          <w:p w:rsidR="007B5401" w:rsidRPr="007B5401" w:rsidRDefault="007B5401" w:rsidP="007B5401">
            <w:pPr>
              <w:jc w:val="left"/>
              <w:rPr>
                <w:rFonts w:ascii="Arial" w:eastAsia="Times New Roman" w:hAnsi="Arial" w:cs="Arial"/>
                <w:b/>
                <w:color w:val="000000"/>
                <w:sz w:val="20"/>
                <w:szCs w:val="20"/>
              </w:rPr>
            </w:pPr>
            <w:r w:rsidRPr="007B5401">
              <w:rPr>
                <w:rFonts w:ascii="Arial" w:eastAsia="Times New Roman" w:hAnsi="Arial" w:cs="Arial"/>
                <w:b/>
                <w:color w:val="000000"/>
                <w:sz w:val="20"/>
                <w:szCs w:val="20"/>
              </w:rPr>
              <w:t> </w:t>
            </w:r>
          </w:p>
        </w:tc>
      </w:tr>
      <w:tr w:rsidR="007B5401" w:rsidRPr="007B5401" w:rsidTr="007B5401">
        <w:trPr>
          <w:trHeight w:val="255"/>
        </w:trPr>
        <w:tc>
          <w:tcPr>
            <w:tcW w:w="1247" w:type="dxa"/>
            <w:vMerge/>
            <w:tcBorders>
              <w:top w:val="single" w:sz="4" w:space="0" w:color="auto"/>
              <w:left w:val="single" w:sz="4" w:space="0" w:color="auto"/>
              <w:bottom w:val="single" w:sz="4" w:space="0" w:color="000000"/>
              <w:right w:val="single" w:sz="4" w:space="0" w:color="auto"/>
            </w:tcBorders>
            <w:vAlign w:val="center"/>
            <w:hideMark/>
          </w:tcPr>
          <w:p w:rsidR="007B5401" w:rsidRPr="007B5401" w:rsidRDefault="007B5401" w:rsidP="007B5401">
            <w:pPr>
              <w:jc w:val="left"/>
              <w:rPr>
                <w:rFonts w:ascii="Arial" w:eastAsia="Times New Roman" w:hAnsi="Arial" w:cs="Arial"/>
                <w:color w:val="000000"/>
                <w:sz w:val="18"/>
                <w:szCs w:val="18"/>
              </w:rPr>
            </w:pPr>
          </w:p>
        </w:tc>
        <w:tc>
          <w:tcPr>
            <w:tcW w:w="3551" w:type="dxa"/>
            <w:tcBorders>
              <w:top w:val="nil"/>
              <w:left w:val="nil"/>
              <w:bottom w:val="nil"/>
              <w:right w:val="nil"/>
            </w:tcBorders>
            <w:shd w:val="clear" w:color="000000" w:fill="F2F2F2"/>
            <w:hideMark/>
          </w:tcPr>
          <w:p w:rsidR="007B5401" w:rsidRPr="007B5401" w:rsidRDefault="007B5401" w:rsidP="007B5401">
            <w:pPr>
              <w:jc w:val="left"/>
              <w:rPr>
                <w:rFonts w:ascii="Arial" w:eastAsia="Times New Roman" w:hAnsi="Arial" w:cs="Arial"/>
                <w:color w:val="000000"/>
                <w:sz w:val="18"/>
                <w:szCs w:val="18"/>
              </w:rPr>
            </w:pPr>
            <w:r w:rsidRPr="007B5401">
              <w:rPr>
                <w:rFonts w:ascii="Arial" w:eastAsia="Times New Roman" w:hAnsi="Arial" w:cs="Arial"/>
                <w:color w:val="000000"/>
                <w:sz w:val="18"/>
                <w:szCs w:val="18"/>
              </w:rPr>
              <w:t>Clothes Washers</w:t>
            </w:r>
          </w:p>
        </w:tc>
        <w:tc>
          <w:tcPr>
            <w:tcW w:w="453" w:type="dxa"/>
            <w:tcBorders>
              <w:top w:val="nil"/>
              <w:left w:val="single" w:sz="4" w:space="0" w:color="auto"/>
              <w:bottom w:val="nil"/>
              <w:right w:val="single" w:sz="4" w:space="0" w:color="auto"/>
            </w:tcBorders>
            <w:shd w:val="clear" w:color="000000" w:fill="F2F2F2"/>
            <w:hideMark/>
          </w:tcPr>
          <w:p w:rsidR="007B5401" w:rsidRPr="007B5401" w:rsidRDefault="007B5401" w:rsidP="007B5401">
            <w:pPr>
              <w:jc w:val="left"/>
              <w:rPr>
                <w:rFonts w:ascii="Arial" w:eastAsia="Times New Roman" w:hAnsi="Arial" w:cs="Arial"/>
                <w:color w:val="000000"/>
                <w:sz w:val="18"/>
                <w:szCs w:val="18"/>
              </w:rPr>
            </w:pPr>
            <w:r w:rsidRPr="007B5401">
              <w:rPr>
                <w:rFonts w:ascii="Arial" w:eastAsia="Times New Roman" w:hAnsi="Arial" w:cs="Arial"/>
                <w:color w:val="000000"/>
                <w:sz w:val="18"/>
                <w:szCs w:val="18"/>
              </w:rPr>
              <w:t> </w:t>
            </w:r>
          </w:p>
        </w:tc>
        <w:tc>
          <w:tcPr>
            <w:tcW w:w="452" w:type="dxa"/>
            <w:tcBorders>
              <w:top w:val="nil"/>
              <w:left w:val="nil"/>
              <w:bottom w:val="nil"/>
              <w:right w:val="single" w:sz="4" w:space="0" w:color="auto"/>
            </w:tcBorders>
            <w:shd w:val="clear" w:color="000000" w:fill="F2F2F2"/>
            <w:hideMark/>
          </w:tcPr>
          <w:p w:rsidR="007B5401" w:rsidRPr="007B5401" w:rsidRDefault="007B5401" w:rsidP="007B5401">
            <w:pPr>
              <w:jc w:val="left"/>
              <w:rPr>
                <w:rFonts w:ascii="Arial" w:eastAsia="Times New Roman" w:hAnsi="Arial" w:cs="Arial"/>
                <w:color w:val="000000"/>
                <w:sz w:val="18"/>
                <w:szCs w:val="18"/>
              </w:rPr>
            </w:pPr>
            <w:r w:rsidRPr="007B5401">
              <w:rPr>
                <w:rFonts w:ascii="Arial" w:eastAsia="Times New Roman" w:hAnsi="Arial" w:cs="Arial"/>
                <w:color w:val="000000"/>
                <w:sz w:val="18"/>
                <w:szCs w:val="18"/>
              </w:rPr>
              <w:t> </w:t>
            </w:r>
          </w:p>
        </w:tc>
        <w:tc>
          <w:tcPr>
            <w:tcW w:w="452" w:type="dxa"/>
            <w:tcBorders>
              <w:top w:val="nil"/>
              <w:left w:val="nil"/>
              <w:bottom w:val="nil"/>
              <w:right w:val="single" w:sz="4" w:space="0" w:color="auto"/>
            </w:tcBorders>
            <w:shd w:val="clear" w:color="000000" w:fill="F2F2F2"/>
          </w:tcPr>
          <w:p w:rsidR="007B5401" w:rsidRPr="007B5401" w:rsidRDefault="007B5401" w:rsidP="007B5401">
            <w:pPr>
              <w:jc w:val="left"/>
              <w:rPr>
                <w:rFonts w:ascii="Arial" w:eastAsia="Times New Roman" w:hAnsi="Arial" w:cs="Arial"/>
                <w:color w:val="000000"/>
                <w:sz w:val="18"/>
                <w:szCs w:val="18"/>
              </w:rPr>
            </w:pPr>
          </w:p>
        </w:tc>
        <w:tc>
          <w:tcPr>
            <w:tcW w:w="452" w:type="dxa"/>
            <w:tcBorders>
              <w:top w:val="nil"/>
              <w:left w:val="nil"/>
              <w:bottom w:val="nil"/>
              <w:right w:val="single" w:sz="4" w:space="0" w:color="auto"/>
            </w:tcBorders>
            <w:shd w:val="clear" w:color="000000" w:fill="F2F2F2"/>
            <w:noWrap/>
            <w:vAlign w:val="bottom"/>
          </w:tcPr>
          <w:p w:rsidR="007B5401" w:rsidRPr="007B5401" w:rsidRDefault="007B5401" w:rsidP="007B5401">
            <w:pPr>
              <w:jc w:val="left"/>
              <w:rPr>
                <w:rFonts w:ascii="Arial" w:eastAsia="Times New Roman" w:hAnsi="Arial" w:cs="Arial"/>
                <w:color w:val="000000"/>
                <w:sz w:val="20"/>
                <w:szCs w:val="20"/>
              </w:rPr>
            </w:pPr>
          </w:p>
        </w:tc>
        <w:tc>
          <w:tcPr>
            <w:tcW w:w="452" w:type="dxa"/>
            <w:tcBorders>
              <w:top w:val="nil"/>
              <w:left w:val="nil"/>
              <w:bottom w:val="nil"/>
              <w:right w:val="single" w:sz="4" w:space="0" w:color="auto"/>
            </w:tcBorders>
            <w:shd w:val="clear" w:color="000000" w:fill="F2F2F2"/>
          </w:tcPr>
          <w:p w:rsidR="007B5401" w:rsidRPr="007B5401" w:rsidRDefault="007B5401" w:rsidP="007B5401">
            <w:pPr>
              <w:jc w:val="center"/>
              <w:rPr>
                <w:rFonts w:ascii="Wingdings 2" w:eastAsia="Times New Roman" w:hAnsi="Wingdings 2" w:cs="Arial"/>
                <w:color w:val="000000"/>
                <w:sz w:val="18"/>
                <w:szCs w:val="18"/>
              </w:rPr>
            </w:pPr>
          </w:p>
        </w:tc>
        <w:tc>
          <w:tcPr>
            <w:tcW w:w="452" w:type="dxa"/>
            <w:tcBorders>
              <w:top w:val="nil"/>
              <w:left w:val="nil"/>
              <w:bottom w:val="nil"/>
              <w:right w:val="single" w:sz="4" w:space="0" w:color="auto"/>
            </w:tcBorders>
            <w:shd w:val="clear" w:color="000000" w:fill="F2F2F2"/>
            <w:hideMark/>
          </w:tcPr>
          <w:p w:rsidR="007B5401" w:rsidRPr="007B5401" w:rsidRDefault="007B5401" w:rsidP="007B5401">
            <w:pPr>
              <w:jc w:val="center"/>
              <w:rPr>
                <w:rFonts w:ascii="Wingdings 2" w:eastAsia="Times New Roman" w:hAnsi="Wingdings 2" w:cs="Arial"/>
                <w:color w:val="000000"/>
                <w:sz w:val="18"/>
                <w:szCs w:val="18"/>
              </w:rPr>
            </w:pPr>
            <w:r w:rsidRPr="007B5401">
              <w:rPr>
                <w:rFonts w:ascii="Wingdings 2" w:eastAsia="Times New Roman" w:hAnsi="Wingdings 2" w:cs="Arial"/>
                <w:color w:val="000000"/>
                <w:sz w:val="18"/>
                <w:szCs w:val="18"/>
              </w:rPr>
              <w:t></w:t>
            </w:r>
          </w:p>
        </w:tc>
        <w:tc>
          <w:tcPr>
            <w:tcW w:w="452" w:type="dxa"/>
            <w:tcBorders>
              <w:top w:val="nil"/>
              <w:left w:val="nil"/>
              <w:bottom w:val="nil"/>
              <w:right w:val="single" w:sz="4" w:space="0" w:color="auto"/>
            </w:tcBorders>
            <w:shd w:val="clear" w:color="000000" w:fill="F2F2F2"/>
            <w:noWrap/>
            <w:vAlign w:val="bottom"/>
            <w:hideMark/>
          </w:tcPr>
          <w:p w:rsidR="007B5401" w:rsidRPr="007B5401" w:rsidRDefault="007B5401" w:rsidP="007B5401">
            <w:pPr>
              <w:jc w:val="left"/>
              <w:rPr>
                <w:rFonts w:ascii="Arial" w:eastAsia="Times New Roman" w:hAnsi="Arial" w:cs="Arial"/>
                <w:color w:val="000000"/>
                <w:sz w:val="20"/>
                <w:szCs w:val="20"/>
              </w:rPr>
            </w:pPr>
            <w:r w:rsidRPr="007B5401">
              <w:rPr>
                <w:rFonts w:ascii="Arial" w:eastAsia="Times New Roman" w:hAnsi="Arial" w:cs="Arial"/>
                <w:color w:val="000000"/>
                <w:sz w:val="20"/>
                <w:szCs w:val="20"/>
              </w:rPr>
              <w:t> </w:t>
            </w:r>
          </w:p>
        </w:tc>
        <w:tc>
          <w:tcPr>
            <w:tcW w:w="452" w:type="dxa"/>
            <w:tcBorders>
              <w:top w:val="nil"/>
              <w:left w:val="nil"/>
              <w:bottom w:val="nil"/>
              <w:right w:val="single" w:sz="4" w:space="0" w:color="auto"/>
            </w:tcBorders>
            <w:shd w:val="clear" w:color="000000" w:fill="F2F2F2"/>
            <w:noWrap/>
            <w:vAlign w:val="bottom"/>
            <w:hideMark/>
          </w:tcPr>
          <w:p w:rsidR="007B5401" w:rsidRPr="007B5401" w:rsidRDefault="007B5401" w:rsidP="007B5401">
            <w:pPr>
              <w:jc w:val="left"/>
              <w:rPr>
                <w:rFonts w:ascii="Arial" w:eastAsia="Times New Roman" w:hAnsi="Arial" w:cs="Arial"/>
                <w:color w:val="000000"/>
                <w:sz w:val="20"/>
                <w:szCs w:val="20"/>
              </w:rPr>
            </w:pPr>
            <w:r w:rsidRPr="007B5401">
              <w:rPr>
                <w:rFonts w:ascii="Arial" w:eastAsia="Times New Roman" w:hAnsi="Arial" w:cs="Arial"/>
                <w:color w:val="000000"/>
                <w:sz w:val="20"/>
                <w:szCs w:val="20"/>
              </w:rPr>
              <w:t> </w:t>
            </w:r>
          </w:p>
        </w:tc>
        <w:tc>
          <w:tcPr>
            <w:tcW w:w="452" w:type="dxa"/>
            <w:tcBorders>
              <w:top w:val="nil"/>
              <w:left w:val="nil"/>
              <w:bottom w:val="nil"/>
              <w:right w:val="single" w:sz="4" w:space="0" w:color="auto"/>
            </w:tcBorders>
            <w:shd w:val="clear" w:color="000000" w:fill="F2F2F2"/>
            <w:hideMark/>
          </w:tcPr>
          <w:p w:rsidR="007B5401" w:rsidRPr="007B5401" w:rsidRDefault="007B5401" w:rsidP="007B5401">
            <w:pPr>
              <w:jc w:val="center"/>
              <w:rPr>
                <w:rFonts w:ascii="Wingdings 2" w:eastAsia="Times New Roman" w:hAnsi="Wingdings 2" w:cs="Arial"/>
                <w:color w:val="000000"/>
                <w:sz w:val="18"/>
                <w:szCs w:val="18"/>
              </w:rPr>
            </w:pPr>
            <w:r w:rsidRPr="007B5401">
              <w:rPr>
                <w:rFonts w:ascii="Wingdings 2" w:eastAsia="Times New Roman" w:hAnsi="Wingdings 2" w:cs="Arial"/>
                <w:color w:val="000000"/>
                <w:sz w:val="18"/>
                <w:szCs w:val="18"/>
              </w:rPr>
              <w:t></w:t>
            </w:r>
          </w:p>
        </w:tc>
        <w:tc>
          <w:tcPr>
            <w:tcW w:w="452" w:type="dxa"/>
            <w:tcBorders>
              <w:top w:val="nil"/>
              <w:left w:val="nil"/>
              <w:bottom w:val="nil"/>
              <w:right w:val="single" w:sz="4" w:space="0" w:color="auto"/>
            </w:tcBorders>
            <w:shd w:val="clear" w:color="000000" w:fill="F2F2F2"/>
            <w:noWrap/>
            <w:vAlign w:val="bottom"/>
            <w:hideMark/>
          </w:tcPr>
          <w:p w:rsidR="007B5401" w:rsidRPr="007B5401" w:rsidRDefault="007B5401" w:rsidP="007B5401">
            <w:pPr>
              <w:jc w:val="left"/>
              <w:rPr>
                <w:rFonts w:ascii="Arial" w:eastAsia="Times New Roman" w:hAnsi="Arial" w:cs="Arial"/>
                <w:color w:val="000000"/>
                <w:sz w:val="20"/>
                <w:szCs w:val="20"/>
              </w:rPr>
            </w:pPr>
            <w:r w:rsidRPr="007B5401">
              <w:rPr>
                <w:rFonts w:ascii="Arial" w:eastAsia="Times New Roman" w:hAnsi="Arial" w:cs="Arial"/>
                <w:color w:val="000000"/>
                <w:sz w:val="20"/>
                <w:szCs w:val="20"/>
              </w:rPr>
              <w:t> </w:t>
            </w:r>
          </w:p>
        </w:tc>
        <w:tc>
          <w:tcPr>
            <w:tcW w:w="452" w:type="dxa"/>
            <w:tcBorders>
              <w:top w:val="nil"/>
              <w:left w:val="nil"/>
              <w:bottom w:val="nil"/>
              <w:right w:val="single" w:sz="4" w:space="0" w:color="auto"/>
            </w:tcBorders>
            <w:shd w:val="clear" w:color="000000" w:fill="F2F2F2"/>
            <w:noWrap/>
            <w:vAlign w:val="bottom"/>
            <w:hideMark/>
          </w:tcPr>
          <w:p w:rsidR="007B5401" w:rsidRPr="007B5401" w:rsidRDefault="007B5401" w:rsidP="007B5401">
            <w:pPr>
              <w:jc w:val="left"/>
              <w:rPr>
                <w:rFonts w:ascii="Arial" w:eastAsia="Times New Roman" w:hAnsi="Arial" w:cs="Arial"/>
                <w:color w:val="000000"/>
                <w:sz w:val="20"/>
                <w:szCs w:val="20"/>
              </w:rPr>
            </w:pPr>
            <w:r w:rsidRPr="007B5401">
              <w:rPr>
                <w:rFonts w:ascii="Arial" w:eastAsia="Times New Roman" w:hAnsi="Arial" w:cs="Arial"/>
                <w:color w:val="000000"/>
                <w:sz w:val="20"/>
                <w:szCs w:val="20"/>
              </w:rPr>
              <w:t> </w:t>
            </w:r>
          </w:p>
        </w:tc>
      </w:tr>
      <w:tr w:rsidR="007B5401" w:rsidRPr="007B5401" w:rsidTr="007B5401">
        <w:trPr>
          <w:trHeight w:val="255"/>
        </w:trPr>
        <w:tc>
          <w:tcPr>
            <w:tcW w:w="1247" w:type="dxa"/>
            <w:vMerge/>
            <w:tcBorders>
              <w:top w:val="single" w:sz="4" w:space="0" w:color="auto"/>
              <w:left w:val="single" w:sz="4" w:space="0" w:color="auto"/>
              <w:bottom w:val="single" w:sz="4" w:space="0" w:color="000000"/>
              <w:right w:val="single" w:sz="4" w:space="0" w:color="auto"/>
            </w:tcBorders>
            <w:vAlign w:val="center"/>
            <w:hideMark/>
          </w:tcPr>
          <w:p w:rsidR="007B5401" w:rsidRPr="007B5401" w:rsidRDefault="007B5401" w:rsidP="007B5401">
            <w:pPr>
              <w:jc w:val="left"/>
              <w:rPr>
                <w:rFonts w:ascii="Arial" w:eastAsia="Times New Roman" w:hAnsi="Arial" w:cs="Arial"/>
                <w:color w:val="000000"/>
                <w:sz w:val="18"/>
                <w:szCs w:val="18"/>
              </w:rPr>
            </w:pPr>
          </w:p>
        </w:tc>
        <w:tc>
          <w:tcPr>
            <w:tcW w:w="3551" w:type="dxa"/>
            <w:tcBorders>
              <w:top w:val="nil"/>
              <w:left w:val="nil"/>
              <w:bottom w:val="nil"/>
              <w:right w:val="nil"/>
            </w:tcBorders>
            <w:shd w:val="clear" w:color="auto" w:fill="auto"/>
            <w:hideMark/>
          </w:tcPr>
          <w:p w:rsidR="007B5401" w:rsidRPr="007B5401" w:rsidRDefault="007B5401" w:rsidP="007B5401">
            <w:pPr>
              <w:jc w:val="left"/>
              <w:rPr>
                <w:rFonts w:ascii="Arial" w:eastAsia="Times New Roman" w:hAnsi="Arial" w:cs="Arial"/>
                <w:color w:val="000000"/>
                <w:sz w:val="18"/>
                <w:szCs w:val="18"/>
              </w:rPr>
            </w:pPr>
            <w:r w:rsidRPr="007B5401">
              <w:rPr>
                <w:rFonts w:ascii="Arial" w:eastAsia="Times New Roman" w:hAnsi="Arial" w:cs="Arial"/>
                <w:color w:val="000000"/>
                <w:sz w:val="18"/>
                <w:szCs w:val="18"/>
              </w:rPr>
              <w:t>Dehumidifiers</w:t>
            </w:r>
          </w:p>
        </w:tc>
        <w:tc>
          <w:tcPr>
            <w:tcW w:w="453" w:type="dxa"/>
            <w:tcBorders>
              <w:top w:val="nil"/>
              <w:left w:val="single" w:sz="4" w:space="0" w:color="auto"/>
              <w:bottom w:val="nil"/>
              <w:right w:val="single" w:sz="4" w:space="0" w:color="auto"/>
            </w:tcBorders>
            <w:shd w:val="clear" w:color="auto" w:fill="auto"/>
            <w:hideMark/>
          </w:tcPr>
          <w:p w:rsidR="007B5401" w:rsidRPr="007B5401" w:rsidRDefault="007B5401" w:rsidP="007B5401">
            <w:pPr>
              <w:jc w:val="left"/>
              <w:rPr>
                <w:rFonts w:ascii="Arial" w:eastAsia="Times New Roman" w:hAnsi="Arial" w:cs="Arial"/>
                <w:color w:val="000000"/>
                <w:sz w:val="18"/>
                <w:szCs w:val="18"/>
              </w:rPr>
            </w:pPr>
            <w:r w:rsidRPr="007B5401">
              <w:rPr>
                <w:rFonts w:ascii="Arial" w:eastAsia="Times New Roman" w:hAnsi="Arial" w:cs="Arial"/>
                <w:color w:val="000000"/>
                <w:sz w:val="18"/>
                <w:szCs w:val="18"/>
              </w:rPr>
              <w:t> </w:t>
            </w:r>
          </w:p>
        </w:tc>
        <w:tc>
          <w:tcPr>
            <w:tcW w:w="452" w:type="dxa"/>
            <w:tcBorders>
              <w:top w:val="nil"/>
              <w:left w:val="nil"/>
              <w:bottom w:val="nil"/>
              <w:right w:val="single" w:sz="4" w:space="0" w:color="auto"/>
            </w:tcBorders>
            <w:shd w:val="clear" w:color="auto" w:fill="auto"/>
            <w:hideMark/>
          </w:tcPr>
          <w:p w:rsidR="007B5401" w:rsidRPr="007B5401" w:rsidRDefault="007B5401" w:rsidP="007B5401">
            <w:pPr>
              <w:jc w:val="left"/>
              <w:rPr>
                <w:rFonts w:ascii="Arial" w:eastAsia="Times New Roman" w:hAnsi="Arial" w:cs="Arial"/>
                <w:color w:val="000000"/>
                <w:sz w:val="18"/>
                <w:szCs w:val="18"/>
              </w:rPr>
            </w:pPr>
            <w:r w:rsidRPr="007B5401">
              <w:rPr>
                <w:rFonts w:ascii="Arial" w:eastAsia="Times New Roman" w:hAnsi="Arial" w:cs="Arial"/>
                <w:color w:val="000000"/>
                <w:sz w:val="18"/>
                <w:szCs w:val="18"/>
              </w:rPr>
              <w:t> </w:t>
            </w:r>
          </w:p>
        </w:tc>
        <w:tc>
          <w:tcPr>
            <w:tcW w:w="452" w:type="dxa"/>
            <w:tcBorders>
              <w:top w:val="nil"/>
              <w:left w:val="nil"/>
              <w:bottom w:val="nil"/>
              <w:right w:val="single" w:sz="4" w:space="0" w:color="auto"/>
            </w:tcBorders>
            <w:shd w:val="clear" w:color="auto" w:fill="auto"/>
            <w:hideMark/>
          </w:tcPr>
          <w:p w:rsidR="007B5401" w:rsidRPr="007B5401" w:rsidRDefault="007B5401" w:rsidP="007B5401">
            <w:pPr>
              <w:jc w:val="center"/>
              <w:rPr>
                <w:rFonts w:ascii="Wingdings 2" w:eastAsia="Times New Roman" w:hAnsi="Wingdings 2" w:cs="Arial"/>
                <w:color w:val="000000"/>
                <w:sz w:val="18"/>
                <w:szCs w:val="18"/>
              </w:rPr>
            </w:pPr>
            <w:r w:rsidRPr="007B5401">
              <w:rPr>
                <w:rFonts w:ascii="Wingdings 2" w:eastAsia="Times New Roman" w:hAnsi="Wingdings 2" w:cs="Arial"/>
                <w:color w:val="000000"/>
                <w:sz w:val="18"/>
                <w:szCs w:val="18"/>
              </w:rPr>
              <w:t></w:t>
            </w:r>
          </w:p>
        </w:tc>
        <w:tc>
          <w:tcPr>
            <w:tcW w:w="452" w:type="dxa"/>
            <w:tcBorders>
              <w:top w:val="nil"/>
              <w:left w:val="nil"/>
              <w:bottom w:val="nil"/>
              <w:right w:val="single" w:sz="4" w:space="0" w:color="auto"/>
            </w:tcBorders>
            <w:shd w:val="clear" w:color="auto" w:fill="auto"/>
            <w:noWrap/>
            <w:vAlign w:val="bottom"/>
            <w:hideMark/>
          </w:tcPr>
          <w:p w:rsidR="007B5401" w:rsidRPr="007B5401" w:rsidRDefault="007B5401" w:rsidP="007B5401">
            <w:pPr>
              <w:jc w:val="left"/>
              <w:rPr>
                <w:rFonts w:ascii="Arial" w:eastAsia="Times New Roman" w:hAnsi="Arial" w:cs="Arial"/>
                <w:color w:val="000000"/>
                <w:sz w:val="20"/>
                <w:szCs w:val="20"/>
              </w:rPr>
            </w:pPr>
            <w:r w:rsidRPr="007B5401">
              <w:rPr>
                <w:rFonts w:ascii="Arial" w:eastAsia="Times New Roman" w:hAnsi="Arial" w:cs="Arial"/>
                <w:color w:val="000000"/>
                <w:sz w:val="20"/>
                <w:szCs w:val="20"/>
              </w:rPr>
              <w:t> </w:t>
            </w:r>
          </w:p>
        </w:tc>
        <w:tc>
          <w:tcPr>
            <w:tcW w:w="452" w:type="dxa"/>
            <w:tcBorders>
              <w:top w:val="nil"/>
              <w:left w:val="nil"/>
              <w:bottom w:val="nil"/>
              <w:right w:val="single" w:sz="4" w:space="0" w:color="auto"/>
            </w:tcBorders>
            <w:shd w:val="clear" w:color="auto" w:fill="auto"/>
            <w:noWrap/>
            <w:vAlign w:val="bottom"/>
            <w:hideMark/>
          </w:tcPr>
          <w:p w:rsidR="007B5401" w:rsidRPr="007B5401" w:rsidRDefault="007B5401" w:rsidP="007B5401">
            <w:pPr>
              <w:jc w:val="left"/>
              <w:rPr>
                <w:rFonts w:ascii="Arial" w:eastAsia="Times New Roman" w:hAnsi="Arial" w:cs="Arial"/>
                <w:color w:val="000000"/>
                <w:sz w:val="20"/>
                <w:szCs w:val="20"/>
              </w:rPr>
            </w:pPr>
            <w:r w:rsidRPr="007B5401">
              <w:rPr>
                <w:rFonts w:ascii="Arial" w:eastAsia="Times New Roman" w:hAnsi="Arial" w:cs="Arial"/>
                <w:color w:val="000000"/>
                <w:sz w:val="20"/>
                <w:szCs w:val="20"/>
              </w:rPr>
              <w:t> </w:t>
            </w:r>
          </w:p>
        </w:tc>
        <w:tc>
          <w:tcPr>
            <w:tcW w:w="452" w:type="dxa"/>
            <w:tcBorders>
              <w:top w:val="nil"/>
              <w:left w:val="nil"/>
              <w:bottom w:val="nil"/>
              <w:right w:val="single" w:sz="4" w:space="0" w:color="auto"/>
            </w:tcBorders>
            <w:shd w:val="clear" w:color="auto" w:fill="auto"/>
            <w:noWrap/>
            <w:vAlign w:val="bottom"/>
            <w:hideMark/>
          </w:tcPr>
          <w:p w:rsidR="007B5401" w:rsidRPr="007B5401" w:rsidRDefault="007B5401" w:rsidP="007B5401">
            <w:pPr>
              <w:jc w:val="left"/>
              <w:rPr>
                <w:rFonts w:ascii="Arial" w:eastAsia="Times New Roman" w:hAnsi="Arial" w:cs="Arial"/>
                <w:color w:val="000000"/>
                <w:sz w:val="20"/>
                <w:szCs w:val="20"/>
              </w:rPr>
            </w:pPr>
            <w:r w:rsidRPr="007B5401">
              <w:rPr>
                <w:rFonts w:ascii="Arial" w:eastAsia="Times New Roman" w:hAnsi="Arial" w:cs="Arial"/>
                <w:color w:val="000000"/>
                <w:sz w:val="20"/>
                <w:szCs w:val="20"/>
              </w:rPr>
              <w:t> </w:t>
            </w:r>
          </w:p>
        </w:tc>
        <w:tc>
          <w:tcPr>
            <w:tcW w:w="452" w:type="dxa"/>
            <w:tcBorders>
              <w:top w:val="nil"/>
              <w:left w:val="nil"/>
              <w:bottom w:val="nil"/>
              <w:right w:val="single" w:sz="4" w:space="0" w:color="auto"/>
            </w:tcBorders>
            <w:shd w:val="clear" w:color="auto" w:fill="auto"/>
            <w:noWrap/>
            <w:vAlign w:val="bottom"/>
            <w:hideMark/>
          </w:tcPr>
          <w:p w:rsidR="007B5401" w:rsidRPr="007B5401" w:rsidRDefault="007B5401" w:rsidP="007B5401">
            <w:pPr>
              <w:jc w:val="left"/>
              <w:rPr>
                <w:rFonts w:ascii="Arial" w:eastAsia="Times New Roman" w:hAnsi="Arial" w:cs="Arial"/>
                <w:color w:val="000000"/>
                <w:sz w:val="20"/>
                <w:szCs w:val="20"/>
              </w:rPr>
            </w:pPr>
            <w:r w:rsidRPr="007B5401">
              <w:rPr>
                <w:rFonts w:ascii="Arial" w:eastAsia="Times New Roman" w:hAnsi="Arial" w:cs="Arial"/>
                <w:color w:val="000000"/>
                <w:sz w:val="20"/>
                <w:szCs w:val="20"/>
              </w:rPr>
              <w:t> </w:t>
            </w:r>
          </w:p>
        </w:tc>
        <w:tc>
          <w:tcPr>
            <w:tcW w:w="452" w:type="dxa"/>
            <w:tcBorders>
              <w:top w:val="nil"/>
              <w:left w:val="nil"/>
              <w:bottom w:val="nil"/>
              <w:right w:val="single" w:sz="4" w:space="0" w:color="auto"/>
            </w:tcBorders>
            <w:shd w:val="clear" w:color="auto" w:fill="auto"/>
            <w:noWrap/>
            <w:vAlign w:val="bottom"/>
            <w:hideMark/>
          </w:tcPr>
          <w:p w:rsidR="007B5401" w:rsidRPr="007B5401" w:rsidRDefault="007B5401" w:rsidP="007B5401">
            <w:pPr>
              <w:jc w:val="left"/>
              <w:rPr>
                <w:rFonts w:ascii="Arial" w:eastAsia="Times New Roman" w:hAnsi="Arial" w:cs="Arial"/>
                <w:color w:val="000000"/>
                <w:sz w:val="20"/>
                <w:szCs w:val="20"/>
              </w:rPr>
            </w:pPr>
            <w:r w:rsidRPr="007B5401">
              <w:rPr>
                <w:rFonts w:ascii="Arial" w:eastAsia="Times New Roman" w:hAnsi="Arial" w:cs="Arial"/>
                <w:color w:val="000000"/>
                <w:sz w:val="20"/>
                <w:szCs w:val="20"/>
              </w:rPr>
              <w:t> </w:t>
            </w:r>
          </w:p>
        </w:tc>
        <w:tc>
          <w:tcPr>
            <w:tcW w:w="452" w:type="dxa"/>
            <w:tcBorders>
              <w:top w:val="nil"/>
              <w:left w:val="nil"/>
              <w:bottom w:val="nil"/>
              <w:right w:val="single" w:sz="4" w:space="0" w:color="auto"/>
            </w:tcBorders>
            <w:shd w:val="clear" w:color="auto" w:fill="auto"/>
            <w:noWrap/>
            <w:vAlign w:val="bottom"/>
            <w:hideMark/>
          </w:tcPr>
          <w:p w:rsidR="007B5401" w:rsidRPr="007B5401" w:rsidRDefault="007B5401" w:rsidP="007B5401">
            <w:pPr>
              <w:jc w:val="left"/>
              <w:rPr>
                <w:rFonts w:ascii="Arial" w:eastAsia="Times New Roman" w:hAnsi="Arial" w:cs="Arial"/>
                <w:color w:val="000000"/>
                <w:sz w:val="20"/>
                <w:szCs w:val="20"/>
              </w:rPr>
            </w:pPr>
            <w:r w:rsidRPr="007B5401">
              <w:rPr>
                <w:rFonts w:ascii="Arial" w:eastAsia="Times New Roman" w:hAnsi="Arial" w:cs="Arial"/>
                <w:color w:val="000000"/>
                <w:sz w:val="20"/>
                <w:szCs w:val="20"/>
              </w:rPr>
              <w:t> </w:t>
            </w:r>
          </w:p>
        </w:tc>
        <w:tc>
          <w:tcPr>
            <w:tcW w:w="452" w:type="dxa"/>
            <w:tcBorders>
              <w:top w:val="nil"/>
              <w:left w:val="nil"/>
              <w:bottom w:val="nil"/>
              <w:right w:val="single" w:sz="4" w:space="0" w:color="auto"/>
            </w:tcBorders>
            <w:shd w:val="clear" w:color="auto" w:fill="auto"/>
            <w:noWrap/>
            <w:vAlign w:val="bottom"/>
            <w:hideMark/>
          </w:tcPr>
          <w:p w:rsidR="007B5401" w:rsidRPr="007B5401" w:rsidRDefault="007B5401" w:rsidP="007B5401">
            <w:pPr>
              <w:jc w:val="left"/>
              <w:rPr>
                <w:rFonts w:ascii="Arial" w:eastAsia="Times New Roman" w:hAnsi="Arial" w:cs="Arial"/>
                <w:color w:val="000000"/>
                <w:sz w:val="20"/>
                <w:szCs w:val="20"/>
              </w:rPr>
            </w:pPr>
            <w:r w:rsidRPr="007B5401">
              <w:rPr>
                <w:rFonts w:ascii="Arial" w:eastAsia="Times New Roman" w:hAnsi="Arial" w:cs="Arial"/>
                <w:color w:val="000000"/>
                <w:sz w:val="20"/>
                <w:szCs w:val="20"/>
              </w:rPr>
              <w:t> </w:t>
            </w:r>
          </w:p>
        </w:tc>
        <w:tc>
          <w:tcPr>
            <w:tcW w:w="452" w:type="dxa"/>
            <w:tcBorders>
              <w:top w:val="nil"/>
              <w:left w:val="nil"/>
              <w:bottom w:val="nil"/>
              <w:right w:val="single" w:sz="4" w:space="0" w:color="auto"/>
            </w:tcBorders>
            <w:shd w:val="clear" w:color="auto" w:fill="auto"/>
            <w:noWrap/>
            <w:vAlign w:val="bottom"/>
            <w:hideMark/>
          </w:tcPr>
          <w:p w:rsidR="007B5401" w:rsidRPr="007B5401" w:rsidRDefault="007B5401" w:rsidP="007B5401">
            <w:pPr>
              <w:jc w:val="left"/>
              <w:rPr>
                <w:rFonts w:ascii="Arial" w:eastAsia="Times New Roman" w:hAnsi="Arial" w:cs="Arial"/>
                <w:color w:val="000000"/>
                <w:sz w:val="20"/>
                <w:szCs w:val="20"/>
              </w:rPr>
            </w:pPr>
            <w:r w:rsidRPr="007B5401">
              <w:rPr>
                <w:rFonts w:ascii="Arial" w:eastAsia="Times New Roman" w:hAnsi="Arial" w:cs="Arial"/>
                <w:color w:val="000000"/>
                <w:sz w:val="20"/>
                <w:szCs w:val="20"/>
              </w:rPr>
              <w:t> </w:t>
            </w:r>
          </w:p>
        </w:tc>
      </w:tr>
      <w:tr w:rsidR="007B5401" w:rsidRPr="007B5401" w:rsidTr="007B5401">
        <w:trPr>
          <w:trHeight w:val="255"/>
        </w:trPr>
        <w:tc>
          <w:tcPr>
            <w:tcW w:w="1247" w:type="dxa"/>
            <w:vMerge/>
            <w:tcBorders>
              <w:top w:val="single" w:sz="4" w:space="0" w:color="auto"/>
              <w:left w:val="single" w:sz="4" w:space="0" w:color="auto"/>
              <w:bottom w:val="single" w:sz="4" w:space="0" w:color="000000"/>
              <w:right w:val="single" w:sz="4" w:space="0" w:color="auto"/>
            </w:tcBorders>
            <w:vAlign w:val="center"/>
            <w:hideMark/>
          </w:tcPr>
          <w:p w:rsidR="007B5401" w:rsidRPr="007B5401" w:rsidRDefault="007B5401" w:rsidP="007B5401">
            <w:pPr>
              <w:jc w:val="left"/>
              <w:rPr>
                <w:rFonts w:ascii="Arial" w:eastAsia="Times New Roman" w:hAnsi="Arial" w:cs="Arial"/>
                <w:color w:val="000000"/>
                <w:sz w:val="18"/>
                <w:szCs w:val="18"/>
              </w:rPr>
            </w:pPr>
          </w:p>
        </w:tc>
        <w:tc>
          <w:tcPr>
            <w:tcW w:w="3551" w:type="dxa"/>
            <w:tcBorders>
              <w:top w:val="nil"/>
              <w:left w:val="nil"/>
              <w:bottom w:val="nil"/>
              <w:right w:val="nil"/>
            </w:tcBorders>
            <w:shd w:val="clear" w:color="000000" w:fill="F2F2F2"/>
            <w:hideMark/>
          </w:tcPr>
          <w:p w:rsidR="007B5401" w:rsidRPr="007B5401" w:rsidRDefault="007B5401" w:rsidP="007B5401">
            <w:pPr>
              <w:jc w:val="left"/>
              <w:rPr>
                <w:rFonts w:ascii="Arial" w:eastAsia="Times New Roman" w:hAnsi="Arial" w:cs="Arial"/>
                <w:color w:val="000000"/>
                <w:sz w:val="18"/>
                <w:szCs w:val="18"/>
              </w:rPr>
            </w:pPr>
            <w:r w:rsidRPr="007B5401">
              <w:rPr>
                <w:rFonts w:ascii="Arial" w:eastAsia="Times New Roman" w:hAnsi="Arial" w:cs="Arial"/>
                <w:color w:val="000000"/>
                <w:sz w:val="18"/>
                <w:szCs w:val="18"/>
              </w:rPr>
              <w:t>Dishwashers</w:t>
            </w:r>
          </w:p>
        </w:tc>
        <w:tc>
          <w:tcPr>
            <w:tcW w:w="453" w:type="dxa"/>
            <w:tcBorders>
              <w:top w:val="nil"/>
              <w:left w:val="single" w:sz="4" w:space="0" w:color="auto"/>
              <w:bottom w:val="nil"/>
              <w:right w:val="single" w:sz="4" w:space="0" w:color="auto"/>
            </w:tcBorders>
            <w:shd w:val="clear" w:color="000000" w:fill="F2F2F2"/>
            <w:hideMark/>
          </w:tcPr>
          <w:p w:rsidR="007B5401" w:rsidRPr="007B5401" w:rsidRDefault="007B5401" w:rsidP="007B5401">
            <w:pPr>
              <w:jc w:val="left"/>
              <w:rPr>
                <w:rFonts w:ascii="Arial" w:eastAsia="Times New Roman" w:hAnsi="Arial" w:cs="Arial"/>
                <w:color w:val="000000"/>
                <w:sz w:val="18"/>
                <w:szCs w:val="18"/>
              </w:rPr>
            </w:pPr>
            <w:r w:rsidRPr="007B5401">
              <w:rPr>
                <w:rFonts w:ascii="Arial" w:eastAsia="Times New Roman" w:hAnsi="Arial" w:cs="Arial"/>
                <w:color w:val="000000"/>
                <w:sz w:val="18"/>
                <w:szCs w:val="18"/>
              </w:rPr>
              <w:t> </w:t>
            </w:r>
          </w:p>
        </w:tc>
        <w:tc>
          <w:tcPr>
            <w:tcW w:w="452" w:type="dxa"/>
            <w:tcBorders>
              <w:top w:val="nil"/>
              <w:left w:val="nil"/>
              <w:bottom w:val="nil"/>
              <w:right w:val="single" w:sz="4" w:space="0" w:color="auto"/>
            </w:tcBorders>
            <w:shd w:val="clear" w:color="000000" w:fill="F2F2F2"/>
            <w:hideMark/>
          </w:tcPr>
          <w:p w:rsidR="007B5401" w:rsidRPr="007B5401" w:rsidRDefault="007B5401" w:rsidP="007B5401">
            <w:pPr>
              <w:jc w:val="left"/>
              <w:rPr>
                <w:rFonts w:ascii="Arial" w:eastAsia="Times New Roman" w:hAnsi="Arial" w:cs="Arial"/>
                <w:color w:val="000000"/>
                <w:sz w:val="18"/>
                <w:szCs w:val="18"/>
              </w:rPr>
            </w:pPr>
            <w:r w:rsidRPr="007B5401">
              <w:rPr>
                <w:rFonts w:ascii="Arial" w:eastAsia="Times New Roman" w:hAnsi="Arial" w:cs="Arial"/>
                <w:color w:val="000000"/>
                <w:sz w:val="18"/>
                <w:szCs w:val="18"/>
              </w:rPr>
              <w:t> </w:t>
            </w:r>
          </w:p>
        </w:tc>
        <w:tc>
          <w:tcPr>
            <w:tcW w:w="452" w:type="dxa"/>
            <w:tcBorders>
              <w:top w:val="nil"/>
              <w:left w:val="nil"/>
              <w:bottom w:val="nil"/>
              <w:right w:val="single" w:sz="4" w:space="0" w:color="auto"/>
            </w:tcBorders>
            <w:shd w:val="clear" w:color="000000" w:fill="F2F2F2"/>
            <w:hideMark/>
          </w:tcPr>
          <w:p w:rsidR="007B5401" w:rsidRPr="007B5401" w:rsidRDefault="007B5401" w:rsidP="007B5401">
            <w:pPr>
              <w:jc w:val="left"/>
              <w:rPr>
                <w:rFonts w:ascii="Arial" w:eastAsia="Times New Roman" w:hAnsi="Arial" w:cs="Arial"/>
                <w:color w:val="000000"/>
                <w:sz w:val="18"/>
                <w:szCs w:val="18"/>
              </w:rPr>
            </w:pPr>
            <w:r w:rsidRPr="007B5401">
              <w:rPr>
                <w:rFonts w:ascii="Arial" w:eastAsia="Times New Roman" w:hAnsi="Arial" w:cs="Arial"/>
                <w:color w:val="000000"/>
                <w:sz w:val="18"/>
                <w:szCs w:val="18"/>
              </w:rPr>
              <w:t> </w:t>
            </w:r>
          </w:p>
        </w:tc>
        <w:tc>
          <w:tcPr>
            <w:tcW w:w="452" w:type="dxa"/>
            <w:tcBorders>
              <w:top w:val="nil"/>
              <w:left w:val="nil"/>
              <w:bottom w:val="nil"/>
              <w:right w:val="single" w:sz="4" w:space="0" w:color="auto"/>
            </w:tcBorders>
            <w:shd w:val="clear" w:color="000000" w:fill="F2F2F2"/>
            <w:hideMark/>
          </w:tcPr>
          <w:p w:rsidR="007B5401" w:rsidRPr="007B5401" w:rsidRDefault="007B5401" w:rsidP="007B5401">
            <w:pPr>
              <w:jc w:val="center"/>
              <w:rPr>
                <w:rFonts w:ascii="Wingdings 2" w:eastAsia="Times New Roman" w:hAnsi="Wingdings 2" w:cs="Arial"/>
                <w:color w:val="000000"/>
                <w:sz w:val="18"/>
                <w:szCs w:val="18"/>
              </w:rPr>
            </w:pPr>
            <w:r w:rsidRPr="007B5401">
              <w:rPr>
                <w:rFonts w:ascii="Wingdings 2" w:eastAsia="Times New Roman" w:hAnsi="Wingdings 2" w:cs="Arial"/>
                <w:color w:val="000000"/>
                <w:sz w:val="18"/>
                <w:szCs w:val="18"/>
              </w:rPr>
              <w:t></w:t>
            </w:r>
          </w:p>
        </w:tc>
        <w:tc>
          <w:tcPr>
            <w:tcW w:w="452" w:type="dxa"/>
            <w:tcBorders>
              <w:top w:val="nil"/>
              <w:left w:val="nil"/>
              <w:bottom w:val="nil"/>
              <w:right w:val="single" w:sz="4" w:space="0" w:color="auto"/>
            </w:tcBorders>
            <w:shd w:val="clear" w:color="000000" w:fill="F2F2F2"/>
            <w:noWrap/>
            <w:vAlign w:val="bottom"/>
            <w:hideMark/>
          </w:tcPr>
          <w:p w:rsidR="007B5401" w:rsidRPr="007B5401" w:rsidRDefault="007B5401" w:rsidP="007B5401">
            <w:pPr>
              <w:jc w:val="left"/>
              <w:rPr>
                <w:rFonts w:ascii="Arial" w:eastAsia="Times New Roman" w:hAnsi="Arial" w:cs="Arial"/>
                <w:color w:val="000000"/>
                <w:sz w:val="20"/>
                <w:szCs w:val="20"/>
              </w:rPr>
            </w:pPr>
            <w:r w:rsidRPr="007B5401">
              <w:rPr>
                <w:rFonts w:ascii="Arial" w:eastAsia="Times New Roman" w:hAnsi="Arial" w:cs="Arial"/>
                <w:color w:val="000000"/>
                <w:sz w:val="20"/>
                <w:szCs w:val="20"/>
              </w:rPr>
              <w:t> </w:t>
            </w:r>
          </w:p>
        </w:tc>
        <w:tc>
          <w:tcPr>
            <w:tcW w:w="452" w:type="dxa"/>
            <w:tcBorders>
              <w:top w:val="nil"/>
              <w:left w:val="nil"/>
              <w:bottom w:val="nil"/>
              <w:right w:val="single" w:sz="4" w:space="0" w:color="auto"/>
            </w:tcBorders>
            <w:shd w:val="clear" w:color="000000" w:fill="F2F2F2"/>
            <w:noWrap/>
            <w:vAlign w:val="bottom"/>
            <w:hideMark/>
          </w:tcPr>
          <w:p w:rsidR="007B5401" w:rsidRPr="007B5401" w:rsidRDefault="007B5401" w:rsidP="007B5401">
            <w:pPr>
              <w:jc w:val="left"/>
              <w:rPr>
                <w:rFonts w:ascii="Arial" w:eastAsia="Times New Roman" w:hAnsi="Arial" w:cs="Arial"/>
                <w:color w:val="000000"/>
                <w:sz w:val="20"/>
                <w:szCs w:val="20"/>
              </w:rPr>
            </w:pPr>
            <w:r w:rsidRPr="007B5401">
              <w:rPr>
                <w:rFonts w:ascii="Arial" w:eastAsia="Times New Roman" w:hAnsi="Arial" w:cs="Arial"/>
                <w:color w:val="000000"/>
                <w:sz w:val="20"/>
                <w:szCs w:val="20"/>
              </w:rPr>
              <w:t> </w:t>
            </w:r>
          </w:p>
        </w:tc>
        <w:tc>
          <w:tcPr>
            <w:tcW w:w="452" w:type="dxa"/>
            <w:tcBorders>
              <w:top w:val="nil"/>
              <w:left w:val="nil"/>
              <w:bottom w:val="nil"/>
              <w:right w:val="single" w:sz="4" w:space="0" w:color="auto"/>
            </w:tcBorders>
            <w:shd w:val="clear" w:color="000000" w:fill="F2F2F2"/>
            <w:noWrap/>
            <w:vAlign w:val="bottom"/>
            <w:hideMark/>
          </w:tcPr>
          <w:p w:rsidR="007B5401" w:rsidRPr="007B5401" w:rsidRDefault="007B5401" w:rsidP="007B5401">
            <w:pPr>
              <w:jc w:val="left"/>
              <w:rPr>
                <w:rFonts w:ascii="Arial" w:eastAsia="Times New Roman" w:hAnsi="Arial" w:cs="Arial"/>
                <w:color w:val="000000"/>
                <w:sz w:val="20"/>
                <w:szCs w:val="20"/>
              </w:rPr>
            </w:pPr>
            <w:r w:rsidRPr="007B5401">
              <w:rPr>
                <w:rFonts w:ascii="Arial" w:eastAsia="Times New Roman" w:hAnsi="Arial" w:cs="Arial"/>
                <w:color w:val="000000"/>
                <w:sz w:val="20"/>
                <w:szCs w:val="20"/>
              </w:rPr>
              <w:t> </w:t>
            </w:r>
          </w:p>
        </w:tc>
        <w:tc>
          <w:tcPr>
            <w:tcW w:w="452" w:type="dxa"/>
            <w:tcBorders>
              <w:top w:val="nil"/>
              <w:left w:val="nil"/>
              <w:bottom w:val="nil"/>
              <w:right w:val="single" w:sz="4" w:space="0" w:color="auto"/>
            </w:tcBorders>
            <w:shd w:val="clear" w:color="000000" w:fill="F2F2F2"/>
            <w:noWrap/>
            <w:vAlign w:val="bottom"/>
            <w:hideMark/>
          </w:tcPr>
          <w:p w:rsidR="007B5401" w:rsidRPr="007B5401" w:rsidRDefault="007B5401" w:rsidP="007B5401">
            <w:pPr>
              <w:jc w:val="left"/>
              <w:rPr>
                <w:rFonts w:ascii="Arial" w:eastAsia="Times New Roman" w:hAnsi="Arial" w:cs="Arial"/>
                <w:color w:val="000000"/>
                <w:sz w:val="20"/>
                <w:szCs w:val="20"/>
              </w:rPr>
            </w:pPr>
            <w:r w:rsidRPr="007B5401">
              <w:rPr>
                <w:rFonts w:ascii="Arial" w:eastAsia="Times New Roman" w:hAnsi="Arial" w:cs="Arial"/>
                <w:color w:val="000000"/>
                <w:sz w:val="20"/>
                <w:szCs w:val="20"/>
              </w:rPr>
              <w:t> </w:t>
            </w:r>
          </w:p>
        </w:tc>
        <w:tc>
          <w:tcPr>
            <w:tcW w:w="452" w:type="dxa"/>
            <w:tcBorders>
              <w:top w:val="nil"/>
              <w:left w:val="nil"/>
              <w:bottom w:val="nil"/>
              <w:right w:val="single" w:sz="4" w:space="0" w:color="auto"/>
            </w:tcBorders>
            <w:shd w:val="clear" w:color="000000" w:fill="F2F2F2"/>
            <w:noWrap/>
            <w:vAlign w:val="bottom"/>
            <w:hideMark/>
          </w:tcPr>
          <w:p w:rsidR="007B5401" w:rsidRPr="007B5401" w:rsidRDefault="007B5401" w:rsidP="007B5401">
            <w:pPr>
              <w:jc w:val="left"/>
              <w:rPr>
                <w:rFonts w:ascii="Arial" w:eastAsia="Times New Roman" w:hAnsi="Arial" w:cs="Arial"/>
                <w:color w:val="000000"/>
                <w:sz w:val="20"/>
                <w:szCs w:val="20"/>
              </w:rPr>
            </w:pPr>
            <w:r w:rsidRPr="007B5401">
              <w:rPr>
                <w:rFonts w:ascii="Arial" w:eastAsia="Times New Roman" w:hAnsi="Arial" w:cs="Arial"/>
                <w:color w:val="000000"/>
                <w:sz w:val="20"/>
                <w:szCs w:val="20"/>
              </w:rPr>
              <w:t> </w:t>
            </w:r>
          </w:p>
        </w:tc>
        <w:tc>
          <w:tcPr>
            <w:tcW w:w="452" w:type="dxa"/>
            <w:tcBorders>
              <w:top w:val="nil"/>
              <w:left w:val="nil"/>
              <w:bottom w:val="nil"/>
              <w:right w:val="single" w:sz="4" w:space="0" w:color="auto"/>
            </w:tcBorders>
            <w:shd w:val="clear" w:color="000000" w:fill="F2F2F2"/>
            <w:hideMark/>
          </w:tcPr>
          <w:p w:rsidR="007B5401" w:rsidRPr="007B5401" w:rsidRDefault="007B5401" w:rsidP="007B5401">
            <w:pPr>
              <w:jc w:val="center"/>
              <w:rPr>
                <w:rFonts w:ascii="Wingdings 2" w:eastAsia="Times New Roman" w:hAnsi="Wingdings 2" w:cs="Arial"/>
                <w:color w:val="000000"/>
                <w:sz w:val="18"/>
                <w:szCs w:val="18"/>
              </w:rPr>
            </w:pPr>
            <w:r w:rsidRPr="007B5401">
              <w:rPr>
                <w:rFonts w:ascii="Wingdings 2" w:eastAsia="Times New Roman" w:hAnsi="Wingdings 2" w:cs="Arial"/>
                <w:color w:val="000000"/>
                <w:sz w:val="18"/>
                <w:szCs w:val="18"/>
              </w:rPr>
              <w:t></w:t>
            </w:r>
          </w:p>
        </w:tc>
        <w:tc>
          <w:tcPr>
            <w:tcW w:w="452" w:type="dxa"/>
            <w:tcBorders>
              <w:top w:val="nil"/>
              <w:left w:val="nil"/>
              <w:bottom w:val="nil"/>
              <w:right w:val="single" w:sz="4" w:space="0" w:color="auto"/>
            </w:tcBorders>
            <w:shd w:val="clear" w:color="000000" w:fill="F2F2F2"/>
            <w:noWrap/>
            <w:vAlign w:val="bottom"/>
            <w:hideMark/>
          </w:tcPr>
          <w:p w:rsidR="007B5401" w:rsidRPr="007B5401" w:rsidRDefault="007B5401" w:rsidP="007B5401">
            <w:pPr>
              <w:jc w:val="left"/>
              <w:rPr>
                <w:rFonts w:ascii="Arial" w:eastAsia="Times New Roman" w:hAnsi="Arial" w:cs="Arial"/>
                <w:color w:val="000000"/>
                <w:sz w:val="18"/>
                <w:szCs w:val="18"/>
              </w:rPr>
            </w:pPr>
            <w:r w:rsidRPr="007B5401">
              <w:rPr>
                <w:rFonts w:ascii="Arial" w:eastAsia="Times New Roman" w:hAnsi="Arial" w:cs="Arial"/>
                <w:color w:val="000000"/>
                <w:sz w:val="18"/>
                <w:szCs w:val="18"/>
              </w:rPr>
              <w:t> </w:t>
            </w:r>
          </w:p>
        </w:tc>
      </w:tr>
      <w:tr w:rsidR="007B5401" w:rsidRPr="007B5401" w:rsidTr="007B5401">
        <w:trPr>
          <w:trHeight w:val="255"/>
        </w:trPr>
        <w:tc>
          <w:tcPr>
            <w:tcW w:w="1247" w:type="dxa"/>
            <w:vMerge/>
            <w:tcBorders>
              <w:top w:val="single" w:sz="4" w:space="0" w:color="auto"/>
              <w:left w:val="single" w:sz="4" w:space="0" w:color="auto"/>
              <w:bottom w:val="single" w:sz="4" w:space="0" w:color="000000"/>
              <w:right w:val="single" w:sz="4" w:space="0" w:color="auto"/>
            </w:tcBorders>
            <w:vAlign w:val="center"/>
            <w:hideMark/>
          </w:tcPr>
          <w:p w:rsidR="007B5401" w:rsidRPr="007B5401" w:rsidRDefault="007B5401" w:rsidP="007B5401">
            <w:pPr>
              <w:jc w:val="left"/>
              <w:rPr>
                <w:rFonts w:ascii="Arial" w:eastAsia="Times New Roman" w:hAnsi="Arial" w:cs="Arial"/>
                <w:color w:val="000000"/>
                <w:sz w:val="18"/>
                <w:szCs w:val="18"/>
              </w:rPr>
            </w:pPr>
          </w:p>
        </w:tc>
        <w:tc>
          <w:tcPr>
            <w:tcW w:w="3551" w:type="dxa"/>
            <w:tcBorders>
              <w:top w:val="nil"/>
              <w:left w:val="nil"/>
              <w:bottom w:val="nil"/>
              <w:right w:val="nil"/>
            </w:tcBorders>
            <w:shd w:val="clear" w:color="auto" w:fill="auto"/>
            <w:hideMark/>
          </w:tcPr>
          <w:p w:rsidR="007B5401" w:rsidRPr="007B5401" w:rsidRDefault="007B5401" w:rsidP="007B5401">
            <w:pPr>
              <w:jc w:val="left"/>
              <w:rPr>
                <w:rFonts w:ascii="Arial" w:eastAsia="Times New Roman" w:hAnsi="Arial" w:cs="Arial"/>
                <w:b/>
                <w:color w:val="000000"/>
                <w:sz w:val="18"/>
                <w:szCs w:val="18"/>
              </w:rPr>
            </w:pPr>
            <w:r w:rsidRPr="007B5401">
              <w:rPr>
                <w:rFonts w:ascii="Arial" w:eastAsia="Times New Roman" w:hAnsi="Arial" w:cs="Arial"/>
                <w:b/>
                <w:color w:val="000000"/>
                <w:sz w:val="18"/>
                <w:szCs w:val="18"/>
              </w:rPr>
              <w:t>Furnace Fans</w:t>
            </w:r>
          </w:p>
        </w:tc>
        <w:tc>
          <w:tcPr>
            <w:tcW w:w="453" w:type="dxa"/>
            <w:tcBorders>
              <w:top w:val="nil"/>
              <w:left w:val="single" w:sz="4" w:space="0" w:color="auto"/>
              <w:bottom w:val="nil"/>
              <w:right w:val="single" w:sz="4" w:space="0" w:color="auto"/>
            </w:tcBorders>
            <w:shd w:val="clear" w:color="auto" w:fill="auto"/>
            <w:hideMark/>
          </w:tcPr>
          <w:p w:rsidR="007B5401" w:rsidRPr="007B5401" w:rsidRDefault="007B5401" w:rsidP="007B5401">
            <w:pPr>
              <w:jc w:val="left"/>
              <w:rPr>
                <w:rFonts w:ascii="Arial" w:eastAsia="Times New Roman" w:hAnsi="Arial" w:cs="Arial"/>
                <w:b/>
                <w:color w:val="000000"/>
                <w:sz w:val="18"/>
                <w:szCs w:val="18"/>
              </w:rPr>
            </w:pPr>
            <w:r w:rsidRPr="007B5401">
              <w:rPr>
                <w:rFonts w:ascii="Arial" w:eastAsia="Times New Roman" w:hAnsi="Arial" w:cs="Arial"/>
                <w:b/>
                <w:color w:val="000000"/>
                <w:sz w:val="18"/>
                <w:szCs w:val="18"/>
              </w:rPr>
              <w:t> </w:t>
            </w:r>
          </w:p>
        </w:tc>
        <w:tc>
          <w:tcPr>
            <w:tcW w:w="452" w:type="dxa"/>
            <w:tcBorders>
              <w:top w:val="nil"/>
              <w:left w:val="nil"/>
              <w:bottom w:val="nil"/>
              <w:right w:val="single" w:sz="4" w:space="0" w:color="auto"/>
            </w:tcBorders>
            <w:shd w:val="clear" w:color="auto" w:fill="auto"/>
            <w:hideMark/>
          </w:tcPr>
          <w:p w:rsidR="007B5401" w:rsidRPr="007B5401" w:rsidRDefault="007B5401" w:rsidP="007B5401">
            <w:pPr>
              <w:jc w:val="left"/>
              <w:rPr>
                <w:rFonts w:ascii="Arial" w:eastAsia="Times New Roman" w:hAnsi="Arial" w:cs="Arial"/>
                <w:b/>
                <w:color w:val="000000"/>
                <w:sz w:val="18"/>
                <w:szCs w:val="18"/>
              </w:rPr>
            </w:pPr>
            <w:r w:rsidRPr="007B5401">
              <w:rPr>
                <w:rFonts w:ascii="Arial" w:eastAsia="Times New Roman" w:hAnsi="Arial" w:cs="Arial"/>
                <w:b/>
                <w:color w:val="000000"/>
                <w:sz w:val="18"/>
                <w:szCs w:val="18"/>
              </w:rPr>
              <w:t> </w:t>
            </w:r>
          </w:p>
        </w:tc>
        <w:tc>
          <w:tcPr>
            <w:tcW w:w="452" w:type="dxa"/>
            <w:tcBorders>
              <w:top w:val="nil"/>
              <w:left w:val="nil"/>
              <w:bottom w:val="nil"/>
              <w:right w:val="single" w:sz="4" w:space="0" w:color="auto"/>
            </w:tcBorders>
            <w:shd w:val="clear" w:color="auto" w:fill="auto"/>
            <w:hideMark/>
          </w:tcPr>
          <w:p w:rsidR="007B5401" w:rsidRPr="007B5401" w:rsidRDefault="007B5401" w:rsidP="007B5401">
            <w:pPr>
              <w:jc w:val="left"/>
              <w:rPr>
                <w:rFonts w:ascii="Arial" w:eastAsia="Times New Roman" w:hAnsi="Arial" w:cs="Arial"/>
                <w:b/>
                <w:color w:val="000000"/>
                <w:sz w:val="18"/>
                <w:szCs w:val="18"/>
              </w:rPr>
            </w:pPr>
            <w:r w:rsidRPr="007B5401">
              <w:rPr>
                <w:rFonts w:ascii="Arial" w:eastAsia="Times New Roman" w:hAnsi="Arial" w:cs="Arial"/>
                <w:b/>
                <w:color w:val="000000"/>
                <w:sz w:val="18"/>
                <w:szCs w:val="18"/>
              </w:rPr>
              <w:t> </w:t>
            </w:r>
          </w:p>
        </w:tc>
        <w:tc>
          <w:tcPr>
            <w:tcW w:w="452" w:type="dxa"/>
            <w:tcBorders>
              <w:top w:val="nil"/>
              <w:left w:val="nil"/>
              <w:bottom w:val="nil"/>
              <w:right w:val="single" w:sz="4" w:space="0" w:color="auto"/>
            </w:tcBorders>
            <w:shd w:val="clear" w:color="auto" w:fill="auto"/>
            <w:noWrap/>
            <w:vAlign w:val="bottom"/>
            <w:hideMark/>
          </w:tcPr>
          <w:p w:rsidR="007B5401" w:rsidRPr="007B5401" w:rsidRDefault="007B5401" w:rsidP="007B5401">
            <w:pPr>
              <w:jc w:val="left"/>
              <w:rPr>
                <w:rFonts w:ascii="Arial" w:eastAsia="Times New Roman" w:hAnsi="Arial" w:cs="Arial"/>
                <w:b/>
                <w:color w:val="000000"/>
                <w:sz w:val="20"/>
                <w:szCs w:val="20"/>
              </w:rPr>
            </w:pPr>
            <w:r w:rsidRPr="007B5401">
              <w:rPr>
                <w:rFonts w:ascii="Arial" w:eastAsia="Times New Roman" w:hAnsi="Arial" w:cs="Arial"/>
                <w:b/>
                <w:color w:val="000000"/>
                <w:sz w:val="20"/>
                <w:szCs w:val="20"/>
              </w:rPr>
              <w:t> </w:t>
            </w:r>
          </w:p>
        </w:tc>
        <w:tc>
          <w:tcPr>
            <w:tcW w:w="452" w:type="dxa"/>
            <w:tcBorders>
              <w:top w:val="nil"/>
              <w:left w:val="nil"/>
              <w:bottom w:val="nil"/>
              <w:right w:val="single" w:sz="4" w:space="0" w:color="auto"/>
            </w:tcBorders>
            <w:shd w:val="clear" w:color="auto" w:fill="auto"/>
            <w:noWrap/>
            <w:vAlign w:val="bottom"/>
            <w:hideMark/>
          </w:tcPr>
          <w:p w:rsidR="007B5401" w:rsidRPr="007B5401" w:rsidRDefault="007B5401" w:rsidP="007B5401">
            <w:pPr>
              <w:jc w:val="left"/>
              <w:rPr>
                <w:rFonts w:ascii="Arial" w:eastAsia="Times New Roman" w:hAnsi="Arial" w:cs="Arial"/>
                <w:b/>
                <w:color w:val="000000"/>
                <w:sz w:val="20"/>
                <w:szCs w:val="20"/>
              </w:rPr>
            </w:pPr>
            <w:r w:rsidRPr="007B5401">
              <w:rPr>
                <w:rFonts w:ascii="Arial" w:eastAsia="Times New Roman" w:hAnsi="Arial" w:cs="Arial"/>
                <w:b/>
                <w:color w:val="000000"/>
                <w:sz w:val="20"/>
                <w:szCs w:val="20"/>
              </w:rPr>
              <w:t> </w:t>
            </w:r>
          </w:p>
        </w:tc>
        <w:tc>
          <w:tcPr>
            <w:tcW w:w="452" w:type="dxa"/>
            <w:tcBorders>
              <w:top w:val="nil"/>
              <w:left w:val="nil"/>
              <w:bottom w:val="nil"/>
              <w:right w:val="single" w:sz="4" w:space="0" w:color="auto"/>
            </w:tcBorders>
            <w:shd w:val="clear" w:color="auto" w:fill="auto"/>
            <w:noWrap/>
            <w:vAlign w:val="bottom"/>
            <w:hideMark/>
          </w:tcPr>
          <w:p w:rsidR="007B5401" w:rsidRPr="007B5401" w:rsidRDefault="007B5401" w:rsidP="007B5401">
            <w:pPr>
              <w:jc w:val="left"/>
              <w:rPr>
                <w:rFonts w:ascii="Arial" w:eastAsia="Times New Roman" w:hAnsi="Arial" w:cs="Arial"/>
                <w:b/>
                <w:color w:val="000000"/>
                <w:sz w:val="20"/>
                <w:szCs w:val="20"/>
              </w:rPr>
            </w:pPr>
            <w:r w:rsidRPr="007B5401">
              <w:rPr>
                <w:rFonts w:ascii="Arial" w:eastAsia="Times New Roman" w:hAnsi="Arial" w:cs="Arial"/>
                <w:b/>
                <w:color w:val="000000"/>
                <w:sz w:val="20"/>
                <w:szCs w:val="20"/>
              </w:rPr>
              <w:t> </w:t>
            </w:r>
          </w:p>
        </w:tc>
        <w:tc>
          <w:tcPr>
            <w:tcW w:w="452" w:type="dxa"/>
            <w:tcBorders>
              <w:top w:val="nil"/>
              <w:left w:val="nil"/>
              <w:bottom w:val="nil"/>
              <w:right w:val="single" w:sz="4" w:space="0" w:color="auto"/>
            </w:tcBorders>
            <w:shd w:val="clear" w:color="auto" w:fill="auto"/>
            <w:noWrap/>
            <w:vAlign w:val="bottom"/>
            <w:hideMark/>
          </w:tcPr>
          <w:p w:rsidR="007B5401" w:rsidRPr="007B5401" w:rsidRDefault="007B5401" w:rsidP="007B5401">
            <w:pPr>
              <w:jc w:val="left"/>
              <w:rPr>
                <w:rFonts w:ascii="Arial" w:eastAsia="Times New Roman" w:hAnsi="Arial" w:cs="Arial"/>
                <w:b/>
                <w:color w:val="000000"/>
                <w:sz w:val="20"/>
                <w:szCs w:val="20"/>
              </w:rPr>
            </w:pPr>
            <w:r w:rsidRPr="007B5401">
              <w:rPr>
                <w:rFonts w:ascii="Arial" w:eastAsia="Times New Roman" w:hAnsi="Arial" w:cs="Arial"/>
                <w:b/>
                <w:color w:val="000000"/>
                <w:sz w:val="20"/>
                <w:szCs w:val="20"/>
              </w:rPr>
              <w:t> </w:t>
            </w:r>
          </w:p>
        </w:tc>
        <w:tc>
          <w:tcPr>
            <w:tcW w:w="452" w:type="dxa"/>
            <w:tcBorders>
              <w:top w:val="nil"/>
              <w:left w:val="nil"/>
              <w:bottom w:val="nil"/>
              <w:right w:val="single" w:sz="4" w:space="0" w:color="auto"/>
            </w:tcBorders>
            <w:shd w:val="clear" w:color="auto" w:fill="auto"/>
            <w:noWrap/>
            <w:vAlign w:val="bottom"/>
            <w:hideMark/>
          </w:tcPr>
          <w:p w:rsidR="007B5401" w:rsidRPr="007B5401" w:rsidRDefault="007B5401" w:rsidP="007B5401">
            <w:pPr>
              <w:jc w:val="left"/>
              <w:rPr>
                <w:rFonts w:ascii="Arial" w:eastAsia="Times New Roman" w:hAnsi="Arial" w:cs="Arial"/>
                <w:b/>
                <w:color w:val="000000"/>
                <w:sz w:val="20"/>
                <w:szCs w:val="20"/>
              </w:rPr>
            </w:pPr>
            <w:r w:rsidRPr="007B5401">
              <w:rPr>
                <w:rFonts w:ascii="Arial" w:eastAsia="Times New Roman" w:hAnsi="Arial" w:cs="Arial"/>
                <w:b/>
                <w:color w:val="000000"/>
                <w:sz w:val="20"/>
                <w:szCs w:val="20"/>
              </w:rPr>
              <w:t> </w:t>
            </w:r>
          </w:p>
        </w:tc>
        <w:tc>
          <w:tcPr>
            <w:tcW w:w="452" w:type="dxa"/>
            <w:tcBorders>
              <w:top w:val="nil"/>
              <w:left w:val="nil"/>
              <w:bottom w:val="nil"/>
              <w:right w:val="single" w:sz="4" w:space="0" w:color="auto"/>
            </w:tcBorders>
            <w:shd w:val="clear" w:color="auto" w:fill="auto"/>
            <w:noWrap/>
            <w:vAlign w:val="bottom"/>
            <w:hideMark/>
          </w:tcPr>
          <w:p w:rsidR="007B5401" w:rsidRPr="007B5401" w:rsidRDefault="007B5401" w:rsidP="007B5401">
            <w:pPr>
              <w:jc w:val="left"/>
              <w:rPr>
                <w:rFonts w:ascii="Arial" w:eastAsia="Times New Roman" w:hAnsi="Arial" w:cs="Arial"/>
                <w:b/>
                <w:color w:val="000000"/>
                <w:sz w:val="20"/>
                <w:szCs w:val="20"/>
              </w:rPr>
            </w:pPr>
            <w:r w:rsidRPr="007B5401">
              <w:rPr>
                <w:rFonts w:ascii="Arial" w:eastAsia="Times New Roman" w:hAnsi="Arial" w:cs="Arial"/>
                <w:b/>
                <w:color w:val="000000"/>
                <w:sz w:val="20"/>
                <w:szCs w:val="20"/>
              </w:rPr>
              <w:t> </w:t>
            </w:r>
          </w:p>
        </w:tc>
        <w:tc>
          <w:tcPr>
            <w:tcW w:w="452" w:type="dxa"/>
            <w:tcBorders>
              <w:top w:val="nil"/>
              <w:left w:val="nil"/>
              <w:bottom w:val="nil"/>
              <w:right w:val="single" w:sz="4" w:space="0" w:color="auto"/>
            </w:tcBorders>
            <w:shd w:val="clear" w:color="auto" w:fill="auto"/>
            <w:hideMark/>
          </w:tcPr>
          <w:p w:rsidR="007B5401" w:rsidRPr="007B5401" w:rsidRDefault="007B5401" w:rsidP="007B5401">
            <w:pPr>
              <w:jc w:val="center"/>
              <w:rPr>
                <w:rFonts w:ascii="Wingdings 2" w:eastAsia="Times New Roman" w:hAnsi="Wingdings 2" w:cs="Arial"/>
                <w:b/>
                <w:color w:val="000000"/>
                <w:sz w:val="18"/>
                <w:szCs w:val="18"/>
              </w:rPr>
            </w:pPr>
            <w:r w:rsidRPr="007B5401">
              <w:rPr>
                <w:rFonts w:ascii="Wingdings 2" w:eastAsia="Times New Roman" w:hAnsi="Wingdings 2" w:cs="Arial"/>
                <w:b/>
                <w:color w:val="000000"/>
                <w:sz w:val="18"/>
                <w:szCs w:val="18"/>
              </w:rPr>
              <w:t></w:t>
            </w:r>
          </w:p>
        </w:tc>
        <w:tc>
          <w:tcPr>
            <w:tcW w:w="452" w:type="dxa"/>
            <w:tcBorders>
              <w:top w:val="nil"/>
              <w:left w:val="nil"/>
              <w:bottom w:val="nil"/>
              <w:right w:val="single" w:sz="4" w:space="0" w:color="auto"/>
            </w:tcBorders>
            <w:shd w:val="clear" w:color="auto" w:fill="auto"/>
            <w:noWrap/>
            <w:vAlign w:val="bottom"/>
            <w:hideMark/>
          </w:tcPr>
          <w:p w:rsidR="007B5401" w:rsidRPr="007B5401" w:rsidRDefault="007B5401" w:rsidP="007B5401">
            <w:pPr>
              <w:jc w:val="left"/>
              <w:rPr>
                <w:rFonts w:ascii="Arial" w:eastAsia="Times New Roman" w:hAnsi="Arial" w:cs="Arial"/>
                <w:b/>
                <w:color w:val="000000"/>
                <w:sz w:val="18"/>
                <w:szCs w:val="18"/>
              </w:rPr>
            </w:pPr>
            <w:r w:rsidRPr="007B5401">
              <w:rPr>
                <w:rFonts w:ascii="Arial" w:eastAsia="Times New Roman" w:hAnsi="Arial" w:cs="Arial"/>
                <w:b/>
                <w:color w:val="000000"/>
                <w:sz w:val="18"/>
                <w:szCs w:val="18"/>
              </w:rPr>
              <w:t> </w:t>
            </w:r>
          </w:p>
        </w:tc>
      </w:tr>
      <w:tr w:rsidR="007B5401" w:rsidRPr="007B5401" w:rsidTr="007B5401">
        <w:trPr>
          <w:trHeight w:val="255"/>
        </w:trPr>
        <w:tc>
          <w:tcPr>
            <w:tcW w:w="1247" w:type="dxa"/>
            <w:vMerge/>
            <w:tcBorders>
              <w:top w:val="single" w:sz="4" w:space="0" w:color="auto"/>
              <w:left w:val="single" w:sz="4" w:space="0" w:color="auto"/>
              <w:bottom w:val="single" w:sz="4" w:space="0" w:color="000000"/>
              <w:right w:val="single" w:sz="4" w:space="0" w:color="auto"/>
            </w:tcBorders>
            <w:vAlign w:val="center"/>
            <w:hideMark/>
          </w:tcPr>
          <w:p w:rsidR="007B5401" w:rsidRPr="007B5401" w:rsidRDefault="007B5401" w:rsidP="007B5401">
            <w:pPr>
              <w:jc w:val="left"/>
              <w:rPr>
                <w:rFonts w:ascii="Arial" w:eastAsia="Times New Roman" w:hAnsi="Arial" w:cs="Arial"/>
                <w:color w:val="000000"/>
                <w:sz w:val="18"/>
                <w:szCs w:val="18"/>
              </w:rPr>
            </w:pPr>
          </w:p>
        </w:tc>
        <w:tc>
          <w:tcPr>
            <w:tcW w:w="3551" w:type="dxa"/>
            <w:tcBorders>
              <w:top w:val="nil"/>
              <w:left w:val="nil"/>
              <w:bottom w:val="nil"/>
              <w:right w:val="nil"/>
            </w:tcBorders>
            <w:shd w:val="clear" w:color="auto" w:fill="auto"/>
            <w:hideMark/>
          </w:tcPr>
          <w:p w:rsidR="007B5401" w:rsidRPr="007B5401" w:rsidRDefault="007B5401" w:rsidP="007B5401">
            <w:pPr>
              <w:jc w:val="left"/>
              <w:rPr>
                <w:rFonts w:ascii="Arial" w:eastAsia="Times New Roman" w:hAnsi="Arial" w:cs="Arial"/>
                <w:color w:val="000000"/>
                <w:sz w:val="18"/>
                <w:szCs w:val="18"/>
              </w:rPr>
            </w:pPr>
            <w:r w:rsidRPr="007B5401">
              <w:rPr>
                <w:rFonts w:ascii="Arial" w:eastAsia="Times New Roman" w:hAnsi="Arial" w:cs="Arial"/>
                <w:color w:val="000000"/>
                <w:sz w:val="18"/>
                <w:szCs w:val="18"/>
              </w:rPr>
              <w:t>Microwave Ovens</w:t>
            </w:r>
          </w:p>
        </w:tc>
        <w:tc>
          <w:tcPr>
            <w:tcW w:w="453" w:type="dxa"/>
            <w:tcBorders>
              <w:top w:val="nil"/>
              <w:left w:val="single" w:sz="4" w:space="0" w:color="auto"/>
              <w:bottom w:val="nil"/>
              <w:right w:val="single" w:sz="4" w:space="0" w:color="auto"/>
            </w:tcBorders>
            <w:shd w:val="clear" w:color="auto" w:fill="auto"/>
            <w:hideMark/>
          </w:tcPr>
          <w:p w:rsidR="007B5401" w:rsidRPr="007B5401" w:rsidRDefault="007B5401" w:rsidP="007B5401">
            <w:pPr>
              <w:jc w:val="left"/>
              <w:rPr>
                <w:rFonts w:ascii="Arial" w:eastAsia="Times New Roman" w:hAnsi="Arial" w:cs="Arial"/>
                <w:color w:val="000000"/>
                <w:sz w:val="18"/>
                <w:szCs w:val="18"/>
              </w:rPr>
            </w:pPr>
            <w:r w:rsidRPr="007B5401">
              <w:rPr>
                <w:rFonts w:ascii="Arial" w:eastAsia="Times New Roman" w:hAnsi="Arial" w:cs="Arial"/>
                <w:color w:val="000000"/>
                <w:sz w:val="18"/>
                <w:szCs w:val="18"/>
              </w:rPr>
              <w:t> </w:t>
            </w:r>
          </w:p>
        </w:tc>
        <w:tc>
          <w:tcPr>
            <w:tcW w:w="452" w:type="dxa"/>
            <w:tcBorders>
              <w:top w:val="nil"/>
              <w:left w:val="nil"/>
              <w:bottom w:val="nil"/>
              <w:right w:val="single" w:sz="4" w:space="0" w:color="auto"/>
            </w:tcBorders>
            <w:shd w:val="clear" w:color="auto" w:fill="auto"/>
            <w:hideMark/>
          </w:tcPr>
          <w:p w:rsidR="007B5401" w:rsidRPr="007B5401" w:rsidRDefault="007B5401" w:rsidP="007B5401">
            <w:pPr>
              <w:jc w:val="left"/>
              <w:rPr>
                <w:rFonts w:ascii="Arial" w:eastAsia="Times New Roman" w:hAnsi="Arial" w:cs="Arial"/>
                <w:color w:val="000000"/>
                <w:sz w:val="18"/>
                <w:szCs w:val="18"/>
              </w:rPr>
            </w:pPr>
            <w:r w:rsidRPr="007B5401">
              <w:rPr>
                <w:rFonts w:ascii="Arial" w:eastAsia="Times New Roman" w:hAnsi="Arial" w:cs="Arial"/>
                <w:color w:val="000000"/>
                <w:sz w:val="18"/>
                <w:szCs w:val="18"/>
              </w:rPr>
              <w:t> </w:t>
            </w:r>
          </w:p>
        </w:tc>
        <w:tc>
          <w:tcPr>
            <w:tcW w:w="452" w:type="dxa"/>
            <w:tcBorders>
              <w:top w:val="nil"/>
              <w:left w:val="nil"/>
              <w:bottom w:val="nil"/>
              <w:right w:val="single" w:sz="4" w:space="0" w:color="auto"/>
            </w:tcBorders>
            <w:shd w:val="clear" w:color="auto" w:fill="auto"/>
            <w:hideMark/>
          </w:tcPr>
          <w:p w:rsidR="007B5401" w:rsidRPr="007B5401" w:rsidRDefault="007B5401" w:rsidP="007B5401">
            <w:pPr>
              <w:jc w:val="left"/>
              <w:rPr>
                <w:rFonts w:ascii="Arial" w:eastAsia="Times New Roman" w:hAnsi="Arial" w:cs="Arial"/>
                <w:color w:val="000000"/>
                <w:sz w:val="18"/>
                <w:szCs w:val="18"/>
              </w:rPr>
            </w:pPr>
            <w:r w:rsidRPr="007B5401">
              <w:rPr>
                <w:rFonts w:ascii="Arial" w:eastAsia="Times New Roman" w:hAnsi="Arial" w:cs="Arial"/>
                <w:color w:val="000000"/>
                <w:sz w:val="18"/>
                <w:szCs w:val="18"/>
              </w:rPr>
              <w:t> </w:t>
            </w:r>
          </w:p>
        </w:tc>
        <w:tc>
          <w:tcPr>
            <w:tcW w:w="452" w:type="dxa"/>
            <w:tcBorders>
              <w:top w:val="nil"/>
              <w:left w:val="nil"/>
              <w:bottom w:val="nil"/>
              <w:right w:val="single" w:sz="4" w:space="0" w:color="auto"/>
            </w:tcBorders>
            <w:shd w:val="clear" w:color="auto" w:fill="auto"/>
            <w:noWrap/>
            <w:vAlign w:val="bottom"/>
            <w:hideMark/>
          </w:tcPr>
          <w:p w:rsidR="007B5401" w:rsidRPr="007B5401" w:rsidRDefault="007B5401" w:rsidP="007B5401">
            <w:pPr>
              <w:jc w:val="left"/>
              <w:rPr>
                <w:rFonts w:ascii="Arial" w:eastAsia="Times New Roman" w:hAnsi="Arial" w:cs="Arial"/>
                <w:color w:val="000000"/>
                <w:sz w:val="20"/>
                <w:szCs w:val="20"/>
              </w:rPr>
            </w:pPr>
            <w:r w:rsidRPr="007B5401">
              <w:rPr>
                <w:rFonts w:ascii="Arial" w:eastAsia="Times New Roman" w:hAnsi="Arial" w:cs="Arial"/>
                <w:color w:val="000000"/>
                <w:sz w:val="20"/>
                <w:szCs w:val="20"/>
              </w:rPr>
              <w:t> </w:t>
            </w:r>
          </w:p>
        </w:tc>
        <w:tc>
          <w:tcPr>
            <w:tcW w:w="452" w:type="dxa"/>
            <w:tcBorders>
              <w:top w:val="nil"/>
              <w:left w:val="nil"/>
              <w:bottom w:val="nil"/>
              <w:right w:val="single" w:sz="4" w:space="0" w:color="auto"/>
            </w:tcBorders>
            <w:shd w:val="clear" w:color="auto" w:fill="auto"/>
            <w:noWrap/>
            <w:vAlign w:val="bottom"/>
            <w:hideMark/>
          </w:tcPr>
          <w:p w:rsidR="007B5401" w:rsidRPr="007B5401" w:rsidRDefault="007B5401" w:rsidP="007B5401">
            <w:pPr>
              <w:jc w:val="left"/>
              <w:rPr>
                <w:rFonts w:ascii="Arial" w:eastAsia="Times New Roman" w:hAnsi="Arial" w:cs="Arial"/>
                <w:color w:val="000000"/>
                <w:sz w:val="20"/>
                <w:szCs w:val="20"/>
              </w:rPr>
            </w:pPr>
            <w:r w:rsidRPr="007B5401">
              <w:rPr>
                <w:rFonts w:ascii="Arial" w:eastAsia="Times New Roman" w:hAnsi="Arial" w:cs="Arial"/>
                <w:color w:val="000000"/>
                <w:sz w:val="20"/>
                <w:szCs w:val="20"/>
              </w:rPr>
              <w:t> </w:t>
            </w:r>
          </w:p>
        </w:tc>
        <w:tc>
          <w:tcPr>
            <w:tcW w:w="452" w:type="dxa"/>
            <w:tcBorders>
              <w:top w:val="nil"/>
              <w:left w:val="nil"/>
              <w:bottom w:val="nil"/>
              <w:right w:val="single" w:sz="4" w:space="0" w:color="auto"/>
            </w:tcBorders>
            <w:shd w:val="clear" w:color="auto" w:fill="auto"/>
            <w:noWrap/>
            <w:vAlign w:val="bottom"/>
            <w:hideMark/>
          </w:tcPr>
          <w:p w:rsidR="007B5401" w:rsidRPr="007B5401" w:rsidRDefault="007B5401" w:rsidP="007B5401">
            <w:pPr>
              <w:jc w:val="left"/>
              <w:rPr>
                <w:rFonts w:ascii="Arial" w:eastAsia="Times New Roman" w:hAnsi="Arial" w:cs="Arial"/>
                <w:color w:val="000000"/>
                <w:sz w:val="20"/>
                <w:szCs w:val="20"/>
              </w:rPr>
            </w:pPr>
            <w:r w:rsidRPr="007B5401">
              <w:rPr>
                <w:rFonts w:ascii="Arial" w:eastAsia="Times New Roman" w:hAnsi="Arial" w:cs="Arial"/>
                <w:color w:val="000000"/>
                <w:sz w:val="20"/>
                <w:szCs w:val="20"/>
              </w:rPr>
              <w:t> </w:t>
            </w:r>
          </w:p>
        </w:tc>
        <w:tc>
          <w:tcPr>
            <w:tcW w:w="452" w:type="dxa"/>
            <w:tcBorders>
              <w:top w:val="nil"/>
              <w:left w:val="nil"/>
              <w:bottom w:val="nil"/>
              <w:right w:val="single" w:sz="4" w:space="0" w:color="auto"/>
            </w:tcBorders>
            <w:shd w:val="clear" w:color="auto" w:fill="auto"/>
            <w:hideMark/>
          </w:tcPr>
          <w:p w:rsidR="007B5401" w:rsidRPr="007B5401" w:rsidRDefault="007B5401" w:rsidP="007B5401">
            <w:pPr>
              <w:jc w:val="center"/>
              <w:rPr>
                <w:rFonts w:ascii="Wingdings 2" w:eastAsia="Times New Roman" w:hAnsi="Wingdings 2" w:cs="Arial"/>
                <w:color w:val="000000"/>
                <w:sz w:val="18"/>
                <w:szCs w:val="18"/>
              </w:rPr>
            </w:pPr>
            <w:r w:rsidRPr="007B5401">
              <w:rPr>
                <w:rFonts w:ascii="Wingdings 2" w:eastAsia="Times New Roman" w:hAnsi="Wingdings 2" w:cs="Arial"/>
                <w:color w:val="000000"/>
                <w:sz w:val="18"/>
                <w:szCs w:val="18"/>
              </w:rPr>
              <w:t></w:t>
            </w:r>
          </w:p>
        </w:tc>
        <w:tc>
          <w:tcPr>
            <w:tcW w:w="452" w:type="dxa"/>
            <w:tcBorders>
              <w:top w:val="nil"/>
              <w:left w:val="nil"/>
              <w:bottom w:val="nil"/>
              <w:right w:val="single" w:sz="4" w:space="0" w:color="auto"/>
            </w:tcBorders>
            <w:shd w:val="clear" w:color="auto" w:fill="auto"/>
            <w:noWrap/>
            <w:vAlign w:val="bottom"/>
            <w:hideMark/>
          </w:tcPr>
          <w:p w:rsidR="007B5401" w:rsidRPr="007B5401" w:rsidRDefault="007B5401" w:rsidP="007B5401">
            <w:pPr>
              <w:jc w:val="left"/>
              <w:rPr>
                <w:rFonts w:ascii="Arial" w:eastAsia="Times New Roman" w:hAnsi="Arial" w:cs="Arial"/>
                <w:color w:val="000000"/>
                <w:sz w:val="20"/>
                <w:szCs w:val="20"/>
              </w:rPr>
            </w:pPr>
            <w:r w:rsidRPr="007B5401">
              <w:rPr>
                <w:rFonts w:ascii="Arial" w:eastAsia="Times New Roman" w:hAnsi="Arial" w:cs="Arial"/>
                <w:color w:val="000000"/>
                <w:sz w:val="20"/>
                <w:szCs w:val="20"/>
              </w:rPr>
              <w:t> </w:t>
            </w:r>
          </w:p>
        </w:tc>
        <w:tc>
          <w:tcPr>
            <w:tcW w:w="452" w:type="dxa"/>
            <w:tcBorders>
              <w:top w:val="nil"/>
              <w:left w:val="nil"/>
              <w:bottom w:val="nil"/>
              <w:right w:val="single" w:sz="4" w:space="0" w:color="auto"/>
            </w:tcBorders>
            <w:shd w:val="clear" w:color="auto" w:fill="auto"/>
            <w:noWrap/>
            <w:vAlign w:val="bottom"/>
            <w:hideMark/>
          </w:tcPr>
          <w:p w:rsidR="007B5401" w:rsidRPr="007B5401" w:rsidRDefault="007B5401" w:rsidP="007B5401">
            <w:pPr>
              <w:jc w:val="left"/>
              <w:rPr>
                <w:rFonts w:ascii="Arial" w:eastAsia="Times New Roman" w:hAnsi="Arial" w:cs="Arial"/>
                <w:color w:val="000000"/>
                <w:sz w:val="20"/>
                <w:szCs w:val="20"/>
              </w:rPr>
            </w:pPr>
            <w:r w:rsidRPr="007B5401">
              <w:rPr>
                <w:rFonts w:ascii="Arial" w:eastAsia="Times New Roman" w:hAnsi="Arial" w:cs="Arial"/>
                <w:color w:val="000000"/>
                <w:sz w:val="20"/>
                <w:szCs w:val="20"/>
              </w:rPr>
              <w:t> </w:t>
            </w:r>
          </w:p>
        </w:tc>
        <w:tc>
          <w:tcPr>
            <w:tcW w:w="452" w:type="dxa"/>
            <w:tcBorders>
              <w:top w:val="nil"/>
              <w:left w:val="nil"/>
              <w:bottom w:val="nil"/>
              <w:right w:val="single" w:sz="4" w:space="0" w:color="auto"/>
            </w:tcBorders>
            <w:shd w:val="clear" w:color="auto" w:fill="auto"/>
            <w:noWrap/>
            <w:vAlign w:val="bottom"/>
            <w:hideMark/>
          </w:tcPr>
          <w:p w:rsidR="007B5401" w:rsidRPr="007B5401" w:rsidRDefault="007B5401" w:rsidP="007B5401">
            <w:pPr>
              <w:jc w:val="left"/>
              <w:rPr>
                <w:rFonts w:ascii="Arial" w:eastAsia="Times New Roman" w:hAnsi="Arial" w:cs="Arial"/>
                <w:color w:val="000000"/>
                <w:sz w:val="20"/>
                <w:szCs w:val="20"/>
              </w:rPr>
            </w:pPr>
            <w:r w:rsidRPr="007B5401">
              <w:rPr>
                <w:rFonts w:ascii="Arial" w:eastAsia="Times New Roman" w:hAnsi="Arial" w:cs="Arial"/>
                <w:color w:val="000000"/>
                <w:sz w:val="20"/>
                <w:szCs w:val="20"/>
              </w:rPr>
              <w:t> </w:t>
            </w:r>
          </w:p>
        </w:tc>
        <w:tc>
          <w:tcPr>
            <w:tcW w:w="452" w:type="dxa"/>
            <w:tcBorders>
              <w:top w:val="nil"/>
              <w:left w:val="nil"/>
              <w:bottom w:val="nil"/>
              <w:right w:val="single" w:sz="4" w:space="0" w:color="auto"/>
            </w:tcBorders>
            <w:shd w:val="clear" w:color="auto" w:fill="auto"/>
            <w:noWrap/>
            <w:vAlign w:val="bottom"/>
            <w:hideMark/>
          </w:tcPr>
          <w:p w:rsidR="007B5401" w:rsidRPr="007B5401" w:rsidRDefault="007B5401" w:rsidP="007B5401">
            <w:pPr>
              <w:jc w:val="left"/>
              <w:rPr>
                <w:rFonts w:ascii="Arial" w:eastAsia="Times New Roman" w:hAnsi="Arial" w:cs="Arial"/>
                <w:color w:val="000000"/>
                <w:sz w:val="20"/>
                <w:szCs w:val="20"/>
              </w:rPr>
            </w:pPr>
            <w:r w:rsidRPr="007B5401">
              <w:rPr>
                <w:rFonts w:ascii="Arial" w:eastAsia="Times New Roman" w:hAnsi="Arial" w:cs="Arial"/>
                <w:color w:val="000000"/>
                <w:sz w:val="20"/>
                <w:szCs w:val="20"/>
              </w:rPr>
              <w:t> </w:t>
            </w:r>
          </w:p>
        </w:tc>
      </w:tr>
      <w:tr w:rsidR="007B5401" w:rsidRPr="007B5401" w:rsidTr="007B5401">
        <w:trPr>
          <w:trHeight w:val="255"/>
        </w:trPr>
        <w:tc>
          <w:tcPr>
            <w:tcW w:w="1247" w:type="dxa"/>
            <w:vMerge/>
            <w:tcBorders>
              <w:top w:val="single" w:sz="4" w:space="0" w:color="auto"/>
              <w:left w:val="single" w:sz="4" w:space="0" w:color="auto"/>
              <w:bottom w:val="single" w:sz="4" w:space="0" w:color="000000"/>
              <w:right w:val="single" w:sz="4" w:space="0" w:color="auto"/>
            </w:tcBorders>
            <w:vAlign w:val="center"/>
            <w:hideMark/>
          </w:tcPr>
          <w:p w:rsidR="007B5401" w:rsidRPr="007B5401" w:rsidRDefault="007B5401" w:rsidP="007B5401">
            <w:pPr>
              <w:jc w:val="left"/>
              <w:rPr>
                <w:rFonts w:ascii="Arial" w:eastAsia="Times New Roman" w:hAnsi="Arial" w:cs="Arial"/>
                <w:color w:val="000000"/>
                <w:sz w:val="18"/>
                <w:szCs w:val="18"/>
              </w:rPr>
            </w:pPr>
          </w:p>
        </w:tc>
        <w:tc>
          <w:tcPr>
            <w:tcW w:w="3551" w:type="dxa"/>
            <w:tcBorders>
              <w:top w:val="nil"/>
              <w:left w:val="nil"/>
              <w:bottom w:val="nil"/>
              <w:right w:val="nil"/>
            </w:tcBorders>
            <w:shd w:val="clear" w:color="000000" w:fill="F2F2F2"/>
            <w:hideMark/>
          </w:tcPr>
          <w:p w:rsidR="007B5401" w:rsidRPr="007B5401" w:rsidRDefault="007B5401" w:rsidP="007B5401">
            <w:pPr>
              <w:jc w:val="left"/>
              <w:rPr>
                <w:rFonts w:ascii="Arial" w:eastAsia="Times New Roman" w:hAnsi="Arial" w:cs="Arial"/>
                <w:color w:val="000000"/>
                <w:sz w:val="18"/>
                <w:szCs w:val="18"/>
              </w:rPr>
            </w:pPr>
            <w:r w:rsidRPr="007B5401">
              <w:rPr>
                <w:rFonts w:ascii="Arial" w:eastAsia="Times New Roman" w:hAnsi="Arial" w:cs="Arial"/>
                <w:color w:val="000000"/>
                <w:sz w:val="18"/>
                <w:szCs w:val="18"/>
              </w:rPr>
              <w:t>Pool Heaters</w:t>
            </w:r>
          </w:p>
        </w:tc>
        <w:tc>
          <w:tcPr>
            <w:tcW w:w="453" w:type="dxa"/>
            <w:tcBorders>
              <w:top w:val="nil"/>
              <w:left w:val="single" w:sz="4" w:space="0" w:color="auto"/>
              <w:bottom w:val="nil"/>
              <w:right w:val="single" w:sz="4" w:space="0" w:color="auto"/>
            </w:tcBorders>
            <w:shd w:val="clear" w:color="000000" w:fill="F2F2F2"/>
            <w:hideMark/>
          </w:tcPr>
          <w:p w:rsidR="007B5401" w:rsidRPr="007B5401" w:rsidRDefault="007B5401" w:rsidP="007B5401">
            <w:pPr>
              <w:jc w:val="left"/>
              <w:rPr>
                <w:rFonts w:ascii="Arial" w:eastAsia="Times New Roman" w:hAnsi="Arial" w:cs="Arial"/>
                <w:color w:val="000000"/>
                <w:sz w:val="18"/>
                <w:szCs w:val="18"/>
              </w:rPr>
            </w:pPr>
            <w:r w:rsidRPr="007B5401">
              <w:rPr>
                <w:rFonts w:ascii="Arial" w:eastAsia="Times New Roman" w:hAnsi="Arial" w:cs="Arial"/>
                <w:color w:val="000000"/>
                <w:sz w:val="18"/>
                <w:szCs w:val="18"/>
              </w:rPr>
              <w:t> </w:t>
            </w:r>
          </w:p>
        </w:tc>
        <w:tc>
          <w:tcPr>
            <w:tcW w:w="452" w:type="dxa"/>
            <w:tcBorders>
              <w:top w:val="nil"/>
              <w:left w:val="nil"/>
              <w:bottom w:val="nil"/>
              <w:right w:val="single" w:sz="4" w:space="0" w:color="auto"/>
            </w:tcBorders>
            <w:shd w:val="clear" w:color="000000" w:fill="F2F2F2"/>
            <w:hideMark/>
          </w:tcPr>
          <w:p w:rsidR="007B5401" w:rsidRPr="007B5401" w:rsidRDefault="007B5401" w:rsidP="007B5401">
            <w:pPr>
              <w:jc w:val="left"/>
              <w:rPr>
                <w:rFonts w:ascii="Arial" w:eastAsia="Times New Roman" w:hAnsi="Arial" w:cs="Arial"/>
                <w:color w:val="000000"/>
                <w:sz w:val="18"/>
                <w:szCs w:val="18"/>
              </w:rPr>
            </w:pPr>
            <w:r w:rsidRPr="007B5401">
              <w:rPr>
                <w:rFonts w:ascii="Arial" w:eastAsia="Times New Roman" w:hAnsi="Arial" w:cs="Arial"/>
                <w:color w:val="000000"/>
                <w:sz w:val="18"/>
                <w:szCs w:val="18"/>
              </w:rPr>
              <w:t> </w:t>
            </w:r>
          </w:p>
        </w:tc>
        <w:tc>
          <w:tcPr>
            <w:tcW w:w="452" w:type="dxa"/>
            <w:tcBorders>
              <w:top w:val="nil"/>
              <w:left w:val="nil"/>
              <w:bottom w:val="nil"/>
              <w:right w:val="single" w:sz="4" w:space="0" w:color="auto"/>
            </w:tcBorders>
            <w:shd w:val="clear" w:color="000000" w:fill="F2F2F2"/>
            <w:hideMark/>
          </w:tcPr>
          <w:p w:rsidR="007B5401" w:rsidRPr="007B5401" w:rsidRDefault="007B5401" w:rsidP="007B5401">
            <w:pPr>
              <w:jc w:val="left"/>
              <w:rPr>
                <w:rFonts w:ascii="Arial" w:eastAsia="Times New Roman" w:hAnsi="Arial" w:cs="Arial"/>
                <w:color w:val="000000"/>
                <w:sz w:val="18"/>
                <w:szCs w:val="18"/>
              </w:rPr>
            </w:pPr>
            <w:r w:rsidRPr="007B5401">
              <w:rPr>
                <w:rFonts w:ascii="Arial" w:eastAsia="Times New Roman" w:hAnsi="Arial" w:cs="Arial"/>
                <w:color w:val="000000"/>
                <w:sz w:val="18"/>
                <w:szCs w:val="18"/>
              </w:rPr>
              <w:t> </w:t>
            </w:r>
          </w:p>
        </w:tc>
        <w:tc>
          <w:tcPr>
            <w:tcW w:w="452" w:type="dxa"/>
            <w:tcBorders>
              <w:top w:val="nil"/>
              <w:left w:val="nil"/>
              <w:bottom w:val="nil"/>
              <w:right w:val="single" w:sz="4" w:space="0" w:color="auto"/>
            </w:tcBorders>
            <w:shd w:val="clear" w:color="000000" w:fill="F2F2F2"/>
            <w:hideMark/>
          </w:tcPr>
          <w:p w:rsidR="007B5401" w:rsidRPr="007B5401" w:rsidRDefault="007B5401" w:rsidP="007B5401">
            <w:pPr>
              <w:jc w:val="center"/>
              <w:rPr>
                <w:rFonts w:ascii="Wingdings 2" w:eastAsia="Times New Roman" w:hAnsi="Wingdings 2" w:cs="Arial"/>
                <w:color w:val="000000"/>
                <w:sz w:val="18"/>
                <w:szCs w:val="18"/>
              </w:rPr>
            </w:pPr>
            <w:r w:rsidRPr="007B5401">
              <w:rPr>
                <w:rFonts w:ascii="Wingdings 2" w:eastAsia="Times New Roman" w:hAnsi="Wingdings 2" w:cs="Arial"/>
                <w:color w:val="000000"/>
                <w:sz w:val="18"/>
                <w:szCs w:val="18"/>
              </w:rPr>
              <w:t></w:t>
            </w:r>
          </w:p>
        </w:tc>
        <w:tc>
          <w:tcPr>
            <w:tcW w:w="452" w:type="dxa"/>
            <w:tcBorders>
              <w:top w:val="nil"/>
              <w:left w:val="nil"/>
              <w:bottom w:val="nil"/>
              <w:right w:val="single" w:sz="4" w:space="0" w:color="auto"/>
            </w:tcBorders>
            <w:shd w:val="clear" w:color="000000" w:fill="F2F2F2"/>
            <w:noWrap/>
            <w:vAlign w:val="bottom"/>
            <w:hideMark/>
          </w:tcPr>
          <w:p w:rsidR="007B5401" w:rsidRPr="007B5401" w:rsidRDefault="007B5401" w:rsidP="007B5401">
            <w:pPr>
              <w:jc w:val="left"/>
              <w:rPr>
                <w:rFonts w:ascii="Arial" w:eastAsia="Times New Roman" w:hAnsi="Arial" w:cs="Arial"/>
                <w:color w:val="000000"/>
                <w:sz w:val="20"/>
                <w:szCs w:val="20"/>
              </w:rPr>
            </w:pPr>
            <w:r w:rsidRPr="007B5401">
              <w:rPr>
                <w:rFonts w:ascii="Arial" w:eastAsia="Times New Roman" w:hAnsi="Arial" w:cs="Arial"/>
                <w:color w:val="000000"/>
                <w:sz w:val="20"/>
                <w:szCs w:val="20"/>
              </w:rPr>
              <w:t> </w:t>
            </w:r>
          </w:p>
        </w:tc>
        <w:tc>
          <w:tcPr>
            <w:tcW w:w="452" w:type="dxa"/>
            <w:tcBorders>
              <w:top w:val="nil"/>
              <w:left w:val="nil"/>
              <w:bottom w:val="nil"/>
              <w:right w:val="single" w:sz="4" w:space="0" w:color="auto"/>
            </w:tcBorders>
            <w:shd w:val="clear" w:color="000000" w:fill="F2F2F2"/>
            <w:noWrap/>
            <w:vAlign w:val="bottom"/>
            <w:hideMark/>
          </w:tcPr>
          <w:p w:rsidR="007B5401" w:rsidRPr="007B5401" w:rsidRDefault="007B5401" w:rsidP="007B5401">
            <w:pPr>
              <w:jc w:val="left"/>
              <w:rPr>
                <w:rFonts w:ascii="Arial" w:eastAsia="Times New Roman" w:hAnsi="Arial" w:cs="Arial"/>
                <w:color w:val="000000"/>
                <w:sz w:val="20"/>
                <w:szCs w:val="20"/>
              </w:rPr>
            </w:pPr>
            <w:r w:rsidRPr="007B5401">
              <w:rPr>
                <w:rFonts w:ascii="Arial" w:eastAsia="Times New Roman" w:hAnsi="Arial" w:cs="Arial"/>
                <w:color w:val="000000"/>
                <w:sz w:val="20"/>
                <w:szCs w:val="20"/>
              </w:rPr>
              <w:t> </w:t>
            </w:r>
          </w:p>
        </w:tc>
        <w:tc>
          <w:tcPr>
            <w:tcW w:w="452" w:type="dxa"/>
            <w:tcBorders>
              <w:top w:val="nil"/>
              <w:left w:val="nil"/>
              <w:bottom w:val="nil"/>
              <w:right w:val="single" w:sz="4" w:space="0" w:color="auto"/>
            </w:tcBorders>
            <w:shd w:val="clear" w:color="000000" w:fill="F2F2F2"/>
            <w:noWrap/>
            <w:vAlign w:val="bottom"/>
            <w:hideMark/>
          </w:tcPr>
          <w:p w:rsidR="007B5401" w:rsidRPr="007B5401" w:rsidRDefault="007B5401" w:rsidP="007B5401">
            <w:pPr>
              <w:jc w:val="left"/>
              <w:rPr>
                <w:rFonts w:ascii="Arial" w:eastAsia="Times New Roman" w:hAnsi="Arial" w:cs="Arial"/>
                <w:color w:val="000000"/>
                <w:sz w:val="20"/>
                <w:szCs w:val="20"/>
              </w:rPr>
            </w:pPr>
            <w:r w:rsidRPr="007B5401">
              <w:rPr>
                <w:rFonts w:ascii="Arial" w:eastAsia="Times New Roman" w:hAnsi="Arial" w:cs="Arial"/>
                <w:color w:val="000000"/>
                <w:sz w:val="20"/>
                <w:szCs w:val="20"/>
              </w:rPr>
              <w:t> </w:t>
            </w:r>
          </w:p>
        </w:tc>
        <w:tc>
          <w:tcPr>
            <w:tcW w:w="452" w:type="dxa"/>
            <w:tcBorders>
              <w:top w:val="nil"/>
              <w:left w:val="nil"/>
              <w:bottom w:val="nil"/>
              <w:right w:val="single" w:sz="4" w:space="0" w:color="auto"/>
            </w:tcBorders>
            <w:shd w:val="clear" w:color="000000" w:fill="F2F2F2"/>
            <w:noWrap/>
            <w:vAlign w:val="bottom"/>
            <w:hideMark/>
          </w:tcPr>
          <w:p w:rsidR="007B5401" w:rsidRPr="007B5401" w:rsidRDefault="007B5401" w:rsidP="007B5401">
            <w:pPr>
              <w:jc w:val="left"/>
              <w:rPr>
                <w:rFonts w:ascii="Arial" w:eastAsia="Times New Roman" w:hAnsi="Arial" w:cs="Arial"/>
                <w:color w:val="000000"/>
                <w:sz w:val="20"/>
                <w:szCs w:val="20"/>
              </w:rPr>
            </w:pPr>
            <w:r w:rsidRPr="007B5401">
              <w:rPr>
                <w:rFonts w:ascii="Arial" w:eastAsia="Times New Roman" w:hAnsi="Arial" w:cs="Arial"/>
                <w:color w:val="000000"/>
                <w:sz w:val="20"/>
                <w:szCs w:val="20"/>
              </w:rPr>
              <w:t> </w:t>
            </w:r>
          </w:p>
        </w:tc>
        <w:tc>
          <w:tcPr>
            <w:tcW w:w="452" w:type="dxa"/>
            <w:tcBorders>
              <w:top w:val="nil"/>
              <w:left w:val="nil"/>
              <w:bottom w:val="nil"/>
              <w:right w:val="single" w:sz="4" w:space="0" w:color="auto"/>
            </w:tcBorders>
            <w:shd w:val="clear" w:color="000000" w:fill="F2F2F2"/>
            <w:noWrap/>
            <w:vAlign w:val="bottom"/>
            <w:hideMark/>
          </w:tcPr>
          <w:p w:rsidR="007B5401" w:rsidRPr="007B5401" w:rsidRDefault="007B5401" w:rsidP="007B5401">
            <w:pPr>
              <w:jc w:val="left"/>
              <w:rPr>
                <w:rFonts w:ascii="Arial" w:eastAsia="Times New Roman" w:hAnsi="Arial" w:cs="Arial"/>
                <w:color w:val="000000"/>
                <w:sz w:val="20"/>
                <w:szCs w:val="20"/>
              </w:rPr>
            </w:pPr>
            <w:r w:rsidRPr="007B5401">
              <w:rPr>
                <w:rFonts w:ascii="Arial" w:eastAsia="Times New Roman" w:hAnsi="Arial" w:cs="Arial"/>
                <w:color w:val="000000"/>
                <w:sz w:val="20"/>
                <w:szCs w:val="20"/>
              </w:rPr>
              <w:t> </w:t>
            </w:r>
          </w:p>
        </w:tc>
        <w:tc>
          <w:tcPr>
            <w:tcW w:w="452" w:type="dxa"/>
            <w:tcBorders>
              <w:top w:val="nil"/>
              <w:left w:val="nil"/>
              <w:bottom w:val="nil"/>
              <w:right w:val="single" w:sz="4" w:space="0" w:color="auto"/>
            </w:tcBorders>
            <w:shd w:val="clear" w:color="000000" w:fill="F2F2F2"/>
            <w:noWrap/>
            <w:vAlign w:val="bottom"/>
            <w:hideMark/>
          </w:tcPr>
          <w:p w:rsidR="007B5401" w:rsidRPr="007B5401" w:rsidRDefault="007B5401" w:rsidP="007B5401">
            <w:pPr>
              <w:jc w:val="left"/>
              <w:rPr>
                <w:rFonts w:ascii="Arial" w:eastAsia="Times New Roman" w:hAnsi="Arial" w:cs="Arial"/>
                <w:color w:val="000000"/>
                <w:sz w:val="20"/>
                <w:szCs w:val="20"/>
              </w:rPr>
            </w:pPr>
            <w:r w:rsidRPr="007B5401">
              <w:rPr>
                <w:rFonts w:ascii="Arial" w:eastAsia="Times New Roman" w:hAnsi="Arial" w:cs="Arial"/>
                <w:color w:val="000000"/>
                <w:sz w:val="20"/>
                <w:szCs w:val="20"/>
              </w:rPr>
              <w:t> </w:t>
            </w:r>
          </w:p>
        </w:tc>
        <w:tc>
          <w:tcPr>
            <w:tcW w:w="452" w:type="dxa"/>
            <w:tcBorders>
              <w:top w:val="nil"/>
              <w:left w:val="nil"/>
              <w:bottom w:val="nil"/>
              <w:right w:val="single" w:sz="4" w:space="0" w:color="auto"/>
            </w:tcBorders>
            <w:shd w:val="clear" w:color="000000" w:fill="F2F2F2"/>
            <w:noWrap/>
            <w:vAlign w:val="bottom"/>
            <w:hideMark/>
          </w:tcPr>
          <w:p w:rsidR="007B5401" w:rsidRPr="007B5401" w:rsidRDefault="007B5401" w:rsidP="007B5401">
            <w:pPr>
              <w:jc w:val="left"/>
              <w:rPr>
                <w:rFonts w:ascii="Arial" w:eastAsia="Times New Roman" w:hAnsi="Arial" w:cs="Arial"/>
                <w:color w:val="000000"/>
                <w:sz w:val="20"/>
                <w:szCs w:val="20"/>
              </w:rPr>
            </w:pPr>
            <w:r w:rsidRPr="007B5401">
              <w:rPr>
                <w:rFonts w:ascii="Arial" w:eastAsia="Times New Roman" w:hAnsi="Arial" w:cs="Arial"/>
                <w:color w:val="000000"/>
                <w:sz w:val="20"/>
                <w:szCs w:val="20"/>
              </w:rPr>
              <w:t> </w:t>
            </w:r>
          </w:p>
        </w:tc>
      </w:tr>
      <w:tr w:rsidR="007B5401" w:rsidRPr="007B5401" w:rsidTr="007B5401">
        <w:trPr>
          <w:trHeight w:val="255"/>
        </w:trPr>
        <w:tc>
          <w:tcPr>
            <w:tcW w:w="1247" w:type="dxa"/>
            <w:vMerge/>
            <w:tcBorders>
              <w:top w:val="single" w:sz="4" w:space="0" w:color="auto"/>
              <w:left w:val="single" w:sz="4" w:space="0" w:color="auto"/>
              <w:bottom w:val="single" w:sz="4" w:space="0" w:color="000000"/>
              <w:right w:val="single" w:sz="4" w:space="0" w:color="auto"/>
            </w:tcBorders>
            <w:vAlign w:val="center"/>
            <w:hideMark/>
          </w:tcPr>
          <w:p w:rsidR="007B5401" w:rsidRPr="007B5401" w:rsidRDefault="007B5401" w:rsidP="007B5401">
            <w:pPr>
              <w:jc w:val="left"/>
              <w:rPr>
                <w:rFonts w:ascii="Arial" w:eastAsia="Times New Roman" w:hAnsi="Arial" w:cs="Arial"/>
                <w:color w:val="000000"/>
                <w:sz w:val="18"/>
                <w:szCs w:val="18"/>
              </w:rPr>
            </w:pPr>
          </w:p>
        </w:tc>
        <w:tc>
          <w:tcPr>
            <w:tcW w:w="3551" w:type="dxa"/>
            <w:tcBorders>
              <w:top w:val="nil"/>
              <w:left w:val="nil"/>
              <w:bottom w:val="nil"/>
              <w:right w:val="nil"/>
            </w:tcBorders>
            <w:shd w:val="clear" w:color="auto" w:fill="auto"/>
            <w:hideMark/>
          </w:tcPr>
          <w:p w:rsidR="007B5401" w:rsidRPr="007B5401" w:rsidRDefault="007B5401" w:rsidP="007B5401">
            <w:pPr>
              <w:jc w:val="left"/>
              <w:rPr>
                <w:rFonts w:ascii="Arial" w:eastAsia="Times New Roman" w:hAnsi="Arial" w:cs="Arial"/>
                <w:color w:val="000000"/>
                <w:sz w:val="18"/>
                <w:szCs w:val="18"/>
              </w:rPr>
            </w:pPr>
            <w:r w:rsidRPr="007B5401">
              <w:rPr>
                <w:rFonts w:ascii="Arial" w:eastAsia="Times New Roman" w:hAnsi="Arial" w:cs="Arial"/>
                <w:color w:val="000000"/>
                <w:sz w:val="18"/>
                <w:szCs w:val="18"/>
              </w:rPr>
              <w:t>Refrigerators/Freezers</w:t>
            </w:r>
          </w:p>
        </w:tc>
        <w:tc>
          <w:tcPr>
            <w:tcW w:w="453" w:type="dxa"/>
            <w:tcBorders>
              <w:top w:val="nil"/>
              <w:left w:val="single" w:sz="4" w:space="0" w:color="auto"/>
              <w:bottom w:val="nil"/>
              <w:right w:val="single" w:sz="4" w:space="0" w:color="auto"/>
            </w:tcBorders>
            <w:shd w:val="clear" w:color="auto" w:fill="auto"/>
            <w:hideMark/>
          </w:tcPr>
          <w:p w:rsidR="007B5401" w:rsidRPr="007B5401" w:rsidRDefault="007B5401" w:rsidP="007B5401">
            <w:pPr>
              <w:jc w:val="left"/>
              <w:rPr>
                <w:rFonts w:ascii="Arial" w:eastAsia="Times New Roman" w:hAnsi="Arial" w:cs="Arial"/>
                <w:color w:val="000000"/>
                <w:sz w:val="18"/>
                <w:szCs w:val="18"/>
              </w:rPr>
            </w:pPr>
            <w:r w:rsidRPr="007B5401">
              <w:rPr>
                <w:rFonts w:ascii="Arial" w:eastAsia="Times New Roman" w:hAnsi="Arial" w:cs="Arial"/>
                <w:color w:val="000000"/>
                <w:sz w:val="18"/>
                <w:szCs w:val="18"/>
              </w:rPr>
              <w:t> </w:t>
            </w:r>
          </w:p>
        </w:tc>
        <w:tc>
          <w:tcPr>
            <w:tcW w:w="452" w:type="dxa"/>
            <w:tcBorders>
              <w:top w:val="nil"/>
              <w:left w:val="nil"/>
              <w:bottom w:val="nil"/>
              <w:right w:val="single" w:sz="4" w:space="0" w:color="auto"/>
            </w:tcBorders>
            <w:shd w:val="clear" w:color="auto" w:fill="auto"/>
            <w:hideMark/>
          </w:tcPr>
          <w:p w:rsidR="007B5401" w:rsidRPr="007B5401" w:rsidRDefault="007B5401" w:rsidP="007B5401">
            <w:pPr>
              <w:jc w:val="left"/>
              <w:rPr>
                <w:rFonts w:ascii="Arial" w:eastAsia="Times New Roman" w:hAnsi="Arial" w:cs="Arial"/>
                <w:color w:val="000000"/>
                <w:sz w:val="18"/>
                <w:szCs w:val="18"/>
              </w:rPr>
            </w:pPr>
            <w:r w:rsidRPr="007B5401">
              <w:rPr>
                <w:rFonts w:ascii="Arial" w:eastAsia="Times New Roman" w:hAnsi="Arial" w:cs="Arial"/>
                <w:color w:val="000000"/>
                <w:sz w:val="18"/>
                <w:szCs w:val="18"/>
              </w:rPr>
              <w:t> </w:t>
            </w:r>
          </w:p>
        </w:tc>
        <w:tc>
          <w:tcPr>
            <w:tcW w:w="452" w:type="dxa"/>
            <w:tcBorders>
              <w:top w:val="nil"/>
              <w:left w:val="nil"/>
              <w:bottom w:val="nil"/>
              <w:right w:val="single" w:sz="4" w:space="0" w:color="auto"/>
            </w:tcBorders>
            <w:shd w:val="clear" w:color="auto" w:fill="auto"/>
            <w:hideMark/>
          </w:tcPr>
          <w:p w:rsidR="007B5401" w:rsidRPr="007B5401" w:rsidRDefault="007B5401" w:rsidP="007B5401">
            <w:pPr>
              <w:jc w:val="left"/>
              <w:rPr>
                <w:rFonts w:ascii="Arial" w:eastAsia="Times New Roman" w:hAnsi="Arial" w:cs="Arial"/>
                <w:color w:val="000000"/>
                <w:sz w:val="18"/>
                <w:szCs w:val="18"/>
              </w:rPr>
            </w:pPr>
            <w:r w:rsidRPr="007B5401">
              <w:rPr>
                <w:rFonts w:ascii="Arial" w:eastAsia="Times New Roman" w:hAnsi="Arial" w:cs="Arial"/>
                <w:color w:val="000000"/>
                <w:sz w:val="18"/>
                <w:szCs w:val="18"/>
              </w:rPr>
              <w:t> </w:t>
            </w:r>
          </w:p>
        </w:tc>
        <w:tc>
          <w:tcPr>
            <w:tcW w:w="452" w:type="dxa"/>
            <w:tcBorders>
              <w:top w:val="nil"/>
              <w:left w:val="nil"/>
              <w:bottom w:val="nil"/>
              <w:right w:val="single" w:sz="4" w:space="0" w:color="auto"/>
            </w:tcBorders>
            <w:shd w:val="clear" w:color="auto" w:fill="auto"/>
            <w:noWrap/>
            <w:vAlign w:val="bottom"/>
            <w:hideMark/>
          </w:tcPr>
          <w:p w:rsidR="007B5401" w:rsidRPr="007B5401" w:rsidRDefault="007B5401" w:rsidP="007B5401">
            <w:pPr>
              <w:jc w:val="left"/>
              <w:rPr>
                <w:rFonts w:ascii="Arial" w:eastAsia="Times New Roman" w:hAnsi="Arial" w:cs="Arial"/>
                <w:color w:val="000000"/>
                <w:sz w:val="20"/>
                <w:szCs w:val="20"/>
              </w:rPr>
            </w:pPr>
            <w:r w:rsidRPr="007B5401">
              <w:rPr>
                <w:rFonts w:ascii="Arial" w:eastAsia="Times New Roman" w:hAnsi="Arial" w:cs="Arial"/>
                <w:color w:val="000000"/>
                <w:sz w:val="20"/>
                <w:szCs w:val="20"/>
              </w:rPr>
              <w:t> </w:t>
            </w:r>
          </w:p>
        </w:tc>
        <w:tc>
          <w:tcPr>
            <w:tcW w:w="452" w:type="dxa"/>
            <w:tcBorders>
              <w:top w:val="nil"/>
              <w:left w:val="nil"/>
              <w:bottom w:val="nil"/>
              <w:right w:val="single" w:sz="4" w:space="0" w:color="auto"/>
            </w:tcBorders>
            <w:shd w:val="clear" w:color="auto" w:fill="auto"/>
            <w:hideMark/>
          </w:tcPr>
          <w:p w:rsidR="007B5401" w:rsidRPr="007B5401" w:rsidRDefault="007B5401" w:rsidP="007B5401">
            <w:pPr>
              <w:jc w:val="center"/>
              <w:rPr>
                <w:rFonts w:ascii="Wingdings 2" w:eastAsia="Times New Roman" w:hAnsi="Wingdings 2" w:cs="Arial"/>
                <w:color w:val="000000"/>
                <w:sz w:val="18"/>
                <w:szCs w:val="18"/>
              </w:rPr>
            </w:pPr>
            <w:r w:rsidRPr="007B5401">
              <w:rPr>
                <w:rFonts w:ascii="Wingdings 2" w:eastAsia="Times New Roman" w:hAnsi="Wingdings 2" w:cs="Arial"/>
                <w:color w:val="000000"/>
                <w:sz w:val="18"/>
                <w:szCs w:val="18"/>
              </w:rPr>
              <w:t></w:t>
            </w:r>
          </w:p>
        </w:tc>
        <w:tc>
          <w:tcPr>
            <w:tcW w:w="452" w:type="dxa"/>
            <w:tcBorders>
              <w:top w:val="nil"/>
              <w:left w:val="nil"/>
              <w:bottom w:val="nil"/>
              <w:right w:val="single" w:sz="4" w:space="0" w:color="auto"/>
            </w:tcBorders>
            <w:shd w:val="clear" w:color="auto" w:fill="auto"/>
            <w:hideMark/>
          </w:tcPr>
          <w:p w:rsidR="007B5401" w:rsidRPr="007B5401" w:rsidRDefault="007B5401" w:rsidP="007B5401">
            <w:pPr>
              <w:jc w:val="center"/>
              <w:rPr>
                <w:rFonts w:ascii="Wingdings 2" w:eastAsia="Times New Roman" w:hAnsi="Wingdings 2" w:cs="Arial"/>
                <w:color w:val="000000"/>
                <w:sz w:val="18"/>
                <w:szCs w:val="18"/>
              </w:rPr>
            </w:pPr>
          </w:p>
        </w:tc>
        <w:tc>
          <w:tcPr>
            <w:tcW w:w="452" w:type="dxa"/>
            <w:tcBorders>
              <w:top w:val="nil"/>
              <w:left w:val="nil"/>
              <w:bottom w:val="nil"/>
              <w:right w:val="single" w:sz="4" w:space="0" w:color="auto"/>
            </w:tcBorders>
            <w:shd w:val="clear" w:color="auto" w:fill="auto"/>
            <w:noWrap/>
            <w:vAlign w:val="bottom"/>
            <w:hideMark/>
          </w:tcPr>
          <w:p w:rsidR="007B5401" w:rsidRPr="007B5401" w:rsidRDefault="007B5401" w:rsidP="007B5401">
            <w:pPr>
              <w:jc w:val="left"/>
              <w:rPr>
                <w:rFonts w:ascii="Arial" w:eastAsia="Times New Roman" w:hAnsi="Arial" w:cs="Arial"/>
                <w:color w:val="000000"/>
                <w:sz w:val="20"/>
                <w:szCs w:val="20"/>
              </w:rPr>
            </w:pPr>
            <w:r w:rsidRPr="007B5401">
              <w:rPr>
                <w:rFonts w:ascii="Arial" w:eastAsia="Times New Roman" w:hAnsi="Arial" w:cs="Arial"/>
                <w:color w:val="000000"/>
                <w:sz w:val="20"/>
                <w:szCs w:val="20"/>
              </w:rPr>
              <w:t> </w:t>
            </w:r>
          </w:p>
        </w:tc>
        <w:tc>
          <w:tcPr>
            <w:tcW w:w="452" w:type="dxa"/>
            <w:tcBorders>
              <w:top w:val="nil"/>
              <w:left w:val="nil"/>
              <w:bottom w:val="nil"/>
              <w:right w:val="single" w:sz="4" w:space="0" w:color="auto"/>
            </w:tcBorders>
            <w:shd w:val="clear" w:color="auto" w:fill="auto"/>
            <w:noWrap/>
            <w:vAlign w:val="bottom"/>
            <w:hideMark/>
          </w:tcPr>
          <w:p w:rsidR="007B5401" w:rsidRPr="007B5401" w:rsidRDefault="007B5401" w:rsidP="007B5401">
            <w:pPr>
              <w:jc w:val="left"/>
              <w:rPr>
                <w:rFonts w:ascii="Arial" w:eastAsia="Times New Roman" w:hAnsi="Arial" w:cs="Arial"/>
                <w:color w:val="000000"/>
                <w:sz w:val="20"/>
                <w:szCs w:val="20"/>
              </w:rPr>
            </w:pPr>
            <w:r w:rsidRPr="007B5401">
              <w:rPr>
                <w:rFonts w:ascii="Arial" w:eastAsia="Times New Roman" w:hAnsi="Arial" w:cs="Arial"/>
                <w:color w:val="000000"/>
                <w:sz w:val="20"/>
                <w:szCs w:val="20"/>
              </w:rPr>
              <w:t> </w:t>
            </w:r>
          </w:p>
        </w:tc>
        <w:tc>
          <w:tcPr>
            <w:tcW w:w="452" w:type="dxa"/>
            <w:tcBorders>
              <w:top w:val="nil"/>
              <w:left w:val="nil"/>
              <w:bottom w:val="nil"/>
              <w:right w:val="single" w:sz="4" w:space="0" w:color="auto"/>
            </w:tcBorders>
            <w:shd w:val="clear" w:color="auto" w:fill="auto"/>
            <w:noWrap/>
            <w:vAlign w:val="bottom"/>
            <w:hideMark/>
          </w:tcPr>
          <w:p w:rsidR="007B5401" w:rsidRPr="007B5401" w:rsidRDefault="007B5401" w:rsidP="007B5401">
            <w:pPr>
              <w:jc w:val="left"/>
              <w:rPr>
                <w:rFonts w:ascii="Arial" w:eastAsia="Times New Roman" w:hAnsi="Arial" w:cs="Arial"/>
                <w:color w:val="000000"/>
                <w:sz w:val="20"/>
                <w:szCs w:val="20"/>
              </w:rPr>
            </w:pPr>
            <w:r w:rsidRPr="007B5401">
              <w:rPr>
                <w:rFonts w:ascii="Arial" w:eastAsia="Times New Roman" w:hAnsi="Arial" w:cs="Arial"/>
                <w:color w:val="000000"/>
                <w:sz w:val="20"/>
                <w:szCs w:val="20"/>
              </w:rPr>
              <w:t> </w:t>
            </w:r>
          </w:p>
        </w:tc>
        <w:tc>
          <w:tcPr>
            <w:tcW w:w="452" w:type="dxa"/>
            <w:tcBorders>
              <w:top w:val="nil"/>
              <w:left w:val="nil"/>
              <w:bottom w:val="nil"/>
              <w:right w:val="single" w:sz="4" w:space="0" w:color="auto"/>
            </w:tcBorders>
            <w:shd w:val="clear" w:color="auto" w:fill="auto"/>
            <w:noWrap/>
            <w:vAlign w:val="bottom"/>
            <w:hideMark/>
          </w:tcPr>
          <w:p w:rsidR="007B5401" w:rsidRPr="007B5401" w:rsidRDefault="007B5401" w:rsidP="007B5401">
            <w:pPr>
              <w:jc w:val="left"/>
              <w:rPr>
                <w:rFonts w:ascii="Arial" w:eastAsia="Times New Roman" w:hAnsi="Arial" w:cs="Arial"/>
                <w:color w:val="000000"/>
                <w:sz w:val="20"/>
                <w:szCs w:val="20"/>
              </w:rPr>
            </w:pPr>
            <w:r w:rsidRPr="007B5401">
              <w:rPr>
                <w:rFonts w:ascii="Arial" w:eastAsia="Times New Roman" w:hAnsi="Arial" w:cs="Arial"/>
                <w:color w:val="000000"/>
                <w:sz w:val="20"/>
                <w:szCs w:val="20"/>
              </w:rPr>
              <w:t> </w:t>
            </w:r>
          </w:p>
        </w:tc>
        <w:tc>
          <w:tcPr>
            <w:tcW w:w="452" w:type="dxa"/>
            <w:tcBorders>
              <w:top w:val="nil"/>
              <w:left w:val="nil"/>
              <w:bottom w:val="nil"/>
              <w:right w:val="single" w:sz="4" w:space="0" w:color="auto"/>
            </w:tcBorders>
            <w:shd w:val="clear" w:color="auto" w:fill="auto"/>
            <w:noWrap/>
            <w:vAlign w:val="bottom"/>
            <w:hideMark/>
          </w:tcPr>
          <w:p w:rsidR="007B5401" w:rsidRPr="007B5401" w:rsidRDefault="007B5401" w:rsidP="007B5401">
            <w:pPr>
              <w:jc w:val="left"/>
              <w:rPr>
                <w:rFonts w:ascii="Arial" w:eastAsia="Times New Roman" w:hAnsi="Arial" w:cs="Arial"/>
                <w:color w:val="000000"/>
                <w:sz w:val="20"/>
                <w:szCs w:val="20"/>
              </w:rPr>
            </w:pPr>
            <w:r w:rsidRPr="007B5401">
              <w:rPr>
                <w:rFonts w:ascii="Arial" w:eastAsia="Times New Roman" w:hAnsi="Arial" w:cs="Arial"/>
                <w:color w:val="000000"/>
                <w:sz w:val="20"/>
                <w:szCs w:val="20"/>
              </w:rPr>
              <w:t> </w:t>
            </w:r>
          </w:p>
        </w:tc>
      </w:tr>
      <w:tr w:rsidR="007B5401" w:rsidRPr="007B5401" w:rsidTr="007B5401">
        <w:trPr>
          <w:trHeight w:val="255"/>
        </w:trPr>
        <w:tc>
          <w:tcPr>
            <w:tcW w:w="1247" w:type="dxa"/>
            <w:vMerge/>
            <w:tcBorders>
              <w:top w:val="single" w:sz="4" w:space="0" w:color="auto"/>
              <w:left w:val="single" w:sz="4" w:space="0" w:color="auto"/>
              <w:bottom w:val="single" w:sz="4" w:space="0" w:color="000000"/>
              <w:right w:val="single" w:sz="4" w:space="0" w:color="auto"/>
            </w:tcBorders>
            <w:vAlign w:val="center"/>
            <w:hideMark/>
          </w:tcPr>
          <w:p w:rsidR="007B5401" w:rsidRPr="007B5401" w:rsidRDefault="007B5401" w:rsidP="007B5401">
            <w:pPr>
              <w:jc w:val="left"/>
              <w:rPr>
                <w:rFonts w:ascii="Arial" w:eastAsia="Times New Roman" w:hAnsi="Arial" w:cs="Arial"/>
                <w:color w:val="000000"/>
                <w:sz w:val="18"/>
                <w:szCs w:val="18"/>
              </w:rPr>
            </w:pPr>
          </w:p>
        </w:tc>
        <w:tc>
          <w:tcPr>
            <w:tcW w:w="3551" w:type="dxa"/>
            <w:tcBorders>
              <w:top w:val="nil"/>
              <w:left w:val="nil"/>
              <w:bottom w:val="nil"/>
              <w:right w:val="nil"/>
            </w:tcBorders>
            <w:shd w:val="clear" w:color="000000" w:fill="F2F2F2"/>
            <w:hideMark/>
          </w:tcPr>
          <w:p w:rsidR="007B5401" w:rsidRPr="007B5401" w:rsidRDefault="007B5401" w:rsidP="007B5401">
            <w:pPr>
              <w:jc w:val="left"/>
              <w:rPr>
                <w:rFonts w:ascii="Arial" w:eastAsia="Times New Roman" w:hAnsi="Arial" w:cs="Arial"/>
                <w:color w:val="000000"/>
                <w:sz w:val="18"/>
                <w:szCs w:val="18"/>
              </w:rPr>
            </w:pPr>
            <w:r w:rsidRPr="007B5401">
              <w:rPr>
                <w:rFonts w:ascii="Arial" w:eastAsia="Times New Roman" w:hAnsi="Arial" w:cs="Arial"/>
                <w:color w:val="000000"/>
                <w:sz w:val="18"/>
                <w:szCs w:val="18"/>
              </w:rPr>
              <w:t>Room Air Conditioners</w:t>
            </w:r>
          </w:p>
        </w:tc>
        <w:tc>
          <w:tcPr>
            <w:tcW w:w="453" w:type="dxa"/>
            <w:tcBorders>
              <w:top w:val="nil"/>
              <w:left w:val="single" w:sz="4" w:space="0" w:color="auto"/>
              <w:bottom w:val="nil"/>
              <w:right w:val="single" w:sz="4" w:space="0" w:color="auto"/>
            </w:tcBorders>
            <w:shd w:val="clear" w:color="000000" w:fill="F2F2F2"/>
            <w:hideMark/>
          </w:tcPr>
          <w:p w:rsidR="007B5401" w:rsidRPr="007B5401" w:rsidRDefault="007B5401" w:rsidP="007B5401">
            <w:pPr>
              <w:jc w:val="left"/>
              <w:rPr>
                <w:rFonts w:ascii="Arial" w:eastAsia="Times New Roman" w:hAnsi="Arial" w:cs="Arial"/>
                <w:color w:val="000000"/>
                <w:sz w:val="18"/>
                <w:szCs w:val="18"/>
              </w:rPr>
            </w:pPr>
            <w:r w:rsidRPr="007B5401">
              <w:rPr>
                <w:rFonts w:ascii="Arial" w:eastAsia="Times New Roman" w:hAnsi="Arial" w:cs="Arial"/>
                <w:color w:val="000000"/>
                <w:sz w:val="18"/>
                <w:szCs w:val="18"/>
              </w:rPr>
              <w:t> </w:t>
            </w:r>
          </w:p>
        </w:tc>
        <w:tc>
          <w:tcPr>
            <w:tcW w:w="452" w:type="dxa"/>
            <w:tcBorders>
              <w:top w:val="nil"/>
              <w:left w:val="nil"/>
              <w:bottom w:val="nil"/>
              <w:right w:val="single" w:sz="4" w:space="0" w:color="auto"/>
            </w:tcBorders>
            <w:shd w:val="clear" w:color="000000" w:fill="F2F2F2"/>
            <w:hideMark/>
          </w:tcPr>
          <w:p w:rsidR="007B5401" w:rsidRPr="007B5401" w:rsidRDefault="007B5401" w:rsidP="007B5401">
            <w:pPr>
              <w:jc w:val="left"/>
              <w:rPr>
                <w:rFonts w:ascii="Arial" w:eastAsia="Times New Roman" w:hAnsi="Arial" w:cs="Arial"/>
                <w:color w:val="000000"/>
                <w:sz w:val="18"/>
                <w:szCs w:val="18"/>
              </w:rPr>
            </w:pPr>
            <w:r w:rsidRPr="007B5401">
              <w:rPr>
                <w:rFonts w:ascii="Arial" w:eastAsia="Times New Roman" w:hAnsi="Arial" w:cs="Arial"/>
                <w:color w:val="000000"/>
                <w:sz w:val="18"/>
                <w:szCs w:val="18"/>
              </w:rPr>
              <w:t> </w:t>
            </w:r>
          </w:p>
        </w:tc>
        <w:tc>
          <w:tcPr>
            <w:tcW w:w="452" w:type="dxa"/>
            <w:tcBorders>
              <w:top w:val="nil"/>
              <w:left w:val="nil"/>
              <w:bottom w:val="nil"/>
              <w:right w:val="single" w:sz="4" w:space="0" w:color="auto"/>
            </w:tcBorders>
            <w:shd w:val="clear" w:color="000000" w:fill="F2F2F2"/>
            <w:hideMark/>
          </w:tcPr>
          <w:p w:rsidR="007B5401" w:rsidRPr="007B5401" w:rsidRDefault="007B5401" w:rsidP="007B5401">
            <w:pPr>
              <w:jc w:val="left"/>
              <w:rPr>
                <w:rFonts w:ascii="Arial" w:eastAsia="Times New Roman" w:hAnsi="Arial" w:cs="Arial"/>
                <w:color w:val="000000"/>
                <w:sz w:val="18"/>
                <w:szCs w:val="18"/>
              </w:rPr>
            </w:pPr>
            <w:r w:rsidRPr="007B5401">
              <w:rPr>
                <w:rFonts w:ascii="Arial" w:eastAsia="Times New Roman" w:hAnsi="Arial" w:cs="Arial"/>
                <w:color w:val="000000"/>
                <w:sz w:val="18"/>
                <w:szCs w:val="18"/>
              </w:rPr>
              <w:t> </w:t>
            </w:r>
          </w:p>
        </w:tc>
        <w:tc>
          <w:tcPr>
            <w:tcW w:w="452" w:type="dxa"/>
            <w:tcBorders>
              <w:top w:val="nil"/>
              <w:left w:val="nil"/>
              <w:bottom w:val="nil"/>
              <w:right w:val="single" w:sz="4" w:space="0" w:color="auto"/>
            </w:tcBorders>
            <w:shd w:val="clear" w:color="000000" w:fill="F2F2F2"/>
            <w:noWrap/>
            <w:vAlign w:val="bottom"/>
            <w:hideMark/>
          </w:tcPr>
          <w:p w:rsidR="007B5401" w:rsidRPr="007B5401" w:rsidRDefault="007B5401" w:rsidP="007B5401">
            <w:pPr>
              <w:jc w:val="left"/>
              <w:rPr>
                <w:rFonts w:ascii="Arial" w:eastAsia="Times New Roman" w:hAnsi="Arial" w:cs="Arial"/>
                <w:color w:val="000000"/>
                <w:sz w:val="20"/>
                <w:szCs w:val="20"/>
              </w:rPr>
            </w:pPr>
            <w:r w:rsidRPr="007B5401">
              <w:rPr>
                <w:rFonts w:ascii="Arial" w:eastAsia="Times New Roman" w:hAnsi="Arial" w:cs="Arial"/>
                <w:color w:val="000000"/>
                <w:sz w:val="20"/>
                <w:szCs w:val="20"/>
              </w:rPr>
              <w:t> </w:t>
            </w:r>
          </w:p>
        </w:tc>
        <w:tc>
          <w:tcPr>
            <w:tcW w:w="452" w:type="dxa"/>
            <w:tcBorders>
              <w:top w:val="nil"/>
              <w:left w:val="nil"/>
              <w:bottom w:val="nil"/>
              <w:right w:val="single" w:sz="4" w:space="0" w:color="auto"/>
            </w:tcBorders>
            <w:shd w:val="clear" w:color="000000" w:fill="F2F2F2"/>
            <w:hideMark/>
          </w:tcPr>
          <w:p w:rsidR="007B5401" w:rsidRPr="007B5401" w:rsidRDefault="007B5401" w:rsidP="007B5401">
            <w:pPr>
              <w:jc w:val="center"/>
              <w:rPr>
                <w:rFonts w:ascii="Wingdings 2" w:eastAsia="Times New Roman" w:hAnsi="Wingdings 2" w:cs="Arial"/>
                <w:color w:val="000000"/>
                <w:sz w:val="18"/>
                <w:szCs w:val="18"/>
              </w:rPr>
            </w:pPr>
            <w:r w:rsidRPr="007B5401">
              <w:rPr>
                <w:rFonts w:ascii="Wingdings 2" w:eastAsia="Times New Roman" w:hAnsi="Wingdings 2" w:cs="Arial"/>
                <w:color w:val="000000"/>
                <w:sz w:val="18"/>
                <w:szCs w:val="18"/>
              </w:rPr>
              <w:t></w:t>
            </w:r>
          </w:p>
        </w:tc>
        <w:tc>
          <w:tcPr>
            <w:tcW w:w="452" w:type="dxa"/>
            <w:tcBorders>
              <w:top w:val="nil"/>
              <w:left w:val="nil"/>
              <w:bottom w:val="nil"/>
              <w:right w:val="single" w:sz="4" w:space="0" w:color="auto"/>
            </w:tcBorders>
            <w:shd w:val="clear" w:color="000000" w:fill="F2F2F2"/>
            <w:noWrap/>
            <w:vAlign w:val="bottom"/>
            <w:hideMark/>
          </w:tcPr>
          <w:p w:rsidR="007B5401" w:rsidRPr="007B5401" w:rsidRDefault="007B5401" w:rsidP="007B5401">
            <w:pPr>
              <w:jc w:val="left"/>
              <w:rPr>
                <w:rFonts w:ascii="Arial" w:eastAsia="Times New Roman" w:hAnsi="Arial" w:cs="Arial"/>
                <w:color w:val="000000"/>
                <w:sz w:val="20"/>
                <w:szCs w:val="20"/>
              </w:rPr>
            </w:pPr>
            <w:r w:rsidRPr="007B5401">
              <w:rPr>
                <w:rFonts w:ascii="Arial" w:eastAsia="Times New Roman" w:hAnsi="Arial" w:cs="Arial"/>
                <w:color w:val="000000"/>
                <w:sz w:val="20"/>
                <w:szCs w:val="20"/>
              </w:rPr>
              <w:t> </w:t>
            </w:r>
          </w:p>
        </w:tc>
        <w:tc>
          <w:tcPr>
            <w:tcW w:w="452" w:type="dxa"/>
            <w:tcBorders>
              <w:top w:val="nil"/>
              <w:left w:val="nil"/>
              <w:bottom w:val="nil"/>
              <w:right w:val="single" w:sz="4" w:space="0" w:color="auto"/>
            </w:tcBorders>
            <w:shd w:val="clear" w:color="000000" w:fill="F2F2F2"/>
            <w:noWrap/>
            <w:vAlign w:val="bottom"/>
            <w:hideMark/>
          </w:tcPr>
          <w:p w:rsidR="007B5401" w:rsidRPr="007B5401" w:rsidRDefault="007B5401" w:rsidP="007B5401">
            <w:pPr>
              <w:jc w:val="left"/>
              <w:rPr>
                <w:rFonts w:ascii="Arial" w:eastAsia="Times New Roman" w:hAnsi="Arial" w:cs="Arial"/>
                <w:color w:val="000000"/>
                <w:sz w:val="20"/>
                <w:szCs w:val="20"/>
              </w:rPr>
            </w:pPr>
            <w:r w:rsidRPr="007B5401">
              <w:rPr>
                <w:rFonts w:ascii="Arial" w:eastAsia="Times New Roman" w:hAnsi="Arial" w:cs="Arial"/>
                <w:color w:val="000000"/>
                <w:sz w:val="20"/>
                <w:szCs w:val="20"/>
              </w:rPr>
              <w:t> </w:t>
            </w:r>
          </w:p>
        </w:tc>
        <w:tc>
          <w:tcPr>
            <w:tcW w:w="452" w:type="dxa"/>
            <w:tcBorders>
              <w:top w:val="nil"/>
              <w:left w:val="nil"/>
              <w:bottom w:val="nil"/>
              <w:right w:val="single" w:sz="4" w:space="0" w:color="auto"/>
            </w:tcBorders>
            <w:shd w:val="clear" w:color="000000" w:fill="F2F2F2"/>
            <w:noWrap/>
            <w:vAlign w:val="bottom"/>
            <w:hideMark/>
          </w:tcPr>
          <w:p w:rsidR="007B5401" w:rsidRPr="007B5401" w:rsidRDefault="007B5401" w:rsidP="007B5401">
            <w:pPr>
              <w:jc w:val="left"/>
              <w:rPr>
                <w:rFonts w:ascii="Arial" w:eastAsia="Times New Roman" w:hAnsi="Arial" w:cs="Arial"/>
                <w:color w:val="000000"/>
                <w:sz w:val="20"/>
                <w:szCs w:val="20"/>
              </w:rPr>
            </w:pPr>
            <w:r w:rsidRPr="007B5401">
              <w:rPr>
                <w:rFonts w:ascii="Arial" w:eastAsia="Times New Roman" w:hAnsi="Arial" w:cs="Arial"/>
                <w:color w:val="000000"/>
                <w:sz w:val="20"/>
                <w:szCs w:val="20"/>
              </w:rPr>
              <w:t> </w:t>
            </w:r>
          </w:p>
        </w:tc>
        <w:tc>
          <w:tcPr>
            <w:tcW w:w="452" w:type="dxa"/>
            <w:tcBorders>
              <w:top w:val="nil"/>
              <w:left w:val="nil"/>
              <w:bottom w:val="nil"/>
              <w:right w:val="single" w:sz="4" w:space="0" w:color="auto"/>
            </w:tcBorders>
            <w:shd w:val="clear" w:color="000000" w:fill="F2F2F2"/>
            <w:noWrap/>
            <w:vAlign w:val="bottom"/>
            <w:hideMark/>
          </w:tcPr>
          <w:p w:rsidR="007B5401" w:rsidRPr="007B5401" w:rsidRDefault="007B5401" w:rsidP="007B5401">
            <w:pPr>
              <w:jc w:val="left"/>
              <w:rPr>
                <w:rFonts w:ascii="Arial" w:eastAsia="Times New Roman" w:hAnsi="Arial" w:cs="Arial"/>
                <w:color w:val="000000"/>
                <w:sz w:val="20"/>
                <w:szCs w:val="20"/>
              </w:rPr>
            </w:pPr>
            <w:r w:rsidRPr="007B5401">
              <w:rPr>
                <w:rFonts w:ascii="Arial" w:eastAsia="Times New Roman" w:hAnsi="Arial" w:cs="Arial"/>
                <w:color w:val="000000"/>
                <w:sz w:val="20"/>
                <w:szCs w:val="20"/>
              </w:rPr>
              <w:t> </w:t>
            </w:r>
          </w:p>
        </w:tc>
        <w:tc>
          <w:tcPr>
            <w:tcW w:w="452" w:type="dxa"/>
            <w:tcBorders>
              <w:top w:val="nil"/>
              <w:left w:val="nil"/>
              <w:bottom w:val="nil"/>
              <w:right w:val="single" w:sz="4" w:space="0" w:color="auto"/>
            </w:tcBorders>
            <w:shd w:val="clear" w:color="000000" w:fill="F2F2F2"/>
            <w:noWrap/>
            <w:vAlign w:val="bottom"/>
            <w:hideMark/>
          </w:tcPr>
          <w:p w:rsidR="007B5401" w:rsidRPr="007B5401" w:rsidRDefault="007B5401" w:rsidP="007B5401">
            <w:pPr>
              <w:jc w:val="left"/>
              <w:rPr>
                <w:rFonts w:ascii="Arial" w:eastAsia="Times New Roman" w:hAnsi="Arial" w:cs="Arial"/>
                <w:color w:val="000000"/>
                <w:sz w:val="20"/>
                <w:szCs w:val="20"/>
              </w:rPr>
            </w:pPr>
            <w:r w:rsidRPr="007B5401">
              <w:rPr>
                <w:rFonts w:ascii="Arial" w:eastAsia="Times New Roman" w:hAnsi="Arial" w:cs="Arial"/>
                <w:color w:val="000000"/>
                <w:sz w:val="20"/>
                <w:szCs w:val="20"/>
              </w:rPr>
              <w:t> </w:t>
            </w:r>
          </w:p>
        </w:tc>
        <w:tc>
          <w:tcPr>
            <w:tcW w:w="452" w:type="dxa"/>
            <w:tcBorders>
              <w:top w:val="nil"/>
              <w:left w:val="nil"/>
              <w:bottom w:val="nil"/>
              <w:right w:val="single" w:sz="4" w:space="0" w:color="auto"/>
            </w:tcBorders>
            <w:shd w:val="clear" w:color="000000" w:fill="F2F2F2"/>
            <w:noWrap/>
            <w:vAlign w:val="bottom"/>
            <w:hideMark/>
          </w:tcPr>
          <w:p w:rsidR="007B5401" w:rsidRPr="007B5401" w:rsidRDefault="007B5401" w:rsidP="007B5401">
            <w:pPr>
              <w:jc w:val="left"/>
              <w:rPr>
                <w:rFonts w:ascii="Arial" w:eastAsia="Times New Roman" w:hAnsi="Arial" w:cs="Arial"/>
                <w:color w:val="000000"/>
                <w:sz w:val="20"/>
                <w:szCs w:val="20"/>
              </w:rPr>
            </w:pPr>
            <w:r w:rsidRPr="007B5401">
              <w:rPr>
                <w:rFonts w:ascii="Arial" w:eastAsia="Times New Roman" w:hAnsi="Arial" w:cs="Arial"/>
                <w:color w:val="000000"/>
                <w:sz w:val="20"/>
                <w:szCs w:val="20"/>
              </w:rPr>
              <w:t> </w:t>
            </w:r>
          </w:p>
        </w:tc>
      </w:tr>
      <w:tr w:rsidR="007B5401" w:rsidRPr="007B5401" w:rsidTr="007B5401">
        <w:trPr>
          <w:trHeight w:val="255"/>
        </w:trPr>
        <w:tc>
          <w:tcPr>
            <w:tcW w:w="1247" w:type="dxa"/>
            <w:vMerge/>
            <w:tcBorders>
              <w:top w:val="single" w:sz="4" w:space="0" w:color="auto"/>
              <w:left w:val="single" w:sz="4" w:space="0" w:color="auto"/>
              <w:bottom w:val="single" w:sz="4" w:space="0" w:color="000000"/>
              <w:right w:val="single" w:sz="4" w:space="0" w:color="auto"/>
            </w:tcBorders>
            <w:vAlign w:val="center"/>
            <w:hideMark/>
          </w:tcPr>
          <w:p w:rsidR="007B5401" w:rsidRPr="007B5401" w:rsidRDefault="007B5401" w:rsidP="007B5401">
            <w:pPr>
              <w:jc w:val="left"/>
              <w:rPr>
                <w:rFonts w:ascii="Arial" w:eastAsia="Times New Roman" w:hAnsi="Arial" w:cs="Arial"/>
                <w:color w:val="000000"/>
                <w:sz w:val="18"/>
                <w:szCs w:val="18"/>
              </w:rPr>
            </w:pPr>
          </w:p>
        </w:tc>
        <w:tc>
          <w:tcPr>
            <w:tcW w:w="3551" w:type="dxa"/>
            <w:tcBorders>
              <w:top w:val="nil"/>
              <w:left w:val="nil"/>
              <w:bottom w:val="single" w:sz="4" w:space="0" w:color="auto"/>
              <w:right w:val="nil"/>
            </w:tcBorders>
            <w:shd w:val="clear" w:color="auto" w:fill="auto"/>
            <w:hideMark/>
          </w:tcPr>
          <w:p w:rsidR="007B5401" w:rsidRPr="007B5401" w:rsidRDefault="007B5401" w:rsidP="007B5401">
            <w:pPr>
              <w:jc w:val="left"/>
              <w:rPr>
                <w:rFonts w:ascii="Arial" w:eastAsia="Times New Roman" w:hAnsi="Arial" w:cs="Arial"/>
                <w:b/>
                <w:color w:val="000000"/>
                <w:sz w:val="18"/>
                <w:szCs w:val="18"/>
              </w:rPr>
            </w:pPr>
            <w:r w:rsidRPr="007B5401">
              <w:rPr>
                <w:rFonts w:ascii="Arial" w:eastAsia="Times New Roman" w:hAnsi="Arial" w:cs="Arial"/>
                <w:b/>
                <w:color w:val="000000"/>
                <w:sz w:val="18"/>
                <w:szCs w:val="18"/>
              </w:rPr>
              <w:t>Water Heaters</w:t>
            </w:r>
          </w:p>
        </w:tc>
        <w:tc>
          <w:tcPr>
            <w:tcW w:w="453" w:type="dxa"/>
            <w:tcBorders>
              <w:top w:val="nil"/>
              <w:left w:val="single" w:sz="4" w:space="0" w:color="auto"/>
              <w:bottom w:val="single" w:sz="4" w:space="0" w:color="auto"/>
              <w:right w:val="single" w:sz="4" w:space="0" w:color="auto"/>
            </w:tcBorders>
            <w:shd w:val="clear" w:color="auto" w:fill="auto"/>
            <w:hideMark/>
          </w:tcPr>
          <w:p w:rsidR="007B5401" w:rsidRPr="007B5401" w:rsidRDefault="007B5401" w:rsidP="007B5401">
            <w:pPr>
              <w:jc w:val="left"/>
              <w:rPr>
                <w:rFonts w:ascii="Arial" w:eastAsia="Times New Roman" w:hAnsi="Arial" w:cs="Arial"/>
                <w:b/>
                <w:color w:val="000000"/>
                <w:sz w:val="18"/>
                <w:szCs w:val="18"/>
              </w:rPr>
            </w:pPr>
            <w:r w:rsidRPr="007B5401">
              <w:rPr>
                <w:rFonts w:ascii="Arial" w:eastAsia="Times New Roman" w:hAnsi="Arial" w:cs="Arial"/>
                <w:b/>
                <w:color w:val="000000"/>
                <w:sz w:val="18"/>
                <w:szCs w:val="18"/>
              </w:rPr>
              <w:t> </w:t>
            </w:r>
          </w:p>
        </w:tc>
        <w:tc>
          <w:tcPr>
            <w:tcW w:w="452" w:type="dxa"/>
            <w:tcBorders>
              <w:top w:val="nil"/>
              <w:left w:val="nil"/>
              <w:bottom w:val="single" w:sz="4" w:space="0" w:color="auto"/>
              <w:right w:val="single" w:sz="4" w:space="0" w:color="auto"/>
            </w:tcBorders>
            <w:shd w:val="clear" w:color="auto" w:fill="auto"/>
            <w:hideMark/>
          </w:tcPr>
          <w:p w:rsidR="007B5401" w:rsidRPr="007B5401" w:rsidRDefault="007B5401" w:rsidP="007B5401">
            <w:pPr>
              <w:jc w:val="left"/>
              <w:rPr>
                <w:rFonts w:ascii="Arial" w:eastAsia="Times New Roman" w:hAnsi="Arial" w:cs="Arial"/>
                <w:b/>
                <w:color w:val="000000"/>
                <w:sz w:val="18"/>
                <w:szCs w:val="18"/>
              </w:rPr>
            </w:pPr>
            <w:r w:rsidRPr="007B5401">
              <w:rPr>
                <w:rFonts w:ascii="Arial" w:eastAsia="Times New Roman" w:hAnsi="Arial" w:cs="Arial"/>
                <w:b/>
                <w:color w:val="000000"/>
                <w:sz w:val="18"/>
                <w:szCs w:val="18"/>
              </w:rPr>
              <w:t> </w:t>
            </w:r>
          </w:p>
        </w:tc>
        <w:tc>
          <w:tcPr>
            <w:tcW w:w="452" w:type="dxa"/>
            <w:tcBorders>
              <w:top w:val="nil"/>
              <w:left w:val="nil"/>
              <w:bottom w:val="single" w:sz="4" w:space="0" w:color="auto"/>
              <w:right w:val="single" w:sz="4" w:space="0" w:color="auto"/>
            </w:tcBorders>
            <w:shd w:val="clear" w:color="auto" w:fill="auto"/>
            <w:hideMark/>
          </w:tcPr>
          <w:p w:rsidR="007B5401" w:rsidRPr="007B5401" w:rsidRDefault="007B5401" w:rsidP="007B5401">
            <w:pPr>
              <w:jc w:val="left"/>
              <w:rPr>
                <w:rFonts w:ascii="Arial" w:eastAsia="Times New Roman" w:hAnsi="Arial" w:cs="Arial"/>
                <w:b/>
                <w:color w:val="000000"/>
                <w:sz w:val="18"/>
                <w:szCs w:val="18"/>
              </w:rPr>
            </w:pPr>
            <w:r w:rsidRPr="007B5401">
              <w:rPr>
                <w:rFonts w:ascii="Arial" w:eastAsia="Times New Roman" w:hAnsi="Arial" w:cs="Arial"/>
                <w:b/>
                <w:color w:val="000000"/>
                <w:sz w:val="18"/>
                <w:szCs w:val="18"/>
              </w:rPr>
              <w:t> </w:t>
            </w:r>
          </w:p>
        </w:tc>
        <w:tc>
          <w:tcPr>
            <w:tcW w:w="452" w:type="dxa"/>
            <w:tcBorders>
              <w:top w:val="nil"/>
              <w:left w:val="nil"/>
              <w:bottom w:val="single" w:sz="4" w:space="0" w:color="auto"/>
              <w:right w:val="single" w:sz="4" w:space="0" w:color="auto"/>
            </w:tcBorders>
            <w:shd w:val="clear" w:color="auto" w:fill="auto"/>
            <w:noWrap/>
            <w:vAlign w:val="bottom"/>
            <w:hideMark/>
          </w:tcPr>
          <w:p w:rsidR="007B5401" w:rsidRPr="007B5401" w:rsidRDefault="007B5401" w:rsidP="007B5401">
            <w:pPr>
              <w:jc w:val="left"/>
              <w:rPr>
                <w:rFonts w:ascii="Arial" w:eastAsia="Times New Roman" w:hAnsi="Arial" w:cs="Arial"/>
                <w:b/>
                <w:color w:val="000000"/>
                <w:sz w:val="20"/>
                <w:szCs w:val="20"/>
              </w:rPr>
            </w:pPr>
            <w:r w:rsidRPr="007B5401">
              <w:rPr>
                <w:rFonts w:ascii="Arial" w:eastAsia="Times New Roman" w:hAnsi="Arial" w:cs="Arial"/>
                <w:b/>
                <w:color w:val="000000"/>
                <w:sz w:val="20"/>
                <w:szCs w:val="20"/>
              </w:rPr>
              <w:t> </w:t>
            </w:r>
          </w:p>
        </w:tc>
        <w:tc>
          <w:tcPr>
            <w:tcW w:w="452" w:type="dxa"/>
            <w:tcBorders>
              <w:top w:val="nil"/>
              <w:left w:val="nil"/>
              <w:bottom w:val="single" w:sz="4" w:space="0" w:color="auto"/>
              <w:right w:val="single" w:sz="4" w:space="0" w:color="auto"/>
            </w:tcBorders>
            <w:shd w:val="clear" w:color="auto" w:fill="auto"/>
            <w:noWrap/>
            <w:vAlign w:val="bottom"/>
            <w:hideMark/>
          </w:tcPr>
          <w:p w:rsidR="007B5401" w:rsidRPr="007B5401" w:rsidRDefault="007B5401" w:rsidP="007B5401">
            <w:pPr>
              <w:jc w:val="left"/>
              <w:rPr>
                <w:rFonts w:ascii="Arial" w:eastAsia="Times New Roman" w:hAnsi="Arial" w:cs="Arial"/>
                <w:b/>
                <w:color w:val="000000"/>
                <w:sz w:val="20"/>
                <w:szCs w:val="20"/>
              </w:rPr>
            </w:pPr>
            <w:r w:rsidRPr="007B5401">
              <w:rPr>
                <w:rFonts w:ascii="Arial" w:eastAsia="Times New Roman" w:hAnsi="Arial" w:cs="Arial"/>
                <w:b/>
                <w:color w:val="000000"/>
                <w:sz w:val="20"/>
                <w:szCs w:val="20"/>
              </w:rPr>
              <w:t> </w:t>
            </w:r>
          </w:p>
        </w:tc>
        <w:tc>
          <w:tcPr>
            <w:tcW w:w="452" w:type="dxa"/>
            <w:tcBorders>
              <w:top w:val="nil"/>
              <w:left w:val="nil"/>
              <w:bottom w:val="single" w:sz="4" w:space="0" w:color="auto"/>
              <w:right w:val="single" w:sz="4" w:space="0" w:color="auto"/>
            </w:tcBorders>
            <w:shd w:val="clear" w:color="auto" w:fill="auto"/>
            <w:hideMark/>
          </w:tcPr>
          <w:p w:rsidR="007B5401" w:rsidRPr="007B5401" w:rsidRDefault="007B5401" w:rsidP="007B5401">
            <w:pPr>
              <w:jc w:val="center"/>
              <w:rPr>
                <w:rFonts w:ascii="Wingdings 2" w:eastAsia="Times New Roman" w:hAnsi="Wingdings 2" w:cs="Arial"/>
                <w:b/>
                <w:color w:val="000000"/>
                <w:sz w:val="18"/>
                <w:szCs w:val="18"/>
              </w:rPr>
            </w:pPr>
            <w:r w:rsidRPr="007B5401">
              <w:rPr>
                <w:rFonts w:ascii="Wingdings 2" w:eastAsia="Times New Roman" w:hAnsi="Wingdings 2" w:cs="Arial"/>
                <w:b/>
                <w:color w:val="000000"/>
                <w:sz w:val="18"/>
                <w:szCs w:val="18"/>
              </w:rPr>
              <w:t></w:t>
            </w:r>
          </w:p>
        </w:tc>
        <w:tc>
          <w:tcPr>
            <w:tcW w:w="452" w:type="dxa"/>
            <w:tcBorders>
              <w:top w:val="nil"/>
              <w:left w:val="nil"/>
              <w:bottom w:val="single" w:sz="4" w:space="0" w:color="auto"/>
              <w:right w:val="single" w:sz="4" w:space="0" w:color="auto"/>
            </w:tcBorders>
            <w:shd w:val="clear" w:color="auto" w:fill="auto"/>
            <w:noWrap/>
            <w:vAlign w:val="bottom"/>
            <w:hideMark/>
          </w:tcPr>
          <w:p w:rsidR="007B5401" w:rsidRPr="007B5401" w:rsidRDefault="007B5401" w:rsidP="007B5401">
            <w:pPr>
              <w:jc w:val="left"/>
              <w:rPr>
                <w:rFonts w:ascii="Arial" w:eastAsia="Times New Roman" w:hAnsi="Arial" w:cs="Arial"/>
                <w:b/>
                <w:color w:val="000000"/>
                <w:sz w:val="20"/>
                <w:szCs w:val="20"/>
              </w:rPr>
            </w:pPr>
            <w:r w:rsidRPr="007B5401">
              <w:rPr>
                <w:rFonts w:ascii="Arial" w:eastAsia="Times New Roman" w:hAnsi="Arial" w:cs="Arial"/>
                <w:b/>
                <w:color w:val="000000"/>
                <w:sz w:val="20"/>
                <w:szCs w:val="20"/>
              </w:rPr>
              <w:t> </w:t>
            </w:r>
          </w:p>
        </w:tc>
        <w:tc>
          <w:tcPr>
            <w:tcW w:w="452" w:type="dxa"/>
            <w:tcBorders>
              <w:top w:val="nil"/>
              <w:left w:val="nil"/>
              <w:bottom w:val="single" w:sz="4" w:space="0" w:color="auto"/>
              <w:right w:val="single" w:sz="4" w:space="0" w:color="auto"/>
            </w:tcBorders>
            <w:shd w:val="clear" w:color="auto" w:fill="auto"/>
            <w:noWrap/>
            <w:vAlign w:val="bottom"/>
            <w:hideMark/>
          </w:tcPr>
          <w:p w:rsidR="007B5401" w:rsidRPr="007B5401" w:rsidRDefault="007B5401" w:rsidP="007B5401">
            <w:pPr>
              <w:jc w:val="left"/>
              <w:rPr>
                <w:rFonts w:ascii="Arial" w:eastAsia="Times New Roman" w:hAnsi="Arial" w:cs="Arial"/>
                <w:b/>
                <w:color w:val="000000"/>
                <w:sz w:val="20"/>
                <w:szCs w:val="20"/>
              </w:rPr>
            </w:pPr>
            <w:r w:rsidRPr="007B5401">
              <w:rPr>
                <w:rFonts w:ascii="Arial" w:eastAsia="Times New Roman" w:hAnsi="Arial" w:cs="Arial"/>
                <w:b/>
                <w:color w:val="000000"/>
                <w:sz w:val="20"/>
                <w:szCs w:val="20"/>
              </w:rPr>
              <w:t> </w:t>
            </w:r>
          </w:p>
        </w:tc>
        <w:tc>
          <w:tcPr>
            <w:tcW w:w="452" w:type="dxa"/>
            <w:tcBorders>
              <w:top w:val="nil"/>
              <w:left w:val="nil"/>
              <w:bottom w:val="single" w:sz="4" w:space="0" w:color="auto"/>
              <w:right w:val="single" w:sz="4" w:space="0" w:color="auto"/>
            </w:tcBorders>
            <w:shd w:val="clear" w:color="auto" w:fill="auto"/>
            <w:noWrap/>
            <w:vAlign w:val="bottom"/>
            <w:hideMark/>
          </w:tcPr>
          <w:p w:rsidR="007B5401" w:rsidRPr="007B5401" w:rsidRDefault="007B5401" w:rsidP="007B5401">
            <w:pPr>
              <w:jc w:val="left"/>
              <w:rPr>
                <w:rFonts w:ascii="Arial" w:eastAsia="Times New Roman" w:hAnsi="Arial" w:cs="Arial"/>
                <w:b/>
                <w:color w:val="000000"/>
                <w:sz w:val="20"/>
                <w:szCs w:val="20"/>
              </w:rPr>
            </w:pPr>
            <w:r w:rsidRPr="007B5401">
              <w:rPr>
                <w:rFonts w:ascii="Arial" w:eastAsia="Times New Roman" w:hAnsi="Arial" w:cs="Arial"/>
                <w:b/>
                <w:color w:val="000000"/>
                <w:sz w:val="20"/>
                <w:szCs w:val="20"/>
              </w:rPr>
              <w:t> </w:t>
            </w:r>
          </w:p>
        </w:tc>
        <w:tc>
          <w:tcPr>
            <w:tcW w:w="452" w:type="dxa"/>
            <w:tcBorders>
              <w:top w:val="nil"/>
              <w:left w:val="nil"/>
              <w:bottom w:val="single" w:sz="4" w:space="0" w:color="auto"/>
              <w:right w:val="single" w:sz="4" w:space="0" w:color="auto"/>
            </w:tcBorders>
            <w:shd w:val="clear" w:color="auto" w:fill="auto"/>
            <w:noWrap/>
            <w:vAlign w:val="bottom"/>
            <w:hideMark/>
          </w:tcPr>
          <w:p w:rsidR="007B5401" w:rsidRPr="007B5401" w:rsidRDefault="007B5401" w:rsidP="007B5401">
            <w:pPr>
              <w:jc w:val="left"/>
              <w:rPr>
                <w:rFonts w:ascii="Arial" w:eastAsia="Times New Roman" w:hAnsi="Arial" w:cs="Arial"/>
                <w:b/>
                <w:color w:val="000000"/>
                <w:sz w:val="20"/>
                <w:szCs w:val="20"/>
              </w:rPr>
            </w:pPr>
            <w:r w:rsidRPr="007B5401">
              <w:rPr>
                <w:rFonts w:ascii="Arial" w:eastAsia="Times New Roman" w:hAnsi="Arial" w:cs="Arial"/>
                <w:b/>
                <w:color w:val="000000"/>
                <w:sz w:val="20"/>
                <w:szCs w:val="20"/>
              </w:rPr>
              <w:t> </w:t>
            </w:r>
          </w:p>
        </w:tc>
        <w:tc>
          <w:tcPr>
            <w:tcW w:w="452" w:type="dxa"/>
            <w:tcBorders>
              <w:top w:val="nil"/>
              <w:left w:val="nil"/>
              <w:bottom w:val="single" w:sz="4" w:space="0" w:color="auto"/>
              <w:right w:val="single" w:sz="4" w:space="0" w:color="auto"/>
            </w:tcBorders>
            <w:shd w:val="clear" w:color="auto" w:fill="auto"/>
            <w:noWrap/>
            <w:vAlign w:val="bottom"/>
            <w:hideMark/>
          </w:tcPr>
          <w:p w:rsidR="007B5401" w:rsidRPr="007B5401" w:rsidRDefault="007B5401" w:rsidP="007B5401">
            <w:pPr>
              <w:jc w:val="left"/>
              <w:rPr>
                <w:rFonts w:ascii="Arial" w:eastAsia="Times New Roman" w:hAnsi="Arial" w:cs="Arial"/>
                <w:b/>
                <w:color w:val="000000"/>
                <w:sz w:val="20"/>
                <w:szCs w:val="20"/>
              </w:rPr>
            </w:pPr>
            <w:r w:rsidRPr="007B5401">
              <w:rPr>
                <w:rFonts w:ascii="Arial" w:eastAsia="Times New Roman" w:hAnsi="Arial" w:cs="Arial"/>
                <w:b/>
                <w:color w:val="000000"/>
                <w:sz w:val="20"/>
                <w:szCs w:val="20"/>
              </w:rPr>
              <w:t> </w:t>
            </w:r>
          </w:p>
        </w:tc>
      </w:tr>
      <w:tr w:rsidR="007B5401" w:rsidRPr="007B5401" w:rsidTr="007B5401">
        <w:trPr>
          <w:trHeight w:val="255"/>
        </w:trPr>
        <w:tc>
          <w:tcPr>
            <w:tcW w:w="12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B5401" w:rsidRPr="007B5401" w:rsidRDefault="007B5401" w:rsidP="007B5401">
            <w:pPr>
              <w:jc w:val="center"/>
              <w:rPr>
                <w:rFonts w:ascii="Arial" w:eastAsia="Times New Roman" w:hAnsi="Arial" w:cs="Arial"/>
                <w:color w:val="000000"/>
                <w:sz w:val="18"/>
                <w:szCs w:val="18"/>
              </w:rPr>
            </w:pPr>
            <w:r w:rsidRPr="007B5401">
              <w:rPr>
                <w:rFonts w:ascii="Arial" w:eastAsia="Times New Roman" w:hAnsi="Arial" w:cs="Arial"/>
                <w:color w:val="000000"/>
                <w:sz w:val="18"/>
                <w:szCs w:val="18"/>
              </w:rPr>
              <w:t>Commercial</w:t>
            </w:r>
          </w:p>
        </w:tc>
        <w:tc>
          <w:tcPr>
            <w:tcW w:w="3551" w:type="dxa"/>
            <w:tcBorders>
              <w:top w:val="nil"/>
              <w:left w:val="nil"/>
              <w:bottom w:val="nil"/>
              <w:right w:val="nil"/>
            </w:tcBorders>
            <w:shd w:val="clear" w:color="000000" w:fill="F2F2F2"/>
            <w:noWrap/>
            <w:vAlign w:val="bottom"/>
            <w:hideMark/>
          </w:tcPr>
          <w:p w:rsidR="007B5401" w:rsidRPr="007B5401" w:rsidRDefault="007B5401" w:rsidP="007B5401">
            <w:pPr>
              <w:jc w:val="left"/>
              <w:rPr>
                <w:rFonts w:ascii="Arial" w:eastAsia="Times New Roman" w:hAnsi="Arial" w:cs="Arial"/>
                <w:b/>
                <w:color w:val="000000"/>
                <w:sz w:val="18"/>
                <w:szCs w:val="18"/>
              </w:rPr>
            </w:pPr>
            <w:r w:rsidRPr="007B5401">
              <w:rPr>
                <w:rFonts w:ascii="Arial" w:eastAsia="Times New Roman" w:hAnsi="Arial" w:cs="Arial"/>
                <w:b/>
                <w:color w:val="000000"/>
                <w:sz w:val="18"/>
                <w:szCs w:val="18"/>
              </w:rPr>
              <w:t>Automatic Ice Makers</w:t>
            </w:r>
          </w:p>
        </w:tc>
        <w:tc>
          <w:tcPr>
            <w:tcW w:w="453" w:type="dxa"/>
            <w:tcBorders>
              <w:top w:val="nil"/>
              <w:left w:val="single" w:sz="4" w:space="0" w:color="auto"/>
              <w:bottom w:val="nil"/>
              <w:right w:val="nil"/>
            </w:tcBorders>
            <w:shd w:val="clear" w:color="000000" w:fill="F2F2F2"/>
            <w:hideMark/>
          </w:tcPr>
          <w:p w:rsidR="007B5401" w:rsidRPr="007B5401" w:rsidRDefault="007B5401" w:rsidP="007B5401">
            <w:pPr>
              <w:jc w:val="center"/>
              <w:rPr>
                <w:rFonts w:ascii="Wingdings 2" w:eastAsia="Times New Roman" w:hAnsi="Wingdings 2" w:cs="Arial"/>
                <w:color w:val="000000"/>
                <w:sz w:val="18"/>
                <w:szCs w:val="18"/>
              </w:rPr>
            </w:pPr>
            <w:r w:rsidRPr="007B5401">
              <w:rPr>
                <w:rFonts w:ascii="Wingdings 2" w:eastAsia="Times New Roman" w:hAnsi="Wingdings 2" w:cs="Arial"/>
                <w:color w:val="000000"/>
                <w:sz w:val="18"/>
                <w:szCs w:val="18"/>
              </w:rPr>
              <w:t></w:t>
            </w:r>
          </w:p>
        </w:tc>
        <w:tc>
          <w:tcPr>
            <w:tcW w:w="452" w:type="dxa"/>
            <w:tcBorders>
              <w:top w:val="nil"/>
              <w:left w:val="single" w:sz="4" w:space="0" w:color="auto"/>
              <w:bottom w:val="nil"/>
              <w:right w:val="nil"/>
            </w:tcBorders>
            <w:shd w:val="clear" w:color="000000" w:fill="F2F2F2"/>
            <w:noWrap/>
            <w:vAlign w:val="bottom"/>
            <w:hideMark/>
          </w:tcPr>
          <w:p w:rsidR="007B5401" w:rsidRPr="007B5401" w:rsidRDefault="007B5401" w:rsidP="007B5401">
            <w:pPr>
              <w:jc w:val="left"/>
              <w:rPr>
                <w:rFonts w:ascii="Arial" w:eastAsia="Times New Roman" w:hAnsi="Arial" w:cs="Arial"/>
                <w:b/>
                <w:color w:val="000000"/>
                <w:sz w:val="18"/>
                <w:szCs w:val="18"/>
              </w:rPr>
            </w:pPr>
            <w:r w:rsidRPr="007B5401">
              <w:rPr>
                <w:rFonts w:ascii="Arial" w:eastAsia="Times New Roman" w:hAnsi="Arial" w:cs="Arial"/>
                <w:b/>
                <w:color w:val="000000"/>
                <w:sz w:val="18"/>
                <w:szCs w:val="18"/>
              </w:rPr>
              <w:t> </w:t>
            </w:r>
          </w:p>
        </w:tc>
        <w:tc>
          <w:tcPr>
            <w:tcW w:w="452" w:type="dxa"/>
            <w:tcBorders>
              <w:top w:val="nil"/>
              <w:left w:val="single" w:sz="4" w:space="0" w:color="auto"/>
              <w:bottom w:val="nil"/>
              <w:right w:val="single" w:sz="4" w:space="0" w:color="auto"/>
            </w:tcBorders>
            <w:shd w:val="clear" w:color="000000" w:fill="F2F2F2"/>
            <w:noWrap/>
            <w:vAlign w:val="bottom"/>
            <w:hideMark/>
          </w:tcPr>
          <w:p w:rsidR="007B5401" w:rsidRPr="007B5401" w:rsidRDefault="007B5401" w:rsidP="007B5401">
            <w:pPr>
              <w:jc w:val="left"/>
              <w:rPr>
                <w:rFonts w:ascii="Arial" w:eastAsia="Times New Roman" w:hAnsi="Arial" w:cs="Arial"/>
                <w:b/>
                <w:color w:val="000000"/>
                <w:sz w:val="18"/>
                <w:szCs w:val="18"/>
              </w:rPr>
            </w:pPr>
            <w:r w:rsidRPr="007B5401">
              <w:rPr>
                <w:rFonts w:ascii="Arial" w:eastAsia="Times New Roman" w:hAnsi="Arial" w:cs="Arial"/>
                <w:b/>
                <w:color w:val="000000"/>
                <w:sz w:val="18"/>
                <w:szCs w:val="18"/>
              </w:rPr>
              <w:t> </w:t>
            </w:r>
          </w:p>
        </w:tc>
        <w:tc>
          <w:tcPr>
            <w:tcW w:w="452" w:type="dxa"/>
            <w:tcBorders>
              <w:top w:val="nil"/>
              <w:left w:val="nil"/>
              <w:bottom w:val="nil"/>
              <w:right w:val="single" w:sz="4" w:space="0" w:color="auto"/>
            </w:tcBorders>
            <w:shd w:val="clear" w:color="000000" w:fill="F2F2F2"/>
            <w:noWrap/>
            <w:vAlign w:val="bottom"/>
            <w:hideMark/>
          </w:tcPr>
          <w:p w:rsidR="007B5401" w:rsidRPr="007B5401" w:rsidRDefault="007B5401" w:rsidP="007B5401">
            <w:pPr>
              <w:jc w:val="left"/>
              <w:rPr>
                <w:rFonts w:ascii="Arial" w:eastAsia="Times New Roman" w:hAnsi="Arial" w:cs="Arial"/>
                <w:b/>
                <w:color w:val="000000"/>
                <w:sz w:val="20"/>
                <w:szCs w:val="20"/>
              </w:rPr>
            </w:pPr>
            <w:r w:rsidRPr="007B5401">
              <w:rPr>
                <w:rFonts w:ascii="Arial" w:eastAsia="Times New Roman" w:hAnsi="Arial" w:cs="Arial"/>
                <w:b/>
                <w:color w:val="000000"/>
                <w:sz w:val="20"/>
                <w:szCs w:val="20"/>
              </w:rPr>
              <w:t> </w:t>
            </w:r>
          </w:p>
        </w:tc>
        <w:tc>
          <w:tcPr>
            <w:tcW w:w="452" w:type="dxa"/>
            <w:tcBorders>
              <w:top w:val="nil"/>
              <w:left w:val="nil"/>
              <w:bottom w:val="nil"/>
              <w:right w:val="single" w:sz="4" w:space="0" w:color="auto"/>
            </w:tcBorders>
            <w:shd w:val="clear" w:color="000000" w:fill="F2F2F2"/>
            <w:noWrap/>
            <w:vAlign w:val="bottom"/>
            <w:hideMark/>
          </w:tcPr>
          <w:p w:rsidR="007B5401" w:rsidRPr="007B5401" w:rsidRDefault="007B5401" w:rsidP="007B5401">
            <w:pPr>
              <w:jc w:val="left"/>
              <w:rPr>
                <w:rFonts w:ascii="Arial" w:eastAsia="Times New Roman" w:hAnsi="Arial" w:cs="Arial"/>
                <w:b/>
                <w:color w:val="000000"/>
                <w:sz w:val="20"/>
                <w:szCs w:val="20"/>
              </w:rPr>
            </w:pPr>
            <w:r w:rsidRPr="007B5401">
              <w:rPr>
                <w:rFonts w:ascii="Arial" w:eastAsia="Times New Roman" w:hAnsi="Arial" w:cs="Arial"/>
                <w:b/>
                <w:color w:val="000000"/>
                <w:sz w:val="20"/>
                <w:szCs w:val="20"/>
              </w:rPr>
              <w:t> </w:t>
            </w:r>
          </w:p>
        </w:tc>
        <w:tc>
          <w:tcPr>
            <w:tcW w:w="452" w:type="dxa"/>
            <w:tcBorders>
              <w:top w:val="nil"/>
              <w:left w:val="nil"/>
              <w:bottom w:val="nil"/>
              <w:right w:val="single" w:sz="4" w:space="0" w:color="auto"/>
            </w:tcBorders>
            <w:shd w:val="clear" w:color="000000" w:fill="F2F2F2"/>
            <w:noWrap/>
            <w:vAlign w:val="bottom"/>
            <w:hideMark/>
          </w:tcPr>
          <w:p w:rsidR="007B5401" w:rsidRPr="007B5401" w:rsidRDefault="007B5401" w:rsidP="007B5401">
            <w:pPr>
              <w:jc w:val="left"/>
              <w:rPr>
                <w:rFonts w:ascii="Arial" w:eastAsia="Times New Roman" w:hAnsi="Arial" w:cs="Arial"/>
                <w:b/>
                <w:color w:val="000000"/>
                <w:sz w:val="20"/>
                <w:szCs w:val="20"/>
              </w:rPr>
            </w:pPr>
            <w:r w:rsidRPr="007B5401">
              <w:rPr>
                <w:rFonts w:ascii="Arial" w:eastAsia="Times New Roman" w:hAnsi="Arial" w:cs="Arial"/>
                <w:b/>
                <w:color w:val="000000"/>
                <w:sz w:val="20"/>
                <w:szCs w:val="20"/>
              </w:rPr>
              <w:t> </w:t>
            </w:r>
          </w:p>
        </w:tc>
        <w:tc>
          <w:tcPr>
            <w:tcW w:w="452" w:type="dxa"/>
            <w:tcBorders>
              <w:top w:val="nil"/>
              <w:left w:val="nil"/>
              <w:bottom w:val="nil"/>
              <w:right w:val="single" w:sz="4" w:space="0" w:color="auto"/>
            </w:tcBorders>
            <w:shd w:val="clear" w:color="000000" w:fill="F2F2F2"/>
            <w:noWrap/>
            <w:vAlign w:val="bottom"/>
            <w:hideMark/>
          </w:tcPr>
          <w:p w:rsidR="007B5401" w:rsidRPr="007B5401" w:rsidRDefault="007B5401" w:rsidP="007B5401">
            <w:pPr>
              <w:jc w:val="left"/>
              <w:rPr>
                <w:rFonts w:ascii="Arial" w:eastAsia="Times New Roman" w:hAnsi="Arial" w:cs="Arial"/>
                <w:b/>
                <w:color w:val="000000"/>
                <w:sz w:val="20"/>
                <w:szCs w:val="20"/>
              </w:rPr>
            </w:pPr>
            <w:r w:rsidRPr="007B5401">
              <w:rPr>
                <w:rFonts w:ascii="Arial" w:eastAsia="Times New Roman" w:hAnsi="Arial" w:cs="Arial"/>
                <w:b/>
                <w:color w:val="000000"/>
                <w:sz w:val="20"/>
                <w:szCs w:val="20"/>
              </w:rPr>
              <w:t> </w:t>
            </w:r>
          </w:p>
        </w:tc>
        <w:tc>
          <w:tcPr>
            <w:tcW w:w="452" w:type="dxa"/>
            <w:tcBorders>
              <w:top w:val="nil"/>
              <w:left w:val="nil"/>
              <w:bottom w:val="nil"/>
              <w:right w:val="single" w:sz="4" w:space="0" w:color="auto"/>
            </w:tcBorders>
            <w:shd w:val="clear" w:color="000000" w:fill="F2F2F2"/>
            <w:noWrap/>
            <w:vAlign w:val="bottom"/>
            <w:hideMark/>
          </w:tcPr>
          <w:p w:rsidR="007B5401" w:rsidRPr="007B5401" w:rsidRDefault="007B5401" w:rsidP="007B5401">
            <w:pPr>
              <w:jc w:val="left"/>
              <w:rPr>
                <w:rFonts w:ascii="Arial" w:eastAsia="Times New Roman" w:hAnsi="Arial" w:cs="Arial"/>
                <w:b/>
                <w:color w:val="000000"/>
                <w:sz w:val="20"/>
                <w:szCs w:val="20"/>
              </w:rPr>
            </w:pPr>
            <w:r w:rsidRPr="007B5401">
              <w:rPr>
                <w:rFonts w:ascii="Arial" w:eastAsia="Times New Roman" w:hAnsi="Arial" w:cs="Arial"/>
                <w:b/>
                <w:color w:val="000000"/>
                <w:sz w:val="20"/>
                <w:szCs w:val="20"/>
              </w:rPr>
              <w:t> </w:t>
            </w:r>
          </w:p>
        </w:tc>
        <w:tc>
          <w:tcPr>
            <w:tcW w:w="452" w:type="dxa"/>
            <w:tcBorders>
              <w:top w:val="nil"/>
              <w:left w:val="nil"/>
              <w:bottom w:val="nil"/>
              <w:right w:val="single" w:sz="4" w:space="0" w:color="auto"/>
            </w:tcBorders>
            <w:shd w:val="clear" w:color="000000" w:fill="F2F2F2"/>
            <w:hideMark/>
          </w:tcPr>
          <w:p w:rsidR="007B5401" w:rsidRPr="007B5401" w:rsidRDefault="007B5401" w:rsidP="007B5401">
            <w:pPr>
              <w:jc w:val="center"/>
              <w:rPr>
                <w:rFonts w:ascii="Wingdings 2" w:eastAsia="Times New Roman" w:hAnsi="Wingdings 2" w:cs="Arial"/>
                <w:b/>
                <w:color w:val="000000"/>
                <w:sz w:val="18"/>
                <w:szCs w:val="18"/>
              </w:rPr>
            </w:pPr>
            <w:r w:rsidRPr="007B5401">
              <w:rPr>
                <w:rFonts w:ascii="Wingdings 2" w:eastAsia="Times New Roman" w:hAnsi="Wingdings 2" w:cs="Arial"/>
                <w:b/>
                <w:color w:val="000000"/>
                <w:sz w:val="18"/>
                <w:szCs w:val="18"/>
              </w:rPr>
              <w:t></w:t>
            </w:r>
          </w:p>
        </w:tc>
        <w:tc>
          <w:tcPr>
            <w:tcW w:w="452" w:type="dxa"/>
            <w:tcBorders>
              <w:top w:val="nil"/>
              <w:left w:val="nil"/>
              <w:bottom w:val="nil"/>
              <w:right w:val="single" w:sz="4" w:space="0" w:color="auto"/>
            </w:tcBorders>
            <w:shd w:val="clear" w:color="000000" w:fill="F2F2F2"/>
            <w:noWrap/>
            <w:vAlign w:val="bottom"/>
            <w:hideMark/>
          </w:tcPr>
          <w:p w:rsidR="007B5401" w:rsidRPr="007B5401" w:rsidRDefault="007B5401" w:rsidP="007B5401">
            <w:pPr>
              <w:jc w:val="left"/>
              <w:rPr>
                <w:rFonts w:ascii="Arial" w:eastAsia="Times New Roman" w:hAnsi="Arial" w:cs="Arial"/>
                <w:b/>
                <w:color w:val="000000"/>
                <w:sz w:val="20"/>
                <w:szCs w:val="20"/>
              </w:rPr>
            </w:pPr>
            <w:r w:rsidRPr="007B5401">
              <w:rPr>
                <w:rFonts w:ascii="Arial" w:eastAsia="Times New Roman" w:hAnsi="Arial" w:cs="Arial"/>
                <w:b/>
                <w:color w:val="000000"/>
                <w:sz w:val="20"/>
                <w:szCs w:val="20"/>
              </w:rPr>
              <w:t> </w:t>
            </w:r>
          </w:p>
        </w:tc>
        <w:tc>
          <w:tcPr>
            <w:tcW w:w="452" w:type="dxa"/>
            <w:tcBorders>
              <w:top w:val="nil"/>
              <w:left w:val="nil"/>
              <w:bottom w:val="nil"/>
              <w:right w:val="single" w:sz="4" w:space="0" w:color="auto"/>
            </w:tcBorders>
            <w:shd w:val="clear" w:color="000000" w:fill="F2F2F2"/>
          </w:tcPr>
          <w:p w:rsidR="007B5401" w:rsidRPr="007B5401" w:rsidRDefault="007B5401" w:rsidP="007B5401">
            <w:pPr>
              <w:jc w:val="center"/>
              <w:rPr>
                <w:rFonts w:ascii="Wingdings 2" w:eastAsia="Times New Roman" w:hAnsi="Wingdings 2" w:cs="Arial"/>
                <w:b/>
                <w:color w:val="000000"/>
                <w:sz w:val="18"/>
                <w:szCs w:val="18"/>
              </w:rPr>
            </w:pPr>
          </w:p>
        </w:tc>
      </w:tr>
      <w:tr w:rsidR="007B5401" w:rsidRPr="007B5401" w:rsidTr="007B5401">
        <w:trPr>
          <w:trHeight w:val="255"/>
        </w:trPr>
        <w:tc>
          <w:tcPr>
            <w:tcW w:w="1247" w:type="dxa"/>
            <w:vMerge/>
            <w:tcBorders>
              <w:top w:val="nil"/>
              <w:left w:val="single" w:sz="4" w:space="0" w:color="auto"/>
              <w:bottom w:val="single" w:sz="4" w:space="0" w:color="000000"/>
              <w:right w:val="single" w:sz="4" w:space="0" w:color="auto"/>
            </w:tcBorders>
            <w:vAlign w:val="center"/>
            <w:hideMark/>
          </w:tcPr>
          <w:p w:rsidR="007B5401" w:rsidRPr="007B5401" w:rsidRDefault="007B5401" w:rsidP="007B5401">
            <w:pPr>
              <w:jc w:val="left"/>
              <w:rPr>
                <w:rFonts w:ascii="Arial" w:eastAsia="Times New Roman" w:hAnsi="Arial" w:cs="Arial"/>
                <w:color w:val="000000"/>
                <w:sz w:val="18"/>
                <w:szCs w:val="18"/>
              </w:rPr>
            </w:pPr>
          </w:p>
        </w:tc>
        <w:tc>
          <w:tcPr>
            <w:tcW w:w="3551" w:type="dxa"/>
            <w:tcBorders>
              <w:top w:val="nil"/>
              <w:left w:val="nil"/>
              <w:bottom w:val="nil"/>
              <w:right w:val="nil"/>
            </w:tcBorders>
            <w:shd w:val="clear" w:color="auto" w:fill="auto"/>
            <w:noWrap/>
            <w:vAlign w:val="bottom"/>
            <w:hideMark/>
          </w:tcPr>
          <w:p w:rsidR="007B5401" w:rsidRPr="007B5401" w:rsidRDefault="007B5401" w:rsidP="007B5401">
            <w:pPr>
              <w:jc w:val="left"/>
              <w:rPr>
                <w:rFonts w:ascii="Arial" w:eastAsia="Times New Roman" w:hAnsi="Arial" w:cs="Arial"/>
                <w:color w:val="000000"/>
                <w:sz w:val="18"/>
                <w:szCs w:val="18"/>
              </w:rPr>
            </w:pPr>
            <w:r w:rsidRPr="007B5401">
              <w:rPr>
                <w:rFonts w:ascii="Arial" w:eastAsia="Times New Roman" w:hAnsi="Arial" w:cs="Arial"/>
                <w:color w:val="000000"/>
                <w:sz w:val="18"/>
                <w:szCs w:val="18"/>
              </w:rPr>
              <w:t>Boilers</w:t>
            </w:r>
          </w:p>
        </w:tc>
        <w:tc>
          <w:tcPr>
            <w:tcW w:w="453" w:type="dxa"/>
            <w:tcBorders>
              <w:top w:val="nil"/>
              <w:left w:val="single" w:sz="4" w:space="0" w:color="auto"/>
              <w:bottom w:val="nil"/>
              <w:right w:val="single" w:sz="4" w:space="0" w:color="auto"/>
            </w:tcBorders>
            <w:shd w:val="clear" w:color="auto" w:fill="auto"/>
            <w:noWrap/>
            <w:vAlign w:val="bottom"/>
            <w:hideMark/>
          </w:tcPr>
          <w:p w:rsidR="007B5401" w:rsidRPr="007B5401" w:rsidRDefault="007B5401" w:rsidP="007B5401">
            <w:pPr>
              <w:jc w:val="left"/>
              <w:rPr>
                <w:rFonts w:ascii="Arial" w:eastAsia="Times New Roman" w:hAnsi="Arial" w:cs="Arial"/>
                <w:color w:val="000000"/>
                <w:sz w:val="18"/>
                <w:szCs w:val="18"/>
              </w:rPr>
            </w:pPr>
            <w:r w:rsidRPr="007B5401">
              <w:rPr>
                <w:rFonts w:ascii="Arial" w:eastAsia="Times New Roman" w:hAnsi="Arial" w:cs="Arial"/>
                <w:color w:val="000000"/>
                <w:sz w:val="18"/>
                <w:szCs w:val="18"/>
              </w:rPr>
              <w:t> </w:t>
            </w:r>
          </w:p>
        </w:tc>
        <w:tc>
          <w:tcPr>
            <w:tcW w:w="452" w:type="dxa"/>
            <w:tcBorders>
              <w:top w:val="nil"/>
              <w:left w:val="nil"/>
              <w:bottom w:val="nil"/>
              <w:right w:val="nil"/>
            </w:tcBorders>
            <w:shd w:val="clear" w:color="auto" w:fill="auto"/>
            <w:noWrap/>
            <w:vAlign w:val="bottom"/>
            <w:hideMark/>
          </w:tcPr>
          <w:p w:rsidR="007B5401" w:rsidRPr="007B5401" w:rsidRDefault="007B5401" w:rsidP="007B5401">
            <w:pPr>
              <w:jc w:val="left"/>
              <w:rPr>
                <w:rFonts w:ascii="Arial" w:eastAsia="Times New Roman" w:hAnsi="Arial" w:cs="Arial"/>
                <w:color w:val="000000"/>
                <w:sz w:val="18"/>
                <w:szCs w:val="18"/>
              </w:rPr>
            </w:pPr>
            <w:r w:rsidRPr="007B5401">
              <w:rPr>
                <w:rFonts w:ascii="Arial" w:eastAsia="Times New Roman" w:hAnsi="Arial" w:cs="Arial"/>
                <w:color w:val="000000"/>
                <w:sz w:val="18"/>
                <w:szCs w:val="18"/>
              </w:rPr>
              <w:t> </w:t>
            </w:r>
          </w:p>
        </w:tc>
        <w:tc>
          <w:tcPr>
            <w:tcW w:w="452" w:type="dxa"/>
            <w:tcBorders>
              <w:top w:val="nil"/>
              <w:left w:val="single" w:sz="4" w:space="0" w:color="auto"/>
              <w:bottom w:val="nil"/>
              <w:right w:val="single" w:sz="4" w:space="0" w:color="auto"/>
            </w:tcBorders>
            <w:shd w:val="clear" w:color="auto" w:fill="auto"/>
            <w:hideMark/>
          </w:tcPr>
          <w:p w:rsidR="007B5401" w:rsidRPr="007B5401" w:rsidRDefault="007B5401" w:rsidP="007B5401">
            <w:pPr>
              <w:jc w:val="center"/>
              <w:rPr>
                <w:rFonts w:ascii="Wingdings 2" w:eastAsia="Times New Roman" w:hAnsi="Wingdings 2" w:cs="Arial"/>
                <w:color w:val="000000"/>
                <w:sz w:val="18"/>
                <w:szCs w:val="18"/>
              </w:rPr>
            </w:pPr>
            <w:r w:rsidRPr="007B5401">
              <w:rPr>
                <w:rFonts w:ascii="Wingdings 2" w:eastAsia="Times New Roman" w:hAnsi="Wingdings 2" w:cs="Arial"/>
                <w:color w:val="000000"/>
                <w:sz w:val="18"/>
                <w:szCs w:val="18"/>
              </w:rPr>
              <w:t></w:t>
            </w:r>
          </w:p>
        </w:tc>
        <w:tc>
          <w:tcPr>
            <w:tcW w:w="452" w:type="dxa"/>
            <w:tcBorders>
              <w:top w:val="nil"/>
              <w:left w:val="nil"/>
              <w:bottom w:val="nil"/>
              <w:right w:val="single" w:sz="4" w:space="0" w:color="auto"/>
            </w:tcBorders>
            <w:shd w:val="clear" w:color="auto" w:fill="auto"/>
            <w:noWrap/>
            <w:vAlign w:val="bottom"/>
            <w:hideMark/>
          </w:tcPr>
          <w:p w:rsidR="007B5401" w:rsidRPr="007B5401" w:rsidRDefault="007B5401" w:rsidP="007B5401">
            <w:pPr>
              <w:jc w:val="left"/>
              <w:rPr>
                <w:rFonts w:ascii="Arial" w:eastAsia="Times New Roman" w:hAnsi="Arial" w:cs="Arial"/>
                <w:color w:val="000000"/>
                <w:sz w:val="20"/>
                <w:szCs w:val="20"/>
              </w:rPr>
            </w:pPr>
            <w:r w:rsidRPr="007B5401">
              <w:rPr>
                <w:rFonts w:ascii="Arial" w:eastAsia="Times New Roman" w:hAnsi="Arial" w:cs="Arial"/>
                <w:color w:val="000000"/>
                <w:sz w:val="20"/>
                <w:szCs w:val="20"/>
              </w:rPr>
              <w:t> </w:t>
            </w:r>
          </w:p>
        </w:tc>
        <w:tc>
          <w:tcPr>
            <w:tcW w:w="452" w:type="dxa"/>
            <w:tcBorders>
              <w:top w:val="nil"/>
              <w:left w:val="nil"/>
              <w:bottom w:val="nil"/>
              <w:right w:val="single" w:sz="4" w:space="0" w:color="auto"/>
            </w:tcBorders>
            <w:shd w:val="clear" w:color="auto" w:fill="auto"/>
            <w:noWrap/>
            <w:vAlign w:val="bottom"/>
            <w:hideMark/>
          </w:tcPr>
          <w:p w:rsidR="007B5401" w:rsidRPr="007B5401" w:rsidRDefault="007B5401" w:rsidP="007B5401">
            <w:pPr>
              <w:jc w:val="left"/>
              <w:rPr>
                <w:rFonts w:ascii="Arial" w:eastAsia="Times New Roman" w:hAnsi="Arial" w:cs="Arial"/>
                <w:color w:val="000000"/>
                <w:sz w:val="20"/>
                <w:szCs w:val="20"/>
              </w:rPr>
            </w:pPr>
            <w:r w:rsidRPr="007B5401">
              <w:rPr>
                <w:rFonts w:ascii="Arial" w:eastAsia="Times New Roman" w:hAnsi="Arial" w:cs="Arial"/>
                <w:color w:val="000000"/>
                <w:sz w:val="20"/>
                <w:szCs w:val="20"/>
              </w:rPr>
              <w:t> </w:t>
            </w:r>
          </w:p>
        </w:tc>
        <w:tc>
          <w:tcPr>
            <w:tcW w:w="452" w:type="dxa"/>
            <w:tcBorders>
              <w:top w:val="nil"/>
              <w:left w:val="nil"/>
              <w:bottom w:val="nil"/>
              <w:right w:val="single" w:sz="4" w:space="0" w:color="auto"/>
            </w:tcBorders>
            <w:shd w:val="clear" w:color="auto" w:fill="auto"/>
            <w:noWrap/>
            <w:vAlign w:val="bottom"/>
            <w:hideMark/>
          </w:tcPr>
          <w:p w:rsidR="007B5401" w:rsidRPr="007B5401" w:rsidRDefault="007B5401" w:rsidP="007B5401">
            <w:pPr>
              <w:jc w:val="left"/>
              <w:rPr>
                <w:rFonts w:ascii="Arial" w:eastAsia="Times New Roman" w:hAnsi="Arial" w:cs="Arial"/>
                <w:color w:val="000000"/>
                <w:sz w:val="20"/>
                <w:szCs w:val="20"/>
              </w:rPr>
            </w:pPr>
            <w:r w:rsidRPr="007B5401">
              <w:rPr>
                <w:rFonts w:ascii="Arial" w:eastAsia="Times New Roman" w:hAnsi="Arial" w:cs="Arial"/>
                <w:color w:val="000000"/>
                <w:sz w:val="20"/>
                <w:szCs w:val="20"/>
              </w:rPr>
              <w:t> </w:t>
            </w:r>
          </w:p>
        </w:tc>
        <w:tc>
          <w:tcPr>
            <w:tcW w:w="452" w:type="dxa"/>
            <w:tcBorders>
              <w:top w:val="nil"/>
              <w:left w:val="nil"/>
              <w:bottom w:val="nil"/>
              <w:right w:val="single" w:sz="4" w:space="0" w:color="auto"/>
            </w:tcBorders>
            <w:shd w:val="clear" w:color="auto" w:fill="auto"/>
            <w:noWrap/>
            <w:vAlign w:val="bottom"/>
            <w:hideMark/>
          </w:tcPr>
          <w:p w:rsidR="007B5401" w:rsidRPr="007B5401" w:rsidRDefault="007B5401" w:rsidP="007B5401">
            <w:pPr>
              <w:jc w:val="left"/>
              <w:rPr>
                <w:rFonts w:ascii="Arial" w:eastAsia="Times New Roman" w:hAnsi="Arial" w:cs="Arial"/>
                <w:color w:val="000000"/>
                <w:sz w:val="20"/>
                <w:szCs w:val="20"/>
              </w:rPr>
            </w:pPr>
            <w:r w:rsidRPr="007B5401">
              <w:rPr>
                <w:rFonts w:ascii="Arial" w:eastAsia="Times New Roman" w:hAnsi="Arial" w:cs="Arial"/>
                <w:color w:val="000000"/>
                <w:sz w:val="20"/>
                <w:szCs w:val="20"/>
              </w:rPr>
              <w:t> </w:t>
            </w:r>
          </w:p>
        </w:tc>
        <w:tc>
          <w:tcPr>
            <w:tcW w:w="452" w:type="dxa"/>
            <w:tcBorders>
              <w:top w:val="nil"/>
              <w:left w:val="nil"/>
              <w:bottom w:val="nil"/>
              <w:right w:val="single" w:sz="4" w:space="0" w:color="auto"/>
            </w:tcBorders>
            <w:shd w:val="clear" w:color="auto" w:fill="auto"/>
            <w:noWrap/>
            <w:vAlign w:val="bottom"/>
            <w:hideMark/>
          </w:tcPr>
          <w:p w:rsidR="007B5401" w:rsidRPr="007B5401" w:rsidRDefault="007B5401" w:rsidP="007B5401">
            <w:pPr>
              <w:jc w:val="left"/>
              <w:rPr>
                <w:rFonts w:ascii="Arial" w:eastAsia="Times New Roman" w:hAnsi="Arial" w:cs="Arial"/>
                <w:color w:val="000000"/>
                <w:sz w:val="20"/>
                <w:szCs w:val="20"/>
              </w:rPr>
            </w:pPr>
            <w:r w:rsidRPr="007B5401">
              <w:rPr>
                <w:rFonts w:ascii="Arial" w:eastAsia="Times New Roman" w:hAnsi="Arial" w:cs="Arial"/>
                <w:color w:val="000000"/>
                <w:sz w:val="20"/>
                <w:szCs w:val="20"/>
              </w:rPr>
              <w:t> </w:t>
            </w:r>
          </w:p>
        </w:tc>
        <w:tc>
          <w:tcPr>
            <w:tcW w:w="452" w:type="dxa"/>
            <w:tcBorders>
              <w:top w:val="nil"/>
              <w:left w:val="nil"/>
              <w:bottom w:val="nil"/>
              <w:right w:val="single" w:sz="4" w:space="0" w:color="auto"/>
            </w:tcBorders>
            <w:shd w:val="clear" w:color="auto" w:fill="auto"/>
            <w:noWrap/>
            <w:vAlign w:val="bottom"/>
            <w:hideMark/>
          </w:tcPr>
          <w:p w:rsidR="007B5401" w:rsidRPr="007B5401" w:rsidRDefault="007B5401" w:rsidP="007B5401">
            <w:pPr>
              <w:jc w:val="left"/>
              <w:rPr>
                <w:rFonts w:ascii="Arial" w:eastAsia="Times New Roman" w:hAnsi="Arial" w:cs="Arial"/>
                <w:color w:val="000000"/>
                <w:sz w:val="20"/>
                <w:szCs w:val="20"/>
              </w:rPr>
            </w:pPr>
            <w:r w:rsidRPr="007B5401">
              <w:rPr>
                <w:rFonts w:ascii="Arial" w:eastAsia="Times New Roman" w:hAnsi="Arial" w:cs="Arial"/>
                <w:color w:val="000000"/>
                <w:sz w:val="20"/>
                <w:szCs w:val="20"/>
              </w:rPr>
              <w:t> </w:t>
            </w:r>
          </w:p>
        </w:tc>
        <w:tc>
          <w:tcPr>
            <w:tcW w:w="452" w:type="dxa"/>
            <w:tcBorders>
              <w:top w:val="nil"/>
              <w:left w:val="nil"/>
              <w:bottom w:val="nil"/>
              <w:right w:val="single" w:sz="4" w:space="0" w:color="auto"/>
            </w:tcBorders>
            <w:shd w:val="clear" w:color="auto" w:fill="auto"/>
            <w:noWrap/>
            <w:vAlign w:val="bottom"/>
            <w:hideMark/>
          </w:tcPr>
          <w:p w:rsidR="007B5401" w:rsidRPr="007B5401" w:rsidRDefault="007B5401" w:rsidP="007B5401">
            <w:pPr>
              <w:jc w:val="left"/>
              <w:rPr>
                <w:rFonts w:ascii="Arial" w:eastAsia="Times New Roman" w:hAnsi="Arial" w:cs="Arial"/>
                <w:color w:val="000000"/>
                <w:sz w:val="20"/>
                <w:szCs w:val="20"/>
              </w:rPr>
            </w:pPr>
            <w:r w:rsidRPr="007B5401">
              <w:rPr>
                <w:rFonts w:ascii="Arial" w:eastAsia="Times New Roman" w:hAnsi="Arial" w:cs="Arial"/>
                <w:color w:val="000000"/>
                <w:sz w:val="20"/>
                <w:szCs w:val="20"/>
              </w:rPr>
              <w:t> </w:t>
            </w:r>
          </w:p>
        </w:tc>
        <w:tc>
          <w:tcPr>
            <w:tcW w:w="452" w:type="dxa"/>
            <w:tcBorders>
              <w:top w:val="nil"/>
              <w:left w:val="nil"/>
              <w:bottom w:val="nil"/>
              <w:right w:val="single" w:sz="4" w:space="0" w:color="auto"/>
            </w:tcBorders>
            <w:shd w:val="clear" w:color="auto" w:fill="auto"/>
            <w:noWrap/>
            <w:vAlign w:val="bottom"/>
          </w:tcPr>
          <w:p w:rsidR="007B5401" w:rsidRPr="007B5401" w:rsidRDefault="007B5401" w:rsidP="007B5401">
            <w:pPr>
              <w:jc w:val="left"/>
              <w:rPr>
                <w:rFonts w:ascii="Arial" w:eastAsia="Times New Roman" w:hAnsi="Arial" w:cs="Arial"/>
                <w:color w:val="000000"/>
                <w:sz w:val="20"/>
                <w:szCs w:val="20"/>
              </w:rPr>
            </w:pPr>
          </w:p>
        </w:tc>
      </w:tr>
      <w:tr w:rsidR="007B5401" w:rsidRPr="007B5401" w:rsidTr="007B5401">
        <w:trPr>
          <w:trHeight w:val="255"/>
        </w:trPr>
        <w:tc>
          <w:tcPr>
            <w:tcW w:w="1247" w:type="dxa"/>
            <w:vMerge/>
            <w:tcBorders>
              <w:top w:val="nil"/>
              <w:left w:val="single" w:sz="4" w:space="0" w:color="auto"/>
              <w:bottom w:val="single" w:sz="4" w:space="0" w:color="000000"/>
              <w:right w:val="single" w:sz="4" w:space="0" w:color="auto"/>
            </w:tcBorders>
            <w:vAlign w:val="center"/>
            <w:hideMark/>
          </w:tcPr>
          <w:p w:rsidR="007B5401" w:rsidRPr="007B5401" w:rsidRDefault="007B5401" w:rsidP="007B5401">
            <w:pPr>
              <w:jc w:val="left"/>
              <w:rPr>
                <w:rFonts w:ascii="Arial" w:eastAsia="Times New Roman" w:hAnsi="Arial" w:cs="Arial"/>
                <w:color w:val="000000"/>
                <w:sz w:val="18"/>
                <w:szCs w:val="18"/>
              </w:rPr>
            </w:pPr>
          </w:p>
        </w:tc>
        <w:tc>
          <w:tcPr>
            <w:tcW w:w="3551" w:type="dxa"/>
            <w:tcBorders>
              <w:top w:val="nil"/>
              <w:left w:val="nil"/>
              <w:bottom w:val="nil"/>
              <w:right w:val="nil"/>
            </w:tcBorders>
            <w:shd w:val="clear" w:color="000000" w:fill="F2F2F2"/>
            <w:noWrap/>
            <w:vAlign w:val="bottom"/>
            <w:hideMark/>
          </w:tcPr>
          <w:p w:rsidR="007B5401" w:rsidRPr="007B5401" w:rsidRDefault="007B5401" w:rsidP="007B5401">
            <w:pPr>
              <w:jc w:val="left"/>
              <w:rPr>
                <w:rFonts w:ascii="Arial" w:eastAsia="Times New Roman" w:hAnsi="Arial" w:cs="Arial"/>
                <w:color w:val="000000"/>
                <w:sz w:val="18"/>
                <w:szCs w:val="18"/>
              </w:rPr>
            </w:pPr>
            <w:r w:rsidRPr="007B5401">
              <w:rPr>
                <w:rFonts w:ascii="Arial" w:eastAsia="Times New Roman" w:hAnsi="Arial" w:cs="Arial"/>
                <w:color w:val="000000"/>
                <w:sz w:val="18"/>
                <w:szCs w:val="18"/>
              </w:rPr>
              <w:t>Clothes Washers</w:t>
            </w:r>
          </w:p>
        </w:tc>
        <w:tc>
          <w:tcPr>
            <w:tcW w:w="453" w:type="dxa"/>
            <w:tcBorders>
              <w:top w:val="nil"/>
              <w:left w:val="single" w:sz="4" w:space="0" w:color="auto"/>
              <w:bottom w:val="nil"/>
              <w:right w:val="nil"/>
            </w:tcBorders>
            <w:shd w:val="clear" w:color="000000" w:fill="F2F2F2"/>
            <w:noWrap/>
            <w:vAlign w:val="bottom"/>
            <w:hideMark/>
          </w:tcPr>
          <w:p w:rsidR="007B5401" w:rsidRPr="007B5401" w:rsidRDefault="007B5401" w:rsidP="007B5401">
            <w:pPr>
              <w:jc w:val="left"/>
              <w:rPr>
                <w:rFonts w:ascii="Arial" w:eastAsia="Times New Roman" w:hAnsi="Arial" w:cs="Arial"/>
                <w:color w:val="000000"/>
                <w:sz w:val="18"/>
                <w:szCs w:val="18"/>
              </w:rPr>
            </w:pPr>
            <w:r w:rsidRPr="007B5401">
              <w:rPr>
                <w:rFonts w:ascii="Arial" w:eastAsia="Times New Roman" w:hAnsi="Arial" w:cs="Arial"/>
                <w:color w:val="000000"/>
                <w:sz w:val="18"/>
                <w:szCs w:val="18"/>
              </w:rPr>
              <w:t> </w:t>
            </w:r>
          </w:p>
        </w:tc>
        <w:tc>
          <w:tcPr>
            <w:tcW w:w="452" w:type="dxa"/>
            <w:tcBorders>
              <w:top w:val="nil"/>
              <w:left w:val="single" w:sz="4" w:space="0" w:color="auto"/>
              <w:bottom w:val="nil"/>
              <w:right w:val="nil"/>
            </w:tcBorders>
            <w:shd w:val="clear" w:color="000000" w:fill="F2F2F2"/>
            <w:noWrap/>
            <w:vAlign w:val="bottom"/>
            <w:hideMark/>
          </w:tcPr>
          <w:p w:rsidR="007B5401" w:rsidRPr="007B5401" w:rsidRDefault="007B5401" w:rsidP="007B5401">
            <w:pPr>
              <w:jc w:val="left"/>
              <w:rPr>
                <w:rFonts w:ascii="Arial" w:eastAsia="Times New Roman" w:hAnsi="Arial" w:cs="Arial"/>
                <w:color w:val="000000"/>
                <w:sz w:val="18"/>
                <w:szCs w:val="18"/>
              </w:rPr>
            </w:pPr>
            <w:r w:rsidRPr="007B5401">
              <w:rPr>
                <w:rFonts w:ascii="Arial" w:eastAsia="Times New Roman" w:hAnsi="Arial" w:cs="Arial"/>
                <w:color w:val="000000"/>
                <w:sz w:val="18"/>
                <w:szCs w:val="18"/>
              </w:rPr>
              <w:t> </w:t>
            </w:r>
          </w:p>
        </w:tc>
        <w:tc>
          <w:tcPr>
            <w:tcW w:w="452" w:type="dxa"/>
            <w:tcBorders>
              <w:top w:val="nil"/>
              <w:left w:val="single" w:sz="4" w:space="0" w:color="auto"/>
              <w:bottom w:val="nil"/>
              <w:right w:val="single" w:sz="4" w:space="0" w:color="auto"/>
            </w:tcBorders>
            <w:shd w:val="clear" w:color="000000" w:fill="F2F2F2"/>
            <w:noWrap/>
            <w:vAlign w:val="bottom"/>
            <w:hideMark/>
          </w:tcPr>
          <w:p w:rsidR="007B5401" w:rsidRPr="007B5401" w:rsidRDefault="007B5401" w:rsidP="007B5401">
            <w:pPr>
              <w:jc w:val="left"/>
              <w:rPr>
                <w:rFonts w:ascii="Arial" w:eastAsia="Times New Roman" w:hAnsi="Arial" w:cs="Arial"/>
                <w:color w:val="000000"/>
                <w:sz w:val="18"/>
                <w:szCs w:val="18"/>
              </w:rPr>
            </w:pPr>
            <w:r w:rsidRPr="007B5401">
              <w:rPr>
                <w:rFonts w:ascii="Arial" w:eastAsia="Times New Roman" w:hAnsi="Arial" w:cs="Arial"/>
                <w:color w:val="000000"/>
                <w:sz w:val="18"/>
                <w:szCs w:val="18"/>
              </w:rPr>
              <w:t> </w:t>
            </w:r>
          </w:p>
        </w:tc>
        <w:tc>
          <w:tcPr>
            <w:tcW w:w="452" w:type="dxa"/>
            <w:tcBorders>
              <w:top w:val="nil"/>
              <w:left w:val="nil"/>
              <w:bottom w:val="nil"/>
              <w:right w:val="single" w:sz="4" w:space="0" w:color="auto"/>
            </w:tcBorders>
            <w:shd w:val="clear" w:color="000000" w:fill="F2F2F2"/>
            <w:hideMark/>
          </w:tcPr>
          <w:p w:rsidR="007B5401" w:rsidRPr="007B5401" w:rsidRDefault="007B5401" w:rsidP="007B5401">
            <w:pPr>
              <w:jc w:val="center"/>
              <w:rPr>
                <w:rFonts w:ascii="Wingdings 2" w:eastAsia="Times New Roman" w:hAnsi="Wingdings 2" w:cs="Arial"/>
                <w:color w:val="000000"/>
                <w:sz w:val="18"/>
                <w:szCs w:val="18"/>
              </w:rPr>
            </w:pPr>
            <w:r w:rsidRPr="007B5401">
              <w:rPr>
                <w:rFonts w:ascii="Wingdings 2" w:eastAsia="Times New Roman" w:hAnsi="Wingdings 2" w:cs="Arial"/>
                <w:color w:val="000000"/>
                <w:sz w:val="18"/>
                <w:szCs w:val="18"/>
              </w:rPr>
              <w:t></w:t>
            </w:r>
          </w:p>
        </w:tc>
        <w:tc>
          <w:tcPr>
            <w:tcW w:w="452" w:type="dxa"/>
            <w:tcBorders>
              <w:top w:val="nil"/>
              <w:left w:val="nil"/>
              <w:bottom w:val="nil"/>
              <w:right w:val="single" w:sz="4" w:space="0" w:color="auto"/>
            </w:tcBorders>
            <w:shd w:val="clear" w:color="000000" w:fill="F2F2F2"/>
            <w:noWrap/>
            <w:vAlign w:val="bottom"/>
          </w:tcPr>
          <w:p w:rsidR="007B5401" w:rsidRPr="007B5401" w:rsidRDefault="007B5401" w:rsidP="007B5401">
            <w:pPr>
              <w:jc w:val="left"/>
              <w:rPr>
                <w:rFonts w:ascii="Arial" w:eastAsia="Times New Roman" w:hAnsi="Arial" w:cs="Arial"/>
                <w:color w:val="000000"/>
                <w:sz w:val="20"/>
                <w:szCs w:val="20"/>
              </w:rPr>
            </w:pPr>
          </w:p>
        </w:tc>
        <w:tc>
          <w:tcPr>
            <w:tcW w:w="452" w:type="dxa"/>
            <w:tcBorders>
              <w:top w:val="nil"/>
              <w:left w:val="nil"/>
              <w:bottom w:val="nil"/>
              <w:right w:val="single" w:sz="4" w:space="0" w:color="auto"/>
            </w:tcBorders>
            <w:shd w:val="clear" w:color="000000" w:fill="F2F2F2"/>
            <w:noWrap/>
            <w:vAlign w:val="bottom"/>
            <w:hideMark/>
          </w:tcPr>
          <w:p w:rsidR="007B5401" w:rsidRPr="007B5401" w:rsidRDefault="007B5401" w:rsidP="007B5401">
            <w:pPr>
              <w:jc w:val="left"/>
              <w:rPr>
                <w:rFonts w:ascii="Arial" w:eastAsia="Times New Roman" w:hAnsi="Arial" w:cs="Arial"/>
                <w:color w:val="000000"/>
                <w:sz w:val="20"/>
                <w:szCs w:val="20"/>
              </w:rPr>
            </w:pPr>
            <w:r w:rsidRPr="007B5401">
              <w:rPr>
                <w:rFonts w:ascii="Arial" w:eastAsia="Times New Roman" w:hAnsi="Arial" w:cs="Arial"/>
                <w:color w:val="000000"/>
                <w:sz w:val="20"/>
                <w:szCs w:val="20"/>
              </w:rPr>
              <w:t> </w:t>
            </w:r>
          </w:p>
        </w:tc>
        <w:tc>
          <w:tcPr>
            <w:tcW w:w="452" w:type="dxa"/>
            <w:tcBorders>
              <w:top w:val="nil"/>
              <w:left w:val="nil"/>
              <w:bottom w:val="nil"/>
              <w:right w:val="single" w:sz="4" w:space="0" w:color="auto"/>
            </w:tcBorders>
            <w:shd w:val="clear" w:color="000000" w:fill="F2F2F2"/>
            <w:noWrap/>
            <w:vAlign w:val="bottom"/>
            <w:hideMark/>
          </w:tcPr>
          <w:p w:rsidR="007B5401" w:rsidRPr="007B5401" w:rsidRDefault="007B5401" w:rsidP="007B5401">
            <w:pPr>
              <w:jc w:val="left"/>
              <w:rPr>
                <w:rFonts w:ascii="Arial" w:eastAsia="Times New Roman" w:hAnsi="Arial" w:cs="Arial"/>
                <w:color w:val="000000"/>
                <w:sz w:val="20"/>
                <w:szCs w:val="20"/>
              </w:rPr>
            </w:pPr>
            <w:r w:rsidRPr="007B5401">
              <w:rPr>
                <w:rFonts w:ascii="Arial" w:eastAsia="Times New Roman" w:hAnsi="Arial" w:cs="Arial"/>
                <w:color w:val="000000"/>
                <w:sz w:val="20"/>
                <w:szCs w:val="20"/>
              </w:rPr>
              <w:t> </w:t>
            </w:r>
          </w:p>
        </w:tc>
        <w:tc>
          <w:tcPr>
            <w:tcW w:w="452" w:type="dxa"/>
            <w:tcBorders>
              <w:top w:val="nil"/>
              <w:left w:val="nil"/>
              <w:bottom w:val="nil"/>
              <w:right w:val="single" w:sz="4" w:space="0" w:color="auto"/>
            </w:tcBorders>
            <w:shd w:val="clear" w:color="000000" w:fill="F2F2F2"/>
            <w:noWrap/>
            <w:vAlign w:val="bottom"/>
            <w:hideMark/>
          </w:tcPr>
          <w:p w:rsidR="007B5401" w:rsidRPr="007B5401" w:rsidRDefault="007B5401" w:rsidP="007B5401">
            <w:pPr>
              <w:jc w:val="left"/>
              <w:rPr>
                <w:rFonts w:ascii="Arial" w:eastAsia="Times New Roman" w:hAnsi="Arial" w:cs="Arial"/>
                <w:color w:val="000000"/>
                <w:sz w:val="20"/>
                <w:szCs w:val="20"/>
              </w:rPr>
            </w:pPr>
            <w:r w:rsidRPr="007B5401">
              <w:rPr>
                <w:rFonts w:ascii="Arial" w:eastAsia="Times New Roman" w:hAnsi="Arial" w:cs="Arial"/>
                <w:color w:val="000000"/>
                <w:sz w:val="20"/>
                <w:szCs w:val="20"/>
              </w:rPr>
              <w:t> </w:t>
            </w:r>
          </w:p>
        </w:tc>
        <w:tc>
          <w:tcPr>
            <w:tcW w:w="452" w:type="dxa"/>
            <w:tcBorders>
              <w:top w:val="nil"/>
              <w:left w:val="nil"/>
              <w:bottom w:val="nil"/>
              <w:right w:val="single" w:sz="4" w:space="0" w:color="auto"/>
            </w:tcBorders>
            <w:shd w:val="clear" w:color="000000" w:fill="F2F2F2"/>
            <w:hideMark/>
          </w:tcPr>
          <w:p w:rsidR="007B5401" w:rsidRPr="007B5401" w:rsidRDefault="007B5401" w:rsidP="007B5401">
            <w:pPr>
              <w:jc w:val="center"/>
              <w:rPr>
                <w:rFonts w:ascii="Wingdings 2" w:eastAsia="Times New Roman" w:hAnsi="Wingdings 2" w:cs="Arial"/>
                <w:color w:val="000000"/>
                <w:sz w:val="18"/>
                <w:szCs w:val="18"/>
              </w:rPr>
            </w:pPr>
          </w:p>
        </w:tc>
        <w:tc>
          <w:tcPr>
            <w:tcW w:w="452" w:type="dxa"/>
            <w:tcBorders>
              <w:top w:val="nil"/>
              <w:left w:val="nil"/>
              <w:bottom w:val="nil"/>
              <w:right w:val="single" w:sz="4" w:space="0" w:color="auto"/>
            </w:tcBorders>
            <w:shd w:val="clear" w:color="000000" w:fill="F2F2F2"/>
            <w:noWrap/>
            <w:vAlign w:val="bottom"/>
            <w:hideMark/>
          </w:tcPr>
          <w:p w:rsidR="007B5401" w:rsidRPr="007B5401" w:rsidRDefault="007B5401" w:rsidP="007B5401">
            <w:pPr>
              <w:jc w:val="left"/>
              <w:rPr>
                <w:rFonts w:ascii="Arial" w:eastAsia="Times New Roman" w:hAnsi="Arial" w:cs="Arial"/>
                <w:color w:val="000000"/>
                <w:sz w:val="20"/>
                <w:szCs w:val="20"/>
              </w:rPr>
            </w:pPr>
            <w:r w:rsidRPr="007B5401">
              <w:rPr>
                <w:rFonts w:ascii="Arial" w:eastAsia="Times New Roman" w:hAnsi="Arial" w:cs="Arial"/>
                <w:color w:val="000000"/>
                <w:sz w:val="20"/>
                <w:szCs w:val="20"/>
              </w:rPr>
              <w:t> </w:t>
            </w:r>
          </w:p>
        </w:tc>
        <w:tc>
          <w:tcPr>
            <w:tcW w:w="452" w:type="dxa"/>
            <w:tcBorders>
              <w:top w:val="nil"/>
              <w:left w:val="nil"/>
              <w:bottom w:val="nil"/>
              <w:right w:val="single" w:sz="4" w:space="0" w:color="auto"/>
            </w:tcBorders>
            <w:shd w:val="clear" w:color="000000" w:fill="F2F2F2"/>
          </w:tcPr>
          <w:p w:rsidR="007B5401" w:rsidRPr="007B5401" w:rsidRDefault="007B5401" w:rsidP="007B5401">
            <w:pPr>
              <w:jc w:val="center"/>
              <w:rPr>
                <w:rFonts w:ascii="Wingdings 2" w:eastAsia="Times New Roman" w:hAnsi="Wingdings 2" w:cs="Arial"/>
                <w:color w:val="000000"/>
                <w:sz w:val="18"/>
                <w:szCs w:val="18"/>
              </w:rPr>
            </w:pPr>
          </w:p>
        </w:tc>
      </w:tr>
      <w:tr w:rsidR="007B5401" w:rsidRPr="007B5401" w:rsidTr="007B5401">
        <w:trPr>
          <w:trHeight w:val="255"/>
        </w:trPr>
        <w:tc>
          <w:tcPr>
            <w:tcW w:w="1247" w:type="dxa"/>
            <w:vMerge/>
            <w:tcBorders>
              <w:top w:val="nil"/>
              <w:left w:val="single" w:sz="4" w:space="0" w:color="auto"/>
              <w:bottom w:val="single" w:sz="4" w:space="0" w:color="000000"/>
              <w:right w:val="single" w:sz="4" w:space="0" w:color="auto"/>
            </w:tcBorders>
            <w:vAlign w:val="center"/>
            <w:hideMark/>
          </w:tcPr>
          <w:p w:rsidR="007B5401" w:rsidRPr="007B5401" w:rsidRDefault="007B5401" w:rsidP="007B5401">
            <w:pPr>
              <w:jc w:val="left"/>
              <w:rPr>
                <w:rFonts w:ascii="Arial" w:eastAsia="Times New Roman" w:hAnsi="Arial" w:cs="Arial"/>
                <w:color w:val="000000"/>
                <w:sz w:val="18"/>
                <w:szCs w:val="18"/>
              </w:rPr>
            </w:pPr>
          </w:p>
        </w:tc>
        <w:tc>
          <w:tcPr>
            <w:tcW w:w="3551" w:type="dxa"/>
            <w:tcBorders>
              <w:top w:val="nil"/>
              <w:left w:val="nil"/>
              <w:bottom w:val="nil"/>
              <w:right w:val="nil"/>
            </w:tcBorders>
            <w:shd w:val="clear" w:color="auto" w:fill="auto"/>
            <w:noWrap/>
            <w:vAlign w:val="bottom"/>
            <w:hideMark/>
          </w:tcPr>
          <w:p w:rsidR="007B5401" w:rsidRPr="007B5401" w:rsidRDefault="007B5401" w:rsidP="007B5401">
            <w:pPr>
              <w:jc w:val="left"/>
              <w:rPr>
                <w:rFonts w:ascii="Arial" w:eastAsia="Times New Roman" w:hAnsi="Arial" w:cs="Arial"/>
                <w:color w:val="000000"/>
                <w:sz w:val="18"/>
                <w:szCs w:val="18"/>
              </w:rPr>
            </w:pPr>
            <w:r w:rsidRPr="007B5401">
              <w:rPr>
                <w:rFonts w:ascii="Arial" w:eastAsia="Times New Roman" w:hAnsi="Arial" w:cs="Arial"/>
                <w:color w:val="000000"/>
                <w:sz w:val="18"/>
                <w:szCs w:val="18"/>
              </w:rPr>
              <w:t>Packaged AC and Heat Pumps (65-760 kBtu/hr)</w:t>
            </w:r>
          </w:p>
        </w:tc>
        <w:tc>
          <w:tcPr>
            <w:tcW w:w="453" w:type="dxa"/>
            <w:tcBorders>
              <w:top w:val="nil"/>
              <w:left w:val="single" w:sz="4" w:space="0" w:color="auto"/>
              <w:bottom w:val="nil"/>
              <w:right w:val="single" w:sz="4" w:space="0" w:color="auto"/>
            </w:tcBorders>
            <w:shd w:val="clear" w:color="auto" w:fill="auto"/>
            <w:hideMark/>
          </w:tcPr>
          <w:p w:rsidR="007B5401" w:rsidRPr="007B5401" w:rsidRDefault="007B5401" w:rsidP="007B5401">
            <w:pPr>
              <w:jc w:val="center"/>
              <w:rPr>
                <w:rFonts w:ascii="Wingdings 2" w:eastAsia="Times New Roman" w:hAnsi="Wingdings 2" w:cs="Arial"/>
                <w:color w:val="000000"/>
                <w:sz w:val="18"/>
                <w:szCs w:val="18"/>
              </w:rPr>
            </w:pPr>
            <w:r w:rsidRPr="007B5401">
              <w:rPr>
                <w:rFonts w:ascii="Wingdings 2" w:eastAsia="Times New Roman" w:hAnsi="Wingdings 2" w:cs="Arial"/>
                <w:color w:val="000000"/>
                <w:sz w:val="18"/>
                <w:szCs w:val="18"/>
              </w:rPr>
              <w:t></w:t>
            </w:r>
          </w:p>
        </w:tc>
        <w:tc>
          <w:tcPr>
            <w:tcW w:w="452" w:type="dxa"/>
            <w:tcBorders>
              <w:top w:val="nil"/>
              <w:left w:val="nil"/>
              <w:bottom w:val="nil"/>
              <w:right w:val="nil"/>
            </w:tcBorders>
            <w:shd w:val="clear" w:color="auto" w:fill="auto"/>
            <w:noWrap/>
            <w:vAlign w:val="bottom"/>
            <w:hideMark/>
          </w:tcPr>
          <w:p w:rsidR="007B5401" w:rsidRPr="007B5401" w:rsidRDefault="007B5401" w:rsidP="007B5401">
            <w:pPr>
              <w:jc w:val="left"/>
              <w:rPr>
                <w:rFonts w:ascii="Arial" w:eastAsia="Times New Roman" w:hAnsi="Arial" w:cs="Arial"/>
                <w:color w:val="000000"/>
                <w:sz w:val="18"/>
                <w:szCs w:val="18"/>
              </w:rPr>
            </w:pPr>
            <w:r w:rsidRPr="007B5401">
              <w:rPr>
                <w:rFonts w:ascii="Arial" w:eastAsia="Times New Roman" w:hAnsi="Arial" w:cs="Arial"/>
                <w:color w:val="000000"/>
                <w:sz w:val="18"/>
                <w:szCs w:val="18"/>
              </w:rPr>
              <w:t> </w:t>
            </w:r>
          </w:p>
        </w:tc>
        <w:tc>
          <w:tcPr>
            <w:tcW w:w="452" w:type="dxa"/>
            <w:tcBorders>
              <w:top w:val="nil"/>
              <w:left w:val="single" w:sz="4" w:space="0" w:color="auto"/>
              <w:bottom w:val="nil"/>
              <w:right w:val="single" w:sz="4" w:space="0" w:color="auto"/>
            </w:tcBorders>
            <w:shd w:val="clear" w:color="auto" w:fill="auto"/>
            <w:noWrap/>
            <w:vAlign w:val="bottom"/>
            <w:hideMark/>
          </w:tcPr>
          <w:p w:rsidR="007B5401" w:rsidRPr="007B5401" w:rsidRDefault="007B5401" w:rsidP="007B5401">
            <w:pPr>
              <w:jc w:val="center"/>
              <w:rPr>
                <w:rFonts w:ascii="Arial" w:eastAsia="Times New Roman" w:hAnsi="Arial" w:cs="Arial"/>
                <w:color w:val="000000"/>
                <w:sz w:val="18"/>
                <w:szCs w:val="18"/>
              </w:rPr>
            </w:pPr>
            <w:r w:rsidRPr="007B5401">
              <w:rPr>
                <w:rFonts w:ascii="Arial" w:eastAsia="Times New Roman" w:hAnsi="Arial" w:cs="Arial"/>
                <w:color w:val="000000"/>
                <w:sz w:val="18"/>
                <w:szCs w:val="18"/>
              </w:rPr>
              <w:t> </w:t>
            </w:r>
          </w:p>
        </w:tc>
        <w:tc>
          <w:tcPr>
            <w:tcW w:w="452" w:type="dxa"/>
            <w:tcBorders>
              <w:top w:val="nil"/>
              <w:left w:val="nil"/>
              <w:bottom w:val="nil"/>
              <w:right w:val="single" w:sz="4" w:space="0" w:color="auto"/>
            </w:tcBorders>
            <w:shd w:val="clear" w:color="auto" w:fill="auto"/>
            <w:hideMark/>
          </w:tcPr>
          <w:p w:rsidR="007B5401" w:rsidRPr="007B5401" w:rsidRDefault="007B5401" w:rsidP="007B5401">
            <w:pPr>
              <w:jc w:val="center"/>
              <w:rPr>
                <w:rFonts w:ascii="Wingdings 2" w:eastAsia="Times New Roman" w:hAnsi="Wingdings 2" w:cs="Arial"/>
                <w:color w:val="000000"/>
                <w:sz w:val="18"/>
                <w:szCs w:val="18"/>
              </w:rPr>
            </w:pPr>
          </w:p>
        </w:tc>
        <w:tc>
          <w:tcPr>
            <w:tcW w:w="452" w:type="dxa"/>
            <w:tcBorders>
              <w:top w:val="nil"/>
              <w:left w:val="nil"/>
              <w:bottom w:val="nil"/>
              <w:right w:val="single" w:sz="4" w:space="0" w:color="auto"/>
            </w:tcBorders>
            <w:shd w:val="clear" w:color="auto" w:fill="auto"/>
          </w:tcPr>
          <w:p w:rsidR="007B5401" w:rsidRPr="007B5401" w:rsidRDefault="007B5401" w:rsidP="007B5401">
            <w:pPr>
              <w:jc w:val="center"/>
              <w:rPr>
                <w:rFonts w:ascii="Wingdings 2" w:eastAsia="Times New Roman" w:hAnsi="Wingdings 2" w:cs="Arial"/>
                <w:color w:val="000000"/>
                <w:sz w:val="18"/>
                <w:szCs w:val="18"/>
              </w:rPr>
            </w:pPr>
          </w:p>
        </w:tc>
        <w:tc>
          <w:tcPr>
            <w:tcW w:w="452" w:type="dxa"/>
            <w:tcBorders>
              <w:top w:val="nil"/>
              <w:left w:val="nil"/>
              <w:bottom w:val="nil"/>
              <w:right w:val="single" w:sz="4" w:space="0" w:color="auto"/>
            </w:tcBorders>
            <w:shd w:val="clear" w:color="auto" w:fill="auto"/>
            <w:noWrap/>
            <w:vAlign w:val="bottom"/>
            <w:hideMark/>
          </w:tcPr>
          <w:p w:rsidR="007B5401" w:rsidRPr="007B5401" w:rsidRDefault="007B5401" w:rsidP="007B5401">
            <w:pPr>
              <w:jc w:val="left"/>
              <w:rPr>
                <w:rFonts w:ascii="Arial" w:eastAsia="Times New Roman" w:hAnsi="Arial" w:cs="Arial"/>
                <w:color w:val="000000"/>
                <w:sz w:val="20"/>
                <w:szCs w:val="20"/>
              </w:rPr>
            </w:pPr>
            <w:r w:rsidRPr="007B5401">
              <w:rPr>
                <w:rFonts w:ascii="Arial" w:eastAsia="Times New Roman" w:hAnsi="Arial" w:cs="Arial"/>
                <w:color w:val="000000"/>
                <w:sz w:val="20"/>
                <w:szCs w:val="20"/>
              </w:rPr>
              <w:t> </w:t>
            </w:r>
          </w:p>
        </w:tc>
        <w:tc>
          <w:tcPr>
            <w:tcW w:w="452" w:type="dxa"/>
            <w:tcBorders>
              <w:top w:val="nil"/>
              <w:left w:val="nil"/>
              <w:bottom w:val="nil"/>
              <w:right w:val="single" w:sz="4" w:space="0" w:color="auto"/>
            </w:tcBorders>
            <w:shd w:val="clear" w:color="auto" w:fill="auto"/>
            <w:noWrap/>
            <w:vAlign w:val="bottom"/>
            <w:hideMark/>
          </w:tcPr>
          <w:p w:rsidR="007B5401" w:rsidRPr="007B5401" w:rsidRDefault="007B5401" w:rsidP="007B5401">
            <w:pPr>
              <w:jc w:val="left"/>
              <w:rPr>
                <w:rFonts w:ascii="Arial" w:eastAsia="Times New Roman" w:hAnsi="Arial" w:cs="Arial"/>
                <w:color w:val="000000"/>
                <w:sz w:val="20"/>
                <w:szCs w:val="20"/>
              </w:rPr>
            </w:pPr>
            <w:r w:rsidRPr="007B5401">
              <w:rPr>
                <w:rFonts w:ascii="Arial" w:eastAsia="Times New Roman" w:hAnsi="Arial" w:cs="Arial"/>
                <w:color w:val="000000"/>
                <w:sz w:val="20"/>
                <w:szCs w:val="20"/>
              </w:rPr>
              <w:t> </w:t>
            </w:r>
          </w:p>
        </w:tc>
        <w:tc>
          <w:tcPr>
            <w:tcW w:w="452" w:type="dxa"/>
            <w:tcBorders>
              <w:top w:val="nil"/>
              <w:left w:val="nil"/>
              <w:bottom w:val="nil"/>
              <w:right w:val="single" w:sz="4" w:space="0" w:color="auto"/>
            </w:tcBorders>
            <w:shd w:val="clear" w:color="auto" w:fill="auto"/>
            <w:noWrap/>
            <w:vAlign w:val="bottom"/>
            <w:hideMark/>
          </w:tcPr>
          <w:p w:rsidR="007B5401" w:rsidRPr="007B5401" w:rsidRDefault="007B5401" w:rsidP="007B5401">
            <w:pPr>
              <w:jc w:val="left"/>
              <w:rPr>
                <w:rFonts w:ascii="Arial" w:eastAsia="Times New Roman" w:hAnsi="Arial" w:cs="Arial"/>
                <w:color w:val="000000"/>
                <w:sz w:val="20"/>
                <w:szCs w:val="20"/>
              </w:rPr>
            </w:pPr>
            <w:r w:rsidRPr="007B5401">
              <w:rPr>
                <w:rFonts w:ascii="Arial" w:eastAsia="Times New Roman" w:hAnsi="Arial" w:cs="Arial"/>
                <w:color w:val="000000"/>
                <w:sz w:val="20"/>
                <w:szCs w:val="20"/>
              </w:rPr>
              <w:t> </w:t>
            </w:r>
          </w:p>
        </w:tc>
        <w:tc>
          <w:tcPr>
            <w:tcW w:w="452" w:type="dxa"/>
            <w:tcBorders>
              <w:top w:val="nil"/>
              <w:left w:val="nil"/>
              <w:bottom w:val="nil"/>
              <w:right w:val="single" w:sz="4" w:space="0" w:color="auto"/>
            </w:tcBorders>
            <w:shd w:val="clear" w:color="auto" w:fill="auto"/>
            <w:noWrap/>
            <w:vAlign w:val="bottom"/>
            <w:hideMark/>
          </w:tcPr>
          <w:p w:rsidR="007B5401" w:rsidRPr="007B5401" w:rsidRDefault="007B5401" w:rsidP="007B5401">
            <w:pPr>
              <w:jc w:val="left"/>
              <w:rPr>
                <w:rFonts w:ascii="Arial" w:eastAsia="Times New Roman" w:hAnsi="Arial" w:cs="Arial"/>
                <w:color w:val="000000"/>
                <w:sz w:val="20"/>
                <w:szCs w:val="20"/>
              </w:rPr>
            </w:pPr>
            <w:r w:rsidRPr="007B5401">
              <w:rPr>
                <w:rFonts w:ascii="Arial" w:eastAsia="Times New Roman" w:hAnsi="Arial" w:cs="Arial"/>
                <w:color w:val="000000"/>
                <w:sz w:val="20"/>
                <w:szCs w:val="20"/>
              </w:rPr>
              <w:t> </w:t>
            </w:r>
          </w:p>
        </w:tc>
        <w:tc>
          <w:tcPr>
            <w:tcW w:w="452" w:type="dxa"/>
            <w:tcBorders>
              <w:top w:val="nil"/>
              <w:left w:val="nil"/>
              <w:bottom w:val="nil"/>
              <w:right w:val="single" w:sz="4" w:space="0" w:color="auto"/>
            </w:tcBorders>
            <w:shd w:val="clear" w:color="auto" w:fill="auto"/>
            <w:hideMark/>
          </w:tcPr>
          <w:p w:rsidR="007B5401" w:rsidRPr="007B5401" w:rsidRDefault="007B5401" w:rsidP="007B5401">
            <w:pPr>
              <w:jc w:val="center"/>
              <w:rPr>
                <w:rFonts w:ascii="Wingdings 2" w:eastAsia="Times New Roman" w:hAnsi="Wingdings 2" w:cs="Arial"/>
                <w:color w:val="000000"/>
                <w:sz w:val="18"/>
                <w:szCs w:val="18"/>
              </w:rPr>
            </w:pPr>
            <w:r w:rsidRPr="007B5401">
              <w:rPr>
                <w:rFonts w:ascii="Wingdings 2" w:eastAsia="Times New Roman" w:hAnsi="Wingdings 2" w:cs="Arial"/>
                <w:color w:val="000000"/>
                <w:sz w:val="18"/>
                <w:szCs w:val="18"/>
              </w:rPr>
              <w:t></w:t>
            </w:r>
          </w:p>
        </w:tc>
        <w:tc>
          <w:tcPr>
            <w:tcW w:w="452" w:type="dxa"/>
            <w:tcBorders>
              <w:top w:val="nil"/>
              <w:left w:val="nil"/>
              <w:bottom w:val="nil"/>
              <w:right w:val="single" w:sz="4" w:space="0" w:color="auto"/>
            </w:tcBorders>
            <w:shd w:val="clear" w:color="auto" w:fill="auto"/>
            <w:noWrap/>
            <w:vAlign w:val="bottom"/>
          </w:tcPr>
          <w:p w:rsidR="007B5401" w:rsidRPr="007B5401" w:rsidRDefault="007B5401" w:rsidP="007B5401">
            <w:pPr>
              <w:jc w:val="left"/>
              <w:rPr>
                <w:rFonts w:ascii="Arial" w:eastAsia="Times New Roman" w:hAnsi="Arial" w:cs="Arial"/>
                <w:color w:val="000000"/>
                <w:sz w:val="20"/>
                <w:szCs w:val="20"/>
              </w:rPr>
            </w:pPr>
          </w:p>
        </w:tc>
      </w:tr>
      <w:tr w:rsidR="007B5401" w:rsidRPr="007B5401" w:rsidTr="007B5401">
        <w:trPr>
          <w:trHeight w:val="255"/>
        </w:trPr>
        <w:tc>
          <w:tcPr>
            <w:tcW w:w="1247" w:type="dxa"/>
            <w:vMerge/>
            <w:tcBorders>
              <w:top w:val="nil"/>
              <w:left w:val="single" w:sz="4" w:space="0" w:color="auto"/>
              <w:bottom w:val="single" w:sz="4" w:space="0" w:color="000000"/>
              <w:right w:val="single" w:sz="4" w:space="0" w:color="auto"/>
            </w:tcBorders>
            <w:vAlign w:val="center"/>
            <w:hideMark/>
          </w:tcPr>
          <w:p w:rsidR="007B5401" w:rsidRPr="007B5401" w:rsidRDefault="007B5401" w:rsidP="007B5401">
            <w:pPr>
              <w:jc w:val="left"/>
              <w:rPr>
                <w:rFonts w:ascii="Arial" w:eastAsia="Times New Roman" w:hAnsi="Arial" w:cs="Arial"/>
                <w:color w:val="000000"/>
                <w:sz w:val="18"/>
                <w:szCs w:val="18"/>
              </w:rPr>
            </w:pPr>
          </w:p>
        </w:tc>
        <w:tc>
          <w:tcPr>
            <w:tcW w:w="3551" w:type="dxa"/>
            <w:tcBorders>
              <w:top w:val="nil"/>
              <w:left w:val="nil"/>
              <w:bottom w:val="nil"/>
              <w:right w:val="nil"/>
            </w:tcBorders>
            <w:shd w:val="clear" w:color="000000" w:fill="F2F2F2"/>
            <w:noWrap/>
            <w:vAlign w:val="bottom"/>
            <w:hideMark/>
          </w:tcPr>
          <w:p w:rsidR="007B5401" w:rsidRPr="007B5401" w:rsidRDefault="007B5401" w:rsidP="007B5401">
            <w:pPr>
              <w:jc w:val="left"/>
              <w:rPr>
                <w:rFonts w:ascii="Arial" w:eastAsia="Times New Roman" w:hAnsi="Arial" w:cs="Arial"/>
                <w:color w:val="000000"/>
                <w:sz w:val="18"/>
                <w:szCs w:val="18"/>
              </w:rPr>
            </w:pPr>
            <w:r w:rsidRPr="007B5401">
              <w:rPr>
                <w:rFonts w:ascii="Arial" w:eastAsia="Times New Roman" w:hAnsi="Arial" w:cs="Arial"/>
                <w:color w:val="000000"/>
                <w:sz w:val="18"/>
                <w:szCs w:val="18"/>
              </w:rPr>
              <w:t>Packaged AC and Heat Pumps (&lt;65 kBtu/hr)</w:t>
            </w:r>
          </w:p>
        </w:tc>
        <w:tc>
          <w:tcPr>
            <w:tcW w:w="453" w:type="dxa"/>
            <w:tcBorders>
              <w:top w:val="nil"/>
              <w:left w:val="single" w:sz="4" w:space="0" w:color="auto"/>
              <w:bottom w:val="nil"/>
              <w:right w:val="nil"/>
            </w:tcBorders>
            <w:shd w:val="clear" w:color="000000" w:fill="F2F2F2"/>
            <w:noWrap/>
            <w:vAlign w:val="bottom"/>
            <w:hideMark/>
          </w:tcPr>
          <w:p w:rsidR="007B5401" w:rsidRPr="007B5401" w:rsidRDefault="007B5401" w:rsidP="007B5401">
            <w:pPr>
              <w:jc w:val="left"/>
              <w:rPr>
                <w:rFonts w:ascii="Arial" w:eastAsia="Times New Roman" w:hAnsi="Arial" w:cs="Arial"/>
                <w:color w:val="000000"/>
                <w:sz w:val="18"/>
                <w:szCs w:val="18"/>
              </w:rPr>
            </w:pPr>
            <w:r w:rsidRPr="007B5401">
              <w:rPr>
                <w:rFonts w:ascii="Arial" w:eastAsia="Times New Roman" w:hAnsi="Arial" w:cs="Arial"/>
                <w:color w:val="000000"/>
                <w:sz w:val="18"/>
                <w:szCs w:val="18"/>
              </w:rPr>
              <w:t> </w:t>
            </w:r>
          </w:p>
        </w:tc>
        <w:tc>
          <w:tcPr>
            <w:tcW w:w="452" w:type="dxa"/>
            <w:tcBorders>
              <w:top w:val="nil"/>
              <w:left w:val="single" w:sz="4" w:space="0" w:color="auto"/>
              <w:bottom w:val="nil"/>
              <w:right w:val="nil"/>
            </w:tcBorders>
            <w:shd w:val="clear" w:color="000000" w:fill="F2F2F2"/>
            <w:noWrap/>
            <w:vAlign w:val="bottom"/>
            <w:hideMark/>
          </w:tcPr>
          <w:p w:rsidR="007B5401" w:rsidRPr="007B5401" w:rsidRDefault="007B5401" w:rsidP="007B5401">
            <w:pPr>
              <w:jc w:val="left"/>
              <w:rPr>
                <w:rFonts w:ascii="Arial" w:eastAsia="Times New Roman" w:hAnsi="Arial" w:cs="Arial"/>
                <w:color w:val="000000"/>
                <w:sz w:val="18"/>
                <w:szCs w:val="18"/>
              </w:rPr>
            </w:pPr>
            <w:r w:rsidRPr="007B5401">
              <w:rPr>
                <w:rFonts w:ascii="Arial" w:eastAsia="Times New Roman" w:hAnsi="Arial" w:cs="Arial"/>
                <w:color w:val="000000"/>
                <w:sz w:val="18"/>
                <w:szCs w:val="18"/>
              </w:rPr>
              <w:t> </w:t>
            </w:r>
          </w:p>
        </w:tc>
        <w:tc>
          <w:tcPr>
            <w:tcW w:w="452" w:type="dxa"/>
            <w:tcBorders>
              <w:top w:val="nil"/>
              <w:left w:val="single" w:sz="4" w:space="0" w:color="auto"/>
              <w:bottom w:val="nil"/>
              <w:right w:val="single" w:sz="4" w:space="0" w:color="auto"/>
            </w:tcBorders>
            <w:shd w:val="clear" w:color="000000" w:fill="F2F2F2"/>
            <w:noWrap/>
            <w:vAlign w:val="bottom"/>
            <w:hideMark/>
          </w:tcPr>
          <w:p w:rsidR="007B5401" w:rsidRPr="007B5401" w:rsidRDefault="007B5401" w:rsidP="007B5401">
            <w:pPr>
              <w:jc w:val="center"/>
              <w:rPr>
                <w:rFonts w:ascii="Arial" w:eastAsia="Times New Roman" w:hAnsi="Arial" w:cs="Arial"/>
                <w:color w:val="000000"/>
                <w:sz w:val="18"/>
                <w:szCs w:val="18"/>
              </w:rPr>
            </w:pPr>
            <w:r w:rsidRPr="007B5401">
              <w:rPr>
                <w:rFonts w:ascii="Arial" w:eastAsia="Times New Roman" w:hAnsi="Arial" w:cs="Arial"/>
                <w:color w:val="000000"/>
                <w:sz w:val="18"/>
                <w:szCs w:val="18"/>
              </w:rPr>
              <w:t> </w:t>
            </w:r>
          </w:p>
        </w:tc>
        <w:tc>
          <w:tcPr>
            <w:tcW w:w="452" w:type="dxa"/>
            <w:tcBorders>
              <w:top w:val="nil"/>
              <w:left w:val="nil"/>
              <w:bottom w:val="nil"/>
              <w:right w:val="single" w:sz="4" w:space="0" w:color="auto"/>
            </w:tcBorders>
            <w:shd w:val="clear" w:color="000000" w:fill="F2F2F2"/>
            <w:noWrap/>
            <w:vAlign w:val="bottom"/>
            <w:hideMark/>
          </w:tcPr>
          <w:p w:rsidR="007B5401" w:rsidRPr="007B5401" w:rsidRDefault="007B5401" w:rsidP="007B5401">
            <w:pPr>
              <w:jc w:val="left"/>
              <w:rPr>
                <w:rFonts w:ascii="Arial" w:eastAsia="Times New Roman" w:hAnsi="Arial" w:cs="Arial"/>
                <w:color w:val="000000"/>
                <w:sz w:val="20"/>
                <w:szCs w:val="20"/>
              </w:rPr>
            </w:pPr>
            <w:r w:rsidRPr="007B5401">
              <w:rPr>
                <w:rFonts w:ascii="Arial" w:eastAsia="Times New Roman" w:hAnsi="Arial" w:cs="Arial"/>
                <w:color w:val="000000"/>
                <w:sz w:val="20"/>
                <w:szCs w:val="20"/>
              </w:rPr>
              <w:t> </w:t>
            </w:r>
          </w:p>
        </w:tc>
        <w:tc>
          <w:tcPr>
            <w:tcW w:w="452" w:type="dxa"/>
            <w:tcBorders>
              <w:top w:val="nil"/>
              <w:left w:val="nil"/>
              <w:bottom w:val="nil"/>
              <w:right w:val="single" w:sz="4" w:space="0" w:color="auto"/>
            </w:tcBorders>
            <w:shd w:val="clear" w:color="000000" w:fill="F2F2F2"/>
            <w:noWrap/>
            <w:vAlign w:val="bottom"/>
            <w:hideMark/>
          </w:tcPr>
          <w:p w:rsidR="007B5401" w:rsidRPr="007B5401" w:rsidRDefault="007B5401" w:rsidP="007B5401">
            <w:pPr>
              <w:jc w:val="left"/>
              <w:rPr>
                <w:rFonts w:ascii="Arial" w:eastAsia="Times New Roman" w:hAnsi="Arial" w:cs="Arial"/>
                <w:color w:val="000000"/>
                <w:sz w:val="20"/>
                <w:szCs w:val="20"/>
              </w:rPr>
            </w:pPr>
            <w:r w:rsidRPr="007B5401">
              <w:rPr>
                <w:rFonts w:ascii="Arial" w:eastAsia="Times New Roman" w:hAnsi="Arial" w:cs="Arial"/>
                <w:color w:val="000000"/>
                <w:sz w:val="20"/>
                <w:szCs w:val="20"/>
              </w:rPr>
              <w:t> </w:t>
            </w:r>
          </w:p>
        </w:tc>
        <w:tc>
          <w:tcPr>
            <w:tcW w:w="452" w:type="dxa"/>
            <w:tcBorders>
              <w:top w:val="nil"/>
              <w:left w:val="nil"/>
              <w:bottom w:val="nil"/>
              <w:right w:val="single" w:sz="4" w:space="0" w:color="auto"/>
            </w:tcBorders>
            <w:shd w:val="clear" w:color="000000" w:fill="F2F2F2"/>
            <w:noWrap/>
            <w:vAlign w:val="bottom"/>
            <w:hideMark/>
          </w:tcPr>
          <w:p w:rsidR="007B5401" w:rsidRPr="007B5401" w:rsidRDefault="007B5401" w:rsidP="007B5401">
            <w:pPr>
              <w:jc w:val="left"/>
              <w:rPr>
                <w:rFonts w:ascii="Arial" w:eastAsia="Times New Roman" w:hAnsi="Arial" w:cs="Arial"/>
                <w:color w:val="000000"/>
                <w:sz w:val="20"/>
                <w:szCs w:val="20"/>
              </w:rPr>
            </w:pPr>
            <w:r w:rsidRPr="007B5401">
              <w:rPr>
                <w:rFonts w:ascii="Arial" w:eastAsia="Times New Roman" w:hAnsi="Arial" w:cs="Arial"/>
                <w:color w:val="000000"/>
                <w:sz w:val="20"/>
                <w:szCs w:val="20"/>
              </w:rPr>
              <w:t> </w:t>
            </w:r>
          </w:p>
        </w:tc>
        <w:tc>
          <w:tcPr>
            <w:tcW w:w="452" w:type="dxa"/>
            <w:tcBorders>
              <w:top w:val="nil"/>
              <w:left w:val="nil"/>
              <w:bottom w:val="nil"/>
              <w:right w:val="single" w:sz="4" w:space="0" w:color="auto"/>
            </w:tcBorders>
            <w:shd w:val="clear" w:color="000000" w:fill="F2F2F2"/>
            <w:noWrap/>
            <w:vAlign w:val="bottom"/>
            <w:hideMark/>
          </w:tcPr>
          <w:p w:rsidR="007B5401" w:rsidRPr="007B5401" w:rsidRDefault="007B5401" w:rsidP="007B5401">
            <w:pPr>
              <w:jc w:val="left"/>
              <w:rPr>
                <w:rFonts w:ascii="Arial" w:eastAsia="Times New Roman" w:hAnsi="Arial" w:cs="Arial"/>
                <w:color w:val="000000"/>
                <w:sz w:val="20"/>
                <w:szCs w:val="20"/>
              </w:rPr>
            </w:pPr>
            <w:r w:rsidRPr="007B5401">
              <w:rPr>
                <w:rFonts w:ascii="Arial" w:eastAsia="Times New Roman" w:hAnsi="Arial" w:cs="Arial"/>
                <w:color w:val="000000"/>
                <w:sz w:val="20"/>
                <w:szCs w:val="20"/>
              </w:rPr>
              <w:t> </w:t>
            </w:r>
          </w:p>
        </w:tc>
        <w:tc>
          <w:tcPr>
            <w:tcW w:w="452" w:type="dxa"/>
            <w:tcBorders>
              <w:top w:val="nil"/>
              <w:left w:val="nil"/>
              <w:bottom w:val="nil"/>
              <w:right w:val="single" w:sz="4" w:space="0" w:color="auto"/>
            </w:tcBorders>
            <w:shd w:val="clear" w:color="000000" w:fill="F2F2F2"/>
            <w:noWrap/>
            <w:vAlign w:val="bottom"/>
            <w:hideMark/>
          </w:tcPr>
          <w:p w:rsidR="007B5401" w:rsidRPr="007B5401" w:rsidRDefault="007B5401" w:rsidP="007B5401">
            <w:pPr>
              <w:jc w:val="left"/>
              <w:rPr>
                <w:rFonts w:ascii="Arial" w:eastAsia="Times New Roman" w:hAnsi="Arial" w:cs="Arial"/>
                <w:color w:val="000000"/>
                <w:sz w:val="20"/>
                <w:szCs w:val="20"/>
              </w:rPr>
            </w:pPr>
            <w:r w:rsidRPr="007B5401">
              <w:rPr>
                <w:rFonts w:ascii="Arial" w:eastAsia="Times New Roman" w:hAnsi="Arial" w:cs="Arial"/>
                <w:color w:val="000000"/>
                <w:sz w:val="20"/>
                <w:szCs w:val="20"/>
              </w:rPr>
              <w:t> </w:t>
            </w:r>
          </w:p>
        </w:tc>
        <w:tc>
          <w:tcPr>
            <w:tcW w:w="452" w:type="dxa"/>
            <w:tcBorders>
              <w:top w:val="nil"/>
              <w:left w:val="nil"/>
              <w:bottom w:val="nil"/>
              <w:right w:val="single" w:sz="4" w:space="0" w:color="auto"/>
            </w:tcBorders>
            <w:shd w:val="clear" w:color="000000" w:fill="F2F2F2"/>
            <w:hideMark/>
          </w:tcPr>
          <w:p w:rsidR="007B5401" w:rsidRPr="007B5401" w:rsidRDefault="007B5401" w:rsidP="007B5401">
            <w:pPr>
              <w:jc w:val="center"/>
              <w:rPr>
                <w:rFonts w:ascii="Wingdings 2" w:eastAsia="Times New Roman" w:hAnsi="Wingdings 2" w:cs="Arial"/>
                <w:color w:val="000000"/>
                <w:sz w:val="18"/>
                <w:szCs w:val="18"/>
              </w:rPr>
            </w:pPr>
            <w:r w:rsidRPr="007B5401">
              <w:rPr>
                <w:rFonts w:ascii="Wingdings 2" w:eastAsia="Times New Roman" w:hAnsi="Wingdings 2" w:cs="Arial"/>
                <w:color w:val="000000"/>
                <w:sz w:val="18"/>
                <w:szCs w:val="18"/>
              </w:rPr>
              <w:t></w:t>
            </w:r>
          </w:p>
        </w:tc>
        <w:tc>
          <w:tcPr>
            <w:tcW w:w="452" w:type="dxa"/>
            <w:tcBorders>
              <w:top w:val="nil"/>
              <w:left w:val="nil"/>
              <w:bottom w:val="nil"/>
              <w:right w:val="single" w:sz="4" w:space="0" w:color="auto"/>
            </w:tcBorders>
            <w:shd w:val="clear" w:color="000000" w:fill="F2F2F2"/>
            <w:noWrap/>
            <w:vAlign w:val="bottom"/>
            <w:hideMark/>
          </w:tcPr>
          <w:p w:rsidR="007B5401" w:rsidRPr="007B5401" w:rsidRDefault="007B5401" w:rsidP="007B5401">
            <w:pPr>
              <w:jc w:val="left"/>
              <w:rPr>
                <w:rFonts w:ascii="Arial" w:eastAsia="Times New Roman" w:hAnsi="Arial" w:cs="Arial"/>
                <w:color w:val="000000"/>
                <w:sz w:val="20"/>
                <w:szCs w:val="20"/>
              </w:rPr>
            </w:pPr>
            <w:r w:rsidRPr="007B5401">
              <w:rPr>
                <w:rFonts w:ascii="Arial" w:eastAsia="Times New Roman" w:hAnsi="Arial" w:cs="Arial"/>
                <w:color w:val="000000"/>
                <w:sz w:val="20"/>
                <w:szCs w:val="20"/>
              </w:rPr>
              <w:t> </w:t>
            </w:r>
          </w:p>
        </w:tc>
        <w:tc>
          <w:tcPr>
            <w:tcW w:w="452" w:type="dxa"/>
            <w:tcBorders>
              <w:top w:val="nil"/>
              <w:left w:val="nil"/>
              <w:bottom w:val="nil"/>
              <w:right w:val="single" w:sz="4" w:space="0" w:color="auto"/>
            </w:tcBorders>
            <w:shd w:val="clear" w:color="000000" w:fill="F2F2F2"/>
          </w:tcPr>
          <w:p w:rsidR="007B5401" w:rsidRPr="007B5401" w:rsidRDefault="007B5401" w:rsidP="007B5401">
            <w:pPr>
              <w:jc w:val="center"/>
              <w:rPr>
                <w:rFonts w:ascii="Wingdings 2" w:eastAsia="Times New Roman" w:hAnsi="Wingdings 2" w:cs="Arial"/>
                <w:color w:val="000000"/>
                <w:sz w:val="18"/>
                <w:szCs w:val="18"/>
              </w:rPr>
            </w:pPr>
          </w:p>
        </w:tc>
      </w:tr>
      <w:tr w:rsidR="007B5401" w:rsidRPr="007B5401" w:rsidTr="007B5401">
        <w:trPr>
          <w:trHeight w:val="255"/>
        </w:trPr>
        <w:tc>
          <w:tcPr>
            <w:tcW w:w="1247" w:type="dxa"/>
            <w:vMerge/>
            <w:tcBorders>
              <w:top w:val="nil"/>
              <w:left w:val="single" w:sz="4" w:space="0" w:color="auto"/>
              <w:bottom w:val="single" w:sz="4" w:space="0" w:color="000000"/>
              <w:right w:val="single" w:sz="4" w:space="0" w:color="auto"/>
            </w:tcBorders>
            <w:vAlign w:val="center"/>
            <w:hideMark/>
          </w:tcPr>
          <w:p w:rsidR="007B5401" w:rsidRPr="007B5401" w:rsidRDefault="007B5401" w:rsidP="007B5401">
            <w:pPr>
              <w:jc w:val="left"/>
              <w:rPr>
                <w:rFonts w:ascii="Arial" w:eastAsia="Times New Roman" w:hAnsi="Arial" w:cs="Arial"/>
                <w:color w:val="000000"/>
                <w:sz w:val="18"/>
                <w:szCs w:val="18"/>
              </w:rPr>
            </w:pPr>
          </w:p>
        </w:tc>
        <w:tc>
          <w:tcPr>
            <w:tcW w:w="3551" w:type="dxa"/>
            <w:tcBorders>
              <w:top w:val="nil"/>
              <w:left w:val="nil"/>
              <w:bottom w:val="nil"/>
              <w:right w:val="nil"/>
            </w:tcBorders>
            <w:shd w:val="clear" w:color="auto" w:fill="auto"/>
            <w:noWrap/>
            <w:vAlign w:val="bottom"/>
            <w:hideMark/>
          </w:tcPr>
          <w:p w:rsidR="007B5401" w:rsidRPr="007B5401" w:rsidRDefault="007B5401" w:rsidP="007B5401">
            <w:pPr>
              <w:jc w:val="left"/>
              <w:rPr>
                <w:rFonts w:ascii="Arial" w:eastAsia="Times New Roman" w:hAnsi="Arial" w:cs="Arial"/>
                <w:color w:val="000000"/>
                <w:sz w:val="18"/>
                <w:szCs w:val="18"/>
              </w:rPr>
            </w:pPr>
            <w:r w:rsidRPr="007B5401">
              <w:rPr>
                <w:rFonts w:ascii="Arial" w:eastAsia="Times New Roman" w:hAnsi="Arial" w:cs="Arial"/>
                <w:color w:val="000000"/>
                <w:sz w:val="18"/>
                <w:szCs w:val="18"/>
              </w:rPr>
              <w:t>Packaged Terminal AC and Heat Pumps</w:t>
            </w:r>
          </w:p>
        </w:tc>
        <w:tc>
          <w:tcPr>
            <w:tcW w:w="453" w:type="dxa"/>
            <w:tcBorders>
              <w:top w:val="nil"/>
              <w:left w:val="single" w:sz="4" w:space="0" w:color="auto"/>
              <w:bottom w:val="nil"/>
              <w:right w:val="single" w:sz="4" w:space="0" w:color="auto"/>
            </w:tcBorders>
            <w:shd w:val="clear" w:color="auto" w:fill="auto"/>
            <w:hideMark/>
          </w:tcPr>
          <w:p w:rsidR="007B5401" w:rsidRPr="007B5401" w:rsidRDefault="007B5401" w:rsidP="007B5401">
            <w:pPr>
              <w:jc w:val="center"/>
              <w:rPr>
                <w:rFonts w:ascii="Wingdings 2" w:eastAsia="Times New Roman" w:hAnsi="Wingdings 2" w:cs="Arial"/>
                <w:color w:val="000000"/>
                <w:sz w:val="18"/>
                <w:szCs w:val="18"/>
              </w:rPr>
            </w:pPr>
            <w:r w:rsidRPr="007B5401">
              <w:rPr>
                <w:rFonts w:ascii="Wingdings 2" w:eastAsia="Times New Roman" w:hAnsi="Wingdings 2" w:cs="Arial"/>
                <w:color w:val="000000"/>
                <w:sz w:val="18"/>
                <w:szCs w:val="18"/>
              </w:rPr>
              <w:t></w:t>
            </w:r>
          </w:p>
        </w:tc>
        <w:tc>
          <w:tcPr>
            <w:tcW w:w="452" w:type="dxa"/>
            <w:tcBorders>
              <w:top w:val="nil"/>
              <w:left w:val="nil"/>
              <w:bottom w:val="nil"/>
              <w:right w:val="single" w:sz="4" w:space="0" w:color="auto"/>
            </w:tcBorders>
            <w:shd w:val="clear" w:color="auto" w:fill="auto"/>
            <w:noWrap/>
            <w:vAlign w:val="bottom"/>
            <w:hideMark/>
          </w:tcPr>
          <w:p w:rsidR="007B5401" w:rsidRPr="007B5401" w:rsidRDefault="007B5401" w:rsidP="007B5401">
            <w:pPr>
              <w:jc w:val="left"/>
              <w:rPr>
                <w:rFonts w:ascii="Arial" w:eastAsia="Times New Roman" w:hAnsi="Arial" w:cs="Arial"/>
                <w:color w:val="000000"/>
                <w:sz w:val="18"/>
                <w:szCs w:val="18"/>
              </w:rPr>
            </w:pPr>
            <w:r w:rsidRPr="007B5401">
              <w:rPr>
                <w:rFonts w:ascii="Arial" w:eastAsia="Times New Roman" w:hAnsi="Arial" w:cs="Arial"/>
                <w:color w:val="000000"/>
                <w:sz w:val="18"/>
                <w:szCs w:val="18"/>
              </w:rPr>
              <w:t> </w:t>
            </w:r>
          </w:p>
        </w:tc>
        <w:tc>
          <w:tcPr>
            <w:tcW w:w="452" w:type="dxa"/>
            <w:tcBorders>
              <w:top w:val="nil"/>
              <w:left w:val="nil"/>
              <w:bottom w:val="nil"/>
              <w:right w:val="nil"/>
            </w:tcBorders>
            <w:shd w:val="clear" w:color="auto" w:fill="auto"/>
            <w:noWrap/>
            <w:vAlign w:val="bottom"/>
            <w:hideMark/>
          </w:tcPr>
          <w:p w:rsidR="007B5401" w:rsidRPr="007B5401" w:rsidRDefault="007B5401" w:rsidP="007B5401">
            <w:pPr>
              <w:jc w:val="left"/>
              <w:rPr>
                <w:rFonts w:ascii="Arial" w:eastAsia="Times New Roman" w:hAnsi="Arial" w:cs="Arial"/>
                <w:color w:val="000000"/>
                <w:sz w:val="20"/>
                <w:szCs w:val="20"/>
              </w:rPr>
            </w:pPr>
          </w:p>
        </w:tc>
        <w:tc>
          <w:tcPr>
            <w:tcW w:w="452" w:type="dxa"/>
            <w:tcBorders>
              <w:top w:val="nil"/>
              <w:left w:val="single" w:sz="4" w:space="0" w:color="auto"/>
              <w:bottom w:val="nil"/>
              <w:right w:val="single" w:sz="4" w:space="0" w:color="auto"/>
            </w:tcBorders>
            <w:shd w:val="clear" w:color="auto" w:fill="auto"/>
            <w:noWrap/>
            <w:vAlign w:val="bottom"/>
            <w:hideMark/>
          </w:tcPr>
          <w:p w:rsidR="007B5401" w:rsidRPr="007B5401" w:rsidRDefault="007B5401" w:rsidP="007B5401">
            <w:pPr>
              <w:jc w:val="left"/>
              <w:rPr>
                <w:rFonts w:ascii="Arial" w:eastAsia="Times New Roman" w:hAnsi="Arial" w:cs="Arial"/>
                <w:color w:val="000000"/>
                <w:sz w:val="20"/>
                <w:szCs w:val="20"/>
              </w:rPr>
            </w:pPr>
            <w:r w:rsidRPr="007B5401">
              <w:rPr>
                <w:rFonts w:ascii="Arial" w:eastAsia="Times New Roman" w:hAnsi="Arial" w:cs="Arial"/>
                <w:color w:val="000000"/>
                <w:sz w:val="20"/>
                <w:szCs w:val="20"/>
              </w:rPr>
              <w:t> </w:t>
            </w:r>
          </w:p>
        </w:tc>
        <w:tc>
          <w:tcPr>
            <w:tcW w:w="452" w:type="dxa"/>
            <w:tcBorders>
              <w:top w:val="nil"/>
              <w:left w:val="nil"/>
              <w:bottom w:val="nil"/>
              <w:right w:val="single" w:sz="4" w:space="0" w:color="auto"/>
            </w:tcBorders>
            <w:shd w:val="clear" w:color="auto" w:fill="auto"/>
            <w:noWrap/>
            <w:vAlign w:val="bottom"/>
            <w:hideMark/>
          </w:tcPr>
          <w:p w:rsidR="007B5401" w:rsidRPr="007B5401" w:rsidRDefault="007B5401" w:rsidP="007B5401">
            <w:pPr>
              <w:jc w:val="left"/>
              <w:rPr>
                <w:rFonts w:ascii="Arial" w:eastAsia="Times New Roman" w:hAnsi="Arial" w:cs="Arial"/>
                <w:color w:val="000000"/>
                <w:sz w:val="20"/>
                <w:szCs w:val="20"/>
              </w:rPr>
            </w:pPr>
            <w:r w:rsidRPr="007B5401">
              <w:rPr>
                <w:rFonts w:ascii="Arial" w:eastAsia="Times New Roman" w:hAnsi="Arial" w:cs="Arial"/>
                <w:color w:val="000000"/>
                <w:sz w:val="20"/>
                <w:szCs w:val="20"/>
              </w:rPr>
              <w:t> </w:t>
            </w:r>
          </w:p>
        </w:tc>
        <w:tc>
          <w:tcPr>
            <w:tcW w:w="452" w:type="dxa"/>
            <w:tcBorders>
              <w:top w:val="nil"/>
              <w:left w:val="nil"/>
              <w:bottom w:val="nil"/>
              <w:right w:val="single" w:sz="4" w:space="0" w:color="auto"/>
            </w:tcBorders>
            <w:shd w:val="clear" w:color="auto" w:fill="auto"/>
            <w:noWrap/>
            <w:vAlign w:val="bottom"/>
            <w:hideMark/>
          </w:tcPr>
          <w:p w:rsidR="007B5401" w:rsidRPr="007B5401" w:rsidRDefault="007B5401" w:rsidP="007B5401">
            <w:pPr>
              <w:jc w:val="left"/>
              <w:rPr>
                <w:rFonts w:ascii="Arial" w:eastAsia="Times New Roman" w:hAnsi="Arial" w:cs="Arial"/>
                <w:color w:val="000000"/>
                <w:sz w:val="20"/>
                <w:szCs w:val="20"/>
              </w:rPr>
            </w:pPr>
            <w:r w:rsidRPr="007B5401">
              <w:rPr>
                <w:rFonts w:ascii="Arial" w:eastAsia="Times New Roman" w:hAnsi="Arial" w:cs="Arial"/>
                <w:color w:val="000000"/>
                <w:sz w:val="20"/>
                <w:szCs w:val="20"/>
              </w:rPr>
              <w:t> </w:t>
            </w:r>
          </w:p>
        </w:tc>
        <w:tc>
          <w:tcPr>
            <w:tcW w:w="452" w:type="dxa"/>
            <w:tcBorders>
              <w:top w:val="nil"/>
              <w:left w:val="nil"/>
              <w:bottom w:val="nil"/>
              <w:right w:val="single" w:sz="4" w:space="0" w:color="auto"/>
            </w:tcBorders>
            <w:shd w:val="clear" w:color="auto" w:fill="auto"/>
            <w:noWrap/>
            <w:vAlign w:val="bottom"/>
            <w:hideMark/>
          </w:tcPr>
          <w:p w:rsidR="007B5401" w:rsidRPr="007B5401" w:rsidRDefault="007B5401" w:rsidP="007B5401">
            <w:pPr>
              <w:jc w:val="left"/>
              <w:rPr>
                <w:rFonts w:ascii="Arial" w:eastAsia="Times New Roman" w:hAnsi="Arial" w:cs="Arial"/>
                <w:color w:val="000000"/>
                <w:sz w:val="20"/>
                <w:szCs w:val="20"/>
              </w:rPr>
            </w:pPr>
            <w:r w:rsidRPr="007B5401">
              <w:rPr>
                <w:rFonts w:ascii="Arial" w:eastAsia="Times New Roman" w:hAnsi="Arial" w:cs="Arial"/>
                <w:color w:val="000000"/>
                <w:sz w:val="20"/>
                <w:szCs w:val="20"/>
              </w:rPr>
              <w:t> </w:t>
            </w:r>
          </w:p>
        </w:tc>
        <w:tc>
          <w:tcPr>
            <w:tcW w:w="452" w:type="dxa"/>
            <w:tcBorders>
              <w:top w:val="nil"/>
              <w:left w:val="nil"/>
              <w:bottom w:val="nil"/>
              <w:right w:val="single" w:sz="4" w:space="0" w:color="auto"/>
            </w:tcBorders>
            <w:shd w:val="clear" w:color="auto" w:fill="auto"/>
            <w:noWrap/>
            <w:vAlign w:val="bottom"/>
            <w:hideMark/>
          </w:tcPr>
          <w:p w:rsidR="007B5401" w:rsidRPr="007B5401" w:rsidRDefault="007B5401" w:rsidP="007B5401">
            <w:pPr>
              <w:jc w:val="left"/>
              <w:rPr>
                <w:rFonts w:ascii="Arial" w:eastAsia="Times New Roman" w:hAnsi="Arial" w:cs="Arial"/>
                <w:color w:val="000000"/>
                <w:sz w:val="20"/>
                <w:szCs w:val="20"/>
              </w:rPr>
            </w:pPr>
            <w:r w:rsidRPr="007B5401">
              <w:rPr>
                <w:rFonts w:ascii="Arial" w:eastAsia="Times New Roman" w:hAnsi="Arial" w:cs="Arial"/>
                <w:color w:val="000000"/>
                <w:sz w:val="20"/>
                <w:szCs w:val="20"/>
              </w:rPr>
              <w:t> </w:t>
            </w:r>
          </w:p>
        </w:tc>
        <w:tc>
          <w:tcPr>
            <w:tcW w:w="452" w:type="dxa"/>
            <w:tcBorders>
              <w:top w:val="nil"/>
              <w:left w:val="nil"/>
              <w:bottom w:val="nil"/>
              <w:right w:val="single" w:sz="4" w:space="0" w:color="auto"/>
            </w:tcBorders>
            <w:shd w:val="clear" w:color="auto" w:fill="auto"/>
            <w:hideMark/>
          </w:tcPr>
          <w:p w:rsidR="007B5401" w:rsidRPr="007B5401" w:rsidRDefault="007B5401" w:rsidP="007B5401">
            <w:pPr>
              <w:jc w:val="center"/>
              <w:rPr>
                <w:rFonts w:ascii="Wingdings 2" w:eastAsia="Times New Roman" w:hAnsi="Wingdings 2" w:cs="Arial"/>
                <w:color w:val="000000"/>
                <w:sz w:val="18"/>
                <w:szCs w:val="18"/>
              </w:rPr>
            </w:pPr>
            <w:r w:rsidRPr="007B5401">
              <w:rPr>
                <w:rFonts w:ascii="Wingdings 2" w:eastAsia="Times New Roman" w:hAnsi="Wingdings 2" w:cs="Arial"/>
                <w:color w:val="000000"/>
                <w:sz w:val="18"/>
                <w:szCs w:val="18"/>
              </w:rPr>
              <w:t></w:t>
            </w:r>
          </w:p>
        </w:tc>
        <w:tc>
          <w:tcPr>
            <w:tcW w:w="452" w:type="dxa"/>
            <w:tcBorders>
              <w:top w:val="nil"/>
              <w:left w:val="nil"/>
              <w:bottom w:val="nil"/>
              <w:right w:val="single" w:sz="4" w:space="0" w:color="auto"/>
            </w:tcBorders>
            <w:shd w:val="clear" w:color="auto" w:fill="auto"/>
            <w:noWrap/>
            <w:vAlign w:val="bottom"/>
            <w:hideMark/>
          </w:tcPr>
          <w:p w:rsidR="007B5401" w:rsidRPr="007B5401" w:rsidRDefault="007B5401" w:rsidP="007B5401">
            <w:pPr>
              <w:jc w:val="left"/>
              <w:rPr>
                <w:rFonts w:ascii="Arial" w:eastAsia="Times New Roman" w:hAnsi="Arial" w:cs="Arial"/>
                <w:color w:val="000000"/>
                <w:sz w:val="20"/>
                <w:szCs w:val="20"/>
              </w:rPr>
            </w:pPr>
            <w:r w:rsidRPr="007B5401">
              <w:rPr>
                <w:rFonts w:ascii="Arial" w:eastAsia="Times New Roman" w:hAnsi="Arial" w:cs="Arial"/>
                <w:color w:val="000000"/>
                <w:sz w:val="20"/>
                <w:szCs w:val="20"/>
              </w:rPr>
              <w:t> </w:t>
            </w:r>
          </w:p>
        </w:tc>
        <w:tc>
          <w:tcPr>
            <w:tcW w:w="452" w:type="dxa"/>
            <w:tcBorders>
              <w:top w:val="nil"/>
              <w:left w:val="nil"/>
              <w:bottom w:val="nil"/>
              <w:right w:val="single" w:sz="4" w:space="0" w:color="auto"/>
            </w:tcBorders>
            <w:shd w:val="clear" w:color="auto" w:fill="auto"/>
            <w:noWrap/>
            <w:vAlign w:val="bottom"/>
          </w:tcPr>
          <w:p w:rsidR="007B5401" w:rsidRPr="007B5401" w:rsidRDefault="007B5401" w:rsidP="007B5401">
            <w:pPr>
              <w:jc w:val="left"/>
              <w:rPr>
                <w:rFonts w:ascii="Arial" w:eastAsia="Times New Roman" w:hAnsi="Arial" w:cs="Arial"/>
                <w:color w:val="000000"/>
                <w:sz w:val="20"/>
                <w:szCs w:val="20"/>
              </w:rPr>
            </w:pPr>
          </w:p>
        </w:tc>
      </w:tr>
      <w:tr w:rsidR="007B5401" w:rsidRPr="007B5401" w:rsidTr="007B5401">
        <w:trPr>
          <w:trHeight w:val="255"/>
        </w:trPr>
        <w:tc>
          <w:tcPr>
            <w:tcW w:w="1247" w:type="dxa"/>
            <w:vMerge/>
            <w:tcBorders>
              <w:top w:val="nil"/>
              <w:left w:val="single" w:sz="4" w:space="0" w:color="auto"/>
              <w:bottom w:val="single" w:sz="4" w:space="0" w:color="000000"/>
              <w:right w:val="single" w:sz="4" w:space="0" w:color="auto"/>
            </w:tcBorders>
            <w:vAlign w:val="center"/>
            <w:hideMark/>
          </w:tcPr>
          <w:p w:rsidR="007B5401" w:rsidRPr="007B5401" w:rsidRDefault="007B5401" w:rsidP="007B5401">
            <w:pPr>
              <w:jc w:val="left"/>
              <w:rPr>
                <w:rFonts w:ascii="Arial" w:eastAsia="Times New Roman" w:hAnsi="Arial" w:cs="Arial"/>
                <w:color w:val="000000"/>
                <w:sz w:val="18"/>
                <w:szCs w:val="18"/>
              </w:rPr>
            </w:pPr>
          </w:p>
        </w:tc>
        <w:tc>
          <w:tcPr>
            <w:tcW w:w="3551" w:type="dxa"/>
            <w:tcBorders>
              <w:top w:val="nil"/>
              <w:left w:val="nil"/>
              <w:bottom w:val="nil"/>
              <w:right w:val="nil"/>
            </w:tcBorders>
            <w:shd w:val="clear" w:color="000000" w:fill="F2F2F2"/>
            <w:noWrap/>
            <w:vAlign w:val="bottom"/>
            <w:hideMark/>
          </w:tcPr>
          <w:p w:rsidR="007B5401" w:rsidRPr="007B5401" w:rsidRDefault="007B5401" w:rsidP="007B5401">
            <w:pPr>
              <w:jc w:val="left"/>
              <w:rPr>
                <w:rFonts w:ascii="Arial" w:eastAsia="Times New Roman" w:hAnsi="Arial" w:cs="Arial"/>
                <w:color w:val="000000"/>
                <w:sz w:val="18"/>
                <w:szCs w:val="18"/>
              </w:rPr>
            </w:pPr>
            <w:r w:rsidRPr="007B5401">
              <w:rPr>
                <w:rFonts w:ascii="Arial" w:eastAsia="Times New Roman" w:hAnsi="Arial" w:cs="Arial"/>
                <w:color w:val="000000"/>
                <w:sz w:val="18"/>
                <w:szCs w:val="18"/>
              </w:rPr>
              <w:t>Refrigerated Beverage Vending Machines</w:t>
            </w:r>
          </w:p>
        </w:tc>
        <w:tc>
          <w:tcPr>
            <w:tcW w:w="453" w:type="dxa"/>
            <w:tcBorders>
              <w:top w:val="nil"/>
              <w:left w:val="single" w:sz="4" w:space="0" w:color="auto"/>
              <w:bottom w:val="nil"/>
              <w:right w:val="nil"/>
            </w:tcBorders>
            <w:shd w:val="clear" w:color="000000" w:fill="F2F2F2"/>
            <w:noWrap/>
            <w:vAlign w:val="bottom"/>
            <w:hideMark/>
          </w:tcPr>
          <w:p w:rsidR="007B5401" w:rsidRPr="007B5401" w:rsidRDefault="007B5401" w:rsidP="007B5401">
            <w:pPr>
              <w:jc w:val="left"/>
              <w:rPr>
                <w:rFonts w:ascii="Arial" w:eastAsia="Times New Roman" w:hAnsi="Arial" w:cs="Arial"/>
                <w:color w:val="000000"/>
                <w:sz w:val="18"/>
                <w:szCs w:val="18"/>
              </w:rPr>
            </w:pPr>
            <w:r w:rsidRPr="007B5401">
              <w:rPr>
                <w:rFonts w:ascii="Arial" w:eastAsia="Times New Roman" w:hAnsi="Arial" w:cs="Arial"/>
                <w:color w:val="000000"/>
                <w:sz w:val="18"/>
                <w:szCs w:val="18"/>
              </w:rPr>
              <w:t> </w:t>
            </w:r>
          </w:p>
        </w:tc>
        <w:tc>
          <w:tcPr>
            <w:tcW w:w="452" w:type="dxa"/>
            <w:tcBorders>
              <w:top w:val="nil"/>
              <w:left w:val="single" w:sz="4" w:space="0" w:color="auto"/>
              <w:bottom w:val="nil"/>
              <w:right w:val="nil"/>
            </w:tcBorders>
            <w:shd w:val="clear" w:color="000000" w:fill="F2F2F2"/>
            <w:noWrap/>
            <w:vAlign w:val="bottom"/>
            <w:hideMark/>
          </w:tcPr>
          <w:p w:rsidR="007B5401" w:rsidRPr="007B5401" w:rsidRDefault="007B5401" w:rsidP="007B5401">
            <w:pPr>
              <w:jc w:val="left"/>
              <w:rPr>
                <w:rFonts w:ascii="Arial" w:eastAsia="Times New Roman" w:hAnsi="Arial" w:cs="Arial"/>
                <w:color w:val="000000"/>
                <w:sz w:val="18"/>
                <w:szCs w:val="18"/>
              </w:rPr>
            </w:pPr>
            <w:r w:rsidRPr="007B5401">
              <w:rPr>
                <w:rFonts w:ascii="Arial" w:eastAsia="Times New Roman" w:hAnsi="Arial" w:cs="Arial"/>
                <w:color w:val="000000"/>
                <w:sz w:val="18"/>
                <w:szCs w:val="18"/>
              </w:rPr>
              <w:t> </w:t>
            </w:r>
          </w:p>
        </w:tc>
        <w:tc>
          <w:tcPr>
            <w:tcW w:w="452" w:type="dxa"/>
            <w:tcBorders>
              <w:top w:val="nil"/>
              <w:left w:val="single" w:sz="4" w:space="0" w:color="auto"/>
              <w:bottom w:val="nil"/>
              <w:right w:val="single" w:sz="4" w:space="0" w:color="auto"/>
            </w:tcBorders>
            <w:shd w:val="clear" w:color="000000" w:fill="F2F2F2"/>
            <w:hideMark/>
          </w:tcPr>
          <w:p w:rsidR="007B5401" w:rsidRPr="007B5401" w:rsidRDefault="007B5401" w:rsidP="007B5401">
            <w:pPr>
              <w:jc w:val="center"/>
              <w:rPr>
                <w:rFonts w:ascii="Wingdings 2" w:eastAsia="Times New Roman" w:hAnsi="Wingdings 2" w:cs="Arial"/>
                <w:color w:val="000000"/>
                <w:sz w:val="18"/>
                <w:szCs w:val="18"/>
              </w:rPr>
            </w:pPr>
            <w:r w:rsidRPr="007B5401">
              <w:rPr>
                <w:rFonts w:ascii="Wingdings 2" w:eastAsia="Times New Roman" w:hAnsi="Wingdings 2" w:cs="Arial"/>
                <w:color w:val="000000"/>
                <w:sz w:val="18"/>
                <w:szCs w:val="18"/>
              </w:rPr>
              <w:t></w:t>
            </w:r>
          </w:p>
        </w:tc>
        <w:tc>
          <w:tcPr>
            <w:tcW w:w="452" w:type="dxa"/>
            <w:tcBorders>
              <w:top w:val="nil"/>
              <w:left w:val="nil"/>
              <w:bottom w:val="nil"/>
              <w:right w:val="single" w:sz="4" w:space="0" w:color="auto"/>
            </w:tcBorders>
            <w:shd w:val="clear" w:color="000000" w:fill="F2F2F2"/>
            <w:noWrap/>
            <w:vAlign w:val="bottom"/>
            <w:hideMark/>
          </w:tcPr>
          <w:p w:rsidR="007B5401" w:rsidRPr="007B5401" w:rsidRDefault="007B5401" w:rsidP="007B5401">
            <w:pPr>
              <w:jc w:val="left"/>
              <w:rPr>
                <w:rFonts w:ascii="Arial" w:eastAsia="Times New Roman" w:hAnsi="Arial" w:cs="Arial"/>
                <w:color w:val="000000"/>
                <w:sz w:val="20"/>
                <w:szCs w:val="20"/>
              </w:rPr>
            </w:pPr>
            <w:r w:rsidRPr="007B5401">
              <w:rPr>
                <w:rFonts w:ascii="Arial" w:eastAsia="Times New Roman" w:hAnsi="Arial" w:cs="Arial"/>
                <w:color w:val="000000"/>
                <w:sz w:val="20"/>
                <w:szCs w:val="20"/>
              </w:rPr>
              <w:t> </w:t>
            </w:r>
          </w:p>
        </w:tc>
        <w:tc>
          <w:tcPr>
            <w:tcW w:w="452" w:type="dxa"/>
            <w:tcBorders>
              <w:top w:val="nil"/>
              <w:left w:val="nil"/>
              <w:bottom w:val="nil"/>
              <w:right w:val="single" w:sz="4" w:space="0" w:color="auto"/>
            </w:tcBorders>
            <w:shd w:val="clear" w:color="000000" w:fill="F2F2F2"/>
            <w:noWrap/>
            <w:vAlign w:val="bottom"/>
            <w:hideMark/>
          </w:tcPr>
          <w:p w:rsidR="007B5401" w:rsidRPr="007B5401" w:rsidRDefault="007B5401" w:rsidP="007B5401">
            <w:pPr>
              <w:jc w:val="left"/>
              <w:rPr>
                <w:rFonts w:ascii="Arial" w:eastAsia="Times New Roman" w:hAnsi="Arial" w:cs="Arial"/>
                <w:color w:val="000000"/>
                <w:sz w:val="20"/>
                <w:szCs w:val="20"/>
              </w:rPr>
            </w:pPr>
            <w:r w:rsidRPr="007B5401">
              <w:rPr>
                <w:rFonts w:ascii="Arial" w:eastAsia="Times New Roman" w:hAnsi="Arial" w:cs="Arial"/>
                <w:color w:val="000000"/>
                <w:sz w:val="20"/>
                <w:szCs w:val="20"/>
              </w:rPr>
              <w:t> </w:t>
            </w:r>
          </w:p>
        </w:tc>
        <w:tc>
          <w:tcPr>
            <w:tcW w:w="452" w:type="dxa"/>
            <w:tcBorders>
              <w:top w:val="nil"/>
              <w:left w:val="nil"/>
              <w:bottom w:val="nil"/>
              <w:right w:val="single" w:sz="4" w:space="0" w:color="auto"/>
            </w:tcBorders>
            <w:shd w:val="clear" w:color="000000" w:fill="F2F2F2"/>
            <w:noWrap/>
            <w:vAlign w:val="bottom"/>
            <w:hideMark/>
          </w:tcPr>
          <w:p w:rsidR="007B5401" w:rsidRPr="007B5401" w:rsidRDefault="007B5401" w:rsidP="007B5401">
            <w:pPr>
              <w:jc w:val="left"/>
              <w:rPr>
                <w:rFonts w:ascii="Arial" w:eastAsia="Times New Roman" w:hAnsi="Arial" w:cs="Arial"/>
                <w:color w:val="000000"/>
                <w:sz w:val="20"/>
                <w:szCs w:val="20"/>
              </w:rPr>
            </w:pPr>
            <w:r w:rsidRPr="007B5401">
              <w:rPr>
                <w:rFonts w:ascii="Arial" w:eastAsia="Times New Roman" w:hAnsi="Arial" w:cs="Arial"/>
                <w:color w:val="000000"/>
                <w:sz w:val="20"/>
                <w:szCs w:val="20"/>
              </w:rPr>
              <w:t> </w:t>
            </w:r>
          </w:p>
        </w:tc>
        <w:tc>
          <w:tcPr>
            <w:tcW w:w="452" w:type="dxa"/>
            <w:tcBorders>
              <w:top w:val="nil"/>
              <w:left w:val="nil"/>
              <w:bottom w:val="nil"/>
              <w:right w:val="single" w:sz="4" w:space="0" w:color="auto"/>
            </w:tcBorders>
            <w:shd w:val="clear" w:color="000000" w:fill="F2F2F2"/>
            <w:noWrap/>
            <w:vAlign w:val="bottom"/>
            <w:hideMark/>
          </w:tcPr>
          <w:p w:rsidR="007B5401" w:rsidRPr="007B5401" w:rsidRDefault="007B5401" w:rsidP="007B5401">
            <w:pPr>
              <w:jc w:val="left"/>
              <w:rPr>
                <w:rFonts w:ascii="Arial" w:eastAsia="Times New Roman" w:hAnsi="Arial" w:cs="Arial"/>
                <w:color w:val="000000"/>
                <w:sz w:val="20"/>
                <w:szCs w:val="20"/>
              </w:rPr>
            </w:pPr>
            <w:r w:rsidRPr="007B5401">
              <w:rPr>
                <w:rFonts w:ascii="Arial" w:eastAsia="Times New Roman" w:hAnsi="Arial" w:cs="Arial"/>
                <w:color w:val="000000"/>
                <w:sz w:val="20"/>
                <w:szCs w:val="20"/>
              </w:rPr>
              <w:t> </w:t>
            </w:r>
          </w:p>
        </w:tc>
        <w:tc>
          <w:tcPr>
            <w:tcW w:w="452" w:type="dxa"/>
            <w:tcBorders>
              <w:top w:val="nil"/>
              <w:left w:val="nil"/>
              <w:bottom w:val="nil"/>
              <w:right w:val="single" w:sz="4" w:space="0" w:color="auto"/>
            </w:tcBorders>
            <w:shd w:val="clear" w:color="000000" w:fill="F2F2F2"/>
            <w:noWrap/>
            <w:vAlign w:val="bottom"/>
            <w:hideMark/>
          </w:tcPr>
          <w:p w:rsidR="007B5401" w:rsidRPr="007B5401" w:rsidRDefault="007B5401" w:rsidP="007B5401">
            <w:pPr>
              <w:jc w:val="left"/>
              <w:rPr>
                <w:rFonts w:ascii="Arial" w:eastAsia="Times New Roman" w:hAnsi="Arial" w:cs="Arial"/>
                <w:color w:val="000000"/>
                <w:sz w:val="20"/>
                <w:szCs w:val="20"/>
              </w:rPr>
            </w:pPr>
            <w:r w:rsidRPr="007B5401">
              <w:rPr>
                <w:rFonts w:ascii="Arial" w:eastAsia="Times New Roman" w:hAnsi="Arial" w:cs="Arial"/>
                <w:color w:val="000000"/>
                <w:sz w:val="20"/>
                <w:szCs w:val="20"/>
              </w:rPr>
              <w:t> </w:t>
            </w:r>
          </w:p>
        </w:tc>
        <w:tc>
          <w:tcPr>
            <w:tcW w:w="452" w:type="dxa"/>
            <w:tcBorders>
              <w:top w:val="nil"/>
              <w:left w:val="nil"/>
              <w:bottom w:val="nil"/>
              <w:right w:val="single" w:sz="4" w:space="0" w:color="auto"/>
            </w:tcBorders>
            <w:shd w:val="clear" w:color="000000" w:fill="F2F2F2"/>
            <w:noWrap/>
            <w:vAlign w:val="bottom"/>
            <w:hideMark/>
          </w:tcPr>
          <w:p w:rsidR="007B5401" w:rsidRPr="007B5401" w:rsidRDefault="007B5401" w:rsidP="007B5401">
            <w:pPr>
              <w:jc w:val="left"/>
              <w:rPr>
                <w:rFonts w:ascii="Arial" w:eastAsia="Times New Roman" w:hAnsi="Arial" w:cs="Arial"/>
                <w:color w:val="000000"/>
                <w:sz w:val="20"/>
                <w:szCs w:val="20"/>
              </w:rPr>
            </w:pPr>
            <w:r w:rsidRPr="007B5401">
              <w:rPr>
                <w:rFonts w:ascii="Arial" w:eastAsia="Times New Roman" w:hAnsi="Arial" w:cs="Arial"/>
                <w:color w:val="000000"/>
                <w:sz w:val="20"/>
                <w:szCs w:val="20"/>
              </w:rPr>
              <w:t> </w:t>
            </w:r>
          </w:p>
        </w:tc>
        <w:tc>
          <w:tcPr>
            <w:tcW w:w="452" w:type="dxa"/>
            <w:tcBorders>
              <w:top w:val="nil"/>
              <w:left w:val="nil"/>
              <w:bottom w:val="nil"/>
              <w:right w:val="single" w:sz="4" w:space="0" w:color="auto"/>
            </w:tcBorders>
            <w:shd w:val="clear" w:color="000000" w:fill="F2F2F2"/>
            <w:noWrap/>
            <w:vAlign w:val="bottom"/>
            <w:hideMark/>
          </w:tcPr>
          <w:p w:rsidR="007B5401" w:rsidRPr="007B5401" w:rsidRDefault="007B5401" w:rsidP="007B5401">
            <w:pPr>
              <w:jc w:val="left"/>
              <w:rPr>
                <w:rFonts w:ascii="Arial" w:eastAsia="Times New Roman" w:hAnsi="Arial" w:cs="Arial"/>
                <w:color w:val="000000"/>
                <w:sz w:val="20"/>
                <w:szCs w:val="20"/>
              </w:rPr>
            </w:pPr>
            <w:r w:rsidRPr="007B5401">
              <w:rPr>
                <w:rFonts w:ascii="Arial" w:eastAsia="Times New Roman" w:hAnsi="Arial" w:cs="Arial"/>
                <w:color w:val="000000"/>
                <w:sz w:val="20"/>
                <w:szCs w:val="20"/>
              </w:rPr>
              <w:t> </w:t>
            </w:r>
          </w:p>
        </w:tc>
        <w:tc>
          <w:tcPr>
            <w:tcW w:w="452" w:type="dxa"/>
            <w:tcBorders>
              <w:top w:val="nil"/>
              <w:left w:val="nil"/>
              <w:bottom w:val="nil"/>
              <w:right w:val="single" w:sz="4" w:space="0" w:color="auto"/>
            </w:tcBorders>
            <w:shd w:val="clear" w:color="000000" w:fill="F2F2F2"/>
            <w:noWrap/>
            <w:vAlign w:val="bottom"/>
          </w:tcPr>
          <w:p w:rsidR="007B5401" w:rsidRPr="007B5401" w:rsidRDefault="007B5401" w:rsidP="007B5401">
            <w:pPr>
              <w:jc w:val="left"/>
              <w:rPr>
                <w:rFonts w:ascii="Arial" w:eastAsia="Times New Roman" w:hAnsi="Arial" w:cs="Arial"/>
                <w:color w:val="000000"/>
                <w:sz w:val="20"/>
                <w:szCs w:val="20"/>
              </w:rPr>
            </w:pPr>
          </w:p>
        </w:tc>
      </w:tr>
      <w:tr w:rsidR="007B5401" w:rsidRPr="007B5401" w:rsidTr="007B5401">
        <w:trPr>
          <w:trHeight w:val="255"/>
        </w:trPr>
        <w:tc>
          <w:tcPr>
            <w:tcW w:w="1247" w:type="dxa"/>
            <w:vMerge/>
            <w:tcBorders>
              <w:top w:val="nil"/>
              <w:left w:val="single" w:sz="4" w:space="0" w:color="auto"/>
              <w:bottom w:val="single" w:sz="4" w:space="0" w:color="000000"/>
              <w:right w:val="single" w:sz="4" w:space="0" w:color="auto"/>
            </w:tcBorders>
            <w:vAlign w:val="center"/>
            <w:hideMark/>
          </w:tcPr>
          <w:p w:rsidR="007B5401" w:rsidRPr="007B5401" w:rsidRDefault="007B5401" w:rsidP="007B5401">
            <w:pPr>
              <w:jc w:val="left"/>
              <w:rPr>
                <w:rFonts w:ascii="Arial" w:eastAsia="Times New Roman" w:hAnsi="Arial" w:cs="Arial"/>
                <w:color w:val="000000"/>
                <w:sz w:val="18"/>
                <w:szCs w:val="18"/>
              </w:rPr>
            </w:pPr>
          </w:p>
        </w:tc>
        <w:tc>
          <w:tcPr>
            <w:tcW w:w="3551" w:type="dxa"/>
            <w:tcBorders>
              <w:top w:val="nil"/>
              <w:left w:val="nil"/>
              <w:bottom w:val="nil"/>
              <w:right w:val="nil"/>
            </w:tcBorders>
            <w:shd w:val="clear" w:color="auto" w:fill="auto"/>
            <w:noWrap/>
            <w:vAlign w:val="bottom"/>
            <w:hideMark/>
          </w:tcPr>
          <w:p w:rsidR="007B5401" w:rsidRPr="007B5401" w:rsidRDefault="007B5401" w:rsidP="007B5401">
            <w:pPr>
              <w:jc w:val="left"/>
              <w:rPr>
                <w:rFonts w:ascii="Arial" w:eastAsia="Times New Roman" w:hAnsi="Arial" w:cs="Arial"/>
                <w:b/>
                <w:color w:val="000000"/>
                <w:sz w:val="18"/>
                <w:szCs w:val="18"/>
              </w:rPr>
            </w:pPr>
            <w:r w:rsidRPr="007B5401">
              <w:rPr>
                <w:rFonts w:ascii="Arial" w:eastAsia="Times New Roman" w:hAnsi="Arial" w:cs="Arial"/>
                <w:b/>
                <w:color w:val="000000"/>
                <w:sz w:val="18"/>
                <w:szCs w:val="18"/>
              </w:rPr>
              <w:t>Refrigeration Equipment</w:t>
            </w:r>
          </w:p>
        </w:tc>
        <w:tc>
          <w:tcPr>
            <w:tcW w:w="453" w:type="dxa"/>
            <w:tcBorders>
              <w:top w:val="nil"/>
              <w:left w:val="single" w:sz="4" w:space="0" w:color="auto"/>
              <w:bottom w:val="nil"/>
              <w:right w:val="single" w:sz="4" w:space="0" w:color="auto"/>
            </w:tcBorders>
            <w:shd w:val="clear" w:color="auto" w:fill="auto"/>
            <w:hideMark/>
          </w:tcPr>
          <w:p w:rsidR="007B5401" w:rsidRPr="007B5401" w:rsidRDefault="007B5401" w:rsidP="007B5401">
            <w:pPr>
              <w:jc w:val="center"/>
              <w:rPr>
                <w:rFonts w:ascii="Wingdings 2" w:eastAsia="Times New Roman" w:hAnsi="Wingdings 2" w:cs="Arial"/>
                <w:color w:val="000000"/>
                <w:sz w:val="18"/>
                <w:szCs w:val="18"/>
              </w:rPr>
            </w:pPr>
            <w:r w:rsidRPr="007B5401">
              <w:rPr>
                <w:rFonts w:ascii="Wingdings 2" w:eastAsia="Times New Roman" w:hAnsi="Wingdings 2" w:cs="Arial"/>
                <w:color w:val="000000"/>
                <w:sz w:val="18"/>
                <w:szCs w:val="18"/>
              </w:rPr>
              <w:t></w:t>
            </w:r>
          </w:p>
        </w:tc>
        <w:tc>
          <w:tcPr>
            <w:tcW w:w="452" w:type="dxa"/>
            <w:tcBorders>
              <w:top w:val="nil"/>
              <w:left w:val="nil"/>
              <w:bottom w:val="nil"/>
              <w:right w:val="nil"/>
            </w:tcBorders>
            <w:shd w:val="clear" w:color="auto" w:fill="auto"/>
            <w:noWrap/>
            <w:vAlign w:val="bottom"/>
            <w:hideMark/>
          </w:tcPr>
          <w:p w:rsidR="007B5401" w:rsidRPr="007B5401" w:rsidRDefault="007B5401" w:rsidP="007B5401">
            <w:pPr>
              <w:jc w:val="left"/>
              <w:rPr>
                <w:rFonts w:ascii="Arial" w:eastAsia="Times New Roman" w:hAnsi="Arial" w:cs="Arial"/>
                <w:b/>
                <w:color w:val="000000"/>
                <w:sz w:val="18"/>
                <w:szCs w:val="18"/>
              </w:rPr>
            </w:pPr>
            <w:r w:rsidRPr="007B5401">
              <w:rPr>
                <w:rFonts w:ascii="Arial" w:eastAsia="Times New Roman" w:hAnsi="Arial" w:cs="Arial"/>
                <w:b/>
                <w:color w:val="000000"/>
                <w:sz w:val="18"/>
                <w:szCs w:val="18"/>
              </w:rPr>
              <w:t> </w:t>
            </w:r>
          </w:p>
        </w:tc>
        <w:tc>
          <w:tcPr>
            <w:tcW w:w="452" w:type="dxa"/>
            <w:tcBorders>
              <w:top w:val="nil"/>
              <w:left w:val="single" w:sz="4" w:space="0" w:color="auto"/>
              <w:bottom w:val="nil"/>
              <w:right w:val="single" w:sz="4" w:space="0" w:color="auto"/>
            </w:tcBorders>
            <w:shd w:val="clear" w:color="auto" w:fill="auto"/>
            <w:hideMark/>
          </w:tcPr>
          <w:p w:rsidR="007B5401" w:rsidRPr="007B5401" w:rsidRDefault="007B5401" w:rsidP="007B5401">
            <w:pPr>
              <w:jc w:val="center"/>
              <w:rPr>
                <w:rFonts w:ascii="Wingdings 2" w:eastAsia="Times New Roman" w:hAnsi="Wingdings 2" w:cs="Arial"/>
                <w:b/>
                <w:color w:val="000000"/>
                <w:sz w:val="18"/>
                <w:szCs w:val="18"/>
              </w:rPr>
            </w:pPr>
            <w:r w:rsidRPr="007B5401">
              <w:rPr>
                <w:rFonts w:ascii="Wingdings 2" w:eastAsia="Times New Roman" w:hAnsi="Wingdings 2" w:cs="Arial"/>
                <w:b/>
                <w:color w:val="000000"/>
                <w:sz w:val="18"/>
                <w:szCs w:val="18"/>
              </w:rPr>
              <w:t></w:t>
            </w:r>
          </w:p>
        </w:tc>
        <w:tc>
          <w:tcPr>
            <w:tcW w:w="452" w:type="dxa"/>
            <w:tcBorders>
              <w:top w:val="nil"/>
              <w:left w:val="nil"/>
              <w:bottom w:val="nil"/>
              <w:right w:val="single" w:sz="4" w:space="0" w:color="auto"/>
            </w:tcBorders>
            <w:shd w:val="clear" w:color="auto" w:fill="auto"/>
            <w:noWrap/>
            <w:vAlign w:val="bottom"/>
            <w:hideMark/>
          </w:tcPr>
          <w:p w:rsidR="007B5401" w:rsidRPr="007B5401" w:rsidRDefault="007B5401" w:rsidP="007B5401">
            <w:pPr>
              <w:jc w:val="left"/>
              <w:rPr>
                <w:rFonts w:ascii="Arial" w:eastAsia="Times New Roman" w:hAnsi="Arial" w:cs="Arial"/>
                <w:b/>
                <w:color w:val="000000"/>
                <w:sz w:val="20"/>
                <w:szCs w:val="20"/>
              </w:rPr>
            </w:pPr>
            <w:r w:rsidRPr="007B5401">
              <w:rPr>
                <w:rFonts w:ascii="Arial" w:eastAsia="Times New Roman" w:hAnsi="Arial" w:cs="Arial"/>
                <w:b/>
                <w:color w:val="000000"/>
                <w:sz w:val="20"/>
                <w:szCs w:val="20"/>
              </w:rPr>
              <w:t> </w:t>
            </w:r>
          </w:p>
        </w:tc>
        <w:tc>
          <w:tcPr>
            <w:tcW w:w="452" w:type="dxa"/>
            <w:tcBorders>
              <w:top w:val="nil"/>
              <w:left w:val="nil"/>
              <w:bottom w:val="nil"/>
              <w:right w:val="single" w:sz="4" w:space="0" w:color="auto"/>
            </w:tcBorders>
            <w:shd w:val="clear" w:color="auto" w:fill="auto"/>
            <w:noWrap/>
            <w:vAlign w:val="bottom"/>
            <w:hideMark/>
          </w:tcPr>
          <w:p w:rsidR="007B5401" w:rsidRPr="007B5401" w:rsidRDefault="007B5401" w:rsidP="007B5401">
            <w:pPr>
              <w:jc w:val="left"/>
              <w:rPr>
                <w:rFonts w:ascii="Arial" w:eastAsia="Times New Roman" w:hAnsi="Arial" w:cs="Arial"/>
                <w:b/>
                <w:color w:val="000000"/>
                <w:sz w:val="20"/>
                <w:szCs w:val="20"/>
              </w:rPr>
            </w:pPr>
            <w:r w:rsidRPr="007B5401">
              <w:rPr>
                <w:rFonts w:ascii="Arial" w:eastAsia="Times New Roman" w:hAnsi="Arial" w:cs="Arial"/>
                <w:b/>
                <w:color w:val="000000"/>
                <w:sz w:val="20"/>
                <w:szCs w:val="20"/>
              </w:rPr>
              <w:t> </w:t>
            </w:r>
          </w:p>
        </w:tc>
        <w:tc>
          <w:tcPr>
            <w:tcW w:w="452" w:type="dxa"/>
            <w:tcBorders>
              <w:top w:val="nil"/>
              <w:left w:val="nil"/>
              <w:bottom w:val="nil"/>
              <w:right w:val="single" w:sz="4" w:space="0" w:color="auto"/>
            </w:tcBorders>
            <w:shd w:val="clear" w:color="auto" w:fill="auto"/>
            <w:noWrap/>
            <w:vAlign w:val="bottom"/>
            <w:hideMark/>
          </w:tcPr>
          <w:p w:rsidR="007B5401" w:rsidRPr="007B5401" w:rsidRDefault="007B5401" w:rsidP="007B5401">
            <w:pPr>
              <w:jc w:val="left"/>
              <w:rPr>
                <w:rFonts w:ascii="Arial" w:eastAsia="Times New Roman" w:hAnsi="Arial" w:cs="Arial"/>
                <w:b/>
                <w:color w:val="000000"/>
                <w:sz w:val="20"/>
                <w:szCs w:val="20"/>
              </w:rPr>
            </w:pPr>
            <w:r w:rsidRPr="007B5401">
              <w:rPr>
                <w:rFonts w:ascii="Arial" w:eastAsia="Times New Roman" w:hAnsi="Arial" w:cs="Arial"/>
                <w:b/>
                <w:color w:val="000000"/>
                <w:sz w:val="20"/>
                <w:szCs w:val="20"/>
              </w:rPr>
              <w:t> </w:t>
            </w:r>
          </w:p>
        </w:tc>
        <w:tc>
          <w:tcPr>
            <w:tcW w:w="452" w:type="dxa"/>
            <w:tcBorders>
              <w:top w:val="nil"/>
              <w:left w:val="nil"/>
              <w:bottom w:val="nil"/>
              <w:right w:val="single" w:sz="4" w:space="0" w:color="auto"/>
            </w:tcBorders>
            <w:shd w:val="clear" w:color="auto" w:fill="auto"/>
            <w:noWrap/>
            <w:vAlign w:val="bottom"/>
            <w:hideMark/>
          </w:tcPr>
          <w:p w:rsidR="007B5401" w:rsidRPr="007B5401" w:rsidRDefault="007B5401" w:rsidP="007B5401">
            <w:pPr>
              <w:jc w:val="left"/>
              <w:rPr>
                <w:rFonts w:ascii="Arial" w:eastAsia="Times New Roman" w:hAnsi="Arial" w:cs="Arial"/>
                <w:b/>
                <w:color w:val="000000"/>
                <w:sz w:val="20"/>
                <w:szCs w:val="20"/>
              </w:rPr>
            </w:pPr>
            <w:r w:rsidRPr="007B5401">
              <w:rPr>
                <w:rFonts w:ascii="Arial" w:eastAsia="Times New Roman" w:hAnsi="Arial" w:cs="Arial"/>
                <w:b/>
                <w:color w:val="000000"/>
                <w:sz w:val="20"/>
                <w:szCs w:val="20"/>
              </w:rPr>
              <w:t> </w:t>
            </w:r>
          </w:p>
        </w:tc>
        <w:tc>
          <w:tcPr>
            <w:tcW w:w="452" w:type="dxa"/>
            <w:tcBorders>
              <w:top w:val="nil"/>
              <w:left w:val="nil"/>
              <w:bottom w:val="nil"/>
              <w:right w:val="single" w:sz="4" w:space="0" w:color="auto"/>
            </w:tcBorders>
            <w:shd w:val="clear" w:color="auto" w:fill="auto"/>
            <w:hideMark/>
          </w:tcPr>
          <w:p w:rsidR="007B5401" w:rsidRPr="007B5401" w:rsidRDefault="007B5401" w:rsidP="007B5401">
            <w:pPr>
              <w:jc w:val="center"/>
              <w:rPr>
                <w:rFonts w:ascii="Wingdings 2" w:eastAsia="Times New Roman" w:hAnsi="Wingdings 2" w:cs="Arial"/>
                <w:b/>
                <w:color w:val="000000"/>
                <w:sz w:val="18"/>
                <w:szCs w:val="18"/>
              </w:rPr>
            </w:pPr>
            <w:r w:rsidRPr="007B5401">
              <w:rPr>
                <w:rFonts w:ascii="Wingdings 2" w:eastAsia="Times New Roman" w:hAnsi="Wingdings 2" w:cs="Arial"/>
                <w:b/>
                <w:color w:val="000000"/>
                <w:sz w:val="18"/>
                <w:szCs w:val="18"/>
              </w:rPr>
              <w:t></w:t>
            </w:r>
          </w:p>
        </w:tc>
        <w:tc>
          <w:tcPr>
            <w:tcW w:w="452" w:type="dxa"/>
            <w:tcBorders>
              <w:top w:val="nil"/>
              <w:left w:val="nil"/>
              <w:bottom w:val="nil"/>
              <w:right w:val="single" w:sz="4" w:space="0" w:color="auto"/>
            </w:tcBorders>
            <w:shd w:val="clear" w:color="auto" w:fill="auto"/>
          </w:tcPr>
          <w:p w:rsidR="007B5401" w:rsidRPr="007B5401" w:rsidRDefault="007B5401" w:rsidP="007B5401">
            <w:pPr>
              <w:jc w:val="center"/>
              <w:rPr>
                <w:rFonts w:ascii="Wingdings 2" w:eastAsia="Times New Roman" w:hAnsi="Wingdings 2" w:cs="Arial"/>
                <w:b/>
                <w:color w:val="000000"/>
                <w:sz w:val="18"/>
                <w:szCs w:val="18"/>
              </w:rPr>
            </w:pPr>
          </w:p>
        </w:tc>
        <w:tc>
          <w:tcPr>
            <w:tcW w:w="452" w:type="dxa"/>
            <w:tcBorders>
              <w:top w:val="nil"/>
              <w:left w:val="nil"/>
              <w:bottom w:val="nil"/>
              <w:right w:val="single" w:sz="4" w:space="0" w:color="auto"/>
            </w:tcBorders>
            <w:shd w:val="clear" w:color="auto" w:fill="auto"/>
          </w:tcPr>
          <w:p w:rsidR="007B5401" w:rsidRPr="007B5401" w:rsidRDefault="007B5401" w:rsidP="007B5401">
            <w:pPr>
              <w:jc w:val="center"/>
              <w:rPr>
                <w:rFonts w:ascii="Wingdings 2" w:eastAsia="Times New Roman" w:hAnsi="Wingdings 2" w:cs="Arial"/>
                <w:b/>
                <w:color w:val="000000"/>
                <w:sz w:val="18"/>
                <w:szCs w:val="18"/>
              </w:rPr>
            </w:pPr>
          </w:p>
        </w:tc>
        <w:tc>
          <w:tcPr>
            <w:tcW w:w="452" w:type="dxa"/>
            <w:tcBorders>
              <w:top w:val="nil"/>
              <w:left w:val="nil"/>
              <w:bottom w:val="nil"/>
              <w:right w:val="single" w:sz="4" w:space="0" w:color="auto"/>
            </w:tcBorders>
            <w:shd w:val="clear" w:color="auto" w:fill="auto"/>
            <w:noWrap/>
            <w:vAlign w:val="bottom"/>
          </w:tcPr>
          <w:p w:rsidR="007B5401" w:rsidRPr="007B5401" w:rsidRDefault="007B5401" w:rsidP="007B5401">
            <w:pPr>
              <w:jc w:val="left"/>
              <w:rPr>
                <w:rFonts w:ascii="Arial" w:eastAsia="Times New Roman" w:hAnsi="Arial" w:cs="Arial"/>
                <w:b/>
                <w:color w:val="000000"/>
                <w:sz w:val="20"/>
                <w:szCs w:val="20"/>
              </w:rPr>
            </w:pPr>
          </w:p>
        </w:tc>
      </w:tr>
      <w:tr w:rsidR="007B5401" w:rsidRPr="007B5401" w:rsidTr="007B5401">
        <w:trPr>
          <w:trHeight w:val="255"/>
        </w:trPr>
        <w:tc>
          <w:tcPr>
            <w:tcW w:w="1247" w:type="dxa"/>
            <w:vMerge/>
            <w:tcBorders>
              <w:top w:val="nil"/>
              <w:left w:val="single" w:sz="4" w:space="0" w:color="auto"/>
              <w:bottom w:val="single" w:sz="4" w:space="0" w:color="000000"/>
              <w:right w:val="single" w:sz="4" w:space="0" w:color="auto"/>
            </w:tcBorders>
            <w:vAlign w:val="center"/>
            <w:hideMark/>
          </w:tcPr>
          <w:p w:rsidR="007B5401" w:rsidRPr="007B5401" w:rsidRDefault="007B5401" w:rsidP="007B5401">
            <w:pPr>
              <w:jc w:val="left"/>
              <w:rPr>
                <w:rFonts w:ascii="Arial" w:eastAsia="Times New Roman" w:hAnsi="Arial" w:cs="Arial"/>
                <w:color w:val="000000"/>
                <w:sz w:val="18"/>
                <w:szCs w:val="18"/>
              </w:rPr>
            </w:pPr>
          </w:p>
        </w:tc>
        <w:tc>
          <w:tcPr>
            <w:tcW w:w="3551" w:type="dxa"/>
            <w:tcBorders>
              <w:top w:val="nil"/>
              <w:left w:val="nil"/>
              <w:bottom w:val="nil"/>
              <w:right w:val="nil"/>
            </w:tcBorders>
            <w:shd w:val="clear" w:color="000000" w:fill="F2F2F2"/>
            <w:noWrap/>
            <w:vAlign w:val="bottom"/>
            <w:hideMark/>
          </w:tcPr>
          <w:p w:rsidR="007B5401" w:rsidRPr="007B5401" w:rsidRDefault="007B5401" w:rsidP="007B5401">
            <w:pPr>
              <w:jc w:val="left"/>
              <w:rPr>
                <w:rFonts w:ascii="Arial" w:eastAsia="Times New Roman" w:hAnsi="Arial" w:cs="Arial"/>
                <w:color w:val="000000"/>
                <w:sz w:val="18"/>
                <w:szCs w:val="18"/>
              </w:rPr>
            </w:pPr>
            <w:r w:rsidRPr="007B5401">
              <w:rPr>
                <w:rFonts w:ascii="Arial" w:eastAsia="Times New Roman" w:hAnsi="Arial" w:cs="Arial"/>
                <w:color w:val="000000"/>
                <w:sz w:val="18"/>
                <w:szCs w:val="18"/>
              </w:rPr>
              <w:t>Single Package Vertical AC and Heat Pumps</w:t>
            </w:r>
          </w:p>
        </w:tc>
        <w:tc>
          <w:tcPr>
            <w:tcW w:w="453" w:type="dxa"/>
            <w:tcBorders>
              <w:top w:val="nil"/>
              <w:left w:val="single" w:sz="4" w:space="0" w:color="auto"/>
              <w:bottom w:val="nil"/>
              <w:right w:val="single" w:sz="4" w:space="0" w:color="auto"/>
            </w:tcBorders>
            <w:shd w:val="clear" w:color="000000" w:fill="F2F2F2"/>
            <w:hideMark/>
          </w:tcPr>
          <w:p w:rsidR="007B5401" w:rsidRPr="007B5401" w:rsidRDefault="007B5401" w:rsidP="007B5401">
            <w:pPr>
              <w:jc w:val="center"/>
              <w:rPr>
                <w:rFonts w:ascii="Wingdings 2" w:eastAsia="Times New Roman" w:hAnsi="Wingdings 2" w:cs="Arial"/>
                <w:color w:val="000000"/>
                <w:sz w:val="18"/>
                <w:szCs w:val="18"/>
              </w:rPr>
            </w:pPr>
            <w:r w:rsidRPr="007B5401">
              <w:rPr>
                <w:rFonts w:ascii="Wingdings 2" w:eastAsia="Times New Roman" w:hAnsi="Wingdings 2" w:cs="Arial"/>
                <w:color w:val="000000"/>
                <w:sz w:val="18"/>
                <w:szCs w:val="18"/>
              </w:rPr>
              <w:t></w:t>
            </w:r>
          </w:p>
        </w:tc>
        <w:tc>
          <w:tcPr>
            <w:tcW w:w="452" w:type="dxa"/>
            <w:tcBorders>
              <w:top w:val="nil"/>
              <w:left w:val="nil"/>
              <w:bottom w:val="nil"/>
              <w:right w:val="nil"/>
            </w:tcBorders>
            <w:shd w:val="clear" w:color="000000" w:fill="F2F2F2"/>
            <w:noWrap/>
            <w:vAlign w:val="bottom"/>
            <w:hideMark/>
          </w:tcPr>
          <w:p w:rsidR="007B5401" w:rsidRPr="007B5401" w:rsidRDefault="007B5401" w:rsidP="007B5401">
            <w:pPr>
              <w:jc w:val="left"/>
              <w:rPr>
                <w:rFonts w:ascii="Arial" w:eastAsia="Times New Roman" w:hAnsi="Arial" w:cs="Arial"/>
                <w:color w:val="000000"/>
                <w:sz w:val="18"/>
                <w:szCs w:val="18"/>
              </w:rPr>
            </w:pPr>
            <w:r w:rsidRPr="007B5401">
              <w:rPr>
                <w:rFonts w:ascii="Arial" w:eastAsia="Times New Roman" w:hAnsi="Arial" w:cs="Arial"/>
                <w:color w:val="000000"/>
                <w:sz w:val="18"/>
                <w:szCs w:val="18"/>
              </w:rPr>
              <w:t> </w:t>
            </w:r>
          </w:p>
        </w:tc>
        <w:tc>
          <w:tcPr>
            <w:tcW w:w="452" w:type="dxa"/>
            <w:tcBorders>
              <w:top w:val="nil"/>
              <w:left w:val="single" w:sz="4" w:space="0" w:color="auto"/>
              <w:bottom w:val="nil"/>
              <w:right w:val="single" w:sz="4" w:space="0" w:color="auto"/>
            </w:tcBorders>
            <w:shd w:val="clear" w:color="000000" w:fill="F2F2F2"/>
            <w:noWrap/>
            <w:vAlign w:val="bottom"/>
            <w:hideMark/>
          </w:tcPr>
          <w:p w:rsidR="007B5401" w:rsidRPr="007B5401" w:rsidRDefault="007B5401" w:rsidP="007B5401">
            <w:pPr>
              <w:jc w:val="center"/>
              <w:rPr>
                <w:rFonts w:ascii="Arial" w:eastAsia="Times New Roman" w:hAnsi="Arial" w:cs="Arial"/>
                <w:color w:val="000000"/>
                <w:sz w:val="18"/>
                <w:szCs w:val="18"/>
              </w:rPr>
            </w:pPr>
            <w:r w:rsidRPr="007B5401">
              <w:rPr>
                <w:rFonts w:ascii="Arial" w:eastAsia="Times New Roman" w:hAnsi="Arial" w:cs="Arial"/>
                <w:color w:val="000000"/>
                <w:sz w:val="18"/>
                <w:szCs w:val="18"/>
              </w:rPr>
              <w:t> </w:t>
            </w:r>
          </w:p>
        </w:tc>
        <w:tc>
          <w:tcPr>
            <w:tcW w:w="452" w:type="dxa"/>
            <w:tcBorders>
              <w:top w:val="nil"/>
              <w:left w:val="nil"/>
              <w:bottom w:val="nil"/>
              <w:right w:val="single" w:sz="4" w:space="0" w:color="auto"/>
            </w:tcBorders>
            <w:shd w:val="clear" w:color="000000" w:fill="F2F2F2"/>
            <w:noWrap/>
            <w:vAlign w:val="bottom"/>
            <w:hideMark/>
          </w:tcPr>
          <w:p w:rsidR="007B5401" w:rsidRPr="007B5401" w:rsidRDefault="007B5401" w:rsidP="007B5401">
            <w:pPr>
              <w:jc w:val="left"/>
              <w:rPr>
                <w:rFonts w:ascii="Arial" w:eastAsia="Times New Roman" w:hAnsi="Arial" w:cs="Arial"/>
                <w:color w:val="000000"/>
                <w:sz w:val="20"/>
                <w:szCs w:val="20"/>
              </w:rPr>
            </w:pPr>
            <w:r w:rsidRPr="007B5401">
              <w:rPr>
                <w:rFonts w:ascii="Arial" w:eastAsia="Times New Roman" w:hAnsi="Arial" w:cs="Arial"/>
                <w:color w:val="000000"/>
                <w:sz w:val="20"/>
                <w:szCs w:val="20"/>
              </w:rPr>
              <w:t> </w:t>
            </w:r>
          </w:p>
        </w:tc>
        <w:tc>
          <w:tcPr>
            <w:tcW w:w="452" w:type="dxa"/>
            <w:tcBorders>
              <w:top w:val="nil"/>
              <w:left w:val="nil"/>
              <w:bottom w:val="nil"/>
              <w:right w:val="single" w:sz="4" w:space="0" w:color="auto"/>
            </w:tcBorders>
            <w:shd w:val="clear" w:color="000000" w:fill="F2F2F2"/>
            <w:noWrap/>
            <w:vAlign w:val="bottom"/>
            <w:hideMark/>
          </w:tcPr>
          <w:p w:rsidR="007B5401" w:rsidRPr="007B5401" w:rsidRDefault="007B5401" w:rsidP="007B5401">
            <w:pPr>
              <w:jc w:val="left"/>
              <w:rPr>
                <w:rFonts w:ascii="Arial" w:eastAsia="Times New Roman" w:hAnsi="Arial" w:cs="Arial"/>
                <w:color w:val="000000"/>
                <w:sz w:val="20"/>
                <w:szCs w:val="20"/>
              </w:rPr>
            </w:pPr>
            <w:r w:rsidRPr="007B5401">
              <w:rPr>
                <w:rFonts w:ascii="Arial" w:eastAsia="Times New Roman" w:hAnsi="Arial" w:cs="Arial"/>
                <w:color w:val="000000"/>
                <w:sz w:val="20"/>
                <w:szCs w:val="20"/>
              </w:rPr>
              <w:t> </w:t>
            </w:r>
          </w:p>
        </w:tc>
        <w:tc>
          <w:tcPr>
            <w:tcW w:w="452" w:type="dxa"/>
            <w:tcBorders>
              <w:top w:val="nil"/>
              <w:left w:val="nil"/>
              <w:bottom w:val="nil"/>
              <w:right w:val="single" w:sz="4" w:space="0" w:color="auto"/>
            </w:tcBorders>
            <w:shd w:val="clear" w:color="000000" w:fill="F2F2F2"/>
            <w:noWrap/>
            <w:vAlign w:val="bottom"/>
            <w:hideMark/>
          </w:tcPr>
          <w:p w:rsidR="007B5401" w:rsidRPr="007B5401" w:rsidRDefault="007B5401" w:rsidP="007B5401">
            <w:pPr>
              <w:jc w:val="left"/>
              <w:rPr>
                <w:rFonts w:ascii="Arial" w:eastAsia="Times New Roman" w:hAnsi="Arial" w:cs="Arial"/>
                <w:color w:val="000000"/>
                <w:sz w:val="20"/>
                <w:szCs w:val="20"/>
              </w:rPr>
            </w:pPr>
            <w:r w:rsidRPr="007B5401">
              <w:rPr>
                <w:rFonts w:ascii="Arial" w:eastAsia="Times New Roman" w:hAnsi="Arial" w:cs="Arial"/>
                <w:color w:val="000000"/>
                <w:sz w:val="20"/>
                <w:szCs w:val="20"/>
              </w:rPr>
              <w:t> </w:t>
            </w:r>
          </w:p>
        </w:tc>
        <w:tc>
          <w:tcPr>
            <w:tcW w:w="452" w:type="dxa"/>
            <w:tcBorders>
              <w:top w:val="nil"/>
              <w:left w:val="nil"/>
              <w:bottom w:val="nil"/>
              <w:right w:val="single" w:sz="4" w:space="0" w:color="auto"/>
            </w:tcBorders>
            <w:shd w:val="clear" w:color="000000" w:fill="F2F2F2"/>
            <w:noWrap/>
            <w:vAlign w:val="bottom"/>
            <w:hideMark/>
          </w:tcPr>
          <w:p w:rsidR="007B5401" w:rsidRPr="007B5401" w:rsidRDefault="007B5401" w:rsidP="007B5401">
            <w:pPr>
              <w:jc w:val="left"/>
              <w:rPr>
                <w:rFonts w:ascii="Arial" w:eastAsia="Times New Roman" w:hAnsi="Arial" w:cs="Arial"/>
                <w:color w:val="000000"/>
                <w:sz w:val="20"/>
                <w:szCs w:val="20"/>
              </w:rPr>
            </w:pPr>
            <w:r w:rsidRPr="007B5401">
              <w:rPr>
                <w:rFonts w:ascii="Arial" w:eastAsia="Times New Roman" w:hAnsi="Arial" w:cs="Arial"/>
                <w:color w:val="000000"/>
                <w:sz w:val="20"/>
                <w:szCs w:val="20"/>
              </w:rPr>
              <w:t> </w:t>
            </w:r>
          </w:p>
        </w:tc>
        <w:tc>
          <w:tcPr>
            <w:tcW w:w="452" w:type="dxa"/>
            <w:tcBorders>
              <w:top w:val="nil"/>
              <w:left w:val="nil"/>
              <w:bottom w:val="nil"/>
              <w:right w:val="single" w:sz="4" w:space="0" w:color="auto"/>
            </w:tcBorders>
            <w:shd w:val="clear" w:color="000000" w:fill="F2F2F2"/>
            <w:noWrap/>
            <w:vAlign w:val="bottom"/>
            <w:hideMark/>
          </w:tcPr>
          <w:p w:rsidR="007B5401" w:rsidRPr="007B5401" w:rsidRDefault="007B5401" w:rsidP="007B5401">
            <w:pPr>
              <w:jc w:val="left"/>
              <w:rPr>
                <w:rFonts w:ascii="Arial" w:eastAsia="Times New Roman" w:hAnsi="Arial" w:cs="Arial"/>
                <w:color w:val="000000"/>
                <w:sz w:val="20"/>
                <w:szCs w:val="20"/>
              </w:rPr>
            </w:pPr>
            <w:r w:rsidRPr="007B5401">
              <w:rPr>
                <w:rFonts w:ascii="Arial" w:eastAsia="Times New Roman" w:hAnsi="Arial" w:cs="Arial"/>
                <w:color w:val="000000"/>
                <w:sz w:val="20"/>
                <w:szCs w:val="20"/>
              </w:rPr>
              <w:t> </w:t>
            </w:r>
          </w:p>
        </w:tc>
        <w:tc>
          <w:tcPr>
            <w:tcW w:w="452" w:type="dxa"/>
            <w:tcBorders>
              <w:top w:val="nil"/>
              <w:left w:val="nil"/>
              <w:bottom w:val="nil"/>
              <w:right w:val="single" w:sz="4" w:space="0" w:color="auto"/>
            </w:tcBorders>
            <w:shd w:val="clear" w:color="000000" w:fill="F2F2F2"/>
            <w:hideMark/>
          </w:tcPr>
          <w:p w:rsidR="007B5401" w:rsidRPr="007B5401" w:rsidRDefault="007B5401" w:rsidP="007B5401">
            <w:pPr>
              <w:jc w:val="center"/>
              <w:rPr>
                <w:rFonts w:ascii="Wingdings 2" w:eastAsia="Times New Roman" w:hAnsi="Wingdings 2" w:cs="Arial"/>
                <w:color w:val="000000"/>
                <w:sz w:val="18"/>
                <w:szCs w:val="18"/>
              </w:rPr>
            </w:pPr>
            <w:r w:rsidRPr="007B5401">
              <w:rPr>
                <w:rFonts w:ascii="Wingdings 2" w:eastAsia="Times New Roman" w:hAnsi="Wingdings 2" w:cs="Arial"/>
                <w:color w:val="000000"/>
                <w:sz w:val="18"/>
                <w:szCs w:val="18"/>
              </w:rPr>
              <w:t></w:t>
            </w:r>
          </w:p>
        </w:tc>
        <w:tc>
          <w:tcPr>
            <w:tcW w:w="452" w:type="dxa"/>
            <w:tcBorders>
              <w:top w:val="nil"/>
              <w:left w:val="nil"/>
              <w:bottom w:val="nil"/>
              <w:right w:val="single" w:sz="4" w:space="0" w:color="auto"/>
            </w:tcBorders>
            <w:shd w:val="clear" w:color="000000" w:fill="F2F2F2"/>
            <w:noWrap/>
            <w:vAlign w:val="bottom"/>
            <w:hideMark/>
          </w:tcPr>
          <w:p w:rsidR="007B5401" w:rsidRPr="007B5401" w:rsidRDefault="007B5401" w:rsidP="007B5401">
            <w:pPr>
              <w:jc w:val="left"/>
              <w:rPr>
                <w:rFonts w:ascii="Arial" w:eastAsia="Times New Roman" w:hAnsi="Arial" w:cs="Arial"/>
                <w:color w:val="000000"/>
                <w:sz w:val="20"/>
                <w:szCs w:val="20"/>
              </w:rPr>
            </w:pPr>
            <w:r w:rsidRPr="007B5401">
              <w:rPr>
                <w:rFonts w:ascii="Arial" w:eastAsia="Times New Roman" w:hAnsi="Arial" w:cs="Arial"/>
                <w:color w:val="000000"/>
                <w:sz w:val="20"/>
                <w:szCs w:val="20"/>
              </w:rPr>
              <w:t> </w:t>
            </w:r>
          </w:p>
        </w:tc>
        <w:tc>
          <w:tcPr>
            <w:tcW w:w="452" w:type="dxa"/>
            <w:tcBorders>
              <w:top w:val="nil"/>
              <w:left w:val="nil"/>
              <w:bottom w:val="nil"/>
              <w:right w:val="single" w:sz="4" w:space="0" w:color="auto"/>
            </w:tcBorders>
            <w:shd w:val="clear" w:color="000000" w:fill="F2F2F2"/>
          </w:tcPr>
          <w:p w:rsidR="007B5401" w:rsidRPr="007B5401" w:rsidRDefault="007B5401" w:rsidP="007B5401">
            <w:pPr>
              <w:jc w:val="center"/>
              <w:rPr>
                <w:rFonts w:ascii="Wingdings 2" w:eastAsia="Times New Roman" w:hAnsi="Wingdings 2" w:cs="Arial"/>
                <w:color w:val="000000"/>
                <w:sz w:val="18"/>
                <w:szCs w:val="18"/>
              </w:rPr>
            </w:pPr>
          </w:p>
        </w:tc>
      </w:tr>
      <w:tr w:rsidR="007B5401" w:rsidRPr="007B5401" w:rsidTr="007B5401">
        <w:trPr>
          <w:trHeight w:val="255"/>
        </w:trPr>
        <w:tc>
          <w:tcPr>
            <w:tcW w:w="1247" w:type="dxa"/>
            <w:vMerge/>
            <w:tcBorders>
              <w:top w:val="nil"/>
              <w:left w:val="single" w:sz="4" w:space="0" w:color="auto"/>
              <w:bottom w:val="single" w:sz="4" w:space="0" w:color="000000"/>
              <w:right w:val="single" w:sz="4" w:space="0" w:color="auto"/>
            </w:tcBorders>
            <w:vAlign w:val="center"/>
            <w:hideMark/>
          </w:tcPr>
          <w:p w:rsidR="007B5401" w:rsidRPr="007B5401" w:rsidRDefault="007B5401" w:rsidP="007B5401">
            <w:pPr>
              <w:jc w:val="left"/>
              <w:rPr>
                <w:rFonts w:ascii="Arial" w:eastAsia="Times New Roman" w:hAnsi="Arial" w:cs="Arial"/>
                <w:color w:val="000000"/>
                <w:sz w:val="18"/>
                <w:szCs w:val="18"/>
              </w:rPr>
            </w:pPr>
          </w:p>
        </w:tc>
        <w:tc>
          <w:tcPr>
            <w:tcW w:w="3551" w:type="dxa"/>
            <w:tcBorders>
              <w:top w:val="nil"/>
              <w:left w:val="nil"/>
              <w:bottom w:val="nil"/>
              <w:right w:val="nil"/>
            </w:tcBorders>
            <w:shd w:val="clear" w:color="auto" w:fill="auto"/>
            <w:noWrap/>
            <w:vAlign w:val="bottom"/>
            <w:hideMark/>
          </w:tcPr>
          <w:p w:rsidR="007B5401" w:rsidRPr="007B5401" w:rsidRDefault="007B5401" w:rsidP="007B5401">
            <w:pPr>
              <w:jc w:val="left"/>
              <w:rPr>
                <w:rFonts w:ascii="Arial" w:eastAsia="Times New Roman" w:hAnsi="Arial" w:cs="Arial"/>
                <w:b/>
                <w:color w:val="000000"/>
                <w:sz w:val="18"/>
                <w:szCs w:val="18"/>
              </w:rPr>
            </w:pPr>
            <w:r w:rsidRPr="007B5401">
              <w:rPr>
                <w:rFonts w:ascii="Arial" w:eastAsia="Times New Roman" w:hAnsi="Arial" w:cs="Arial"/>
                <w:b/>
                <w:color w:val="000000"/>
                <w:sz w:val="18"/>
                <w:szCs w:val="18"/>
              </w:rPr>
              <w:t>Walk-in Coolers and Freezers</w:t>
            </w:r>
          </w:p>
        </w:tc>
        <w:tc>
          <w:tcPr>
            <w:tcW w:w="453" w:type="dxa"/>
            <w:tcBorders>
              <w:top w:val="nil"/>
              <w:left w:val="single" w:sz="4" w:space="0" w:color="auto"/>
              <w:bottom w:val="nil"/>
              <w:right w:val="nil"/>
            </w:tcBorders>
            <w:shd w:val="clear" w:color="auto" w:fill="auto"/>
            <w:noWrap/>
            <w:vAlign w:val="bottom"/>
            <w:hideMark/>
          </w:tcPr>
          <w:p w:rsidR="007B5401" w:rsidRPr="007B5401" w:rsidRDefault="007B5401" w:rsidP="007B5401">
            <w:pPr>
              <w:jc w:val="left"/>
              <w:rPr>
                <w:rFonts w:ascii="Arial" w:eastAsia="Times New Roman" w:hAnsi="Arial" w:cs="Arial"/>
                <w:b/>
                <w:color w:val="000000"/>
                <w:sz w:val="18"/>
                <w:szCs w:val="18"/>
              </w:rPr>
            </w:pPr>
            <w:r w:rsidRPr="007B5401">
              <w:rPr>
                <w:rFonts w:ascii="Arial" w:eastAsia="Times New Roman" w:hAnsi="Arial" w:cs="Arial"/>
                <w:b/>
                <w:color w:val="000000"/>
                <w:sz w:val="18"/>
                <w:szCs w:val="18"/>
              </w:rPr>
              <w:t> </w:t>
            </w:r>
          </w:p>
        </w:tc>
        <w:tc>
          <w:tcPr>
            <w:tcW w:w="452" w:type="dxa"/>
            <w:tcBorders>
              <w:top w:val="nil"/>
              <w:left w:val="single" w:sz="4" w:space="0" w:color="auto"/>
              <w:bottom w:val="nil"/>
              <w:right w:val="nil"/>
            </w:tcBorders>
            <w:shd w:val="clear" w:color="auto" w:fill="auto"/>
            <w:noWrap/>
            <w:vAlign w:val="bottom"/>
            <w:hideMark/>
          </w:tcPr>
          <w:p w:rsidR="007B5401" w:rsidRPr="007B5401" w:rsidRDefault="007B5401" w:rsidP="007B5401">
            <w:pPr>
              <w:jc w:val="left"/>
              <w:rPr>
                <w:rFonts w:ascii="Arial" w:eastAsia="Times New Roman" w:hAnsi="Arial" w:cs="Arial"/>
                <w:b/>
                <w:color w:val="000000"/>
                <w:sz w:val="18"/>
                <w:szCs w:val="18"/>
              </w:rPr>
            </w:pPr>
            <w:r w:rsidRPr="007B5401">
              <w:rPr>
                <w:rFonts w:ascii="Arial" w:eastAsia="Times New Roman" w:hAnsi="Arial" w:cs="Arial"/>
                <w:b/>
                <w:color w:val="000000"/>
                <w:sz w:val="18"/>
                <w:szCs w:val="18"/>
              </w:rPr>
              <w:t> </w:t>
            </w:r>
          </w:p>
        </w:tc>
        <w:tc>
          <w:tcPr>
            <w:tcW w:w="452" w:type="dxa"/>
            <w:tcBorders>
              <w:top w:val="nil"/>
              <w:left w:val="single" w:sz="4" w:space="0" w:color="auto"/>
              <w:bottom w:val="nil"/>
              <w:right w:val="single" w:sz="4" w:space="0" w:color="auto"/>
            </w:tcBorders>
            <w:shd w:val="clear" w:color="auto" w:fill="auto"/>
            <w:noWrap/>
            <w:vAlign w:val="bottom"/>
            <w:hideMark/>
          </w:tcPr>
          <w:p w:rsidR="007B5401" w:rsidRPr="007B5401" w:rsidRDefault="007B5401" w:rsidP="007B5401">
            <w:pPr>
              <w:jc w:val="left"/>
              <w:rPr>
                <w:rFonts w:ascii="Arial" w:eastAsia="Times New Roman" w:hAnsi="Arial" w:cs="Arial"/>
                <w:b/>
                <w:color w:val="000000"/>
                <w:sz w:val="18"/>
                <w:szCs w:val="18"/>
              </w:rPr>
            </w:pPr>
            <w:r w:rsidRPr="007B5401">
              <w:rPr>
                <w:rFonts w:ascii="Arial" w:eastAsia="Times New Roman" w:hAnsi="Arial" w:cs="Arial"/>
                <w:b/>
                <w:color w:val="000000"/>
                <w:sz w:val="18"/>
                <w:szCs w:val="18"/>
              </w:rPr>
              <w:t> </w:t>
            </w:r>
          </w:p>
        </w:tc>
        <w:tc>
          <w:tcPr>
            <w:tcW w:w="452" w:type="dxa"/>
            <w:tcBorders>
              <w:top w:val="nil"/>
              <w:left w:val="nil"/>
              <w:bottom w:val="nil"/>
              <w:right w:val="single" w:sz="4" w:space="0" w:color="auto"/>
            </w:tcBorders>
            <w:shd w:val="clear" w:color="auto" w:fill="auto"/>
            <w:noWrap/>
            <w:vAlign w:val="bottom"/>
            <w:hideMark/>
          </w:tcPr>
          <w:p w:rsidR="007B5401" w:rsidRPr="007B5401" w:rsidRDefault="007B5401" w:rsidP="007B5401">
            <w:pPr>
              <w:jc w:val="left"/>
              <w:rPr>
                <w:rFonts w:ascii="Arial" w:eastAsia="Times New Roman" w:hAnsi="Arial" w:cs="Arial"/>
                <w:b/>
                <w:color w:val="000000"/>
                <w:sz w:val="20"/>
                <w:szCs w:val="20"/>
              </w:rPr>
            </w:pPr>
            <w:r w:rsidRPr="007B5401">
              <w:rPr>
                <w:rFonts w:ascii="Arial" w:eastAsia="Times New Roman" w:hAnsi="Arial" w:cs="Arial"/>
                <w:b/>
                <w:color w:val="000000"/>
                <w:sz w:val="20"/>
                <w:szCs w:val="20"/>
              </w:rPr>
              <w:t> </w:t>
            </w:r>
          </w:p>
        </w:tc>
        <w:tc>
          <w:tcPr>
            <w:tcW w:w="452" w:type="dxa"/>
            <w:tcBorders>
              <w:top w:val="nil"/>
              <w:left w:val="nil"/>
              <w:bottom w:val="nil"/>
              <w:right w:val="single" w:sz="4" w:space="0" w:color="auto"/>
            </w:tcBorders>
            <w:shd w:val="clear" w:color="auto" w:fill="auto"/>
            <w:hideMark/>
          </w:tcPr>
          <w:p w:rsidR="007B5401" w:rsidRPr="007B5401" w:rsidRDefault="007B5401" w:rsidP="007B5401">
            <w:pPr>
              <w:jc w:val="center"/>
              <w:rPr>
                <w:rFonts w:ascii="Wingdings 2" w:eastAsia="Times New Roman" w:hAnsi="Wingdings 2" w:cs="Arial"/>
                <w:b/>
                <w:color w:val="000000"/>
                <w:sz w:val="18"/>
                <w:szCs w:val="18"/>
              </w:rPr>
            </w:pPr>
            <w:r w:rsidRPr="007B5401">
              <w:rPr>
                <w:rFonts w:ascii="Wingdings 2" w:eastAsia="Times New Roman" w:hAnsi="Wingdings 2" w:cs="Arial"/>
                <w:b/>
                <w:color w:val="000000"/>
                <w:sz w:val="18"/>
                <w:szCs w:val="18"/>
              </w:rPr>
              <w:t></w:t>
            </w:r>
          </w:p>
        </w:tc>
        <w:tc>
          <w:tcPr>
            <w:tcW w:w="452" w:type="dxa"/>
            <w:tcBorders>
              <w:top w:val="nil"/>
              <w:left w:val="nil"/>
              <w:bottom w:val="nil"/>
              <w:right w:val="single" w:sz="4" w:space="0" w:color="auto"/>
            </w:tcBorders>
            <w:shd w:val="clear" w:color="auto" w:fill="auto"/>
            <w:noWrap/>
            <w:vAlign w:val="bottom"/>
            <w:hideMark/>
          </w:tcPr>
          <w:p w:rsidR="007B5401" w:rsidRPr="007B5401" w:rsidRDefault="007B5401" w:rsidP="007B5401">
            <w:pPr>
              <w:jc w:val="left"/>
              <w:rPr>
                <w:rFonts w:ascii="Arial" w:eastAsia="Times New Roman" w:hAnsi="Arial" w:cs="Arial"/>
                <w:b/>
                <w:color w:val="000000"/>
                <w:sz w:val="20"/>
                <w:szCs w:val="20"/>
              </w:rPr>
            </w:pPr>
            <w:r w:rsidRPr="007B5401">
              <w:rPr>
                <w:rFonts w:ascii="Arial" w:eastAsia="Times New Roman" w:hAnsi="Arial" w:cs="Arial"/>
                <w:b/>
                <w:color w:val="000000"/>
                <w:sz w:val="20"/>
                <w:szCs w:val="20"/>
              </w:rPr>
              <w:t> </w:t>
            </w:r>
          </w:p>
        </w:tc>
        <w:tc>
          <w:tcPr>
            <w:tcW w:w="452" w:type="dxa"/>
            <w:tcBorders>
              <w:top w:val="nil"/>
              <w:left w:val="nil"/>
              <w:bottom w:val="nil"/>
              <w:right w:val="single" w:sz="4" w:space="0" w:color="auto"/>
            </w:tcBorders>
            <w:shd w:val="clear" w:color="auto" w:fill="auto"/>
            <w:noWrap/>
            <w:vAlign w:val="bottom"/>
            <w:hideMark/>
          </w:tcPr>
          <w:p w:rsidR="007B5401" w:rsidRPr="007B5401" w:rsidRDefault="007B5401" w:rsidP="007B5401">
            <w:pPr>
              <w:jc w:val="left"/>
              <w:rPr>
                <w:rFonts w:ascii="Arial" w:eastAsia="Times New Roman" w:hAnsi="Arial" w:cs="Arial"/>
                <w:b/>
                <w:color w:val="000000"/>
                <w:sz w:val="20"/>
                <w:szCs w:val="20"/>
              </w:rPr>
            </w:pPr>
            <w:r w:rsidRPr="007B5401">
              <w:rPr>
                <w:rFonts w:ascii="Arial" w:eastAsia="Times New Roman" w:hAnsi="Arial" w:cs="Arial"/>
                <w:b/>
                <w:color w:val="000000"/>
                <w:sz w:val="20"/>
                <w:szCs w:val="20"/>
              </w:rPr>
              <w:t> </w:t>
            </w:r>
          </w:p>
        </w:tc>
        <w:tc>
          <w:tcPr>
            <w:tcW w:w="452" w:type="dxa"/>
            <w:tcBorders>
              <w:top w:val="nil"/>
              <w:left w:val="nil"/>
              <w:bottom w:val="nil"/>
              <w:right w:val="single" w:sz="4" w:space="0" w:color="auto"/>
            </w:tcBorders>
            <w:shd w:val="clear" w:color="auto" w:fill="auto"/>
            <w:hideMark/>
          </w:tcPr>
          <w:p w:rsidR="007B5401" w:rsidRPr="007B5401" w:rsidRDefault="007B5401" w:rsidP="007B5401">
            <w:pPr>
              <w:jc w:val="center"/>
              <w:rPr>
                <w:rFonts w:ascii="Wingdings 2" w:eastAsia="Times New Roman" w:hAnsi="Wingdings 2" w:cs="Arial"/>
                <w:b/>
                <w:color w:val="000000"/>
                <w:sz w:val="18"/>
                <w:szCs w:val="18"/>
              </w:rPr>
            </w:pPr>
            <w:r w:rsidRPr="007B5401">
              <w:rPr>
                <w:rFonts w:ascii="Wingdings 2" w:eastAsia="Times New Roman" w:hAnsi="Wingdings 2" w:cs="Arial"/>
                <w:b/>
                <w:color w:val="000000"/>
                <w:sz w:val="18"/>
                <w:szCs w:val="18"/>
              </w:rPr>
              <w:t></w:t>
            </w:r>
          </w:p>
        </w:tc>
        <w:tc>
          <w:tcPr>
            <w:tcW w:w="452" w:type="dxa"/>
            <w:tcBorders>
              <w:top w:val="nil"/>
              <w:left w:val="nil"/>
              <w:bottom w:val="nil"/>
              <w:right w:val="single" w:sz="4" w:space="0" w:color="auto"/>
            </w:tcBorders>
            <w:shd w:val="clear" w:color="auto" w:fill="auto"/>
          </w:tcPr>
          <w:p w:rsidR="007B5401" w:rsidRPr="007B5401" w:rsidRDefault="007B5401" w:rsidP="007B5401">
            <w:pPr>
              <w:jc w:val="center"/>
              <w:rPr>
                <w:rFonts w:ascii="Wingdings 2" w:eastAsia="Times New Roman" w:hAnsi="Wingdings 2" w:cs="Arial"/>
                <w:b/>
                <w:color w:val="000000"/>
                <w:sz w:val="18"/>
                <w:szCs w:val="18"/>
              </w:rPr>
            </w:pPr>
          </w:p>
        </w:tc>
        <w:tc>
          <w:tcPr>
            <w:tcW w:w="452" w:type="dxa"/>
            <w:tcBorders>
              <w:top w:val="nil"/>
              <w:left w:val="nil"/>
              <w:bottom w:val="nil"/>
              <w:right w:val="single" w:sz="4" w:space="0" w:color="auto"/>
            </w:tcBorders>
            <w:shd w:val="clear" w:color="auto" w:fill="auto"/>
          </w:tcPr>
          <w:p w:rsidR="007B5401" w:rsidRPr="007B5401" w:rsidRDefault="007B5401" w:rsidP="007B5401">
            <w:pPr>
              <w:jc w:val="center"/>
              <w:rPr>
                <w:rFonts w:ascii="Wingdings 2" w:eastAsia="Times New Roman" w:hAnsi="Wingdings 2" w:cs="Arial"/>
                <w:b/>
                <w:color w:val="000000"/>
                <w:sz w:val="18"/>
                <w:szCs w:val="18"/>
              </w:rPr>
            </w:pPr>
          </w:p>
        </w:tc>
        <w:tc>
          <w:tcPr>
            <w:tcW w:w="452" w:type="dxa"/>
            <w:tcBorders>
              <w:top w:val="nil"/>
              <w:left w:val="nil"/>
              <w:bottom w:val="nil"/>
              <w:right w:val="single" w:sz="4" w:space="0" w:color="auto"/>
            </w:tcBorders>
            <w:shd w:val="clear" w:color="auto" w:fill="auto"/>
            <w:noWrap/>
            <w:vAlign w:val="bottom"/>
          </w:tcPr>
          <w:p w:rsidR="007B5401" w:rsidRPr="007B5401" w:rsidRDefault="007B5401" w:rsidP="007B5401">
            <w:pPr>
              <w:jc w:val="left"/>
              <w:rPr>
                <w:rFonts w:ascii="Arial" w:eastAsia="Times New Roman" w:hAnsi="Arial" w:cs="Arial"/>
                <w:b/>
                <w:color w:val="000000"/>
                <w:sz w:val="20"/>
                <w:szCs w:val="20"/>
              </w:rPr>
            </w:pPr>
          </w:p>
        </w:tc>
      </w:tr>
      <w:tr w:rsidR="007B5401" w:rsidRPr="007B5401" w:rsidTr="007B5401">
        <w:trPr>
          <w:trHeight w:val="255"/>
        </w:trPr>
        <w:tc>
          <w:tcPr>
            <w:tcW w:w="1247" w:type="dxa"/>
            <w:vMerge/>
            <w:tcBorders>
              <w:top w:val="nil"/>
              <w:left w:val="single" w:sz="4" w:space="0" w:color="auto"/>
              <w:bottom w:val="single" w:sz="4" w:space="0" w:color="000000"/>
              <w:right w:val="single" w:sz="4" w:space="0" w:color="auto"/>
            </w:tcBorders>
            <w:vAlign w:val="center"/>
            <w:hideMark/>
          </w:tcPr>
          <w:p w:rsidR="007B5401" w:rsidRPr="007B5401" w:rsidRDefault="007B5401" w:rsidP="007B5401">
            <w:pPr>
              <w:jc w:val="left"/>
              <w:rPr>
                <w:rFonts w:ascii="Arial" w:eastAsia="Times New Roman" w:hAnsi="Arial" w:cs="Arial"/>
                <w:color w:val="000000"/>
                <w:sz w:val="18"/>
                <w:szCs w:val="18"/>
              </w:rPr>
            </w:pPr>
          </w:p>
        </w:tc>
        <w:tc>
          <w:tcPr>
            <w:tcW w:w="3551" w:type="dxa"/>
            <w:tcBorders>
              <w:top w:val="nil"/>
              <w:left w:val="nil"/>
              <w:bottom w:val="nil"/>
              <w:right w:val="nil"/>
            </w:tcBorders>
            <w:shd w:val="clear" w:color="000000" w:fill="F2F2F2"/>
            <w:noWrap/>
            <w:vAlign w:val="bottom"/>
            <w:hideMark/>
          </w:tcPr>
          <w:p w:rsidR="007B5401" w:rsidRPr="007B5401" w:rsidRDefault="007B5401" w:rsidP="007B5401">
            <w:pPr>
              <w:jc w:val="left"/>
              <w:rPr>
                <w:rFonts w:ascii="Arial" w:eastAsia="Times New Roman" w:hAnsi="Arial" w:cs="Arial"/>
                <w:color w:val="000000"/>
                <w:sz w:val="18"/>
                <w:szCs w:val="18"/>
              </w:rPr>
            </w:pPr>
            <w:r w:rsidRPr="007B5401">
              <w:rPr>
                <w:rFonts w:ascii="Arial" w:eastAsia="Times New Roman" w:hAnsi="Arial" w:cs="Arial"/>
                <w:color w:val="000000"/>
                <w:sz w:val="18"/>
                <w:szCs w:val="18"/>
              </w:rPr>
              <w:t>Water and Evaporatively Cooled CAC and HP</w:t>
            </w:r>
          </w:p>
        </w:tc>
        <w:tc>
          <w:tcPr>
            <w:tcW w:w="453" w:type="dxa"/>
            <w:tcBorders>
              <w:top w:val="nil"/>
              <w:left w:val="single" w:sz="4" w:space="0" w:color="auto"/>
              <w:bottom w:val="nil"/>
              <w:right w:val="nil"/>
            </w:tcBorders>
            <w:shd w:val="clear" w:color="000000" w:fill="F2F2F2"/>
            <w:noWrap/>
            <w:vAlign w:val="bottom"/>
            <w:hideMark/>
          </w:tcPr>
          <w:p w:rsidR="007B5401" w:rsidRPr="007B5401" w:rsidRDefault="007B5401" w:rsidP="007B5401">
            <w:pPr>
              <w:jc w:val="left"/>
              <w:rPr>
                <w:rFonts w:ascii="Arial" w:eastAsia="Times New Roman" w:hAnsi="Arial" w:cs="Arial"/>
                <w:color w:val="000000"/>
                <w:sz w:val="18"/>
                <w:szCs w:val="18"/>
              </w:rPr>
            </w:pPr>
            <w:r w:rsidRPr="007B5401">
              <w:rPr>
                <w:rFonts w:ascii="Arial" w:eastAsia="Times New Roman" w:hAnsi="Arial" w:cs="Arial"/>
                <w:color w:val="000000"/>
                <w:sz w:val="18"/>
                <w:szCs w:val="18"/>
              </w:rPr>
              <w:t> </w:t>
            </w:r>
          </w:p>
        </w:tc>
        <w:tc>
          <w:tcPr>
            <w:tcW w:w="452" w:type="dxa"/>
            <w:tcBorders>
              <w:top w:val="nil"/>
              <w:left w:val="single" w:sz="4" w:space="0" w:color="auto"/>
              <w:bottom w:val="nil"/>
              <w:right w:val="nil"/>
            </w:tcBorders>
            <w:shd w:val="clear" w:color="000000" w:fill="F2F2F2"/>
            <w:noWrap/>
            <w:vAlign w:val="bottom"/>
            <w:hideMark/>
          </w:tcPr>
          <w:p w:rsidR="007B5401" w:rsidRPr="007B5401" w:rsidRDefault="007B5401" w:rsidP="007B5401">
            <w:pPr>
              <w:jc w:val="left"/>
              <w:rPr>
                <w:rFonts w:ascii="Arial" w:eastAsia="Times New Roman" w:hAnsi="Arial" w:cs="Arial"/>
                <w:color w:val="000000"/>
                <w:sz w:val="18"/>
                <w:szCs w:val="18"/>
              </w:rPr>
            </w:pPr>
            <w:r w:rsidRPr="007B5401">
              <w:rPr>
                <w:rFonts w:ascii="Arial" w:eastAsia="Times New Roman" w:hAnsi="Arial" w:cs="Arial"/>
                <w:color w:val="000000"/>
                <w:sz w:val="18"/>
                <w:szCs w:val="18"/>
              </w:rPr>
              <w:t> </w:t>
            </w:r>
          </w:p>
        </w:tc>
        <w:tc>
          <w:tcPr>
            <w:tcW w:w="452" w:type="dxa"/>
            <w:tcBorders>
              <w:top w:val="nil"/>
              <w:left w:val="single" w:sz="4" w:space="0" w:color="auto"/>
              <w:bottom w:val="nil"/>
              <w:right w:val="single" w:sz="4" w:space="0" w:color="auto"/>
            </w:tcBorders>
            <w:shd w:val="clear" w:color="000000" w:fill="F2F2F2"/>
            <w:noWrap/>
            <w:vAlign w:val="bottom"/>
            <w:hideMark/>
          </w:tcPr>
          <w:p w:rsidR="007B5401" w:rsidRPr="007B5401" w:rsidRDefault="007B5401" w:rsidP="007B5401">
            <w:pPr>
              <w:jc w:val="left"/>
              <w:rPr>
                <w:rFonts w:ascii="Arial" w:eastAsia="Times New Roman" w:hAnsi="Arial" w:cs="Arial"/>
                <w:color w:val="000000"/>
                <w:sz w:val="18"/>
                <w:szCs w:val="18"/>
              </w:rPr>
            </w:pPr>
            <w:r w:rsidRPr="007B5401">
              <w:rPr>
                <w:rFonts w:ascii="Arial" w:eastAsia="Times New Roman" w:hAnsi="Arial" w:cs="Arial"/>
                <w:color w:val="000000"/>
                <w:sz w:val="18"/>
                <w:szCs w:val="18"/>
              </w:rPr>
              <w:t> </w:t>
            </w:r>
          </w:p>
        </w:tc>
        <w:tc>
          <w:tcPr>
            <w:tcW w:w="452" w:type="dxa"/>
            <w:tcBorders>
              <w:top w:val="nil"/>
              <w:left w:val="nil"/>
              <w:bottom w:val="nil"/>
              <w:right w:val="single" w:sz="4" w:space="0" w:color="auto"/>
            </w:tcBorders>
            <w:shd w:val="clear" w:color="000000" w:fill="F2F2F2"/>
            <w:hideMark/>
          </w:tcPr>
          <w:p w:rsidR="007B5401" w:rsidRPr="007B5401" w:rsidRDefault="007B5401" w:rsidP="007B5401">
            <w:pPr>
              <w:jc w:val="center"/>
              <w:rPr>
                <w:rFonts w:ascii="Wingdings 2" w:eastAsia="Times New Roman" w:hAnsi="Wingdings 2" w:cs="Arial"/>
                <w:color w:val="000000"/>
                <w:sz w:val="18"/>
                <w:szCs w:val="18"/>
              </w:rPr>
            </w:pPr>
            <w:r w:rsidRPr="007B5401">
              <w:rPr>
                <w:rFonts w:ascii="Wingdings 2" w:eastAsia="Times New Roman" w:hAnsi="Wingdings 2" w:cs="Arial"/>
                <w:color w:val="000000"/>
                <w:sz w:val="18"/>
                <w:szCs w:val="18"/>
              </w:rPr>
              <w:t></w:t>
            </w:r>
          </w:p>
        </w:tc>
        <w:tc>
          <w:tcPr>
            <w:tcW w:w="452" w:type="dxa"/>
            <w:tcBorders>
              <w:top w:val="nil"/>
              <w:left w:val="nil"/>
              <w:bottom w:val="nil"/>
              <w:right w:val="single" w:sz="4" w:space="0" w:color="auto"/>
            </w:tcBorders>
            <w:shd w:val="clear" w:color="000000" w:fill="F2F2F2"/>
            <w:hideMark/>
          </w:tcPr>
          <w:p w:rsidR="007B5401" w:rsidRPr="007B5401" w:rsidRDefault="007B5401" w:rsidP="007B5401">
            <w:pPr>
              <w:jc w:val="center"/>
              <w:rPr>
                <w:rFonts w:ascii="Wingdings 2" w:eastAsia="Times New Roman" w:hAnsi="Wingdings 2" w:cs="Arial"/>
                <w:color w:val="000000"/>
                <w:sz w:val="18"/>
                <w:szCs w:val="18"/>
              </w:rPr>
            </w:pPr>
            <w:r w:rsidRPr="007B5401">
              <w:rPr>
                <w:rFonts w:ascii="Wingdings 2" w:eastAsia="Times New Roman" w:hAnsi="Wingdings 2" w:cs="Arial"/>
                <w:color w:val="000000"/>
                <w:sz w:val="18"/>
                <w:szCs w:val="18"/>
              </w:rPr>
              <w:t></w:t>
            </w:r>
          </w:p>
        </w:tc>
        <w:tc>
          <w:tcPr>
            <w:tcW w:w="452" w:type="dxa"/>
            <w:tcBorders>
              <w:top w:val="nil"/>
              <w:left w:val="nil"/>
              <w:bottom w:val="nil"/>
              <w:right w:val="single" w:sz="4" w:space="0" w:color="auto"/>
            </w:tcBorders>
            <w:shd w:val="clear" w:color="000000" w:fill="F2F2F2"/>
            <w:noWrap/>
            <w:vAlign w:val="bottom"/>
            <w:hideMark/>
          </w:tcPr>
          <w:p w:rsidR="007B5401" w:rsidRPr="007B5401" w:rsidRDefault="007B5401" w:rsidP="007B5401">
            <w:pPr>
              <w:jc w:val="left"/>
              <w:rPr>
                <w:rFonts w:ascii="Arial" w:eastAsia="Times New Roman" w:hAnsi="Arial" w:cs="Arial"/>
                <w:color w:val="000000"/>
                <w:sz w:val="20"/>
                <w:szCs w:val="20"/>
              </w:rPr>
            </w:pPr>
            <w:r w:rsidRPr="007B5401">
              <w:rPr>
                <w:rFonts w:ascii="Arial" w:eastAsia="Times New Roman" w:hAnsi="Arial" w:cs="Arial"/>
                <w:color w:val="000000"/>
                <w:sz w:val="20"/>
                <w:szCs w:val="20"/>
              </w:rPr>
              <w:t> </w:t>
            </w:r>
          </w:p>
        </w:tc>
        <w:tc>
          <w:tcPr>
            <w:tcW w:w="452" w:type="dxa"/>
            <w:tcBorders>
              <w:top w:val="nil"/>
              <w:left w:val="nil"/>
              <w:bottom w:val="nil"/>
              <w:right w:val="single" w:sz="4" w:space="0" w:color="auto"/>
            </w:tcBorders>
            <w:shd w:val="clear" w:color="000000" w:fill="F2F2F2"/>
            <w:noWrap/>
            <w:vAlign w:val="bottom"/>
            <w:hideMark/>
          </w:tcPr>
          <w:p w:rsidR="007B5401" w:rsidRPr="007B5401" w:rsidRDefault="007B5401" w:rsidP="007B5401">
            <w:pPr>
              <w:jc w:val="left"/>
              <w:rPr>
                <w:rFonts w:ascii="Arial" w:eastAsia="Times New Roman" w:hAnsi="Arial" w:cs="Arial"/>
                <w:color w:val="000000"/>
                <w:sz w:val="20"/>
                <w:szCs w:val="20"/>
              </w:rPr>
            </w:pPr>
            <w:r w:rsidRPr="007B5401">
              <w:rPr>
                <w:rFonts w:ascii="Arial" w:eastAsia="Times New Roman" w:hAnsi="Arial" w:cs="Arial"/>
                <w:color w:val="000000"/>
                <w:sz w:val="20"/>
                <w:szCs w:val="20"/>
              </w:rPr>
              <w:t> </w:t>
            </w:r>
          </w:p>
        </w:tc>
        <w:tc>
          <w:tcPr>
            <w:tcW w:w="452" w:type="dxa"/>
            <w:tcBorders>
              <w:top w:val="nil"/>
              <w:left w:val="nil"/>
              <w:bottom w:val="nil"/>
              <w:right w:val="single" w:sz="4" w:space="0" w:color="auto"/>
            </w:tcBorders>
            <w:shd w:val="clear" w:color="000000" w:fill="F2F2F2"/>
          </w:tcPr>
          <w:p w:rsidR="007B5401" w:rsidRPr="007B5401" w:rsidRDefault="007B5401" w:rsidP="007B5401">
            <w:pPr>
              <w:jc w:val="center"/>
              <w:rPr>
                <w:rFonts w:ascii="Wingdings 2" w:eastAsia="Times New Roman" w:hAnsi="Wingdings 2" w:cs="Arial"/>
                <w:color w:val="000000"/>
                <w:sz w:val="18"/>
                <w:szCs w:val="18"/>
              </w:rPr>
            </w:pPr>
          </w:p>
        </w:tc>
        <w:tc>
          <w:tcPr>
            <w:tcW w:w="452" w:type="dxa"/>
            <w:tcBorders>
              <w:top w:val="nil"/>
              <w:left w:val="nil"/>
              <w:bottom w:val="nil"/>
              <w:right w:val="single" w:sz="4" w:space="0" w:color="auto"/>
            </w:tcBorders>
            <w:shd w:val="clear" w:color="000000" w:fill="F2F2F2"/>
          </w:tcPr>
          <w:p w:rsidR="007B5401" w:rsidRPr="007B5401" w:rsidRDefault="007B5401" w:rsidP="007B5401">
            <w:pPr>
              <w:jc w:val="center"/>
              <w:rPr>
                <w:rFonts w:ascii="Wingdings 2" w:eastAsia="Times New Roman" w:hAnsi="Wingdings 2" w:cs="Arial"/>
                <w:color w:val="000000"/>
                <w:sz w:val="18"/>
                <w:szCs w:val="18"/>
              </w:rPr>
            </w:pPr>
          </w:p>
        </w:tc>
        <w:tc>
          <w:tcPr>
            <w:tcW w:w="452" w:type="dxa"/>
            <w:tcBorders>
              <w:top w:val="nil"/>
              <w:left w:val="nil"/>
              <w:bottom w:val="nil"/>
              <w:right w:val="single" w:sz="4" w:space="0" w:color="auto"/>
            </w:tcBorders>
            <w:shd w:val="clear" w:color="000000" w:fill="F2F2F2"/>
          </w:tcPr>
          <w:p w:rsidR="007B5401" w:rsidRPr="007B5401" w:rsidRDefault="007B5401" w:rsidP="007B5401">
            <w:pPr>
              <w:jc w:val="center"/>
              <w:rPr>
                <w:rFonts w:ascii="Wingdings 2" w:eastAsia="Times New Roman" w:hAnsi="Wingdings 2" w:cs="Arial"/>
                <w:color w:val="000000"/>
                <w:sz w:val="18"/>
                <w:szCs w:val="18"/>
              </w:rPr>
            </w:pPr>
          </w:p>
        </w:tc>
        <w:tc>
          <w:tcPr>
            <w:tcW w:w="452" w:type="dxa"/>
            <w:tcBorders>
              <w:top w:val="nil"/>
              <w:left w:val="nil"/>
              <w:bottom w:val="nil"/>
              <w:right w:val="single" w:sz="4" w:space="0" w:color="auto"/>
            </w:tcBorders>
            <w:shd w:val="clear" w:color="000000" w:fill="F2F2F2"/>
            <w:noWrap/>
            <w:vAlign w:val="bottom"/>
          </w:tcPr>
          <w:p w:rsidR="007B5401" w:rsidRPr="007B5401" w:rsidRDefault="007B5401" w:rsidP="007B5401">
            <w:pPr>
              <w:jc w:val="left"/>
              <w:rPr>
                <w:rFonts w:ascii="Arial" w:eastAsia="Times New Roman" w:hAnsi="Arial" w:cs="Arial"/>
                <w:color w:val="000000"/>
                <w:sz w:val="20"/>
                <w:szCs w:val="20"/>
              </w:rPr>
            </w:pPr>
          </w:p>
        </w:tc>
      </w:tr>
      <w:tr w:rsidR="007B5401" w:rsidRPr="007B5401" w:rsidTr="007B5401">
        <w:trPr>
          <w:trHeight w:val="255"/>
        </w:trPr>
        <w:tc>
          <w:tcPr>
            <w:tcW w:w="1247" w:type="dxa"/>
            <w:vMerge/>
            <w:tcBorders>
              <w:top w:val="nil"/>
              <w:left w:val="single" w:sz="4" w:space="0" w:color="auto"/>
              <w:bottom w:val="single" w:sz="4" w:space="0" w:color="000000"/>
              <w:right w:val="single" w:sz="4" w:space="0" w:color="auto"/>
            </w:tcBorders>
            <w:vAlign w:val="center"/>
            <w:hideMark/>
          </w:tcPr>
          <w:p w:rsidR="007B5401" w:rsidRPr="007B5401" w:rsidRDefault="007B5401" w:rsidP="007B5401">
            <w:pPr>
              <w:jc w:val="left"/>
              <w:rPr>
                <w:rFonts w:ascii="Arial" w:eastAsia="Times New Roman" w:hAnsi="Arial" w:cs="Arial"/>
                <w:color w:val="000000"/>
                <w:sz w:val="18"/>
                <w:szCs w:val="18"/>
              </w:rPr>
            </w:pPr>
          </w:p>
        </w:tc>
        <w:tc>
          <w:tcPr>
            <w:tcW w:w="3551" w:type="dxa"/>
            <w:tcBorders>
              <w:top w:val="nil"/>
              <w:left w:val="nil"/>
              <w:bottom w:val="nil"/>
              <w:right w:val="nil"/>
            </w:tcBorders>
            <w:shd w:val="clear" w:color="auto" w:fill="auto"/>
            <w:noWrap/>
            <w:vAlign w:val="bottom"/>
            <w:hideMark/>
          </w:tcPr>
          <w:p w:rsidR="007B5401" w:rsidRPr="007B5401" w:rsidRDefault="007B5401" w:rsidP="007B5401">
            <w:pPr>
              <w:jc w:val="left"/>
              <w:rPr>
                <w:rFonts w:ascii="Arial" w:eastAsia="Times New Roman" w:hAnsi="Arial" w:cs="Arial"/>
                <w:color w:val="000000"/>
                <w:sz w:val="18"/>
                <w:szCs w:val="18"/>
              </w:rPr>
            </w:pPr>
            <w:r w:rsidRPr="007B5401">
              <w:rPr>
                <w:rFonts w:ascii="Arial" w:eastAsia="Times New Roman" w:hAnsi="Arial" w:cs="Arial"/>
                <w:color w:val="000000"/>
                <w:sz w:val="18"/>
                <w:szCs w:val="18"/>
              </w:rPr>
              <w:t>Water Heaters</w:t>
            </w:r>
          </w:p>
        </w:tc>
        <w:tc>
          <w:tcPr>
            <w:tcW w:w="453" w:type="dxa"/>
            <w:tcBorders>
              <w:top w:val="nil"/>
              <w:left w:val="single" w:sz="4" w:space="0" w:color="auto"/>
              <w:bottom w:val="nil"/>
              <w:right w:val="nil"/>
            </w:tcBorders>
            <w:shd w:val="clear" w:color="auto" w:fill="auto"/>
            <w:noWrap/>
            <w:vAlign w:val="bottom"/>
            <w:hideMark/>
          </w:tcPr>
          <w:p w:rsidR="007B5401" w:rsidRPr="007B5401" w:rsidRDefault="007B5401" w:rsidP="007B5401">
            <w:pPr>
              <w:jc w:val="left"/>
              <w:rPr>
                <w:rFonts w:ascii="Arial" w:eastAsia="Times New Roman" w:hAnsi="Arial" w:cs="Arial"/>
                <w:color w:val="000000"/>
                <w:sz w:val="18"/>
                <w:szCs w:val="18"/>
              </w:rPr>
            </w:pPr>
            <w:r w:rsidRPr="007B5401">
              <w:rPr>
                <w:rFonts w:ascii="Arial" w:eastAsia="Times New Roman" w:hAnsi="Arial" w:cs="Arial"/>
                <w:color w:val="000000"/>
                <w:sz w:val="18"/>
                <w:szCs w:val="18"/>
              </w:rPr>
              <w:t> </w:t>
            </w:r>
          </w:p>
        </w:tc>
        <w:tc>
          <w:tcPr>
            <w:tcW w:w="452" w:type="dxa"/>
            <w:tcBorders>
              <w:top w:val="nil"/>
              <w:left w:val="single" w:sz="4" w:space="0" w:color="auto"/>
              <w:bottom w:val="nil"/>
              <w:right w:val="nil"/>
            </w:tcBorders>
            <w:shd w:val="clear" w:color="auto" w:fill="auto"/>
            <w:noWrap/>
            <w:vAlign w:val="bottom"/>
            <w:hideMark/>
          </w:tcPr>
          <w:p w:rsidR="007B5401" w:rsidRPr="007B5401" w:rsidRDefault="007B5401" w:rsidP="007B5401">
            <w:pPr>
              <w:jc w:val="left"/>
              <w:rPr>
                <w:rFonts w:ascii="Arial" w:eastAsia="Times New Roman" w:hAnsi="Arial" w:cs="Arial"/>
                <w:color w:val="000000"/>
                <w:sz w:val="18"/>
                <w:szCs w:val="18"/>
              </w:rPr>
            </w:pPr>
            <w:r w:rsidRPr="007B5401">
              <w:rPr>
                <w:rFonts w:ascii="Arial" w:eastAsia="Times New Roman" w:hAnsi="Arial" w:cs="Arial"/>
                <w:color w:val="000000"/>
                <w:sz w:val="18"/>
                <w:szCs w:val="18"/>
              </w:rPr>
              <w:t> </w:t>
            </w:r>
          </w:p>
        </w:tc>
        <w:tc>
          <w:tcPr>
            <w:tcW w:w="452" w:type="dxa"/>
            <w:tcBorders>
              <w:top w:val="nil"/>
              <w:left w:val="single" w:sz="4" w:space="0" w:color="auto"/>
              <w:bottom w:val="nil"/>
              <w:right w:val="single" w:sz="4" w:space="0" w:color="auto"/>
            </w:tcBorders>
            <w:shd w:val="clear" w:color="auto" w:fill="auto"/>
            <w:noWrap/>
            <w:vAlign w:val="bottom"/>
            <w:hideMark/>
          </w:tcPr>
          <w:p w:rsidR="007B5401" w:rsidRPr="007B5401" w:rsidRDefault="007B5401" w:rsidP="007B5401">
            <w:pPr>
              <w:jc w:val="left"/>
              <w:rPr>
                <w:rFonts w:ascii="Arial" w:eastAsia="Times New Roman" w:hAnsi="Arial" w:cs="Arial"/>
                <w:color w:val="000000"/>
                <w:sz w:val="18"/>
                <w:szCs w:val="18"/>
              </w:rPr>
            </w:pPr>
            <w:r w:rsidRPr="007B5401">
              <w:rPr>
                <w:rFonts w:ascii="Arial" w:eastAsia="Times New Roman" w:hAnsi="Arial" w:cs="Arial"/>
                <w:color w:val="000000"/>
                <w:sz w:val="18"/>
                <w:szCs w:val="18"/>
              </w:rPr>
              <w:t> </w:t>
            </w:r>
          </w:p>
        </w:tc>
        <w:tc>
          <w:tcPr>
            <w:tcW w:w="452" w:type="dxa"/>
            <w:tcBorders>
              <w:top w:val="nil"/>
              <w:left w:val="nil"/>
              <w:bottom w:val="nil"/>
              <w:right w:val="single" w:sz="4" w:space="0" w:color="auto"/>
            </w:tcBorders>
            <w:shd w:val="clear" w:color="auto" w:fill="auto"/>
          </w:tcPr>
          <w:p w:rsidR="007B5401" w:rsidRPr="007B5401" w:rsidRDefault="007B5401" w:rsidP="007B5401">
            <w:pPr>
              <w:jc w:val="center"/>
              <w:rPr>
                <w:rFonts w:ascii="Wingdings 2" w:eastAsia="Times New Roman" w:hAnsi="Wingdings 2" w:cs="Arial"/>
                <w:color w:val="000000"/>
                <w:sz w:val="18"/>
                <w:szCs w:val="18"/>
              </w:rPr>
            </w:pPr>
          </w:p>
        </w:tc>
        <w:tc>
          <w:tcPr>
            <w:tcW w:w="452" w:type="dxa"/>
            <w:tcBorders>
              <w:top w:val="nil"/>
              <w:left w:val="nil"/>
              <w:bottom w:val="nil"/>
              <w:right w:val="single" w:sz="4" w:space="0" w:color="auto"/>
            </w:tcBorders>
            <w:shd w:val="clear" w:color="auto" w:fill="auto"/>
            <w:noWrap/>
            <w:vAlign w:val="bottom"/>
            <w:hideMark/>
          </w:tcPr>
          <w:p w:rsidR="007B5401" w:rsidRPr="007B5401" w:rsidRDefault="007B5401" w:rsidP="007B5401">
            <w:pPr>
              <w:jc w:val="left"/>
              <w:rPr>
                <w:rFonts w:ascii="Arial" w:eastAsia="Times New Roman" w:hAnsi="Arial" w:cs="Arial"/>
                <w:color w:val="000000"/>
                <w:sz w:val="20"/>
                <w:szCs w:val="20"/>
              </w:rPr>
            </w:pPr>
            <w:r w:rsidRPr="007B5401">
              <w:rPr>
                <w:rFonts w:ascii="Arial" w:eastAsia="Times New Roman" w:hAnsi="Arial" w:cs="Arial"/>
                <w:color w:val="000000"/>
                <w:sz w:val="20"/>
                <w:szCs w:val="20"/>
              </w:rPr>
              <w:t> </w:t>
            </w:r>
          </w:p>
        </w:tc>
        <w:tc>
          <w:tcPr>
            <w:tcW w:w="452" w:type="dxa"/>
            <w:tcBorders>
              <w:top w:val="nil"/>
              <w:left w:val="nil"/>
              <w:bottom w:val="nil"/>
              <w:right w:val="single" w:sz="4" w:space="0" w:color="auto"/>
            </w:tcBorders>
            <w:shd w:val="clear" w:color="auto" w:fill="auto"/>
            <w:noWrap/>
            <w:vAlign w:val="bottom"/>
            <w:hideMark/>
          </w:tcPr>
          <w:p w:rsidR="007B5401" w:rsidRPr="007B5401" w:rsidRDefault="007B5401" w:rsidP="007B5401">
            <w:pPr>
              <w:jc w:val="left"/>
              <w:rPr>
                <w:rFonts w:ascii="Arial" w:eastAsia="Times New Roman" w:hAnsi="Arial" w:cs="Arial"/>
                <w:color w:val="000000"/>
                <w:sz w:val="20"/>
                <w:szCs w:val="20"/>
              </w:rPr>
            </w:pPr>
            <w:r w:rsidRPr="007B5401">
              <w:rPr>
                <w:rFonts w:ascii="Arial" w:eastAsia="Times New Roman" w:hAnsi="Arial" w:cs="Arial"/>
                <w:color w:val="000000"/>
                <w:sz w:val="20"/>
                <w:szCs w:val="20"/>
              </w:rPr>
              <w:t> </w:t>
            </w:r>
          </w:p>
        </w:tc>
        <w:tc>
          <w:tcPr>
            <w:tcW w:w="452" w:type="dxa"/>
            <w:tcBorders>
              <w:top w:val="nil"/>
              <w:left w:val="nil"/>
              <w:bottom w:val="nil"/>
              <w:right w:val="single" w:sz="4" w:space="0" w:color="auto"/>
            </w:tcBorders>
            <w:shd w:val="clear" w:color="auto" w:fill="auto"/>
            <w:noWrap/>
            <w:vAlign w:val="bottom"/>
            <w:hideMark/>
          </w:tcPr>
          <w:p w:rsidR="007B5401" w:rsidRPr="007B5401" w:rsidRDefault="007B5401" w:rsidP="007B5401">
            <w:pPr>
              <w:jc w:val="left"/>
              <w:rPr>
                <w:rFonts w:ascii="Arial" w:eastAsia="Times New Roman" w:hAnsi="Arial" w:cs="Arial"/>
                <w:color w:val="000000"/>
                <w:sz w:val="20"/>
                <w:szCs w:val="20"/>
              </w:rPr>
            </w:pPr>
            <w:r w:rsidRPr="007B5401">
              <w:rPr>
                <w:rFonts w:ascii="Arial" w:eastAsia="Times New Roman" w:hAnsi="Arial" w:cs="Arial"/>
                <w:color w:val="000000"/>
                <w:sz w:val="20"/>
                <w:szCs w:val="20"/>
              </w:rPr>
              <w:t> </w:t>
            </w:r>
          </w:p>
        </w:tc>
        <w:tc>
          <w:tcPr>
            <w:tcW w:w="452" w:type="dxa"/>
            <w:tcBorders>
              <w:top w:val="nil"/>
              <w:left w:val="nil"/>
              <w:bottom w:val="nil"/>
              <w:right w:val="single" w:sz="4" w:space="0" w:color="auto"/>
            </w:tcBorders>
            <w:shd w:val="clear" w:color="auto" w:fill="auto"/>
          </w:tcPr>
          <w:p w:rsidR="007B5401" w:rsidRPr="007B5401" w:rsidRDefault="007B5401" w:rsidP="007B5401">
            <w:pPr>
              <w:jc w:val="center"/>
              <w:rPr>
                <w:rFonts w:ascii="Wingdings 2" w:eastAsia="Times New Roman" w:hAnsi="Wingdings 2" w:cs="Arial"/>
                <w:color w:val="000000"/>
                <w:sz w:val="18"/>
                <w:szCs w:val="18"/>
              </w:rPr>
            </w:pPr>
          </w:p>
        </w:tc>
        <w:tc>
          <w:tcPr>
            <w:tcW w:w="452" w:type="dxa"/>
            <w:tcBorders>
              <w:top w:val="nil"/>
              <w:left w:val="nil"/>
              <w:bottom w:val="nil"/>
              <w:right w:val="single" w:sz="4" w:space="0" w:color="auto"/>
            </w:tcBorders>
            <w:shd w:val="clear" w:color="auto" w:fill="auto"/>
          </w:tcPr>
          <w:p w:rsidR="007B5401" w:rsidRPr="007B5401" w:rsidRDefault="007B5401" w:rsidP="007B5401">
            <w:pPr>
              <w:jc w:val="center"/>
              <w:rPr>
                <w:rFonts w:ascii="Wingdings 2" w:eastAsia="Times New Roman" w:hAnsi="Wingdings 2" w:cs="Arial"/>
                <w:color w:val="000000"/>
                <w:sz w:val="18"/>
                <w:szCs w:val="18"/>
              </w:rPr>
            </w:pPr>
          </w:p>
        </w:tc>
        <w:tc>
          <w:tcPr>
            <w:tcW w:w="452" w:type="dxa"/>
            <w:tcBorders>
              <w:top w:val="nil"/>
              <w:left w:val="nil"/>
              <w:bottom w:val="nil"/>
              <w:right w:val="single" w:sz="4" w:space="0" w:color="auto"/>
            </w:tcBorders>
            <w:shd w:val="clear" w:color="auto" w:fill="auto"/>
            <w:hideMark/>
          </w:tcPr>
          <w:p w:rsidR="007B5401" w:rsidRPr="007B5401" w:rsidRDefault="007B5401" w:rsidP="007B5401">
            <w:pPr>
              <w:jc w:val="center"/>
              <w:rPr>
                <w:rFonts w:ascii="Wingdings 2" w:eastAsia="Times New Roman" w:hAnsi="Wingdings 2" w:cs="Arial"/>
                <w:color w:val="000000"/>
                <w:sz w:val="18"/>
                <w:szCs w:val="18"/>
              </w:rPr>
            </w:pPr>
            <w:r w:rsidRPr="007B5401">
              <w:rPr>
                <w:rFonts w:ascii="Wingdings 2" w:eastAsia="Times New Roman" w:hAnsi="Wingdings 2" w:cs="Arial"/>
                <w:color w:val="000000"/>
                <w:sz w:val="18"/>
                <w:szCs w:val="18"/>
              </w:rPr>
              <w:t></w:t>
            </w:r>
          </w:p>
        </w:tc>
        <w:tc>
          <w:tcPr>
            <w:tcW w:w="452" w:type="dxa"/>
            <w:tcBorders>
              <w:top w:val="nil"/>
              <w:left w:val="nil"/>
              <w:bottom w:val="nil"/>
              <w:right w:val="single" w:sz="4" w:space="0" w:color="auto"/>
            </w:tcBorders>
            <w:shd w:val="clear" w:color="auto" w:fill="auto"/>
            <w:noWrap/>
            <w:vAlign w:val="bottom"/>
          </w:tcPr>
          <w:p w:rsidR="007B5401" w:rsidRPr="007B5401" w:rsidRDefault="007B5401" w:rsidP="007B5401">
            <w:pPr>
              <w:jc w:val="left"/>
              <w:rPr>
                <w:rFonts w:ascii="Arial" w:eastAsia="Times New Roman" w:hAnsi="Arial" w:cs="Arial"/>
                <w:color w:val="000000"/>
                <w:sz w:val="20"/>
                <w:szCs w:val="20"/>
              </w:rPr>
            </w:pPr>
          </w:p>
        </w:tc>
      </w:tr>
      <w:tr w:rsidR="007B5401" w:rsidRPr="007B5401" w:rsidTr="007B5401">
        <w:trPr>
          <w:trHeight w:val="255"/>
        </w:trPr>
        <w:tc>
          <w:tcPr>
            <w:tcW w:w="1247" w:type="dxa"/>
            <w:vMerge/>
            <w:tcBorders>
              <w:top w:val="nil"/>
              <w:left w:val="single" w:sz="4" w:space="0" w:color="auto"/>
              <w:bottom w:val="single" w:sz="4" w:space="0" w:color="000000"/>
              <w:right w:val="single" w:sz="4" w:space="0" w:color="auto"/>
            </w:tcBorders>
            <w:vAlign w:val="center"/>
            <w:hideMark/>
          </w:tcPr>
          <w:p w:rsidR="007B5401" w:rsidRPr="007B5401" w:rsidRDefault="007B5401" w:rsidP="007B5401">
            <w:pPr>
              <w:jc w:val="left"/>
              <w:rPr>
                <w:rFonts w:ascii="Arial" w:eastAsia="Times New Roman" w:hAnsi="Arial" w:cs="Arial"/>
                <w:color w:val="000000"/>
                <w:sz w:val="18"/>
                <w:szCs w:val="18"/>
              </w:rPr>
            </w:pPr>
          </w:p>
        </w:tc>
        <w:tc>
          <w:tcPr>
            <w:tcW w:w="3551" w:type="dxa"/>
            <w:tcBorders>
              <w:top w:val="nil"/>
              <w:left w:val="nil"/>
              <w:bottom w:val="single" w:sz="4" w:space="0" w:color="auto"/>
              <w:right w:val="nil"/>
            </w:tcBorders>
            <w:shd w:val="clear" w:color="000000" w:fill="F2F2F2"/>
            <w:noWrap/>
            <w:vAlign w:val="bottom"/>
            <w:hideMark/>
          </w:tcPr>
          <w:p w:rsidR="007B5401" w:rsidRPr="007B5401" w:rsidRDefault="007B5401" w:rsidP="007B5401">
            <w:pPr>
              <w:jc w:val="left"/>
              <w:rPr>
                <w:rFonts w:ascii="Arial" w:eastAsia="Times New Roman" w:hAnsi="Arial" w:cs="Arial"/>
                <w:color w:val="000000"/>
                <w:sz w:val="18"/>
                <w:szCs w:val="18"/>
              </w:rPr>
            </w:pPr>
            <w:r w:rsidRPr="007B5401">
              <w:rPr>
                <w:rFonts w:ascii="Arial" w:eastAsia="Times New Roman" w:hAnsi="Arial" w:cs="Arial"/>
                <w:color w:val="000000"/>
                <w:sz w:val="18"/>
                <w:szCs w:val="18"/>
              </w:rPr>
              <w:t>Water Source Heat Pumps</w:t>
            </w:r>
          </w:p>
        </w:tc>
        <w:tc>
          <w:tcPr>
            <w:tcW w:w="453" w:type="dxa"/>
            <w:tcBorders>
              <w:top w:val="nil"/>
              <w:left w:val="single" w:sz="4" w:space="0" w:color="auto"/>
              <w:bottom w:val="single" w:sz="4" w:space="0" w:color="auto"/>
              <w:right w:val="nil"/>
            </w:tcBorders>
            <w:shd w:val="clear" w:color="000000" w:fill="F2F2F2"/>
            <w:noWrap/>
            <w:vAlign w:val="bottom"/>
            <w:hideMark/>
          </w:tcPr>
          <w:p w:rsidR="007B5401" w:rsidRPr="007B5401" w:rsidRDefault="007B5401" w:rsidP="007B5401">
            <w:pPr>
              <w:jc w:val="left"/>
              <w:rPr>
                <w:rFonts w:ascii="Arial" w:eastAsia="Times New Roman" w:hAnsi="Arial" w:cs="Arial"/>
                <w:color w:val="000000"/>
                <w:sz w:val="18"/>
                <w:szCs w:val="18"/>
              </w:rPr>
            </w:pPr>
            <w:r w:rsidRPr="007B5401">
              <w:rPr>
                <w:rFonts w:ascii="Arial" w:eastAsia="Times New Roman" w:hAnsi="Arial" w:cs="Arial"/>
                <w:color w:val="000000"/>
                <w:sz w:val="18"/>
                <w:szCs w:val="18"/>
              </w:rPr>
              <w:t> </w:t>
            </w:r>
          </w:p>
        </w:tc>
        <w:tc>
          <w:tcPr>
            <w:tcW w:w="452" w:type="dxa"/>
            <w:tcBorders>
              <w:top w:val="nil"/>
              <w:left w:val="single" w:sz="4" w:space="0" w:color="auto"/>
              <w:bottom w:val="nil"/>
              <w:right w:val="single" w:sz="4" w:space="0" w:color="auto"/>
            </w:tcBorders>
            <w:shd w:val="clear" w:color="000000" w:fill="F2F2F2"/>
            <w:hideMark/>
          </w:tcPr>
          <w:p w:rsidR="007B5401" w:rsidRPr="007B5401" w:rsidRDefault="007B5401" w:rsidP="007B5401">
            <w:pPr>
              <w:jc w:val="center"/>
              <w:rPr>
                <w:rFonts w:ascii="Wingdings 2" w:eastAsia="Times New Roman" w:hAnsi="Wingdings 2" w:cs="Arial"/>
                <w:color w:val="000000"/>
                <w:sz w:val="18"/>
                <w:szCs w:val="18"/>
              </w:rPr>
            </w:pPr>
            <w:r w:rsidRPr="007B5401">
              <w:rPr>
                <w:rFonts w:ascii="Wingdings 2" w:eastAsia="Times New Roman" w:hAnsi="Wingdings 2" w:cs="Arial"/>
                <w:color w:val="000000"/>
                <w:sz w:val="18"/>
                <w:szCs w:val="18"/>
              </w:rPr>
              <w:t></w:t>
            </w:r>
          </w:p>
        </w:tc>
        <w:tc>
          <w:tcPr>
            <w:tcW w:w="452" w:type="dxa"/>
            <w:tcBorders>
              <w:top w:val="nil"/>
              <w:left w:val="nil"/>
              <w:bottom w:val="single" w:sz="4" w:space="0" w:color="auto"/>
              <w:right w:val="single" w:sz="4" w:space="0" w:color="auto"/>
            </w:tcBorders>
            <w:shd w:val="clear" w:color="000000" w:fill="F2F2F2"/>
            <w:noWrap/>
            <w:vAlign w:val="bottom"/>
            <w:hideMark/>
          </w:tcPr>
          <w:p w:rsidR="007B5401" w:rsidRPr="007B5401" w:rsidRDefault="007B5401" w:rsidP="007B5401">
            <w:pPr>
              <w:jc w:val="left"/>
              <w:rPr>
                <w:rFonts w:ascii="Arial" w:eastAsia="Times New Roman" w:hAnsi="Arial" w:cs="Arial"/>
                <w:color w:val="000000"/>
                <w:sz w:val="18"/>
                <w:szCs w:val="18"/>
              </w:rPr>
            </w:pPr>
            <w:r w:rsidRPr="007B5401">
              <w:rPr>
                <w:rFonts w:ascii="Arial" w:eastAsia="Times New Roman" w:hAnsi="Arial" w:cs="Arial"/>
                <w:color w:val="000000"/>
                <w:sz w:val="18"/>
                <w:szCs w:val="18"/>
              </w:rPr>
              <w:t> </w:t>
            </w:r>
          </w:p>
        </w:tc>
        <w:tc>
          <w:tcPr>
            <w:tcW w:w="452" w:type="dxa"/>
            <w:tcBorders>
              <w:top w:val="nil"/>
              <w:left w:val="nil"/>
              <w:bottom w:val="nil"/>
              <w:right w:val="single" w:sz="4" w:space="0" w:color="auto"/>
            </w:tcBorders>
            <w:shd w:val="clear" w:color="000000" w:fill="F2F2F2"/>
          </w:tcPr>
          <w:p w:rsidR="007B5401" w:rsidRPr="007B5401" w:rsidRDefault="007B5401" w:rsidP="007B5401">
            <w:pPr>
              <w:jc w:val="center"/>
              <w:rPr>
                <w:rFonts w:ascii="Wingdings 2" w:eastAsia="Times New Roman" w:hAnsi="Wingdings 2" w:cs="Arial"/>
                <w:color w:val="000000"/>
                <w:sz w:val="18"/>
                <w:szCs w:val="18"/>
              </w:rPr>
            </w:pPr>
          </w:p>
        </w:tc>
        <w:tc>
          <w:tcPr>
            <w:tcW w:w="452" w:type="dxa"/>
            <w:tcBorders>
              <w:top w:val="nil"/>
              <w:left w:val="nil"/>
              <w:bottom w:val="single" w:sz="4" w:space="0" w:color="auto"/>
              <w:right w:val="single" w:sz="4" w:space="0" w:color="auto"/>
            </w:tcBorders>
            <w:shd w:val="clear" w:color="000000" w:fill="F2F2F2"/>
            <w:noWrap/>
            <w:vAlign w:val="bottom"/>
            <w:hideMark/>
          </w:tcPr>
          <w:p w:rsidR="007B5401" w:rsidRPr="007B5401" w:rsidRDefault="007B5401" w:rsidP="007B5401">
            <w:pPr>
              <w:jc w:val="left"/>
              <w:rPr>
                <w:rFonts w:ascii="Arial" w:eastAsia="Times New Roman" w:hAnsi="Arial" w:cs="Arial"/>
                <w:color w:val="000000"/>
                <w:sz w:val="20"/>
                <w:szCs w:val="20"/>
              </w:rPr>
            </w:pPr>
            <w:r w:rsidRPr="007B5401">
              <w:rPr>
                <w:rFonts w:ascii="Arial" w:eastAsia="Times New Roman" w:hAnsi="Arial" w:cs="Arial"/>
                <w:color w:val="000000"/>
                <w:sz w:val="20"/>
                <w:szCs w:val="20"/>
              </w:rPr>
              <w:t> </w:t>
            </w:r>
          </w:p>
        </w:tc>
        <w:tc>
          <w:tcPr>
            <w:tcW w:w="452" w:type="dxa"/>
            <w:tcBorders>
              <w:top w:val="nil"/>
              <w:left w:val="nil"/>
              <w:bottom w:val="single" w:sz="4" w:space="0" w:color="auto"/>
              <w:right w:val="single" w:sz="4" w:space="0" w:color="auto"/>
            </w:tcBorders>
            <w:shd w:val="clear" w:color="000000" w:fill="F2F2F2"/>
            <w:noWrap/>
            <w:vAlign w:val="bottom"/>
            <w:hideMark/>
          </w:tcPr>
          <w:p w:rsidR="007B5401" w:rsidRPr="007B5401" w:rsidRDefault="007B5401" w:rsidP="007B5401">
            <w:pPr>
              <w:jc w:val="left"/>
              <w:rPr>
                <w:rFonts w:ascii="Arial" w:eastAsia="Times New Roman" w:hAnsi="Arial" w:cs="Arial"/>
                <w:color w:val="000000"/>
                <w:sz w:val="20"/>
                <w:szCs w:val="20"/>
              </w:rPr>
            </w:pPr>
            <w:r w:rsidRPr="007B5401">
              <w:rPr>
                <w:rFonts w:ascii="Arial" w:eastAsia="Times New Roman" w:hAnsi="Arial" w:cs="Arial"/>
                <w:color w:val="000000"/>
                <w:sz w:val="20"/>
                <w:szCs w:val="20"/>
              </w:rPr>
              <w:t> </w:t>
            </w:r>
          </w:p>
        </w:tc>
        <w:tc>
          <w:tcPr>
            <w:tcW w:w="452" w:type="dxa"/>
            <w:tcBorders>
              <w:top w:val="nil"/>
              <w:left w:val="nil"/>
              <w:bottom w:val="single" w:sz="4" w:space="0" w:color="auto"/>
              <w:right w:val="single" w:sz="4" w:space="0" w:color="auto"/>
            </w:tcBorders>
            <w:shd w:val="clear" w:color="000000" w:fill="F2F2F2"/>
            <w:noWrap/>
            <w:vAlign w:val="bottom"/>
            <w:hideMark/>
          </w:tcPr>
          <w:p w:rsidR="007B5401" w:rsidRPr="007B5401" w:rsidRDefault="007B5401" w:rsidP="007B5401">
            <w:pPr>
              <w:jc w:val="left"/>
              <w:rPr>
                <w:rFonts w:ascii="Arial" w:eastAsia="Times New Roman" w:hAnsi="Arial" w:cs="Arial"/>
                <w:color w:val="000000"/>
                <w:sz w:val="20"/>
                <w:szCs w:val="20"/>
              </w:rPr>
            </w:pPr>
            <w:r w:rsidRPr="007B5401">
              <w:rPr>
                <w:rFonts w:ascii="Arial" w:eastAsia="Times New Roman" w:hAnsi="Arial" w:cs="Arial"/>
                <w:color w:val="000000"/>
                <w:sz w:val="20"/>
                <w:szCs w:val="20"/>
              </w:rPr>
              <w:t> </w:t>
            </w:r>
          </w:p>
        </w:tc>
        <w:tc>
          <w:tcPr>
            <w:tcW w:w="452" w:type="dxa"/>
            <w:tcBorders>
              <w:top w:val="nil"/>
              <w:left w:val="nil"/>
              <w:bottom w:val="single" w:sz="4" w:space="0" w:color="auto"/>
              <w:right w:val="single" w:sz="4" w:space="0" w:color="auto"/>
            </w:tcBorders>
            <w:shd w:val="clear" w:color="000000" w:fill="F2F2F2"/>
            <w:hideMark/>
          </w:tcPr>
          <w:p w:rsidR="007B5401" w:rsidRPr="007B5401" w:rsidRDefault="007B5401" w:rsidP="007B5401">
            <w:pPr>
              <w:jc w:val="center"/>
              <w:rPr>
                <w:rFonts w:ascii="Wingdings 2" w:eastAsia="Times New Roman" w:hAnsi="Wingdings 2" w:cs="Arial"/>
                <w:color w:val="000000"/>
                <w:sz w:val="18"/>
                <w:szCs w:val="18"/>
              </w:rPr>
            </w:pPr>
          </w:p>
        </w:tc>
        <w:tc>
          <w:tcPr>
            <w:tcW w:w="452" w:type="dxa"/>
            <w:tcBorders>
              <w:top w:val="nil"/>
              <w:left w:val="nil"/>
              <w:bottom w:val="nil"/>
              <w:right w:val="single" w:sz="4" w:space="0" w:color="auto"/>
            </w:tcBorders>
            <w:shd w:val="clear" w:color="000000" w:fill="F2F2F2"/>
            <w:hideMark/>
          </w:tcPr>
          <w:p w:rsidR="007B5401" w:rsidRPr="007B5401" w:rsidRDefault="007B5401" w:rsidP="007B5401">
            <w:pPr>
              <w:jc w:val="center"/>
              <w:rPr>
                <w:rFonts w:ascii="Wingdings 2" w:eastAsia="Times New Roman" w:hAnsi="Wingdings 2" w:cs="Arial"/>
                <w:color w:val="000000"/>
                <w:sz w:val="18"/>
                <w:szCs w:val="18"/>
              </w:rPr>
            </w:pPr>
            <w:r w:rsidRPr="007B5401">
              <w:rPr>
                <w:rFonts w:ascii="Wingdings 2" w:eastAsia="Times New Roman" w:hAnsi="Wingdings 2" w:cs="Arial"/>
                <w:color w:val="000000"/>
                <w:sz w:val="18"/>
                <w:szCs w:val="18"/>
              </w:rPr>
              <w:t></w:t>
            </w:r>
          </w:p>
        </w:tc>
        <w:tc>
          <w:tcPr>
            <w:tcW w:w="452" w:type="dxa"/>
            <w:tcBorders>
              <w:top w:val="nil"/>
              <w:left w:val="nil"/>
              <w:bottom w:val="nil"/>
              <w:right w:val="single" w:sz="4" w:space="0" w:color="auto"/>
            </w:tcBorders>
            <w:shd w:val="clear" w:color="000000" w:fill="F2F2F2"/>
            <w:hideMark/>
          </w:tcPr>
          <w:p w:rsidR="007B5401" w:rsidRPr="007B5401" w:rsidRDefault="00640911" w:rsidP="007B5401">
            <w:pPr>
              <w:jc w:val="center"/>
              <w:rPr>
                <w:rFonts w:ascii="Wingdings 2" w:eastAsia="Times New Roman" w:hAnsi="Wingdings 2" w:cs="Arial"/>
                <w:color w:val="000000"/>
                <w:sz w:val="18"/>
                <w:szCs w:val="18"/>
              </w:rPr>
            </w:pPr>
            <w:r w:rsidRPr="007B5401">
              <w:rPr>
                <w:rFonts w:ascii="Wingdings 2" w:eastAsia="Times New Roman" w:hAnsi="Wingdings 2" w:cs="Arial"/>
                <w:color w:val="000000"/>
                <w:sz w:val="18"/>
                <w:szCs w:val="18"/>
              </w:rPr>
              <w:t></w:t>
            </w:r>
          </w:p>
        </w:tc>
        <w:tc>
          <w:tcPr>
            <w:tcW w:w="452" w:type="dxa"/>
            <w:tcBorders>
              <w:top w:val="nil"/>
              <w:left w:val="nil"/>
              <w:bottom w:val="nil"/>
              <w:right w:val="single" w:sz="4" w:space="0" w:color="auto"/>
            </w:tcBorders>
            <w:shd w:val="clear" w:color="000000" w:fill="F2F2F2"/>
          </w:tcPr>
          <w:p w:rsidR="007B5401" w:rsidRPr="007B5401" w:rsidRDefault="007B5401" w:rsidP="007B5401">
            <w:pPr>
              <w:jc w:val="center"/>
              <w:rPr>
                <w:rFonts w:ascii="Wingdings 2" w:eastAsia="Times New Roman" w:hAnsi="Wingdings 2" w:cs="Arial"/>
                <w:color w:val="000000"/>
                <w:sz w:val="18"/>
                <w:szCs w:val="18"/>
              </w:rPr>
            </w:pPr>
          </w:p>
        </w:tc>
      </w:tr>
      <w:tr w:rsidR="007B5401" w:rsidRPr="007B5401" w:rsidTr="007B5401">
        <w:trPr>
          <w:trHeight w:val="255"/>
        </w:trPr>
        <w:tc>
          <w:tcPr>
            <w:tcW w:w="1247" w:type="dxa"/>
            <w:vMerge w:val="restart"/>
            <w:tcBorders>
              <w:top w:val="nil"/>
              <w:left w:val="single" w:sz="4" w:space="0" w:color="auto"/>
              <w:bottom w:val="single" w:sz="4" w:space="0" w:color="000000"/>
              <w:right w:val="single" w:sz="4" w:space="0" w:color="auto"/>
            </w:tcBorders>
            <w:shd w:val="clear" w:color="auto" w:fill="auto"/>
            <w:vAlign w:val="center"/>
            <w:hideMark/>
          </w:tcPr>
          <w:p w:rsidR="007B5401" w:rsidRPr="007B5401" w:rsidRDefault="007B5401" w:rsidP="007B5401">
            <w:pPr>
              <w:jc w:val="center"/>
              <w:rPr>
                <w:rFonts w:ascii="Arial" w:eastAsia="Times New Roman" w:hAnsi="Arial" w:cs="Arial"/>
                <w:color w:val="000000"/>
                <w:sz w:val="18"/>
                <w:szCs w:val="18"/>
              </w:rPr>
            </w:pPr>
            <w:r w:rsidRPr="007B5401">
              <w:rPr>
                <w:rFonts w:ascii="Arial" w:eastAsia="Times New Roman" w:hAnsi="Arial" w:cs="Arial"/>
                <w:color w:val="000000"/>
                <w:sz w:val="18"/>
                <w:szCs w:val="18"/>
              </w:rPr>
              <w:t>Commercial/ Industrial</w:t>
            </w:r>
          </w:p>
        </w:tc>
        <w:tc>
          <w:tcPr>
            <w:tcW w:w="3551" w:type="dxa"/>
            <w:tcBorders>
              <w:top w:val="nil"/>
              <w:left w:val="nil"/>
              <w:bottom w:val="nil"/>
              <w:right w:val="nil"/>
            </w:tcBorders>
            <w:shd w:val="clear" w:color="auto" w:fill="auto"/>
            <w:noWrap/>
            <w:vAlign w:val="bottom"/>
            <w:hideMark/>
          </w:tcPr>
          <w:p w:rsidR="007B5401" w:rsidRPr="007B5401" w:rsidRDefault="007B5401" w:rsidP="007B5401">
            <w:pPr>
              <w:jc w:val="left"/>
              <w:rPr>
                <w:rFonts w:ascii="Arial" w:eastAsia="Times New Roman" w:hAnsi="Arial" w:cs="Arial"/>
                <w:color w:val="000000"/>
                <w:sz w:val="18"/>
                <w:szCs w:val="18"/>
              </w:rPr>
            </w:pPr>
            <w:r w:rsidRPr="007B5401">
              <w:rPr>
                <w:rFonts w:ascii="Arial" w:eastAsia="Times New Roman" w:hAnsi="Arial" w:cs="Arial"/>
                <w:color w:val="000000"/>
                <w:sz w:val="18"/>
                <w:szCs w:val="18"/>
              </w:rPr>
              <w:t xml:space="preserve">Distribution Transformers </w:t>
            </w:r>
          </w:p>
        </w:tc>
        <w:tc>
          <w:tcPr>
            <w:tcW w:w="453" w:type="dxa"/>
            <w:tcBorders>
              <w:top w:val="nil"/>
              <w:left w:val="single" w:sz="4" w:space="0" w:color="auto"/>
              <w:bottom w:val="nil"/>
              <w:right w:val="nil"/>
            </w:tcBorders>
            <w:shd w:val="clear" w:color="auto" w:fill="auto"/>
            <w:noWrap/>
            <w:vAlign w:val="bottom"/>
            <w:hideMark/>
          </w:tcPr>
          <w:p w:rsidR="007B5401" w:rsidRPr="007B5401" w:rsidRDefault="007B5401" w:rsidP="007B5401">
            <w:pPr>
              <w:jc w:val="left"/>
              <w:rPr>
                <w:rFonts w:ascii="Arial" w:eastAsia="Times New Roman" w:hAnsi="Arial" w:cs="Arial"/>
                <w:color w:val="000000"/>
                <w:sz w:val="18"/>
                <w:szCs w:val="18"/>
              </w:rPr>
            </w:pPr>
            <w:r w:rsidRPr="007B5401">
              <w:rPr>
                <w:rFonts w:ascii="Arial" w:eastAsia="Times New Roman" w:hAnsi="Arial" w:cs="Arial"/>
                <w:color w:val="000000"/>
                <w:sz w:val="18"/>
                <w:szCs w:val="18"/>
              </w:rPr>
              <w:t> </w:t>
            </w:r>
          </w:p>
        </w:tc>
        <w:tc>
          <w:tcPr>
            <w:tcW w:w="452" w:type="dxa"/>
            <w:tcBorders>
              <w:top w:val="single" w:sz="4" w:space="0" w:color="auto"/>
              <w:left w:val="single" w:sz="4" w:space="0" w:color="auto"/>
              <w:bottom w:val="nil"/>
              <w:right w:val="nil"/>
            </w:tcBorders>
            <w:shd w:val="clear" w:color="auto" w:fill="auto"/>
            <w:noWrap/>
            <w:vAlign w:val="bottom"/>
            <w:hideMark/>
          </w:tcPr>
          <w:p w:rsidR="007B5401" w:rsidRPr="007B5401" w:rsidRDefault="007B5401" w:rsidP="007B5401">
            <w:pPr>
              <w:jc w:val="left"/>
              <w:rPr>
                <w:rFonts w:ascii="Arial" w:eastAsia="Times New Roman" w:hAnsi="Arial" w:cs="Arial"/>
                <w:color w:val="000000"/>
                <w:sz w:val="18"/>
                <w:szCs w:val="18"/>
              </w:rPr>
            </w:pPr>
            <w:r w:rsidRPr="007B5401">
              <w:rPr>
                <w:rFonts w:ascii="Arial" w:eastAsia="Times New Roman" w:hAnsi="Arial" w:cs="Arial"/>
                <w:color w:val="000000"/>
                <w:sz w:val="18"/>
                <w:szCs w:val="18"/>
              </w:rPr>
              <w:t> </w:t>
            </w:r>
          </w:p>
        </w:tc>
        <w:tc>
          <w:tcPr>
            <w:tcW w:w="452" w:type="dxa"/>
            <w:tcBorders>
              <w:top w:val="nil"/>
              <w:left w:val="single" w:sz="4" w:space="0" w:color="auto"/>
              <w:bottom w:val="nil"/>
              <w:right w:val="single" w:sz="4" w:space="0" w:color="auto"/>
            </w:tcBorders>
            <w:shd w:val="clear" w:color="auto" w:fill="auto"/>
            <w:noWrap/>
            <w:vAlign w:val="bottom"/>
            <w:hideMark/>
          </w:tcPr>
          <w:p w:rsidR="007B5401" w:rsidRPr="007B5401" w:rsidRDefault="007B5401" w:rsidP="007B5401">
            <w:pPr>
              <w:jc w:val="left"/>
              <w:rPr>
                <w:rFonts w:ascii="Arial" w:eastAsia="Times New Roman" w:hAnsi="Arial" w:cs="Arial"/>
                <w:color w:val="000000"/>
                <w:sz w:val="18"/>
                <w:szCs w:val="18"/>
              </w:rPr>
            </w:pPr>
            <w:r w:rsidRPr="007B5401">
              <w:rPr>
                <w:rFonts w:ascii="Arial" w:eastAsia="Times New Roman" w:hAnsi="Arial" w:cs="Arial"/>
                <w:color w:val="000000"/>
                <w:sz w:val="18"/>
                <w:szCs w:val="18"/>
              </w:rPr>
              <w:t> </w:t>
            </w:r>
          </w:p>
        </w:tc>
        <w:tc>
          <w:tcPr>
            <w:tcW w:w="452" w:type="dxa"/>
            <w:tcBorders>
              <w:top w:val="single" w:sz="4" w:space="0" w:color="auto"/>
              <w:left w:val="nil"/>
              <w:bottom w:val="nil"/>
              <w:right w:val="single" w:sz="4" w:space="0" w:color="auto"/>
            </w:tcBorders>
            <w:shd w:val="clear" w:color="auto" w:fill="auto"/>
            <w:noWrap/>
            <w:vAlign w:val="bottom"/>
            <w:hideMark/>
          </w:tcPr>
          <w:p w:rsidR="007B5401" w:rsidRPr="007B5401" w:rsidRDefault="007B5401" w:rsidP="007B5401">
            <w:pPr>
              <w:jc w:val="left"/>
              <w:rPr>
                <w:rFonts w:ascii="Arial" w:eastAsia="Times New Roman" w:hAnsi="Arial" w:cs="Arial"/>
                <w:color w:val="000000"/>
                <w:sz w:val="20"/>
                <w:szCs w:val="20"/>
              </w:rPr>
            </w:pPr>
            <w:r w:rsidRPr="007B5401">
              <w:rPr>
                <w:rFonts w:ascii="Arial" w:eastAsia="Times New Roman" w:hAnsi="Arial" w:cs="Arial"/>
                <w:color w:val="000000"/>
                <w:sz w:val="20"/>
                <w:szCs w:val="20"/>
              </w:rPr>
              <w:t> </w:t>
            </w:r>
          </w:p>
        </w:tc>
        <w:tc>
          <w:tcPr>
            <w:tcW w:w="452" w:type="dxa"/>
            <w:tcBorders>
              <w:top w:val="nil"/>
              <w:left w:val="nil"/>
              <w:bottom w:val="nil"/>
              <w:right w:val="single" w:sz="4" w:space="0" w:color="auto"/>
            </w:tcBorders>
            <w:shd w:val="clear" w:color="auto" w:fill="auto"/>
            <w:noWrap/>
            <w:vAlign w:val="bottom"/>
            <w:hideMark/>
          </w:tcPr>
          <w:p w:rsidR="007B5401" w:rsidRPr="007B5401" w:rsidRDefault="007B5401" w:rsidP="007B5401">
            <w:pPr>
              <w:jc w:val="left"/>
              <w:rPr>
                <w:rFonts w:ascii="Arial" w:eastAsia="Times New Roman" w:hAnsi="Arial" w:cs="Arial"/>
                <w:color w:val="000000"/>
                <w:sz w:val="20"/>
                <w:szCs w:val="20"/>
              </w:rPr>
            </w:pPr>
            <w:r w:rsidRPr="007B5401">
              <w:rPr>
                <w:rFonts w:ascii="Arial" w:eastAsia="Times New Roman" w:hAnsi="Arial" w:cs="Arial"/>
                <w:color w:val="000000"/>
                <w:sz w:val="20"/>
                <w:szCs w:val="20"/>
              </w:rPr>
              <w:t> </w:t>
            </w:r>
          </w:p>
        </w:tc>
        <w:tc>
          <w:tcPr>
            <w:tcW w:w="452" w:type="dxa"/>
            <w:tcBorders>
              <w:top w:val="nil"/>
              <w:left w:val="nil"/>
              <w:bottom w:val="nil"/>
              <w:right w:val="single" w:sz="4" w:space="0" w:color="auto"/>
            </w:tcBorders>
            <w:shd w:val="clear" w:color="auto" w:fill="auto"/>
            <w:noWrap/>
            <w:vAlign w:val="bottom"/>
            <w:hideMark/>
          </w:tcPr>
          <w:p w:rsidR="007B5401" w:rsidRPr="007B5401" w:rsidRDefault="007B5401" w:rsidP="007B5401">
            <w:pPr>
              <w:jc w:val="left"/>
              <w:rPr>
                <w:rFonts w:ascii="Arial" w:eastAsia="Times New Roman" w:hAnsi="Arial" w:cs="Arial"/>
                <w:color w:val="000000"/>
                <w:sz w:val="20"/>
                <w:szCs w:val="20"/>
              </w:rPr>
            </w:pPr>
            <w:r w:rsidRPr="007B5401">
              <w:rPr>
                <w:rFonts w:ascii="Arial" w:eastAsia="Times New Roman" w:hAnsi="Arial" w:cs="Arial"/>
                <w:color w:val="000000"/>
                <w:sz w:val="20"/>
                <w:szCs w:val="20"/>
              </w:rPr>
              <w:t> </w:t>
            </w:r>
          </w:p>
        </w:tc>
        <w:tc>
          <w:tcPr>
            <w:tcW w:w="452" w:type="dxa"/>
            <w:tcBorders>
              <w:top w:val="nil"/>
              <w:left w:val="nil"/>
              <w:bottom w:val="nil"/>
              <w:right w:val="single" w:sz="4" w:space="0" w:color="auto"/>
            </w:tcBorders>
            <w:shd w:val="clear" w:color="auto" w:fill="auto"/>
            <w:noWrap/>
            <w:vAlign w:val="bottom"/>
            <w:hideMark/>
          </w:tcPr>
          <w:p w:rsidR="007B5401" w:rsidRPr="007B5401" w:rsidRDefault="007B5401" w:rsidP="007B5401">
            <w:pPr>
              <w:jc w:val="center"/>
              <w:rPr>
                <w:rFonts w:ascii="Wingdings 2" w:eastAsia="Times New Roman" w:hAnsi="Wingdings 2" w:cs="Arial"/>
                <w:color w:val="000000"/>
                <w:sz w:val="18"/>
                <w:szCs w:val="18"/>
              </w:rPr>
            </w:pPr>
            <w:r w:rsidRPr="007B5401">
              <w:rPr>
                <w:rFonts w:ascii="Wingdings 2" w:eastAsia="Times New Roman" w:hAnsi="Wingdings 2" w:cs="Arial"/>
                <w:color w:val="000000"/>
                <w:sz w:val="18"/>
                <w:szCs w:val="18"/>
              </w:rPr>
              <w:t></w:t>
            </w:r>
          </w:p>
        </w:tc>
        <w:tc>
          <w:tcPr>
            <w:tcW w:w="452" w:type="dxa"/>
            <w:tcBorders>
              <w:top w:val="nil"/>
              <w:left w:val="nil"/>
              <w:bottom w:val="nil"/>
              <w:right w:val="single" w:sz="4" w:space="0" w:color="auto"/>
            </w:tcBorders>
            <w:shd w:val="clear" w:color="auto" w:fill="auto"/>
            <w:noWrap/>
            <w:vAlign w:val="bottom"/>
            <w:hideMark/>
          </w:tcPr>
          <w:p w:rsidR="007B5401" w:rsidRPr="007B5401" w:rsidRDefault="007B5401" w:rsidP="007B5401">
            <w:pPr>
              <w:jc w:val="left"/>
              <w:rPr>
                <w:rFonts w:ascii="Arial" w:eastAsia="Times New Roman" w:hAnsi="Arial" w:cs="Arial"/>
                <w:color w:val="000000"/>
                <w:sz w:val="20"/>
                <w:szCs w:val="20"/>
              </w:rPr>
            </w:pPr>
            <w:r w:rsidRPr="007B5401">
              <w:rPr>
                <w:rFonts w:ascii="Arial" w:eastAsia="Times New Roman" w:hAnsi="Arial" w:cs="Arial"/>
                <w:color w:val="000000"/>
                <w:sz w:val="20"/>
                <w:szCs w:val="20"/>
              </w:rPr>
              <w:t> </w:t>
            </w:r>
          </w:p>
        </w:tc>
        <w:tc>
          <w:tcPr>
            <w:tcW w:w="452" w:type="dxa"/>
            <w:tcBorders>
              <w:top w:val="single" w:sz="4" w:space="0" w:color="auto"/>
              <w:left w:val="nil"/>
              <w:bottom w:val="nil"/>
              <w:right w:val="single" w:sz="4" w:space="0" w:color="auto"/>
            </w:tcBorders>
            <w:shd w:val="clear" w:color="auto" w:fill="auto"/>
            <w:noWrap/>
            <w:vAlign w:val="bottom"/>
            <w:hideMark/>
          </w:tcPr>
          <w:p w:rsidR="007B5401" w:rsidRPr="007B5401" w:rsidRDefault="007B5401" w:rsidP="007B5401">
            <w:pPr>
              <w:jc w:val="left"/>
              <w:rPr>
                <w:rFonts w:ascii="Arial" w:eastAsia="Times New Roman" w:hAnsi="Arial" w:cs="Arial"/>
                <w:color w:val="000000"/>
                <w:sz w:val="20"/>
                <w:szCs w:val="20"/>
              </w:rPr>
            </w:pPr>
            <w:r w:rsidRPr="007B5401">
              <w:rPr>
                <w:rFonts w:ascii="Arial" w:eastAsia="Times New Roman" w:hAnsi="Arial" w:cs="Arial"/>
                <w:color w:val="000000"/>
                <w:sz w:val="20"/>
                <w:szCs w:val="20"/>
              </w:rPr>
              <w:t> </w:t>
            </w:r>
          </w:p>
        </w:tc>
        <w:tc>
          <w:tcPr>
            <w:tcW w:w="452" w:type="dxa"/>
            <w:tcBorders>
              <w:top w:val="single" w:sz="4" w:space="0" w:color="auto"/>
              <w:left w:val="nil"/>
              <w:bottom w:val="nil"/>
              <w:right w:val="single" w:sz="4" w:space="0" w:color="auto"/>
            </w:tcBorders>
            <w:shd w:val="clear" w:color="auto" w:fill="auto"/>
            <w:noWrap/>
            <w:vAlign w:val="bottom"/>
            <w:hideMark/>
          </w:tcPr>
          <w:p w:rsidR="007B5401" w:rsidRPr="007B5401" w:rsidRDefault="007B5401" w:rsidP="007B5401">
            <w:pPr>
              <w:jc w:val="left"/>
              <w:rPr>
                <w:rFonts w:ascii="Arial" w:eastAsia="Times New Roman" w:hAnsi="Arial" w:cs="Arial"/>
                <w:color w:val="000000"/>
                <w:sz w:val="20"/>
                <w:szCs w:val="20"/>
              </w:rPr>
            </w:pPr>
            <w:r w:rsidRPr="007B5401">
              <w:rPr>
                <w:rFonts w:ascii="Arial" w:eastAsia="Times New Roman" w:hAnsi="Arial" w:cs="Arial"/>
                <w:color w:val="000000"/>
                <w:sz w:val="20"/>
                <w:szCs w:val="20"/>
              </w:rPr>
              <w:t> </w:t>
            </w:r>
          </w:p>
        </w:tc>
        <w:tc>
          <w:tcPr>
            <w:tcW w:w="452" w:type="dxa"/>
            <w:tcBorders>
              <w:top w:val="single" w:sz="4" w:space="0" w:color="auto"/>
              <w:left w:val="nil"/>
              <w:bottom w:val="nil"/>
              <w:right w:val="single" w:sz="4" w:space="0" w:color="auto"/>
            </w:tcBorders>
            <w:shd w:val="clear" w:color="auto" w:fill="auto"/>
          </w:tcPr>
          <w:p w:rsidR="007B5401" w:rsidRPr="007B5401" w:rsidRDefault="007B5401" w:rsidP="007B5401">
            <w:pPr>
              <w:jc w:val="center"/>
              <w:rPr>
                <w:rFonts w:ascii="Wingdings 2" w:eastAsia="Times New Roman" w:hAnsi="Wingdings 2" w:cs="Arial"/>
                <w:color w:val="000000"/>
                <w:sz w:val="18"/>
                <w:szCs w:val="18"/>
              </w:rPr>
            </w:pPr>
          </w:p>
        </w:tc>
      </w:tr>
      <w:tr w:rsidR="007B5401" w:rsidRPr="007B5401" w:rsidTr="007B5401">
        <w:trPr>
          <w:trHeight w:val="255"/>
        </w:trPr>
        <w:tc>
          <w:tcPr>
            <w:tcW w:w="1247" w:type="dxa"/>
            <w:vMerge/>
            <w:tcBorders>
              <w:top w:val="nil"/>
              <w:left w:val="single" w:sz="4" w:space="0" w:color="auto"/>
              <w:bottom w:val="single" w:sz="4" w:space="0" w:color="000000"/>
              <w:right w:val="single" w:sz="4" w:space="0" w:color="auto"/>
            </w:tcBorders>
            <w:vAlign w:val="center"/>
            <w:hideMark/>
          </w:tcPr>
          <w:p w:rsidR="007B5401" w:rsidRPr="007B5401" w:rsidRDefault="007B5401" w:rsidP="007B5401">
            <w:pPr>
              <w:jc w:val="left"/>
              <w:rPr>
                <w:rFonts w:ascii="Arial" w:eastAsia="Times New Roman" w:hAnsi="Arial" w:cs="Arial"/>
                <w:color w:val="000000"/>
                <w:sz w:val="18"/>
                <w:szCs w:val="18"/>
              </w:rPr>
            </w:pPr>
          </w:p>
        </w:tc>
        <w:tc>
          <w:tcPr>
            <w:tcW w:w="3551" w:type="dxa"/>
            <w:tcBorders>
              <w:top w:val="nil"/>
              <w:left w:val="nil"/>
              <w:bottom w:val="nil"/>
              <w:right w:val="nil"/>
            </w:tcBorders>
            <w:shd w:val="clear" w:color="000000" w:fill="F2F2F2"/>
            <w:noWrap/>
            <w:vAlign w:val="bottom"/>
            <w:hideMark/>
          </w:tcPr>
          <w:p w:rsidR="007B5401" w:rsidRPr="007B5401" w:rsidRDefault="007B5401" w:rsidP="007B5401">
            <w:pPr>
              <w:jc w:val="left"/>
              <w:rPr>
                <w:rFonts w:ascii="Arial" w:eastAsia="Times New Roman" w:hAnsi="Arial" w:cs="Arial"/>
                <w:color w:val="000000"/>
                <w:sz w:val="18"/>
                <w:szCs w:val="18"/>
              </w:rPr>
            </w:pPr>
            <w:r w:rsidRPr="007B5401">
              <w:rPr>
                <w:rFonts w:ascii="Arial" w:eastAsia="Times New Roman" w:hAnsi="Arial" w:cs="Arial"/>
                <w:color w:val="000000"/>
                <w:sz w:val="18"/>
                <w:szCs w:val="18"/>
              </w:rPr>
              <w:t>Pumps</w:t>
            </w:r>
          </w:p>
        </w:tc>
        <w:tc>
          <w:tcPr>
            <w:tcW w:w="453" w:type="dxa"/>
            <w:tcBorders>
              <w:top w:val="nil"/>
              <w:left w:val="single" w:sz="4" w:space="0" w:color="auto"/>
              <w:bottom w:val="nil"/>
              <w:right w:val="nil"/>
            </w:tcBorders>
            <w:shd w:val="clear" w:color="000000" w:fill="F2F2F2"/>
            <w:noWrap/>
            <w:vAlign w:val="bottom"/>
            <w:hideMark/>
          </w:tcPr>
          <w:p w:rsidR="007B5401" w:rsidRPr="007B5401" w:rsidRDefault="007B5401" w:rsidP="007B5401">
            <w:pPr>
              <w:jc w:val="left"/>
              <w:rPr>
                <w:rFonts w:ascii="Arial" w:eastAsia="Times New Roman" w:hAnsi="Arial" w:cs="Arial"/>
                <w:color w:val="000000"/>
                <w:sz w:val="18"/>
                <w:szCs w:val="18"/>
              </w:rPr>
            </w:pPr>
            <w:r w:rsidRPr="007B5401">
              <w:rPr>
                <w:rFonts w:ascii="Arial" w:eastAsia="Times New Roman" w:hAnsi="Arial" w:cs="Arial"/>
                <w:color w:val="000000"/>
                <w:sz w:val="18"/>
                <w:szCs w:val="18"/>
              </w:rPr>
              <w:t> </w:t>
            </w:r>
          </w:p>
        </w:tc>
        <w:tc>
          <w:tcPr>
            <w:tcW w:w="452" w:type="dxa"/>
            <w:tcBorders>
              <w:top w:val="nil"/>
              <w:left w:val="single" w:sz="4" w:space="0" w:color="auto"/>
              <w:bottom w:val="nil"/>
              <w:right w:val="nil"/>
            </w:tcBorders>
            <w:shd w:val="clear" w:color="000000" w:fill="F2F2F2"/>
            <w:noWrap/>
            <w:vAlign w:val="bottom"/>
            <w:hideMark/>
          </w:tcPr>
          <w:p w:rsidR="007B5401" w:rsidRPr="007B5401" w:rsidRDefault="007B5401" w:rsidP="007B5401">
            <w:pPr>
              <w:jc w:val="left"/>
              <w:rPr>
                <w:rFonts w:ascii="Arial" w:eastAsia="Times New Roman" w:hAnsi="Arial" w:cs="Arial"/>
                <w:color w:val="000000"/>
                <w:sz w:val="18"/>
                <w:szCs w:val="18"/>
              </w:rPr>
            </w:pPr>
            <w:r w:rsidRPr="007B5401">
              <w:rPr>
                <w:rFonts w:ascii="Arial" w:eastAsia="Times New Roman" w:hAnsi="Arial" w:cs="Arial"/>
                <w:color w:val="000000"/>
                <w:sz w:val="18"/>
                <w:szCs w:val="18"/>
              </w:rPr>
              <w:t> </w:t>
            </w:r>
          </w:p>
        </w:tc>
        <w:tc>
          <w:tcPr>
            <w:tcW w:w="452" w:type="dxa"/>
            <w:tcBorders>
              <w:top w:val="nil"/>
              <w:left w:val="single" w:sz="4" w:space="0" w:color="auto"/>
              <w:bottom w:val="nil"/>
              <w:right w:val="single" w:sz="4" w:space="0" w:color="auto"/>
            </w:tcBorders>
            <w:shd w:val="clear" w:color="000000" w:fill="F2F2F2"/>
            <w:noWrap/>
            <w:vAlign w:val="bottom"/>
            <w:hideMark/>
          </w:tcPr>
          <w:p w:rsidR="007B5401" w:rsidRPr="007B5401" w:rsidRDefault="007B5401" w:rsidP="007B5401">
            <w:pPr>
              <w:jc w:val="left"/>
              <w:rPr>
                <w:rFonts w:ascii="Arial" w:eastAsia="Times New Roman" w:hAnsi="Arial" w:cs="Arial"/>
                <w:color w:val="000000"/>
                <w:sz w:val="18"/>
                <w:szCs w:val="18"/>
              </w:rPr>
            </w:pPr>
            <w:r w:rsidRPr="007B5401">
              <w:rPr>
                <w:rFonts w:ascii="Arial" w:eastAsia="Times New Roman" w:hAnsi="Arial" w:cs="Arial"/>
                <w:color w:val="000000"/>
                <w:sz w:val="18"/>
                <w:szCs w:val="18"/>
              </w:rPr>
              <w:t> </w:t>
            </w:r>
          </w:p>
        </w:tc>
        <w:tc>
          <w:tcPr>
            <w:tcW w:w="452" w:type="dxa"/>
            <w:tcBorders>
              <w:top w:val="nil"/>
              <w:left w:val="nil"/>
              <w:bottom w:val="nil"/>
              <w:right w:val="single" w:sz="4" w:space="0" w:color="auto"/>
            </w:tcBorders>
            <w:shd w:val="clear" w:color="000000" w:fill="F2F2F2"/>
            <w:noWrap/>
            <w:vAlign w:val="bottom"/>
            <w:hideMark/>
          </w:tcPr>
          <w:p w:rsidR="007B5401" w:rsidRPr="007B5401" w:rsidRDefault="007B5401" w:rsidP="007B5401">
            <w:pPr>
              <w:jc w:val="left"/>
              <w:rPr>
                <w:rFonts w:ascii="Arial" w:eastAsia="Times New Roman" w:hAnsi="Arial" w:cs="Arial"/>
                <w:color w:val="000000"/>
                <w:sz w:val="20"/>
                <w:szCs w:val="20"/>
              </w:rPr>
            </w:pPr>
            <w:r w:rsidRPr="007B5401">
              <w:rPr>
                <w:rFonts w:ascii="Arial" w:eastAsia="Times New Roman" w:hAnsi="Arial" w:cs="Arial"/>
                <w:color w:val="000000"/>
                <w:sz w:val="20"/>
                <w:szCs w:val="20"/>
              </w:rPr>
              <w:t> </w:t>
            </w:r>
          </w:p>
        </w:tc>
        <w:tc>
          <w:tcPr>
            <w:tcW w:w="452" w:type="dxa"/>
            <w:tcBorders>
              <w:top w:val="nil"/>
              <w:left w:val="nil"/>
              <w:bottom w:val="nil"/>
              <w:right w:val="single" w:sz="4" w:space="0" w:color="auto"/>
            </w:tcBorders>
            <w:shd w:val="clear" w:color="000000" w:fill="F2F2F2"/>
            <w:noWrap/>
            <w:vAlign w:val="bottom"/>
            <w:hideMark/>
          </w:tcPr>
          <w:p w:rsidR="007B5401" w:rsidRPr="007B5401" w:rsidRDefault="007B5401" w:rsidP="007B5401">
            <w:pPr>
              <w:jc w:val="left"/>
              <w:rPr>
                <w:rFonts w:ascii="Arial" w:eastAsia="Times New Roman" w:hAnsi="Arial" w:cs="Arial"/>
                <w:color w:val="000000"/>
                <w:sz w:val="20"/>
                <w:szCs w:val="20"/>
              </w:rPr>
            </w:pPr>
            <w:r w:rsidRPr="007B5401">
              <w:rPr>
                <w:rFonts w:ascii="Arial" w:eastAsia="Times New Roman" w:hAnsi="Arial" w:cs="Arial"/>
                <w:color w:val="000000"/>
                <w:sz w:val="20"/>
                <w:szCs w:val="20"/>
              </w:rPr>
              <w:t> </w:t>
            </w:r>
          </w:p>
        </w:tc>
        <w:tc>
          <w:tcPr>
            <w:tcW w:w="452" w:type="dxa"/>
            <w:tcBorders>
              <w:top w:val="nil"/>
              <w:left w:val="nil"/>
              <w:bottom w:val="nil"/>
              <w:right w:val="single" w:sz="4" w:space="0" w:color="auto"/>
            </w:tcBorders>
            <w:shd w:val="clear" w:color="000000" w:fill="F2F2F2"/>
            <w:noWrap/>
            <w:vAlign w:val="bottom"/>
            <w:hideMark/>
          </w:tcPr>
          <w:p w:rsidR="007B5401" w:rsidRPr="007B5401" w:rsidRDefault="007B5401" w:rsidP="007B5401">
            <w:pPr>
              <w:jc w:val="left"/>
              <w:rPr>
                <w:rFonts w:ascii="Arial" w:eastAsia="Times New Roman" w:hAnsi="Arial" w:cs="Arial"/>
                <w:color w:val="000000"/>
                <w:sz w:val="20"/>
                <w:szCs w:val="20"/>
              </w:rPr>
            </w:pPr>
            <w:r w:rsidRPr="007B5401">
              <w:rPr>
                <w:rFonts w:ascii="Arial" w:eastAsia="Times New Roman" w:hAnsi="Arial" w:cs="Arial"/>
                <w:color w:val="000000"/>
                <w:sz w:val="20"/>
                <w:szCs w:val="20"/>
              </w:rPr>
              <w:t> </w:t>
            </w:r>
          </w:p>
        </w:tc>
        <w:tc>
          <w:tcPr>
            <w:tcW w:w="452" w:type="dxa"/>
            <w:tcBorders>
              <w:top w:val="nil"/>
              <w:left w:val="nil"/>
              <w:bottom w:val="nil"/>
              <w:right w:val="single" w:sz="4" w:space="0" w:color="auto"/>
            </w:tcBorders>
            <w:shd w:val="clear" w:color="000000" w:fill="F2F2F2"/>
            <w:noWrap/>
            <w:vAlign w:val="bottom"/>
          </w:tcPr>
          <w:p w:rsidR="007B5401" w:rsidRPr="007B5401" w:rsidRDefault="007B5401" w:rsidP="007B5401">
            <w:pPr>
              <w:jc w:val="center"/>
              <w:rPr>
                <w:rFonts w:ascii="Wingdings 2" w:eastAsia="Times New Roman" w:hAnsi="Wingdings 2" w:cs="Arial"/>
                <w:color w:val="000000"/>
                <w:sz w:val="18"/>
                <w:szCs w:val="18"/>
              </w:rPr>
            </w:pPr>
          </w:p>
        </w:tc>
        <w:tc>
          <w:tcPr>
            <w:tcW w:w="452" w:type="dxa"/>
            <w:tcBorders>
              <w:top w:val="nil"/>
              <w:left w:val="nil"/>
              <w:bottom w:val="nil"/>
              <w:right w:val="single" w:sz="4" w:space="0" w:color="auto"/>
            </w:tcBorders>
            <w:shd w:val="clear" w:color="000000" w:fill="F2F2F2"/>
            <w:noWrap/>
            <w:vAlign w:val="bottom"/>
            <w:hideMark/>
          </w:tcPr>
          <w:p w:rsidR="007B5401" w:rsidRPr="007B5401" w:rsidRDefault="007B5401" w:rsidP="007B5401">
            <w:pPr>
              <w:jc w:val="left"/>
              <w:rPr>
                <w:rFonts w:ascii="Arial" w:eastAsia="Times New Roman" w:hAnsi="Arial" w:cs="Arial"/>
                <w:color w:val="000000"/>
                <w:sz w:val="20"/>
                <w:szCs w:val="20"/>
              </w:rPr>
            </w:pPr>
            <w:r w:rsidRPr="007B5401">
              <w:rPr>
                <w:rFonts w:ascii="Arial" w:eastAsia="Times New Roman" w:hAnsi="Arial" w:cs="Arial"/>
                <w:color w:val="000000"/>
                <w:sz w:val="20"/>
                <w:szCs w:val="20"/>
              </w:rPr>
              <w:t> </w:t>
            </w:r>
          </w:p>
        </w:tc>
        <w:tc>
          <w:tcPr>
            <w:tcW w:w="452" w:type="dxa"/>
            <w:tcBorders>
              <w:top w:val="nil"/>
              <w:left w:val="nil"/>
              <w:bottom w:val="nil"/>
              <w:right w:val="single" w:sz="4" w:space="0" w:color="auto"/>
            </w:tcBorders>
            <w:shd w:val="clear" w:color="000000" w:fill="F2F2F2"/>
            <w:hideMark/>
          </w:tcPr>
          <w:p w:rsidR="007B5401" w:rsidRPr="007B5401" w:rsidRDefault="007B5401" w:rsidP="007B5401">
            <w:pPr>
              <w:jc w:val="center"/>
              <w:rPr>
                <w:rFonts w:ascii="Wingdings 2" w:eastAsia="Times New Roman" w:hAnsi="Wingdings 2" w:cs="Arial"/>
                <w:color w:val="000000"/>
                <w:sz w:val="18"/>
                <w:szCs w:val="18"/>
              </w:rPr>
            </w:pPr>
            <w:r w:rsidRPr="007B5401">
              <w:rPr>
                <w:rFonts w:ascii="Wingdings 2" w:eastAsia="Times New Roman" w:hAnsi="Wingdings 2" w:cs="Arial"/>
                <w:color w:val="000000"/>
                <w:sz w:val="18"/>
                <w:szCs w:val="18"/>
              </w:rPr>
              <w:t></w:t>
            </w:r>
          </w:p>
        </w:tc>
        <w:tc>
          <w:tcPr>
            <w:tcW w:w="452" w:type="dxa"/>
            <w:tcBorders>
              <w:top w:val="nil"/>
              <w:left w:val="nil"/>
              <w:bottom w:val="nil"/>
              <w:right w:val="single" w:sz="4" w:space="0" w:color="auto"/>
            </w:tcBorders>
            <w:shd w:val="clear" w:color="000000" w:fill="F2F2F2"/>
            <w:noWrap/>
            <w:vAlign w:val="bottom"/>
            <w:hideMark/>
          </w:tcPr>
          <w:p w:rsidR="007B5401" w:rsidRPr="007B5401" w:rsidRDefault="007B5401" w:rsidP="007B5401">
            <w:pPr>
              <w:jc w:val="left"/>
              <w:rPr>
                <w:rFonts w:ascii="Arial" w:eastAsia="Times New Roman" w:hAnsi="Arial" w:cs="Arial"/>
                <w:color w:val="000000"/>
                <w:sz w:val="20"/>
                <w:szCs w:val="20"/>
              </w:rPr>
            </w:pPr>
            <w:r w:rsidRPr="007B5401">
              <w:rPr>
                <w:rFonts w:ascii="Arial" w:eastAsia="Times New Roman" w:hAnsi="Arial" w:cs="Arial"/>
                <w:color w:val="000000"/>
                <w:sz w:val="20"/>
                <w:szCs w:val="20"/>
              </w:rPr>
              <w:t> </w:t>
            </w:r>
          </w:p>
        </w:tc>
        <w:tc>
          <w:tcPr>
            <w:tcW w:w="452" w:type="dxa"/>
            <w:tcBorders>
              <w:top w:val="nil"/>
              <w:left w:val="nil"/>
              <w:bottom w:val="nil"/>
              <w:right w:val="single" w:sz="4" w:space="0" w:color="auto"/>
            </w:tcBorders>
            <w:shd w:val="clear" w:color="000000" w:fill="F2F2F2"/>
          </w:tcPr>
          <w:p w:rsidR="007B5401" w:rsidRPr="007B5401" w:rsidRDefault="007B5401" w:rsidP="007B5401">
            <w:pPr>
              <w:jc w:val="center"/>
              <w:rPr>
                <w:rFonts w:ascii="Wingdings 2" w:eastAsia="Times New Roman" w:hAnsi="Wingdings 2" w:cs="Arial"/>
                <w:color w:val="000000"/>
                <w:sz w:val="18"/>
                <w:szCs w:val="18"/>
              </w:rPr>
            </w:pPr>
          </w:p>
        </w:tc>
      </w:tr>
      <w:tr w:rsidR="007B5401" w:rsidRPr="007B5401" w:rsidTr="007B5401">
        <w:trPr>
          <w:trHeight w:val="255"/>
        </w:trPr>
        <w:tc>
          <w:tcPr>
            <w:tcW w:w="1247" w:type="dxa"/>
            <w:vMerge/>
            <w:tcBorders>
              <w:top w:val="nil"/>
              <w:left w:val="single" w:sz="4" w:space="0" w:color="auto"/>
              <w:bottom w:val="single" w:sz="4" w:space="0" w:color="000000"/>
              <w:right w:val="single" w:sz="4" w:space="0" w:color="auto"/>
            </w:tcBorders>
            <w:vAlign w:val="center"/>
            <w:hideMark/>
          </w:tcPr>
          <w:p w:rsidR="007B5401" w:rsidRPr="007B5401" w:rsidRDefault="007B5401" w:rsidP="007B5401">
            <w:pPr>
              <w:jc w:val="left"/>
              <w:rPr>
                <w:rFonts w:ascii="Arial" w:eastAsia="Times New Roman" w:hAnsi="Arial" w:cs="Arial"/>
                <w:color w:val="000000"/>
                <w:sz w:val="18"/>
                <w:szCs w:val="18"/>
              </w:rPr>
            </w:pPr>
          </w:p>
        </w:tc>
        <w:tc>
          <w:tcPr>
            <w:tcW w:w="3551" w:type="dxa"/>
            <w:tcBorders>
              <w:top w:val="nil"/>
              <w:left w:val="nil"/>
              <w:bottom w:val="nil"/>
              <w:right w:val="nil"/>
            </w:tcBorders>
            <w:shd w:val="clear" w:color="auto" w:fill="auto"/>
            <w:noWrap/>
            <w:vAlign w:val="bottom"/>
            <w:hideMark/>
          </w:tcPr>
          <w:p w:rsidR="007B5401" w:rsidRPr="007B5401" w:rsidRDefault="007B5401" w:rsidP="007B5401">
            <w:pPr>
              <w:jc w:val="left"/>
              <w:rPr>
                <w:rFonts w:ascii="Arial" w:eastAsia="Times New Roman" w:hAnsi="Arial" w:cs="Arial"/>
                <w:b/>
                <w:color w:val="000000"/>
                <w:sz w:val="18"/>
                <w:szCs w:val="18"/>
              </w:rPr>
            </w:pPr>
            <w:r w:rsidRPr="007B5401">
              <w:rPr>
                <w:rFonts w:ascii="Arial" w:eastAsia="Times New Roman" w:hAnsi="Arial" w:cs="Arial"/>
                <w:b/>
                <w:color w:val="000000"/>
                <w:sz w:val="18"/>
                <w:szCs w:val="18"/>
              </w:rPr>
              <w:t>Small Electric Motors</w:t>
            </w:r>
          </w:p>
        </w:tc>
        <w:tc>
          <w:tcPr>
            <w:tcW w:w="453" w:type="dxa"/>
            <w:tcBorders>
              <w:top w:val="nil"/>
              <w:left w:val="single" w:sz="4" w:space="0" w:color="auto"/>
              <w:bottom w:val="nil"/>
              <w:right w:val="nil"/>
            </w:tcBorders>
            <w:shd w:val="clear" w:color="auto" w:fill="auto"/>
            <w:noWrap/>
            <w:vAlign w:val="bottom"/>
            <w:hideMark/>
          </w:tcPr>
          <w:p w:rsidR="007B5401" w:rsidRPr="007B5401" w:rsidRDefault="007B5401" w:rsidP="007B5401">
            <w:pPr>
              <w:jc w:val="left"/>
              <w:rPr>
                <w:rFonts w:ascii="Arial" w:eastAsia="Times New Roman" w:hAnsi="Arial" w:cs="Arial"/>
                <w:b/>
                <w:color w:val="000000"/>
                <w:sz w:val="18"/>
                <w:szCs w:val="18"/>
              </w:rPr>
            </w:pPr>
            <w:r w:rsidRPr="007B5401">
              <w:rPr>
                <w:rFonts w:ascii="Arial" w:eastAsia="Times New Roman" w:hAnsi="Arial" w:cs="Arial"/>
                <w:b/>
                <w:color w:val="000000"/>
                <w:sz w:val="18"/>
                <w:szCs w:val="18"/>
              </w:rPr>
              <w:t> </w:t>
            </w:r>
          </w:p>
        </w:tc>
        <w:tc>
          <w:tcPr>
            <w:tcW w:w="452" w:type="dxa"/>
            <w:tcBorders>
              <w:top w:val="nil"/>
              <w:left w:val="single" w:sz="4" w:space="0" w:color="auto"/>
              <w:bottom w:val="nil"/>
              <w:right w:val="nil"/>
            </w:tcBorders>
            <w:shd w:val="clear" w:color="auto" w:fill="auto"/>
            <w:noWrap/>
            <w:vAlign w:val="bottom"/>
            <w:hideMark/>
          </w:tcPr>
          <w:p w:rsidR="007B5401" w:rsidRPr="007B5401" w:rsidRDefault="007B5401" w:rsidP="007B5401">
            <w:pPr>
              <w:jc w:val="left"/>
              <w:rPr>
                <w:rFonts w:ascii="Arial" w:eastAsia="Times New Roman" w:hAnsi="Arial" w:cs="Arial"/>
                <w:b/>
                <w:color w:val="000000"/>
                <w:sz w:val="18"/>
                <w:szCs w:val="18"/>
              </w:rPr>
            </w:pPr>
            <w:r w:rsidRPr="007B5401">
              <w:rPr>
                <w:rFonts w:ascii="Arial" w:eastAsia="Times New Roman" w:hAnsi="Arial" w:cs="Arial"/>
                <w:b/>
                <w:color w:val="000000"/>
                <w:sz w:val="18"/>
                <w:szCs w:val="18"/>
              </w:rPr>
              <w:t> </w:t>
            </w:r>
          </w:p>
        </w:tc>
        <w:tc>
          <w:tcPr>
            <w:tcW w:w="452" w:type="dxa"/>
            <w:tcBorders>
              <w:top w:val="nil"/>
              <w:left w:val="single" w:sz="4" w:space="0" w:color="auto"/>
              <w:bottom w:val="nil"/>
              <w:right w:val="single" w:sz="4" w:space="0" w:color="auto"/>
            </w:tcBorders>
            <w:shd w:val="clear" w:color="auto" w:fill="auto"/>
            <w:noWrap/>
            <w:vAlign w:val="bottom"/>
            <w:hideMark/>
          </w:tcPr>
          <w:p w:rsidR="007B5401" w:rsidRPr="007B5401" w:rsidRDefault="007B5401" w:rsidP="007B5401">
            <w:pPr>
              <w:jc w:val="left"/>
              <w:rPr>
                <w:rFonts w:ascii="Arial" w:eastAsia="Times New Roman" w:hAnsi="Arial" w:cs="Arial"/>
                <w:b/>
                <w:color w:val="000000"/>
                <w:sz w:val="18"/>
                <w:szCs w:val="18"/>
              </w:rPr>
            </w:pPr>
            <w:r w:rsidRPr="007B5401">
              <w:rPr>
                <w:rFonts w:ascii="Arial" w:eastAsia="Times New Roman" w:hAnsi="Arial" w:cs="Arial"/>
                <w:b/>
                <w:color w:val="000000"/>
                <w:sz w:val="18"/>
                <w:szCs w:val="18"/>
              </w:rPr>
              <w:t> </w:t>
            </w:r>
          </w:p>
        </w:tc>
        <w:tc>
          <w:tcPr>
            <w:tcW w:w="452" w:type="dxa"/>
            <w:tcBorders>
              <w:top w:val="nil"/>
              <w:left w:val="nil"/>
              <w:bottom w:val="nil"/>
              <w:right w:val="single" w:sz="4" w:space="0" w:color="auto"/>
            </w:tcBorders>
            <w:shd w:val="clear" w:color="auto" w:fill="auto"/>
            <w:noWrap/>
            <w:vAlign w:val="bottom"/>
            <w:hideMark/>
          </w:tcPr>
          <w:p w:rsidR="007B5401" w:rsidRPr="007B5401" w:rsidRDefault="007B5401" w:rsidP="007B5401">
            <w:pPr>
              <w:jc w:val="left"/>
              <w:rPr>
                <w:rFonts w:ascii="Arial" w:eastAsia="Times New Roman" w:hAnsi="Arial" w:cs="Arial"/>
                <w:b/>
                <w:color w:val="000000"/>
                <w:sz w:val="20"/>
                <w:szCs w:val="20"/>
              </w:rPr>
            </w:pPr>
            <w:r w:rsidRPr="007B5401">
              <w:rPr>
                <w:rFonts w:ascii="Arial" w:eastAsia="Times New Roman" w:hAnsi="Arial" w:cs="Arial"/>
                <w:b/>
                <w:color w:val="000000"/>
                <w:sz w:val="20"/>
                <w:szCs w:val="20"/>
              </w:rPr>
              <w:t> </w:t>
            </w:r>
          </w:p>
        </w:tc>
        <w:tc>
          <w:tcPr>
            <w:tcW w:w="452" w:type="dxa"/>
            <w:tcBorders>
              <w:top w:val="nil"/>
              <w:left w:val="nil"/>
              <w:bottom w:val="nil"/>
              <w:right w:val="single" w:sz="4" w:space="0" w:color="auto"/>
            </w:tcBorders>
            <w:shd w:val="clear" w:color="auto" w:fill="auto"/>
            <w:noWrap/>
            <w:vAlign w:val="bottom"/>
            <w:hideMark/>
          </w:tcPr>
          <w:p w:rsidR="007B5401" w:rsidRPr="007B5401" w:rsidRDefault="007B5401" w:rsidP="007B5401">
            <w:pPr>
              <w:jc w:val="left"/>
              <w:rPr>
                <w:rFonts w:ascii="Arial" w:eastAsia="Times New Roman" w:hAnsi="Arial" w:cs="Arial"/>
                <w:b/>
                <w:color w:val="000000"/>
                <w:sz w:val="20"/>
                <w:szCs w:val="20"/>
              </w:rPr>
            </w:pPr>
            <w:r w:rsidRPr="007B5401">
              <w:rPr>
                <w:rFonts w:ascii="Arial" w:eastAsia="Times New Roman" w:hAnsi="Arial" w:cs="Arial"/>
                <w:b/>
                <w:color w:val="000000"/>
                <w:sz w:val="20"/>
                <w:szCs w:val="20"/>
              </w:rPr>
              <w:t> </w:t>
            </w:r>
          </w:p>
        </w:tc>
        <w:tc>
          <w:tcPr>
            <w:tcW w:w="452" w:type="dxa"/>
            <w:tcBorders>
              <w:top w:val="nil"/>
              <w:left w:val="nil"/>
              <w:bottom w:val="nil"/>
              <w:right w:val="single" w:sz="4" w:space="0" w:color="auto"/>
            </w:tcBorders>
            <w:shd w:val="clear" w:color="auto" w:fill="auto"/>
            <w:noWrap/>
            <w:vAlign w:val="bottom"/>
            <w:hideMark/>
          </w:tcPr>
          <w:p w:rsidR="007B5401" w:rsidRPr="007B5401" w:rsidRDefault="007B5401" w:rsidP="007B5401">
            <w:pPr>
              <w:jc w:val="center"/>
              <w:rPr>
                <w:rFonts w:ascii="Wingdings 2" w:eastAsia="Times New Roman" w:hAnsi="Wingdings 2" w:cs="Arial"/>
                <w:b/>
                <w:color w:val="000000"/>
                <w:sz w:val="18"/>
                <w:szCs w:val="18"/>
              </w:rPr>
            </w:pPr>
            <w:r w:rsidRPr="007B5401">
              <w:rPr>
                <w:rFonts w:ascii="Wingdings 2" w:eastAsia="Times New Roman" w:hAnsi="Wingdings 2" w:cs="Arial"/>
                <w:b/>
                <w:color w:val="000000"/>
                <w:sz w:val="18"/>
                <w:szCs w:val="18"/>
              </w:rPr>
              <w:t></w:t>
            </w:r>
          </w:p>
        </w:tc>
        <w:tc>
          <w:tcPr>
            <w:tcW w:w="452" w:type="dxa"/>
            <w:tcBorders>
              <w:top w:val="nil"/>
              <w:left w:val="nil"/>
              <w:bottom w:val="nil"/>
              <w:right w:val="single" w:sz="4" w:space="0" w:color="auto"/>
            </w:tcBorders>
            <w:shd w:val="clear" w:color="auto" w:fill="auto"/>
          </w:tcPr>
          <w:p w:rsidR="007B5401" w:rsidRPr="007B5401" w:rsidRDefault="007B5401" w:rsidP="007B5401">
            <w:pPr>
              <w:jc w:val="center"/>
              <w:rPr>
                <w:rFonts w:ascii="Wingdings 2" w:eastAsia="Times New Roman" w:hAnsi="Wingdings 2" w:cs="Arial"/>
                <w:b/>
                <w:color w:val="000000"/>
                <w:sz w:val="18"/>
                <w:szCs w:val="18"/>
              </w:rPr>
            </w:pPr>
          </w:p>
        </w:tc>
        <w:tc>
          <w:tcPr>
            <w:tcW w:w="452" w:type="dxa"/>
            <w:tcBorders>
              <w:top w:val="nil"/>
              <w:left w:val="nil"/>
              <w:bottom w:val="nil"/>
              <w:right w:val="single" w:sz="4" w:space="0" w:color="auto"/>
            </w:tcBorders>
            <w:shd w:val="clear" w:color="auto" w:fill="auto"/>
            <w:noWrap/>
            <w:vAlign w:val="bottom"/>
            <w:hideMark/>
          </w:tcPr>
          <w:p w:rsidR="007B5401" w:rsidRPr="007B5401" w:rsidRDefault="007B5401" w:rsidP="007B5401">
            <w:pPr>
              <w:jc w:val="left"/>
              <w:rPr>
                <w:rFonts w:ascii="Arial" w:eastAsia="Times New Roman" w:hAnsi="Arial" w:cs="Arial"/>
                <w:b/>
                <w:color w:val="000000"/>
                <w:sz w:val="20"/>
                <w:szCs w:val="20"/>
              </w:rPr>
            </w:pPr>
            <w:r w:rsidRPr="007B5401">
              <w:rPr>
                <w:rFonts w:ascii="Arial" w:eastAsia="Times New Roman" w:hAnsi="Arial" w:cs="Arial"/>
                <w:b/>
                <w:color w:val="000000"/>
                <w:sz w:val="20"/>
                <w:szCs w:val="20"/>
              </w:rPr>
              <w:t> </w:t>
            </w:r>
          </w:p>
        </w:tc>
        <w:tc>
          <w:tcPr>
            <w:tcW w:w="452" w:type="dxa"/>
            <w:tcBorders>
              <w:top w:val="nil"/>
              <w:left w:val="nil"/>
              <w:bottom w:val="nil"/>
              <w:right w:val="single" w:sz="4" w:space="0" w:color="auto"/>
            </w:tcBorders>
            <w:shd w:val="clear" w:color="auto" w:fill="auto"/>
            <w:noWrap/>
            <w:vAlign w:val="bottom"/>
            <w:hideMark/>
          </w:tcPr>
          <w:p w:rsidR="007B5401" w:rsidRPr="007B5401" w:rsidRDefault="007B5401" w:rsidP="007B5401">
            <w:pPr>
              <w:jc w:val="left"/>
              <w:rPr>
                <w:rFonts w:ascii="Arial" w:eastAsia="Times New Roman" w:hAnsi="Arial" w:cs="Arial"/>
                <w:b/>
                <w:color w:val="000000"/>
                <w:sz w:val="20"/>
                <w:szCs w:val="20"/>
              </w:rPr>
            </w:pPr>
            <w:r w:rsidRPr="007B5401">
              <w:rPr>
                <w:rFonts w:ascii="Arial" w:eastAsia="Times New Roman" w:hAnsi="Arial" w:cs="Arial"/>
                <w:b/>
                <w:color w:val="000000"/>
                <w:sz w:val="20"/>
                <w:szCs w:val="20"/>
              </w:rPr>
              <w:t> </w:t>
            </w:r>
          </w:p>
        </w:tc>
        <w:tc>
          <w:tcPr>
            <w:tcW w:w="452" w:type="dxa"/>
            <w:tcBorders>
              <w:top w:val="nil"/>
              <w:left w:val="nil"/>
              <w:bottom w:val="nil"/>
              <w:right w:val="single" w:sz="4" w:space="0" w:color="auto"/>
            </w:tcBorders>
            <w:shd w:val="clear" w:color="auto" w:fill="auto"/>
            <w:noWrap/>
            <w:vAlign w:val="bottom"/>
            <w:hideMark/>
          </w:tcPr>
          <w:p w:rsidR="007B5401" w:rsidRPr="007B5401" w:rsidRDefault="007B5401" w:rsidP="007B5401">
            <w:pPr>
              <w:jc w:val="left"/>
              <w:rPr>
                <w:rFonts w:ascii="Arial" w:eastAsia="Times New Roman" w:hAnsi="Arial" w:cs="Arial"/>
                <w:b/>
                <w:color w:val="000000"/>
                <w:sz w:val="20"/>
                <w:szCs w:val="20"/>
              </w:rPr>
            </w:pPr>
            <w:r w:rsidRPr="007B5401">
              <w:rPr>
                <w:rFonts w:ascii="Arial" w:eastAsia="Times New Roman" w:hAnsi="Arial" w:cs="Arial"/>
                <w:b/>
                <w:color w:val="000000"/>
                <w:sz w:val="20"/>
                <w:szCs w:val="20"/>
              </w:rPr>
              <w:t> </w:t>
            </w:r>
          </w:p>
        </w:tc>
        <w:tc>
          <w:tcPr>
            <w:tcW w:w="452" w:type="dxa"/>
            <w:tcBorders>
              <w:top w:val="nil"/>
              <w:left w:val="nil"/>
              <w:bottom w:val="nil"/>
              <w:right w:val="single" w:sz="4" w:space="0" w:color="auto"/>
            </w:tcBorders>
            <w:shd w:val="clear" w:color="auto" w:fill="auto"/>
            <w:noWrap/>
            <w:vAlign w:val="bottom"/>
            <w:hideMark/>
          </w:tcPr>
          <w:p w:rsidR="007B5401" w:rsidRPr="007B5401" w:rsidRDefault="007B5401" w:rsidP="007B5401">
            <w:pPr>
              <w:jc w:val="left"/>
              <w:rPr>
                <w:rFonts w:ascii="Arial" w:eastAsia="Times New Roman" w:hAnsi="Arial" w:cs="Arial"/>
                <w:b/>
                <w:color w:val="000000"/>
                <w:sz w:val="20"/>
                <w:szCs w:val="20"/>
              </w:rPr>
            </w:pPr>
            <w:r w:rsidRPr="007B5401">
              <w:rPr>
                <w:rFonts w:ascii="Arial" w:eastAsia="Times New Roman" w:hAnsi="Arial" w:cs="Arial"/>
                <w:b/>
                <w:color w:val="000000"/>
                <w:sz w:val="20"/>
                <w:szCs w:val="20"/>
              </w:rPr>
              <w:t> </w:t>
            </w:r>
          </w:p>
        </w:tc>
      </w:tr>
      <w:tr w:rsidR="007B5401" w:rsidRPr="007B5401" w:rsidTr="007B5401">
        <w:trPr>
          <w:trHeight w:val="255"/>
        </w:trPr>
        <w:tc>
          <w:tcPr>
            <w:tcW w:w="1247" w:type="dxa"/>
            <w:vMerge/>
            <w:tcBorders>
              <w:top w:val="nil"/>
              <w:left w:val="single" w:sz="4" w:space="0" w:color="auto"/>
              <w:bottom w:val="single" w:sz="4" w:space="0" w:color="000000"/>
              <w:right w:val="single" w:sz="4" w:space="0" w:color="auto"/>
            </w:tcBorders>
            <w:vAlign w:val="center"/>
            <w:hideMark/>
          </w:tcPr>
          <w:p w:rsidR="007B5401" w:rsidRPr="007B5401" w:rsidRDefault="007B5401" w:rsidP="007B5401">
            <w:pPr>
              <w:jc w:val="left"/>
              <w:rPr>
                <w:rFonts w:ascii="Arial" w:eastAsia="Times New Roman" w:hAnsi="Arial" w:cs="Arial"/>
                <w:color w:val="000000"/>
                <w:sz w:val="18"/>
                <w:szCs w:val="18"/>
              </w:rPr>
            </w:pPr>
          </w:p>
        </w:tc>
        <w:tc>
          <w:tcPr>
            <w:tcW w:w="3551" w:type="dxa"/>
            <w:tcBorders>
              <w:top w:val="nil"/>
              <w:left w:val="nil"/>
              <w:bottom w:val="single" w:sz="4" w:space="0" w:color="auto"/>
              <w:right w:val="nil"/>
            </w:tcBorders>
            <w:shd w:val="clear" w:color="000000" w:fill="F2F2F2"/>
            <w:noWrap/>
            <w:vAlign w:val="bottom"/>
            <w:hideMark/>
          </w:tcPr>
          <w:p w:rsidR="007B5401" w:rsidRPr="007B5401" w:rsidRDefault="007B5401" w:rsidP="007B5401">
            <w:pPr>
              <w:jc w:val="left"/>
              <w:rPr>
                <w:rFonts w:ascii="Arial" w:eastAsia="Times New Roman" w:hAnsi="Arial" w:cs="Arial"/>
                <w:b/>
                <w:color w:val="000000"/>
                <w:sz w:val="18"/>
                <w:szCs w:val="18"/>
              </w:rPr>
            </w:pPr>
            <w:r w:rsidRPr="007B5401">
              <w:rPr>
                <w:rFonts w:ascii="Arial" w:eastAsia="Times New Roman" w:hAnsi="Arial" w:cs="Arial"/>
                <w:b/>
                <w:color w:val="000000"/>
                <w:sz w:val="18"/>
                <w:szCs w:val="18"/>
              </w:rPr>
              <w:t>Electric Motors</w:t>
            </w:r>
          </w:p>
        </w:tc>
        <w:tc>
          <w:tcPr>
            <w:tcW w:w="453" w:type="dxa"/>
            <w:tcBorders>
              <w:top w:val="nil"/>
              <w:left w:val="single" w:sz="4" w:space="0" w:color="auto"/>
              <w:bottom w:val="single" w:sz="4" w:space="0" w:color="auto"/>
              <w:right w:val="single" w:sz="4" w:space="0" w:color="auto"/>
            </w:tcBorders>
            <w:shd w:val="clear" w:color="000000" w:fill="F2F2F2"/>
            <w:noWrap/>
            <w:vAlign w:val="bottom"/>
            <w:hideMark/>
          </w:tcPr>
          <w:p w:rsidR="007B5401" w:rsidRPr="007B5401" w:rsidRDefault="007B5401" w:rsidP="007B5401">
            <w:pPr>
              <w:jc w:val="center"/>
              <w:rPr>
                <w:rFonts w:ascii="Wingdings 2" w:eastAsia="Times New Roman" w:hAnsi="Wingdings 2" w:cs="Arial"/>
                <w:b/>
                <w:color w:val="000000"/>
                <w:sz w:val="18"/>
                <w:szCs w:val="18"/>
              </w:rPr>
            </w:pPr>
            <w:r w:rsidRPr="007B5401">
              <w:rPr>
                <w:rFonts w:ascii="Wingdings 2" w:eastAsia="Times New Roman" w:hAnsi="Wingdings 2" w:cs="Arial"/>
                <w:b/>
                <w:color w:val="000000"/>
                <w:sz w:val="18"/>
                <w:szCs w:val="18"/>
              </w:rPr>
              <w:t></w:t>
            </w:r>
          </w:p>
        </w:tc>
        <w:tc>
          <w:tcPr>
            <w:tcW w:w="452" w:type="dxa"/>
            <w:tcBorders>
              <w:top w:val="nil"/>
              <w:left w:val="nil"/>
              <w:bottom w:val="single" w:sz="4" w:space="0" w:color="auto"/>
              <w:right w:val="nil"/>
            </w:tcBorders>
            <w:shd w:val="clear" w:color="000000" w:fill="F2F2F2"/>
            <w:noWrap/>
            <w:vAlign w:val="bottom"/>
            <w:hideMark/>
          </w:tcPr>
          <w:p w:rsidR="007B5401" w:rsidRPr="007B5401" w:rsidRDefault="007B5401" w:rsidP="007B5401">
            <w:pPr>
              <w:jc w:val="left"/>
              <w:rPr>
                <w:rFonts w:ascii="Arial" w:eastAsia="Times New Roman" w:hAnsi="Arial" w:cs="Arial"/>
                <w:b/>
                <w:color w:val="000000"/>
                <w:sz w:val="18"/>
                <w:szCs w:val="18"/>
              </w:rPr>
            </w:pPr>
            <w:r w:rsidRPr="007B5401">
              <w:rPr>
                <w:rFonts w:ascii="Arial" w:eastAsia="Times New Roman" w:hAnsi="Arial" w:cs="Arial"/>
                <w:b/>
                <w:color w:val="000000"/>
                <w:sz w:val="18"/>
                <w:szCs w:val="18"/>
              </w:rPr>
              <w:t> </w:t>
            </w:r>
          </w:p>
        </w:tc>
        <w:tc>
          <w:tcPr>
            <w:tcW w:w="452" w:type="dxa"/>
            <w:tcBorders>
              <w:top w:val="nil"/>
              <w:left w:val="single" w:sz="4" w:space="0" w:color="auto"/>
              <w:bottom w:val="single" w:sz="4" w:space="0" w:color="auto"/>
              <w:right w:val="single" w:sz="4" w:space="0" w:color="auto"/>
            </w:tcBorders>
            <w:shd w:val="clear" w:color="000000" w:fill="F2F2F2"/>
            <w:noWrap/>
            <w:vAlign w:val="bottom"/>
            <w:hideMark/>
          </w:tcPr>
          <w:p w:rsidR="007B5401" w:rsidRPr="007B5401" w:rsidRDefault="007B5401" w:rsidP="007B5401">
            <w:pPr>
              <w:jc w:val="left"/>
              <w:rPr>
                <w:rFonts w:ascii="Arial" w:eastAsia="Times New Roman" w:hAnsi="Arial" w:cs="Arial"/>
                <w:b/>
                <w:color w:val="000000"/>
                <w:sz w:val="18"/>
                <w:szCs w:val="18"/>
              </w:rPr>
            </w:pPr>
            <w:r w:rsidRPr="007B5401">
              <w:rPr>
                <w:rFonts w:ascii="Arial" w:eastAsia="Times New Roman" w:hAnsi="Arial" w:cs="Arial"/>
                <w:b/>
                <w:color w:val="000000"/>
                <w:sz w:val="18"/>
                <w:szCs w:val="18"/>
              </w:rPr>
              <w:t> </w:t>
            </w:r>
          </w:p>
        </w:tc>
        <w:tc>
          <w:tcPr>
            <w:tcW w:w="452" w:type="dxa"/>
            <w:tcBorders>
              <w:top w:val="nil"/>
              <w:left w:val="nil"/>
              <w:bottom w:val="single" w:sz="4" w:space="0" w:color="auto"/>
              <w:right w:val="single" w:sz="4" w:space="0" w:color="auto"/>
            </w:tcBorders>
            <w:shd w:val="clear" w:color="000000" w:fill="F2F2F2"/>
            <w:noWrap/>
            <w:vAlign w:val="bottom"/>
            <w:hideMark/>
          </w:tcPr>
          <w:p w:rsidR="007B5401" w:rsidRPr="007B5401" w:rsidRDefault="007B5401" w:rsidP="007B5401">
            <w:pPr>
              <w:jc w:val="left"/>
              <w:rPr>
                <w:rFonts w:ascii="Arial" w:eastAsia="Times New Roman" w:hAnsi="Arial" w:cs="Arial"/>
                <w:b/>
                <w:color w:val="000000"/>
                <w:sz w:val="20"/>
                <w:szCs w:val="20"/>
              </w:rPr>
            </w:pPr>
            <w:r w:rsidRPr="007B5401">
              <w:rPr>
                <w:rFonts w:ascii="Arial" w:eastAsia="Times New Roman" w:hAnsi="Arial" w:cs="Arial"/>
                <w:b/>
                <w:color w:val="000000"/>
                <w:sz w:val="20"/>
                <w:szCs w:val="20"/>
              </w:rPr>
              <w:t> </w:t>
            </w:r>
          </w:p>
        </w:tc>
        <w:tc>
          <w:tcPr>
            <w:tcW w:w="452" w:type="dxa"/>
            <w:tcBorders>
              <w:top w:val="nil"/>
              <w:left w:val="nil"/>
              <w:bottom w:val="single" w:sz="4" w:space="0" w:color="auto"/>
              <w:right w:val="single" w:sz="4" w:space="0" w:color="auto"/>
            </w:tcBorders>
            <w:shd w:val="clear" w:color="000000" w:fill="F2F2F2"/>
            <w:noWrap/>
            <w:vAlign w:val="bottom"/>
            <w:hideMark/>
          </w:tcPr>
          <w:p w:rsidR="007B5401" w:rsidRPr="007B5401" w:rsidRDefault="007B5401" w:rsidP="007B5401">
            <w:pPr>
              <w:jc w:val="left"/>
              <w:rPr>
                <w:rFonts w:ascii="Arial" w:eastAsia="Times New Roman" w:hAnsi="Arial" w:cs="Arial"/>
                <w:b/>
                <w:color w:val="000000"/>
                <w:sz w:val="20"/>
                <w:szCs w:val="20"/>
              </w:rPr>
            </w:pPr>
            <w:r w:rsidRPr="007B5401">
              <w:rPr>
                <w:rFonts w:ascii="Arial" w:eastAsia="Times New Roman" w:hAnsi="Arial" w:cs="Arial"/>
                <w:b/>
                <w:color w:val="000000"/>
                <w:sz w:val="20"/>
                <w:szCs w:val="20"/>
              </w:rPr>
              <w:t> </w:t>
            </w:r>
          </w:p>
        </w:tc>
        <w:tc>
          <w:tcPr>
            <w:tcW w:w="452" w:type="dxa"/>
            <w:tcBorders>
              <w:top w:val="nil"/>
              <w:left w:val="nil"/>
              <w:bottom w:val="single" w:sz="4" w:space="0" w:color="auto"/>
              <w:right w:val="single" w:sz="4" w:space="0" w:color="auto"/>
            </w:tcBorders>
            <w:shd w:val="clear" w:color="000000" w:fill="F2F2F2"/>
            <w:hideMark/>
          </w:tcPr>
          <w:p w:rsidR="007B5401" w:rsidRPr="007B5401" w:rsidRDefault="007B5401" w:rsidP="007B5401">
            <w:pPr>
              <w:jc w:val="center"/>
              <w:rPr>
                <w:rFonts w:ascii="Wingdings 2" w:eastAsia="Times New Roman" w:hAnsi="Wingdings 2" w:cs="Arial"/>
                <w:b/>
                <w:color w:val="000000"/>
                <w:sz w:val="18"/>
                <w:szCs w:val="18"/>
              </w:rPr>
            </w:pPr>
          </w:p>
        </w:tc>
        <w:tc>
          <w:tcPr>
            <w:tcW w:w="452" w:type="dxa"/>
            <w:tcBorders>
              <w:top w:val="nil"/>
              <w:left w:val="nil"/>
              <w:bottom w:val="single" w:sz="4" w:space="0" w:color="auto"/>
              <w:right w:val="single" w:sz="4" w:space="0" w:color="auto"/>
            </w:tcBorders>
            <w:shd w:val="clear" w:color="000000" w:fill="F2F2F2"/>
            <w:noWrap/>
            <w:vAlign w:val="bottom"/>
            <w:hideMark/>
          </w:tcPr>
          <w:p w:rsidR="007B5401" w:rsidRPr="007B5401" w:rsidRDefault="007B5401" w:rsidP="007B5401">
            <w:pPr>
              <w:jc w:val="center"/>
              <w:rPr>
                <w:rFonts w:ascii="Wingdings 2" w:eastAsia="Times New Roman" w:hAnsi="Wingdings 2" w:cs="Arial"/>
                <w:b/>
                <w:color w:val="000000"/>
                <w:sz w:val="18"/>
                <w:szCs w:val="18"/>
              </w:rPr>
            </w:pPr>
            <w:r w:rsidRPr="007B5401">
              <w:rPr>
                <w:rFonts w:ascii="Wingdings 2" w:eastAsia="Times New Roman" w:hAnsi="Wingdings 2" w:cs="Arial"/>
                <w:b/>
                <w:color w:val="000000"/>
                <w:sz w:val="18"/>
                <w:szCs w:val="18"/>
              </w:rPr>
              <w:t></w:t>
            </w:r>
          </w:p>
        </w:tc>
        <w:tc>
          <w:tcPr>
            <w:tcW w:w="452" w:type="dxa"/>
            <w:tcBorders>
              <w:top w:val="nil"/>
              <w:left w:val="nil"/>
              <w:bottom w:val="single" w:sz="4" w:space="0" w:color="auto"/>
              <w:right w:val="single" w:sz="4" w:space="0" w:color="auto"/>
            </w:tcBorders>
            <w:shd w:val="clear" w:color="000000" w:fill="F2F2F2"/>
            <w:noWrap/>
            <w:vAlign w:val="bottom"/>
            <w:hideMark/>
          </w:tcPr>
          <w:p w:rsidR="007B5401" w:rsidRPr="007B5401" w:rsidRDefault="007B5401" w:rsidP="007B5401">
            <w:pPr>
              <w:jc w:val="left"/>
              <w:rPr>
                <w:rFonts w:ascii="Arial" w:eastAsia="Times New Roman" w:hAnsi="Arial" w:cs="Arial"/>
                <w:b/>
                <w:color w:val="000000"/>
                <w:sz w:val="20"/>
                <w:szCs w:val="20"/>
              </w:rPr>
            </w:pPr>
            <w:r w:rsidRPr="007B5401">
              <w:rPr>
                <w:rFonts w:ascii="Arial" w:eastAsia="Times New Roman" w:hAnsi="Arial" w:cs="Arial"/>
                <w:b/>
                <w:color w:val="000000"/>
                <w:sz w:val="20"/>
                <w:szCs w:val="20"/>
              </w:rPr>
              <w:t> </w:t>
            </w:r>
          </w:p>
        </w:tc>
        <w:tc>
          <w:tcPr>
            <w:tcW w:w="452" w:type="dxa"/>
            <w:tcBorders>
              <w:top w:val="nil"/>
              <w:left w:val="nil"/>
              <w:bottom w:val="single" w:sz="4" w:space="0" w:color="auto"/>
              <w:right w:val="single" w:sz="4" w:space="0" w:color="auto"/>
            </w:tcBorders>
            <w:shd w:val="clear" w:color="000000" w:fill="F2F2F2"/>
            <w:noWrap/>
            <w:vAlign w:val="bottom"/>
            <w:hideMark/>
          </w:tcPr>
          <w:p w:rsidR="007B5401" w:rsidRPr="007B5401" w:rsidRDefault="007B5401" w:rsidP="007B5401">
            <w:pPr>
              <w:jc w:val="left"/>
              <w:rPr>
                <w:rFonts w:ascii="Arial" w:eastAsia="Times New Roman" w:hAnsi="Arial" w:cs="Arial"/>
                <w:b/>
                <w:color w:val="000000"/>
                <w:sz w:val="20"/>
                <w:szCs w:val="20"/>
              </w:rPr>
            </w:pPr>
            <w:r w:rsidRPr="007B5401">
              <w:rPr>
                <w:rFonts w:ascii="Arial" w:eastAsia="Times New Roman" w:hAnsi="Arial" w:cs="Arial"/>
                <w:b/>
                <w:color w:val="000000"/>
                <w:sz w:val="20"/>
                <w:szCs w:val="20"/>
              </w:rPr>
              <w:t> </w:t>
            </w:r>
          </w:p>
        </w:tc>
        <w:tc>
          <w:tcPr>
            <w:tcW w:w="452" w:type="dxa"/>
            <w:tcBorders>
              <w:top w:val="nil"/>
              <w:left w:val="nil"/>
              <w:bottom w:val="single" w:sz="4" w:space="0" w:color="auto"/>
              <w:right w:val="single" w:sz="4" w:space="0" w:color="auto"/>
            </w:tcBorders>
            <w:shd w:val="clear" w:color="000000" w:fill="F2F2F2"/>
            <w:noWrap/>
            <w:vAlign w:val="bottom"/>
            <w:hideMark/>
          </w:tcPr>
          <w:p w:rsidR="007B5401" w:rsidRPr="007B5401" w:rsidRDefault="007B5401" w:rsidP="007B5401">
            <w:pPr>
              <w:jc w:val="left"/>
              <w:rPr>
                <w:rFonts w:ascii="Arial" w:eastAsia="Times New Roman" w:hAnsi="Arial" w:cs="Arial"/>
                <w:b/>
                <w:color w:val="000000"/>
                <w:sz w:val="20"/>
                <w:szCs w:val="20"/>
              </w:rPr>
            </w:pPr>
            <w:r w:rsidRPr="007B5401">
              <w:rPr>
                <w:rFonts w:ascii="Arial" w:eastAsia="Times New Roman" w:hAnsi="Arial" w:cs="Arial"/>
                <w:b/>
                <w:color w:val="000000"/>
                <w:sz w:val="20"/>
                <w:szCs w:val="20"/>
              </w:rPr>
              <w:t> </w:t>
            </w:r>
          </w:p>
        </w:tc>
        <w:tc>
          <w:tcPr>
            <w:tcW w:w="452" w:type="dxa"/>
            <w:tcBorders>
              <w:top w:val="nil"/>
              <w:left w:val="nil"/>
              <w:bottom w:val="single" w:sz="4" w:space="0" w:color="auto"/>
              <w:right w:val="single" w:sz="4" w:space="0" w:color="auto"/>
            </w:tcBorders>
            <w:shd w:val="clear" w:color="000000" w:fill="F2F2F2"/>
            <w:noWrap/>
            <w:vAlign w:val="bottom"/>
            <w:hideMark/>
          </w:tcPr>
          <w:p w:rsidR="007B5401" w:rsidRPr="007B5401" w:rsidRDefault="007B5401" w:rsidP="007B5401">
            <w:pPr>
              <w:jc w:val="left"/>
              <w:rPr>
                <w:rFonts w:ascii="Arial" w:eastAsia="Times New Roman" w:hAnsi="Arial" w:cs="Arial"/>
                <w:b/>
                <w:color w:val="000000"/>
                <w:sz w:val="20"/>
                <w:szCs w:val="20"/>
              </w:rPr>
            </w:pPr>
            <w:r w:rsidRPr="007B5401">
              <w:rPr>
                <w:rFonts w:ascii="Arial" w:eastAsia="Times New Roman" w:hAnsi="Arial" w:cs="Arial"/>
                <w:b/>
                <w:color w:val="000000"/>
                <w:sz w:val="20"/>
                <w:szCs w:val="20"/>
              </w:rPr>
              <w:t> </w:t>
            </w:r>
          </w:p>
        </w:tc>
      </w:tr>
    </w:tbl>
    <w:p w:rsidR="009961EF" w:rsidRDefault="007B5401" w:rsidP="00212DB1">
      <w:pPr>
        <w:rPr>
          <w:b/>
          <w:color w:val="000000"/>
          <w:sz w:val="44"/>
        </w:rPr>
      </w:pPr>
      <w:r w:rsidRPr="007B5401">
        <w:rPr>
          <w:rFonts w:ascii="Calibri" w:eastAsia="Cambria" w:hAnsi="Calibri" w:cs="Times New Roman"/>
          <w:i/>
          <w:sz w:val="22"/>
          <w:szCs w:val="24"/>
        </w:rPr>
        <w:t xml:space="preserve">Note: NEEA staff members actively participated in the rule making process of the </w:t>
      </w:r>
      <w:r w:rsidRPr="007B5401">
        <w:rPr>
          <w:rFonts w:ascii="Calibri" w:eastAsia="Cambria" w:hAnsi="Calibri" w:cs="Times New Roman"/>
          <w:b/>
          <w:i/>
          <w:sz w:val="22"/>
          <w:szCs w:val="24"/>
        </w:rPr>
        <w:t>bolded</w:t>
      </w:r>
      <w:r w:rsidRPr="007B5401">
        <w:rPr>
          <w:rFonts w:ascii="Calibri" w:eastAsia="Cambria" w:hAnsi="Calibri" w:cs="Times New Roman"/>
          <w:i/>
          <w:sz w:val="22"/>
          <w:szCs w:val="24"/>
        </w:rPr>
        <w:t xml:space="preserve"> standards listed.</w:t>
      </w:r>
    </w:p>
    <w:p w:rsidR="004501B2" w:rsidRPr="00432C28" w:rsidRDefault="004501B2" w:rsidP="00031C95">
      <w:pPr>
        <w:jc w:val="center"/>
        <w:rPr>
          <w:rFonts w:cs="Times New Roman"/>
          <w:sz w:val="48"/>
          <w:szCs w:val="48"/>
        </w:rPr>
      </w:pPr>
    </w:p>
    <w:p w:rsidR="00640911" w:rsidRDefault="00640911" w:rsidP="00640911">
      <w:pPr>
        <w:jc w:val="center"/>
        <w:rPr>
          <w:rFonts w:cs="Times New Roman"/>
          <w:sz w:val="48"/>
          <w:szCs w:val="48"/>
        </w:rPr>
      </w:pPr>
    </w:p>
    <w:p w:rsidR="008A54D7" w:rsidRDefault="008A54D7" w:rsidP="00640911">
      <w:pPr>
        <w:jc w:val="center"/>
        <w:rPr>
          <w:rFonts w:cs="Times New Roman"/>
          <w:sz w:val="48"/>
          <w:szCs w:val="48"/>
        </w:rPr>
      </w:pPr>
    </w:p>
    <w:p w:rsidR="008A54D7" w:rsidRDefault="008A54D7" w:rsidP="00640911">
      <w:pPr>
        <w:jc w:val="center"/>
        <w:rPr>
          <w:rFonts w:cs="Times New Roman"/>
          <w:sz w:val="48"/>
          <w:szCs w:val="48"/>
        </w:rPr>
      </w:pPr>
    </w:p>
    <w:p w:rsidR="008A54D7" w:rsidRDefault="008A54D7" w:rsidP="00640911">
      <w:pPr>
        <w:jc w:val="center"/>
        <w:rPr>
          <w:rFonts w:cs="Times New Roman"/>
          <w:sz w:val="48"/>
          <w:szCs w:val="48"/>
        </w:rPr>
      </w:pPr>
    </w:p>
    <w:p w:rsidR="008A54D7" w:rsidRDefault="008A54D7" w:rsidP="00640911">
      <w:pPr>
        <w:jc w:val="center"/>
        <w:rPr>
          <w:rFonts w:cs="Times New Roman"/>
          <w:sz w:val="48"/>
          <w:szCs w:val="48"/>
        </w:rPr>
      </w:pPr>
    </w:p>
    <w:p w:rsidR="008A54D7" w:rsidRDefault="008A54D7" w:rsidP="00640911">
      <w:pPr>
        <w:jc w:val="center"/>
        <w:rPr>
          <w:rFonts w:cs="Times New Roman"/>
          <w:sz w:val="48"/>
          <w:szCs w:val="48"/>
        </w:rPr>
      </w:pPr>
    </w:p>
    <w:p w:rsidR="00031C95" w:rsidRPr="00432C28" w:rsidRDefault="00031C95" w:rsidP="00640911">
      <w:pPr>
        <w:jc w:val="center"/>
        <w:rPr>
          <w:rFonts w:cs="Times New Roman"/>
          <w:sz w:val="48"/>
          <w:szCs w:val="48"/>
        </w:rPr>
      </w:pPr>
      <w:r w:rsidRPr="00432C28">
        <w:rPr>
          <w:rFonts w:cs="Times New Roman"/>
          <w:sz w:val="48"/>
          <w:szCs w:val="48"/>
        </w:rPr>
        <w:t xml:space="preserve">Appendix </w:t>
      </w:r>
      <w:r w:rsidR="00EC5A90" w:rsidRPr="00432C28">
        <w:rPr>
          <w:rFonts w:cs="Times New Roman"/>
          <w:sz w:val="48"/>
          <w:szCs w:val="48"/>
        </w:rPr>
        <w:t>10</w:t>
      </w:r>
    </w:p>
    <w:p w:rsidR="00E32FC0" w:rsidRPr="00432C28" w:rsidRDefault="00E32FC0" w:rsidP="00E32FC0">
      <w:pPr>
        <w:jc w:val="center"/>
        <w:rPr>
          <w:rFonts w:cs="Times New Roman"/>
          <w:sz w:val="48"/>
          <w:szCs w:val="48"/>
        </w:rPr>
      </w:pPr>
      <w:r w:rsidRPr="00432C28">
        <w:rPr>
          <w:rFonts w:cs="Times New Roman"/>
          <w:sz w:val="48"/>
          <w:szCs w:val="48"/>
        </w:rPr>
        <w:t>Cascade Energy, Inc. Study</w:t>
      </w:r>
    </w:p>
    <w:p w:rsidR="00E32FC0" w:rsidRPr="00432C28" w:rsidRDefault="00E32FC0" w:rsidP="00E32FC0">
      <w:pPr>
        <w:jc w:val="center"/>
        <w:rPr>
          <w:rFonts w:cs="Times New Roman"/>
          <w:sz w:val="48"/>
          <w:szCs w:val="48"/>
        </w:rPr>
      </w:pPr>
      <w:r w:rsidRPr="00432C28">
        <w:rPr>
          <w:rFonts w:cs="Times New Roman"/>
          <w:sz w:val="48"/>
          <w:szCs w:val="48"/>
        </w:rPr>
        <w:t>Production Efficiency</w:t>
      </w:r>
    </w:p>
    <w:p w:rsidR="00031C95" w:rsidRPr="00432C28" w:rsidRDefault="00031C95" w:rsidP="004501B2">
      <w:pPr>
        <w:jc w:val="center"/>
        <w:rPr>
          <w:rFonts w:cs="Times New Roman"/>
          <w:szCs w:val="24"/>
        </w:rPr>
      </w:pPr>
    </w:p>
    <w:p w:rsidR="00396323" w:rsidRDefault="00031C95" w:rsidP="00370536">
      <w:pPr>
        <w:ind w:left="630"/>
        <w:jc w:val="center"/>
        <w:rPr>
          <w:rFonts w:cs="Times New Roman"/>
          <w:szCs w:val="24"/>
        </w:rPr>
      </w:pPr>
      <w:r w:rsidRPr="00432C28">
        <w:rPr>
          <w:rFonts w:cs="Times New Roman"/>
          <w:szCs w:val="24"/>
        </w:rPr>
        <w:t>(Appendix 1</w:t>
      </w:r>
      <w:r w:rsidR="00EC5A90" w:rsidRPr="00432C28">
        <w:rPr>
          <w:rFonts w:cs="Times New Roman"/>
          <w:szCs w:val="24"/>
        </w:rPr>
        <w:t>0</w:t>
      </w:r>
      <w:r w:rsidRPr="00432C28">
        <w:rPr>
          <w:rFonts w:cs="Times New Roman"/>
          <w:szCs w:val="24"/>
        </w:rPr>
        <w:t xml:space="preserve"> is voluminous and the</w:t>
      </w:r>
      <w:r w:rsidR="00AC7979" w:rsidRPr="00432C28">
        <w:rPr>
          <w:rFonts w:cs="Times New Roman"/>
          <w:szCs w:val="24"/>
        </w:rPr>
        <w:t>refore provided on compact disc</w:t>
      </w:r>
      <w:r w:rsidR="00E52C2E" w:rsidRPr="00432C28">
        <w:rPr>
          <w:rFonts w:cs="Times New Roman"/>
          <w:szCs w:val="24"/>
        </w:rPr>
        <w:t>)</w:t>
      </w:r>
    </w:p>
    <w:p w:rsidR="00B1104C" w:rsidRDefault="00B1104C" w:rsidP="00370536">
      <w:pPr>
        <w:ind w:left="630"/>
        <w:jc w:val="center"/>
        <w:rPr>
          <w:rFonts w:cs="Times New Roman"/>
          <w:szCs w:val="24"/>
        </w:rPr>
      </w:pPr>
    </w:p>
    <w:p w:rsidR="008A54D7" w:rsidRDefault="008A54D7" w:rsidP="00B1104C">
      <w:pPr>
        <w:jc w:val="center"/>
        <w:rPr>
          <w:rFonts w:cs="Times New Roman"/>
          <w:sz w:val="48"/>
          <w:szCs w:val="48"/>
        </w:rPr>
      </w:pPr>
    </w:p>
    <w:p w:rsidR="008A54D7" w:rsidRDefault="008A54D7" w:rsidP="00B1104C">
      <w:pPr>
        <w:jc w:val="center"/>
        <w:rPr>
          <w:rFonts w:cs="Times New Roman"/>
          <w:sz w:val="48"/>
          <w:szCs w:val="48"/>
        </w:rPr>
      </w:pPr>
    </w:p>
    <w:p w:rsidR="008A54D7" w:rsidRDefault="008A54D7" w:rsidP="00B1104C">
      <w:pPr>
        <w:jc w:val="center"/>
        <w:rPr>
          <w:rFonts w:cs="Times New Roman"/>
          <w:sz w:val="48"/>
          <w:szCs w:val="48"/>
        </w:rPr>
      </w:pPr>
    </w:p>
    <w:p w:rsidR="008A54D7" w:rsidRDefault="008A54D7" w:rsidP="00B1104C">
      <w:pPr>
        <w:jc w:val="center"/>
        <w:rPr>
          <w:rFonts w:cs="Times New Roman"/>
          <w:sz w:val="48"/>
          <w:szCs w:val="48"/>
        </w:rPr>
      </w:pPr>
    </w:p>
    <w:p w:rsidR="008A54D7" w:rsidRDefault="008A54D7" w:rsidP="00B1104C">
      <w:pPr>
        <w:jc w:val="center"/>
        <w:rPr>
          <w:rFonts w:cs="Times New Roman"/>
          <w:sz w:val="48"/>
          <w:szCs w:val="48"/>
        </w:rPr>
      </w:pPr>
    </w:p>
    <w:p w:rsidR="008A54D7" w:rsidRDefault="008A54D7" w:rsidP="00B1104C">
      <w:pPr>
        <w:jc w:val="center"/>
        <w:rPr>
          <w:rFonts w:cs="Times New Roman"/>
          <w:sz w:val="48"/>
          <w:szCs w:val="48"/>
        </w:rPr>
      </w:pPr>
    </w:p>
    <w:p w:rsidR="008A54D7" w:rsidRDefault="008A54D7" w:rsidP="00B1104C">
      <w:pPr>
        <w:jc w:val="center"/>
        <w:rPr>
          <w:rFonts w:cs="Times New Roman"/>
          <w:sz w:val="48"/>
          <w:szCs w:val="48"/>
        </w:rPr>
      </w:pPr>
    </w:p>
    <w:p w:rsidR="008A54D7" w:rsidRDefault="008A54D7" w:rsidP="00B1104C">
      <w:pPr>
        <w:jc w:val="center"/>
        <w:rPr>
          <w:rFonts w:cs="Times New Roman"/>
          <w:sz w:val="48"/>
          <w:szCs w:val="48"/>
        </w:rPr>
      </w:pPr>
    </w:p>
    <w:p w:rsidR="008A54D7" w:rsidRDefault="008A54D7" w:rsidP="00B1104C">
      <w:pPr>
        <w:jc w:val="center"/>
        <w:rPr>
          <w:rFonts w:cs="Times New Roman"/>
          <w:sz w:val="48"/>
          <w:szCs w:val="48"/>
        </w:rPr>
      </w:pPr>
    </w:p>
    <w:p w:rsidR="008A54D7" w:rsidRDefault="008A54D7" w:rsidP="00B1104C">
      <w:pPr>
        <w:jc w:val="center"/>
        <w:rPr>
          <w:rFonts w:cs="Times New Roman"/>
          <w:sz w:val="48"/>
          <w:szCs w:val="48"/>
        </w:rPr>
      </w:pPr>
    </w:p>
    <w:p w:rsidR="008A54D7" w:rsidRDefault="008A54D7" w:rsidP="00B1104C">
      <w:pPr>
        <w:jc w:val="center"/>
        <w:rPr>
          <w:rFonts w:cs="Times New Roman"/>
          <w:sz w:val="48"/>
          <w:szCs w:val="48"/>
        </w:rPr>
      </w:pPr>
    </w:p>
    <w:p w:rsidR="008A54D7" w:rsidRDefault="008A54D7" w:rsidP="00B1104C">
      <w:pPr>
        <w:jc w:val="center"/>
        <w:rPr>
          <w:rFonts w:cs="Times New Roman"/>
          <w:sz w:val="48"/>
          <w:szCs w:val="48"/>
        </w:rPr>
      </w:pPr>
    </w:p>
    <w:p w:rsidR="008A54D7" w:rsidRDefault="008A54D7" w:rsidP="00B1104C">
      <w:pPr>
        <w:jc w:val="center"/>
        <w:rPr>
          <w:rFonts w:cs="Times New Roman"/>
          <w:sz w:val="48"/>
          <w:szCs w:val="48"/>
        </w:rPr>
      </w:pPr>
    </w:p>
    <w:p w:rsidR="008A54D7" w:rsidRDefault="008A54D7" w:rsidP="00B1104C">
      <w:pPr>
        <w:jc w:val="center"/>
        <w:rPr>
          <w:rFonts w:cs="Times New Roman"/>
          <w:sz w:val="48"/>
          <w:szCs w:val="48"/>
        </w:rPr>
      </w:pPr>
    </w:p>
    <w:p w:rsidR="008A54D7" w:rsidRDefault="008A54D7" w:rsidP="00B1104C">
      <w:pPr>
        <w:jc w:val="center"/>
        <w:rPr>
          <w:rFonts w:cs="Times New Roman"/>
          <w:sz w:val="48"/>
          <w:szCs w:val="48"/>
        </w:rPr>
      </w:pPr>
    </w:p>
    <w:p w:rsidR="006E32D5" w:rsidRDefault="006E32D5" w:rsidP="00B1104C">
      <w:pPr>
        <w:jc w:val="center"/>
        <w:rPr>
          <w:rFonts w:cs="Times New Roman"/>
          <w:sz w:val="48"/>
          <w:szCs w:val="48"/>
        </w:rPr>
      </w:pPr>
    </w:p>
    <w:p w:rsidR="006E32D5" w:rsidRDefault="006E32D5" w:rsidP="00B1104C">
      <w:pPr>
        <w:jc w:val="center"/>
        <w:rPr>
          <w:rFonts w:cs="Times New Roman"/>
          <w:sz w:val="48"/>
          <w:szCs w:val="48"/>
        </w:rPr>
      </w:pPr>
    </w:p>
    <w:p w:rsidR="006E32D5" w:rsidRDefault="006E32D5" w:rsidP="00B1104C">
      <w:pPr>
        <w:jc w:val="center"/>
        <w:rPr>
          <w:rFonts w:cs="Times New Roman"/>
          <w:sz w:val="48"/>
          <w:szCs w:val="48"/>
        </w:rPr>
      </w:pPr>
    </w:p>
    <w:p w:rsidR="006E32D5" w:rsidRDefault="006E32D5" w:rsidP="00B1104C">
      <w:pPr>
        <w:jc w:val="center"/>
        <w:rPr>
          <w:rFonts w:cs="Times New Roman"/>
          <w:sz w:val="48"/>
          <w:szCs w:val="48"/>
        </w:rPr>
      </w:pPr>
    </w:p>
    <w:p w:rsidR="006E32D5" w:rsidRDefault="006E32D5" w:rsidP="00B1104C">
      <w:pPr>
        <w:jc w:val="center"/>
        <w:rPr>
          <w:rFonts w:cs="Times New Roman"/>
          <w:sz w:val="48"/>
          <w:szCs w:val="48"/>
        </w:rPr>
      </w:pPr>
    </w:p>
    <w:p w:rsidR="00B1104C" w:rsidRPr="00432C28" w:rsidRDefault="00B1104C" w:rsidP="00B1104C">
      <w:pPr>
        <w:jc w:val="center"/>
        <w:rPr>
          <w:rFonts w:cs="Times New Roman"/>
          <w:sz w:val="48"/>
          <w:szCs w:val="48"/>
        </w:rPr>
      </w:pPr>
      <w:r w:rsidRPr="00432C28">
        <w:rPr>
          <w:rFonts w:cs="Times New Roman"/>
          <w:sz w:val="48"/>
          <w:szCs w:val="48"/>
        </w:rPr>
        <w:t>Appendix 1</w:t>
      </w:r>
      <w:r>
        <w:rPr>
          <w:rFonts w:cs="Times New Roman"/>
          <w:sz w:val="48"/>
          <w:szCs w:val="48"/>
        </w:rPr>
        <w:t>1</w:t>
      </w:r>
    </w:p>
    <w:p w:rsidR="00B1104C" w:rsidRPr="00432C28" w:rsidRDefault="00B1104C" w:rsidP="00B1104C">
      <w:pPr>
        <w:jc w:val="center"/>
        <w:rPr>
          <w:rFonts w:cs="Times New Roman"/>
          <w:sz w:val="48"/>
          <w:szCs w:val="48"/>
        </w:rPr>
      </w:pPr>
      <w:r w:rsidRPr="00432C28">
        <w:rPr>
          <w:rFonts w:cs="Times New Roman"/>
          <w:sz w:val="48"/>
          <w:szCs w:val="48"/>
        </w:rPr>
        <w:t>C</w:t>
      </w:r>
      <w:r>
        <w:rPr>
          <w:rFonts w:cs="Times New Roman"/>
          <w:sz w:val="48"/>
          <w:szCs w:val="48"/>
        </w:rPr>
        <w:t>ommon Wealth</w:t>
      </w:r>
      <w:r w:rsidRPr="00432C28">
        <w:rPr>
          <w:rFonts w:cs="Times New Roman"/>
          <w:sz w:val="48"/>
          <w:szCs w:val="48"/>
        </w:rPr>
        <w:t>, Inc. Study</w:t>
      </w:r>
    </w:p>
    <w:p w:rsidR="00B1104C" w:rsidRPr="00432C28" w:rsidRDefault="00B1104C" w:rsidP="00B1104C">
      <w:pPr>
        <w:jc w:val="center"/>
        <w:rPr>
          <w:rFonts w:cs="Times New Roman"/>
          <w:sz w:val="48"/>
          <w:szCs w:val="48"/>
        </w:rPr>
      </w:pPr>
      <w:r>
        <w:rPr>
          <w:rFonts w:cs="Times New Roman"/>
          <w:sz w:val="48"/>
          <w:szCs w:val="48"/>
        </w:rPr>
        <w:t xml:space="preserve">Distribution </w:t>
      </w:r>
      <w:r w:rsidRPr="00432C28">
        <w:rPr>
          <w:rFonts w:cs="Times New Roman"/>
          <w:sz w:val="48"/>
          <w:szCs w:val="48"/>
        </w:rPr>
        <w:t>Efficiency</w:t>
      </w:r>
    </w:p>
    <w:p w:rsidR="00B1104C" w:rsidRPr="00432C28" w:rsidRDefault="00B1104C" w:rsidP="00B1104C">
      <w:pPr>
        <w:jc w:val="center"/>
        <w:rPr>
          <w:rFonts w:cs="Times New Roman"/>
          <w:szCs w:val="24"/>
        </w:rPr>
      </w:pPr>
    </w:p>
    <w:p w:rsidR="00B1104C" w:rsidRDefault="00B1104C" w:rsidP="00B1104C">
      <w:pPr>
        <w:ind w:left="630"/>
        <w:jc w:val="center"/>
        <w:rPr>
          <w:rFonts w:cs="Times New Roman"/>
          <w:szCs w:val="24"/>
        </w:rPr>
      </w:pPr>
      <w:r w:rsidRPr="00432C28">
        <w:rPr>
          <w:rFonts w:cs="Times New Roman"/>
          <w:szCs w:val="24"/>
        </w:rPr>
        <w:t>(Appendix 1</w:t>
      </w:r>
      <w:r>
        <w:rPr>
          <w:rFonts w:cs="Times New Roman"/>
          <w:szCs w:val="24"/>
        </w:rPr>
        <w:t>1</w:t>
      </w:r>
      <w:r w:rsidRPr="00432C28">
        <w:rPr>
          <w:rFonts w:cs="Times New Roman"/>
          <w:szCs w:val="24"/>
        </w:rPr>
        <w:t xml:space="preserve"> is voluminous and therefore provided on compact disc)</w:t>
      </w:r>
    </w:p>
    <w:p w:rsidR="00B1104C" w:rsidRDefault="00B1104C" w:rsidP="00B1104C">
      <w:pPr>
        <w:ind w:left="630"/>
        <w:jc w:val="center"/>
        <w:rPr>
          <w:rFonts w:cs="Times New Roman"/>
          <w:szCs w:val="24"/>
        </w:rPr>
      </w:pPr>
    </w:p>
    <w:p w:rsidR="008A54D7" w:rsidRDefault="008A54D7" w:rsidP="00B1104C">
      <w:pPr>
        <w:jc w:val="center"/>
        <w:rPr>
          <w:rFonts w:cs="Times New Roman"/>
          <w:sz w:val="48"/>
          <w:szCs w:val="48"/>
        </w:rPr>
      </w:pPr>
    </w:p>
    <w:p w:rsidR="008A54D7" w:rsidRDefault="008A54D7" w:rsidP="00B1104C">
      <w:pPr>
        <w:jc w:val="center"/>
        <w:rPr>
          <w:rFonts w:cs="Times New Roman"/>
          <w:sz w:val="48"/>
          <w:szCs w:val="48"/>
        </w:rPr>
      </w:pPr>
    </w:p>
    <w:p w:rsidR="008A54D7" w:rsidRDefault="008A54D7" w:rsidP="00B1104C">
      <w:pPr>
        <w:jc w:val="center"/>
        <w:rPr>
          <w:rFonts w:cs="Times New Roman"/>
          <w:sz w:val="48"/>
          <w:szCs w:val="48"/>
        </w:rPr>
      </w:pPr>
    </w:p>
    <w:p w:rsidR="008A54D7" w:rsidRDefault="008A54D7" w:rsidP="00B1104C">
      <w:pPr>
        <w:jc w:val="center"/>
        <w:rPr>
          <w:rFonts w:cs="Times New Roman"/>
          <w:sz w:val="48"/>
          <w:szCs w:val="48"/>
        </w:rPr>
      </w:pPr>
    </w:p>
    <w:p w:rsidR="008A54D7" w:rsidRDefault="008A54D7" w:rsidP="00B1104C">
      <w:pPr>
        <w:jc w:val="center"/>
        <w:rPr>
          <w:rFonts w:cs="Times New Roman"/>
          <w:sz w:val="48"/>
          <w:szCs w:val="48"/>
        </w:rPr>
      </w:pPr>
    </w:p>
    <w:p w:rsidR="008A54D7" w:rsidRDefault="008A54D7" w:rsidP="00B1104C">
      <w:pPr>
        <w:jc w:val="center"/>
        <w:rPr>
          <w:rFonts w:cs="Times New Roman"/>
          <w:sz w:val="48"/>
          <w:szCs w:val="48"/>
        </w:rPr>
      </w:pPr>
    </w:p>
    <w:p w:rsidR="008A54D7" w:rsidRDefault="008A54D7" w:rsidP="00B1104C">
      <w:pPr>
        <w:jc w:val="center"/>
        <w:rPr>
          <w:rFonts w:cs="Times New Roman"/>
          <w:sz w:val="48"/>
          <w:szCs w:val="48"/>
        </w:rPr>
      </w:pPr>
    </w:p>
    <w:p w:rsidR="008A54D7" w:rsidRDefault="008A54D7" w:rsidP="00B1104C">
      <w:pPr>
        <w:jc w:val="center"/>
        <w:rPr>
          <w:rFonts w:cs="Times New Roman"/>
          <w:sz w:val="48"/>
          <w:szCs w:val="48"/>
        </w:rPr>
      </w:pPr>
    </w:p>
    <w:p w:rsidR="008A54D7" w:rsidRDefault="008A54D7" w:rsidP="00B1104C">
      <w:pPr>
        <w:jc w:val="center"/>
        <w:rPr>
          <w:rFonts w:cs="Times New Roman"/>
          <w:sz w:val="48"/>
          <w:szCs w:val="48"/>
        </w:rPr>
      </w:pPr>
    </w:p>
    <w:p w:rsidR="008A54D7" w:rsidRDefault="008A54D7" w:rsidP="00B1104C">
      <w:pPr>
        <w:jc w:val="center"/>
        <w:rPr>
          <w:rFonts w:cs="Times New Roman"/>
          <w:sz w:val="48"/>
          <w:szCs w:val="48"/>
        </w:rPr>
      </w:pPr>
    </w:p>
    <w:p w:rsidR="008A54D7" w:rsidRDefault="008A54D7" w:rsidP="00B1104C">
      <w:pPr>
        <w:jc w:val="center"/>
        <w:rPr>
          <w:rFonts w:cs="Times New Roman"/>
          <w:sz w:val="48"/>
          <w:szCs w:val="48"/>
        </w:rPr>
      </w:pPr>
    </w:p>
    <w:p w:rsidR="008A54D7" w:rsidRDefault="008A54D7" w:rsidP="00B1104C">
      <w:pPr>
        <w:jc w:val="center"/>
        <w:rPr>
          <w:rFonts w:cs="Times New Roman"/>
          <w:sz w:val="48"/>
          <w:szCs w:val="48"/>
        </w:rPr>
      </w:pPr>
    </w:p>
    <w:p w:rsidR="008A54D7" w:rsidRDefault="008A54D7" w:rsidP="00B1104C">
      <w:pPr>
        <w:jc w:val="center"/>
        <w:rPr>
          <w:rFonts w:cs="Times New Roman"/>
          <w:sz w:val="48"/>
          <w:szCs w:val="48"/>
        </w:rPr>
      </w:pPr>
    </w:p>
    <w:p w:rsidR="008A54D7" w:rsidRDefault="008A54D7" w:rsidP="00B1104C">
      <w:pPr>
        <w:jc w:val="center"/>
        <w:rPr>
          <w:rFonts w:cs="Times New Roman"/>
          <w:sz w:val="48"/>
          <w:szCs w:val="48"/>
        </w:rPr>
      </w:pPr>
    </w:p>
    <w:p w:rsidR="008A54D7" w:rsidRDefault="008A54D7" w:rsidP="00B1104C">
      <w:pPr>
        <w:jc w:val="center"/>
        <w:rPr>
          <w:rFonts w:cs="Times New Roman"/>
          <w:sz w:val="48"/>
          <w:szCs w:val="48"/>
        </w:rPr>
      </w:pPr>
    </w:p>
    <w:p w:rsidR="006E32D5" w:rsidRDefault="006E32D5" w:rsidP="00B1104C">
      <w:pPr>
        <w:jc w:val="center"/>
        <w:rPr>
          <w:rFonts w:cs="Times New Roman"/>
          <w:sz w:val="48"/>
          <w:szCs w:val="48"/>
        </w:rPr>
      </w:pPr>
    </w:p>
    <w:p w:rsidR="006E32D5" w:rsidRDefault="006E32D5" w:rsidP="00B1104C">
      <w:pPr>
        <w:jc w:val="center"/>
        <w:rPr>
          <w:rFonts w:cs="Times New Roman"/>
          <w:sz w:val="48"/>
          <w:szCs w:val="48"/>
        </w:rPr>
      </w:pPr>
    </w:p>
    <w:p w:rsidR="006E32D5" w:rsidRDefault="006E32D5" w:rsidP="00B1104C">
      <w:pPr>
        <w:jc w:val="center"/>
        <w:rPr>
          <w:rFonts w:cs="Times New Roman"/>
          <w:sz w:val="48"/>
          <w:szCs w:val="48"/>
        </w:rPr>
      </w:pPr>
    </w:p>
    <w:p w:rsidR="006E32D5" w:rsidRDefault="006E32D5" w:rsidP="00B1104C">
      <w:pPr>
        <w:jc w:val="center"/>
        <w:rPr>
          <w:rFonts w:cs="Times New Roman"/>
          <w:sz w:val="48"/>
          <w:szCs w:val="48"/>
        </w:rPr>
      </w:pPr>
    </w:p>
    <w:p w:rsidR="006E32D5" w:rsidRDefault="006E32D5" w:rsidP="00B1104C">
      <w:pPr>
        <w:jc w:val="center"/>
        <w:rPr>
          <w:rFonts w:cs="Times New Roman"/>
          <w:sz w:val="48"/>
          <w:szCs w:val="48"/>
        </w:rPr>
      </w:pPr>
    </w:p>
    <w:p w:rsidR="00B1104C" w:rsidRPr="00432C28" w:rsidRDefault="00B1104C" w:rsidP="00B1104C">
      <w:pPr>
        <w:jc w:val="center"/>
        <w:rPr>
          <w:rFonts w:cs="Times New Roman"/>
          <w:sz w:val="48"/>
          <w:szCs w:val="48"/>
        </w:rPr>
      </w:pPr>
      <w:r w:rsidRPr="00432C28">
        <w:rPr>
          <w:rFonts w:cs="Times New Roman"/>
          <w:sz w:val="48"/>
          <w:szCs w:val="48"/>
        </w:rPr>
        <w:t>Appendix 1</w:t>
      </w:r>
      <w:r>
        <w:rPr>
          <w:rFonts w:cs="Times New Roman"/>
          <w:sz w:val="48"/>
          <w:szCs w:val="48"/>
        </w:rPr>
        <w:t>2</w:t>
      </w:r>
    </w:p>
    <w:p w:rsidR="00B1104C" w:rsidRPr="00432C28" w:rsidRDefault="00B1104C" w:rsidP="00B1104C">
      <w:pPr>
        <w:jc w:val="center"/>
        <w:rPr>
          <w:rFonts w:cs="Times New Roman"/>
          <w:sz w:val="48"/>
          <w:szCs w:val="48"/>
        </w:rPr>
      </w:pPr>
      <w:r>
        <w:rPr>
          <w:rFonts w:cs="Times New Roman"/>
          <w:sz w:val="48"/>
          <w:szCs w:val="48"/>
        </w:rPr>
        <w:t>Navigant Consulting</w:t>
      </w:r>
      <w:r w:rsidRPr="00432C28">
        <w:rPr>
          <w:rFonts w:cs="Times New Roman"/>
          <w:sz w:val="48"/>
          <w:szCs w:val="48"/>
        </w:rPr>
        <w:t>, Inc. Study</w:t>
      </w:r>
    </w:p>
    <w:p w:rsidR="00B1104C" w:rsidRPr="00432C28" w:rsidRDefault="00B1104C" w:rsidP="00B1104C">
      <w:pPr>
        <w:jc w:val="center"/>
        <w:rPr>
          <w:rFonts w:cs="Times New Roman"/>
          <w:sz w:val="48"/>
          <w:szCs w:val="48"/>
        </w:rPr>
      </w:pPr>
      <w:r>
        <w:rPr>
          <w:rFonts w:cs="Times New Roman"/>
          <w:sz w:val="48"/>
          <w:szCs w:val="48"/>
        </w:rPr>
        <w:t>High-</w:t>
      </w:r>
      <w:r w:rsidRPr="00432C28">
        <w:rPr>
          <w:rFonts w:cs="Times New Roman"/>
          <w:sz w:val="48"/>
          <w:szCs w:val="48"/>
        </w:rPr>
        <w:t>Efficiency</w:t>
      </w:r>
      <w:r>
        <w:rPr>
          <w:rFonts w:cs="Times New Roman"/>
          <w:sz w:val="48"/>
          <w:szCs w:val="48"/>
        </w:rPr>
        <w:t xml:space="preserve"> Cogeneration</w:t>
      </w:r>
    </w:p>
    <w:p w:rsidR="00B1104C" w:rsidRPr="00432C28" w:rsidRDefault="00B1104C" w:rsidP="00B1104C">
      <w:pPr>
        <w:jc w:val="center"/>
        <w:rPr>
          <w:rFonts w:cs="Times New Roman"/>
          <w:szCs w:val="24"/>
        </w:rPr>
      </w:pPr>
    </w:p>
    <w:p w:rsidR="00B1104C" w:rsidRPr="00432C28" w:rsidRDefault="00B1104C" w:rsidP="00B1104C">
      <w:pPr>
        <w:ind w:left="630"/>
        <w:jc w:val="center"/>
        <w:rPr>
          <w:rFonts w:cs="Times New Roman"/>
          <w:sz w:val="48"/>
          <w:szCs w:val="48"/>
        </w:rPr>
      </w:pPr>
      <w:r w:rsidRPr="00432C28">
        <w:rPr>
          <w:rFonts w:cs="Times New Roman"/>
          <w:szCs w:val="24"/>
        </w:rPr>
        <w:t>(Appendix 1</w:t>
      </w:r>
      <w:r>
        <w:rPr>
          <w:rFonts w:cs="Times New Roman"/>
          <w:szCs w:val="24"/>
        </w:rPr>
        <w:t>2</w:t>
      </w:r>
      <w:r w:rsidRPr="00432C28">
        <w:rPr>
          <w:rFonts w:cs="Times New Roman"/>
          <w:szCs w:val="24"/>
        </w:rPr>
        <w:t xml:space="preserve"> is voluminous and therefore provided on compact disc)</w:t>
      </w:r>
    </w:p>
    <w:p w:rsidR="00B1104C" w:rsidRPr="00432C28" w:rsidRDefault="00B1104C" w:rsidP="00B1104C">
      <w:pPr>
        <w:ind w:left="630"/>
        <w:jc w:val="center"/>
        <w:rPr>
          <w:rFonts w:cs="Times New Roman"/>
          <w:sz w:val="48"/>
          <w:szCs w:val="48"/>
        </w:rPr>
      </w:pPr>
    </w:p>
    <w:p w:rsidR="00B1104C" w:rsidRPr="00432C28" w:rsidRDefault="00B1104C" w:rsidP="00370536">
      <w:pPr>
        <w:ind w:left="630"/>
        <w:jc w:val="center"/>
        <w:rPr>
          <w:rFonts w:cs="Times New Roman"/>
          <w:sz w:val="48"/>
          <w:szCs w:val="48"/>
        </w:rPr>
      </w:pPr>
    </w:p>
    <w:sectPr w:rsidR="00B1104C" w:rsidRPr="00432C28" w:rsidSect="00640911">
      <w:headerReference w:type="even" r:id="rId70"/>
      <w:headerReference w:type="default" r:id="rId71"/>
      <w:footerReference w:type="default" r:id="rId72"/>
      <w:headerReference w:type="first" r:id="rId73"/>
      <w:type w:val="continuous"/>
      <w:pgSz w:w="12240" w:h="15840"/>
      <w:pgMar w:top="720" w:right="720" w:bottom="720" w:left="720"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FF2" w:rsidRDefault="00B12FF2" w:rsidP="00860484">
      <w:r>
        <w:separator/>
      </w:r>
    </w:p>
  </w:endnote>
  <w:endnote w:type="continuationSeparator" w:id="0">
    <w:p w:rsidR="00B12FF2" w:rsidRDefault="00B12FF2" w:rsidP="00860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ymbolMT">
    <w:altName w:val="MS Mincho"/>
    <w:panose1 w:val="00000000000000000000"/>
    <w:charset w:val="80"/>
    <w:family w:val="auto"/>
    <w:notTrueType/>
    <w:pitch w:val="default"/>
    <w:sig w:usb0="00000001" w:usb1="08070000" w:usb2="00000010" w:usb3="00000000" w:csb0="00020000" w:csb1="00000000"/>
  </w:font>
  <w:font w:name="Wingdings 2">
    <w:altName w:val="Wingdings"/>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FF2" w:rsidRDefault="00B12FF2">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8358309"/>
      <w:docPartObj>
        <w:docPartGallery w:val="Page Numbers (Bottom of Page)"/>
        <w:docPartUnique/>
      </w:docPartObj>
    </w:sdtPr>
    <w:sdtEndPr/>
    <w:sdtContent>
      <w:sdt>
        <w:sdtPr>
          <w:id w:val="928358310"/>
          <w:docPartObj>
            <w:docPartGallery w:val="Page Numbers (Bottom of Page)"/>
            <w:docPartUnique/>
          </w:docPartObj>
        </w:sdtPr>
        <w:sdtEndPr>
          <w:rPr>
            <w:rFonts w:cs="Times New Roman"/>
            <w:szCs w:val="24"/>
          </w:rPr>
        </w:sdtEndPr>
        <w:sdtContent>
          <w:p w:rsidR="00B12FF2" w:rsidRDefault="00B12FF2" w:rsidP="00DE071F">
            <w:pPr>
              <w:pStyle w:val="Footer"/>
              <w:jc w:val="center"/>
              <w:rPr>
                <w:rFonts w:cs="Times New Roman"/>
                <w:szCs w:val="24"/>
              </w:rPr>
            </w:pPr>
            <w:r w:rsidRPr="005F6A2E">
              <w:rPr>
                <w:rFonts w:cs="Times New Roman"/>
                <w:szCs w:val="24"/>
              </w:rPr>
              <w:t>A</w:t>
            </w:r>
            <w:r>
              <w:rPr>
                <w:rFonts w:cs="Times New Roman"/>
                <w:szCs w:val="24"/>
              </w:rPr>
              <w:t>8</w:t>
            </w:r>
            <w:r w:rsidRPr="005F6A2E">
              <w:rPr>
                <w:rFonts w:cs="Times New Roman"/>
                <w:szCs w:val="24"/>
              </w:rPr>
              <w:t>-</w:t>
            </w:r>
            <w:r>
              <w:fldChar w:fldCharType="begin"/>
            </w:r>
            <w:r>
              <w:instrText xml:space="preserve"> PAGE   \* MERGEFORMAT </w:instrText>
            </w:r>
            <w:r>
              <w:fldChar w:fldCharType="separate"/>
            </w:r>
            <w:r w:rsidR="0091731F" w:rsidRPr="0091731F">
              <w:rPr>
                <w:rFonts w:cs="Times New Roman"/>
                <w:noProof/>
                <w:szCs w:val="24"/>
              </w:rPr>
              <w:t>2</w:t>
            </w:r>
            <w:r>
              <w:rPr>
                <w:rFonts w:cs="Times New Roman"/>
                <w:noProof/>
                <w:szCs w:val="24"/>
              </w:rPr>
              <w:fldChar w:fldCharType="end"/>
            </w:r>
          </w:p>
        </w:sdtContent>
      </w:sdt>
      <w:p w:rsidR="00B12FF2" w:rsidRDefault="0091731F" w:rsidP="00DE071F"/>
    </w:sdtContent>
  </w:sdt>
  <w:p w:rsidR="00B12FF2" w:rsidRDefault="00B12FF2" w:rsidP="00DE071F"/>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FF2" w:rsidRPr="00BE4B3E" w:rsidRDefault="00B12FF2" w:rsidP="007B5401">
    <w:pPr>
      <w:pStyle w:val="Footer"/>
      <w:framePr w:wrap="around" w:vAnchor="text" w:hAnchor="margin" w:xAlign="right" w:y="1"/>
      <w:rPr>
        <w:rStyle w:val="PageNumber"/>
        <w:rFonts w:cs="Arial"/>
      </w:rPr>
    </w:pPr>
    <w:r>
      <w:rPr>
        <w:rStyle w:val="PageNumber"/>
      </w:rPr>
      <w:fldChar w:fldCharType="begin"/>
    </w:r>
    <w:r>
      <w:rPr>
        <w:rStyle w:val="PageNumber"/>
      </w:rPr>
      <w:instrText xml:space="preserve">PAGE  </w:instrText>
    </w:r>
    <w:r>
      <w:rPr>
        <w:rStyle w:val="PageNumber"/>
      </w:rPr>
      <w:fldChar w:fldCharType="end"/>
    </w:r>
  </w:p>
  <w:p w:rsidR="00B12FF2" w:rsidRPr="00BE4B3E" w:rsidRDefault="00B12FF2" w:rsidP="007B5401">
    <w:pPr>
      <w:pStyle w:val="Footer"/>
      <w:ind w:right="360"/>
      <w:rPr>
        <w:rFonts w:cs="Arial"/>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FF2" w:rsidRDefault="00B12FF2">
    <w:pPr>
      <w:pStyle w:val="Footer"/>
      <w:jc w:val="center"/>
    </w:pPr>
  </w:p>
  <w:p w:rsidR="00B12FF2" w:rsidRPr="00E413A2" w:rsidRDefault="00B12FF2" w:rsidP="007B5401">
    <w:pPr>
      <w:tabs>
        <w:tab w:val="right" w:pos="9090"/>
      </w:tabs>
      <w:ind w:right="360"/>
      <w:rPr>
        <w:rFonts w:cs="Arial"/>
        <w:color w:val="0092D2"/>
        <w:sz w:val="20"/>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7095978"/>
      <w:docPartObj>
        <w:docPartGallery w:val="Page Numbers (Bottom of Page)"/>
        <w:docPartUnique/>
      </w:docPartObj>
    </w:sdtPr>
    <w:sdtEndPr>
      <w:rPr>
        <w:noProof/>
      </w:rPr>
    </w:sdtEndPr>
    <w:sdtContent>
      <w:p w:rsidR="00B12FF2" w:rsidRDefault="00B12FF2">
        <w:pPr>
          <w:pStyle w:val="Footer"/>
          <w:jc w:val="center"/>
        </w:pPr>
        <w:r>
          <w:fldChar w:fldCharType="begin"/>
        </w:r>
        <w:r>
          <w:instrText xml:space="preserve"> PAGE   \* MERGEFORMAT </w:instrText>
        </w:r>
        <w:r>
          <w:fldChar w:fldCharType="separate"/>
        </w:r>
        <w:r w:rsidR="0091731F">
          <w:rPr>
            <w:noProof/>
          </w:rPr>
          <w:t>3</w:t>
        </w:r>
        <w:r>
          <w:rPr>
            <w:noProof/>
          </w:rPr>
          <w:fldChar w:fldCharType="end"/>
        </w:r>
      </w:p>
    </w:sdtContent>
  </w:sdt>
  <w:p w:rsidR="00B12FF2" w:rsidRPr="004000DE" w:rsidRDefault="00B12FF2" w:rsidP="00640911">
    <w:pPr>
      <w:jc w:val="right"/>
      <w:rPr>
        <w:rFonts w:cs="Arial"/>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FF2" w:rsidRDefault="00B12FF2">
    <w:pPr>
      <w:pStyle w:val="Footer"/>
      <w:jc w:val="center"/>
    </w:pPr>
  </w:p>
  <w:p w:rsidR="00B12FF2" w:rsidRDefault="00B12FF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2223988"/>
      <w:docPartObj>
        <w:docPartGallery w:val="Page Numbers (Bottom of Page)"/>
        <w:docPartUnique/>
      </w:docPartObj>
    </w:sdtPr>
    <w:sdtEndPr/>
    <w:sdtContent>
      <w:p w:rsidR="00B12FF2" w:rsidRDefault="00B12FF2">
        <w:pPr>
          <w:pStyle w:val="Footer"/>
          <w:jc w:val="center"/>
        </w:pPr>
        <w:r>
          <w:fldChar w:fldCharType="begin"/>
        </w:r>
        <w:r>
          <w:instrText xml:space="preserve"> PAGE   \* MERGEFORMAT </w:instrText>
        </w:r>
        <w:r>
          <w:fldChar w:fldCharType="separate"/>
        </w:r>
        <w:r w:rsidR="0091731F">
          <w:rPr>
            <w:noProof/>
          </w:rPr>
          <w:t>1</w:t>
        </w:r>
        <w:r>
          <w:rPr>
            <w:noProof/>
          </w:rPr>
          <w:fldChar w:fldCharType="end"/>
        </w:r>
      </w:p>
    </w:sdtContent>
  </w:sdt>
  <w:p w:rsidR="00B12FF2" w:rsidRDefault="00B12F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FF2" w:rsidRDefault="00B12FF2" w:rsidP="005F6A2E">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8358298"/>
      <w:docPartObj>
        <w:docPartGallery w:val="Page Numbers (Bottom of Page)"/>
        <w:docPartUnique/>
      </w:docPartObj>
    </w:sdtPr>
    <w:sdtEndPr/>
    <w:sdtContent>
      <w:p w:rsidR="00B12FF2" w:rsidRDefault="00B12FF2">
        <w:pPr>
          <w:pStyle w:val="Footer"/>
          <w:jc w:val="center"/>
        </w:pPr>
        <w:r>
          <w:t>A1-</w:t>
        </w:r>
        <w:r>
          <w:fldChar w:fldCharType="begin"/>
        </w:r>
        <w:r>
          <w:instrText xml:space="preserve"> PAGE   \* MERGEFORMAT </w:instrText>
        </w:r>
        <w:r>
          <w:fldChar w:fldCharType="separate"/>
        </w:r>
        <w:r w:rsidR="0091731F">
          <w:rPr>
            <w:noProof/>
          </w:rPr>
          <w:t>1</w:t>
        </w:r>
        <w:r>
          <w:rPr>
            <w:noProof/>
          </w:rPr>
          <w:fldChar w:fldCharType="end"/>
        </w:r>
      </w:p>
    </w:sdtContent>
  </w:sdt>
  <w:p w:rsidR="00B12FF2" w:rsidRDefault="00B12FF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8358299"/>
      <w:docPartObj>
        <w:docPartGallery w:val="Page Numbers (Bottom of Page)"/>
        <w:docPartUnique/>
      </w:docPartObj>
    </w:sdtPr>
    <w:sdtEndPr>
      <w:rPr>
        <w:rFonts w:cs="Times New Roman"/>
        <w:szCs w:val="24"/>
      </w:rPr>
    </w:sdtEndPr>
    <w:sdtContent>
      <w:p w:rsidR="00B12FF2" w:rsidRDefault="00B12FF2">
        <w:pPr>
          <w:pStyle w:val="Footer"/>
          <w:jc w:val="center"/>
        </w:pPr>
        <w:r w:rsidRPr="005F6A2E">
          <w:rPr>
            <w:rFonts w:cs="Times New Roman"/>
            <w:szCs w:val="24"/>
          </w:rPr>
          <w:t>A2-</w:t>
        </w:r>
        <w:r>
          <w:fldChar w:fldCharType="begin"/>
        </w:r>
        <w:r>
          <w:instrText xml:space="preserve"> PAGE   \* MERGEFORMAT </w:instrText>
        </w:r>
        <w:r>
          <w:fldChar w:fldCharType="separate"/>
        </w:r>
        <w:r w:rsidR="0091731F" w:rsidRPr="0091731F">
          <w:rPr>
            <w:rFonts w:cs="Times New Roman"/>
            <w:noProof/>
            <w:szCs w:val="24"/>
          </w:rPr>
          <w:t>1</w:t>
        </w:r>
        <w:r>
          <w:rPr>
            <w:rFonts w:cs="Times New Roman"/>
            <w:noProof/>
            <w:szCs w:val="24"/>
          </w:rPr>
          <w:fldChar w:fldCharType="end"/>
        </w:r>
      </w:p>
    </w:sdtContent>
  </w:sdt>
  <w:p w:rsidR="00B12FF2" w:rsidRDefault="00B12FF2">
    <w:pPr>
      <w:pStyle w:val="Footer"/>
    </w:pPr>
  </w:p>
  <w:p w:rsidR="00B12FF2" w:rsidRDefault="00B12FF2"/>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8358300"/>
      <w:docPartObj>
        <w:docPartGallery w:val="Page Numbers (Bottom of Page)"/>
        <w:docPartUnique/>
      </w:docPartObj>
    </w:sdtPr>
    <w:sdtEndPr>
      <w:rPr>
        <w:rFonts w:cs="Times New Roman"/>
        <w:szCs w:val="24"/>
      </w:rPr>
    </w:sdtEndPr>
    <w:sdtContent>
      <w:p w:rsidR="00B12FF2" w:rsidRDefault="00B12FF2">
        <w:pPr>
          <w:pStyle w:val="Footer"/>
          <w:jc w:val="center"/>
        </w:pPr>
        <w:r w:rsidRPr="005F6A2E">
          <w:rPr>
            <w:rFonts w:cs="Times New Roman"/>
            <w:szCs w:val="24"/>
          </w:rPr>
          <w:t>A</w:t>
        </w:r>
        <w:r>
          <w:rPr>
            <w:rFonts w:cs="Times New Roman"/>
            <w:szCs w:val="24"/>
          </w:rPr>
          <w:t>3</w:t>
        </w:r>
        <w:r w:rsidRPr="005F6A2E">
          <w:rPr>
            <w:rFonts w:cs="Times New Roman"/>
            <w:szCs w:val="24"/>
          </w:rPr>
          <w:t>-</w:t>
        </w:r>
        <w:r>
          <w:fldChar w:fldCharType="begin"/>
        </w:r>
        <w:r>
          <w:instrText xml:space="preserve"> PAGE   \* MERGEFORMAT </w:instrText>
        </w:r>
        <w:r>
          <w:fldChar w:fldCharType="separate"/>
        </w:r>
        <w:r w:rsidR="0091731F" w:rsidRPr="0091731F">
          <w:rPr>
            <w:rFonts w:cs="Times New Roman"/>
            <w:noProof/>
            <w:szCs w:val="24"/>
          </w:rPr>
          <w:t>11</w:t>
        </w:r>
        <w:r>
          <w:rPr>
            <w:rFonts w:cs="Times New Roman"/>
            <w:noProof/>
            <w:szCs w:val="24"/>
          </w:rPr>
          <w:fldChar w:fldCharType="end"/>
        </w:r>
      </w:p>
    </w:sdtContent>
  </w:sdt>
  <w:p w:rsidR="00B12FF2" w:rsidRDefault="00B12FF2">
    <w:pPr>
      <w:pStyle w:val="Footer"/>
    </w:pPr>
  </w:p>
  <w:p w:rsidR="00B12FF2" w:rsidRDefault="00B12FF2"/>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FF2" w:rsidRDefault="00B12FF2">
    <w:pPr>
      <w:pStyle w:val="Footer"/>
      <w:jc w:val="center"/>
    </w:pPr>
    <w:r>
      <w:t>A4-</w:t>
    </w:r>
    <w:sdt>
      <w:sdtPr>
        <w:id w:val="485698426"/>
        <w:docPartObj>
          <w:docPartGallery w:val="Page Numbers (Bottom of Page)"/>
          <w:docPartUnique/>
        </w:docPartObj>
      </w:sdtPr>
      <w:sdtEndPr/>
      <w:sdtContent>
        <w:r>
          <w:fldChar w:fldCharType="begin"/>
        </w:r>
        <w:r>
          <w:instrText xml:space="preserve"> PAGE   \* MERGEFORMAT </w:instrText>
        </w:r>
        <w:r>
          <w:fldChar w:fldCharType="separate"/>
        </w:r>
        <w:r w:rsidR="0091731F">
          <w:rPr>
            <w:noProof/>
          </w:rPr>
          <w:t>8</w:t>
        </w:r>
        <w:r>
          <w:rPr>
            <w:noProof/>
          </w:rPr>
          <w:fldChar w:fldCharType="end"/>
        </w:r>
      </w:sdtContent>
    </w:sdt>
  </w:p>
  <w:p w:rsidR="00B12FF2" w:rsidRDefault="00B12FF2"/>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FF2" w:rsidRDefault="00B12FF2">
    <w:pPr>
      <w:pStyle w:val="Footer"/>
      <w:jc w:val="center"/>
    </w:pPr>
    <w:r>
      <w:t>A5-</w:t>
    </w:r>
    <w:sdt>
      <w:sdtPr>
        <w:id w:val="485698456"/>
        <w:docPartObj>
          <w:docPartGallery w:val="Page Numbers (Bottom of Page)"/>
          <w:docPartUnique/>
        </w:docPartObj>
      </w:sdtPr>
      <w:sdtEndPr/>
      <w:sdtContent>
        <w:r>
          <w:fldChar w:fldCharType="begin"/>
        </w:r>
        <w:r>
          <w:instrText xml:space="preserve"> PAGE   \* MERGEFORMAT </w:instrText>
        </w:r>
        <w:r>
          <w:fldChar w:fldCharType="separate"/>
        </w:r>
        <w:r w:rsidR="0091731F">
          <w:rPr>
            <w:noProof/>
          </w:rPr>
          <w:t>13</w:t>
        </w:r>
        <w:r>
          <w:rPr>
            <w:noProof/>
          </w:rPr>
          <w:fldChar w:fldCharType="end"/>
        </w:r>
      </w:sdtContent>
    </w:sdt>
  </w:p>
  <w:p w:rsidR="00B12FF2" w:rsidRDefault="00B12FF2"/>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FF2" w:rsidRDefault="00B12FF2">
    <w:pPr>
      <w:pStyle w:val="Footer"/>
      <w:jc w:val="center"/>
    </w:pPr>
    <w:r>
      <w:t>A7-</w:t>
    </w:r>
    <w:sdt>
      <w:sdtPr>
        <w:id w:val="485698459"/>
        <w:docPartObj>
          <w:docPartGallery w:val="Page Numbers (Bottom of Page)"/>
          <w:docPartUnique/>
        </w:docPartObj>
      </w:sdtPr>
      <w:sdtEndPr/>
      <w:sdtContent>
        <w:r>
          <w:fldChar w:fldCharType="begin"/>
        </w:r>
        <w:r>
          <w:instrText xml:space="preserve"> PAGE   \* MERGEFORMAT </w:instrText>
        </w:r>
        <w:r>
          <w:fldChar w:fldCharType="separate"/>
        </w:r>
        <w:r w:rsidR="0091731F">
          <w:rPr>
            <w:noProof/>
          </w:rPr>
          <w:t>2</w:t>
        </w:r>
        <w:r>
          <w:rPr>
            <w:noProof/>
          </w:rPr>
          <w:fldChar w:fldCharType="end"/>
        </w:r>
      </w:sdtContent>
    </w:sdt>
  </w:p>
  <w:p w:rsidR="00B12FF2" w:rsidRDefault="00B12FF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FF2" w:rsidRDefault="00B12FF2" w:rsidP="00860484">
      <w:r>
        <w:separator/>
      </w:r>
    </w:p>
  </w:footnote>
  <w:footnote w:type="continuationSeparator" w:id="0">
    <w:p w:rsidR="00B12FF2" w:rsidRDefault="00B12FF2" w:rsidP="00860484">
      <w:r>
        <w:continuationSeparator/>
      </w:r>
    </w:p>
  </w:footnote>
  <w:footnote w:id="1">
    <w:p w:rsidR="00B12FF2" w:rsidRDefault="00B12FF2">
      <w:pPr>
        <w:pStyle w:val="FootnoteText"/>
      </w:pPr>
      <w:r>
        <w:rPr>
          <w:rStyle w:val="FootnoteReference"/>
        </w:rPr>
        <w:footnoteRef/>
      </w:r>
      <w:r>
        <w:t xml:space="preserve"> WAC 480-109-100 (2).</w:t>
      </w:r>
    </w:p>
  </w:footnote>
  <w:footnote w:id="2">
    <w:p w:rsidR="00B12FF2" w:rsidRDefault="00B12FF2">
      <w:pPr>
        <w:pStyle w:val="FootnoteText"/>
      </w:pPr>
      <w:r>
        <w:rPr>
          <w:rStyle w:val="FootnoteReference"/>
        </w:rPr>
        <w:footnoteRef/>
      </w:r>
      <w:r>
        <w:t xml:space="preserve"> WAC 480-109 revised rules became effective April 12, 2015, 30 days after approval. </w:t>
      </w:r>
    </w:p>
  </w:footnote>
  <w:footnote w:id="3">
    <w:p w:rsidR="00B12FF2" w:rsidRDefault="00B12FF2">
      <w:pPr>
        <w:pStyle w:val="FootnoteText"/>
      </w:pPr>
      <w:r>
        <w:rPr>
          <w:rStyle w:val="FootnoteReference"/>
        </w:rPr>
        <w:footnoteRef/>
      </w:r>
      <w:r>
        <w:t xml:space="preserve"> </w:t>
      </w:r>
      <w:r w:rsidRPr="00B5757C">
        <w:t>Docket UE-</w:t>
      </w:r>
      <w:r>
        <w:t xml:space="preserve">132047, Order 01, Attachment A, </w:t>
      </w:r>
      <w:r w:rsidRPr="00B5757C">
        <w:t>Section 8(</w:t>
      </w:r>
      <w:r>
        <w:t>d</w:t>
      </w:r>
      <w:r w:rsidRPr="00B5757C">
        <w:t>)</w:t>
      </w:r>
      <w:r>
        <w:t xml:space="preserve"> and WAC 480-109-100 (2).</w:t>
      </w:r>
    </w:p>
  </w:footnote>
  <w:footnote w:id="4">
    <w:p w:rsidR="00B12FF2" w:rsidRDefault="00B12FF2">
      <w:pPr>
        <w:pStyle w:val="FootnoteText"/>
      </w:pPr>
      <w:r>
        <w:rPr>
          <w:rStyle w:val="FootnoteReference"/>
        </w:rPr>
        <w:footnoteRef/>
      </w:r>
      <w:r>
        <w:t xml:space="preserve"> WAC 480-109-100 (2) (a) through (c).</w:t>
      </w:r>
    </w:p>
  </w:footnote>
  <w:footnote w:id="5">
    <w:p w:rsidR="00B12FF2" w:rsidRDefault="00B12FF2" w:rsidP="002F1090">
      <w:pPr>
        <w:pStyle w:val="FootnoteText"/>
      </w:pPr>
      <w:r w:rsidRPr="008C15B9">
        <w:rPr>
          <w:rStyle w:val="FootnoteReference"/>
          <w:rFonts w:eastAsia="Cambria"/>
        </w:rPr>
        <w:footnoteRef/>
      </w:r>
      <w:r w:rsidRPr="008C15B9">
        <w:t xml:space="preserve"> This </w:t>
      </w:r>
      <w:r>
        <w:t>study</w:t>
      </w:r>
      <w:r w:rsidRPr="008C15B9">
        <w:t xml:space="preserve">, prepared by The </w:t>
      </w:r>
      <w:r>
        <w:t xml:space="preserve">Applied Energy Group (AEG), </w:t>
      </w:r>
      <w:r w:rsidRPr="008C15B9">
        <w:t xml:space="preserve">is included as Appendix </w:t>
      </w:r>
      <w:r>
        <w:t>2</w:t>
      </w:r>
      <w:r w:rsidRPr="008C15B9">
        <w:t xml:space="preserve"> </w:t>
      </w:r>
      <w:r>
        <w:t>to</w:t>
      </w:r>
      <w:r w:rsidRPr="008C15B9">
        <w:t xml:space="preserve"> this </w:t>
      </w:r>
      <w:r>
        <w:t>report. The study</w:t>
      </w:r>
      <w:r w:rsidRPr="008C15B9">
        <w:t xml:space="preserve"> is also available at </w:t>
      </w:r>
      <w:hyperlink r:id="rId1" w:history="1">
        <w:r w:rsidRPr="008875C9">
          <w:rPr>
            <w:rStyle w:val="Hyperlink"/>
            <w:rFonts w:eastAsia="Cambria"/>
          </w:rPr>
          <w:t>http://www.pacificorp.com/es/dsm.html</w:t>
        </w:r>
      </w:hyperlink>
      <w:r w:rsidRPr="008C15B9">
        <w:t xml:space="preserve">.  The </w:t>
      </w:r>
      <w:r>
        <w:t>study</w:t>
      </w:r>
      <w:r w:rsidRPr="008C15B9">
        <w:t xml:space="preserve"> contains the most accurate assessment of conservation potential available in PacifiCorp’s service territories to date. </w:t>
      </w:r>
    </w:p>
  </w:footnote>
  <w:footnote w:id="6">
    <w:p w:rsidR="00B12FF2" w:rsidRDefault="00B12FF2">
      <w:pPr>
        <w:pStyle w:val="FootnoteText"/>
      </w:pPr>
      <w:r>
        <w:rPr>
          <w:rStyle w:val="FootnoteReference"/>
        </w:rPr>
        <w:footnoteRef/>
      </w:r>
      <w:r>
        <w:t xml:space="preserve"> This study, prepared by Navigant Consulting, is included as Appendix 12 to this report. The study is also available at </w:t>
      </w:r>
      <w:r w:rsidRPr="00346AC3">
        <w:t>http://www.pacificorp.com/es/irp/irpsupport.html</w:t>
      </w:r>
      <w:r>
        <w:t xml:space="preserve">. </w:t>
      </w:r>
    </w:p>
  </w:footnote>
  <w:footnote w:id="7">
    <w:p w:rsidR="00B12FF2" w:rsidRDefault="00B12FF2">
      <w:pPr>
        <w:pStyle w:val="FootnoteText"/>
      </w:pPr>
      <w:r>
        <w:rPr>
          <w:rStyle w:val="FootnoteReference"/>
        </w:rPr>
        <w:footnoteRef/>
      </w:r>
      <w:r>
        <w:t xml:space="preserve"> Commonwealth Associates, Inc., PacifiCorp Washington service area, May, 2011. The study is included as Appendix 11 to this report. </w:t>
      </w:r>
    </w:p>
  </w:footnote>
  <w:footnote w:id="8">
    <w:p w:rsidR="00B12FF2" w:rsidRDefault="00B12FF2">
      <w:pPr>
        <w:pStyle w:val="FootnoteText"/>
      </w:pPr>
      <w:r>
        <w:rPr>
          <w:rStyle w:val="FootnoteReference"/>
        </w:rPr>
        <w:footnoteRef/>
      </w:r>
      <w:r>
        <w:t xml:space="preserve"> Seven studies conducted by Cascade Energy, Inc. between 2011 and 2012. These studies are included as Appendix 10 to this report. </w:t>
      </w:r>
    </w:p>
  </w:footnote>
  <w:footnote w:id="9">
    <w:p w:rsidR="00B12FF2" w:rsidRDefault="00B12FF2">
      <w:pPr>
        <w:pStyle w:val="FootnoteText"/>
      </w:pPr>
      <w:r>
        <w:rPr>
          <w:rStyle w:val="FootnoteReference"/>
        </w:rPr>
        <w:footnoteRef/>
      </w:r>
      <w:r>
        <w:t xml:space="preserve"> Aligning Company methodologies with those of the Council and RTF , accounting for West Control Area (WCA) cost allocation methodology adopted by Washington  for generating plant investments, plant ownership, plant maintenance schedules, economics, etc.</w:t>
      </w:r>
    </w:p>
  </w:footnote>
  <w:footnote w:id="10">
    <w:p w:rsidR="00B12FF2" w:rsidRDefault="00B12FF2">
      <w:pPr>
        <w:pStyle w:val="FootnoteText"/>
      </w:pPr>
      <w:r>
        <w:rPr>
          <w:rStyle w:val="FootnoteReference"/>
        </w:rPr>
        <w:footnoteRef/>
      </w:r>
      <w:r>
        <w:t xml:space="preserve"> Conservation potentials for end-use efficiency and behavioral programs are captured in the energy efficiency line in Table 1. </w:t>
      </w:r>
    </w:p>
  </w:footnote>
  <w:footnote w:id="11">
    <w:p w:rsidR="00B12FF2" w:rsidRDefault="00B12FF2">
      <w:pPr>
        <w:pStyle w:val="FootnoteText"/>
      </w:pPr>
      <w:r>
        <w:rPr>
          <w:rStyle w:val="FootnoteReference"/>
        </w:rPr>
        <w:footnoteRef/>
      </w:r>
      <w:r>
        <w:t xml:space="preserve"> WAC 480-109-060(19) defines “pro rata” as “means the calculation dividing the utility’s projected ten-year conservation potential into five equal proportions to establish the minimum biennial conservation target.”</w:t>
      </w:r>
    </w:p>
  </w:footnote>
  <w:footnote w:id="12">
    <w:p w:rsidR="00B12FF2" w:rsidRDefault="00B12FF2">
      <w:pPr>
        <w:pStyle w:val="FootnoteText"/>
      </w:pPr>
      <w:r>
        <w:rPr>
          <w:rStyle w:val="FootnoteReference"/>
        </w:rPr>
        <w:footnoteRef/>
      </w:r>
      <w:r>
        <w:t xml:space="preserve"> The Council’s 7</w:t>
      </w:r>
      <w:r w:rsidRPr="006C2546">
        <w:rPr>
          <w:vertAlign w:val="superscript"/>
        </w:rPr>
        <w:t>th</w:t>
      </w:r>
      <w:r>
        <w:t xml:space="preserve"> Plan was not available at the time the Conservation Potential Assessment was developed.</w:t>
      </w:r>
    </w:p>
  </w:footnote>
  <w:footnote w:id="13">
    <w:p w:rsidR="00B12FF2" w:rsidRDefault="00B12FF2" w:rsidP="004242C9">
      <w:pPr>
        <w:pStyle w:val="FootnoteText"/>
      </w:pPr>
      <w:r>
        <w:rPr>
          <w:rStyle w:val="FootnoteReference"/>
        </w:rPr>
        <w:footnoteRef/>
      </w:r>
      <w:r>
        <w:t xml:space="preserve"> The RTF routinely updates unit energy savings values as new information becomes available. Appendix G of the 2015 CPA presents the RTF values as of mid-2014 when the CPA measure development work was performed.</w:t>
      </w:r>
    </w:p>
  </w:footnote>
  <w:footnote w:id="14">
    <w:p w:rsidR="00B12FF2" w:rsidRDefault="00B12FF2">
      <w:pPr>
        <w:pStyle w:val="FootnoteText"/>
      </w:pPr>
      <w:r>
        <w:rPr>
          <w:rStyle w:val="FootnoteReference"/>
        </w:rPr>
        <w:footnoteRef/>
      </w:r>
      <w:r>
        <w:t xml:space="preserve"> Studies exclude an analysis of the Colstrip plant, the joint owner didn’t agree to a study or committing to efficiency upgrades at this time. </w:t>
      </w:r>
    </w:p>
  </w:footnote>
  <w:footnote w:id="15">
    <w:p w:rsidR="00B12FF2" w:rsidRDefault="00B12FF2">
      <w:pPr>
        <w:pStyle w:val="FootnoteText"/>
      </w:pPr>
      <w:r>
        <w:rPr>
          <w:rStyle w:val="FootnoteReference"/>
        </w:rPr>
        <w:footnoteRef/>
      </w:r>
      <w:r>
        <w:t xml:space="preserve"> Where costs and benefits are distributed on a system basis and recovery is through general rate cases.</w:t>
      </w:r>
    </w:p>
  </w:footnote>
  <w:footnote w:id="16">
    <w:p w:rsidR="00B12FF2" w:rsidRDefault="00B12FF2">
      <w:pPr>
        <w:pStyle w:val="FootnoteText"/>
      </w:pPr>
      <w:r>
        <w:rPr>
          <w:rStyle w:val="FootnoteReference"/>
        </w:rPr>
        <w:footnoteRef/>
      </w:r>
      <w:r>
        <w:t xml:space="preserve"> Fisher-Pry are researchers who studied the economics of “S-curves”, which describe how quickly products penetrate the market. Navigant codified their findings based on payback period, which measures how long it takes to recoup initial high first costs with energy savings over time.</w:t>
      </w:r>
    </w:p>
  </w:footnote>
  <w:footnote w:id="17">
    <w:p w:rsidR="00B12FF2" w:rsidRDefault="00B12FF2">
      <w:pPr>
        <w:pStyle w:val="FootnoteText"/>
      </w:pPr>
      <w:r>
        <w:rPr>
          <w:rStyle w:val="FootnoteReference"/>
        </w:rPr>
        <w:footnoteRef/>
      </w:r>
      <w:r>
        <w:t xml:space="preserve"> The Company’s CPA accounted for known changes in codes and standards, including those that had been enacted, but had not yet taken effect. See pages 3-6 through 3-8 in Volume 2 of the CPA report for a list of recent and upcoming changes in standards considered in the analysis.</w:t>
      </w:r>
    </w:p>
  </w:footnote>
  <w:footnote w:id="18">
    <w:p w:rsidR="00B12FF2" w:rsidRPr="001002D6" w:rsidRDefault="00B12FF2" w:rsidP="00C768D8">
      <w:pPr>
        <w:pStyle w:val="FootnoteText"/>
      </w:pPr>
      <w:r w:rsidRPr="00ED192E">
        <w:rPr>
          <w:rStyle w:val="FootnoteReference"/>
          <w:rFonts w:eastAsia="Cambria"/>
        </w:rPr>
        <w:footnoteRef/>
      </w:r>
      <w:r w:rsidRPr="00ED192E">
        <w:t xml:space="preserve"> Naturally occurring conservation refers to reductions in energy use that occur due to normal market forces, such as technological change, energy prices, market transformation efforts, and improved energy codes and standards.  </w:t>
      </w:r>
      <w:r>
        <w:t xml:space="preserve">The Company will report the savings achieved by NEEA, which include quantifiable savings from market transformation and improved energy codes and standards, however these savings will not count towards the achievement of the Company’s 2016-2017 biennial target.  </w:t>
      </w:r>
    </w:p>
  </w:footnote>
  <w:footnote w:id="19">
    <w:p w:rsidR="00B12FF2" w:rsidRDefault="00B12FF2">
      <w:pPr>
        <w:pStyle w:val="FootnoteText"/>
      </w:pPr>
      <w:r>
        <w:rPr>
          <w:rStyle w:val="FootnoteReference"/>
        </w:rPr>
        <w:footnoteRef/>
      </w:r>
      <w:r>
        <w:t xml:space="preserve"> Adjusted forecast is prior to an adjustment for the impact of NEEA in 2016-2017 as described in more detail later in this report.</w:t>
      </w:r>
    </w:p>
  </w:footnote>
  <w:footnote w:id="20">
    <w:p w:rsidR="00B12FF2" w:rsidRDefault="00B12FF2">
      <w:pPr>
        <w:pStyle w:val="FootnoteText"/>
      </w:pPr>
      <w:r>
        <w:rPr>
          <w:rStyle w:val="FootnoteReference"/>
        </w:rPr>
        <w:footnoteRef/>
      </w:r>
      <w:r>
        <w:t xml:space="preserve"> See 2015 IRP, Volume II, Appendix D, page 64. The 2015 IRP is attached as Appendix 1 to this report. </w:t>
      </w:r>
    </w:p>
  </w:footnote>
  <w:footnote w:id="21">
    <w:p w:rsidR="00B12FF2" w:rsidRDefault="00B12FF2">
      <w:pPr>
        <w:pStyle w:val="FootnoteText"/>
      </w:pPr>
      <w:r>
        <w:rPr>
          <w:rStyle w:val="FootnoteReference"/>
        </w:rPr>
        <w:footnoteRef/>
      </w:r>
      <w:r>
        <w:t xml:space="preserve"> See Chapter 7 of the Company’s 2015 IRP for more detailed discussion on how the System Optimizer and Planning and Risk models are used in the development of PacifiCorp’s IRP.</w:t>
      </w:r>
    </w:p>
  </w:footnote>
  <w:footnote w:id="22">
    <w:p w:rsidR="00B12FF2" w:rsidRDefault="00B12FF2" w:rsidP="0069241E">
      <w:pPr>
        <w:pStyle w:val="FootnoteText"/>
      </w:pPr>
      <w:r w:rsidRPr="0048150C">
        <w:rPr>
          <w:rStyle w:val="FootnoteReference"/>
        </w:rPr>
        <w:footnoteRef/>
      </w:r>
      <w:r w:rsidRPr="0048150C">
        <w:t xml:space="preserve"> </w:t>
      </w:r>
      <w:r>
        <w:t xml:space="preserve">2015 IRP  p. 124 </w:t>
      </w:r>
    </w:p>
  </w:footnote>
  <w:footnote w:id="23">
    <w:p w:rsidR="00B12FF2" w:rsidRDefault="00B12FF2" w:rsidP="0069241E">
      <w:pPr>
        <w:pStyle w:val="FootnoteText"/>
      </w:pPr>
      <w:r w:rsidRPr="00D5246A">
        <w:rPr>
          <w:rStyle w:val="FootnoteReference"/>
          <w:rFonts w:eastAsia="Cambria"/>
        </w:rPr>
        <w:footnoteRef/>
      </w:r>
      <w:r w:rsidRPr="00D5246A">
        <w:t xml:space="preserve"> The Company’s </w:t>
      </w:r>
      <w:r>
        <w:t>C</w:t>
      </w:r>
      <w:r w:rsidRPr="00D5246A">
        <w:t xml:space="preserve">onservation </w:t>
      </w:r>
      <w:r>
        <w:t>P</w:t>
      </w:r>
      <w:r w:rsidRPr="00D5246A">
        <w:t xml:space="preserve">otential </w:t>
      </w:r>
      <w:r>
        <w:t>A</w:t>
      </w:r>
      <w:r w:rsidRPr="00D5246A">
        <w:t xml:space="preserve">ssessment is provided </w:t>
      </w:r>
      <w:r w:rsidRPr="00E964EF">
        <w:t xml:space="preserve">as Appendix </w:t>
      </w:r>
      <w:r>
        <w:t>2</w:t>
      </w:r>
      <w:r w:rsidRPr="00E964EF">
        <w:t xml:space="preserve"> to</w:t>
      </w:r>
      <w:r>
        <w:t xml:space="preserve"> this report.</w:t>
      </w:r>
    </w:p>
  </w:footnote>
  <w:footnote w:id="24">
    <w:p w:rsidR="00B12FF2" w:rsidRPr="00D5246A" w:rsidRDefault="00B12FF2" w:rsidP="0069241E">
      <w:pPr>
        <w:pStyle w:val="FootnoteText"/>
      </w:pPr>
      <w:r w:rsidRPr="00D5246A">
        <w:rPr>
          <w:rStyle w:val="FootnoteReference"/>
          <w:rFonts w:eastAsia="Cambria"/>
        </w:rPr>
        <w:footnoteRef/>
      </w:r>
      <w:r w:rsidRPr="00D5246A">
        <w:t xml:space="preserve"> The </w:t>
      </w:r>
      <w:r>
        <w:t>2015 Conservation Potential Assessment</w:t>
      </w:r>
      <w:r w:rsidRPr="00D5246A">
        <w:t xml:space="preserve"> </w:t>
      </w:r>
      <w:r>
        <w:t xml:space="preserve">data was relied upon to develop the energy efficiency resource supply curves in </w:t>
      </w:r>
      <w:r w:rsidRPr="00D5246A">
        <w:t>the states of Washington, California, Utah, Idaho, and Wyoming. PacifiCorp relied on supply curve data from the Energy Trust of Oregon to create Oregon-specific conservation resource options.</w:t>
      </w:r>
    </w:p>
  </w:footnote>
  <w:footnote w:id="25">
    <w:p w:rsidR="00B12FF2" w:rsidRDefault="00B12FF2">
      <w:pPr>
        <w:pStyle w:val="FootnoteText"/>
      </w:pPr>
      <w:r>
        <w:rPr>
          <w:rStyle w:val="FootnoteReference"/>
        </w:rPr>
        <w:footnoteRef/>
      </w:r>
      <w:r>
        <w:t xml:space="preserve"> For a full list of data sources used see the Conservation Potential Assessment Volume 2, Chapter 3 – Data Development.  </w:t>
      </w:r>
    </w:p>
  </w:footnote>
  <w:footnote w:id="26">
    <w:p w:rsidR="00B12FF2" w:rsidRPr="0058186B" w:rsidRDefault="00B12FF2" w:rsidP="0070451E">
      <w:pPr>
        <w:pStyle w:val="FootnoteText"/>
      </w:pPr>
      <w:r w:rsidRPr="0058186B">
        <w:rPr>
          <w:rStyle w:val="FootnoteReference"/>
          <w:rFonts w:eastAsia="Cambria"/>
        </w:rPr>
        <w:footnoteRef/>
      </w:r>
      <w:r w:rsidRPr="0058186B">
        <w:t xml:space="preserve"> The Company’s </w:t>
      </w:r>
      <w:r>
        <w:t>C</w:t>
      </w:r>
      <w:r w:rsidRPr="0058186B">
        <w:t xml:space="preserve">onservation </w:t>
      </w:r>
      <w:r>
        <w:t>P</w:t>
      </w:r>
      <w:r w:rsidRPr="0058186B">
        <w:t xml:space="preserve">otential </w:t>
      </w:r>
      <w:r>
        <w:t>A</w:t>
      </w:r>
      <w:r w:rsidRPr="0058186B">
        <w:t xml:space="preserve">ssessment is </w:t>
      </w:r>
      <w:r w:rsidRPr="00E30FDD">
        <w:t xml:space="preserve">provided as Appendix </w:t>
      </w:r>
      <w:r>
        <w:t>2</w:t>
      </w:r>
      <w:r w:rsidRPr="00E30FDD">
        <w:t xml:space="preserve"> to</w:t>
      </w:r>
      <w:r>
        <w:t xml:space="preserve"> this report</w:t>
      </w:r>
      <w:r w:rsidRPr="0058186B">
        <w:t>.</w:t>
      </w:r>
    </w:p>
  </w:footnote>
  <w:footnote w:id="27">
    <w:p w:rsidR="00B12FF2" w:rsidRDefault="00B12FF2">
      <w:pPr>
        <w:pStyle w:val="FootnoteText"/>
      </w:pPr>
      <w:r>
        <w:rPr>
          <w:rStyle w:val="FootnoteReference"/>
        </w:rPr>
        <w:footnoteRef/>
      </w:r>
      <w:r>
        <w:t xml:space="preserve"> Applied Energy Group, Inc.</w:t>
      </w:r>
    </w:p>
  </w:footnote>
  <w:footnote w:id="28">
    <w:p w:rsidR="00B12FF2" w:rsidRDefault="00B12FF2" w:rsidP="0070451E">
      <w:pPr>
        <w:pStyle w:val="FootnoteText"/>
      </w:pPr>
      <w:r w:rsidRPr="0058186B">
        <w:rPr>
          <w:rStyle w:val="FootnoteReference"/>
          <w:rFonts w:eastAsia="Cambria"/>
        </w:rPr>
        <w:footnoteRef/>
      </w:r>
      <w:r w:rsidRPr="0058186B">
        <w:t xml:space="preserve"> For information on </w:t>
      </w:r>
      <w:r>
        <w:t xml:space="preserve">achievable assumptions and ramp rates, </w:t>
      </w:r>
      <w:r w:rsidRPr="0058186B">
        <w:t>refer to the 20</w:t>
      </w:r>
      <w:r>
        <w:t>15 Conservation Potential Assessment</w:t>
      </w:r>
      <w:r w:rsidRPr="0058186B">
        <w:t xml:space="preserve">, Volume </w:t>
      </w:r>
      <w:r>
        <w:t>2</w:t>
      </w:r>
      <w:r w:rsidRPr="0058186B">
        <w:t xml:space="preserve">, </w:t>
      </w:r>
      <w:r>
        <w:t xml:space="preserve">Chapter 2 starting on </w:t>
      </w:r>
      <w:r w:rsidRPr="0058186B">
        <w:t xml:space="preserve">page </w:t>
      </w:r>
      <w:r>
        <w:t>2-7</w:t>
      </w:r>
      <w:r w:rsidRPr="0058186B">
        <w:t>, and the 6</w:t>
      </w:r>
      <w:r w:rsidRPr="0058186B">
        <w:rPr>
          <w:vertAlign w:val="superscript"/>
        </w:rPr>
        <w:t>th</w:t>
      </w:r>
      <w:r w:rsidRPr="0058186B">
        <w:t xml:space="preserve"> Power Plan, </w:t>
      </w:r>
      <w:r>
        <w:t>Chapter 4 and Appendix E</w:t>
      </w:r>
      <w:r w:rsidRPr="0058186B">
        <w:t>.</w:t>
      </w:r>
    </w:p>
  </w:footnote>
  <w:footnote w:id="29">
    <w:p w:rsidR="00B12FF2" w:rsidRDefault="00B12FF2" w:rsidP="00AA2FA8">
      <w:pPr>
        <w:pStyle w:val="FootnoteText"/>
      </w:pPr>
      <w:r>
        <w:rPr>
          <w:rStyle w:val="FootnoteReference"/>
        </w:rPr>
        <w:footnoteRef/>
      </w:r>
      <w:r>
        <w:t xml:space="preserve"> Commonwealth Associates, Inc., Study of PacifiCorp’s Washington service area, May, 2011.</w:t>
      </w:r>
    </w:p>
  </w:footnote>
  <w:footnote w:id="30">
    <w:p w:rsidR="00B12FF2" w:rsidRDefault="00B12FF2" w:rsidP="00F9338A">
      <w:pPr>
        <w:pStyle w:val="FootnoteText"/>
      </w:pPr>
      <w:r>
        <w:rPr>
          <w:rStyle w:val="FootnoteReference"/>
        </w:rPr>
        <w:footnoteRef/>
      </w:r>
      <w:r>
        <w:t xml:space="preserve"> In </w:t>
      </w:r>
      <w:r w:rsidRPr="00600E96">
        <w:t>total, 7 studies were conducted</w:t>
      </w:r>
      <w:r>
        <w:t xml:space="preserve"> between 2011 and 2012. These studies are provided as Appendix 10 to this report. </w:t>
      </w:r>
    </w:p>
  </w:footnote>
  <w:footnote w:id="31">
    <w:p w:rsidR="00B12FF2" w:rsidRDefault="00B12FF2" w:rsidP="00F9338A">
      <w:pPr>
        <w:pStyle w:val="FootnoteText"/>
      </w:pPr>
      <w:r>
        <w:rPr>
          <w:rStyle w:val="FootnoteReference"/>
        </w:rPr>
        <w:footnoteRef/>
      </w:r>
      <w:r>
        <w:t xml:space="preserve"> The majority owners of the plant do not sell power in Washington and didn’t agree to study this plant or participate in any energy efficiency facility upgrades at this time. </w:t>
      </w:r>
    </w:p>
  </w:footnote>
  <w:footnote w:id="32">
    <w:p w:rsidR="00B12FF2" w:rsidRDefault="00B12FF2" w:rsidP="00861BBA">
      <w:pPr>
        <w:pStyle w:val="FootnoteText"/>
      </w:pPr>
      <w:r>
        <w:rPr>
          <w:rStyle w:val="FootnoteReference"/>
        </w:rPr>
        <w:footnoteRef/>
      </w:r>
      <w:r>
        <w:t xml:space="preserve"> WAC – 480-109-100 (1) (a) (i)</w:t>
      </w:r>
    </w:p>
  </w:footnote>
  <w:footnote w:id="33">
    <w:p w:rsidR="00B12FF2" w:rsidRDefault="00B12FF2" w:rsidP="00861BBA">
      <w:pPr>
        <w:pStyle w:val="FootnoteText"/>
      </w:pPr>
      <w:r>
        <w:rPr>
          <w:rStyle w:val="FootnoteReference"/>
        </w:rPr>
        <w:footnoteRef/>
      </w:r>
      <w:r>
        <w:t xml:space="preserve"> WAC 480-109-060 (13)</w:t>
      </w:r>
    </w:p>
  </w:footnote>
  <w:footnote w:id="34">
    <w:p w:rsidR="00B12FF2" w:rsidRDefault="00B12FF2" w:rsidP="00861BBA">
      <w:pPr>
        <w:pStyle w:val="FootnoteText"/>
      </w:pPr>
      <w:r>
        <w:rPr>
          <w:rStyle w:val="FootnoteReference"/>
        </w:rPr>
        <w:footnoteRef/>
      </w:r>
      <w:r>
        <w:t xml:space="preserve"> 2015 IRP – Volume 1, p. 72</w:t>
      </w:r>
    </w:p>
  </w:footnote>
  <w:footnote w:id="35">
    <w:p w:rsidR="00B12FF2" w:rsidRDefault="00B12FF2" w:rsidP="00861BBA">
      <w:pPr>
        <w:pStyle w:val="FootnoteText"/>
      </w:pPr>
      <w:r>
        <w:rPr>
          <w:rStyle w:val="FootnoteReference"/>
        </w:rPr>
        <w:footnoteRef/>
      </w:r>
      <w:r>
        <w:t xml:space="preserve"> Ibid, p. 74</w:t>
      </w:r>
    </w:p>
  </w:footnote>
  <w:footnote w:id="36">
    <w:p w:rsidR="00B12FF2" w:rsidRDefault="00B12FF2" w:rsidP="00861BBA">
      <w:pPr>
        <w:pStyle w:val="FootnoteText"/>
      </w:pPr>
      <w:r>
        <w:rPr>
          <w:rStyle w:val="FootnoteReference"/>
        </w:rPr>
        <w:footnoteRef/>
      </w:r>
      <w:r>
        <w:t xml:space="preserve"> WAC – 480-109-100 (1) (a) (ii)</w:t>
      </w:r>
    </w:p>
  </w:footnote>
  <w:footnote w:id="37">
    <w:p w:rsidR="00B12FF2" w:rsidRPr="00EC3E4C" w:rsidRDefault="00B12FF2" w:rsidP="00B74FFD">
      <w:pPr>
        <w:pStyle w:val="FootnoteText"/>
      </w:pPr>
      <w:r w:rsidRPr="0062179C">
        <w:rPr>
          <w:rStyle w:val="FootnoteReference"/>
          <w:rFonts w:eastAsia="Cambria"/>
        </w:rPr>
        <w:footnoteRef/>
      </w:r>
      <w:r w:rsidRPr="0062179C">
        <w:t xml:space="preserve"> </w:t>
      </w:r>
      <w:r w:rsidRPr="00ED192E">
        <w:t>To remain consistent with the Council’s regional power plan,</w:t>
      </w:r>
      <w:r>
        <w:t xml:space="preserve"> the</w:t>
      </w:r>
      <w:r w:rsidRPr="00ED192E">
        <w:t xml:space="preserve"> ten-year potential and two-year target values in this report are shown prior to any net-to-gross adjustment and</w:t>
      </w:r>
      <w:r>
        <w:t xml:space="preserve"> except for production efficiency, where applicable, include</w:t>
      </w:r>
      <w:r w:rsidRPr="00ED192E">
        <w:t xml:space="preserve"> line losses between the </w:t>
      </w:r>
      <w:r>
        <w:t xml:space="preserve">installed equipment or </w:t>
      </w:r>
      <w:r w:rsidRPr="00ED192E">
        <w:t>customer site and the generation source.</w:t>
      </w:r>
      <w:r>
        <w:t xml:space="preserve"> </w:t>
      </w:r>
    </w:p>
  </w:footnote>
  <w:footnote w:id="38">
    <w:p w:rsidR="00B12FF2" w:rsidRDefault="00B12FF2">
      <w:pPr>
        <w:pStyle w:val="FootnoteText"/>
      </w:pPr>
      <w:r>
        <w:rPr>
          <w:rStyle w:val="FootnoteReference"/>
        </w:rPr>
        <w:footnoteRef/>
      </w:r>
      <w:r>
        <w:t xml:space="preserve"> The biennial target represents the first two years of the ten-year conservation forecast which is greater than the “pro rata” share as defined by WAC 480-109-060(19). </w:t>
      </w:r>
    </w:p>
  </w:footnote>
  <w:footnote w:id="39">
    <w:p w:rsidR="00B12FF2" w:rsidRDefault="00B12FF2" w:rsidP="001139DB">
      <w:pPr>
        <w:pStyle w:val="FootnoteText"/>
      </w:pPr>
      <w:r>
        <w:rPr>
          <w:rStyle w:val="FootnoteReference"/>
        </w:rPr>
        <w:footnoteRef/>
      </w:r>
      <w:r>
        <w:t xml:space="preserve"> Joint Proposal for consistent approach to Northwest Energy Efficiency Alliance claimed conservation savings, filed October 31, 2012 in Docket UE-111880</w:t>
      </w:r>
    </w:p>
  </w:footnote>
  <w:footnote w:id="40">
    <w:p w:rsidR="00B12FF2" w:rsidRDefault="00B12FF2">
      <w:pPr>
        <w:pStyle w:val="FootnoteText"/>
      </w:pPr>
      <w:r>
        <w:rPr>
          <w:rStyle w:val="FootnoteReference"/>
        </w:rPr>
        <w:footnoteRef/>
      </w:r>
      <w:r>
        <w:t xml:space="preserve"> WAC 480-109-120(4)(d) states “A utility may file the annual conservation report and the biennial conservation report together as one report, provided that the report includes all of the information required in subsections (3) and (4) of this section and states that it serves as both the annual conservation report and the biennial conservation report.”</w:t>
      </w:r>
    </w:p>
  </w:footnote>
  <w:footnote w:id="41">
    <w:p w:rsidR="00B12FF2" w:rsidRDefault="00B12FF2">
      <w:pPr>
        <w:pStyle w:val="FootnoteText"/>
      </w:pPr>
      <w:r>
        <w:rPr>
          <w:rStyle w:val="FootnoteReference"/>
        </w:rPr>
        <w:footnoteRef/>
      </w:r>
      <w:r>
        <w:t xml:space="preserve"> The preliminary 2016 Outreach and Communications plan will be scheduled for review and comment by the DSM advisory group by November, 2016.</w:t>
      </w:r>
    </w:p>
  </w:footnote>
  <w:footnote w:id="42">
    <w:p w:rsidR="00B12FF2" w:rsidRDefault="00B12FF2">
      <w:pPr>
        <w:pStyle w:val="FootnoteText"/>
      </w:pPr>
      <w:r>
        <w:rPr>
          <w:rStyle w:val="FootnoteReference"/>
        </w:rPr>
        <w:footnoteRef/>
      </w:r>
      <w:r>
        <w:t xml:space="preserve"> Note that paragraph citations refer to sections within Order 01 and not within this plan/document.</w:t>
      </w:r>
    </w:p>
  </w:footnote>
  <w:footnote w:id="43">
    <w:p w:rsidR="00B12FF2" w:rsidRDefault="00B12FF2">
      <w:pPr>
        <w:pStyle w:val="FootnoteText"/>
      </w:pPr>
      <w:r>
        <w:rPr>
          <w:rStyle w:val="FootnoteReference"/>
        </w:rPr>
        <w:footnoteRef/>
      </w:r>
      <w:r>
        <w:t xml:space="preserve"> DSM Business Plan is included as Appendix 7 to this plan. </w:t>
      </w:r>
    </w:p>
  </w:footnote>
  <w:footnote w:id="44">
    <w:p w:rsidR="00B12FF2" w:rsidRDefault="00B12FF2" w:rsidP="00520A09">
      <w:pPr>
        <w:pStyle w:val="FootnoteText"/>
      </w:pPr>
      <w:r>
        <w:rPr>
          <w:rStyle w:val="FootnoteReference"/>
        </w:rPr>
        <w:footnoteRef/>
      </w:r>
      <w:r>
        <w:t xml:space="preserve"> Refer to section 11(b) of the ordering section of Commission’s Order 01 in UE-132047.</w:t>
      </w:r>
    </w:p>
  </w:footnote>
  <w:footnote w:id="45">
    <w:p w:rsidR="00B12FF2" w:rsidRDefault="00B12FF2" w:rsidP="00220638">
      <w:pPr>
        <w:pStyle w:val="FootnoteText"/>
      </w:pPr>
      <w:r>
        <w:rPr>
          <w:rStyle w:val="FootnoteReference"/>
        </w:rPr>
        <w:footnoteRef/>
      </w:r>
      <w:r>
        <w:t xml:space="preserve"> Paragraph references in Table 10 for Docket UE-132047 items refer to the ordering section of Order 01 Attachment A and revised WAC 480-109 rule references that became effective April 12, 2015.</w:t>
      </w:r>
    </w:p>
  </w:footnote>
  <w:footnote w:id="46">
    <w:p w:rsidR="00B12FF2" w:rsidRPr="00B60CAB" w:rsidRDefault="00B12FF2" w:rsidP="00F7709B">
      <w:pPr>
        <w:pStyle w:val="FootnoteText"/>
        <w:rPr>
          <w:rFonts w:cs="Times New Roman"/>
        </w:rPr>
      </w:pPr>
      <w:r w:rsidRPr="005F6A2E">
        <w:rPr>
          <w:rStyle w:val="FootnoteReference"/>
          <w:rFonts w:cs="Times New Roman"/>
        </w:rPr>
        <w:footnoteRef/>
      </w:r>
      <w:r w:rsidRPr="005F6A2E">
        <w:rPr>
          <w:rFonts w:cs="Times New Roman"/>
        </w:rPr>
        <w:t xml:space="preserve"> </w:t>
      </w:r>
      <w:r w:rsidRPr="001D6EDC">
        <w:t>http://www.nwcouncil.org/energy/powerplan/6/assessmentmethodology/</w:t>
      </w:r>
    </w:p>
  </w:footnote>
  <w:footnote w:id="47">
    <w:p w:rsidR="00B12FF2" w:rsidRDefault="00B12FF2" w:rsidP="00B414C1">
      <w:pPr>
        <w:pStyle w:val="FootnoteText"/>
      </w:pPr>
      <w:r w:rsidRPr="008C15B9">
        <w:rPr>
          <w:rStyle w:val="FootnoteReference"/>
          <w:rFonts w:eastAsia="Cambria"/>
        </w:rPr>
        <w:footnoteRef/>
      </w:r>
      <w:r w:rsidRPr="008C15B9">
        <w:t xml:space="preserve"> This report, prepared by </w:t>
      </w:r>
      <w:r>
        <w:t>Applied Energy</w:t>
      </w:r>
      <w:r w:rsidRPr="008C15B9">
        <w:t xml:space="preserve"> Group</w:t>
      </w:r>
      <w:r>
        <w:t>,</w:t>
      </w:r>
      <w:r w:rsidRPr="008C15B9">
        <w:t xml:space="preserve"> </w:t>
      </w:r>
      <w:r w:rsidRPr="00321E86">
        <w:t xml:space="preserve">is </w:t>
      </w:r>
      <w:r w:rsidRPr="00196AA4">
        <w:t>included as Appendix 2 to this</w:t>
      </w:r>
      <w:r w:rsidRPr="00321E86">
        <w:t xml:space="preserve"> report and is also available</w:t>
      </w:r>
      <w:r w:rsidRPr="008C15B9">
        <w:t xml:space="preserve"> at </w:t>
      </w:r>
      <w:hyperlink r:id="rId2" w:history="1">
        <w:r w:rsidRPr="008875C9">
          <w:rPr>
            <w:rStyle w:val="Hyperlink"/>
            <w:rFonts w:eastAsia="Cambria"/>
          </w:rPr>
          <w:t>http://www.pacificorp.com/es/dsm.html</w:t>
        </w:r>
      </w:hyperlink>
      <w:r>
        <w:t>.</w:t>
      </w:r>
    </w:p>
  </w:footnote>
  <w:footnote w:id="48">
    <w:p w:rsidR="00B12FF2" w:rsidRDefault="00B12FF2" w:rsidP="00B414C1">
      <w:pPr>
        <w:pStyle w:val="FootnoteText"/>
      </w:pPr>
      <w:r>
        <w:rPr>
          <w:rStyle w:val="FootnoteReference"/>
        </w:rPr>
        <w:footnoteRef/>
      </w:r>
      <w:r>
        <w:t xml:space="preserve"> Current and archived RTF UES workbooks are available at: </w:t>
      </w:r>
      <w:hyperlink r:id="rId3" w:history="1">
        <w:r w:rsidRPr="00BD7754">
          <w:rPr>
            <w:rStyle w:val="Hyperlink"/>
          </w:rPr>
          <w:t>http://rtf.nwcouncil.org//measures/Default.asp</w:t>
        </w:r>
      </w:hyperlink>
    </w:p>
  </w:footnote>
  <w:footnote w:id="49">
    <w:p w:rsidR="00B12FF2" w:rsidRDefault="00B12FF2" w:rsidP="00B414C1">
      <w:pPr>
        <w:pStyle w:val="FootnoteText"/>
      </w:pPr>
      <w:r>
        <w:rPr>
          <w:rStyle w:val="FootnoteReference"/>
        </w:rPr>
        <w:footnoteRef/>
      </w:r>
      <w:r>
        <w:t xml:space="preserve"> Long-Run Savings and Cost Effectiveness of Home Energy Report Programs, M. Sami Khawaja and James Stewart, Winter 2014/2015 – p. 7. </w:t>
      </w:r>
    </w:p>
  </w:footnote>
  <w:footnote w:id="50">
    <w:p w:rsidR="00B12FF2" w:rsidRDefault="00B12FF2" w:rsidP="00B414C1">
      <w:pPr>
        <w:pStyle w:val="FootnoteText"/>
      </w:pPr>
      <w:r>
        <w:rPr>
          <w:rStyle w:val="FootnoteReference"/>
        </w:rPr>
        <w:footnoteRef/>
      </w:r>
      <w:r>
        <w:t xml:space="preserve"> </w:t>
      </w:r>
      <w:r w:rsidRPr="00864A5E">
        <w:t>http://www.eia.gov/analysis/studies/buildings/equipcosts/pdf/appendix-c.pdf</w:t>
      </w:r>
    </w:p>
  </w:footnote>
  <w:footnote w:id="51">
    <w:p w:rsidR="00B12FF2" w:rsidRDefault="00B12FF2" w:rsidP="007B5401">
      <w:pPr>
        <w:pStyle w:val="FootnoteText"/>
      </w:pPr>
      <w:r>
        <w:rPr>
          <w:rStyle w:val="FootnoteReference"/>
        </w:rPr>
        <w:footnoteRef/>
      </w:r>
      <w:r>
        <w:t xml:space="preserve"> Under the joint agreement, these utilities agreed that NEEA would develop a Total Regional Savings estimate using baseline and technical assumptions from the most recent Power Plan. NEEA would remove estimated savings counted by the utilities, the Bonneville Power Administration and the Energy Trust of Oregon. NEEA would allocate the estimated savings to these utilities based on their NEEA funder share percentage.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FF2" w:rsidRDefault="00B12FF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FF2" w:rsidRDefault="00B12FF2">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FF2" w:rsidRDefault="00B12FF2">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FF2" w:rsidRDefault="00B12FF2">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FF2" w:rsidRDefault="00B12FF2">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FF2" w:rsidRDefault="00B12FF2">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FF2" w:rsidRDefault="00B12FF2">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FF2" w:rsidRDefault="00B12FF2">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FF2" w:rsidRDefault="00B12FF2">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FF2" w:rsidRDefault="00B12FF2">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FF2" w:rsidRDefault="00B12F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FF2" w:rsidRDefault="00B12FF2">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FF2" w:rsidRDefault="00B12FF2">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FF2" w:rsidRDefault="00B12FF2">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FF2" w:rsidRDefault="00B12FF2">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FF2" w:rsidRDefault="00B12FF2">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FF2" w:rsidRDefault="00B12FF2">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FF2" w:rsidRDefault="00B12FF2">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FF2" w:rsidRDefault="00B12FF2">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FF2" w:rsidRPr="004000DE" w:rsidRDefault="00B12FF2">
    <w:pPr>
      <w:pStyle w:val="Header"/>
      <w:rPr>
        <w:rFonts w:cs="Arial"/>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FF2" w:rsidRDefault="00B12FF2">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FF2" w:rsidRDefault="00B12F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FF2" w:rsidRDefault="00B12FF2">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FF2" w:rsidRDefault="00B12FF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FF2" w:rsidRDefault="00B12FF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FF2" w:rsidRDefault="00B12FF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FF2" w:rsidRDefault="00B12FF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FF2" w:rsidRDefault="00B12FF2">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FF2" w:rsidRDefault="00B12FF2">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FF2" w:rsidRDefault="00B12F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71031"/>
    <w:multiLevelType w:val="hybridMultilevel"/>
    <w:tmpl w:val="A8D8F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D71D70"/>
    <w:multiLevelType w:val="hybridMultilevel"/>
    <w:tmpl w:val="3FD8A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D65823"/>
    <w:multiLevelType w:val="hybridMultilevel"/>
    <w:tmpl w:val="F3942D8C"/>
    <w:lvl w:ilvl="0" w:tplc="E0443F74">
      <w:start w:val="1"/>
      <w:numFmt w:val="bullet"/>
      <w:lvlText w:val="•"/>
      <w:lvlJc w:val="left"/>
      <w:pPr>
        <w:tabs>
          <w:tab w:val="num" w:pos="720"/>
        </w:tabs>
        <w:ind w:left="720" w:hanging="360"/>
      </w:pPr>
      <w:rPr>
        <w:rFonts w:ascii="Arial" w:hAnsi="Arial" w:hint="default"/>
      </w:rPr>
    </w:lvl>
    <w:lvl w:ilvl="1" w:tplc="A79EFD42" w:tentative="1">
      <w:start w:val="1"/>
      <w:numFmt w:val="bullet"/>
      <w:lvlText w:val="•"/>
      <w:lvlJc w:val="left"/>
      <w:pPr>
        <w:tabs>
          <w:tab w:val="num" w:pos="1440"/>
        </w:tabs>
        <w:ind w:left="1440" w:hanging="360"/>
      </w:pPr>
      <w:rPr>
        <w:rFonts w:ascii="Arial" w:hAnsi="Arial" w:hint="default"/>
      </w:rPr>
    </w:lvl>
    <w:lvl w:ilvl="2" w:tplc="9A0AED40" w:tentative="1">
      <w:start w:val="1"/>
      <w:numFmt w:val="bullet"/>
      <w:lvlText w:val="•"/>
      <w:lvlJc w:val="left"/>
      <w:pPr>
        <w:tabs>
          <w:tab w:val="num" w:pos="2160"/>
        </w:tabs>
        <w:ind w:left="2160" w:hanging="360"/>
      </w:pPr>
      <w:rPr>
        <w:rFonts w:ascii="Arial" w:hAnsi="Arial" w:hint="default"/>
      </w:rPr>
    </w:lvl>
    <w:lvl w:ilvl="3" w:tplc="777A14DA" w:tentative="1">
      <w:start w:val="1"/>
      <w:numFmt w:val="bullet"/>
      <w:lvlText w:val="•"/>
      <w:lvlJc w:val="left"/>
      <w:pPr>
        <w:tabs>
          <w:tab w:val="num" w:pos="2880"/>
        </w:tabs>
        <w:ind w:left="2880" w:hanging="360"/>
      </w:pPr>
      <w:rPr>
        <w:rFonts w:ascii="Arial" w:hAnsi="Arial" w:hint="default"/>
      </w:rPr>
    </w:lvl>
    <w:lvl w:ilvl="4" w:tplc="65E47876" w:tentative="1">
      <w:start w:val="1"/>
      <w:numFmt w:val="bullet"/>
      <w:lvlText w:val="•"/>
      <w:lvlJc w:val="left"/>
      <w:pPr>
        <w:tabs>
          <w:tab w:val="num" w:pos="3600"/>
        </w:tabs>
        <w:ind w:left="3600" w:hanging="360"/>
      </w:pPr>
      <w:rPr>
        <w:rFonts w:ascii="Arial" w:hAnsi="Arial" w:hint="default"/>
      </w:rPr>
    </w:lvl>
    <w:lvl w:ilvl="5" w:tplc="C22A6270" w:tentative="1">
      <w:start w:val="1"/>
      <w:numFmt w:val="bullet"/>
      <w:lvlText w:val="•"/>
      <w:lvlJc w:val="left"/>
      <w:pPr>
        <w:tabs>
          <w:tab w:val="num" w:pos="4320"/>
        </w:tabs>
        <w:ind w:left="4320" w:hanging="360"/>
      </w:pPr>
      <w:rPr>
        <w:rFonts w:ascii="Arial" w:hAnsi="Arial" w:hint="default"/>
      </w:rPr>
    </w:lvl>
    <w:lvl w:ilvl="6" w:tplc="E7B0D206" w:tentative="1">
      <w:start w:val="1"/>
      <w:numFmt w:val="bullet"/>
      <w:lvlText w:val="•"/>
      <w:lvlJc w:val="left"/>
      <w:pPr>
        <w:tabs>
          <w:tab w:val="num" w:pos="5040"/>
        </w:tabs>
        <w:ind w:left="5040" w:hanging="360"/>
      </w:pPr>
      <w:rPr>
        <w:rFonts w:ascii="Arial" w:hAnsi="Arial" w:hint="default"/>
      </w:rPr>
    </w:lvl>
    <w:lvl w:ilvl="7" w:tplc="E034AA18" w:tentative="1">
      <w:start w:val="1"/>
      <w:numFmt w:val="bullet"/>
      <w:lvlText w:val="•"/>
      <w:lvlJc w:val="left"/>
      <w:pPr>
        <w:tabs>
          <w:tab w:val="num" w:pos="5760"/>
        </w:tabs>
        <w:ind w:left="5760" w:hanging="360"/>
      </w:pPr>
      <w:rPr>
        <w:rFonts w:ascii="Arial" w:hAnsi="Arial" w:hint="default"/>
      </w:rPr>
    </w:lvl>
    <w:lvl w:ilvl="8" w:tplc="F74471FA" w:tentative="1">
      <w:start w:val="1"/>
      <w:numFmt w:val="bullet"/>
      <w:lvlText w:val="•"/>
      <w:lvlJc w:val="left"/>
      <w:pPr>
        <w:tabs>
          <w:tab w:val="num" w:pos="6480"/>
        </w:tabs>
        <w:ind w:left="6480" w:hanging="360"/>
      </w:pPr>
      <w:rPr>
        <w:rFonts w:ascii="Arial" w:hAnsi="Arial" w:hint="default"/>
      </w:rPr>
    </w:lvl>
  </w:abstractNum>
  <w:abstractNum w:abstractNumId="3">
    <w:nsid w:val="041A0C02"/>
    <w:multiLevelType w:val="hybridMultilevel"/>
    <w:tmpl w:val="9B72FC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692D23"/>
    <w:multiLevelType w:val="hybridMultilevel"/>
    <w:tmpl w:val="890E4E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981709"/>
    <w:multiLevelType w:val="hybridMultilevel"/>
    <w:tmpl w:val="D8E464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6F813FC"/>
    <w:multiLevelType w:val="hybridMultilevel"/>
    <w:tmpl w:val="D4F2E858"/>
    <w:lvl w:ilvl="0" w:tplc="3A16AA7A">
      <w:start w:val="1"/>
      <w:numFmt w:val="bullet"/>
      <w:lvlText w:val="•"/>
      <w:lvlJc w:val="left"/>
      <w:pPr>
        <w:tabs>
          <w:tab w:val="num" w:pos="720"/>
        </w:tabs>
        <w:ind w:left="720" w:hanging="360"/>
      </w:pPr>
      <w:rPr>
        <w:rFonts w:ascii="Arial" w:hAnsi="Arial" w:hint="default"/>
      </w:rPr>
    </w:lvl>
    <w:lvl w:ilvl="1" w:tplc="B8FADF00" w:tentative="1">
      <w:start w:val="1"/>
      <w:numFmt w:val="bullet"/>
      <w:lvlText w:val="•"/>
      <w:lvlJc w:val="left"/>
      <w:pPr>
        <w:tabs>
          <w:tab w:val="num" w:pos="1440"/>
        </w:tabs>
        <w:ind w:left="1440" w:hanging="360"/>
      </w:pPr>
      <w:rPr>
        <w:rFonts w:ascii="Arial" w:hAnsi="Arial" w:hint="default"/>
      </w:rPr>
    </w:lvl>
    <w:lvl w:ilvl="2" w:tplc="B5F873E2" w:tentative="1">
      <w:start w:val="1"/>
      <w:numFmt w:val="bullet"/>
      <w:lvlText w:val="•"/>
      <w:lvlJc w:val="left"/>
      <w:pPr>
        <w:tabs>
          <w:tab w:val="num" w:pos="2160"/>
        </w:tabs>
        <w:ind w:left="2160" w:hanging="360"/>
      </w:pPr>
      <w:rPr>
        <w:rFonts w:ascii="Arial" w:hAnsi="Arial" w:hint="default"/>
      </w:rPr>
    </w:lvl>
    <w:lvl w:ilvl="3" w:tplc="18283DBC" w:tentative="1">
      <w:start w:val="1"/>
      <w:numFmt w:val="bullet"/>
      <w:lvlText w:val="•"/>
      <w:lvlJc w:val="left"/>
      <w:pPr>
        <w:tabs>
          <w:tab w:val="num" w:pos="2880"/>
        </w:tabs>
        <w:ind w:left="2880" w:hanging="360"/>
      </w:pPr>
      <w:rPr>
        <w:rFonts w:ascii="Arial" w:hAnsi="Arial" w:hint="default"/>
      </w:rPr>
    </w:lvl>
    <w:lvl w:ilvl="4" w:tplc="D41EFF8A" w:tentative="1">
      <w:start w:val="1"/>
      <w:numFmt w:val="bullet"/>
      <w:lvlText w:val="•"/>
      <w:lvlJc w:val="left"/>
      <w:pPr>
        <w:tabs>
          <w:tab w:val="num" w:pos="3600"/>
        </w:tabs>
        <w:ind w:left="3600" w:hanging="360"/>
      </w:pPr>
      <w:rPr>
        <w:rFonts w:ascii="Arial" w:hAnsi="Arial" w:hint="default"/>
      </w:rPr>
    </w:lvl>
    <w:lvl w:ilvl="5" w:tplc="00F4CF68" w:tentative="1">
      <w:start w:val="1"/>
      <w:numFmt w:val="bullet"/>
      <w:lvlText w:val="•"/>
      <w:lvlJc w:val="left"/>
      <w:pPr>
        <w:tabs>
          <w:tab w:val="num" w:pos="4320"/>
        </w:tabs>
        <w:ind w:left="4320" w:hanging="360"/>
      </w:pPr>
      <w:rPr>
        <w:rFonts w:ascii="Arial" w:hAnsi="Arial" w:hint="default"/>
      </w:rPr>
    </w:lvl>
    <w:lvl w:ilvl="6" w:tplc="6186E8D2" w:tentative="1">
      <w:start w:val="1"/>
      <w:numFmt w:val="bullet"/>
      <w:lvlText w:val="•"/>
      <w:lvlJc w:val="left"/>
      <w:pPr>
        <w:tabs>
          <w:tab w:val="num" w:pos="5040"/>
        </w:tabs>
        <w:ind w:left="5040" w:hanging="360"/>
      </w:pPr>
      <w:rPr>
        <w:rFonts w:ascii="Arial" w:hAnsi="Arial" w:hint="default"/>
      </w:rPr>
    </w:lvl>
    <w:lvl w:ilvl="7" w:tplc="777C3F60" w:tentative="1">
      <w:start w:val="1"/>
      <w:numFmt w:val="bullet"/>
      <w:lvlText w:val="•"/>
      <w:lvlJc w:val="left"/>
      <w:pPr>
        <w:tabs>
          <w:tab w:val="num" w:pos="5760"/>
        </w:tabs>
        <w:ind w:left="5760" w:hanging="360"/>
      </w:pPr>
      <w:rPr>
        <w:rFonts w:ascii="Arial" w:hAnsi="Arial" w:hint="default"/>
      </w:rPr>
    </w:lvl>
    <w:lvl w:ilvl="8" w:tplc="B3E882F2" w:tentative="1">
      <w:start w:val="1"/>
      <w:numFmt w:val="bullet"/>
      <w:lvlText w:val="•"/>
      <w:lvlJc w:val="left"/>
      <w:pPr>
        <w:tabs>
          <w:tab w:val="num" w:pos="6480"/>
        </w:tabs>
        <w:ind w:left="6480" w:hanging="360"/>
      </w:pPr>
      <w:rPr>
        <w:rFonts w:ascii="Arial" w:hAnsi="Arial" w:hint="default"/>
      </w:rPr>
    </w:lvl>
  </w:abstractNum>
  <w:abstractNum w:abstractNumId="7">
    <w:nsid w:val="094F4F4D"/>
    <w:multiLevelType w:val="hybridMultilevel"/>
    <w:tmpl w:val="919ED8EE"/>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B8065BA"/>
    <w:multiLevelType w:val="hybridMultilevel"/>
    <w:tmpl w:val="A49CA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CC2337B"/>
    <w:multiLevelType w:val="hybridMultilevel"/>
    <w:tmpl w:val="44EC77D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nsid w:val="123242D8"/>
    <w:multiLevelType w:val="hybridMultilevel"/>
    <w:tmpl w:val="40B26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31C3DFC"/>
    <w:multiLevelType w:val="hybridMultilevel"/>
    <w:tmpl w:val="3D1493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8C158CD"/>
    <w:multiLevelType w:val="hybridMultilevel"/>
    <w:tmpl w:val="CD886B06"/>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13">
    <w:nsid w:val="19B01DB2"/>
    <w:multiLevelType w:val="hybridMultilevel"/>
    <w:tmpl w:val="7F484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C797709"/>
    <w:multiLevelType w:val="hybridMultilevel"/>
    <w:tmpl w:val="E6EA5B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EBE043E"/>
    <w:multiLevelType w:val="hybridMultilevel"/>
    <w:tmpl w:val="20C45EAA"/>
    <w:lvl w:ilvl="0" w:tplc="0409000F">
      <w:start w:val="1"/>
      <w:numFmt w:val="decimal"/>
      <w:lvlText w:val="%1."/>
      <w:lvlJc w:val="left"/>
      <w:pPr>
        <w:ind w:left="360" w:hanging="360"/>
      </w:pPr>
      <w:rPr>
        <w:rFonts w:hint="default"/>
      </w:rPr>
    </w:lvl>
    <w:lvl w:ilvl="1" w:tplc="04090005">
      <w:start w:val="1"/>
      <w:numFmt w:val="bullet"/>
      <w:lvlText w:val=""/>
      <w:lvlJc w:val="left"/>
      <w:pPr>
        <w:ind w:left="1080" w:hanging="360"/>
      </w:pPr>
      <w:rPr>
        <w:rFonts w:ascii="Wingdings" w:hAnsi="Wingdings" w:hint="default"/>
      </w:rPr>
    </w:lvl>
    <w:lvl w:ilvl="2" w:tplc="04090011">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6">
    <w:nsid w:val="200525CB"/>
    <w:multiLevelType w:val="hybridMultilevel"/>
    <w:tmpl w:val="206C2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14745ED"/>
    <w:multiLevelType w:val="hybridMultilevel"/>
    <w:tmpl w:val="0A84CD1E"/>
    <w:lvl w:ilvl="0" w:tplc="0409000F">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55A2F6E"/>
    <w:multiLevelType w:val="hybridMultilevel"/>
    <w:tmpl w:val="A8206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6B40AD3"/>
    <w:multiLevelType w:val="hybridMultilevel"/>
    <w:tmpl w:val="ECA62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8661ACE"/>
    <w:multiLevelType w:val="hybridMultilevel"/>
    <w:tmpl w:val="919ED8EE"/>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9DB03DD"/>
    <w:multiLevelType w:val="hybridMultilevel"/>
    <w:tmpl w:val="B2D079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B2B5CA5"/>
    <w:multiLevelType w:val="hybridMultilevel"/>
    <w:tmpl w:val="F39C3D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BF47A8B"/>
    <w:multiLevelType w:val="hybridMultilevel"/>
    <w:tmpl w:val="F6DCE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DFB2ECC"/>
    <w:multiLevelType w:val="hybridMultilevel"/>
    <w:tmpl w:val="E444B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1747C62"/>
    <w:multiLevelType w:val="hybridMultilevel"/>
    <w:tmpl w:val="055A9C3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nsid w:val="332C4B9F"/>
    <w:multiLevelType w:val="hybridMultilevel"/>
    <w:tmpl w:val="F45AB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4154C51"/>
    <w:multiLevelType w:val="hybridMultilevel"/>
    <w:tmpl w:val="EA240FA0"/>
    <w:lvl w:ilvl="0" w:tplc="04090001">
      <w:start w:val="1"/>
      <w:numFmt w:val="bullet"/>
      <w:lvlText w:val=""/>
      <w:lvlJc w:val="left"/>
      <w:pPr>
        <w:ind w:left="841" w:hanging="360"/>
      </w:pPr>
      <w:rPr>
        <w:rFonts w:ascii="Symbol" w:hAnsi="Symbol" w:hint="default"/>
      </w:rPr>
    </w:lvl>
    <w:lvl w:ilvl="1" w:tplc="04090003" w:tentative="1">
      <w:start w:val="1"/>
      <w:numFmt w:val="bullet"/>
      <w:lvlText w:val="o"/>
      <w:lvlJc w:val="left"/>
      <w:pPr>
        <w:ind w:left="1561" w:hanging="360"/>
      </w:pPr>
      <w:rPr>
        <w:rFonts w:ascii="Courier New" w:hAnsi="Courier New" w:cs="Courier New" w:hint="default"/>
      </w:rPr>
    </w:lvl>
    <w:lvl w:ilvl="2" w:tplc="04090005" w:tentative="1">
      <w:start w:val="1"/>
      <w:numFmt w:val="bullet"/>
      <w:lvlText w:val=""/>
      <w:lvlJc w:val="left"/>
      <w:pPr>
        <w:ind w:left="2281" w:hanging="360"/>
      </w:pPr>
      <w:rPr>
        <w:rFonts w:ascii="Wingdings" w:hAnsi="Wingdings" w:hint="default"/>
      </w:rPr>
    </w:lvl>
    <w:lvl w:ilvl="3" w:tplc="04090001" w:tentative="1">
      <w:start w:val="1"/>
      <w:numFmt w:val="bullet"/>
      <w:lvlText w:val=""/>
      <w:lvlJc w:val="left"/>
      <w:pPr>
        <w:ind w:left="3001" w:hanging="360"/>
      </w:pPr>
      <w:rPr>
        <w:rFonts w:ascii="Symbol" w:hAnsi="Symbol" w:hint="default"/>
      </w:rPr>
    </w:lvl>
    <w:lvl w:ilvl="4" w:tplc="04090003" w:tentative="1">
      <w:start w:val="1"/>
      <w:numFmt w:val="bullet"/>
      <w:lvlText w:val="o"/>
      <w:lvlJc w:val="left"/>
      <w:pPr>
        <w:ind w:left="3721" w:hanging="360"/>
      </w:pPr>
      <w:rPr>
        <w:rFonts w:ascii="Courier New" w:hAnsi="Courier New" w:cs="Courier New" w:hint="default"/>
      </w:rPr>
    </w:lvl>
    <w:lvl w:ilvl="5" w:tplc="04090005" w:tentative="1">
      <w:start w:val="1"/>
      <w:numFmt w:val="bullet"/>
      <w:lvlText w:val=""/>
      <w:lvlJc w:val="left"/>
      <w:pPr>
        <w:ind w:left="4441" w:hanging="360"/>
      </w:pPr>
      <w:rPr>
        <w:rFonts w:ascii="Wingdings" w:hAnsi="Wingdings" w:hint="default"/>
      </w:rPr>
    </w:lvl>
    <w:lvl w:ilvl="6" w:tplc="04090001" w:tentative="1">
      <w:start w:val="1"/>
      <w:numFmt w:val="bullet"/>
      <w:lvlText w:val=""/>
      <w:lvlJc w:val="left"/>
      <w:pPr>
        <w:ind w:left="5161" w:hanging="360"/>
      </w:pPr>
      <w:rPr>
        <w:rFonts w:ascii="Symbol" w:hAnsi="Symbol" w:hint="default"/>
      </w:rPr>
    </w:lvl>
    <w:lvl w:ilvl="7" w:tplc="04090003" w:tentative="1">
      <w:start w:val="1"/>
      <w:numFmt w:val="bullet"/>
      <w:lvlText w:val="o"/>
      <w:lvlJc w:val="left"/>
      <w:pPr>
        <w:ind w:left="5881" w:hanging="360"/>
      </w:pPr>
      <w:rPr>
        <w:rFonts w:ascii="Courier New" w:hAnsi="Courier New" w:cs="Courier New" w:hint="default"/>
      </w:rPr>
    </w:lvl>
    <w:lvl w:ilvl="8" w:tplc="04090005" w:tentative="1">
      <w:start w:val="1"/>
      <w:numFmt w:val="bullet"/>
      <w:lvlText w:val=""/>
      <w:lvlJc w:val="left"/>
      <w:pPr>
        <w:ind w:left="6601" w:hanging="360"/>
      </w:pPr>
      <w:rPr>
        <w:rFonts w:ascii="Wingdings" w:hAnsi="Wingdings" w:hint="default"/>
      </w:rPr>
    </w:lvl>
  </w:abstractNum>
  <w:abstractNum w:abstractNumId="28">
    <w:nsid w:val="348D35E2"/>
    <w:multiLevelType w:val="hybridMultilevel"/>
    <w:tmpl w:val="17A6A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54B4CE9"/>
    <w:multiLevelType w:val="hybridMultilevel"/>
    <w:tmpl w:val="8154D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6713D91"/>
    <w:multiLevelType w:val="hybridMultilevel"/>
    <w:tmpl w:val="7E02AF46"/>
    <w:lvl w:ilvl="0" w:tplc="23549FC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8182A39"/>
    <w:multiLevelType w:val="hybridMultilevel"/>
    <w:tmpl w:val="2EE45CBC"/>
    <w:lvl w:ilvl="0" w:tplc="04090001">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387C38FF"/>
    <w:multiLevelType w:val="hybridMultilevel"/>
    <w:tmpl w:val="2E7A4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8916334"/>
    <w:multiLevelType w:val="hybridMultilevel"/>
    <w:tmpl w:val="1542C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A313B63"/>
    <w:multiLevelType w:val="hybridMultilevel"/>
    <w:tmpl w:val="03ECB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A4A6B0F"/>
    <w:multiLevelType w:val="hybridMultilevel"/>
    <w:tmpl w:val="D8E464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0941D49"/>
    <w:multiLevelType w:val="hybridMultilevel"/>
    <w:tmpl w:val="78B2B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1B800E2"/>
    <w:multiLevelType w:val="hybridMultilevel"/>
    <w:tmpl w:val="2662E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4133DD8"/>
    <w:multiLevelType w:val="hybridMultilevel"/>
    <w:tmpl w:val="6EE6D6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6DD3CCE"/>
    <w:multiLevelType w:val="hybridMultilevel"/>
    <w:tmpl w:val="DB54E216"/>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40">
    <w:nsid w:val="47473102"/>
    <w:multiLevelType w:val="hybridMultilevel"/>
    <w:tmpl w:val="67083B3E"/>
    <w:lvl w:ilvl="0" w:tplc="40BE0B7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A403D8A"/>
    <w:multiLevelType w:val="hybridMultilevel"/>
    <w:tmpl w:val="5512E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C911913"/>
    <w:multiLevelType w:val="hybridMultilevel"/>
    <w:tmpl w:val="37A8A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DC70EA0"/>
    <w:multiLevelType w:val="multilevel"/>
    <w:tmpl w:val="8CD2E4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
    <w:nsid w:val="549767C6"/>
    <w:multiLevelType w:val="hybridMultilevel"/>
    <w:tmpl w:val="A356B460"/>
    <w:lvl w:ilvl="0" w:tplc="3D4E543A">
      <w:start w:val="1"/>
      <w:numFmt w:val="bullet"/>
      <w:lvlText w:val="•"/>
      <w:lvlJc w:val="left"/>
      <w:pPr>
        <w:tabs>
          <w:tab w:val="num" w:pos="720"/>
        </w:tabs>
        <w:ind w:left="720" w:hanging="360"/>
      </w:pPr>
      <w:rPr>
        <w:rFonts w:ascii="Arial" w:hAnsi="Arial" w:cs="Times New Roman" w:hint="default"/>
      </w:rPr>
    </w:lvl>
    <w:lvl w:ilvl="1" w:tplc="A266AE0E">
      <w:start w:val="4684"/>
      <w:numFmt w:val="bullet"/>
      <w:lvlText w:val="–"/>
      <w:lvlJc w:val="left"/>
      <w:pPr>
        <w:tabs>
          <w:tab w:val="num" w:pos="1440"/>
        </w:tabs>
        <w:ind w:left="1440" w:hanging="360"/>
      </w:pPr>
      <w:rPr>
        <w:rFonts w:ascii="Arial" w:hAnsi="Arial" w:cs="Times New Roman" w:hint="default"/>
      </w:rPr>
    </w:lvl>
    <w:lvl w:ilvl="2" w:tplc="C99E5FF8">
      <w:start w:val="1"/>
      <w:numFmt w:val="bullet"/>
      <w:lvlText w:val="•"/>
      <w:lvlJc w:val="left"/>
      <w:pPr>
        <w:tabs>
          <w:tab w:val="num" w:pos="2160"/>
        </w:tabs>
        <w:ind w:left="2160" w:hanging="360"/>
      </w:pPr>
      <w:rPr>
        <w:rFonts w:ascii="Arial" w:hAnsi="Arial" w:cs="Times New Roman" w:hint="default"/>
      </w:rPr>
    </w:lvl>
    <w:lvl w:ilvl="3" w:tplc="2AB8414C">
      <w:start w:val="1"/>
      <w:numFmt w:val="bullet"/>
      <w:lvlText w:val="•"/>
      <w:lvlJc w:val="left"/>
      <w:pPr>
        <w:tabs>
          <w:tab w:val="num" w:pos="2880"/>
        </w:tabs>
        <w:ind w:left="2880" w:hanging="360"/>
      </w:pPr>
      <w:rPr>
        <w:rFonts w:ascii="Arial" w:hAnsi="Arial" w:cs="Times New Roman" w:hint="default"/>
      </w:rPr>
    </w:lvl>
    <w:lvl w:ilvl="4" w:tplc="68CE3234">
      <w:start w:val="1"/>
      <w:numFmt w:val="bullet"/>
      <w:lvlText w:val="•"/>
      <w:lvlJc w:val="left"/>
      <w:pPr>
        <w:tabs>
          <w:tab w:val="num" w:pos="3600"/>
        </w:tabs>
        <w:ind w:left="3600" w:hanging="360"/>
      </w:pPr>
      <w:rPr>
        <w:rFonts w:ascii="Arial" w:hAnsi="Arial" w:cs="Times New Roman" w:hint="default"/>
      </w:rPr>
    </w:lvl>
    <w:lvl w:ilvl="5" w:tplc="805A96E2">
      <w:start w:val="1"/>
      <w:numFmt w:val="bullet"/>
      <w:lvlText w:val="•"/>
      <w:lvlJc w:val="left"/>
      <w:pPr>
        <w:tabs>
          <w:tab w:val="num" w:pos="4320"/>
        </w:tabs>
        <w:ind w:left="4320" w:hanging="360"/>
      </w:pPr>
      <w:rPr>
        <w:rFonts w:ascii="Arial" w:hAnsi="Arial" w:cs="Times New Roman" w:hint="default"/>
      </w:rPr>
    </w:lvl>
    <w:lvl w:ilvl="6" w:tplc="FC90BF72">
      <w:start w:val="1"/>
      <w:numFmt w:val="bullet"/>
      <w:lvlText w:val="•"/>
      <w:lvlJc w:val="left"/>
      <w:pPr>
        <w:tabs>
          <w:tab w:val="num" w:pos="5040"/>
        </w:tabs>
        <w:ind w:left="5040" w:hanging="360"/>
      </w:pPr>
      <w:rPr>
        <w:rFonts w:ascii="Arial" w:hAnsi="Arial" w:cs="Times New Roman" w:hint="default"/>
      </w:rPr>
    </w:lvl>
    <w:lvl w:ilvl="7" w:tplc="256A9F4C">
      <w:start w:val="1"/>
      <w:numFmt w:val="bullet"/>
      <w:lvlText w:val="•"/>
      <w:lvlJc w:val="left"/>
      <w:pPr>
        <w:tabs>
          <w:tab w:val="num" w:pos="5760"/>
        </w:tabs>
        <w:ind w:left="5760" w:hanging="360"/>
      </w:pPr>
      <w:rPr>
        <w:rFonts w:ascii="Arial" w:hAnsi="Arial" w:cs="Times New Roman" w:hint="default"/>
      </w:rPr>
    </w:lvl>
    <w:lvl w:ilvl="8" w:tplc="9294C716">
      <w:start w:val="1"/>
      <w:numFmt w:val="bullet"/>
      <w:lvlText w:val="•"/>
      <w:lvlJc w:val="left"/>
      <w:pPr>
        <w:tabs>
          <w:tab w:val="num" w:pos="6480"/>
        </w:tabs>
        <w:ind w:left="6480" w:hanging="360"/>
      </w:pPr>
      <w:rPr>
        <w:rFonts w:ascii="Arial" w:hAnsi="Arial" w:cs="Times New Roman" w:hint="default"/>
      </w:rPr>
    </w:lvl>
  </w:abstractNum>
  <w:abstractNum w:abstractNumId="45">
    <w:nsid w:val="54BD28FD"/>
    <w:multiLevelType w:val="hybridMultilevel"/>
    <w:tmpl w:val="35B27E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586C725C"/>
    <w:multiLevelType w:val="hybridMultilevel"/>
    <w:tmpl w:val="21B0C70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8F904B0"/>
    <w:multiLevelType w:val="hybridMultilevel"/>
    <w:tmpl w:val="BC98C08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10B3727"/>
    <w:multiLevelType w:val="hybridMultilevel"/>
    <w:tmpl w:val="02DE5D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62D55792"/>
    <w:multiLevelType w:val="hybridMultilevel"/>
    <w:tmpl w:val="976207D0"/>
    <w:lvl w:ilvl="0" w:tplc="7BD62F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63870C8F"/>
    <w:multiLevelType w:val="hybridMultilevel"/>
    <w:tmpl w:val="15BE5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3F631A2"/>
    <w:multiLevelType w:val="hybridMultilevel"/>
    <w:tmpl w:val="F45AB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42A71A9"/>
    <w:multiLevelType w:val="hybridMultilevel"/>
    <w:tmpl w:val="1EFCF274"/>
    <w:lvl w:ilvl="0" w:tplc="04090001">
      <w:start w:val="1"/>
      <w:numFmt w:val="bullet"/>
      <w:lvlText w:val=""/>
      <w:lvlJc w:val="left"/>
      <w:pPr>
        <w:ind w:left="780" w:hanging="360"/>
      </w:pPr>
      <w:rPr>
        <w:rFonts w:ascii="Symbol" w:hAnsi="Symbol" w:hint="default"/>
      </w:rPr>
    </w:lvl>
    <w:lvl w:ilvl="1" w:tplc="04090001">
      <w:start w:val="1"/>
      <w:numFmt w:val="bullet"/>
      <w:lvlText w:val=""/>
      <w:lvlJc w:val="left"/>
      <w:pPr>
        <w:ind w:left="1500" w:hanging="360"/>
      </w:pPr>
      <w:rPr>
        <w:rFonts w:ascii="Symbol" w:hAnsi="Symbol"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3">
    <w:nsid w:val="656C2C47"/>
    <w:multiLevelType w:val="hybridMultilevel"/>
    <w:tmpl w:val="C8306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96C1716"/>
    <w:multiLevelType w:val="hybridMultilevel"/>
    <w:tmpl w:val="B7A8240E"/>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5">
    <w:nsid w:val="69BD4A98"/>
    <w:multiLevelType w:val="hybridMultilevel"/>
    <w:tmpl w:val="005E7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E6F5E2F"/>
    <w:multiLevelType w:val="hybridMultilevel"/>
    <w:tmpl w:val="D6E81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09C6E95"/>
    <w:multiLevelType w:val="hybridMultilevel"/>
    <w:tmpl w:val="919ED8EE"/>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0A77E62"/>
    <w:multiLevelType w:val="hybridMultilevel"/>
    <w:tmpl w:val="AC944F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15466B2"/>
    <w:multiLevelType w:val="hybridMultilevel"/>
    <w:tmpl w:val="0822702E"/>
    <w:lvl w:ilvl="0" w:tplc="23549FCA">
      <w:start w:val="1"/>
      <w:numFmt w:val="bullet"/>
      <w:lvlText w:val="•"/>
      <w:lvlJc w:val="left"/>
      <w:pPr>
        <w:tabs>
          <w:tab w:val="num" w:pos="720"/>
        </w:tabs>
        <w:ind w:left="720" w:hanging="360"/>
      </w:pPr>
      <w:rPr>
        <w:rFonts w:ascii="Arial" w:hAnsi="Arial" w:hint="default"/>
      </w:rPr>
    </w:lvl>
    <w:lvl w:ilvl="1" w:tplc="7458F0A4" w:tentative="1">
      <w:start w:val="1"/>
      <w:numFmt w:val="bullet"/>
      <w:lvlText w:val="•"/>
      <w:lvlJc w:val="left"/>
      <w:pPr>
        <w:tabs>
          <w:tab w:val="num" w:pos="1440"/>
        </w:tabs>
        <w:ind w:left="1440" w:hanging="360"/>
      </w:pPr>
      <w:rPr>
        <w:rFonts w:ascii="Arial" w:hAnsi="Arial" w:hint="default"/>
      </w:rPr>
    </w:lvl>
    <w:lvl w:ilvl="2" w:tplc="5CEE6C38" w:tentative="1">
      <w:start w:val="1"/>
      <w:numFmt w:val="bullet"/>
      <w:lvlText w:val="•"/>
      <w:lvlJc w:val="left"/>
      <w:pPr>
        <w:tabs>
          <w:tab w:val="num" w:pos="2160"/>
        </w:tabs>
        <w:ind w:left="2160" w:hanging="360"/>
      </w:pPr>
      <w:rPr>
        <w:rFonts w:ascii="Arial" w:hAnsi="Arial" w:hint="default"/>
      </w:rPr>
    </w:lvl>
    <w:lvl w:ilvl="3" w:tplc="04FA274C" w:tentative="1">
      <w:start w:val="1"/>
      <w:numFmt w:val="bullet"/>
      <w:lvlText w:val="•"/>
      <w:lvlJc w:val="left"/>
      <w:pPr>
        <w:tabs>
          <w:tab w:val="num" w:pos="2880"/>
        </w:tabs>
        <w:ind w:left="2880" w:hanging="360"/>
      </w:pPr>
      <w:rPr>
        <w:rFonts w:ascii="Arial" w:hAnsi="Arial" w:hint="default"/>
      </w:rPr>
    </w:lvl>
    <w:lvl w:ilvl="4" w:tplc="DCF8CB26" w:tentative="1">
      <w:start w:val="1"/>
      <w:numFmt w:val="bullet"/>
      <w:lvlText w:val="•"/>
      <w:lvlJc w:val="left"/>
      <w:pPr>
        <w:tabs>
          <w:tab w:val="num" w:pos="3600"/>
        </w:tabs>
        <w:ind w:left="3600" w:hanging="360"/>
      </w:pPr>
      <w:rPr>
        <w:rFonts w:ascii="Arial" w:hAnsi="Arial" w:hint="default"/>
      </w:rPr>
    </w:lvl>
    <w:lvl w:ilvl="5" w:tplc="074AF656" w:tentative="1">
      <w:start w:val="1"/>
      <w:numFmt w:val="bullet"/>
      <w:lvlText w:val="•"/>
      <w:lvlJc w:val="left"/>
      <w:pPr>
        <w:tabs>
          <w:tab w:val="num" w:pos="4320"/>
        </w:tabs>
        <w:ind w:left="4320" w:hanging="360"/>
      </w:pPr>
      <w:rPr>
        <w:rFonts w:ascii="Arial" w:hAnsi="Arial" w:hint="default"/>
      </w:rPr>
    </w:lvl>
    <w:lvl w:ilvl="6" w:tplc="036A36E8" w:tentative="1">
      <w:start w:val="1"/>
      <w:numFmt w:val="bullet"/>
      <w:lvlText w:val="•"/>
      <w:lvlJc w:val="left"/>
      <w:pPr>
        <w:tabs>
          <w:tab w:val="num" w:pos="5040"/>
        </w:tabs>
        <w:ind w:left="5040" w:hanging="360"/>
      </w:pPr>
      <w:rPr>
        <w:rFonts w:ascii="Arial" w:hAnsi="Arial" w:hint="default"/>
      </w:rPr>
    </w:lvl>
    <w:lvl w:ilvl="7" w:tplc="B19E6764" w:tentative="1">
      <w:start w:val="1"/>
      <w:numFmt w:val="bullet"/>
      <w:lvlText w:val="•"/>
      <w:lvlJc w:val="left"/>
      <w:pPr>
        <w:tabs>
          <w:tab w:val="num" w:pos="5760"/>
        </w:tabs>
        <w:ind w:left="5760" w:hanging="360"/>
      </w:pPr>
      <w:rPr>
        <w:rFonts w:ascii="Arial" w:hAnsi="Arial" w:hint="default"/>
      </w:rPr>
    </w:lvl>
    <w:lvl w:ilvl="8" w:tplc="E0C8F896" w:tentative="1">
      <w:start w:val="1"/>
      <w:numFmt w:val="bullet"/>
      <w:lvlText w:val="•"/>
      <w:lvlJc w:val="left"/>
      <w:pPr>
        <w:tabs>
          <w:tab w:val="num" w:pos="6480"/>
        </w:tabs>
        <w:ind w:left="6480" w:hanging="360"/>
      </w:pPr>
      <w:rPr>
        <w:rFonts w:ascii="Arial" w:hAnsi="Arial" w:hint="default"/>
      </w:rPr>
    </w:lvl>
  </w:abstractNum>
  <w:abstractNum w:abstractNumId="60">
    <w:nsid w:val="72A74335"/>
    <w:multiLevelType w:val="hybridMultilevel"/>
    <w:tmpl w:val="6994B6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4E96C41"/>
    <w:multiLevelType w:val="hybridMultilevel"/>
    <w:tmpl w:val="6994B6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6EA3583"/>
    <w:multiLevelType w:val="hybridMultilevel"/>
    <w:tmpl w:val="919ED8EE"/>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7BB219E"/>
    <w:multiLevelType w:val="hybridMultilevel"/>
    <w:tmpl w:val="D8E464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999232C"/>
    <w:multiLevelType w:val="hybridMultilevel"/>
    <w:tmpl w:val="A4EA5458"/>
    <w:lvl w:ilvl="0" w:tplc="04090011">
      <w:start w:val="1"/>
      <w:numFmt w:val="decimal"/>
      <w:lvlText w:val="%1)"/>
      <w:lvlJc w:val="left"/>
      <w:pPr>
        <w:ind w:left="720" w:hanging="360"/>
      </w:pPr>
      <w:rPr>
        <w:rFonts w:hint="default"/>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65">
    <w:nsid w:val="7D771488"/>
    <w:multiLevelType w:val="hybridMultilevel"/>
    <w:tmpl w:val="AE822F7A"/>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66">
    <w:nsid w:val="7D8E0981"/>
    <w:multiLevelType w:val="hybridMultilevel"/>
    <w:tmpl w:val="A2A03BD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7">
    <w:nsid w:val="7EF71203"/>
    <w:multiLevelType w:val="hybridMultilevel"/>
    <w:tmpl w:val="A4EA5458"/>
    <w:lvl w:ilvl="0" w:tplc="04090011">
      <w:start w:val="1"/>
      <w:numFmt w:val="decimal"/>
      <w:lvlText w:val="%1)"/>
      <w:lvlJc w:val="left"/>
      <w:pPr>
        <w:ind w:left="720" w:hanging="360"/>
      </w:pPr>
      <w:rPr>
        <w:rFonts w:hint="default"/>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51"/>
  </w:num>
  <w:num w:numId="2">
    <w:abstractNumId w:val="1"/>
  </w:num>
  <w:num w:numId="3">
    <w:abstractNumId w:val="31"/>
  </w:num>
  <w:num w:numId="4">
    <w:abstractNumId w:val="67"/>
  </w:num>
  <w:num w:numId="5">
    <w:abstractNumId w:val="11"/>
  </w:num>
  <w:num w:numId="6">
    <w:abstractNumId w:val="10"/>
  </w:num>
  <w:num w:numId="7">
    <w:abstractNumId w:val="52"/>
  </w:num>
  <w:num w:numId="8">
    <w:abstractNumId w:val="0"/>
  </w:num>
  <w:num w:numId="9">
    <w:abstractNumId w:val="50"/>
  </w:num>
  <w:num w:numId="10">
    <w:abstractNumId w:val="36"/>
  </w:num>
  <w:num w:numId="11">
    <w:abstractNumId w:val="19"/>
  </w:num>
  <w:num w:numId="12">
    <w:abstractNumId w:val="32"/>
  </w:num>
  <w:num w:numId="13">
    <w:abstractNumId w:val="4"/>
  </w:num>
  <w:num w:numId="14">
    <w:abstractNumId w:val="42"/>
  </w:num>
  <w:num w:numId="15">
    <w:abstractNumId w:val="57"/>
  </w:num>
  <w:num w:numId="16">
    <w:abstractNumId w:val="49"/>
  </w:num>
  <w:num w:numId="17">
    <w:abstractNumId w:val="48"/>
  </w:num>
  <w:num w:numId="18">
    <w:abstractNumId w:val="40"/>
  </w:num>
  <w:num w:numId="19">
    <w:abstractNumId w:val="39"/>
  </w:num>
  <w:num w:numId="20">
    <w:abstractNumId w:val="65"/>
  </w:num>
  <w:num w:numId="21">
    <w:abstractNumId w:val="12"/>
  </w:num>
  <w:num w:numId="22">
    <w:abstractNumId w:val="45"/>
  </w:num>
  <w:num w:numId="2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6"/>
  </w:num>
  <w:num w:numId="25">
    <w:abstractNumId w:val="47"/>
  </w:num>
  <w:num w:numId="26">
    <w:abstractNumId w:val="13"/>
  </w:num>
  <w:num w:numId="27">
    <w:abstractNumId w:val="14"/>
  </w:num>
  <w:num w:numId="28">
    <w:abstractNumId w:val="37"/>
  </w:num>
  <w:num w:numId="29">
    <w:abstractNumId w:val="53"/>
  </w:num>
  <w:num w:numId="30">
    <w:abstractNumId w:val="8"/>
  </w:num>
  <w:num w:numId="31">
    <w:abstractNumId w:val="43"/>
  </w:num>
  <w:num w:numId="3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2"/>
  </w:num>
  <w:num w:numId="38">
    <w:abstractNumId w:val="20"/>
  </w:num>
  <w:num w:numId="39">
    <w:abstractNumId w:val="7"/>
  </w:num>
  <w:num w:numId="40">
    <w:abstractNumId w:val="64"/>
  </w:num>
  <w:num w:numId="41">
    <w:abstractNumId w:val="38"/>
  </w:num>
  <w:num w:numId="42">
    <w:abstractNumId w:val="15"/>
  </w:num>
  <w:num w:numId="43">
    <w:abstractNumId w:val="35"/>
  </w:num>
  <w:num w:numId="44">
    <w:abstractNumId w:val="61"/>
  </w:num>
  <w:num w:numId="45">
    <w:abstractNumId w:val="59"/>
  </w:num>
  <w:num w:numId="46">
    <w:abstractNumId w:val="6"/>
  </w:num>
  <w:num w:numId="47">
    <w:abstractNumId w:val="44"/>
  </w:num>
  <w:num w:numId="48">
    <w:abstractNumId w:val="2"/>
  </w:num>
  <w:num w:numId="49">
    <w:abstractNumId w:val="30"/>
  </w:num>
  <w:num w:numId="50">
    <w:abstractNumId w:val="5"/>
  </w:num>
  <w:num w:numId="51">
    <w:abstractNumId w:val="60"/>
  </w:num>
  <w:num w:numId="52">
    <w:abstractNumId w:val="54"/>
  </w:num>
  <w:num w:numId="53">
    <w:abstractNumId w:val="3"/>
  </w:num>
  <w:num w:numId="54">
    <w:abstractNumId w:val="33"/>
  </w:num>
  <w:num w:numId="55">
    <w:abstractNumId w:val="22"/>
  </w:num>
  <w:num w:numId="56">
    <w:abstractNumId w:val="21"/>
  </w:num>
  <w:num w:numId="57">
    <w:abstractNumId w:val="23"/>
  </w:num>
  <w:num w:numId="58">
    <w:abstractNumId w:val="17"/>
  </w:num>
  <w:num w:numId="59">
    <w:abstractNumId w:val="46"/>
  </w:num>
  <w:num w:numId="60">
    <w:abstractNumId w:val="18"/>
  </w:num>
  <w:num w:numId="61">
    <w:abstractNumId w:val="63"/>
  </w:num>
  <w:num w:numId="62">
    <w:abstractNumId w:val="34"/>
  </w:num>
  <w:num w:numId="63">
    <w:abstractNumId w:val="26"/>
  </w:num>
  <w:num w:numId="64">
    <w:abstractNumId w:val="18"/>
  </w:num>
  <w:num w:numId="65">
    <w:abstractNumId w:val="16"/>
  </w:num>
  <w:num w:numId="66">
    <w:abstractNumId w:val="24"/>
  </w:num>
  <w:num w:numId="67">
    <w:abstractNumId w:val="9"/>
  </w:num>
  <w:num w:numId="68">
    <w:abstractNumId w:val="27"/>
  </w:num>
  <w:num w:numId="69">
    <w:abstractNumId w:val="29"/>
  </w:num>
  <w:num w:numId="70">
    <w:abstractNumId w:val="28"/>
  </w:num>
  <w:num w:numId="71">
    <w:abstractNumId w:val="41"/>
  </w:num>
  <w:num w:numId="72">
    <w:abstractNumId w:val="25"/>
  </w:num>
  <w:num w:numId="73">
    <w:abstractNumId w:val="55"/>
  </w:num>
  <w:num w:numId="74">
    <w:abstractNumId w:val="58"/>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movePersonalInformation/>
  <w:removeDateAndTime/>
  <w:defaultTabStop w:val="720"/>
  <w:drawingGridHorizontalSpacing w:val="120"/>
  <w:displayHorizontalDrawingGridEvery w:val="2"/>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A53"/>
    <w:rsid w:val="00000A88"/>
    <w:rsid w:val="00001DB9"/>
    <w:rsid w:val="00002A49"/>
    <w:rsid w:val="00002FA7"/>
    <w:rsid w:val="00003198"/>
    <w:rsid w:val="00004353"/>
    <w:rsid w:val="000048F7"/>
    <w:rsid w:val="00005767"/>
    <w:rsid w:val="00007258"/>
    <w:rsid w:val="0001086E"/>
    <w:rsid w:val="00010EF2"/>
    <w:rsid w:val="0001117D"/>
    <w:rsid w:val="00011632"/>
    <w:rsid w:val="00011FB1"/>
    <w:rsid w:val="000125A2"/>
    <w:rsid w:val="000125F2"/>
    <w:rsid w:val="00012FC7"/>
    <w:rsid w:val="000148EA"/>
    <w:rsid w:val="00015EBA"/>
    <w:rsid w:val="00016BF3"/>
    <w:rsid w:val="000179FF"/>
    <w:rsid w:val="00021BDD"/>
    <w:rsid w:val="00021F9E"/>
    <w:rsid w:val="000224C8"/>
    <w:rsid w:val="00023A0B"/>
    <w:rsid w:val="00024AC4"/>
    <w:rsid w:val="00025798"/>
    <w:rsid w:val="00025D0B"/>
    <w:rsid w:val="00025FD5"/>
    <w:rsid w:val="00027849"/>
    <w:rsid w:val="00031A38"/>
    <w:rsid w:val="00031C95"/>
    <w:rsid w:val="0003239E"/>
    <w:rsid w:val="0003254D"/>
    <w:rsid w:val="00032C82"/>
    <w:rsid w:val="00033B90"/>
    <w:rsid w:val="00033DCB"/>
    <w:rsid w:val="00034671"/>
    <w:rsid w:val="0003565D"/>
    <w:rsid w:val="000377DC"/>
    <w:rsid w:val="000408C8"/>
    <w:rsid w:val="0004127A"/>
    <w:rsid w:val="000418D9"/>
    <w:rsid w:val="000422F4"/>
    <w:rsid w:val="00042F28"/>
    <w:rsid w:val="0004518C"/>
    <w:rsid w:val="000455E7"/>
    <w:rsid w:val="00046737"/>
    <w:rsid w:val="0004796D"/>
    <w:rsid w:val="00047D07"/>
    <w:rsid w:val="00047E45"/>
    <w:rsid w:val="00050902"/>
    <w:rsid w:val="000510AB"/>
    <w:rsid w:val="00051B6D"/>
    <w:rsid w:val="00053844"/>
    <w:rsid w:val="00053BE1"/>
    <w:rsid w:val="00053EB1"/>
    <w:rsid w:val="00054055"/>
    <w:rsid w:val="000555CB"/>
    <w:rsid w:val="00055750"/>
    <w:rsid w:val="000564EE"/>
    <w:rsid w:val="000566A5"/>
    <w:rsid w:val="00057F95"/>
    <w:rsid w:val="00061C22"/>
    <w:rsid w:val="0006203A"/>
    <w:rsid w:val="00062130"/>
    <w:rsid w:val="000628EE"/>
    <w:rsid w:val="000633F5"/>
    <w:rsid w:val="00063A96"/>
    <w:rsid w:val="0006508B"/>
    <w:rsid w:val="000654AF"/>
    <w:rsid w:val="00065E37"/>
    <w:rsid w:val="00066175"/>
    <w:rsid w:val="000671D6"/>
    <w:rsid w:val="00067A4D"/>
    <w:rsid w:val="00070B14"/>
    <w:rsid w:val="00070EAE"/>
    <w:rsid w:val="0007278B"/>
    <w:rsid w:val="000731A7"/>
    <w:rsid w:val="00074AC2"/>
    <w:rsid w:val="000759FC"/>
    <w:rsid w:val="00080864"/>
    <w:rsid w:val="000830C0"/>
    <w:rsid w:val="0008342A"/>
    <w:rsid w:val="00084008"/>
    <w:rsid w:val="000849D9"/>
    <w:rsid w:val="00084DBE"/>
    <w:rsid w:val="000872E7"/>
    <w:rsid w:val="00087833"/>
    <w:rsid w:val="00087D53"/>
    <w:rsid w:val="00087ECD"/>
    <w:rsid w:val="00090536"/>
    <w:rsid w:val="00090953"/>
    <w:rsid w:val="00091631"/>
    <w:rsid w:val="00092202"/>
    <w:rsid w:val="00092B29"/>
    <w:rsid w:val="00093185"/>
    <w:rsid w:val="00093AB2"/>
    <w:rsid w:val="000949B6"/>
    <w:rsid w:val="00096864"/>
    <w:rsid w:val="00096A91"/>
    <w:rsid w:val="000A02F7"/>
    <w:rsid w:val="000A09CF"/>
    <w:rsid w:val="000A0F61"/>
    <w:rsid w:val="000A1B87"/>
    <w:rsid w:val="000A2476"/>
    <w:rsid w:val="000A2F46"/>
    <w:rsid w:val="000A3CBB"/>
    <w:rsid w:val="000A3FB6"/>
    <w:rsid w:val="000A508B"/>
    <w:rsid w:val="000A5AA0"/>
    <w:rsid w:val="000A60DF"/>
    <w:rsid w:val="000A6748"/>
    <w:rsid w:val="000A75CB"/>
    <w:rsid w:val="000A7849"/>
    <w:rsid w:val="000B15ED"/>
    <w:rsid w:val="000B210C"/>
    <w:rsid w:val="000B23D1"/>
    <w:rsid w:val="000B292E"/>
    <w:rsid w:val="000B3991"/>
    <w:rsid w:val="000B5137"/>
    <w:rsid w:val="000B7313"/>
    <w:rsid w:val="000B7469"/>
    <w:rsid w:val="000B7FF7"/>
    <w:rsid w:val="000C184D"/>
    <w:rsid w:val="000C1D75"/>
    <w:rsid w:val="000C254F"/>
    <w:rsid w:val="000C2A39"/>
    <w:rsid w:val="000C30A8"/>
    <w:rsid w:val="000C312B"/>
    <w:rsid w:val="000C38D4"/>
    <w:rsid w:val="000C3FC9"/>
    <w:rsid w:val="000C46CF"/>
    <w:rsid w:val="000C50C9"/>
    <w:rsid w:val="000C5344"/>
    <w:rsid w:val="000C5355"/>
    <w:rsid w:val="000C69DD"/>
    <w:rsid w:val="000D0B64"/>
    <w:rsid w:val="000D0E8E"/>
    <w:rsid w:val="000D30BA"/>
    <w:rsid w:val="000D3DD0"/>
    <w:rsid w:val="000D3ED8"/>
    <w:rsid w:val="000D5659"/>
    <w:rsid w:val="000D61FA"/>
    <w:rsid w:val="000D72E2"/>
    <w:rsid w:val="000D7453"/>
    <w:rsid w:val="000E0D9A"/>
    <w:rsid w:val="000E1C26"/>
    <w:rsid w:val="000E1E31"/>
    <w:rsid w:val="000E2100"/>
    <w:rsid w:val="000E2524"/>
    <w:rsid w:val="000E2738"/>
    <w:rsid w:val="000E28D2"/>
    <w:rsid w:val="000E30E5"/>
    <w:rsid w:val="000E3332"/>
    <w:rsid w:val="000E3632"/>
    <w:rsid w:val="000E395F"/>
    <w:rsid w:val="000E3D73"/>
    <w:rsid w:val="000E44C4"/>
    <w:rsid w:val="000E4631"/>
    <w:rsid w:val="000E5C89"/>
    <w:rsid w:val="000E5E75"/>
    <w:rsid w:val="000E6721"/>
    <w:rsid w:val="000E6C43"/>
    <w:rsid w:val="000E74FE"/>
    <w:rsid w:val="000F0108"/>
    <w:rsid w:val="000F0632"/>
    <w:rsid w:val="000F14ED"/>
    <w:rsid w:val="000F16A2"/>
    <w:rsid w:val="000F19A6"/>
    <w:rsid w:val="000F1AB5"/>
    <w:rsid w:val="000F1D4D"/>
    <w:rsid w:val="000F2144"/>
    <w:rsid w:val="000F247A"/>
    <w:rsid w:val="000F4098"/>
    <w:rsid w:val="000F595A"/>
    <w:rsid w:val="000F5BFE"/>
    <w:rsid w:val="000F5E1E"/>
    <w:rsid w:val="000F63DA"/>
    <w:rsid w:val="000F7F81"/>
    <w:rsid w:val="001002D6"/>
    <w:rsid w:val="00100D81"/>
    <w:rsid w:val="001015C5"/>
    <w:rsid w:val="001015E5"/>
    <w:rsid w:val="00102207"/>
    <w:rsid w:val="00102B7B"/>
    <w:rsid w:val="00102C5A"/>
    <w:rsid w:val="0010306E"/>
    <w:rsid w:val="00103DEC"/>
    <w:rsid w:val="00103E41"/>
    <w:rsid w:val="0010403C"/>
    <w:rsid w:val="00104FE3"/>
    <w:rsid w:val="0010531C"/>
    <w:rsid w:val="001053D2"/>
    <w:rsid w:val="00106DD6"/>
    <w:rsid w:val="00107A21"/>
    <w:rsid w:val="00110721"/>
    <w:rsid w:val="00110C69"/>
    <w:rsid w:val="001113FF"/>
    <w:rsid w:val="00111CB8"/>
    <w:rsid w:val="00112E59"/>
    <w:rsid w:val="00113210"/>
    <w:rsid w:val="001139DB"/>
    <w:rsid w:val="0011583D"/>
    <w:rsid w:val="001170DA"/>
    <w:rsid w:val="00120370"/>
    <w:rsid w:val="00120624"/>
    <w:rsid w:val="00120B67"/>
    <w:rsid w:val="00120BF3"/>
    <w:rsid w:val="0012229C"/>
    <w:rsid w:val="001226C2"/>
    <w:rsid w:val="0012329C"/>
    <w:rsid w:val="001236FD"/>
    <w:rsid w:val="0012495F"/>
    <w:rsid w:val="00124EBB"/>
    <w:rsid w:val="00125717"/>
    <w:rsid w:val="0012572E"/>
    <w:rsid w:val="001258B5"/>
    <w:rsid w:val="001262D0"/>
    <w:rsid w:val="001266FD"/>
    <w:rsid w:val="00126CBB"/>
    <w:rsid w:val="00126D8A"/>
    <w:rsid w:val="00126F57"/>
    <w:rsid w:val="00127037"/>
    <w:rsid w:val="00127560"/>
    <w:rsid w:val="00131ACE"/>
    <w:rsid w:val="00131C05"/>
    <w:rsid w:val="001321A5"/>
    <w:rsid w:val="0013289A"/>
    <w:rsid w:val="001328B1"/>
    <w:rsid w:val="0013376B"/>
    <w:rsid w:val="001339A5"/>
    <w:rsid w:val="00134734"/>
    <w:rsid w:val="0013519A"/>
    <w:rsid w:val="0013620B"/>
    <w:rsid w:val="0013685F"/>
    <w:rsid w:val="00137349"/>
    <w:rsid w:val="0013759C"/>
    <w:rsid w:val="001412D1"/>
    <w:rsid w:val="00142227"/>
    <w:rsid w:val="001435E4"/>
    <w:rsid w:val="0014471D"/>
    <w:rsid w:val="00147C09"/>
    <w:rsid w:val="0015071A"/>
    <w:rsid w:val="00151B3C"/>
    <w:rsid w:val="00151EF9"/>
    <w:rsid w:val="00152F6F"/>
    <w:rsid w:val="001531D1"/>
    <w:rsid w:val="00153917"/>
    <w:rsid w:val="00153BC2"/>
    <w:rsid w:val="00153C4B"/>
    <w:rsid w:val="00153F6D"/>
    <w:rsid w:val="00155244"/>
    <w:rsid w:val="00155D09"/>
    <w:rsid w:val="00155E46"/>
    <w:rsid w:val="00156A80"/>
    <w:rsid w:val="00156B87"/>
    <w:rsid w:val="00157FDF"/>
    <w:rsid w:val="0016071D"/>
    <w:rsid w:val="00160E1D"/>
    <w:rsid w:val="00161C89"/>
    <w:rsid w:val="001625CA"/>
    <w:rsid w:val="00162BC6"/>
    <w:rsid w:val="001639C2"/>
    <w:rsid w:val="00163E6C"/>
    <w:rsid w:val="001646F4"/>
    <w:rsid w:val="00164882"/>
    <w:rsid w:val="00164C22"/>
    <w:rsid w:val="00164C2D"/>
    <w:rsid w:val="00165013"/>
    <w:rsid w:val="001650E7"/>
    <w:rsid w:val="00165F90"/>
    <w:rsid w:val="00166283"/>
    <w:rsid w:val="001665C1"/>
    <w:rsid w:val="001678D9"/>
    <w:rsid w:val="00167EB3"/>
    <w:rsid w:val="00170C90"/>
    <w:rsid w:val="00170CF7"/>
    <w:rsid w:val="00171AAA"/>
    <w:rsid w:val="00172F97"/>
    <w:rsid w:val="001734B1"/>
    <w:rsid w:val="00173501"/>
    <w:rsid w:val="00174DC9"/>
    <w:rsid w:val="00174EF4"/>
    <w:rsid w:val="00175B9D"/>
    <w:rsid w:val="00176828"/>
    <w:rsid w:val="001769F0"/>
    <w:rsid w:val="00177192"/>
    <w:rsid w:val="00180C29"/>
    <w:rsid w:val="001815CB"/>
    <w:rsid w:val="00181727"/>
    <w:rsid w:val="001824B0"/>
    <w:rsid w:val="0018502B"/>
    <w:rsid w:val="00185762"/>
    <w:rsid w:val="001860CD"/>
    <w:rsid w:val="00186A09"/>
    <w:rsid w:val="00187099"/>
    <w:rsid w:val="00187D34"/>
    <w:rsid w:val="001902AB"/>
    <w:rsid w:val="001906AD"/>
    <w:rsid w:val="001918D8"/>
    <w:rsid w:val="0019276D"/>
    <w:rsid w:val="001928EE"/>
    <w:rsid w:val="001930F8"/>
    <w:rsid w:val="00193F6A"/>
    <w:rsid w:val="00194674"/>
    <w:rsid w:val="00194A32"/>
    <w:rsid w:val="00196281"/>
    <w:rsid w:val="001962CE"/>
    <w:rsid w:val="001964ED"/>
    <w:rsid w:val="00196605"/>
    <w:rsid w:val="00196AA4"/>
    <w:rsid w:val="00196F54"/>
    <w:rsid w:val="00197816"/>
    <w:rsid w:val="001A009F"/>
    <w:rsid w:val="001A00D6"/>
    <w:rsid w:val="001A03EB"/>
    <w:rsid w:val="001A0430"/>
    <w:rsid w:val="001A0917"/>
    <w:rsid w:val="001A0B2B"/>
    <w:rsid w:val="001A11FD"/>
    <w:rsid w:val="001A2C7A"/>
    <w:rsid w:val="001A2F07"/>
    <w:rsid w:val="001A4005"/>
    <w:rsid w:val="001A54FE"/>
    <w:rsid w:val="001A576F"/>
    <w:rsid w:val="001A6698"/>
    <w:rsid w:val="001A6988"/>
    <w:rsid w:val="001A6A79"/>
    <w:rsid w:val="001A6E4E"/>
    <w:rsid w:val="001A7AEC"/>
    <w:rsid w:val="001B0AE4"/>
    <w:rsid w:val="001B0F0D"/>
    <w:rsid w:val="001B1291"/>
    <w:rsid w:val="001B1A2F"/>
    <w:rsid w:val="001B202B"/>
    <w:rsid w:val="001B222D"/>
    <w:rsid w:val="001B2E69"/>
    <w:rsid w:val="001B4A31"/>
    <w:rsid w:val="001B5CFF"/>
    <w:rsid w:val="001B5D8B"/>
    <w:rsid w:val="001B629E"/>
    <w:rsid w:val="001B6A81"/>
    <w:rsid w:val="001B6B85"/>
    <w:rsid w:val="001B6B8B"/>
    <w:rsid w:val="001B6CEC"/>
    <w:rsid w:val="001B7C3D"/>
    <w:rsid w:val="001C0534"/>
    <w:rsid w:val="001C1000"/>
    <w:rsid w:val="001C1541"/>
    <w:rsid w:val="001C23D0"/>
    <w:rsid w:val="001C246E"/>
    <w:rsid w:val="001C260F"/>
    <w:rsid w:val="001C2992"/>
    <w:rsid w:val="001C4C4C"/>
    <w:rsid w:val="001C59A7"/>
    <w:rsid w:val="001C665C"/>
    <w:rsid w:val="001C6CAE"/>
    <w:rsid w:val="001D0FCD"/>
    <w:rsid w:val="001D1076"/>
    <w:rsid w:val="001D18A2"/>
    <w:rsid w:val="001D3823"/>
    <w:rsid w:val="001D3C2B"/>
    <w:rsid w:val="001D46A9"/>
    <w:rsid w:val="001D49F5"/>
    <w:rsid w:val="001D5418"/>
    <w:rsid w:val="001D5B2D"/>
    <w:rsid w:val="001D5FDA"/>
    <w:rsid w:val="001D60A9"/>
    <w:rsid w:val="001D6298"/>
    <w:rsid w:val="001D6300"/>
    <w:rsid w:val="001D6D56"/>
    <w:rsid w:val="001D6EDC"/>
    <w:rsid w:val="001D79BC"/>
    <w:rsid w:val="001E0206"/>
    <w:rsid w:val="001E081E"/>
    <w:rsid w:val="001E114E"/>
    <w:rsid w:val="001E1D4F"/>
    <w:rsid w:val="001E2825"/>
    <w:rsid w:val="001E42BA"/>
    <w:rsid w:val="001E44EA"/>
    <w:rsid w:val="001E5053"/>
    <w:rsid w:val="001E57BE"/>
    <w:rsid w:val="001E6AA3"/>
    <w:rsid w:val="001E7445"/>
    <w:rsid w:val="001E76A7"/>
    <w:rsid w:val="001E7BF3"/>
    <w:rsid w:val="001E7C5E"/>
    <w:rsid w:val="001F0577"/>
    <w:rsid w:val="001F05A5"/>
    <w:rsid w:val="001F08F0"/>
    <w:rsid w:val="001F1259"/>
    <w:rsid w:val="001F1D7A"/>
    <w:rsid w:val="001F367D"/>
    <w:rsid w:val="001F3D2F"/>
    <w:rsid w:val="001F457A"/>
    <w:rsid w:val="001F4A6E"/>
    <w:rsid w:val="001F50C7"/>
    <w:rsid w:val="001F6E02"/>
    <w:rsid w:val="00200C12"/>
    <w:rsid w:val="00203F04"/>
    <w:rsid w:val="002040A9"/>
    <w:rsid w:val="00204CAA"/>
    <w:rsid w:val="00205286"/>
    <w:rsid w:val="00205FCD"/>
    <w:rsid w:val="002100D1"/>
    <w:rsid w:val="002108D1"/>
    <w:rsid w:val="00211ED4"/>
    <w:rsid w:val="00212C41"/>
    <w:rsid w:val="00212DB1"/>
    <w:rsid w:val="0021385E"/>
    <w:rsid w:val="002138F9"/>
    <w:rsid w:val="00213EFE"/>
    <w:rsid w:val="00213FED"/>
    <w:rsid w:val="0021546B"/>
    <w:rsid w:val="00215877"/>
    <w:rsid w:val="002162BD"/>
    <w:rsid w:val="0021638E"/>
    <w:rsid w:val="00216D95"/>
    <w:rsid w:val="00216ECD"/>
    <w:rsid w:val="002202A6"/>
    <w:rsid w:val="00220638"/>
    <w:rsid w:val="002211EE"/>
    <w:rsid w:val="00222146"/>
    <w:rsid w:val="0022233D"/>
    <w:rsid w:val="002223BB"/>
    <w:rsid w:val="00224155"/>
    <w:rsid w:val="00225687"/>
    <w:rsid w:val="00226928"/>
    <w:rsid w:val="002275CB"/>
    <w:rsid w:val="00227E80"/>
    <w:rsid w:val="00230760"/>
    <w:rsid w:val="00230D2C"/>
    <w:rsid w:val="00230EDB"/>
    <w:rsid w:val="002317F8"/>
    <w:rsid w:val="00231BBD"/>
    <w:rsid w:val="00231FBE"/>
    <w:rsid w:val="00232B78"/>
    <w:rsid w:val="002333FD"/>
    <w:rsid w:val="00233A2B"/>
    <w:rsid w:val="00234211"/>
    <w:rsid w:val="00234573"/>
    <w:rsid w:val="00235439"/>
    <w:rsid w:val="00235604"/>
    <w:rsid w:val="00235DEA"/>
    <w:rsid w:val="002364B7"/>
    <w:rsid w:val="00237378"/>
    <w:rsid w:val="002400B5"/>
    <w:rsid w:val="0024024E"/>
    <w:rsid w:val="00240A4F"/>
    <w:rsid w:val="00242489"/>
    <w:rsid w:val="00242549"/>
    <w:rsid w:val="00243231"/>
    <w:rsid w:val="00243389"/>
    <w:rsid w:val="0024436B"/>
    <w:rsid w:val="00245A9B"/>
    <w:rsid w:val="002462A3"/>
    <w:rsid w:val="00246325"/>
    <w:rsid w:val="00246625"/>
    <w:rsid w:val="00246789"/>
    <w:rsid w:val="002473C2"/>
    <w:rsid w:val="0025058A"/>
    <w:rsid w:val="00250FF7"/>
    <w:rsid w:val="00251422"/>
    <w:rsid w:val="00251B32"/>
    <w:rsid w:val="00252296"/>
    <w:rsid w:val="00253232"/>
    <w:rsid w:val="0025326C"/>
    <w:rsid w:val="00253B0E"/>
    <w:rsid w:val="00253D45"/>
    <w:rsid w:val="002544BB"/>
    <w:rsid w:val="002549B2"/>
    <w:rsid w:val="00255F59"/>
    <w:rsid w:val="00257723"/>
    <w:rsid w:val="0026118E"/>
    <w:rsid w:val="00261CBD"/>
    <w:rsid w:val="00262C79"/>
    <w:rsid w:val="00262F0C"/>
    <w:rsid w:val="0026307D"/>
    <w:rsid w:val="00263318"/>
    <w:rsid w:val="0026360C"/>
    <w:rsid w:val="002638C5"/>
    <w:rsid w:val="002654CD"/>
    <w:rsid w:val="00265EA4"/>
    <w:rsid w:val="0026609B"/>
    <w:rsid w:val="00266D62"/>
    <w:rsid w:val="0026716C"/>
    <w:rsid w:val="002701C0"/>
    <w:rsid w:val="0027089F"/>
    <w:rsid w:val="00271151"/>
    <w:rsid w:val="0027272E"/>
    <w:rsid w:val="00272C24"/>
    <w:rsid w:val="00272E11"/>
    <w:rsid w:val="00272FC0"/>
    <w:rsid w:val="0027396C"/>
    <w:rsid w:val="00273D7A"/>
    <w:rsid w:val="00273FCE"/>
    <w:rsid w:val="00274446"/>
    <w:rsid w:val="00274C1D"/>
    <w:rsid w:val="0027583C"/>
    <w:rsid w:val="00275885"/>
    <w:rsid w:val="00275946"/>
    <w:rsid w:val="00275A79"/>
    <w:rsid w:val="00275C2E"/>
    <w:rsid w:val="00276139"/>
    <w:rsid w:val="00276315"/>
    <w:rsid w:val="002768CB"/>
    <w:rsid w:val="00276B02"/>
    <w:rsid w:val="00283A73"/>
    <w:rsid w:val="00283B6F"/>
    <w:rsid w:val="00284667"/>
    <w:rsid w:val="00284B86"/>
    <w:rsid w:val="002856B0"/>
    <w:rsid w:val="00286393"/>
    <w:rsid w:val="002866E0"/>
    <w:rsid w:val="0028776B"/>
    <w:rsid w:val="00290C21"/>
    <w:rsid w:val="0029102E"/>
    <w:rsid w:val="00291DA0"/>
    <w:rsid w:val="00292F9B"/>
    <w:rsid w:val="00293167"/>
    <w:rsid w:val="00294A7E"/>
    <w:rsid w:val="002953FE"/>
    <w:rsid w:val="00295A54"/>
    <w:rsid w:val="00295CDE"/>
    <w:rsid w:val="00296800"/>
    <w:rsid w:val="0029764A"/>
    <w:rsid w:val="00297C5D"/>
    <w:rsid w:val="002A10C6"/>
    <w:rsid w:val="002A1445"/>
    <w:rsid w:val="002A1750"/>
    <w:rsid w:val="002A2D1F"/>
    <w:rsid w:val="002A494C"/>
    <w:rsid w:val="002A4BD6"/>
    <w:rsid w:val="002A50EB"/>
    <w:rsid w:val="002A5E66"/>
    <w:rsid w:val="002A70F0"/>
    <w:rsid w:val="002A7820"/>
    <w:rsid w:val="002A7EA7"/>
    <w:rsid w:val="002B04CE"/>
    <w:rsid w:val="002B0C06"/>
    <w:rsid w:val="002B0CEF"/>
    <w:rsid w:val="002B114F"/>
    <w:rsid w:val="002B1410"/>
    <w:rsid w:val="002B350A"/>
    <w:rsid w:val="002B3570"/>
    <w:rsid w:val="002B436E"/>
    <w:rsid w:val="002B6209"/>
    <w:rsid w:val="002B7E5D"/>
    <w:rsid w:val="002C0D2E"/>
    <w:rsid w:val="002C1143"/>
    <w:rsid w:val="002C1A0B"/>
    <w:rsid w:val="002C1CA0"/>
    <w:rsid w:val="002C1F30"/>
    <w:rsid w:val="002C37E8"/>
    <w:rsid w:val="002C4230"/>
    <w:rsid w:val="002C51E0"/>
    <w:rsid w:val="002C65E7"/>
    <w:rsid w:val="002C7F22"/>
    <w:rsid w:val="002D0548"/>
    <w:rsid w:val="002D0642"/>
    <w:rsid w:val="002D0A28"/>
    <w:rsid w:val="002D0B11"/>
    <w:rsid w:val="002D0C0E"/>
    <w:rsid w:val="002D12B1"/>
    <w:rsid w:val="002D17EE"/>
    <w:rsid w:val="002D2314"/>
    <w:rsid w:val="002D2EA9"/>
    <w:rsid w:val="002D336C"/>
    <w:rsid w:val="002D6DD5"/>
    <w:rsid w:val="002E1AB8"/>
    <w:rsid w:val="002E2073"/>
    <w:rsid w:val="002E360E"/>
    <w:rsid w:val="002E41FF"/>
    <w:rsid w:val="002E5164"/>
    <w:rsid w:val="002E5E37"/>
    <w:rsid w:val="002E6C6E"/>
    <w:rsid w:val="002E6CC8"/>
    <w:rsid w:val="002F0C2C"/>
    <w:rsid w:val="002F1090"/>
    <w:rsid w:val="002F11CB"/>
    <w:rsid w:val="002F13F9"/>
    <w:rsid w:val="002F1787"/>
    <w:rsid w:val="002F2496"/>
    <w:rsid w:val="002F27BF"/>
    <w:rsid w:val="002F3C7B"/>
    <w:rsid w:val="002F4E95"/>
    <w:rsid w:val="002F68CF"/>
    <w:rsid w:val="00301BE9"/>
    <w:rsid w:val="00302D51"/>
    <w:rsid w:val="00302FD9"/>
    <w:rsid w:val="00303409"/>
    <w:rsid w:val="003036BC"/>
    <w:rsid w:val="00303D32"/>
    <w:rsid w:val="0030447E"/>
    <w:rsid w:val="00304798"/>
    <w:rsid w:val="00304935"/>
    <w:rsid w:val="00305149"/>
    <w:rsid w:val="003056FD"/>
    <w:rsid w:val="00305875"/>
    <w:rsid w:val="00306039"/>
    <w:rsid w:val="0030615A"/>
    <w:rsid w:val="00312204"/>
    <w:rsid w:val="003122C6"/>
    <w:rsid w:val="003122C7"/>
    <w:rsid w:val="0031271F"/>
    <w:rsid w:val="00312DE7"/>
    <w:rsid w:val="00313725"/>
    <w:rsid w:val="00314634"/>
    <w:rsid w:val="00315853"/>
    <w:rsid w:val="00315A10"/>
    <w:rsid w:val="003168E0"/>
    <w:rsid w:val="003172C3"/>
    <w:rsid w:val="003201E1"/>
    <w:rsid w:val="003205D6"/>
    <w:rsid w:val="00320A8E"/>
    <w:rsid w:val="00320D61"/>
    <w:rsid w:val="00320E6C"/>
    <w:rsid w:val="003210BB"/>
    <w:rsid w:val="003228B8"/>
    <w:rsid w:val="00322B13"/>
    <w:rsid w:val="00323F48"/>
    <w:rsid w:val="00324943"/>
    <w:rsid w:val="0032521E"/>
    <w:rsid w:val="003264B1"/>
    <w:rsid w:val="003302D2"/>
    <w:rsid w:val="003305C4"/>
    <w:rsid w:val="00330981"/>
    <w:rsid w:val="00332501"/>
    <w:rsid w:val="00332688"/>
    <w:rsid w:val="00332FB7"/>
    <w:rsid w:val="00333049"/>
    <w:rsid w:val="0033306E"/>
    <w:rsid w:val="00333AD7"/>
    <w:rsid w:val="00334481"/>
    <w:rsid w:val="00335900"/>
    <w:rsid w:val="00335A79"/>
    <w:rsid w:val="0033623F"/>
    <w:rsid w:val="00336363"/>
    <w:rsid w:val="003366EA"/>
    <w:rsid w:val="003368E2"/>
    <w:rsid w:val="003376E5"/>
    <w:rsid w:val="0033784C"/>
    <w:rsid w:val="003403F4"/>
    <w:rsid w:val="003407EC"/>
    <w:rsid w:val="00341C9E"/>
    <w:rsid w:val="003429FD"/>
    <w:rsid w:val="00342D29"/>
    <w:rsid w:val="003434CA"/>
    <w:rsid w:val="00343697"/>
    <w:rsid w:val="00343917"/>
    <w:rsid w:val="003440CD"/>
    <w:rsid w:val="00344EB4"/>
    <w:rsid w:val="0034680F"/>
    <w:rsid w:val="00346ABC"/>
    <w:rsid w:val="00346AC3"/>
    <w:rsid w:val="0035049C"/>
    <w:rsid w:val="00350C89"/>
    <w:rsid w:val="00351EFD"/>
    <w:rsid w:val="003529E5"/>
    <w:rsid w:val="00352B49"/>
    <w:rsid w:val="00352E38"/>
    <w:rsid w:val="00353B0C"/>
    <w:rsid w:val="00355BC2"/>
    <w:rsid w:val="00357649"/>
    <w:rsid w:val="00360314"/>
    <w:rsid w:val="0036168D"/>
    <w:rsid w:val="00361918"/>
    <w:rsid w:val="003619E6"/>
    <w:rsid w:val="00364907"/>
    <w:rsid w:val="00364D9A"/>
    <w:rsid w:val="00365032"/>
    <w:rsid w:val="003654BA"/>
    <w:rsid w:val="003659FE"/>
    <w:rsid w:val="003668E6"/>
    <w:rsid w:val="00370536"/>
    <w:rsid w:val="00370A5C"/>
    <w:rsid w:val="00371455"/>
    <w:rsid w:val="00371485"/>
    <w:rsid w:val="00371E58"/>
    <w:rsid w:val="00371FAE"/>
    <w:rsid w:val="00372603"/>
    <w:rsid w:val="00372A03"/>
    <w:rsid w:val="00372C31"/>
    <w:rsid w:val="00372FB9"/>
    <w:rsid w:val="003732D2"/>
    <w:rsid w:val="0037330B"/>
    <w:rsid w:val="003742A2"/>
    <w:rsid w:val="00375440"/>
    <w:rsid w:val="00375486"/>
    <w:rsid w:val="00375691"/>
    <w:rsid w:val="00375A44"/>
    <w:rsid w:val="003765B3"/>
    <w:rsid w:val="003769AE"/>
    <w:rsid w:val="00376C96"/>
    <w:rsid w:val="00376E45"/>
    <w:rsid w:val="00376F98"/>
    <w:rsid w:val="0038024C"/>
    <w:rsid w:val="003818FF"/>
    <w:rsid w:val="00381D6D"/>
    <w:rsid w:val="00381FF2"/>
    <w:rsid w:val="00382FD1"/>
    <w:rsid w:val="00384861"/>
    <w:rsid w:val="00384F0B"/>
    <w:rsid w:val="00385DF5"/>
    <w:rsid w:val="00386DD2"/>
    <w:rsid w:val="00387046"/>
    <w:rsid w:val="003879D5"/>
    <w:rsid w:val="00387C90"/>
    <w:rsid w:val="00391F2A"/>
    <w:rsid w:val="00392223"/>
    <w:rsid w:val="00392F92"/>
    <w:rsid w:val="00393671"/>
    <w:rsid w:val="00394037"/>
    <w:rsid w:val="00394785"/>
    <w:rsid w:val="0039481C"/>
    <w:rsid w:val="0039530E"/>
    <w:rsid w:val="0039541A"/>
    <w:rsid w:val="00395D60"/>
    <w:rsid w:val="00396323"/>
    <w:rsid w:val="00397120"/>
    <w:rsid w:val="00397429"/>
    <w:rsid w:val="0039758E"/>
    <w:rsid w:val="00397654"/>
    <w:rsid w:val="00397DE5"/>
    <w:rsid w:val="003A032F"/>
    <w:rsid w:val="003A0963"/>
    <w:rsid w:val="003A0A43"/>
    <w:rsid w:val="003A0C2F"/>
    <w:rsid w:val="003A12D6"/>
    <w:rsid w:val="003A1D31"/>
    <w:rsid w:val="003A2170"/>
    <w:rsid w:val="003A22CB"/>
    <w:rsid w:val="003A256D"/>
    <w:rsid w:val="003A2AB6"/>
    <w:rsid w:val="003A3E8D"/>
    <w:rsid w:val="003A4F05"/>
    <w:rsid w:val="003A4FF1"/>
    <w:rsid w:val="003A5309"/>
    <w:rsid w:val="003A6571"/>
    <w:rsid w:val="003A6872"/>
    <w:rsid w:val="003A70BB"/>
    <w:rsid w:val="003A7690"/>
    <w:rsid w:val="003A7CD3"/>
    <w:rsid w:val="003B2EFB"/>
    <w:rsid w:val="003B34EC"/>
    <w:rsid w:val="003B36E8"/>
    <w:rsid w:val="003B3777"/>
    <w:rsid w:val="003B37D5"/>
    <w:rsid w:val="003B4662"/>
    <w:rsid w:val="003B4675"/>
    <w:rsid w:val="003B5B11"/>
    <w:rsid w:val="003B5CCF"/>
    <w:rsid w:val="003B5EB3"/>
    <w:rsid w:val="003B673B"/>
    <w:rsid w:val="003B68E6"/>
    <w:rsid w:val="003B6AC5"/>
    <w:rsid w:val="003B7584"/>
    <w:rsid w:val="003C0157"/>
    <w:rsid w:val="003C050A"/>
    <w:rsid w:val="003C1E25"/>
    <w:rsid w:val="003C229B"/>
    <w:rsid w:val="003C280E"/>
    <w:rsid w:val="003C2DF2"/>
    <w:rsid w:val="003C31CF"/>
    <w:rsid w:val="003C3352"/>
    <w:rsid w:val="003C4FDA"/>
    <w:rsid w:val="003C560C"/>
    <w:rsid w:val="003C5E0C"/>
    <w:rsid w:val="003C6563"/>
    <w:rsid w:val="003C6BD0"/>
    <w:rsid w:val="003D04D3"/>
    <w:rsid w:val="003D0E66"/>
    <w:rsid w:val="003D13C7"/>
    <w:rsid w:val="003D2007"/>
    <w:rsid w:val="003D2043"/>
    <w:rsid w:val="003D240A"/>
    <w:rsid w:val="003D26EE"/>
    <w:rsid w:val="003D272C"/>
    <w:rsid w:val="003D3029"/>
    <w:rsid w:val="003D32D1"/>
    <w:rsid w:val="003D38C6"/>
    <w:rsid w:val="003D3BCE"/>
    <w:rsid w:val="003D5961"/>
    <w:rsid w:val="003D5BAD"/>
    <w:rsid w:val="003E032C"/>
    <w:rsid w:val="003E10D6"/>
    <w:rsid w:val="003E15F7"/>
    <w:rsid w:val="003E1722"/>
    <w:rsid w:val="003E18E7"/>
    <w:rsid w:val="003E2787"/>
    <w:rsid w:val="003E2935"/>
    <w:rsid w:val="003E2B5D"/>
    <w:rsid w:val="003E2EB6"/>
    <w:rsid w:val="003E3790"/>
    <w:rsid w:val="003E3BD0"/>
    <w:rsid w:val="003E3DDD"/>
    <w:rsid w:val="003E4223"/>
    <w:rsid w:val="003E4414"/>
    <w:rsid w:val="003E46F8"/>
    <w:rsid w:val="003E47C4"/>
    <w:rsid w:val="003E47DB"/>
    <w:rsid w:val="003E51AD"/>
    <w:rsid w:val="003E5254"/>
    <w:rsid w:val="003E526D"/>
    <w:rsid w:val="003E5484"/>
    <w:rsid w:val="003F019C"/>
    <w:rsid w:val="003F0444"/>
    <w:rsid w:val="003F207F"/>
    <w:rsid w:val="003F20B7"/>
    <w:rsid w:val="003F3766"/>
    <w:rsid w:val="003F37F3"/>
    <w:rsid w:val="003F4838"/>
    <w:rsid w:val="003F4FCB"/>
    <w:rsid w:val="003F597D"/>
    <w:rsid w:val="003F5D25"/>
    <w:rsid w:val="003F61C5"/>
    <w:rsid w:val="003F6538"/>
    <w:rsid w:val="003F68D2"/>
    <w:rsid w:val="003F785A"/>
    <w:rsid w:val="004002AB"/>
    <w:rsid w:val="0040087E"/>
    <w:rsid w:val="00401DF3"/>
    <w:rsid w:val="0040248E"/>
    <w:rsid w:val="00402CEB"/>
    <w:rsid w:val="00405384"/>
    <w:rsid w:val="00405424"/>
    <w:rsid w:val="0040558E"/>
    <w:rsid w:val="0040581D"/>
    <w:rsid w:val="004063F6"/>
    <w:rsid w:val="00406C4E"/>
    <w:rsid w:val="00407486"/>
    <w:rsid w:val="00407804"/>
    <w:rsid w:val="00407F20"/>
    <w:rsid w:val="00410450"/>
    <w:rsid w:val="00411CBC"/>
    <w:rsid w:val="00411DD6"/>
    <w:rsid w:val="00412577"/>
    <w:rsid w:val="004127E1"/>
    <w:rsid w:val="00413819"/>
    <w:rsid w:val="00415359"/>
    <w:rsid w:val="00415BF7"/>
    <w:rsid w:val="004169A6"/>
    <w:rsid w:val="00417B86"/>
    <w:rsid w:val="0042100E"/>
    <w:rsid w:val="0042232C"/>
    <w:rsid w:val="004240C5"/>
    <w:rsid w:val="004242C9"/>
    <w:rsid w:val="00424A4F"/>
    <w:rsid w:val="004252FD"/>
    <w:rsid w:val="00425AF2"/>
    <w:rsid w:val="00425B1B"/>
    <w:rsid w:val="00426856"/>
    <w:rsid w:val="004304ED"/>
    <w:rsid w:val="00430EEE"/>
    <w:rsid w:val="00431A60"/>
    <w:rsid w:val="00432258"/>
    <w:rsid w:val="0043291A"/>
    <w:rsid w:val="00432C28"/>
    <w:rsid w:val="004336B7"/>
    <w:rsid w:val="00435A22"/>
    <w:rsid w:val="00436022"/>
    <w:rsid w:val="004361C9"/>
    <w:rsid w:val="004363E9"/>
    <w:rsid w:val="00436BA3"/>
    <w:rsid w:val="0043715C"/>
    <w:rsid w:val="004376FD"/>
    <w:rsid w:val="004406E6"/>
    <w:rsid w:val="00440E73"/>
    <w:rsid w:val="004410AA"/>
    <w:rsid w:val="004424FE"/>
    <w:rsid w:val="00442563"/>
    <w:rsid w:val="004425FB"/>
    <w:rsid w:val="00445CFB"/>
    <w:rsid w:val="00446400"/>
    <w:rsid w:val="0044687E"/>
    <w:rsid w:val="004501B2"/>
    <w:rsid w:val="00450329"/>
    <w:rsid w:val="00450464"/>
    <w:rsid w:val="004511FD"/>
    <w:rsid w:val="004524D6"/>
    <w:rsid w:val="0045303D"/>
    <w:rsid w:val="00453318"/>
    <w:rsid w:val="00453E9C"/>
    <w:rsid w:val="0045414F"/>
    <w:rsid w:val="004543E2"/>
    <w:rsid w:val="00454F7D"/>
    <w:rsid w:val="0045606E"/>
    <w:rsid w:val="00456155"/>
    <w:rsid w:val="00456CA2"/>
    <w:rsid w:val="00456DA0"/>
    <w:rsid w:val="004570B1"/>
    <w:rsid w:val="00457145"/>
    <w:rsid w:val="004601C0"/>
    <w:rsid w:val="0046065C"/>
    <w:rsid w:val="0046125E"/>
    <w:rsid w:val="0046158A"/>
    <w:rsid w:val="00461B1A"/>
    <w:rsid w:val="00461DDD"/>
    <w:rsid w:val="004640A9"/>
    <w:rsid w:val="0046458E"/>
    <w:rsid w:val="00465099"/>
    <w:rsid w:val="00466772"/>
    <w:rsid w:val="004667E0"/>
    <w:rsid w:val="00471E05"/>
    <w:rsid w:val="0047330F"/>
    <w:rsid w:val="004738E4"/>
    <w:rsid w:val="00475047"/>
    <w:rsid w:val="00476C07"/>
    <w:rsid w:val="00480F67"/>
    <w:rsid w:val="0048148D"/>
    <w:rsid w:val="0048150C"/>
    <w:rsid w:val="00482D6B"/>
    <w:rsid w:val="00483061"/>
    <w:rsid w:val="0048354E"/>
    <w:rsid w:val="00484065"/>
    <w:rsid w:val="00484373"/>
    <w:rsid w:val="00487E0B"/>
    <w:rsid w:val="004907D3"/>
    <w:rsid w:val="004911DC"/>
    <w:rsid w:val="0049237A"/>
    <w:rsid w:val="0049280B"/>
    <w:rsid w:val="004962BA"/>
    <w:rsid w:val="0049641B"/>
    <w:rsid w:val="004964EF"/>
    <w:rsid w:val="0049751C"/>
    <w:rsid w:val="00497916"/>
    <w:rsid w:val="00497EEC"/>
    <w:rsid w:val="004A0386"/>
    <w:rsid w:val="004A0B0D"/>
    <w:rsid w:val="004A283B"/>
    <w:rsid w:val="004A2A79"/>
    <w:rsid w:val="004A34E2"/>
    <w:rsid w:val="004A3C16"/>
    <w:rsid w:val="004A45C8"/>
    <w:rsid w:val="004A6C96"/>
    <w:rsid w:val="004A7CFB"/>
    <w:rsid w:val="004B0C97"/>
    <w:rsid w:val="004B0DC1"/>
    <w:rsid w:val="004B1B6E"/>
    <w:rsid w:val="004B1C72"/>
    <w:rsid w:val="004B260C"/>
    <w:rsid w:val="004B2E71"/>
    <w:rsid w:val="004B2EC2"/>
    <w:rsid w:val="004B3D62"/>
    <w:rsid w:val="004B408E"/>
    <w:rsid w:val="004B445A"/>
    <w:rsid w:val="004B4479"/>
    <w:rsid w:val="004B501A"/>
    <w:rsid w:val="004B5818"/>
    <w:rsid w:val="004B66E0"/>
    <w:rsid w:val="004B6744"/>
    <w:rsid w:val="004B7CEA"/>
    <w:rsid w:val="004C115E"/>
    <w:rsid w:val="004C1190"/>
    <w:rsid w:val="004C2476"/>
    <w:rsid w:val="004C2AC3"/>
    <w:rsid w:val="004C2EC0"/>
    <w:rsid w:val="004C3C25"/>
    <w:rsid w:val="004C44C4"/>
    <w:rsid w:val="004C4EC9"/>
    <w:rsid w:val="004C5131"/>
    <w:rsid w:val="004C570E"/>
    <w:rsid w:val="004C5742"/>
    <w:rsid w:val="004C7885"/>
    <w:rsid w:val="004D17C3"/>
    <w:rsid w:val="004D1CB3"/>
    <w:rsid w:val="004D2A3C"/>
    <w:rsid w:val="004D3FE0"/>
    <w:rsid w:val="004D40EC"/>
    <w:rsid w:val="004D45C1"/>
    <w:rsid w:val="004D5417"/>
    <w:rsid w:val="004D5F81"/>
    <w:rsid w:val="004D621A"/>
    <w:rsid w:val="004D640B"/>
    <w:rsid w:val="004D71AA"/>
    <w:rsid w:val="004D7B77"/>
    <w:rsid w:val="004D7C37"/>
    <w:rsid w:val="004D7E61"/>
    <w:rsid w:val="004E0958"/>
    <w:rsid w:val="004E0B1F"/>
    <w:rsid w:val="004E16A1"/>
    <w:rsid w:val="004E23D8"/>
    <w:rsid w:val="004E2407"/>
    <w:rsid w:val="004E2F14"/>
    <w:rsid w:val="004E3242"/>
    <w:rsid w:val="004E4324"/>
    <w:rsid w:val="004E4487"/>
    <w:rsid w:val="004E4A08"/>
    <w:rsid w:val="004E4D22"/>
    <w:rsid w:val="004E5167"/>
    <w:rsid w:val="004E54E4"/>
    <w:rsid w:val="004E5E63"/>
    <w:rsid w:val="004E6DDC"/>
    <w:rsid w:val="004E710A"/>
    <w:rsid w:val="004E789F"/>
    <w:rsid w:val="004E7B46"/>
    <w:rsid w:val="004F0F30"/>
    <w:rsid w:val="004F1A23"/>
    <w:rsid w:val="004F2A0F"/>
    <w:rsid w:val="004F366C"/>
    <w:rsid w:val="004F384D"/>
    <w:rsid w:val="004F4003"/>
    <w:rsid w:val="004F5F88"/>
    <w:rsid w:val="004F6112"/>
    <w:rsid w:val="004F755E"/>
    <w:rsid w:val="004F788C"/>
    <w:rsid w:val="004F7F16"/>
    <w:rsid w:val="0050056A"/>
    <w:rsid w:val="005008E7"/>
    <w:rsid w:val="00500AF8"/>
    <w:rsid w:val="00501CD0"/>
    <w:rsid w:val="00503D80"/>
    <w:rsid w:val="00504740"/>
    <w:rsid w:val="00504C73"/>
    <w:rsid w:val="005050A6"/>
    <w:rsid w:val="0050543B"/>
    <w:rsid w:val="00505571"/>
    <w:rsid w:val="00505985"/>
    <w:rsid w:val="00505992"/>
    <w:rsid w:val="00507AF7"/>
    <w:rsid w:val="0051052F"/>
    <w:rsid w:val="00510A1B"/>
    <w:rsid w:val="00510DB1"/>
    <w:rsid w:val="005121CE"/>
    <w:rsid w:val="005124DF"/>
    <w:rsid w:val="0051328B"/>
    <w:rsid w:val="00513761"/>
    <w:rsid w:val="00514745"/>
    <w:rsid w:val="00514B22"/>
    <w:rsid w:val="0052016F"/>
    <w:rsid w:val="00520261"/>
    <w:rsid w:val="00520435"/>
    <w:rsid w:val="00520A09"/>
    <w:rsid w:val="00521599"/>
    <w:rsid w:val="00521C2D"/>
    <w:rsid w:val="0052236F"/>
    <w:rsid w:val="0052420D"/>
    <w:rsid w:val="00524C63"/>
    <w:rsid w:val="005302D5"/>
    <w:rsid w:val="00531C70"/>
    <w:rsid w:val="00531E57"/>
    <w:rsid w:val="00533129"/>
    <w:rsid w:val="005335E1"/>
    <w:rsid w:val="00533C0B"/>
    <w:rsid w:val="00533F8A"/>
    <w:rsid w:val="00534B5D"/>
    <w:rsid w:val="00534ECF"/>
    <w:rsid w:val="00535181"/>
    <w:rsid w:val="00536081"/>
    <w:rsid w:val="00537F93"/>
    <w:rsid w:val="005408BC"/>
    <w:rsid w:val="00541D44"/>
    <w:rsid w:val="00543DA8"/>
    <w:rsid w:val="00543F51"/>
    <w:rsid w:val="005461FB"/>
    <w:rsid w:val="00546234"/>
    <w:rsid w:val="0054634A"/>
    <w:rsid w:val="00546667"/>
    <w:rsid w:val="00546EEF"/>
    <w:rsid w:val="005475B3"/>
    <w:rsid w:val="005500CB"/>
    <w:rsid w:val="005519EA"/>
    <w:rsid w:val="0055401A"/>
    <w:rsid w:val="00554236"/>
    <w:rsid w:val="0055492B"/>
    <w:rsid w:val="00554D5B"/>
    <w:rsid w:val="00556463"/>
    <w:rsid w:val="00561A3D"/>
    <w:rsid w:val="0056291C"/>
    <w:rsid w:val="0056332A"/>
    <w:rsid w:val="005643A8"/>
    <w:rsid w:val="005649FD"/>
    <w:rsid w:val="0056568D"/>
    <w:rsid w:val="00565EE9"/>
    <w:rsid w:val="00566C55"/>
    <w:rsid w:val="005677C4"/>
    <w:rsid w:val="005678F3"/>
    <w:rsid w:val="00571235"/>
    <w:rsid w:val="00571429"/>
    <w:rsid w:val="00571A95"/>
    <w:rsid w:val="0057362B"/>
    <w:rsid w:val="005736BA"/>
    <w:rsid w:val="005751EB"/>
    <w:rsid w:val="00575B58"/>
    <w:rsid w:val="00576B9E"/>
    <w:rsid w:val="005803C5"/>
    <w:rsid w:val="00581256"/>
    <w:rsid w:val="0058186B"/>
    <w:rsid w:val="00583B56"/>
    <w:rsid w:val="00583C87"/>
    <w:rsid w:val="005847F8"/>
    <w:rsid w:val="00584E2B"/>
    <w:rsid w:val="005859CF"/>
    <w:rsid w:val="005907D5"/>
    <w:rsid w:val="00590FC4"/>
    <w:rsid w:val="00591717"/>
    <w:rsid w:val="00591855"/>
    <w:rsid w:val="00591DD0"/>
    <w:rsid w:val="005945C0"/>
    <w:rsid w:val="00596209"/>
    <w:rsid w:val="00596891"/>
    <w:rsid w:val="00596D2A"/>
    <w:rsid w:val="00596E81"/>
    <w:rsid w:val="0059735B"/>
    <w:rsid w:val="00597529"/>
    <w:rsid w:val="0059776B"/>
    <w:rsid w:val="00597FCE"/>
    <w:rsid w:val="005A01A9"/>
    <w:rsid w:val="005A04ED"/>
    <w:rsid w:val="005A14A9"/>
    <w:rsid w:val="005A1ECE"/>
    <w:rsid w:val="005A2FD2"/>
    <w:rsid w:val="005A35F0"/>
    <w:rsid w:val="005A36D2"/>
    <w:rsid w:val="005A3AD1"/>
    <w:rsid w:val="005A4395"/>
    <w:rsid w:val="005A49C0"/>
    <w:rsid w:val="005A4E09"/>
    <w:rsid w:val="005A5084"/>
    <w:rsid w:val="005A6248"/>
    <w:rsid w:val="005B07CE"/>
    <w:rsid w:val="005B095C"/>
    <w:rsid w:val="005B33A5"/>
    <w:rsid w:val="005B4021"/>
    <w:rsid w:val="005B450D"/>
    <w:rsid w:val="005B461B"/>
    <w:rsid w:val="005B4710"/>
    <w:rsid w:val="005B4ACB"/>
    <w:rsid w:val="005B4CE7"/>
    <w:rsid w:val="005B614D"/>
    <w:rsid w:val="005B6176"/>
    <w:rsid w:val="005C008E"/>
    <w:rsid w:val="005C00DE"/>
    <w:rsid w:val="005C0692"/>
    <w:rsid w:val="005C0CF8"/>
    <w:rsid w:val="005C1C63"/>
    <w:rsid w:val="005C2354"/>
    <w:rsid w:val="005C2358"/>
    <w:rsid w:val="005C2D38"/>
    <w:rsid w:val="005C3522"/>
    <w:rsid w:val="005C352F"/>
    <w:rsid w:val="005C3AA1"/>
    <w:rsid w:val="005C3D83"/>
    <w:rsid w:val="005C407B"/>
    <w:rsid w:val="005C491F"/>
    <w:rsid w:val="005C521D"/>
    <w:rsid w:val="005C5783"/>
    <w:rsid w:val="005C6F1A"/>
    <w:rsid w:val="005C75A6"/>
    <w:rsid w:val="005C778F"/>
    <w:rsid w:val="005C7AF8"/>
    <w:rsid w:val="005C7B15"/>
    <w:rsid w:val="005C7C5C"/>
    <w:rsid w:val="005D0929"/>
    <w:rsid w:val="005D09E1"/>
    <w:rsid w:val="005D0FB8"/>
    <w:rsid w:val="005D1046"/>
    <w:rsid w:val="005D2117"/>
    <w:rsid w:val="005D4134"/>
    <w:rsid w:val="005D43C6"/>
    <w:rsid w:val="005D477F"/>
    <w:rsid w:val="005D51BE"/>
    <w:rsid w:val="005D5C42"/>
    <w:rsid w:val="005D5F2E"/>
    <w:rsid w:val="005E008F"/>
    <w:rsid w:val="005E0BA4"/>
    <w:rsid w:val="005E0D2D"/>
    <w:rsid w:val="005E0D69"/>
    <w:rsid w:val="005E11B9"/>
    <w:rsid w:val="005E2242"/>
    <w:rsid w:val="005E34E5"/>
    <w:rsid w:val="005E3E36"/>
    <w:rsid w:val="005E4D1A"/>
    <w:rsid w:val="005F058F"/>
    <w:rsid w:val="005F140C"/>
    <w:rsid w:val="005F157A"/>
    <w:rsid w:val="005F160E"/>
    <w:rsid w:val="005F3307"/>
    <w:rsid w:val="005F389A"/>
    <w:rsid w:val="005F46FF"/>
    <w:rsid w:val="005F505C"/>
    <w:rsid w:val="005F520E"/>
    <w:rsid w:val="005F6A2E"/>
    <w:rsid w:val="005F72A5"/>
    <w:rsid w:val="005F758D"/>
    <w:rsid w:val="005F7947"/>
    <w:rsid w:val="00600E96"/>
    <w:rsid w:val="00601A01"/>
    <w:rsid w:val="0060238E"/>
    <w:rsid w:val="00602B71"/>
    <w:rsid w:val="00602FAB"/>
    <w:rsid w:val="0060378D"/>
    <w:rsid w:val="00603B06"/>
    <w:rsid w:val="00604001"/>
    <w:rsid w:val="006050ED"/>
    <w:rsid w:val="00605A4D"/>
    <w:rsid w:val="00605B05"/>
    <w:rsid w:val="006070E9"/>
    <w:rsid w:val="00607AFD"/>
    <w:rsid w:val="0061050C"/>
    <w:rsid w:val="006106C1"/>
    <w:rsid w:val="00611814"/>
    <w:rsid w:val="00611C1E"/>
    <w:rsid w:val="00611E14"/>
    <w:rsid w:val="00611E20"/>
    <w:rsid w:val="006122FB"/>
    <w:rsid w:val="00612DF5"/>
    <w:rsid w:val="00613035"/>
    <w:rsid w:val="006138A4"/>
    <w:rsid w:val="00615222"/>
    <w:rsid w:val="00615720"/>
    <w:rsid w:val="00615B33"/>
    <w:rsid w:val="0061639F"/>
    <w:rsid w:val="006169EA"/>
    <w:rsid w:val="00617BC1"/>
    <w:rsid w:val="00617D52"/>
    <w:rsid w:val="006206FC"/>
    <w:rsid w:val="00620818"/>
    <w:rsid w:val="0062179C"/>
    <w:rsid w:val="00624BB9"/>
    <w:rsid w:val="00624F79"/>
    <w:rsid w:val="006258B2"/>
    <w:rsid w:val="0062592B"/>
    <w:rsid w:val="00626709"/>
    <w:rsid w:val="006267A0"/>
    <w:rsid w:val="006270F3"/>
    <w:rsid w:val="00627827"/>
    <w:rsid w:val="006300D3"/>
    <w:rsid w:val="00630106"/>
    <w:rsid w:val="00630ED2"/>
    <w:rsid w:val="00631DED"/>
    <w:rsid w:val="0063225C"/>
    <w:rsid w:val="006328D7"/>
    <w:rsid w:val="0063335A"/>
    <w:rsid w:val="00633EB9"/>
    <w:rsid w:val="00634938"/>
    <w:rsid w:val="00634D8F"/>
    <w:rsid w:val="00635FAB"/>
    <w:rsid w:val="00636056"/>
    <w:rsid w:val="006360BD"/>
    <w:rsid w:val="00636E21"/>
    <w:rsid w:val="00637B97"/>
    <w:rsid w:val="00640125"/>
    <w:rsid w:val="00640242"/>
    <w:rsid w:val="00640875"/>
    <w:rsid w:val="00640911"/>
    <w:rsid w:val="00640CC8"/>
    <w:rsid w:val="00641387"/>
    <w:rsid w:val="0064258A"/>
    <w:rsid w:val="006437A9"/>
    <w:rsid w:val="006440C1"/>
    <w:rsid w:val="0064485A"/>
    <w:rsid w:val="00644ABE"/>
    <w:rsid w:val="00644CB0"/>
    <w:rsid w:val="006450B9"/>
    <w:rsid w:val="006451F6"/>
    <w:rsid w:val="00645CFD"/>
    <w:rsid w:val="00646324"/>
    <w:rsid w:val="00646B84"/>
    <w:rsid w:val="00650199"/>
    <w:rsid w:val="00650C28"/>
    <w:rsid w:val="00651B14"/>
    <w:rsid w:val="00652C40"/>
    <w:rsid w:val="00653003"/>
    <w:rsid w:val="00653BCA"/>
    <w:rsid w:val="00654FB2"/>
    <w:rsid w:val="006554F0"/>
    <w:rsid w:val="0065594C"/>
    <w:rsid w:val="00661448"/>
    <w:rsid w:val="006626CF"/>
    <w:rsid w:val="00663093"/>
    <w:rsid w:val="006640B9"/>
    <w:rsid w:val="00664280"/>
    <w:rsid w:val="00664972"/>
    <w:rsid w:val="00664D38"/>
    <w:rsid w:val="0066529D"/>
    <w:rsid w:val="006652CB"/>
    <w:rsid w:val="00665911"/>
    <w:rsid w:val="00665A37"/>
    <w:rsid w:val="006660F8"/>
    <w:rsid w:val="00666223"/>
    <w:rsid w:val="00666BC2"/>
    <w:rsid w:val="00666BE6"/>
    <w:rsid w:val="00667E03"/>
    <w:rsid w:val="00667F38"/>
    <w:rsid w:val="00670B9D"/>
    <w:rsid w:val="006710F0"/>
    <w:rsid w:val="00671B0F"/>
    <w:rsid w:val="00671D61"/>
    <w:rsid w:val="0067219B"/>
    <w:rsid w:val="00672D63"/>
    <w:rsid w:val="00672E61"/>
    <w:rsid w:val="006730D9"/>
    <w:rsid w:val="0067375E"/>
    <w:rsid w:val="00673E18"/>
    <w:rsid w:val="00673F3B"/>
    <w:rsid w:val="00674005"/>
    <w:rsid w:val="0067427D"/>
    <w:rsid w:val="00675C24"/>
    <w:rsid w:val="00675DCE"/>
    <w:rsid w:val="006761C8"/>
    <w:rsid w:val="006768B2"/>
    <w:rsid w:val="00676956"/>
    <w:rsid w:val="00676C66"/>
    <w:rsid w:val="00676FC7"/>
    <w:rsid w:val="006772D4"/>
    <w:rsid w:val="00677474"/>
    <w:rsid w:val="0067767D"/>
    <w:rsid w:val="006776D7"/>
    <w:rsid w:val="00677EA8"/>
    <w:rsid w:val="006832D3"/>
    <w:rsid w:val="00683C75"/>
    <w:rsid w:val="00683EC3"/>
    <w:rsid w:val="00684148"/>
    <w:rsid w:val="00684A81"/>
    <w:rsid w:val="006850E7"/>
    <w:rsid w:val="00685CA7"/>
    <w:rsid w:val="00686823"/>
    <w:rsid w:val="00686EFF"/>
    <w:rsid w:val="006877B7"/>
    <w:rsid w:val="00691A43"/>
    <w:rsid w:val="00692368"/>
    <w:rsid w:val="0069241E"/>
    <w:rsid w:val="0069439F"/>
    <w:rsid w:val="00694873"/>
    <w:rsid w:val="00694FF5"/>
    <w:rsid w:val="00695658"/>
    <w:rsid w:val="00696139"/>
    <w:rsid w:val="0069648A"/>
    <w:rsid w:val="006978E8"/>
    <w:rsid w:val="006A118E"/>
    <w:rsid w:val="006A150E"/>
    <w:rsid w:val="006A1A2F"/>
    <w:rsid w:val="006A25EF"/>
    <w:rsid w:val="006A2B7D"/>
    <w:rsid w:val="006A31B0"/>
    <w:rsid w:val="006A4B19"/>
    <w:rsid w:val="006A6E2B"/>
    <w:rsid w:val="006A6E8B"/>
    <w:rsid w:val="006B030F"/>
    <w:rsid w:val="006B1169"/>
    <w:rsid w:val="006B17D2"/>
    <w:rsid w:val="006B28A5"/>
    <w:rsid w:val="006B28C3"/>
    <w:rsid w:val="006B331E"/>
    <w:rsid w:val="006B4097"/>
    <w:rsid w:val="006B47AE"/>
    <w:rsid w:val="006B4AA7"/>
    <w:rsid w:val="006B4FD8"/>
    <w:rsid w:val="006B568C"/>
    <w:rsid w:val="006B5F47"/>
    <w:rsid w:val="006C04EE"/>
    <w:rsid w:val="006C0EB0"/>
    <w:rsid w:val="006C1466"/>
    <w:rsid w:val="006C204E"/>
    <w:rsid w:val="006C2546"/>
    <w:rsid w:val="006C2BF7"/>
    <w:rsid w:val="006C3D6C"/>
    <w:rsid w:val="006C4056"/>
    <w:rsid w:val="006C6754"/>
    <w:rsid w:val="006C7C8E"/>
    <w:rsid w:val="006D01ED"/>
    <w:rsid w:val="006D0605"/>
    <w:rsid w:val="006D0EB5"/>
    <w:rsid w:val="006D293B"/>
    <w:rsid w:val="006D372D"/>
    <w:rsid w:val="006D3D66"/>
    <w:rsid w:val="006D551B"/>
    <w:rsid w:val="006D577B"/>
    <w:rsid w:val="006D5BB0"/>
    <w:rsid w:val="006D640C"/>
    <w:rsid w:val="006D6CC0"/>
    <w:rsid w:val="006D6F14"/>
    <w:rsid w:val="006D723B"/>
    <w:rsid w:val="006D7CCC"/>
    <w:rsid w:val="006D7D18"/>
    <w:rsid w:val="006E125E"/>
    <w:rsid w:val="006E2C74"/>
    <w:rsid w:val="006E32D5"/>
    <w:rsid w:val="006E370B"/>
    <w:rsid w:val="006E3971"/>
    <w:rsid w:val="006E3A3D"/>
    <w:rsid w:val="006E5673"/>
    <w:rsid w:val="006E5D50"/>
    <w:rsid w:val="006E5EEE"/>
    <w:rsid w:val="006E6BBC"/>
    <w:rsid w:val="006E7DCC"/>
    <w:rsid w:val="006F00C9"/>
    <w:rsid w:val="006F02A3"/>
    <w:rsid w:val="006F09AA"/>
    <w:rsid w:val="006F0DFD"/>
    <w:rsid w:val="006F149B"/>
    <w:rsid w:val="006F1904"/>
    <w:rsid w:val="006F1D3F"/>
    <w:rsid w:val="006F1ED7"/>
    <w:rsid w:val="006F2018"/>
    <w:rsid w:val="006F2869"/>
    <w:rsid w:val="006F288D"/>
    <w:rsid w:val="006F3820"/>
    <w:rsid w:val="006F3F45"/>
    <w:rsid w:val="006F4C83"/>
    <w:rsid w:val="006F58DE"/>
    <w:rsid w:val="006F715E"/>
    <w:rsid w:val="006F722F"/>
    <w:rsid w:val="006F76D8"/>
    <w:rsid w:val="006F7B46"/>
    <w:rsid w:val="007003DC"/>
    <w:rsid w:val="00701886"/>
    <w:rsid w:val="0070198E"/>
    <w:rsid w:val="0070208D"/>
    <w:rsid w:val="007039B1"/>
    <w:rsid w:val="00703E9B"/>
    <w:rsid w:val="0070451E"/>
    <w:rsid w:val="0070528D"/>
    <w:rsid w:val="0070539A"/>
    <w:rsid w:val="0070549A"/>
    <w:rsid w:val="00705A83"/>
    <w:rsid w:val="00706929"/>
    <w:rsid w:val="007100ED"/>
    <w:rsid w:val="00712923"/>
    <w:rsid w:val="00713411"/>
    <w:rsid w:val="00713C17"/>
    <w:rsid w:val="00714456"/>
    <w:rsid w:val="007156A3"/>
    <w:rsid w:val="00715B6B"/>
    <w:rsid w:val="007169B2"/>
    <w:rsid w:val="00716A7E"/>
    <w:rsid w:val="007170D0"/>
    <w:rsid w:val="00717479"/>
    <w:rsid w:val="007201FF"/>
    <w:rsid w:val="00722089"/>
    <w:rsid w:val="0072395B"/>
    <w:rsid w:val="00724A55"/>
    <w:rsid w:val="00726269"/>
    <w:rsid w:val="00727127"/>
    <w:rsid w:val="0072736A"/>
    <w:rsid w:val="007273A0"/>
    <w:rsid w:val="00727A7D"/>
    <w:rsid w:val="007303EF"/>
    <w:rsid w:val="007318BF"/>
    <w:rsid w:val="00731A4D"/>
    <w:rsid w:val="007322AC"/>
    <w:rsid w:val="0073241C"/>
    <w:rsid w:val="007324AF"/>
    <w:rsid w:val="007335CD"/>
    <w:rsid w:val="00733D6E"/>
    <w:rsid w:val="0073414E"/>
    <w:rsid w:val="0073524A"/>
    <w:rsid w:val="00736036"/>
    <w:rsid w:val="007375EC"/>
    <w:rsid w:val="00737CA5"/>
    <w:rsid w:val="0074096C"/>
    <w:rsid w:val="007414CA"/>
    <w:rsid w:val="0074157E"/>
    <w:rsid w:val="00741CA5"/>
    <w:rsid w:val="007436E2"/>
    <w:rsid w:val="0074397B"/>
    <w:rsid w:val="007440BA"/>
    <w:rsid w:val="007449EA"/>
    <w:rsid w:val="00744DC2"/>
    <w:rsid w:val="007465CD"/>
    <w:rsid w:val="00746792"/>
    <w:rsid w:val="0074751A"/>
    <w:rsid w:val="00747CA5"/>
    <w:rsid w:val="007504D7"/>
    <w:rsid w:val="0075057A"/>
    <w:rsid w:val="007510A1"/>
    <w:rsid w:val="007516A9"/>
    <w:rsid w:val="00751A0F"/>
    <w:rsid w:val="00752154"/>
    <w:rsid w:val="0075220E"/>
    <w:rsid w:val="00754248"/>
    <w:rsid w:val="007555A2"/>
    <w:rsid w:val="00755A55"/>
    <w:rsid w:val="007568B0"/>
    <w:rsid w:val="007573F3"/>
    <w:rsid w:val="00757797"/>
    <w:rsid w:val="00757AD5"/>
    <w:rsid w:val="00757D58"/>
    <w:rsid w:val="0076028E"/>
    <w:rsid w:val="007602EE"/>
    <w:rsid w:val="00760A7B"/>
    <w:rsid w:val="00761035"/>
    <w:rsid w:val="00761BA9"/>
    <w:rsid w:val="00761DE8"/>
    <w:rsid w:val="0076220A"/>
    <w:rsid w:val="007644EE"/>
    <w:rsid w:val="00765E9F"/>
    <w:rsid w:val="0076760E"/>
    <w:rsid w:val="00767F61"/>
    <w:rsid w:val="007712A5"/>
    <w:rsid w:val="00771336"/>
    <w:rsid w:val="007718FB"/>
    <w:rsid w:val="007721F3"/>
    <w:rsid w:val="007726FA"/>
    <w:rsid w:val="00772A1A"/>
    <w:rsid w:val="0077311A"/>
    <w:rsid w:val="007739D5"/>
    <w:rsid w:val="00773D86"/>
    <w:rsid w:val="007748B2"/>
    <w:rsid w:val="00774C67"/>
    <w:rsid w:val="0077502B"/>
    <w:rsid w:val="0077532D"/>
    <w:rsid w:val="00775FC5"/>
    <w:rsid w:val="00776A2B"/>
    <w:rsid w:val="00776E34"/>
    <w:rsid w:val="00777000"/>
    <w:rsid w:val="00777058"/>
    <w:rsid w:val="0077760B"/>
    <w:rsid w:val="00777C79"/>
    <w:rsid w:val="0078018B"/>
    <w:rsid w:val="00781C4D"/>
    <w:rsid w:val="007829DA"/>
    <w:rsid w:val="00783B0A"/>
    <w:rsid w:val="0078599F"/>
    <w:rsid w:val="007863F1"/>
    <w:rsid w:val="00787648"/>
    <w:rsid w:val="00790075"/>
    <w:rsid w:val="00790763"/>
    <w:rsid w:val="007920EA"/>
    <w:rsid w:val="00793425"/>
    <w:rsid w:val="007935FE"/>
    <w:rsid w:val="00793F8F"/>
    <w:rsid w:val="0079414F"/>
    <w:rsid w:val="00794241"/>
    <w:rsid w:val="00794540"/>
    <w:rsid w:val="0079487B"/>
    <w:rsid w:val="007961E8"/>
    <w:rsid w:val="00796E7E"/>
    <w:rsid w:val="00797303"/>
    <w:rsid w:val="007A1A3B"/>
    <w:rsid w:val="007A1C78"/>
    <w:rsid w:val="007A262B"/>
    <w:rsid w:val="007A31DE"/>
    <w:rsid w:val="007A3F40"/>
    <w:rsid w:val="007A409A"/>
    <w:rsid w:val="007A5CCE"/>
    <w:rsid w:val="007A63F9"/>
    <w:rsid w:val="007A6634"/>
    <w:rsid w:val="007A7438"/>
    <w:rsid w:val="007A7724"/>
    <w:rsid w:val="007A792B"/>
    <w:rsid w:val="007B0DF4"/>
    <w:rsid w:val="007B27FE"/>
    <w:rsid w:val="007B2FB5"/>
    <w:rsid w:val="007B4914"/>
    <w:rsid w:val="007B4B88"/>
    <w:rsid w:val="007B532F"/>
    <w:rsid w:val="007B5401"/>
    <w:rsid w:val="007B640E"/>
    <w:rsid w:val="007B6478"/>
    <w:rsid w:val="007C0C1D"/>
    <w:rsid w:val="007C0F9A"/>
    <w:rsid w:val="007C15C8"/>
    <w:rsid w:val="007C29D6"/>
    <w:rsid w:val="007C2FFB"/>
    <w:rsid w:val="007C302F"/>
    <w:rsid w:val="007C38D0"/>
    <w:rsid w:val="007C3AF7"/>
    <w:rsid w:val="007C3C59"/>
    <w:rsid w:val="007C4581"/>
    <w:rsid w:val="007C476D"/>
    <w:rsid w:val="007C5FF1"/>
    <w:rsid w:val="007C6719"/>
    <w:rsid w:val="007C73D5"/>
    <w:rsid w:val="007C75A9"/>
    <w:rsid w:val="007D1B39"/>
    <w:rsid w:val="007D2385"/>
    <w:rsid w:val="007D5F55"/>
    <w:rsid w:val="007D5F68"/>
    <w:rsid w:val="007D65E7"/>
    <w:rsid w:val="007D6A2E"/>
    <w:rsid w:val="007D6F46"/>
    <w:rsid w:val="007D7739"/>
    <w:rsid w:val="007E002E"/>
    <w:rsid w:val="007E092D"/>
    <w:rsid w:val="007E09CF"/>
    <w:rsid w:val="007E0C96"/>
    <w:rsid w:val="007E0F4C"/>
    <w:rsid w:val="007E2EE6"/>
    <w:rsid w:val="007E4B17"/>
    <w:rsid w:val="007E5628"/>
    <w:rsid w:val="007E6A8D"/>
    <w:rsid w:val="007F0012"/>
    <w:rsid w:val="007F033C"/>
    <w:rsid w:val="007F0516"/>
    <w:rsid w:val="007F213A"/>
    <w:rsid w:val="007F3007"/>
    <w:rsid w:val="007F3AC6"/>
    <w:rsid w:val="007F47A8"/>
    <w:rsid w:val="007F4FF0"/>
    <w:rsid w:val="007F6FFA"/>
    <w:rsid w:val="007F76E7"/>
    <w:rsid w:val="00800F59"/>
    <w:rsid w:val="008010E3"/>
    <w:rsid w:val="008011A5"/>
    <w:rsid w:val="00801481"/>
    <w:rsid w:val="0080171D"/>
    <w:rsid w:val="00801794"/>
    <w:rsid w:val="00803114"/>
    <w:rsid w:val="00803E3C"/>
    <w:rsid w:val="00803F21"/>
    <w:rsid w:val="008040BB"/>
    <w:rsid w:val="00805A8C"/>
    <w:rsid w:val="00810C40"/>
    <w:rsid w:val="0081230B"/>
    <w:rsid w:val="00812D8B"/>
    <w:rsid w:val="00812DF2"/>
    <w:rsid w:val="00812E4D"/>
    <w:rsid w:val="00814446"/>
    <w:rsid w:val="008154D4"/>
    <w:rsid w:val="008158A5"/>
    <w:rsid w:val="008164B9"/>
    <w:rsid w:val="0081760D"/>
    <w:rsid w:val="00817E60"/>
    <w:rsid w:val="0082030B"/>
    <w:rsid w:val="008239F0"/>
    <w:rsid w:val="00824D44"/>
    <w:rsid w:val="00824F7C"/>
    <w:rsid w:val="00825C1E"/>
    <w:rsid w:val="00826CF4"/>
    <w:rsid w:val="008307D7"/>
    <w:rsid w:val="00830CE6"/>
    <w:rsid w:val="00831D74"/>
    <w:rsid w:val="00832510"/>
    <w:rsid w:val="008343D4"/>
    <w:rsid w:val="0083482E"/>
    <w:rsid w:val="00834F7E"/>
    <w:rsid w:val="00835148"/>
    <w:rsid w:val="008352C0"/>
    <w:rsid w:val="00836DDB"/>
    <w:rsid w:val="00837696"/>
    <w:rsid w:val="00841DB9"/>
    <w:rsid w:val="008427C2"/>
    <w:rsid w:val="00843A18"/>
    <w:rsid w:val="00843AA1"/>
    <w:rsid w:val="00843D85"/>
    <w:rsid w:val="0084456F"/>
    <w:rsid w:val="00844968"/>
    <w:rsid w:val="00844F33"/>
    <w:rsid w:val="00845078"/>
    <w:rsid w:val="0084599F"/>
    <w:rsid w:val="00846386"/>
    <w:rsid w:val="00847DE8"/>
    <w:rsid w:val="00851C7D"/>
    <w:rsid w:val="00854177"/>
    <w:rsid w:val="00854796"/>
    <w:rsid w:val="00854BE1"/>
    <w:rsid w:val="00856C53"/>
    <w:rsid w:val="00857013"/>
    <w:rsid w:val="00857589"/>
    <w:rsid w:val="00860484"/>
    <w:rsid w:val="00860CF6"/>
    <w:rsid w:val="008612A9"/>
    <w:rsid w:val="00861BBA"/>
    <w:rsid w:val="0086318D"/>
    <w:rsid w:val="00863D95"/>
    <w:rsid w:val="008640A0"/>
    <w:rsid w:val="00864A03"/>
    <w:rsid w:val="008656B7"/>
    <w:rsid w:val="00865C39"/>
    <w:rsid w:val="00865DAA"/>
    <w:rsid w:val="00866002"/>
    <w:rsid w:val="00866501"/>
    <w:rsid w:val="008667E7"/>
    <w:rsid w:val="008670CE"/>
    <w:rsid w:val="00867BAC"/>
    <w:rsid w:val="008705C3"/>
    <w:rsid w:val="00870B3E"/>
    <w:rsid w:val="00872705"/>
    <w:rsid w:val="00873B50"/>
    <w:rsid w:val="00874250"/>
    <w:rsid w:val="008742C6"/>
    <w:rsid w:val="00874596"/>
    <w:rsid w:val="00874A25"/>
    <w:rsid w:val="00875222"/>
    <w:rsid w:val="008752D2"/>
    <w:rsid w:val="00877826"/>
    <w:rsid w:val="00877C57"/>
    <w:rsid w:val="0088128F"/>
    <w:rsid w:val="00881F3E"/>
    <w:rsid w:val="00883669"/>
    <w:rsid w:val="00883A37"/>
    <w:rsid w:val="008840C2"/>
    <w:rsid w:val="008840C7"/>
    <w:rsid w:val="008841F3"/>
    <w:rsid w:val="008845B3"/>
    <w:rsid w:val="00886893"/>
    <w:rsid w:val="00886B4A"/>
    <w:rsid w:val="00886DB6"/>
    <w:rsid w:val="0088708F"/>
    <w:rsid w:val="00887C28"/>
    <w:rsid w:val="00891129"/>
    <w:rsid w:val="00891501"/>
    <w:rsid w:val="00894A75"/>
    <w:rsid w:val="00895CB3"/>
    <w:rsid w:val="0089618F"/>
    <w:rsid w:val="008963F3"/>
    <w:rsid w:val="00897B9C"/>
    <w:rsid w:val="00897DA3"/>
    <w:rsid w:val="008A0C1A"/>
    <w:rsid w:val="008A1B47"/>
    <w:rsid w:val="008A1F0C"/>
    <w:rsid w:val="008A4409"/>
    <w:rsid w:val="008A51C8"/>
    <w:rsid w:val="008A5334"/>
    <w:rsid w:val="008A54D7"/>
    <w:rsid w:val="008A5746"/>
    <w:rsid w:val="008A651C"/>
    <w:rsid w:val="008A68E8"/>
    <w:rsid w:val="008A70A4"/>
    <w:rsid w:val="008B0122"/>
    <w:rsid w:val="008B1873"/>
    <w:rsid w:val="008B1E16"/>
    <w:rsid w:val="008B207F"/>
    <w:rsid w:val="008B341D"/>
    <w:rsid w:val="008B406B"/>
    <w:rsid w:val="008B475C"/>
    <w:rsid w:val="008B56D7"/>
    <w:rsid w:val="008B5EBD"/>
    <w:rsid w:val="008B675A"/>
    <w:rsid w:val="008B6D20"/>
    <w:rsid w:val="008B6D49"/>
    <w:rsid w:val="008B72FA"/>
    <w:rsid w:val="008C089D"/>
    <w:rsid w:val="008C0A48"/>
    <w:rsid w:val="008C0EBC"/>
    <w:rsid w:val="008C1100"/>
    <w:rsid w:val="008C1396"/>
    <w:rsid w:val="008C2CEE"/>
    <w:rsid w:val="008C4EF8"/>
    <w:rsid w:val="008C5126"/>
    <w:rsid w:val="008C60F7"/>
    <w:rsid w:val="008C6824"/>
    <w:rsid w:val="008C7056"/>
    <w:rsid w:val="008C7AE7"/>
    <w:rsid w:val="008D0090"/>
    <w:rsid w:val="008D0565"/>
    <w:rsid w:val="008D2F73"/>
    <w:rsid w:val="008D4E36"/>
    <w:rsid w:val="008D616F"/>
    <w:rsid w:val="008D6198"/>
    <w:rsid w:val="008D6666"/>
    <w:rsid w:val="008D6873"/>
    <w:rsid w:val="008D73D1"/>
    <w:rsid w:val="008D7DDA"/>
    <w:rsid w:val="008D7F2E"/>
    <w:rsid w:val="008E059D"/>
    <w:rsid w:val="008E07E9"/>
    <w:rsid w:val="008E0F5B"/>
    <w:rsid w:val="008E1F78"/>
    <w:rsid w:val="008E399E"/>
    <w:rsid w:val="008E3C03"/>
    <w:rsid w:val="008E3F61"/>
    <w:rsid w:val="008E485B"/>
    <w:rsid w:val="008E6186"/>
    <w:rsid w:val="008F1209"/>
    <w:rsid w:val="008F1412"/>
    <w:rsid w:val="008F1E51"/>
    <w:rsid w:val="008F274F"/>
    <w:rsid w:val="008F35AD"/>
    <w:rsid w:val="008F3725"/>
    <w:rsid w:val="008F46C2"/>
    <w:rsid w:val="008F46E0"/>
    <w:rsid w:val="008F47E5"/>
    <w:rsid w:val="008F59CD"/>
    <w:rsid w:val="008F7228"/>
    <w:rsid w:val="008F723A"/>
    <w:rsid w:val="0090187F"/>
    <w:rsid w:val="00901972"/>
    <w:rsid w:val="00902439"/>
    <w:rsid w:val="009024B9"/>
    <w:rsid w:val="0090369D"/>
    <w:rsid w:val="00903921"/>
    <w:rsid w:val="00903E49"/>
    <w:rsid w:val="0090517A"/>
    <w:rsid w:val="0090631D"/>
    <w:rsid w:val="00906DA7"/>
    <w:rsid w:val="00906FE1"/>
    <w:rsid w:val="00911024"/>
    <w:rsid w:val="00911D74"/>
    <w:rsid w:val="00911E1D"/>
    <w:rsid w:val="0091240E"/>
    <w:rsid w:val="0091279D"/>
    <w:rsid w:val="009127F1"/>
    <w:rsid w:val="00913399"/>
    <w:rsid w:val="009137CE"/>
    <w:rsid w:val="00913CB3"/>
    <w:rsid w:val="00914137"/>
    <w:rsid w:val="00914C77"/>
    <w:rsid w:val="00914E9C"/>
    <w:rsid w:val="0091731F"/>
    <w:rsid w:val="009174FB"/>
    <w:rsid w:val="0092054E"/>
    <w:rsid w:val="0092059C"/>
    <w:rsid w:val="009209CD"/>
    <w:rsid w:val="00921362"/>
    <w:rsid w:val="00921600"/>
    <w:rsid w:val="00922D66"/>
    <w:rsid w:val="00922D93"/>
    <w:rsid w:val="00922DE3"/>
    <w:rsid w:val="00923225"/>
    <w:rsid w:val="009236D6"/>
    <w:rsid w:val="009244BB"/>
    <w:rsid w:val="009257CF"/>
    <w:rsid w:val="0092612B"/>
    <w:rsid w:val="0092646E"/>
    <w:rsid w:val="00926512"/>
    <w:rsid w:val="009267BF"/>
    <w:rsid w:val="009270C3"/>
    <w:rsid w:val="009273B3"/>
    <w:rsid w:val="00930447"/>
    <w:rsid w:val="00930721"/>
    <w:rsid w:val="00931E29"/>
    <w:rsid w:val="00932114"/>
    <w:rsid w:val="009330AB"/>
    <w:rsid w:val="009334E9"/>
    <w:rsid w:val="0093395E"/>
    <w:rsid w:val="00933E96"/>
    <w:rsid w:val="009350F8"/>
    <w:rsid w:val="009355E1"/>
    <w:rsid w:val="00935A9E"/>
    <w:rsid w:val="009369C7"/>
    <w:rsid w:val="00937998"/>
    <w:rsid w:val="00940F4A"/>
    <w:rsid w:val="00941333"/>
    <w:rsid w:val="00941D07"/>
    <w:rsid w:val="00942E15"/>
    <w:rsid w:val="00942F38"/>
    <w:rsid w:val="0094310A"/>
    <w:rsid w:val="00943207"/>
    <w:rsid w:val="00943BEC"/>
    <w:rsid w:val="00943DBA"/>
    <w:rsid w:val="00945519"/>
    <w:rsid w:val="009459D4"/>
    <w:rsid w:val="009477DE"/>
    <w:rsid w:val="009478F0"/>
    <w:rsid w:val="00947B49"/>
    <w:rsid w:val="00947D5A"/>
    <w:rsid w:val="009500D1"/>
    <w:rsid w:val="009503FC"/>
    <w:rsid w:val="00951968"/>
    <w:rsid w:val="0095268B"/>
    <w:rsid w:val="009539FC"/>
    <w:rsid w:val="00953B3F"/>
    <w:rsid w:val="009545DC"/>
    <w:rsid w:val="00955FFC"/>
    <w:rsid w:val="009564E7"/>
    <w:rsid w:val="00956797"/>
    <w:rsid w:val="00956D1D"/>
    <w:rsid w:val="009574F9"/>
    <w:rsid w:val="009617CE"/>
    <w:rsid w:val="00961F31"/>
    <w:rsid w:val="0096279B"/>
    <w:rsid w:val="00962BCE"/>
    <w:rsid w:val="00963CC2"/>
    <w:rsid w:val="00965343"/>
    <w:rsid w:val="00970FFE"/>
    <w:rsid w:val="009711B6"/>
    <w:rsid w:val="00973ADB"/>
    <w:rsid w:val="00974CE2"/>
    <w:rsid w:val="00975E8D"/>
    <w:rsid w:val="00977A30"/>
    <w:rsid w:val="009808AD"/>
    <w:rsid w:val="00980FED"/>
    <w:rsid w:val="00982AFA"/>
    <w:rsid w:val="00982D3F"/>
    <w:rsid w:val="00982E50"/>
    <w:rsid w:val="009835F1"/>
    <w:rsid w:val="009849D8"/>
    <w:rsid w:val="00984A42"/>
    <w:rsid w:val="00984C9F"/>
    <w:rsid w:val="00985D6F"/>
    <w:rsid w:val="00985EAE"/>
    <w:rsid w:val="009861AF"/>
    <w:rsid w:val="00986926"/>
    <w:rsid w:val="00986DF4"/>
    <w:rsid w:val="00987144"/>
    <w:rsid w:val="009871ED"/>
    <w:rsid w:val="00987D73"/>
    <w:rsid w:val="00990965"/>
    <w:rsid w:val="0099191B"/>
    <w:rsid w:val="00991ABB"/>
    <w:rsid w:val="00991C45"/>
    <w:rsid w:val="00992316"/>
    <w:rsid w:val="009925AA"/>
    <w:rsid w:val="00992EAE"/>
    <w:rsid w:val="00993C9F"/>
    <w:rsid w:val="009940CD"/>
    <w:rsid w:val="009961B7"/>
    <w:rsid w:val="009961EF"/>
    <w:rsid w:val="00996771"/>
    <w:rsid w:val="0099687D"/>
    <w:rsid w:val="00997D14"/>
    <w:rsid w:val="009A0901"/>
    <w:rsid w:val="009A2F74"/>
    <w:rsid w:val="009A4666"/>
    <w:rsid w:val="009A6821"/>
    <w:rsid w:val="009A6A38"/>
    <w:rsid w:val="009A71A4"/>
    <w:rsid w:val="009A73B3"/>
    <w:rsid w:val="009A757A"/>
    <w:rsid w:val="009A7AD5"/>
    <w:rsid w:val="009A7F87"/>
    <w:rsid w:val="009B1549"/>
    <w:rsid w:val="009B195A"/>
    <w:rsid w:val="009B1A19"/>
    <w:rsid w:val="009B1D14"/>
    <w:rsid w:val="009B2AFA"/>
    <w:rsid w:val="009B2D36"/>
    <w:rsid w:val="009B321A"/>
    <w:rsid w:val="009B4564"/>
    <w:rsid w:val="009B52D8"/>
    <w:rsid w:val="009B624D"/>
    <w:rsid w:val="009B6328"/>
    <w:rsid w:val="009B686E"/>
    <w:rsid w:val="009B6A55"/>
    <w:rsid w:val="009B7132"/>
    <w:rsid w:val="009B7D7C"/>
    <w:rsid w:val="009C0094"/>
    <w:rsid w:val="009C045C"/>
    <w:rsid w:val="009C12BF"/>
    <w:rsid w:val="009C23E7"/>
    <w:rsid w:val="009C2EE3"/>
    <w:rsid w:val="009C35A5"/>
    <w:rsid w:val="009C4B63"/>
    <w:rsid w:val="009C4D31"/>
    <w:rsid w:val="009C5474"/>
    <w:rsid w:val="009C659B"/>
    <w:rsid w:val="009C685F"/>
    <w:rsid w:val="009C69BC"/>
    <w:rsid w:val="009C6A3B"/>
    <w:rsid w:val="009D0EBD"/>
    <w:rsid w:val="009D1006"/>
    <w:rsid w:val="009D3B75"/>
    <w:rsid w:val="009D3D5A"/>
    <w:rsid w:val="009D3F89"/>
    <w:rsid w:val="009D41EB"/>
    <w:rsid w:val="009D4A82"/>
    <w:rsid w:val="009D4E9F"/>
    <w:rsid w:val="009D62D8"/>
    <w:rsid w:val="009D6BF6"/>
    <w:rsid w:val="009D7257"/>
    <w:rsid w:val="009E0228"/>
    <w:rsid w:val="009E1704"/>
    <w:rsid w:val="009E1E92"/>
    <w:rsid w:val="009E2128"/>
    <w:rsid w:val="009E2249"/>
    <w:rsid w:val="009E3E54"/>
    <w:rsid w:val="009E4BD8"/>
    <w:rsid w:val="009E55D8"/>
    <w:rsid w:val="009E6144"/>
    <w:rsid w:val="009E66F6"/>
    <w:rsid w:val="009E6902"/>
    <w:rsid w:val="009F38CC"/>
    <w:rsid w:val="009F51C6"/>
    <w:rsid w:val="009F53D1"/>
    <w:rsid w:val="009F5B66"/>
    <w:rsid w:val="009F64D6"/>
    <w:rsid w:val="009F6542"/>
    <w:rsid w:val="009F785E"/>
    <w:rsid w:val="00A0185A"/>
    <w:rsid w:val="00A020DA"/>
    <w:rsid w:val="00A0226F"/>
    <w:rsid w:val="00A030D3"/>
    <w:rsid w:val="00A03C46"/>
    <w:rsid w:val="00A03DDD"/>
    <w:rsid w:val="00A041D0"/>
    <w:rsid w:val="00A0449C"/>
    <w:rsid w:val="00A05C4F"/>
    <w:rsid w:val="00A069A0"/>
    <w:rsid w:val="00A06B29"/>
    <w:rsid w:val="00A10898"/>
    <w:rsid w:val="00A10F65"/>
    <w:rsid w:val="00A10F90"/>
    <w:rsid w:val="00A11C23"/>
    <w:rsid w:val="00A11D98"/>
    <w:rsid w:val="00A12E3A"/>
    <w:rsid w:val="00A12EA6"/>
    <w:rsid w:val="00A14530"/>
    <w:rsid w:val="00A16DC9"/>
    <w:rsid w:val="00A211D3"/>
    <w:rsid w:val="00A218A0"/>
    <w:rsid w:val="00A22235"/>
    <w:rsid w:val="00A22E86"/>
    <w:rsid w:val="00A22FBF"/>
    <w:rsid w:val="00A23871"/>
    <w:rsid w:val="00A23DE1"/>
    <w:rsid w:val="00A23DEC"/>
    <w:rsid w:val="00A242A0"/>
    <w:rsid w:val="00A2435F"/>
    <w:rsid w:val="00A244C4"/>
    <w:rsid w:val="00A24BF8"/>
    <w:rsid w:val="00A25659"/>
    <w:rsid w:val="00A26C90"/>
    <w:rsid w:val="00A27C3F"/>
    <w:rsid w:val="00A27E1B"/>
    <w:rsid w:val="00A27F0A"/>
    <w:rsid w:val="00A311B2"/>
    <w:rsid w:val="00A312E2"/>
    <w:rsid w:val="00A317E2"/>
    <w:rsid w:val="00A320C8"/>
    <w:rsid w:val="00A32E78"/>
    <w:rsid w:val="00A32FB7"/>
    <w:rsid w:val="00A33439"/>
    <w:rsid w:val="00A3620F"/>
    <w:rsid w:val="00A37591"/>
    <w:rsid w:val="00A37A13"/>
    <w:rsid w:val="00A4019B"/>
    <w:rsid w:val="00A401CD"/>
    <w:rsid w:val="00A412BB"/>
    <w:rsid w:val="00A41A72"/>
    <w:rsid w:val="00A41F46"/>
    <w:rsid w:val="00A41F8F"/>
    <w:rsid w:val="00A42307"/>
    <w:rsid w:val="00A42467"/>
    <w:rsid w:val="00A425D9"/>
    <w:rsid w:val="00A42B02"/>
    <w:rsid w:val="00A43D13"/>
    <w:rsid w:val="00A4410A"/>
    <w:rsid w:val="00A442B7"/>
    <w:rsid w:val="00A45359"/>
    <w:rsid w:val="00A47A9E"/>
    <w:rsid w:val="00A50389"/>
    <w:rsid w:val="00A50AF5"/>
    <w:rsid w:val="00A519C6"/>
    <w:rsid w:val="00A52088"/>
    <w:rsid w:val="00A53203"/>
    <w:rsid w:val="00A53B39"/>
    <w:rsid w:val="00A53ECE"/>
    <w:rsid w:val="00A54115"/>
    <w:rsid w:val="00A553B8"/>
    <w:rsid w:val="00A55458"/>
    <w:rsid w:val="00A60742"/>
    <w:rsid w:val="00A619D2"/>
    <w:rsid w:val="00A61B3B"/>
    <w:rsid w:val="00A627F2"/>
    <w:rsid w:val="00A62BB8"/>
    <w:rsid w:val="00A64B5F"/>
    <w:rsid w:val="00A658DE"/>
    <w:rsid w:val="00A65D84"/>
    <w:rsid w:val="00A6730B"/>
    <w:rsid w:val="00A7146B"/>
    <w:rsid w:val="00A72F4F"/>
    <w:rsid w:val="00A73144"/>
    <w:rsid w:val="00A741D4"/>
    <w:rsid w:val="00A74441"/>
    <w:rsid w:val="00A74F73"/>
    <w:rsid w:val="00A750DD"/>
    <w:rsid w:val="00A75716"/>
    <w:rsid w:val="00A762D5"/>
    <w:rsid w:val="00A775FC"/>
    <w:rsid w:val="00A77D9F"/>
    <w:rsid w:val="00A80155"/>
    <w:rsid w:val="00A806BA"/>
    <w:rsid w:val="00A82540"/>
    <w:rsid w:val="00A82A51"/>
    <w:rsid w:val="00A836F1"/>
    <w:rsid w:val="00A85D07"/>
    <w:rsid w:val="00A85D25"/>
    <w:rsid w:val="00A877D2"/>
    <w:rsid w:val="00A87D6F"/>
    <w:rsid w:val="00A87DF7"/>
    <w:rsid w:val="00A920E2"/>
    <w:rsid w:val="00A9246B"/>
    <w:rsid w:val="00A92537"/>
    <w:rsid w:val="00A92CAC"/>
    <w:rsid w:val="00A930ED"/>
    <w:rsid w:val="00A93255"/>
    <w:rsid w:val="00A93B70"/>
    <w:rsid w:val="00A93E6C"/>
    <w:rsid w:val="00A9401F"/>
    <w:rsid w:val="00A96D25"/>
    <w:rsid w:val="00A97758"/>
    <w:rsid w:val="00A9781E"/>
    <w:rsid w:val="00A97B39"/>
    <w:rsid w:val="00A97C61"/>
    <w:rsid w:val="00AA1143"/>
    <w:rsid w:val="00AA14A5"/>
    <w:rsid w:val="00AA17D5"/>
    <w:rsid w:val="00AA2FA8"/>
    <w:rsid w:val="00AA3F02"/>
    <w:rsid w:val="00AA4C3E"/>
    <w:rsid w:val="00AA4E03"/>
    <w:rsid w:val="00AA5C95"/>
    <w:rsid w:val="00AA5F41"/>
    <w:rsid w:val="00AA6536"/>
    <w:rsid w:val="00AA6A38"/>
    <w:rsid w:val="00AA6AB6"/>
    <w:rsid w:val="00AA795C"/>
    <w:rsid w:val="00AA7C58"/>
    <w:rsid w:val="00AB007F"/>
    <w:rsid w:val="00AB02D5"/>
    <w:rsid w:val="00AB0F0A"/>
    <w:rsid w:val="00AB2120"/>
    <w:rsid w:val="00AB25DA"/>
    <w:rsid w:val="00AB2B0C"/>
    <w:rsid w:val="00AB2BE2"/>
    <w:rsid w:val="00AB3CEB"/>
    <w:rsid w:val="00AB3EFF"/>
    <w:rsid w:val="00AB4CB2"/>
    <w:rsid w:val="00AB557A"/>
    <w:rsid w:val="00AB5DA1"/>
    <w:rsid w:val="00AB69E8"/>
    <w:rsid w:val="00AB706B"/>
    <w:rsid w:val="00AB7493"/>
    <w:rsid w:val="00AB74F1"/>
    <w:rsid w:val="00AB77FE"/>
    <w:rsid w:val="00AB7D97"/>
    <w:rsid w:val="00AC002F"/>
    <w:rsid w:val="00AC0512"/>
    <w:rsid w:val="00AC052D"/>
    <w:rsid w:val="00AC0773"/>
    <w:rsid w:val="00AC0AC7"/>
    <w:rsid w:val="00AC1069"/>
    <w:rsid w:val="00AC1E83"/>
    <w:rsid w:val="00AC499E"/>
    <w:rsid w:val="00AC4D25"/>
    <w:rsid w:val="00AC55D4"/>
    <w:rsid w:val="00AC5AD0"/>
    <w:rsid w:val="00AC7786"/>
    <w:rsid w:val="00AC7979"/>
    <w:rsid w:val="00AD0804"/>
    <w:rsid w:val="00AD086B"/>
    <w:rsid w:val="00AD2AFF"/>
    <w:rsid w:val="00AD2C5B"/>
    <w:rsid w:val="00AD3C24"/>
    <w:rsid w:val="00AD4B21"/>
    <w:rsid w:val="00AD51A3"/>
    <w:rsid w:val="00AD52FB"/>
    <w:rsid w:val="00AD52FD"/>
    <w:rsid w:val="00AD7A25"/>
    <w:rsid w:val="00AE0E05"/>
    <w:rsid w:val="00AE2332"/>
    <w:rsid w:val="00AE248E"/>
    <w:rsid w:val="00AE345A"/>
    <w:rsid w:val="00AE3516"/>
    <w:rsid w:val="00AE4180"/>
    <w:rsid w:val="00AE6AFC"/>
    <w:rsid w:val="00AE6C53"/>
    <w:rsid w:val="00AE6EA7"/>
    <w:rsid w:val="00AE79AA"/>
    <w:rsid w:val="00AF0371"/>
    <w:rsid w:val="00AF055A"/>
    <w:rsid w:val="00AF614A"/>
    <w:rsid w:val="00AF72CA"/>
    <w:rsid w:val="00B01296"/>
    <w:rsid w:val="00B0171B"/>
    <w:rsid w:val="00B01BB0"/>
    <w:rsid w:val="00B01C4B"/>
    <w:rsid w:val="00B026C3"/>
    <w:rsid w:val="00B029CE"/>
    <w:rsid w:val="00B034FD"/>
    <w:rsid w:val="00B0428C"/>
    <w:rsid w:val="00B04D89"/>
    <w:rsid w:val="00B0522F"/>
    <w:rsid w:val="00B05CE2"/>
    <w:rsid w:val="00B063F5"/>
    <w:rsid w:val="00B10D57"/>
    <w:rsid w:val="00B1104C"/>
    <w:rsid w:val="00B113E0"/>
    <w:rsid w:val="00B12EF6"/>
    <w:rsid w:val="00B12FF2"/>
    <w:rsid w:val="00B14503"/>
    <w:rsid w:val="00B14D76"/>
    <w:rsid w:val="00B1626A"/>
    <w:rsid w:val="00B1748B"/>
    <w:rsid w:val="00B21824"/>
    <w:rsid w:val="00B21ACD"/>
    <w:rsid w:val="00B22489"/>
    <w:rsid w:val="00B23634"/>
    <w:rsid w:val="00B24268"/>
    <w:rsid w:val="00B24D03"/>
    <w:rsid w:val="00B26EF5"/>
    <w:rsid w:val="00B27231"/>
    <w:rsid w:val="00B279CE"/>
    <w:rsid w:val="00B30F46"/>
    <w:rsid w:val="00B318D8"/>
    <w:rsid w:val="00B32388"/>
    <w:rsid w:val="00B32A23"/>
    <w:rsid w:val="00B32BE6"/>
    <w:rsid w:val="00B3399A"/>
    <w:rsid w:val="00B33B41"/>
    <w:rsid w:val="00B35CB2"/>
    <w:rsid w:val="00B35E5A"/>
    <w:rsid w:val="00B36098"/>
    <w:rsid w:val="00B40417"/>
    <w:rsid w:val="00B40B7B"/>
    <w:rsid w:val="00B414C1"/>
    <w:rsid w:val="00B41740"/>
    <w:rsid w:val="00B41757"/>
    <w:rsid w:val="00B4205E"/>
    <w:rsid w:val="00B42761"/>
    <w:rsid w:val="00B4294E"/>
    <w:rsid w:val="00B4450F"/>
    <w:rsid w:val="00B45341"/>
    <w:rsid w:val="00B45C16"/>
    <w:rsid w:val="00B464B0"/>
    <w:rsid w:val="00B46634"/>
    <w:rsid w:val="00B4700B"/>
    <w:rsid w:val="00B47287"/>
    <w:rsid w:val="00B5033C"/>
    <w:rsid w:val="00B5079D"/>
    <w:rsid w:val="00B512B0"/>
    <w:rsid w:val="00B51983"/>
    <w:rsid w:val="00B52BC2"/>
    <w:rsid w:val="00B52CD2"/>
    <w:rsid w:val="00B52D34"/>
    <w:rsid w:val="00B5339E"/>
    <w:rsid w:val="00B536B4"/>
    <w:rsid w:val="00B542E7"/>
    <w:rsid w:val="00B546C9"/>
    <w:rsid w:val="00B54A1A"/>
    <w:rsid w:val="00B5669E"/>
    <w:rsid w:val="00B56EFF"/>
    <w:rsid w:val="00B57A6A"/>
    <w:rsid w:val="00B6082C"/>
    <w:rsid w:val="00B608B5"/>
    <w:rsid w:val="00B60CAB"/>
    <w:rsid w:val="00B61A9D"/>
    <w:rsid w:val="00B62E92"/>
    <w:rsid w:val="00B6579B"/>
    <w:rsid w:val="00B66C76"/>
    <w:rsid w:val="00B673DE"/>
    <w:rsid w:val="00B70FED"/>
    <w:rsid w:val="00B71413"/>
    <w:rsid w:val="00B71757"/>
    <w:rsid w:val="00B7179C"/>
    <w:rsid w:val="00B72C25"/>
    <w:rsid w:val="00B72D5A"/>
    <w:rsid w:val="00B7332A"/>
    <w:rsid w:val="00B7490E"/>
    <w:rsid w:val="00B74FFD"/>
    <w:rsid w:val="00B77059"/>
    <w:rsid w:val="00B7745E"/>
    <w:rsid w:val="00B779A0"/>
    <w:rsid w:val="00B77CBE"/>
    <w:rsid w:val="00B8241D"/>
    <w:rsid w:val="00B82945"/>
    <w:rsid w:val="00B833F8"/>
    <w:rsid w:val="00B85778"/>
    <w:rsid w:val="00B861B0"/>
    <w:rsid w:val="00B86596"/>
    <w:rsid w:val="00B86A39"/>
    <w:rsid w:val="00B902C7"/>
    <w:rsid w:val="00B91011"/>
    <w:rsid w:val="00B911EA"/>
    <w:rsid w:val="00B91BDD"/>
    <w:rsid w:val="00B937D7"/>
    <w:rsid w:val="00B93A33"/>
    <w:rsid w:val="00B946A3"/>
    <w:rsid w:val="00B955B4"/>
    <w:rsid w:val="00B96446"/>
    <w:rsid w:val="00B96A55"/>
    <w:rsid w:val="00B96D49"/>
    <w:rsid w:val="00B97A85"/>
    <w:rsid w:val="00BA01E4"/>
    <w:rsid w:val="00BA0539"/>
    <w:rsid w:val="00BA15F5"/>
    <w:rsid w:val="00BA1A7A"/>
    <w:rsid w:val="00BA1DF7"/>
    <w:rsid w:val="00BA2190"/>
    <w:rsid w:val="00BA354B"/>
    <w:rsid w:val="00BA4244"/>
    <w:rsid w:val="00BA4304"/>
    <w:rsid w:val="00BA4519"/>
    <w:rsid w:val="00BA6193"/>
    <w:rsid w:val="00BA6282"/>
    <w:rsid w:val="00BA64C8"/>
    <w:rsid w:val="00BA686B"/>
    <w:rsid w:val="00BA6D56"/>
    <w:rsid w:val="00BA7F2A"/>
    <w:rsid w:val="00BB17ED"/>
    <w:rsid w:val="00BB1977"/>
    <w:rsid w:val="00BB210D"/>
    <w:rsid w:val="00BB2A60"/>
    <w:rsid w:val="00BB48B5"/>
    <w:rsid w:val="00BB495F"/>
    <w:rsid w:val="00BB4AD3"/>
    <w:rsid w:val="00BB7E92"/>
    <w:rsid w:val="00BB7F4E"/>
    <w:rsid w:val="00BC0C9C"/>
    <w:rsid w:val="00BC15BA"/>
    <w:rsid w:val="00BC220A"/>
    <w:rsid w:val="00BC2AF1"/>
    <w:rsid w:val="00BC3196"/>
    <w:rsid w:val="00BC39E4"/>
    <w:rsid w:val="00BC3C7C"/>
    <w:rsid w:val="00BC3D0B"/>
    <w:rsid w:val="00BC43B8"/>
    <w:rsid w:val="00BC53F3"/>
    <w:rsid w:val="00BC5CC3"/>
    <w:rsid w:val="00BC60BC"/>
    <w:rsid w:val="00BC678B"/>
    <w:rsid w:val="00BC690E"/>
    <w:rsid w:val="00BD0B9E"/>
    <w:rsid w:val="00BD0D29"/>
    <w:rsid w:val="00BD2FB3"/>
    <w:rsid w:val="00BD387B"/>
    <w:rsid w:val="00BD3B08"/>
    <w:rsid w:val="00BD3E57"/>
    <w:rsid w:val="00BD4D11"/>
    <w:rsid w:val="00BD56BD"/>
    <w:rsid w:val="00BD5783"/>
    <w:rsid w:val="00BE0ED3"/>
    <w:rsid w:val="00BE16C3"/>
    <w:rsid w:val="00BE1B90"/>
    <w:rsid w:val="00BE2060"/>
    <w:rsid w:val="00BE245B"/>
    <w:rsid w:val="00BE2D64"/>
    <w:rsid w:val="00BE44BB"/>
    <w:rsid w:val="00BE47AC"/>
    <w:rsid w:val="00BE5257"/>
    <w:rsid w:val="00BE5B26"/>
    <w:rsid w:val="00BE6058"/>
    <w:rsid w:val="00BE67AF"/>
    <w:rsid w:val="00BE7B7C"/>
    <w:rsid w:val="00BF0AFB"/>
    <w:rsid w:val="00BF0DEE"/>
    <w:rsid w:val="00BF18B6"/>
    <w:rsid w:val="00BF191B"/>
    <w:rsid w:val="00BF1AE2"/>
    <w:rsid w:val="00BF1D40"/>
    <w:rsid w:val="00BF1DEC"/>
    <w:rsid w:val="00BF2094"/>
    <w:rsid w:val="00BF2533"/>
    <w:rsid w:val="00BF2904"/>
    <w:rsid w:val="00BF38B7"/>
    <w:rsid w:val="00BF52F0"/>
    <w:rsid w:val="00BF5D9E"/>
    <w:rsid w:val="00BF5DFB"/>
    <w:rsid w:val="00BF5DFC"/>
    <w:rsid w:val="00BF62F8"/>
    <w:rsid w:val="00BF64A0"/>
    <w:rsid w:val="00BF6C48"/>
    <w:rsid w:val="00BF6F19"/>
    <w:rsid w:val="00C00257"/>
    <w:rsid w:val="00C00732"/>
    <w:rsid w:val="00C014B6"/>
    <w:rsid w:val="00C02610"/>
    <w:rsid w:val="00C02B71"/>
    <w:rsid w:val="00C02E2D"/>
    <w:rsid w:val="00C0432F"/>
    <w:rsid w:val="00C048F2"/>
    <w:rsid w:val="00C05B6E"/>
    <w:rsid w:val="00C06161"/>
    <w:rsid w:val="00C07DC1"/>
    <w:rsid w:val="00C1001B"/>
    <w:rsid w:val="00C10951"/>
    <w:rsid w:val="00C11E4C"/>
    <w:rsid w:val="00C1274C"/>
    <w:rsid w:val="00C1378E"/>
    <w:rsid w:val="00C13A5D"/>
    <w:rsid w:val="00C14599"/>
    <w:rsid w:val="00C147AB"/>
    <w:rsid w:val="00C15BE1"/>
    <w:rsid w:val="00C16445"/>
    <w:rsid w:val="00C16530"/>
    <w:rsid w:val="00C16B44"/>
    <w:rsid w:val="00C16E3C"/>
    <w:rsid w:val="00C172C1"/>
    <w:rsid w:val="00C21C71"/>
    <w:rsid w:val="00C21F89"/>
    <w:rsid w:val="00C23D2E"/>
    <w:rsid w:val="00C243F0"/>
    <w:rsid w:val="00C25CDB"/>
    <w:rsid w:val="00C260A0"/>
    <w:rsid w:val="00C2610D"/>
    <w:rsid w:val="00C27120"/>
    <w:rsid w:val="00C27FAC"/>
    <w:rsid w:val="00C301EE"/>
    <w:rsid w:val="00C32E7E"/>
    <w:rsid w:val="00C331B4"/>
    <w:rsid w:val="00C33A85"/>
    <w:rsid w:val="00C342DA"/>
    <w:rsid w:val="00C343EA"/>
    <w:rsid w:val="00C35025"/>
    <w:rsid w:val="00C35180"/>
    <w:rsid w:val="00C359AC"/>
    <w:rsid w:val="00C35B27"/>
    <w:rsid w:val="00C35D3B"/>
    <w:rsid w:val="00C368B5"/>
    <w:rsid w:val="00C368BE"/>
    <w:rsid w:val="00C36F97"/>
    <w:rsid w:val="00C37E65"/>
    <w:rsid w:val="00C37F66"/>
    <w:rsid w:val="00C4034B"/>
    <w:rsid w:val="00C44270"/>
    <w:rsid w:val="00C4536D"/>
    <w:rsid w:val="00C45CA0"/>
    <w:rsid w:val="00C467A3"/>
    <w:rsid w:val="00C468E6"/>
    <w:rsid w:val="00C46E64"/>
    <w:rsid w:val="00C47593"/>
    <w:rsid w:val="00C47BC5"/>
    <w:rsid w:val="00C47CA7"/>
    <w:rsid w:val="00C47D2F"/>
    <w:rsid w:val="00C5069F"/>
    <w:rsid w:val="00C50DAB"/>
    <w:rsid w:val="00C521F7"/>
    <w:rsid w:val="00C52B19"/>
    <w:rsid w:val="00C53504"/>
    <w:rsid w:val="00C535AC"/>
    <w:rsid w:val="00C547CC"/>
    <w:rsid w:val="00C5519C"/>
    <w:rsid w:val="00C55712"/>
    <w:rsid w:val="00C5641D"/>
    <w:rsid w:val="00C57E44"/>
    <w:rsid w:val="00C60B16"/>
    <w:rsid w:val="00C60C0E"/>
    <w:rsid w:val="00C62514"/>
    <w:rsid w:val="00C62892"/>
    <w:rsid w:val="00C63809"/>
    <w:rsid w:val="00C65229"/>
    <w:rsid w:val="00C65605"/>
    <w:rsid w:val="00C66A91"/>
    <w:rsid w:val="00C67229"/>
    <w:rsid w:val="00C707FA"/>
    <w:rsid w:val="00C70CD9"/>
    <w:rsid w:val="00C72C0B"/>
    <w:rsid w:val="00C72E0C"/>
    <w:rsid w:val="00C72FAA"/>
    <w:rsid w:val="00C73BD5"/>
    <w:rsid w:val="00C74254"/>
    <w:rsid w:val="00C74BC4"/>
    <w:rsid w:val="00C74C8C"/>
    <w:rsid w:val="00C74D9D"/>
    <w:rsid w:val="00C758C8"/>
    <w:rsid w:val="00C75D53"/>
    <w:rsid w:val="00C76173"/>
    <w:rsid w:val="00C76524"/>
    <w:rsid w:val="00C76813"/>
    <w:rsid w:val="00C768D8"/>
    <w:rsid w:val="00C76CF1"/>
    <w:rsid w:val="00C779F6"/>
    <w:rsid w:val="00C77B38"/>
    <w:rsid w:val="00C80936"/>
    <w:rsid w:val="00C80E66"/>
    <w:rsid w:val="00C81535"/>
    <w:rsid w:val="00C81C96"/>
    <w:rsid w:val="00C822BA"/>
    <w:rsid w:val="00C82499"/>
    <w:rsid w:val="00C826D5"/>
    <w:rsid w:val="00C83488"/>
    <w:rsid w:val="00C83683"/>
    <w:rsid w:val="00C837DC"/>
    <w:rsid w:val="00C83E6E"/>
    <w:rsid w:val="00C84489"/>
    <w:rsid w:val="00C84B2A"/>
    <w:rsid w:val="00C85047"/>
    <w:rsid w:val="00C85F9B"/>
    <w:rsid w:val="00C862E7"/>
    <w:rsid w:val="00C900BD"/>
    <w:rsid w:val="00C900CF"/>
    <w:rsid w:val="00C917ED"/>
    <w:rsid w:val="00C92369"/>
    <w:rsid w:val="00C9252C"/>
    <w:rsid w:val="00C92556"/>
    <w:rsid w:val="00C92575"/>
    <w:rsid w:val="00C93037"/>
    <w:rsid w:val="00C93351"/>
    <w:rsid w:val="00C941C7"/>
    <w:rsid w:val="00C94347"/>
    <w:rsid w:val="00C945DB"/>
    <w:rsid w:val="00C95062"/>
    <w:rsid w:val="00C95A91"/>
    <w:rsid w:val="00C95BFD"/>
    <w:rsid w:val="00C97DA7"/>
    <w:rsid w:val="00CA058C"/>
    <w:rsid w:val="00CA0D45"/>
    <w:rsid w:val="00CA0DB7"/>
    <w:rsid w:val="00CA1136"/>
    <w:rsid w:val="00CA1586"/>
    <w:rsid w:val="00CA1913"/>
    <w:rsid w:val="00CA1C54"/>
    <w:rsid w:val="00CA22C2"/>
    <w:rsid w:val="00CA2520"/>
    <w:rsid w:val="00CA253D"/>
    <w:rsid w:val="00CA2A1D"/>
    <w:rsid w:val="00CA4043"/>
    <w:rsid w:val="00CA458B"/>
    <w:rsid w:val="00CA491A"/>
    <w:rsid w:val="00CA4EE0"/>
    <w:rsid w:val="00CA5EE1"/>
    <w:rsid w:val="00CA6310"/>
    <w:rsid w:val="00CA7861"/>
    <w:rsid w:val="00CB18A1"/>
    <w:rsid w:val="00CB3B42"/>
    <w:rsid w:val="00CB4C46"/>
    <w:rsid w:val="00CB5259"/>
    <w:rsid w:val="00CB5A01"/>
    <w:rsid w:val="00CB5C4B"/>
    <w:rsid w:val="00CC0400"/>
    <w:rsid w:val="00CC0D51"/>
    <w:rsid w:val="00CC0E40"/>
    <w:rsid w:val="00CC21DD"/>
    <w:rsid w:val="00CC2948"/>
    <w:rsid w:val="00CC3C84"/>
    <w:rsid w:val="00CC7A4B"/>
    <w:rsid w:val="00CD1271"/>
    <w:rsid w:val="00CD1D13"/>
    <w:rsid w:val="00CD21B2"/>
    <w:rsid w:val="00CD2705"/>
    <w:rsid w:val="00CD2EAF"/>
    <w:rsid w:val="00CD52D2"/>
    <w:rsid w:val="00CD6EFF"/>
    <w:rsid w:val="00CE186A"/>
    <w:rsid w:val="00CE2A1D"/>
    <w:rsid w:val="00CE2DEF"/>
    <w:rsid w:val="00CE4F15"/>
    <w:rsid w:val="00CE5C08"/>
    <w:rsid w:val="00CE7413"/>
    <w:rsid w:val="00CE7910"/>
    <w:rsid w:val="00CE7AF2"/>
    <w:rsid w:val="00CF00A9"/>
    <w:rsid w:val="00CF0997"/>
    <w:rsid w:val="00CF0A3B"/>
    <w:rsid w:val="00CF1617"/>
    <w:rsid w:val="00CF257D"/>
    <w:rsid w:val="00CF4A74"/>
    <w:rsid w:val="00CF4AD3"/>
    <w:rsid w:val="00CF5F2A"/>
    <w:rsid w:val="00CF6693"/>
    <w:rsid w:val="00CF66B8"/>
    <w:rsid w:val="00CF6A36"/>
    <w:rsid w:val="00CF71BC"/>
    <w:rsid w:val="00D01445"/>
    <w:rsid w:val="00D0186E"/>
    <w:rsid w:val="00D01F0D"/>
    <w:rsid w:val="00D02859"/>
    <w:rsid w:val="00D0297B"/>
    <w:rsid w:val="00D02BD9"/>
    <w:rsid w:val="00D05CEB"/>
    <w:rsid w:val="00D06122"/>
    <w:rsid w:val="00D0632E"/>
    <w:rsid w:val="00D109B2"/>
    <w:rsid w:val="00D10FE3"/>
    <w:rsid w:val="00D11194"/>
    <w:rsid w:val="00D115CD"/>
    <w:rsid w:val="00D12BBE"/>
    <w:rsid w:val="00D14EB1"/>
    <w:rsid w:val="00D15D3C"/>
    <w:rsid w:val="00D16150"/>
    <w:rsid w:val="00D1662F"/>
    <w:rsid w:val="00D21319"/>
    <w:rsid w:val="00D2205C"/>
    <w:rsid w:val="00D22458"/>
    <w:rsid w:val="00D2248F"/>
    <w:rsid w:val="00D22AC0"/>
    <w:rsid w:val="00D22BD2"/>
    <w:rsid w:val="00D22EE8"/>
    <w:rsid w:val="00D22F42"/>
    <w:rsid w:val="00D23E15"/>
    <w:rsid w:val="00D23F87"/>
    <w:rsid w:val="00D24624"/>
    <w:rsid w:val="00D25EA7"/>
    <w:rsid w:val="00D273D9"/>
    <w:rsid w:val="00D30941"/>
    <w:rsid w:val="00D337A0"/>
    <w:rsid w:val="00D3389E"/>
    <w:rsid w:val="00D33908"/>
    <w:rsid w:val="00D3405F"/>
    <w:rsid w:val="00D374C4"/>
    <w:rsid w:val="00D3761D"/>
    <w:rsid w:val="00D37E15"/>
    <w:rsid w:val="00D4086F"/>
    <w:rsid w:val="00D40A0B"/>
    <w:rsid w:val="00D42313"/>
    <w:rsid w:val="00D44135"/>
    <w:rsid w:val="00D44F91"/>
    <w:rsid w:val="00D45DD4"/>
    <w:rsid w:val="00D47738"/>
    <w:rsid w:val="00D47F69"/>
    <w:rsid w:val="00D51679"/>
    <w:rsid w:val="00D5246A"/>
    <w:rsid w:val="00D52521"/>
    <w:rsid w:val="00D53222"/>
    <w:rsid w:val="00D5329F"/>
    <w:rsid w:val="00D54207"/>
    <w:rsid w:val="00D553FA"/>
    <w:rsid w:val="00D55A79"/>
    <w:rsid w:val="00D56628"/>
    <w:rsid w:val="00D56AD0"/>
    <w:rsid w:val="00D57A81"/>
    <w:rsid w:val="00D6084B"/>
    <w:rsid w:val="00D614FE"/>
    <w:rsid w:val="00D615F6"/>
    <w:rsid w:val="00D6194C"/>
    <w:rsid w:val="00D620C9"/>
    <w:rsid w:val="00D62244"/>
    <w:rsid w:val="00D6238A"/>
    <w:rsid w:val="00D63057"/>
    <w:rsid w:val="00D63B81"/>
    <w:rsid w:val="00D63CB3"/>
    <w:rsid w:val="00D642CD"/>
    <w:rsid w:val="00D64DD2"/>
    <w:rsid w:val="00D65BEC"/>
    <w:rsid w:val="00D666CA"/>
    <w:rsid w:val="00D709A9"/>
    <w:rsid w:val="00D7305F"/>
    <w:rsid w:val="00D732FD"/>
    <w:rsid w:val="00D75461"/>
    <w:rsid w:val="00D77F19"/>
    <w:rsid w:val="00D80844"/>
    <w:rsid w:val="00D80BA9"/>
    <w:rsid w:val="00D820DC"/>
    <w:rsid w:val="00D82111"/>
    <w:rsid w:val="00D828BD"/>
    <w:rsid w:val="00D82C7E"/>
    <w:rsid w:val="00D841DA"/>
    <w:rsid w:val="00D84334"/>
    <w:rsid w:val="00D84896"/>
    <w:rsid w:val="00D84A2B"/>
    <w:rsid w:val="00D85620"/>
    <w:rsid w:val="00D861AE"/>
    <w:rsid w:val="00D86F85"/>
    <w:rsid w:val="00D86FD7"/>
    <w:rsid w:val="00D87BFE"/>
    <w:rsid w:val="00D93780"/>
    <w:rsid w:val="00D93A9F"/>
    <w:rsid w:val="00D948B0"/>
    <w:rsid w:val="00D95CB2"/>
    <w:rsid w:val="00D961A1"/>
    <w:rsid w:val="00DA01A8"/>
    <w:rsid w:val="00DA01DE"/>
    <w:rsid w:val="00DA0769"/>
    <w:rsid w:val="00DA1365"/>
    <w:rsid w:val="00DA141D"/>
    <w:rsid w:val="00DA160B"/>
    <w:rsid w:val="00DA1CF5"/>
    <w:rsid w:val="00DA278E"/>
    <w:rsid w:val="00DA3562"/>
    <w:rsid w:val="00DA5087"/>
    <w:rsid w:val="00DA5DF5"/>
    <w:rsid w:val="00DA78AB"/>
    <w:rsid w:val="00DB1064"/>
    <w:rsid w:val="00DB1246"/>
    <w:rsid w:val="00DB1C07"/>
    <w:rsid w:val="00DB27FF"/>
    <w:rsid w:val="00DB32E5"/>
    <w:rsid w:val="00DB3984"/>
    <w:rsid w:val="00DB4A9C"/>
    <w:rsid w:val="00DB4F15"/>
    <w:rsid w:val="00DB4F5E"/>
    <w:rsid w:val="00DB508D"/>
    <w:rsid w:val="00DB52D5"/>
    <w:rsid w:val="00DB5374"/>
    <w:rsid w:val="00DB599E"/>
    <w:rsid w:val="00DB69D8"/>
    <w:rsid w:val="00DB7589"/>
    <w:rsid w:val="00DC0DCB"/>
    <w:rsid w:val="00DC1203"/>
    <w:rsid w:val="00DC2F52"/>
    <w:rsid w:val="00DC3762"/>
    <w:rsid w:val="00DC50FB"/>
    <w:rsid w:val="00DC6AF7"/>
    <w:rsid w:val="00DC7AC5"/>
    <w:rsid w:val="00DC7BD5"/>
    <w:rsid w:val="00DD0893"/>
    <w:rsid w:val="00DD0A4C"/>
    <w:rsid w:val="00DD0E6F"/>
    <w:rsid w:val="00DD168E"/>
    <w:rsid w:val="00DD19EF"/>
    <w:rsid w:val="00DD1C01"/>
    <w:rsid w:val="00DD1D99"/>
    <w:rsid w:val="00DD2670"/>
    <w:rsid w:val="00DD2B05"/>
    <w:rsid w:val="00DD2BE8"/>
    <w:rsid w:val="00DD308E"/>
    <w:rsid w:val="00DD35A7"/>
    <w:rsid w:val="00DD4329"/>
    <w:rsid w:val="00DD5AF0"/>
    <w:rsid w:val="00DD5C0F"/>
    <w:rsid w:val="00DD5C75"/>
    <w:rsid w:val="00DD5FD9"/>
    <w:rsid w:val="00DD6616"/>
    <w:rsid w:val="00DD7482"/>
    <w:rsid w:val="00DE071F"/>
    <w:rsid w:val="00DE0D95"/>
    <w:rsid w:val="00DE0E66"/>
    <w:rsid w:val="00DE22F2"/>
    <w:rsid w:val="00DE33A3"/>
    <w:rsid w:val="00DE3BE4"/>
    <w:rsid w:val="00DE4815"/>
    <w:rsid w:val="00DE5087"/>
    <w:rsid w:val="00DE56AB"/>
    <w:rsid w:val="00DE5D9D"/>
    <w:rsid w:val="00DE5F4B"/>
    <w:rsid w:val="00DE6296"/>
    <w:rsid w:val="00DF07D5"/>
    <w:rsid w:val="00DF17E8"/>
    <w:rsid w:val="00DF18F7"/>
    <w:rsid w:val="00DF197C"/>
    <w:rsid w:val="00DF33E5"/>
    <w:rsid w:val="00DF3531"/>
    <w:rsid w:val="00DF3EC4"/>
    <w:rsid w:val="00DF539C"/>
    <w:rsid w:val="00DF57EA"/>
    <w:rsid w:val="00DF5805"/>
    <w:rsid w:val="00DF6A2F"/>
    <w:rsid w:val="00E001E3"/>
    <w:rsid w:val="00E0033B"/>
    <w:rsid w:val="00E01577"/>
    <w:rsid w:val="00E01603"/>
    <w:rsid w:val="00E01624"/>
    <w:rsid w:val="00E01FCA"/>
    <w:rsid w:val="00E02713"/>
    <w:rsid w:val="00E03503"/>
    <w:rsid w:val="00E036F8"/>
    <w:rsid w:val="00E03A2F"/>
    <w:rsid w:val="00E04EE1"/>
    <w:rsid w:val="00E0511F"/>
    <w:rsid w:val="00E051D2"/>
    <w:rsid w:val="00E05949"/>
    <w:rsid w:val="00E05C7B"/>
    <w:rsid w:val="00E05E48"/>
    <w:rsid w:val="00E07072"/>
    <w:rsid w:val="00E1019F"/>
    <w:rsid w:val="00E107CD"/>
    <w:rsid w:val="00E12AEC"/>
    <w:rsid w:val="00E12F21"/>
    <w:rsid w:val="00E14A53"/>
    <w:rsid w:val="00E14EDC"/>
    <w:rsid w:val="00E152B3"/>
    <w:rsid w:val="00E16B48"/>
    <w:rsid w:val="00E17BD7"/>
    <w:rsid w:val="00E20F2D"/>
    <w:rsid w:val="00E21B65"/>
    <w:rsid w:val="00E21C6C"/>
    <w:rsid w:val="00E22293"/>
    <w:rsid w:val="00E22AD1"/>
    <w:rsid w:val="00E2420C"/>
    <w:rsid w:val="00E24369"/>
    <w:rsid w:val="00E2467C"/>
    <w:rsid w:val="00E252CF"/>
    <w:rsid w:val="00E25762"/>
    <w:rsid w:val="00E25BA3"/>
    <w:rsid w:val="00E26894"/>
    <w:rsid w:val="00E26BFF"/>
    <w:rsid w:val="00E27663"/>
    <w:rsid w:val="00E279B5"/>
    <w:rsid w:val="00E27E98"/>
    <w:rsid w:val="00E300D7"/>
    <w:rsid w:val="00E30940"/>
    <w:rsid w:val="00E30FDD"/>
    <w:rsid w:val="00E3146B"/>
    <w:rsid w:val="00E32FC0"/>
    <w:rsid w:val="00E346F3"/>
    <w:rsid w:val="00E357CA"/>
    <w:rsid w:val="00E3675A"/>
    <w:rsid w:val="00E370F4"/>
    <w:rsid w:val="00E37898"/>
    <w:rsid w:val="00E40068"/>
    <w:rsid w:val="00E414F3"/>
    <w:rsid w:val="00E41C26"/>
    <w:rsid w:val="00E41F53"/>
    <w:rsid w:val="00E424CF"/>
    <w:rsid w:val="00E42622"/>
    <w:rsid w:val="00E42A53"/>
    <w:rsid w:val="00E430C9"/>
    <w:rsid w:val="00E43261"/>
    <w:rsid w:val="00E43CD1"/>
    <w:rsid w:val="00E4526E"/>
    <w:rsid w:val="00E4660C"/>
    <w:rsid w:val="00E46D06"/>
    <w:rsid w:val="00E4778B"/>
    <w:rsid w:val="00E5064B"/>
    <w:rsid w:val="00E50A92"/>
    <w:rsid w:val="00E51CAE"/>
    <w:rsid w:val="00E52C2E"/>
    <w:rsid w:val="00E52EDE"/>
    <w:rsid w:val="00E532E7"/>
    <w:rsid w:val="00E545BA"/>
    <w:rsid w:val="00E5467F"/>
    <w:rsid w:val="00E56025"/>
    <w:rsid w:val="00E564B3"/>
    <w:rsid w:val="00E56671"/>
    <w:rsid w:val="00E576A2"/>
    <w:rsid w:val="00E57851"/>
    <w:rsid w:val="00E600BA"/>
    <w:rsid w:val="00E6032E"/>
    <w:rsid w:val="00E61340"/>
    <w:rsid w:val="00E616AD"/>
    <w:rsid w:val="00E62169"/>
    <w:rsid w:val="00E624D5"/>
    <w:rsid w:val="00E634E7"/>
    <w:rsid w:val="00E666DE"/>
    <w:rsid w:val="00E66D64"/>
    <w:rsid w:val="00E67400"/>
    <w:rsid w:val="00E700B6"/>
    <w:rsid w:val="00E7039B"/>
    <w:rsid w:val="00E70ECC"/>
    <w:rsid w:val="00E7156C"/>
    <w:rsid w:val="00E71A31"/>
    <w:rsid w:val="00E71E46"/>
    <w:rsid w:val="00E725E0"/>
    <w:rsid w:val="00E735B8"/>
    <w:rsid w:val="00E73BA8"/>
    <w:rsid w:val="00E7480B"/>
    <w:rsid w:val="00E749DA"/>
    <w:rsid w:val="00E756AF"/>
    <w:rsid w:val="00E77405"/>
    <w:rsid w:val="00E77C96"/>
    <w:rsid w:val="00E8146E"/>
    <w:rsid w:val="00E81DC2"/>
    <w:rsid w:val="00E82170"/>
    <w:rsid w:val="00E83D8F"/>
    <w:rsid w:val="00E84045"/>
    <w:rsid w:val="00E84238"/>
    <w:rsid w:val="00E84DC0"/>
    <w:rsid w:val="00E85897"/>
    <w:rsid w:val="00E8660E"/>
    <w:rsid w:val="00E868FF"/>
    <w:rsid w:val="00E8723A"/>
    <w:rsid w:val="00E87CC3"/>
    <w:rsid w:val="00E91745"/>
    <w:rsid w:val="00E92DD8"/>
    <w:rsid w:val="00E93BD3"/>
    <w:rsid w:val="00E94C89"/>
    <w:rsid w:val="00E9500B"/>
    <w:rsid w:val="00E9598F"/>
    <w:rsid w:val="00E95C31"/>
    <w:rsid w:val="00E95CEE"/>
    <w:rsid w:val="00E9625A"/>
    <w:rsid w:val="00E96397"/>
    <w:rsid w:val="00E964EF"/>
    <w:rsid w:val="00E974DD"/>
    <w:rsid w:val="00E97589"/>
    <w:rsid w:val="00EA0917"/>
    <w:rsid w:val="00EA0976"/>
    <w:rsid w:val="00EA17EB"/>
    <w:rsid w:val="00EA1FBB"/>
    <w:rsid w:val="00EA30D6"/>
    <w:rsid w:val="00EA3370"/>
    <w:rsid w:val="00EA3F96"/>
    <w:rsid w:val="00EA4899"/>
    <w:rsid w:val="00EA4D58"/>
    <w:rsid w:val="00EA525E"/>
    <w:rsid w:val="00EA6502"/>
    <w:rsid w:val="00EA68E4"/>
    <w:rsid w:val="00EA6CD5"/>
    <w:rsid w:val="00EA6FA7"/>
    <w:rsid w:val="00EA6FD8"/>
    <w:rsid w:val="00EA7191"/>
    <w:rsid w:val="00EA78FB"/>
    <w:rsid w:val="00EB0002"/>
    <w:rsid w:val="00EB0028"/>
    <w:rsid w:val="00EB0380"/>
    <w:rsid w:val="00EB1495"/>
    <w:rsid w:val="00EB282A"/>
    <w:rsid w:val="00EB28BD"/>
    <w:rsid w:val="00EB2B53"/>
    <w:rsid w:val="00EB2BA9"/>
    <w:rsid w:val="00EB3133"/>
    <w:rsid w:val="00EB39B8"/>
    <w:rsid w:val="00EB3D22"/>
    <w:rsid w:val="00EB470B"/>
    <w:rsid w:val="00EB4DBB"/>
    <w:rsid w:val="00EB539A"/>
    <w:rsid w:val="00EB5AE4"/>
    <w:rsid w:val="00EB5D9D"/>
    <w:rsid w:val="00EB5DD1"/>
    <w:rsid w:val="00EB617A"/>
    <w:rsid w:val="00EB6189"/>
    <w:rsid w:val="00EB6286"/>
    <w:rsid w:val="00EB6F1C"/>
    <w:rsid w:val="00EB77F2"/>
    <w:rsid w:val="00EC0C8B"/>
    <w:rsid w:val="00EC166B"/>
    <w:rsid w:val="00EC1891"/>
    <w:rsid w:val="00EC1956"/>
    <w:rsid w:val="00EC1981"/>
    <w:rsid w:val="00EC245F"/>
    <w:rsid w:val="00EC283F"/>
    <w:rsid w:val="00EC33C2"/>
    <w:rsid w:val="00EC3E4C"/>
    <w:rsid w:val="00EC4B43"/>
    <w:rsid w:val="00EC4DA0"/>
    <w:rsid w:val="00EC5A90"/>
    <w:rsid w:val="00EC6F2B"/>
    <w:rsid w:val="00EC75ED"/>
    <w:rsid w:val="00EC7A59"/>
    <w:rsid w:val="00ED0088"/>
    <w:rsid w:val="00ED041E"/>
    <w:rsid w:val="00ED0C40"/>
    <w:rsid w:val="00ED170B"/>
    <w:rsid w:val="00ED192E"/>
    <w:rsid w:val="00ED212B"/>
    <w:rsid w:val="00ED21ED"/>
    <w:rsid w:val="00ED2392"/>
    <w:rsid w:val="00ED2548"/>
    <w:rsid w:val="00ED2D64"/>
    <w:rsid w:val="00ED32A3"/>
    <w:rsid w:val="00ED4C4B"/>
    <w:rsid w:val="00ED5677"/>
    <w:rsid w:val="00ED56BB"/>
    <w:rsid w:val="00ED581D"/>
    <w:rsid w:val="00ED6DC2"/>
    <w:rsid w:val="00ED700A"/>
    <w:rsid w:val="00ED7C1C"/>
    <w:rsid w:val="00ED7D88"/>
    <w:rsid w:val="00EE0FEC"/>
    <w:rsid w:val="00EE36C2"/>
    <w:rsid w:val="00EE48C6"/>
    <w:rsid w:val="00EE495E"/>
    <w:rsid w:val="00EE4DBE"/>
    <w:rsid w:val="00EE60F8"/>
    <w:rsid w:val="00EE7C7F"/>
    <w:rsid w:val="00EF01BA"/>
    <w:rsid w:val="00EF0562"/>
    <w:rsid w:val="00EF0A74"/>
    <w:rsid w:val="00EF1342"/>
    <w:rsid w:val="00EF1474"/>
    <w:rsid w:val="00EF198D"/>
    <w:rsid w:val="00EF33EC"/>
    <w:rsid w:val="00EF40EF"/>
    <w:rsid w:val="00EF4810"/>
    <w:rsid w:val="00EF4B3D"/>
    <w:rsid w:val="00EF5872"/>
    <w:rsid w:val="00EF6384"/>
    <w:rsid w:val="00EF7165"/>
    <w:rsid w:val="00EF723D"/>
    <w:rsid w:val="00F00BE7"/>
    <w:rsid w:val="00F01ACD"/>
    <w:rsid w:val="00F031CF"/>
    <w:rsid w:val="00F034EB"/>
    <w:rsid w:val="00F03E19"/>
    <w:rsid w:val="00F04917"/>
    <w:rsid w:val="00F07AB4"/>
    <w:rsid w:val="00F11341"/>
    <w:rsid w:val="00F113E0"/>
    <w:rsid w:val="00F11453"/>
    <w:rsid w:val="00F11EB9"/>
    <w:rsid w:val="00F12080"/>
    <w:rsid w:val="00F129A9"/>
    <w:rsid w:val="00F13218"/>
    <w:rsid w:val="00F13C38"/>
    <w:rsid w:val="00F14215"/>
    <w:rsid w:val="00F14F8C"/>
    <w:rsid w:val="00F1574E"/>
    <w:rsid w:val="00F15B19"/>
    <w:rsid w:val="00F17818"/>
    <w:rsid w:val="00F20A50"/>
    <w:rsid w:val="00F21C04"/>
    <w:rsid w:val="00F2370A"/>
    <w:rsid w:val="00F24A30"/>
    <w:rsid w:val="00F24E1C"/>
    <w:rsid w:val="00F24E2A"/>
    <w:rsid w:val="00F25789"/>
    <w:rsid w:val="00F2599E"/>
    <w:rsid w:val="00F25D54"/>
    <w:rsid w:val="00F26BB6"/>
    <w:rsid w:val="00F26BD4"/>
    <w:rsid w:val="00F27230"/>
    <w:rsid w:val="00F31E1F"/>
    <w:rsid w:val="00F32B8C"/>
    <w:rsid w:val="00F32D6D"/>
    <w:rsid w:val="00F32F61"/>
    <w:rsid w:val="00F35068"/>
    <w:rsid w:val="00F35BB1"/>
    <w:rsid w:val="00F36439"/>
    <w:rsid w:val="00F37ACE"/>
    <w:rsid w:val="00F37BC1"/>
    <w:rsid w:val="00F40DDA"/>
    <w:rsid w:val="00F42597"/>
    <w:rsid w:val="00F4342A"/>
    <w:rsid w:val="00F435BB"/>
    <w:rsid w:val="00F43BF1"/>
    <w:rsid w:val="00F43E56"/>
    <w:rsid w:val="00F4400B"/>
    <w:rsid w:val="00F44D15"/>
    <w:rsid w:val="00F45465"/>
    <w:rsid w:val="00F46569"/>
    <w:rsid w:val="00F465CB"/>
    <w:rsid w:val="00F50B03"/>
    <w:rsid w:val="00F50B4E"/>
    <w:rsid w:val="00F50FE4"/>
    <w:rsid w:val="00F5195D"/>
    <w:rsid w:val="00F522CB"/>
    <w:rsid w:val="00F529B2"/>
    <w:rsid w:val="00F52ECE"/>
    <w:rsid w:val="00F54846"/>
    <w:rsid w:val="00F5498D"/>
    <w:rsid w:val="00F552D1"/>
    <w:rsid w:val="00F566CE"/>
    <w:rsid w:val="00F579E3"/>
    <w:rsid w:val="00F605B3"/>
    <w:rsid w:val="00F61018"/>
    <w:rsid w:val="00F61A81"/>
    <w:rsid w:val="00F61B08"/>
    <w:rsid w:val="00F6281D"/>
    <w:rsid w:val="00F62B1D"/>
    <w:rsid w:val="00F631B4"/>
    <w:rsid w:val="00F638A3"/>
    <w:rsid w:val="00F6416F"/>
    <w:rsid w:val="00F644F8"/>
    <w:rsid w:val="00F64BFC"/>
    <w:rsid w:val="00F65830"/>
    <w:rsid w:val="00F65F3E"/>
    <w:rsid w:val="00F66777"/>
    <w:rsid w:val="00F670CE"/>
    <w:rsid w:val="00F6737F"/>
    <w:rsid w:val="00F678E9"/>
    <w:rsid w:val="00F6797E"/>
    <w:rsid w:val="00F713AC"/>
    <w:rsid w:val="00F72241"/>
    <w:rsid w:val="00F725FB"/>
    <w:rsid w:val="00F7477F"/>
    <w:rsid w:val="00F7705E"/>
    <w:rsid w:val="00F7709B"/>
    <w:rsid w:val="00F7791F"/>
    <w:rsid w:val="00F80C70"/>
    <w:rsid w:val="00F8106E"/>
    <w:rsid w:val="00F8294B"/>
    <w:rsid w:val="00F82BAF"/>
    <w:rsid w:val="00F83C97"/>
    <w:rsid w:val="00F84154"/>
    <w:rsid w:val="00F846AB"/>
    <w:rsid w:val="00F84A7B"/>
    <w:rsid w:val="00F85803"/>
    <w:rsid w:val="00F86784"/>
    <w:rsid w:val="00F86AD1"/>
    <w:rsid w:val="00F903B1"/>
    <w:rsid w:val="00F91BCC"/>
    <w:rsid w:val="00F9338A"/>
    <w:rsid w:val="00F937B0"/>
    <w:rsid w:val="00F93F0A"/>
    <w:rsid w:val="00F94440"/>
    <w:rsid w:val="00F94D9F"/>
    <w:rsid w:val="00F94E35"/>
    <w:rsid w:val="00F96218"/>
    <w:rsid w:val="00F96506"/>
    <w:rsid w:val="00F96906"/>
    <w:rsid w:val="00F96D02"/>
    <w:rsid w:val="00F97095"/>
    <w:rsid w:val="00F97173"/>
    <w:rsid w:val="00F977B2"/>
    <w:rsid w:val="00FA2CD9"/>
    <w:rsid w:val="00FA3A87"/>
    <w:rsid w:val="00FA4341"/>
    <w:rsid w:val="00FA456A"/>
    <w:rsid w:val="00FA61DA"/>
    <w:rsid w:val="00FA7AAF"/>
    <w:rsid w:val="00FB00FD"/>
    <w:rsid w:val="00FB19D5"/>
    <w:rsid w:val="00FB30FC"/>
    <w:rsid w:val="00FB3F86"/>
    <w:rsid w:val="00FB4730"/>
    <w:rsid w:val="00FB47DC"/>
    <w:rsid w:val="00FB4963"/>
    <w:rsid w:val="00FB5B0D"/>
    <w:rsid w:val="00FB5C4C"/>
    <w:rsid w:val="00FB782F"/>
    <w:rsid w:val="00FC061B"/>
    <w:rsid w:val="00FC138D"/>
    <w:rsid w:val="00FC171B"/>
    <w:rsid w:val="00FC19B6"/>
    <w:rsid w:val="00FC24F9"/>
    <w:rsid w:val="00FC310F"/>
    <w:rsid w:val="00FC31D5"/>
    <w:rsid w:val="00FC47AD"/>
    <w:rsid w:val="00FC4884"/>
    <w:rsid w:val="00FC4B7F"/>
    <w:rsid w:val="00FC51EA"/>
    <w:rsid w:val="00FC576D"/>
    <w:rsid w:val="00FC5C1F"/>
    <w:rsid w:val="00FC65B9"/>
    <w:rsid w:val="00FC6993"/>
    <w:rsid w:val="00FC6A97"/>
    <w:rsid w:val="00FD034C"/>
    <w:rsid w:val="00FD124B"/>
    <w:rsid w:val="00FD1988"/>
    <w:rsid w:val="00FD1E29"/>
    <w:rsid w:val="00FD34D7"/>
    <w:rsid w:val="00FD37B9"/>
    <w:rsid w:val="00FD37E1"/>
    <w:rsid w:val="00FD39A8"/>
    <w:rsid w:val="00FD39D7"/>
    <w:rsid w:val="00FD3E2C"/>
    <w:rsid w:val="00FD481C"/>
    <w:rsid w:val="00FD4F86"/>
    <w:rsid w:val="00FD5132"/>
    <w:rsid w:val="00FD5F45"/>
    <w:rsid w:val="00FD699D"/>
    <w:rsid w:val="00FD70E5"/>
    <w:rsid w:val="00FD78EF"/>
    <w:rsid w:val="00FE1C9E"/>
    <w:rsid w:val="00FE26C8"/>
    <w:rsid w:val="00FE3520"/>
    <w:rsid w:val="00FE3563"/>
    <w:rsid w:val="00FE41F2"/>
    <w:rsid w:val="00FE62BF"/>
    <w:rsid w:val="00FE64E6"/>
    <w:rsid w:val="00FE6512"/>
    <w:rsid w:val="00FE6DDF"/>
    <w:rsid w:val="00FF0B72"/>
    <w:rsid w:val="00FF2D17"/>
    <w:rsid w:val="00FF2E32"/>
    <w:rsid w:val="00FF45ED"/>
    <w:rsid w:val="00FF4943"/>
    <w:rsid w:val="00FF49C6"/>
    <w:rsid w:val="00FF49F7"/>
    <w:rsid w:val="00FF5E74"/>
    <w:rsid w:val="00FF6500"/>
    <w:rsid w:val="00FF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E37"/>
    <w:pPr>
      <w:jc w:val="both"/>
    </w:pPr>
    <w:rPr>
      <w:rFonts w:ascii="Times New Roman" w:hAnsi="Times New Roman"/>
      <w:sz w:val="24"/>
    </w:rPr>
  </w:style>
  <w:style w:type="paragraph" w:styleId="Heading1">
    <w:name w:val="heading 1"/>
    <w:basedOn w:val="Normal"/>
    <w:next w:val="Normal"/>
    <w:link w:val="Heading1Char"/>
    <w:qFormat/>
    <w:rsid w:val="00D02859"/>
    <w:pPr>
      <w:keepNext/>
      <w:keepLines/>
      <w:spacing w:before="480"/>
      <w:outlineLvl w:val="0"/>
    </w:pPr>
    <w:rPr>
      <w:rFonts w:asciiTheme="majorHAnsi" w:eastAsiaTheme="majorEastAsia" w:hAnsiTheme="majorHAnsi" w:cstheme="majorBidi"/>
      <w:b/>
      <w:bCs/>
      <w:sz w:val="28"/>
      <w:szCs w:val="28"/>
      <w:u w:val="single"/>
    </w:rPr>
  </w:style>
  <w:style w:type="paragraph" w:styleId="Heading2">
    <w:name w:val="heading 2"/>
    <w:basedOn w:val="Normal"/>
    <w:next w:val="Normal"/>
    <w:link w:val="Heading2Char"/>
    <w:uiPriority w:val="9"/>
    <w:unhideWhenUsed/>
    <w:qFormat/>
    <w:rsid w:val="002D2314"/>
    <w:pPr>
      <w:keepNext/>
      <w:keepLines/>
      <w:spacing w:before="200"/>
      <w:outlineLvl w:val="1"/>
    </w:pPr>
    <w:rPr>
      <w:rFonts w:eastAsiaTheme="majorEastAsia" w:cstheme="majorBidi"/>
      <w:bCs/>
      <w:szCs w:val="26"/>
      <w:u w:val="single"/>
    </w:rPr>
  </w:style>
  <w:style w:type="paragraph" w:styleId="Heading3">
    <w:name w:val="heading 3"/>
    <w:basedOn w:val="Normal"/>
    <w:next w:val="Normal"/>
    <w:link w:val="Heading3Char"/>
    <w:uiPriority w:val="9"/>
    <w:unhideWhenUsed/>
    <w:qFormat/>
    <w:rsid w:val="00F24E1C"/>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ED581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2859"/>
    <w:rPr>
      <w:rFonts w:asciiTheme="majorHAnsi" w:eastAsiaTheme="majorEastAsia" w:hAnsiTheme="majorHAnsi" w:cstheme="majorBidi"/>
      <w:b/>
      <w:bCs/>
      <w:sz w:val="28"/>
      <w:szCs w:val="28"/>
      <w:u w:val="single"/>
    </w:rPr>
  </w:style>
  <w:style w:type="character" w:customStyle="1" w:styleId="Heading2Char">
    <w:name w:val="Heading 2 Char"/>
    <w:basedOn w:val="DefaultParagraphFont"/>
    <w:link w:val="Heading2"/>
    <w:uiPriority w:val="9"/>
    <w:rsid w:val="002D2314"/>
    <w:rPr>
      <w:rFonts w:ascii="Times New Roman" w:eastAsiaTheme="majorEastAsia" w:hAnsi="Times New Roman" w:cstheme="majorBidi"/>
      <w:bCs/>
      <w:sz w:val="24"/>
      <w:szCs w:val="26"/>
      <w:u w:val="single"/>
    </w:rPr>
  </w:style>
  <w:style w:type="character" w:customStyle="1" w:styleId="Heading6Char">
    <w:name w:val="Heading 6 Char"/>
    <w:basedOn w:val="DefaultParagraphFont"/>
    <w:link w:val="Heading6"/>
    <w:uiPriority w:val="9"/>
    <w:semiHidden/>
    <w:rsid w:val="00ED581D"/>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qFormat/>
    <w:rsid w:val="002C7F22"/>
    <w:pPr>
      <w:ind w:left="720"/>
      <w:contextualSpacing/>
    </w:pPr>
  </w:style>
  <w:style w:type="paragraph" w:styleId="FootnoteText">
    <w:name w:val="footnote text"/>
    <w:basedOn w:val="Normal"/>
    <w:link w:val="FootnoteTextChar"/>
    <w:uiPriority w:val="99"/>
    <w:unhideWhenUsed/>
    <w:qFormat/>
    <w:rsid w:val="00860484"/>
    <w:rPr>
      <w:sz w:val="20"/>
      <w:szCs w:val="20"/>
    </w:rPr>
  </w:style>
  <w:style w:type="character" w:customStyle="1" w:styleId="FootnoteTextChar">
    <w:name w:val="Footnote Text Char"/>
    <w:basedOn w:val="DefaultParagraphFont"/>
    <w:link w:val="FootnoteText"/>
    <w:uiPriority w:val="99"/>
    <w:rsid w:val="00860484"/>
    <w:rPr>
      <w:sz w:val="20"/>
      <w:szCs w:val="20"/>
    </w:rPr>
  </w:style>
  <w:style w:type="character" w:styleId="FootnoteReference">
    <w:name w:val="footnote reference"/>
    <w:basedOn w:val="DefaultParagraphFont"/>
    <w:uiPriority w:val="99"/>
    <w:unhideWhenUsed/>
    <w:rsid w:val="00860484"/>
    <w:rPr>
      <w:vertAlign w:val="superscript"/>
    </w:rPr>
  </w:style>
  <w:style w:type="paragraph" w:styleId="BalloonText">
    <w:name w:val="Balloon Text"/>
    <w:basedOn w:val="Normal"/>
    <w:link w:val="BalloonTextChar"/>
    <w:uiPriority w:val="99"/>
    <w:semiHidden/>
    <w:unhideWhenUsed/>
    <w:rsid w:val="005E008F"/>
    <w:rPr>
      <w:rFonts w:ascii="Tahoma" w:hAnsi="Tahoma" w:cs="Tahoma"/>
      <w:sz w:val="16"/>
      <w:szCs w:val="16"/>
    </w:rPr>
  </w:style>
  <w:style w:type="character" w:customStyle="1" w:styleId="BalloonTextChar">
    <w:name w:val="Balloon Text Char"/>
    <w:basedOn w:val="DefaultParagraphFont"/>
    <w:link w:val="BalloonText"/>
    <w:uiPriority w:val="99"/>
    <w:semiHidden/>
    <w:rsid w:val="005E008F"/>
    <w:rPr>
      <w:rFonts w:ascii="Tahoma" w:hAnsi="Tahoma" w:cs="Tahoma"/>
      <w:sz w:val="16"/>
      <w:szCs w:val="16"/>
    </w:rPr>
  </w:style>
  <w:style w:type="character" w:styleId="Hyperlink">
    <w:name w:val="Hyperlink"/>
    <w:basedOn w:val="DefaultParagraphFont"/>
    <w:uiPriority w:val="99"/>
    <w:rsid w:val="001D49F5"/>
    <w:rPr>
      <w:color w:val="0000FF"/>
      <w:u w:val="single"/>
    </w:rPr>
  </w:style>
  <w:style w:type="table" w:styleId="TableGrid">
    <w:name w:val="Table Grid"/>
    <w:basedOn w:val="TableNormal"/>
    <w:uiPriority w:val="59"/>
    <w:rsid w:val="00546EE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6106C1"/>
    <w:pPr>
      <w:spacing w:before="100" w:beforeAutospacing="1" w:after="100" w:afterAutospacing="1"/>
    </w:pPr>
    <w:rPr>
      <w:rFonts w:eastAsia="Times New Roman" w:cs="Times New Roman"/>
      <w:szCs w:val="24"/>
    </w:rPr>
  </w:style>
  <w:style w:type="paragraph" w:styleId="Header">
    <w:name w:val="header"/>
    <w:basedOn w:val="Normal"/>
    <w:link w:val="HeaderChar"/>
    <w:unhideWhenUsed/>
    <w:rsid w:val="00DD2B05"/>
    <w:pPr>
      <w:tabs>
        <w:tab w:val="center" w:pos="4680"/>
        <w:tab w:val="right" w:pos="9360"/>
      </w:tabs>
    </w:pPr>
  </w:style>
  <w:style w:type="character" w:customStyle="1" w:styleId="HeaderChar">
    <w:name w:val="Header Char"/>
    <w:basedOn w:val="DefaultParagraphFont"/>
    <w:link w:val="Header"/>
    <w:rsid w:val="00DD2B05"/>
  </w:style>
  <w:style w:type="paragraph" w:styleId="Footer">
    <w:name w:val="footer"/>
    <w:basedOn w:val="Normal"/>
    <w:link w:val="FooterChar"/>
    <w:uiPriority w:val="99"/>
    <w:unhideWhenUsed/>
    <w:rsid w:val="00DD2B05"/>
    <w:pPr>
      <w:tabs>
        <w:tab w:val="center" w:pos="4680"/>
        <w:tab w:val="right" w:pos="9360"/>
      </w:tabs>
    </w:pPr>
  </w:style>
  <w:style w:type="character" w:customStyle="1" w:styleId="FooterChar">
    <w:name w:val="Footer Char"/>
    <w:basedOn w:val="DefaultParagraphFont"/>
    <w:link w:val="Footer"/>
    <w:uiPriority w:val="99"/>
    <w:rsid w:val="00DD2B05"/>
  </w:style>
  <w:style w:type="character" w:styleId="CommentReference">
    <w:name w:val="annotation reference"/>
    <w:basedOn w:val="DefaultParagraphFont"/>
    <w:uiPriority w:val="99"/>
    <w:semiHidden/>
    <w:unhideWhenUsed/>
    <w:rsid w:val="008670CE"/>
    <w:rPr>
      <w:sz w:val="16"/>
      <w:szCs w:val="16"/>
    </w:rPr>
  </w:style>
  <w:style w:type="paragraph" w:styleId="CommentText">
    <w:name w:val="annotation text"/>
    <w:basedOn w:val="Normal"/>
    <w:link w:val="CommentTextChar"/>
    <w:uiPriority w:val="99"/>
    <w:unhideWhenUsed/>
    <w:rsid w:val="008670CE"/>
    <w:rPr>
      <w:sz w:val="20"/>
      <w:szCs w:val="20"/>
    </w:rPr>
  </w:style>
  <w:style w:type="character" w:customStyle="1" w:styleId="CommentTextChar">
    <w:name w:val="Comment Text Char"/>
    <w:basedOn w:val="DefaultParagraphFont"/>
    <w:link w:val="CommentText"/>
    <w:uiPriority w:val="99"/>
    <w:rsid w:val="008670CE"/>
    <w:rPr>
      <w:sz w:val="20"/>
      <w:szCs w:val="20"/>
    </w:rPr>
  </w:style>
  <w:style w:type="paragraph" w:styleId="CommentSubject">
    <w:name w:val="annotation subject"/>
    <w:basedOn w:val="CommentText"/>
    <w:next w:val="CommentText"/>
    <w:link w:val="CommentSubjectChar"/>
    <w:uiPriority w:val="99"/>
    <w:semiHidden/>
    <w:unhideWhenUsed/>
    <w:rsid w:val="008670CE"/>
    <w:rPr>
      <w:b/>
      <w:bCs/>
    </w:rPr>
  </w:style>
  <w:style w:type="character" w:customStyle="1" w:styleId="CommentSubjectChar">
    <w:name w:val="Comment Subject Char"/>
    <w:basedOn w:val="CommentTextChar"/>
    <w:link w:val="CommentSubject"/>
    <w:uiPriority w:val="99"/>
    <w:semiHidden/>
    <w:rsid w:val="008670CE"/>
    <w:rPr>
      <w:b/>
      <w:bCs/>
      <w:sz w:val="20"/>
      <w:szCs w:val="20"/>
    </w:rPr>
  </w:style>
  <w:style w:type="paragraph" w:styleId="NoSpacing">
    <w:name w:val="No Spacing"/>
    <w:link w:val="NoSpacingChar"/>
    <w:uiPriority w:val="1"/>
    <w:qFormat/>
    <w:rsid w:val="000048F7"/>
    <w:rPr>
      <w:rFonts w:eastAsiaTheme="minorEastAsia"/>
    </w:rPr>
  </w:style>
  <w:style w:type="character" w:customStyle="1" w:styleId="NoSpacingChar">
    <w:name w:val="No Spacing Char"/>
    <w:basedOn w:val="DefaultParagraphFont"/>
    <w:link w:val="NoSpacing"/>
    <w:uiPriority w:val="1"/>
    <w:rsid w:val="000048F7"/>
    <w:rPr>
      <w:rFonts w:eastAsiaTheme="minorEastAsia"/>
    </w:rPr>
  </w:style>
  <w:style w:type="paragraph" w:styleId="TOCHeading">
    <w:name w:val="TOC Heading"/>
    <w:basedOn w:val="Heading1"/>
    <w:next w:val="Normal"/>
    <w:uiPriority w:val="39"/>
    <w:unhideWhenUsed/>
    <w:qFormat/>
    <w:rsid w:val="00787648"/>
    <w:pPr>
      <w:spacing w:line="276" w:lineRule="auto"/>
      <w:outlineLvl w:val="9"/>
    </w:pPr>
  </w:style>
  <w:style w:type="paragraph" w:styleId="TOC2">
    <w:name w:val="toc 2"/>
    <w:basedOn w:val="Normal"/>
    <w:next w:val="Normal"/>
    <w:autoRedefine/>
    <w:uiPriority w:val="39"/>
    <w:unhideWhenUsed/>
    <w:qFormat/>
    <w:rsid w:val="00787648"/>
    <w:pPr>
      <w:spacing w:after="100" w:line="276" w:lineRule="auto"/>
      <w:ind w:left="220"/>
    </w:pPr>
    <w:rPr>
      <w:rFonts w:eastAsiaTheme="minorEastAsia"/>
    </w:rPr>
  </w:style>
  <w:style w:type="paragraph" w:styleId="TOC1">
    <w:name w:val="toc 1"/>
    <w:basedOn w:val="Normal"/>
    <w:next w:val="Normal"/>
    <w:autoRedefine/>
    <w:uiPriority w:val="39"/>
    <w:unhideWhenUsed/>
    <w:qFormat/>
    <w:rsid w:val="00787648"/>
    <w:pPr>
      <w:spacing w:after="100" w:line="276" w:lineRule="auto"/>
    </w:pPr>
    <w:rPr>
      <w:rFonts w:eastAsiaTheme="minorEastAsia"/>
    </w:rPr>
  </w:style>
  <w:style w:type="paragraph" w:styleId="TOC3">
    <w:name w:val="toc 3"/>
    <w:basedOn w:val="Normal"/>
    <w:next w:val="Normal"/>
    <w:autoRedefine/>
    <w:uiPriority w:val="39"/>
    <w:semiHidden/>
    <w:unhideWhenUsed/>
    <w:qFormat/>
    <w:rsid w:val="00787648"/>
    <w:pPr>
      <w:spacing w:after="100" w:line="276" w:lineRule="auto"/>
      <w:ind w:left="440"/>
    </w:pPr>
    <w:rPr>
      <w:rFonts w:eastAsiaTheme="minorEastAsia"/>
    </w:rPr>
  </w:style>
  <w:style w:type="character" w:styleId="FollowedHyperlink">
    <w:name w:val="FollowedHyperlink"/>
    <w:basedOn w:val="DefaultParagraphFont"/>
    <w:uiPriority w:val="99"/>
    <w:semiHidden/>
    <w:unhideWhenUsed/>
    <w:rsid w:val="0073414E"/>
    <w:rPr>
      <w:color w:val="800080" w:themeColor="followedHyperlink"/>
      <w:u w:val="single"/>
    </w:rPr>
  </w:style>
  <w:style w:type="paragraph" w:styleId="BodyText">
    <w:name w:val="Body Text"/>
    <w:basedOn w:val="Normal"/>
    <w:link w:val="BodyTextChar"/>
    <w:uiPriority w:val="99"/>
    <w:rsid w:val="00ED581D"/>
    <w:rPr>
      <w:rFonts w:eastAsiaTheme="minorEastAsia"/>
      <w:szCs w:val="24"/>
    </w:rPr>
  </w:style>
  <w:style w:type="character" w:customStyle="1" w:styleId="BodyTextChar">
    <w:name w:val="Body Text Char"/>
    <w:basedOn w:val="DefaultParagraphFont"/>
    <w:link w:val="BodyText"/>
    <w:uiPriority w:val="99"/>
    <w:rsid w:val="00ED581D"/>
    <w:rPr>
      <w:rFonts w:ascii="Times New Roman" w:eastAsiaTheme="minorEastAsia" w:hAnsi="Times New Roman"/>
      <w:sz w:val="24"/>
      <w:szCs w:val="24"/>
    </w:rPr>
  </w:style>
  <w:style w:type="paragraph" w:styleId="BodyText2">
    <w:name w:val="Body Text 2"/>
    <w:basedOn w:val="Normal"/>
    <w:link w:val="BodyText2Char"/>
    <w:uiPriority w:val="99"/>
    <w:rsid w:val="00ED581D"/>
    <w:pPr>
      <w:ind w:left="360"/>
    </w:pPr>
    <w:rPr>
      <w:rFonts w:eastAsiaTheme="minorEastAsia"/>
      <w:szCs w:val="24"/>
    </w:rPr>
  </w:style>
  <w:style w:type="character" w:customStyle="1" w:styleId="BodyText2Char">
    <w:name w:val="Body Text 2 Char"/>
    <w:basedOn w:val="DefaultParagraphFont"/>
    <w:link w:val="BodyText2"/>
    <w:uiPriority w:val="99"/>
    <w:rsid w:val="00ED581D"/>
    <w:rPr>
      <w:rFonts w:ascii="Times New Roman" w:eastAsiaTheme="minorEastAsia" w:hAnsi="Times New Roman"/>
      <w:sz w:val="24"/>
      <w:szCs w:val="24"/>
    </w:rPr>
  </w:style>
  <w:style w:type="paragraph" w:styleId="Revision">
    <w:name w:val="Revision"/>
    <w:hidden/>
    <w:uiPriority w:val="99"/>
    <w:semiHidden/>
    <w:rsid w:val="00B12EF6"/>
  </w:style>
  <w:style w:type="paragraph" w:customStyle="1" w:styleId="msolistparagraph0">
    <w:name w:val="msolistparagraph"/>
    <w:basedOn w:val="Normal"/>
    <w:rsid w:val="00386DD2"/>
    <w:pPr>
      <w:ind w:left="720"/>
    </w:pPr>
    <w:rPr>
      <w:rFonts w:ascii="Calibri" w:eastAsia="Times New Roman" w:hAnsi="Calibri" w:cs="Times New Roman"/>
    </w:rPr>
  </w:style>
  <w:style w:type="table" w:customStyle="1" w:styleId="LightShading-Accent11">
    <w:name w:val="Light Shading - Accent 11"/>
    <w:basedOn w:val="TableNormal"/>
    <w:uiPriority w:val="60"/>
    <w:rsid w:val="00D273D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Subsection">
    <w:name w:val="Subsection"/>
    <w:basedOn w:val="Normal"/>
    <w:qFormat/>
    <w:rsid w:val="00C74254"/>
    <w:pPr>
      <w:spacing w:after="240"/>
      <w:ind w:left="792" w:hanging="432"/>
      <w:jc w:val="left"/>
    </w:pPr>
    <w:rPr>
      <w:rFonts w:ascii="Book Antiqua" w:eastAsia="Cambria" w:hAnsi="Book Antiqua" w:cs="Times New Roman"/>
      <w:szCs w:val="24"/>
    </w:rPr>
  </w:style>
  <w:style w:type="paragraph" w:customStyle="1" w:styleId="Subsection2">
    <w:name w:val="Subsection2"/>
    <w:basedOn w:val="Subsection"/>
    <w:qFormat/>
    <w:rsid w:val="00C74254"/>
    <w:pPr>
      <w:ind w:left="1224" w:hanging="504"/>
    </w:pPr>
  </w:style>
  <w:style w:type="paragraph" w:customStyle="1" w:styleId="Subsection3">
    <w:name w:val="Subsection3"/>
    <w:basedOn w:val="Subsection2"/>
    <w:qFormat/>
    <w:rsid w:val="00C74254"/>
    <w:pPr>
      <w:ind w:left="1728" w:hanging="648"/>
    </w:pPr>
    <w:rPr>
      <w:rFonts w:eastAsia="Times New Roman"/>
      <w:szCs w:val="22"/>
    </w:rPr>
  </w:style>
  <w:style w:type="character" w:styleId="LineNumber">
    <w:name w:val="line number"/>
    <w:basedOn w:val="DefaultParagraphFont"/>
    <w:uiPriority w:val="99"/>
    <w:semiHidden/>
    <w:unhideWhenUsed/>
    <w:rsid w:val="009B321A"/>
  </w:style>
  <w:style w:type="paragraph" w:customStyle="1" w:styleId="Default">
    <w:name w:val="Default"/>
    <w:rsid w:val="00DD0E6F"/>
    <w:pPr>
      <w:autoSpaceDE w:val="0"/>
      <w:autoSpaceDN w:val="0"/>
      <w:adjustRightInd w:val="0"/>
    </w:pPr>
    <w:rPr>
      <w:rFonts w:ascii="Arial" w:hAnsi="Arial" w:cs="Arial"/>
      <w:color w:val="000000"/>
      <w:sz w:val="24"/>
      <w:szCs w:val="24"/>
    </w:rPr>
  </w:style>
  <w:style w:type="character" w:styleId="Strong">
    <w:name w:val="Strong"/>
    <w:qFormat/>
    <w:rsid w:val="002B350A"/>
    <w:rPr>
      <w:b/>
      <w:bCs/>
    </w:rPr>
  </w:style>
  <w:style w:type="paragraph" w:styleId="EndnoteText">
    <w:name w:val="endnote text"/>
    <w:basedOn w:val="Normal"/>
    <w:link w:val="EndnoteTextChar"/>
    <w:uiPriority w:val="99"/>
    <w:semiHidden/>
    <w:unhideWhenUsed/>
    <w:rsid w:val="00E42622"/>
    <w:rPr>
      <w:sz w:val="20"/>
      <w:szCs w:val="20"/>
    </w:rPr>
  </w:style>
  <w:style w:type="character" w:customStyle="1" w:styleId="EndnoteTextChar">
    <w:name w:val="Endnote Text Char"/>
    <w:basedOn w:val="DefaultParagraphFont"/>
    <w:link w:val="EndnoteText"/>
    <w:uiPriority w:val="99"/>
    <w:semiHidden/>
    <w:rsid w:val="00E42622"/>
    <w:rPr>
      <w:rFonts w:ascii="Times New Roman" w:hAnsi="Times New Roman"/>
      <w:sz w:val="20"/>
      <w:szCs w:val="20"/>
    </w:rPr>
  </w:style>
  <w:style w:type="character" w:styleId="EndnoteReference">
    <w:name w:val="endnote reference"/>
    <w:basedOn w:val="DefaultParagraphFont"/>
    <w:uiPriority w:val="99"/>
    <w:semiHidden/>
    <w:unhideWhenUsed/>
    <w:rsid w:val="00E42622"/>
    <w:rPr>
      <w:vertAlign w:val="superscript"/>
    </w:rPr>
  </w:style>
  <w:style w:type="paragraph" w:styleId="Caption">
    <w:name w:val="caption"/>
    <w:basedOn w:val="Normal"/>
    <w:next w:val="Normal"/>
    <w:unhideWhenUsed/>
    <w:qFormat/>
    <w:rsid w:val="00220638"/>
    <w:pPr>
      <w:jc w:val="center"/>
    </w:pPr>
    <w:rPr>
      <w:b/>
      <w:bCs/>
      <w:szCs w:val="18"/>
    </w:rPr>
  </w:style>
  <w:style w:type="paragraph" w:styleId="Subtitle">
    <w:name w:val="Subtitle"/>
    <w:basedOn w:val="Normal"/>
    <w:next w:val="Normal"/>
    <w:link w:val="SubtitleChar"/>
    <w:qFormat/>
    <w:rsid w:val="00212DB1"/>
    <w:pPr>
      <w:numPr>
        <w:ilvl w:val="1"/>
      </w:numPr>
      <w:jc w:val="left"/>
    </w:pPr>
    <w:rPr>
      <w:rFonts w:asciiTheme="majorHAnsi" w:eastAsiaTheme="majorEastAsia" w:hAnsiTheme="majorHAnsi" w:cstheme="majorBidi"/>
      <w:i/>
      <w:iCs/>
      <w:color w:val="4F81BD" w:themeColor="accent1"/>
      <w:spacing w:val="15"/>
      <w:sz w:val="20"/>
      <w:szCs w:val="24"/>
    </w:rPr>
  </w:style>
  <w:style w:type="character" w:customStyle="1" w:styleId="SubtitleChar">
    <w:name w:val="Subtitle Char"/>
    <w:basedOn w:val="DefaultParagraphFont"/>
    <w:link w:val="Subtitle"/>
    <w:rsid w:val="00212DB1"/>
    <w:rPr>
      <w:rFonts w:asciiTheme="majorHAnsi" w:eastAsiaTheme="majorEastAsia" w:hAnsiTheme="majorHAnsi" w:cstheme="majorBidi"/>
      <w:i/>
      <w:iCs/>
      <w:color w:val="4F81BD" w:themeColor="accent1"/>
      <w:spacing w:val="15"/>
      <w:sz w:val="20"/>
      <w:szCs w:val="24"/>
    </w:rPr>
  </w:style>
  <w:style w:type="character" w:styleId="PageNumber">
    <w:name w:val="page number"/>
    <w:rsid w:val="009961EF"/>
    <w:rPr>
      <w:rFonts w:ascii="Arial" w:hAnsi="Arial"/>
    </w:rPr>
  </w:style>
  <w:style w:type="character" w:customStyle="1" w:styleId="Heading3Char">
    <w:name w:val="Heading 3 Char"/>
    <w:basedOn w:val="DefaultParagraphFont"/>
    <w:link w:val="Heading3"/>
    <w:uiPriority w:val="9"/>
    <w:rsid w:val="00F24E1C"/>
    <w:rPr>
      <w:rFonts w:asciiTheme="majorHAnsi" w:eastAsiaTheme="majorEastAsia" w:hAnsiTheme="majorHAnsi" w:cstheme="majorBidi"/>
      <w:b/>
      <w:bCs/>
      <w:color w:val="4F81BD" w:themeColor="accent1"/>
      <w:sz w:val="24"/>
    </w:rPr>
  </w:style>
  <w:style w:type="paragraph" w:styleId="TableofFigures">
    <w:name w:val="table of figures"/>
    <w:basedOn w:val="Normal"/>
    <w:next w:val="Normal"/>
    <w:uiPriority w:val="99"/>
    <w:unhideWhenUsed/>
    <w:rsid w:val="002206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E37"/>
    <w:pPr>
      <w:jc w:val="both"/>
    </w:pPr>
    <w:rPr>
      <w:rFonts w:ascii="Times New Roman" w:hAnsi="Times New Roman"/>
      <w:sz w:val="24"/>
    </w:rPr>
  </w:style>
  <w:style w:type="paragraph" w:styleId="Heading1">
    <w:name w:val="heading 1"/>
    <w:basedOn w:val="Normal"/>
    <w:next w:val="Normal"/>
    <w:link w:val="Heading1Char"/>
    <w:qFormat/>
    <w:rsid w:val="00D02859"/>
    <w:pPr>
      <w:keepNext/>
      <w:keepLines/>
      <w:spacing w:before="480"/>
      <w:outlineLvl w:val="0"/>
    </w:pPr>
    <w:rPr>
      <w:rFonts w:asciiTheme="majorHAnsi" w:eastAsiaTheme="majorEastAsia" w:hAnsiTheme="majorHAnsi" w:cstheme="majorBidi"/>
      <w:b/>
      <w:bCs/>
      <w:sz w:val="28"/>
      <w:szCs w:val="28"/>
      <w:u w:val="single"/>
    </w:rPr>
  </w:style>
  <w:style w:type="paragraph" w:styleId="Heading2">
    <w:name w:val="heading 2"/>
    <w:basedOn w:val="Normal"/>
    <w:next w:val="Normal"/>
    <w:link w:val="Heading2Char"/>
    <w:uiPriority w:val="9"/>
    <w:unhideWhenUsed/>
    <w:qFormat/>
    <w:rsid w:val="002D2314"/>
    <w:pPr>
      <w:keepNext/>
      <w:keepLines/>
      <w:spacing w:before="200"/>
      <w:outlineLvl w:val="1"/>
    </w:pPr>
    <w:rPr>
      <w:rFonts w:eastAsiaTheme="majorEastAsia" w:cstheme="majorBidi"/>
      <w:bCs/>
      <w:szCs w:val="26"/>
      <w:u w:val="single"/>
    </w:rPr>
  </w:style>
  <w:style w:type="paragraph" w:styleId="Heading3">
    <w:name w:val="heading 3"/>
    <w:basedOn w:val="Normal"/>
    <w:next w:val="Normal"/>
    <w:link w:val="Heading3Char"/>
    <w:uiPriority w:val="9"/>
    <w:unhideWhenUsed/>
    <w:qFormat/>
    <w:rsid w:val="00F24E1C"/>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ED581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2859"/>
    <w:rPr>
      <w:rFonts w:asciiTheme="majorHAnsi" w:eastAsiaTheme="majorEastAsia" w:hAnsiTheme="majorHAnsi" w:cstheme="majorBidi"/>
      <w:b/>
      <w:bCs/>
      <w:sz w:val="28"/>
      <w:szCs w:val="28"/>
      <w:u w:val="single"/>
    </w:rPr>
  </w:style>
  <w:style w:type="character" w:customStyle="1" w:styleId="Heading2Char">
    <w:name w:val="Heading 2 Char"/>
    <w:basedOn w:val="DefaultParagraphFont"/>
    <w:link w:val="Heading2"/>
    <w:uiPriority w:val="9"/>
    <w:rsid w:val="002D2314"/>
    <w:rPr>
      <w:rFonts w:ascii="Times New Roman" w:eastAsiaTheme="majorEastAsia" w:hAnsi="Times New Roman" w:cstheme="majorBidi"/>
      <w:bCs/>
      <w:sz w:val="24"/>
      <w:szCs w:val="26"/>
      <w:u w:val="single"/>
    </w:rPr>
  </w:style>
  <w:style w:type="character" w:customStyle="1" w:styleId="Heading6Char">
    <w:name w:val="Heading 6 Char"/>
    <w:basedOn w:val="DefaultParagraphFont"/>
    <w:link w:val="Heading6"/>
    <w:uiPriority w:val="9"/>
    <w:semiHidden/>
    <w:rsid w:val="00ED581D"/>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qFormat/>
    <w:rsid w:val="002C7F22"/>
    <w:pPr>
      <w:ind w:left="720"/>
      <w:contextualSpacing/>
    </w:pPr>
  </w:style>
  <w:style w:type="paragraph" w:styleId="FootnoteText">
    <w:name w:val="footnote text"/>
    <w:basedOn w:val="Normal"/>
    <w:link w:val="FootnoteTextChar"/>
    <w:uiPriority w:val="99"/>
    <w:unhideWhenUsed/>
    <w:qFormat/>
    <w:rsid w:val="00860484"/>
    <w:rPr>
      <w:sz w:val="20"/>
      <w:szCs w:val="20"/>
    </w:rPr>
  </w:style>
  <w:style w:type="character" w:customStyle="1" w:styleId="FootnoteTextChar">
    <w:name w:val="Footnote Text Char"/>
    <w:basedOn w:val="DefaultParagraphFont"/>
    <w:link w:val="FootnoteText"/>
    <w:uiPriority w:val="99"/>
    <w:rsid w:val="00860484"/>
    <w:rPr>
      <w:sz w:val="20"/>
      <w:szCs w:val="20"/>
    </w:rPr>
  </w:style>
  <w:style w:type="character" w:styleId="FootnoteReference">
    <w:name w:val="footnote reference"/>
    <w:basedOn w:val="DefaultParagraphFont"/>
    <w:uiPriority w:val="99"/>
    <w:unhideWhenUsed/>
    <w:rsid w:val="00860484"/>
    <w:rPr>
      <w:vertAlign w:val="superscript"/>
    </w:rPr>
  </w:style>
  <w:style w:type="paragraph" w:styleId="BalloonText">
    <w:name w:val="Balloon Text"/>
    <w:basedOn w:val="Normal"/>
    <w:link w:val="BalloonTextChar"/>
    <w:uiPriority w:val="99"/>
    <w:semiHidden/>
    <w:unhideWhenUsed/>
    <w:rsid w:val="005E008F"/>
    <w:rPr>
      <w:rFonts w:ascii="Tahoma" w:hAnsi="Tahoma" w:cs="Tahoma"/>
      <w:sz w:val="16"/>
      <w:szCs w:val="16"/>
    </w:rPr>
  </w:style>
  <w:style w:type="character" w:customStyle="1" w:styleId="BalloonTextChar">
    <w:name w:val="Balloon Text Char"/>
    <w:basedOn w:val="DefaultParagraphFont"/>
    <w:link w:val="BalloonText"/>
    <w:uiPriority w:val="99"/>
    <w:semiHidden/>
    <w:rsid w:val="005E008F"/>
    <w:rPr>
      <w:rFonts w:ascii="Tahoma" w:hAnsi="Tahoma" w:cs="Tahoma"/>
      <w:sz w:val="16"/>
      <w:szCs w:val="16"/>
    </w:rPr>
  </w:style>
  <w:style w:type="character" w:styleId="Hyperlink">
    <w:name w:val="Hyperlink"/>
    <w:basedOn w:val="DefaultParagraphFont"/>
    <w:uiPriority w:val="99"/>
    <w:rsid w:val="001D49F5"/>
    <w:rPr>
      <w:color w:val="0000FF"/>
      <w:u w:val="single"/>
    </w:rPr>
  </w:style>
  <w:style w:type="table" w:styleId="TableGrid">
    <w:name w:val="Table Grid"/>
    <w:basedOn w:val="TableNormal"/>
    <w:uiPriority w:val="59"/>
    <w:rsid w:val="00546EE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6106C1"/>
    <w:pPr>
      <w:spacing w:before="100" w:beforeAutospacing="1" w:after="100" w:afterAutospacing="1"/>
    </w:pPr>
    <w:rPr>
      <w:rFonts w:eastAsia="Times New Roman" w:cs="Times New Roman"/>
      <w:szCs w:val="24"/>
    </w:rPr>
  </w:style>
  <w:style w:type="paragraph" w:styleId="Header">
    <w:name w:val="header"/>
    <w:basedOn w:val="Normal"/>
    <w:link w:val="HeaderChar"/>
    <w:unhideWhenUsed/>
    <w:rsid w:val="00DD2B05"/>
    <w:pPr>
      <w:tabs>
        <w:tab w:val="center" w:pos="4680"/>
        <w:tab w:val="right" w:pos="9360"/>
      </w:tabs>
    </w:pPr>
  </w:style>
  <w:style w:type="character" w:customStyle="1" w:styleId="HeaderChar">
    <w:name w:val="Header Char"/>
    <w:basedOn w:val="DefaultParagraphFont"/>
    <w:link w:val="Header"/>
    <w:rsid w:val="00DD2B05"/>
  </w:style>
  <w:style w:type="paragraph" w:styleId="Footer">
    <w:name w:val="footer"/>
    <w:basedOn w:val="Normal"/>
    <w:link w:val="FooterChar"/>
    <w:uiPriority w:val="99"/>
    <w:unhideWhenUsed/>
    <w:rsid w:val="00DD2B05"/>
    <w:pPr>
      <w:tabs>
        <w:tab w:val="center" w:pos="4680"/>
        <w:tab w:val="right" w:pos="9360"/>
      </w:tabs>
    </w:pPr>
  </w:style>
  <w:style w:type="character" w:customStyle="1" w:styleId="FooterChar">
    <w:name w:val="Footer Char"/>
    <w:basedOn w:val="DefaultParagraphFont"/>
    <w:link w:val="Footer"/>
    <w:uiPriority w:val="99"/>
    <w:rsid w:val="00DD2B05"/>
  </w:style>
  <w:style w:type="character" w:styleId="CommentReference">
    <w:name w:val="annotation reference"/>
    <w:basedOn w:val="DefaultParagraphFont"/>
    <w:uiPriority w:val="99"/>
    <w:semiHidden/>
    <w:unhideWhenUsed/>
    <w:rsid w:val="008670CE"/>
    <w:rPr>
      <w:sz w:val="16"/>
      <w:szCs w:val="16"/>
    </w:rPr>
  </w:style>
  <w:style w:type="paragraph" w:styleId="CommentText">
    <w:name w:val="annotation text"/>
    <w:basedOn w:val="Normal"/>
    <w:link w:val="CommentTextChar"/>
    <w:uiPriority w:val="99"/>
    <w:unhideWhenUsed/>
    <w:rsid w:val="008670CE"/>
    <w:rPr>
      <w:sz w:val="20"/>
      <w:szCs w:val="20"/>
    </w:rPr>
  </w:style>
  <w:style w:type="character" w:customStyle="1" w:styleId="CommentTextChar">
    <w:name w:val="Comment Text Char"/>
    <w:basedOn w:val="DefaultParagraphFont"/>
    <w:link w:val="CommentText"/>
    <w:uiPriority w:val="99"/>
    <w:rsid w:val="008670CE"/>
    <w:rPr>
      <w:sz w:val="20"/>
      <w:szCs w:val="20"/>
    </w:rPr>
  </w:style>
  <w:style w:type="paragraph" w:styleId="CommentSubject">
    <w:name w:val="annotation subject"/>
    <w:basedOn w:val="CommentText"/>
    <w:next w:val="CommentText"/>
    <w:link w:val="CommentSubjectChar"/>
    <w:uiPriority w:val="99"/>
    <w:semiHidden/>
    <w:unhideWhenUsed/>
    <w:rsid w:val="008670CE"/>
    <w:rPr>
      <w:b/>
      <w:bCs/>
    </w:rPr>
  </w:style>
  <w:style w:type="character" w:customStyle="1" w:styleId="CommentSubjectChar">
    <w:name w:val="Comment Subject Char"/>
    <w:basedOn w:val="CommentTextChar"/>
    <w:link w:val="CommentSubject"/>
    <w:uiPriority w:val="99"/>
    <w:semiHidden/>
    <w:rsid w:val="008670CE"/>
    <w:rPr>
      <w:b/>
      <w:bCs/>
      <w:sz w:val="20"/>
      <w:szCs w:val="20"/>
    </w:rPr>
  </w:style>
  <w:style w:type="paragraph" w:styleId="NoSpacing">
    <w:name w:val="No Spacing"/>
    <w:link w:val="NoSpacingChar"/>
    <w:uiPriority w:val="1"/>
    <w:qFormat/>
    <w:rsid w:val="000048F7"/>
    <w:rPr>
      <w:rFonts w:eastAsiaTheme="minorEastAsia"/>
    </w:rPr>
  </w:style>
  <w:style w:type="character" w:customStyle="1" w:styleId="NoSpacingChar">
    <w:name w:val="No Spacing Char"/>
    <w:basedOn w:val="DefaultParagraphFont"/>
    <w:link w:val="NoSpacing"/>
    <w:uiPriority w:val="1"/>
    <w:rsid w:val="000048F7"/>
    <w:rPr>
      <w:rFonts w:eastAsiaTheme="minorEastAsia"/>
    </w:rPr>
  </w:style>
  <w:style w:type="paragraph" w:styleId="TOCHeading">
    <w:name w:val="TOC Heading"/>
    <w:basedOn w:val="Heading1"/>
    <w:next w:val="Normal"/>
    <w:uiPriority w:val="39"/>
    <w:unhideWhenUsed/>
    <w:qFormat/>
    <w:rsid w:val="00787648"/>
    <w:pPr>
      <w:spacing w:line="276" w:lineRule="auto"/>
      <w:outlineLvl w:val="9"/>
    </w:pPr>
  </w:style>
  <w:style w:type="paragraph" w:styleId="TOC2">
    <w:name w:val="toc 2"/>
    <w:basedOn w:val="Normal"/>
    <w:next w:val="Normal"/>
    <w:autoRedefine/>
    <w:uiPriority w:val="39"/>
    <w:unhideWhenUsed/>
    <w:qFormat/>
    <w:rsid w:val="00787648"/>
    <w:pPr>
      <w:spacing w:after="100" w:line="276" w:lineRule="auto"/>
      <w:ind w:left="220"/>
    </w:pPr>
    <w:rPr>
      <w:rFonts w:eastAsiaTheme="minorEastAsia"/>
    </w:rPr>
  </w:style>
  <w:style w:type="paragraph" w:styleId="TOC1">
    <w:name w:val="toc 1"/>
    <w:basedOn w:val="Normal"/>
    <w:next w:val="Normal"/>
    <w:autoRedefine/>
    <w:uiPriority w:val="39"/>
    <w:unhideWhenUsed/>
    <w:qFormat/>
    <w:rsid w:val="00787648"/>
    <w:pPr>
      <w:spacing w:after="100" w:line="276" w:lineRule="auto"/>
    </w:pPr>
    <w:rPr>
      <w:rFonts w:eastAsiaTheme="minorEastAsia"/>
    </w:rPr>
  </w:style>
  <w:style w:type="paragraph" w:styleId="TOC3">
    <w:name w:val="toc 3"/>
    <w:basedOn w:val="Normal"/>
    <w:next w:val="Normal"/>
    <w:autoRedefine/>
    <w:uiPriority w:val="39"/>
    <w:semiHidden/>
    <w:unhideWhenUsed/>
    <w:qFormat/>
    <w:rsid w:val="00787648"/>
    <w:pPr>
      <w:spacing w:after="100" w:line="276" w:lineRule="auto"/>
      <w:ind w:left="440"/>
    </w:pPr>
    <w:rPr>
      <w:rFonts w:eastAsiaTheme="minorEastAsia"/>
    </w:rPr>
  </w:style>
  <w:style w:type="character" w:styleId="FollowedHyperlink">
    <w:name w:val="FollowedHyperlink"/>
    <w:basedOn w:val="DefaultParagraphFont"/>
    <w:uiPriority w:val="99"/>
    <w:semiHidden/>
    <w:unhideWhenUsed/>
    <w:rsid w:val="0073414E"/>
    <w:rPr>
      <w:color w:val="800080" w:themeColor="followedHyperlink"/>
      <w:u w:val="single"/>
    </w:rPr>
  </w:style>
  <w:style w:type="paragraph" w:styleId="BodyText">
    <w:name w:val="Body Text"/>
    <w:basedOn w:val="Normal"/>
    <w:link w:val="BodyTextChar"/>
    <w:uiPriority w:val="99"/>
    <w:rsid w:val="00ED581D"/>
    <w:rPr>
      <w:rFonts w:eastAsiaTheme="minorEastAsia"/>
      <w:szCs w:val="24"/>
    </w:rPr>
  </w:style>
  <w:style w:type="character" w:customStyle="1" w:styleId="BodyTextChar">
    <w:name w:val="Body Text Char"/>
    <w:basedOn w:val="DefaultParagraphFont"/>
    <w:link w:val="BodyText"/>
    <w:uiPriority w:val="99"/>
    <w:rsid w:val="00ED581D"/>
    <w:rPr>
      <w:rFonts w:ascii="Times New Roman" w:eastAsiaTheme="minorEastAsia" w:hAnsi="Times New Roman"/>
      <w:sz w:val="24"/>
      <w:szCs w:val="24"/>
    </w:rPr>
  </w:style>
  <w:style w:type="paragraph" w:styleId="BodyText2">
    <w:name w:val="Body Text 2"/>
    <w:basedOn w:val="Normal"/>
    <w:link w:val="BodyText2Char"/>
    <w:uiPriority w:val="99"/>
    <w:rsid w:val="00ED581D"/>
    <w:pPr>
      <w:ind w:left="360"/>
    </w:pPr>
    <w:rPr>
      <w:rFonts w:eastAsiaTheme="minorEastAsia"/>
      <w:szCs w:val="24"/>
    </w:rPr>
  </w:style>
  <w:style w:type="character" w:customStyle="1" w:styleId="BodyText2Char">
    <w:name w:val="Body Text 2 Char"/>
    <w:basedOn w:val="DefaultParagraphFont"/>
    <w:link w:val="BodyText2"/>
    <w:uiPriority w:val="99"/>
    <w:rsid w:val="00ED581D"/>
    <w:rPr>
      <w:rFonts w:ascii="Times New Roman" w:eastAsiaTheme="minorEastAsia" w:hAnsi="Times New Roman"/>
      <w:sz w:val="24"/>
      <w:szCs w:val="24"/>
    </w:rPr>
  </w:style>
  <w:style w:type="paragraph" w:styleId="Revision">
    <w:name w:val="Revision"/>
    <w:hidden/>
    <w:uiPriority w:val="99"/>
    <w:semiHidden/>
    <w:rsid w:val="00B12EF6"/>
  </w:style>
  <w:style w:type="paragraph" w:customStyle="1" w:styleId="msolistparagraph0">
    <w:name w:val="msolistparagraph"/>
    <w:basedOn w:val="Normal"/>
    <w:rsid w:val="00386DD2"/>
    <w:pPr>
      <w:ind w:left="720"/>
    </w:pPr>
    <w:rPr>
      <w:rFonts w:ascii="Calibri" w:eastAsia="Times New Roman" w:hAnsi="Calibri" w:cs="Times New Roman"/>
    </w:rPr>
  </w:style>
  <w:style w:type="table" w:customStyle="1" w:styleId="LightShading-Accent11">
    <w:name w:val="Light Shading - Accent 11"/>
    <w:basedOn w:val="TableNormal"/>
    <w:uiPriority w:val="60"/>
    <w:rsid w:val="00D273D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Subsection">
    <w:name w:val="Subsection"/>
    <w:basedOn w:val="Normal"/>
    <w:qFormat/>
    <w:rsid w:val="00C74254"/>
    <w:pPr>
      <w:spacing w:after="240"/>
      <w:ind w:left="792" w:hanging="432"/>
      <w:jc w:val="left"/>
    </w:pPr>
    <w:rPr>
      <w:rFonts w:ascii="Book Antiqua" w:eastAsia="Cambria" w:hAnsi="Book Antiqua" w:cs="Times New Roman"/>
      <w:szCs w:val="24"/>
    </w:rPr>
  </w:style>
  <w:style w:type="paragraph" w:customStyle="1" w:styleId="Subsection2">
    <w:name w:val="Subsection2"/>
    <w:basedOn w:val="Subsection"/>
    <w:qFormat/>
    <w:rsid w:val="00C74254"/>
    <w:pPr>
      <w:ind w:left="1224" w:hanging="504"/>
    </w:pPr>
  </w:style>
  <w:style w:type="paragraph" w:customStyle="1" w:styleId="Subsection3">
    <w:name w:val="Subsection3"/>
    <w:basedOn w:val="Subsection2"/>
    <w:qFormat/>
    <w:rsid w:val="00C74254"/>
    <w:pPr>
      <w:ind w:left="1728" w:hanging="648"/>
    </w:pPr>
    <w:rPr>
      <w:rFonts w:eastAsia="Times New Roman"/>
      <w:szCs w:val="22"/>
    </w:rPr>
  </w:style>
  <w:style w:type="character" w:styleId="LineNumber">
    <w:name w:val="line number"/>
    <w:basedOn w:val="DefaultParagraphFont"/>
    <w:uiPriority w:val="99"/>
    <w:semiHidden/>
    <w:unhideWhenUsed/>
    <w:rsid w:val="009B321A"/>
  </w:style>
  <w:style w:type="paragraph" w:customStyle="1" w:styleId="Default">
    <w:name w:val="Default"/>
    <w:rsid w:val="00DD0E6F"/>
    <w:pPr>
      <w:autoSpaceDE w:val="0"/>
      <w:autoSpaceDN w:val="0"/>
      <w:adjustRightInd w:val="0"/>
    </w:pPr>
    <w:rPr>
      <w:rFonts w:ascii="Arial" w:hAnsi="Arial" w:cs="Arial"/>
      <w:color w:val="000000"/>
      <w:sz w:val="24"/>
      <w:szCs w:val="24"/>
    </w:rPr>
  </w:style>
  <w:style w:type="character" w:styleId="Strong">
    <w:name w:val="Strong"/>
    <w:qFormat/>
    <w:rsid w:val="002B350A"/>
    <w:rPr>
      <w:b/>
      <w:bCs/>
    </w:rPr>
  </w:style>
  <w:style w:type="paragraph" w:styleId="EndnoteText">
    <w:name w:val="endnote text"/>
    <w:basedOn w:val="Normal"/>
    <w:link w:val="EndnoteTextChar"/>
    <w:uiPriority w:val="99"/>
    <w:semiHidden/>
    <w:unhideWhenUsed/>
    <w:rsid w:val="00E42622"/>
    <w:rPr>
      <w:sz w:val="20"/>
      <w:szCs w:val="20"/>
    </w:rPr>
  </w:style>
  <w:style w:type="character" w:customStyle="1" w:styleId="EndnoteTextChar">
    <w:name w:val="Endnote Text Char"/>
    <w:basedOn w:val="DefaultParagraphFont"/>
    <w:link w:val="EndnoteText"/>
    <w:uiPriority w:val="99"/>
    <w:semiHidden/>
    <w:rsid w:val="00E42622"/>
    <w:rPr>
      <w:rFonts w:ascii="Times New Roman" w:hAnsi="Times New Roman"/>
      <w:sz w:val="20"/>
      <w:szCs w:val="20"/>
    </w:rPr>
  </w:style>
  <w:style w:type="character" w:styleId="EndnoteReference">
    <w:name w:val="endnote reference"/>
    <w:basedOn w:val="DefaultParagraphFont"/>
    <w:uiPriority w:val="99"/>
    <w:semiHidden/>
    <w:unhideWhenUsed/>
    <w:rsid w:val="00E42622"/>
    <w:rPr>
      <w:vertAlign w:val="superscript"/>
    </w:rPr>
  </w:style>
  <w:style w:type="paragraph" w:styleId="Caption">
    <w:name w:val="caption"/>
    <w:basedOn w:val="Normal"/>
    <w:next w:val="Normal"/>
    <w:unhideWhenUsed/>
    <w:qFormat/>
    <w:rsid w:val="00220638"/>
    <w:pPr>
      <w:jc w:val="center"/>
    </w:pPr>
    <w:rPr>
      <w:b/>
      <w:bCs/>
      <w:szCs w:val="18"/>
    </w:rPr>
  </w:style>
  <w:style w:type="paragraph" w:styleId="Subtitle">
    <w:name w:val="Subtitle"/>
    <w:basedOn w:val="Normal"/>
    <w:next w:val="Normal"/>
    <w:link w:val="SubtitleChar"/>
    <w:qFormat/>
    <w:rsid w:val="00212DB1"/>
    <w:pPr>
      <w:numPr>
        <w:ilvl w:val="1"/>
      </w:numPr>
      <w:jc w:val="left"/>
    </w:pPr>
    <w:rPr>
      <w:rFonts w:asciiTheme="majorHAnsi" w:eastAsiaTheme="majorEastAsia" w:hAnsiTheme="majorHAnsi" w:cstheme="majorBidi"/>
      <w:i/>
      <w:iCs/>
      <w:color w:val="4F81BD" w:themeColor="accent1"/>
      <w:spacing w:val="15"/>
      <w:sz w:val="20"/>
      <w:szCs w:val="24"/>
    </w:rPr>
  </w:style>
  <w:style w:type="character" w:customStyle="1" w:styleId="SubtitleChar">
    <w:name w:val="Subtitle Char"/>
    <w:basedOn w:val="DefaultParagraphFont"/>
    <w:link w:val="Subtitle"/>
    <w:rsid w:val="00212DB1"/>
    <w:rPr>
      <w:rFonts w:asciiTheme="majorHAnsi" w:eastAsiaTheme="majorEastAsia" w:hAnsiTheme="majorHAnsi" w:cstheme="majorBidi"/>
      <w:i/>
      <w:iCs/>
      <w:color w:val="4F81BD" w:themeColor="accent1"/>
      <w:spacing w:val="15"/>
      <w:sz w:val="20"/>
      <w:szCs w:val="24"/>
    </w:rPr>
  </w:style>
  <w:style w:type="character" w:styleId="PageNumber">
    <w:name w:val="page number"/>
    <w:rsid w:val="009961EF"/>
    <w:rPr>
      <w:rFonts w:ascii="Arial" w:hAnsi="Arial"/>
    </w:rPr>
  </w:style>
  <w:style w:type="character" w:customStyle="1" w:styleId="Heading3Char">
    <w:name w:val="Heading 3 Char"/>
    <w:basedOn w:val="DefaultParagraphFont"/>
    <w:link w:val="Heading3"/>
    <w:uiPriority w:val="9"/>
    <w:rsid w:val="00F24E1C"/>
    <w:rPr>
      <w:rFonts w:asciiTheme="majorHAnsi" w:eastAsiaTheme="majorEastAsia" w:hAnsiTheme="majorHAnsi" w:cstheme="majorBidi"/>
      <w:b/>
      <w:bCs/>
      <w:color w:val="4F81BD" w:themeColor="accent1"/>
      <w:sz w:val="24"/>
    </w:rPr>
  </w:style>
  <w:style w:type="paragraph" w:styleId="TableofFigures">
    <w:name w:val="table of figures"/>
    <w:basedOn w:val="Normal"/>
    <w:next w:val="Normal"/>
    <w:uiPriority w:val="99"/>
    <w:unhideWhenUsed/>
    <w:rsid w:val="002206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35794">
      <w:bodyDiv w:val="1"/>
      <w:marLeft w:val="0"/>
      <w:marRight w:val="0"/>
      <w:marTop w:val="0"/>
      <w:marBottom w:val="0"/>
      <w:divBdr>
        <w:top w:val="none" w:sz="0" w:space="0" w:color="auto"/>
        <w:left w:val="none" w:sz="0" w:space="0" w:color="auto"/>
        <w:bottom w:val="none" w:sz="0" w:space="0" w:color="auto"/>
        <w:right w:val="none" w:sz="0" w:space="0" w:color="auto"/>
      </w:divBdr>
    </w:div>
    <w:div w:id="35588981">
      <w:bodyDiv w:val="1"/>
      <w:marLeft w:val="0"/>
      <w:marRight w:val="0"/>
      <w:marTop w:val="0"/>
      <w:marBottom w:val="0"/>
      <w:divBdr>
        <w:top w:val="none" w:sz="0" w:space="0" w:color="auto"/>
        <w:left w:val="none" w:sz="0" w:space="0" w:color="auto"/>
        <w:bottom w:val="none" w:sz="0" w:space="0" w:color="auto"/>
        <w:right w:val="none" w:sz="0" w:space="0" w:color="auto"/>
      </w:divBdr>
    </w:div>
    <w:div w:id="106389968">
      <w:bodyDiv w:val="1"/>
      <w:marLeft w:val="0"/>
      <w:marRight w:val="0"/>
      <w:marTop w:val="0"/>
      <w:marBottom w:val="0"/>
      <w:divBdr>
        <w:top w:val="none" w:sz="0" w:space="0" w:color="auto"/>
        <w:left w:val="none" w:sz="0" w:space="0" w:color="auto"/>
        <w:bottom w:val="none" w:sz="0" w:space="0" w:color="auto"/>
        <w:right w:val="none" w:sz="0" w:space="0" w:color="auto"/>
      </w:divBdr>
    </w:div>
    <w:div w:id="114106729">
      <w:bodyDiv w:val="1"/>
      <w:marLeft w:val="0"/>
      <w:marRight w:val="0"/>
      <w:marTop w:val="0"/>
      <w:marBottom w:val="0"/>
      <w:divBdr>
        <w:top w:val="none" w:sz="0" w:space="0" w:color="auto"/>
        <w:left w:val="none" w:sz="0" w:space="0" w:color="auto"/>
        <w:bottom w:val="none" w:sz="0" w:space="0" w:color="auto"/>
        <w:right w:val="none" w:sz="0" w:space="0" w:color="auto"/>
      </w:divBdr>
    </w:div>
    <w:div w:id="116948795">
      <w:bodyDiv w:val="1"/>
      <w:marLeft w:val="0"/>
      <w:marRight w:val="0"/>
      <w:marTop w:val="0"/>
      <w:marBottom w:val="0"/>
      <w:divBdr>
        <w:top w:val="none" w:sz="0" w:space="0" w:color="auto"/>
        <w:left w:val="none" w:sz="0" w:space="0" w:color="auto"/>
        <w:bottom w:val="none" w:sz="0" w:space="0" w:color="auto"/>
        <w:right w:val="none" w:sz="0" w:space="0" w:color="auto"/>
      </w:divBdr>
    </w:div>
    <w:div w:id="135803584">
      <w:bodyDiv w:val="1"/>
      <w:marLeft w:val="0"/>
      <w:marRight w:val="0"/>
      <w:marTop w:val="0"/>
      <w:marBottom w:val="0"/>
      <w:divBdr>
        <w:top w:val="none" w:sz="0" w:space="0" w:color="auto"/>
        <w:left w:val="none" w:sz="0" w:space="0" w:color="auto"/>
        <w:bottom w:val="none" w:sz="0" w:space="0" w:color="auto"/>
        <w:right w:val="none" w:sz="0" w:space="0" w:color="auto"/>
      </w:divBdr>
    </w:div>
    <w:div w:id="145631614">
      <w:bodyDiv w:val="1"/>
      <w:marLeft w:val="0"/>
      <w:marRight w:val="0"/>
      <w:marTop w:val="0"/>
      <w:marBottom w:val="0"/>
      <w:divBdr>
        <w:top w:val="none" w:sz="0" w:space="0" w:color="auto"/>
        <w:left w:val="none" w:sz="0" w:space="0" w:color="auto"/>
        <w:bottom w:val="none" w:sz="0" w:space="0" w:color="auto"/>
        <w:right w:val="none" w:sz="0" w:space="0" w:color="auto"/>
      </w:divBdr>
    </w:div>
    <w:div w:id="194586601">
      <w:bodyDiv w:val="1"/>
      <w:marLeft w:val="0"/>
      <w:marRight w:val="0"/>
      <w:marTop w:val="0"/>
      <w:marBottom w:val="0"/>
      <w:divBdr>
        <w:top w:val="none" w:sz="0" w:space="0" w:color="auto"/>
        <w:left w:val="none" w:sz="0" w:space="0" w:color="auto"/>
        <w:bottom w:val="none" w:sz="0" w:space="0" w:color="auto"/>
        <w:right w:val="none" w:sz="0" w:space="0" w:color="auto"/>
      </w:divBdr>
    </w:div>
    <w:div w:id="200023993">
      <w:bodyDiv w:val="1"/>
      <w:marLeft w:val="0"/>
      <w:marRight w:val="0"/>
      <w:marTop w:val="0"/>
      <w:marBottom w:val="0"/>
      <w:divBdr>
        <w:top w:val="none" w:sz="0" w:space="0" w:color="auto"/>
        <w:left w:val="none" w:sz="0" w:space="0" w:color="auto"/>
        <w:bottom w:val="none" w:sz="0" w:space="0" w:color="auto"/>
        <w:right w:val="none" w:sz="0" w:space="0" w:color="auto"/>
      </w:divBdr>
    </w:div>
    <w:div w:id="214394649">
      <w:bodyDiv w:val="1"/>
      <w:marLeft w:val="0"/>
      <w:marRight w:val="0"/>
      <w:marTop w:val="0"/>
      <w:marBottom w:val="0"/>
      <w:divBdr>
        <w:top w:val="none" w:sz="0" w:space="0" w:color="auto"/>
        <w:left w:val="none" w:sz="0" w:space="0" w:color="auto"/>
        <w:bottom w:val="none" w:sz="0" w:space="0" w:color="auto"/>
        <w:right w:val="none" w:sz="0" w:space="0" w:color="auto"/>
      </w:divBdr>
    </w:div>
    <w:div w:id="226041306">
      <w:bodyDiv w:val="1"/>
      <w:marLeft w:val="0"/>
      <w:marRight w:val="0"/>
      <w:marTop w:val="0"/>
      <w:marBottom w:val="0"/>
      <w:divBdr>
        <w:top w:val="none" w:sz="0" w:space="0" w:color="auto"/>
        <w:left w:val="none" w:sz="0" w:space="0" w:color="auto"/>
        <w:bottom w:val="none" w:sz="0" w:space="0" w:color="auto"/>
        <w:right w:val="none" w:sz="0" w:space="0" w:color="auto"/>
      </w:divBdr>
    </w:div>
    <w:div w:id="227764922">
      <w:bodyDiv w:val="1"/>
      <w:marLeft w:val="0"/>
      <w:marRight w:val="0"/>
      <w:marTop w:val="0"/>
      <w:marBottom w:val="0"/>
      <w:divBdr>
        <w:top w:val="none" w:sz="0" w:space="0" w:color="auto"/>
        <w:left w:val="none" w:sz="0" w:space="0" w:color="auto"/>
        <w:bottom w:val="none" w:sz="0" w:space="0" w:color="auto"/>
        <w:right w:val="none" w:sz="0" w:space="0" w:color="auto"/>
      </w:divBdr>
    </w:div>
    <w:div w:id="250747895">
      <w:bodyDiv w:val="1"/>
      <w:marLeft w:val="0"/>
      <w:marRight w:val="0"/>
      <w:marTop w:val="0"/>
      <w:marBottom w:val="0"/>
      <w:divBdr>
        <w:top w:val="none" w:sz="0" w:space="0" w:color="auto"/>
        <w:left w:val="none" w:sz="0" w:space="0" w:color="auto"/>
        <w:bottom w:val="none" w:sz="0" w:space="0" w:color="auto"/>
        <w:right w:val="none" w:sz="0" w:space="0" w:color="auto"/>
      </w:divBdr>
    </w:div>
    <w:div w:id="282540165">
      <w:bodyDiv w:val="1"/>
      <w:marLeft w:val="0"/>
      <w:marRight w:val="0"/>
      <w:marTop w:val="0"/>
      <w:marBottom w:val="0"/>
      <w:divBdr>
        <w:top w:val="none" w:sz="0" w:space="0" w:color="auto"/>
        <w:left w:val="none" w:sz="0" w:space="0" w:color="auto"/>
        <w:bottom w:val="none" w:sz="0" w:space="0" w:color="auto"/>
        <w:right w:val="none" w:sz="0" w:space="0" w:color="auto"/>
      </w:divBdr>
      <w:divsChild>
        <w:div w:id="25103972">
          <w:marLeft w:val="547"/>
          <w:marRight w:val="0"/>
          <w:marTop w:val="96"/>
          <w:marBottom w:val="0"/>
          <w:divBdr>
            <w:top w:val="none" w:sz="0" w:space="0" w:color="auto"/>
            <w:left w:val="none" w:sz="0" w:space="0" w:color="auto"/>
            <w:bottom w:val="none" w:sz="0" w:space="0" w:color="auto"/>
            <w:right w:val="none" w:sz="0" w:space="0" w:color="auto"/>
          </w:divBdr>
        </w:div>
        <w:div w:id="249431225">
          <w:marLeft w:val="547"/>
          <w:marRight w:val="0"/>
          <w:marTop w:val="96"/>
          <w:marBottom w:val="0"/>
          <w:divBdr>
            <w:top w:val="none" w:sz="0" w:space="0" w:color="auto"/>
            <w:left w:val="none" w:sz="0" w:space="0" w:color="auto"/>
            <w:bottom w:val="none" w:sz="0" w:space="0" w:color="auto"/>
            <w:right w:val="none" w:sz="0" w:space="0" w:color="auto"/>
          </w:divBdr>
        </w:div>
        <w:div w:id="962880586">
          <w:marLeft w:val="547"/>
          <w:marRight w:val="0"/>
          <w:marTop w:val="96"/>
          <w:marBottom w:val="0"/>
          <w:divBdr>
            <w:top w:val="none" w:sz="0" w:space="0" w:color="auto"/>
            <w:left w:val="none" w:sz="0" w:space="0" w:color="auto"/>
            <w:bottom w:val="none" w:sz="0" w:space="0" w:color="auto"/>
            <w:right w:val="none" w:sz="0" w:space="0" w:color="auto"/>
          </w:divBdr>
        </w:div>
        <w:div w:id="969092598">
          <w:marLeft w:val="547"/>
          <w:marRight w:val="0"/>
          <w:marTop w:val="96"/>
          <w:marBottom w:val="0"/>
          <w:divBdr>
            <w:top w:val="none" w:sz="0" w:space="0" w:color="auto"/>
            <w:left w:val="none" w:sz="0" w:space="0" w:color="auto"/>
            <w:bottom w:val="none" w:sz="0" w:space="0" w:color="auto"/>
            <w:right w:val="none" w:sz="0" w:space="0" w:color="auto"/>
          </w:divBdr>
        </w:div>
        <w:div w:id="1200237900">
          <w:marLeft w:val="547"/>
          <w:marRight w:val="0"/>
          <w:marTop w:val="96"/>
          <w:marBottom w:val="0"/>
          <w:divBdr>
            <w:top w:val="none" w:sz="0" w:space="0" w:color="auto"/>
            <w:left w:val="none" w:sz="0" w:space="0" w:color="auto"/>
            <w:bottom w:val="none" w:sz="0" w:space="0" w:color="auto"/>
            <w:right w:val="none" w:sz="0" w:space="0" w:color="auto"/>
          </w:divBdr>
        </w:div>
        <w:div w:id="1346514557">
          <w:marLeft w:val="547"/>
          <w:marRight w:val="0"/>
          <w:marTop w:val="96"/>
          <w:marBottom w:val="0"/>
          <w:divBdr>
            <w:top w:val="none" w:sz="0" w:space="0" w:color="auto"/>
            <w:left w:val="none" w:sz="0" w:space="0" w:color="auto"/>
            <w:bottom w:val="none" w:sz="0" w:space="0" w:color="auto"/>
            <w:right w:val="none" w:sz="0" w:space="0" w:color="auto"/>
          </w:divBdr>
        </w:div>
        <w:div w:id="1463883614">
          <w:marLeft w:val="547"/>
          <w:marRight w:val="0"/>
          <w:marTop w:val="96"/>
          <w:marBottom w:val="0"/>
          <w:divBdr>
            <w:top w:val="none" w:sz="0" w:space="0" w:color="auto"/>
            <w:left w:val="none" w:sz="0" w:space="0" w:color="auto"/>
            <w:bottom w:val="none" w:sz="0" w:space="0" w:color="auto"/>
            <w:right w:val="none" w:sz="0" w:space="0" w:color="auto"/>
          </w:divBdr>
        </w:div>
        <w:div w:id="1553423816">
          <w:marLeft w:val="547"/>
          <w:marRight w:val="0"/>
          <w:marTop w:val="96"/>
          <w:marBottom w:val="0"/>
          <w:divBdr>
            <w:top w:val="none" w:sz="0" w:space="0" w:color="auto"/>
            <w:left w:val="none" w:sz="0" w:space="0" w:color="auto"/>
            <w:bottom w:val="none" w:sz="0" w:space="0" w:color="auto"/>
            <w:right w:val="none" w:sz="0" w:space="0" w:color="auto"/>
          </w:divBdr>
        </w:div>
        <w:div w:id="1950424985">
          <w:marLeft w:val="547"/>
          <w:marRight w:val="0"/>
          <w:marTop w:val="96"/>
          <w:marBottom w:val="0"/>
          <w:divBdr>
            <w:top w:val="none" w:sz="0" w:space="0" w:color="auto"/>
            <w:left w:val="none" w:sz="0" w:space="0" w:color="auto"/>
            <w:bottom w:val="none" w:sz="0" w:space="0" w:color="auto"/>
            <w:right w:val="none" w:sz="0" w:space="0" w:color="auto"/>
          </w:divBdr>
        </w:div>
      </w:divsChild>
    </w:div>
    <w:div w:id="290786378">
      <w:bodyDiv w:val="1"/>
      <w:marLeft w:val="0"/>
      <w:marRight w:val="0"/>
      <w:marTop w:val="0"/>
      <w:marBottom w:val="0"/>
      <w:divBdr>
        <w:top w:val="none" w:sz="0" w:space="0" w:color="auto"/>
        <w:left w:val="none" w:sz="0" w:space="0" w:color="auto"/>
        <w:bottom w:val="none" w:sz="0" w:space="0" w:color="auto"/>
        <w:right w:val="none" w:sz="0" w:space="0" w:color="auto"/>
      </w:divBdr>
    </w:div>
    <w:div w:id="292640516">
      <w:bodyDiv w:val="1"/>
      <w:marLeft w:val="0"/>
      <w:marRight w:val="0"/>
      <w:marTop w:val="0"/>
      <w:marBottom w:val="0"/>
      <w:divBdr>
        <w:top w:val="none" w:sz="0" w:space="0" w:color="auto"/>
        <w:left w:val="none" w:sz="0" w:space="0" w:color="auto"/>
        <w:bottom w:val="none" w:sz="0" w:space="0" w:color="auto"/>
        <w:right w:val="none" w:sz="0" w:space="0" w:color="auto"/>
      </w:divBdr>
    </w:div>
    <w:div w:id="307630716">
      <w:bodyDiv w:val="1"/>
      <w:marLeft w:val="0"/>
      <w:marRight w:val="0"/>
      <w:marTop w:val="0"/>
      <w:marBottom w:val="0"/>
      <w:divBdr>
        <w:top w:val="none" w:sz="0" w:space="0" w:color="auto"/>
        <w:left w:val="none" w:sz="0" w:space="0" w:color="auto"/>
        <w:bottom w:val="none" w:sz="0" w:space="0" w:color="auto"/>
        <w:right w:val="none" w:sz="0" w:space="0" w:color="auto"/>
      </w:divBdr>
    </w:div>
    <w:div w:id="317851165">
      <w:bodyDiv w:val="1"/>
      <w:marLeft w:val="0"/>
      <w:marRight w:val="0"/>
      <w:marTop w:val="0"/>
      <w:marBottom w:val="0"/>
      <w:divBdr>
        <w:top w:val="none" w:sz="0" w:space="0" w:color="auto"/>
        <w:left w:val="none" w:sz="0" w:space="0" w:color="auto"/>
        <w:bottom w:val="none" w:sz="0" w:space="0" w:color="auto"/>
        <w:right w:val="none" w:sz="0" w:space="0" w:color="auto"/>
      </w:divBdr>
    </w:div>
    <w:div w:id="341397913">
      <w:bodyDiv w:val="1"/>
      <w:marLeft w:val="0"/>
      <w:marRight w:val="0"/>
      <w:marTop w:val="0"/>
      <w:marBottom w:val="0"/>
      <w:divBdr>
        <w:top w:val="none" w:sz="0" w:space="0" w:color="auto"/>
        <w:left w:val="none" w:sz="0" w:space="0" w:color="auto"/>
        <w:bottom w:val="none" w:sz="0" w:space="0" w:color="auto"/>
        <w:right w:val="none" w:sz="0" w:space="0" w:color="auto"/>
      </w:divBdr>
    </w:div>
    <w:div w:id="363755219">
      <w:bodyDiv w:val="1"/>
      <w:marLeft w:val="0"/>
      <w:marRight w:val="0"/>
      <w:marTop w:val="0"/>
      <w:marBottom w:val="0"/>
      <w:divBdr>
        <w:top w:val="none" w:sz="0" w:space="0" w:color="auto"/>
        <w:left w:val="none" w:sz="0" w:space="0" w:color="auto"/>
        <w:bottom w:val="none" w:sz="0" w:space="0" w:color="auto"/>
        <w:right w:val="none" w:sz="0" w:space="0" w:color="auto"/>
      </w:divBdr>
      <w:divsChild>
        <w:div w:id="1034118425">
          <w:marLeft w:val="547"/>
          <w:marRight w:val="0"/>
          <w:marTop w:val="0"/>
          <w:marBottom w:val="0"/>
          <w:divBdr>
            <w:top w:val="none" w:sz="0" w:space="0" w:color="auto"/>
            <w:left w:val="none" w:sz="0" w:space="0" w:color="auto"/>
            <w:bottom w:val="none" w:sz="0" w:space="0" w:color="auto"/>
            <w:right w:val="none" w:sz="0" w:space="0" w:color="auto"/>
          </w:divBdr>
        </w:div>
      </w:divsChild>
    </w:div>
    <w:div w:id="403571547">
      <w:bodyDiv w:val="1"/>
      <w:marLeft w:val="0"/>
      <w:marRight w:val="0"/>
      <w:marTop w:val="0"/>
      <w:marBottom w:val="0"/>
      <w:divBdr>
        <w:top w:val="none" w:sz="0" w:space="0" w:color="auto"/>
        <w:left w:val="none" w:sz="0" w:space="0" w:color="auto"/>
        <w:bottom w:val="none" w:sz="0" w:space="0" w:color="auto"/>
        <w:right w:val="none" w:sz="0" w:space="0" w:color="auto"/>
      </w:divBdr>
    </w:div>
    <w:div w:id="413091075">
      <w:bodyDiv w:val="1"/>
      <w:marLeft w:val="0"/>
      <w:marRight w:val="0"/>
      <w:marTop w:val="0"/>
      <w:marBottom w:val="0"/>
      <w:divBdr>
        <w:top w:val="none" w:sz="0" w:space="0" w:color="auto"/>
        <w:left w:val="none" w:sz="0" w:space="0" w:color="auto"/>
        <w:bottom w:val="none" w:sz="0" w:space="0" w:color="auto"/>
        <w:right w:val="none" w:sz="0" w:space="0" w:color="auto"/>
      </w:divBdr>
    </w:div>
    <w:div w:id="456066378">
      <w:bodyDiv w:val="1"/>
      <w:marLeft w:val="0"/>
      <w:marRight w:val="0"/>
      <w:marTop w:val="0"/>
      <w:marBottom w:val="0"/>
      <w:divBdr>
        <w:top w:val="none" w:sz="0" w:space="0" w:color="auto"/>
        <w:left w:val="none" w:sz="0" w:space="0" w:color="auto"/>
        <w:bottom w:val="none" w:sz="0" w:space="0" w:color="auto"/>
        <w:right w:val="none" w:sz="0" w:space="0" w:color="auto"/>
      </w:divBdr>
    </w:div>
    <w:div w:id="504901234">
      <w:bodyDiv w:val="1"/>
      <w:marLeft w:val="0"/>
      <w:marRight w:val="0"/>
      <w:marTop w:val="0"/>
      <w:marBottom w:val="0"/>
      <w:divBdr>
        <w:top w:val="none" w:sz="0" w:space="0" w:color="auto"/>
        <w:left w:val="none" w:sz="0" w:space="0" w:color="auto"/>
        <w:bottom w:val="none" w:sz="0" w:space="0" w:color="auto"/>
        <w:right w:val="none" w:sz="0" w:space="0" w:color="auto"/>
      </w:divBdr>
    </w:div>
    <w:div w:id="515921310">
      <w:bodyDiv w:val="1"/>
      <w:marLeft w:val="0"/>
      <w:marRight w:val="0"/>
      <w:marTop w:val="0"/>
      <w:marBottom w:val="0"/>
      <w:divBdr>
        <w:top w:val="none" w:sz="0" w:space="0" w:color="auto"/>
        <w:left w:val="none" w:sz="0" w:space="0" w:color="auto"/>
        <w:bottom w:val="none" w:sz="0" w:space="0" w:color="auto"/>
        <w:right w:val="none" w:sz="0" w:space="0" w:color="auto"/>
      </w:divBdr>
    </w:div>
    <w:div w:id="520054415">
      <w:bodyDiv w:val="1"/>
      <w:marLeft w:val="0"/>
      <w:marRight w:val="0"/>
      <w:marTop w:val="0"/>
      <w:marBottom w:val="0"/>
      <w:divBdr>
        <w:top w:val="none" w:sz="0" w:space="0" w:color="auto"/>
        <w:left w:val="none" w:sz="0" w:space="0" w:color="auto"/>
        <w:bottom w:val="none" w:sz="0" w:space="0" w:color="auto"/>
        <w:right w:val="none" w:sz="0" w:space="0" w:color="auto"/>
      </w:divBdr>
    </w:div>
    <w:div w:id="523328759">
      <w:bodyDiv w:val="1"/>
      <w:marLeft w:val="0"/>
      <w:marRight w:val="0"/>
      <w:marTop w:val="0"/>
      <w:marBottom w:val="0"/>
      <w:divBdr>
        <w:top w:val="none" w:sz="0" w:space="0" w:color="auto"/>
        <w:left w:val="none" w:sz="0" w:space="0" w:color="auto"/>
        <w:bottom w:val="none" w:sz="0" w:space="0" w:color="auto"/>
        <w:right w:val="none" w:sz="0" w:space="0" w:color="auto"/>
      </w:divBdr>
    </w:div>
    <w:div w:id="538054390">
      <w:bodyDiv w:val="1"/>
      <w:marLeft w:val="0"/>
      <w:marRight w:val="0"/>
      <w:marTop w:val="0"/>
      <w:marBottom w:val="0"/>
      <w:divBdr>
        <w:top w:val="none" w:sz="0" w:space="0" w:color="auto"/>
        <w:left w:val="none" w:sz="0" w:space="0" w:color="auto"/>
        <w:bottom w:val="none" w:sz="0" w:space="0" w:color="auto"/>
        <w:right w:val="none" w:sz="0" w:space="0" w:color="auto"/>
      </w:divBdr>
    </w:div>
    <w:div w:id="631054375">
      <w:bodyDiv w:val="1"/>
      <w:marLeft w:val="0"/>
      <w:marRight w:val="0"/>
      <w:marTop w:val="0"/>
      <w:marBottom w:val="0"/>
      <w:divBdr>
        <w:top w:val="none" w:sz="0" w:space="0" w:color="auto"/>
        <w:left w:val="none" w:sz="0" w:space="0" w:color="auto"/>
        <w:bottom w:val="none" w:sz="0" w:space="0" w:color="auto"/>
        <w:right w:val="none" w:sz="0" w:space="0" w:color="auto"/>
      </w:divBdr>
    </w:div>
    <w:div w:id="658389451">
      <w:bodyDiv w:val="1"/>
      <w:marLeft w:val="0"/>
      <w:marRight w:val="0"/>
      <w:marTop w:val="0"/>
      <w:marBottom w:val="0"/>
      <w:divBdr>
        <w:top w:val="none" w:sz="0" w:space="0" w:color="auto"/>
        <w:left w:val="none" w:sz="0" w:space="0" w:color="auto"/>
        <w:bottom w:val="none" w:sz="0" w:space="0" w:color="auto"/>
        <w:right w:val="none" w:sz="0" w:space="0" w:color="auto"/>
      </w:divBdr>
    </w:div>
    <w:div w:id="675425768">
      <w:bodyDiv w:val="1"/>
      <w:marLeft w:val="0"/>
      <w:marRight w:val="0"/>
      <w:marTop w:val="0"/>
      <w:marBottom w:val="0"/>
      <w:divBdr>
        <w:top w:val="none" w:sz="0" w:space="0" w:color="auto"/>
        <w:left w:val="none" w:sz="0" w:space="0" w:color="auto"/>
        <w:bottom w:val="none" w:sz="0" w:space="0" w:color="auto"/>
        <w:right w:val="none" w:sz="0" w:space="0" w:color="auto"/>
      </w:divBdr>
    </w:div>
    <w:div w:id="695303346">
      <w:bodyDiv w:val="1"/>
      <w:marLeft w:val="0"/>
      <w:marRight w:val="0"/>
      <w:marTop w:val="0"/>
      <w:marBottom w:val="0"/>
      <w:divBdr>
        <w:top w:val="none" w:sz="0" w:space="0" w:color="auto"/>
        <w:left w:val="none" w:sz="0" w:space="0" w:color="auto"/>
        <w:bottom w:val="none" w:sz="0" w:space="0" w:color="auto"/>
        <w:right w:val="none" w:sz="0" w:space="0" w:color="auto"/>
      </w:divBdr>
    </w:div>
    <w:div w:id="734670317">
      <w:bodyDiv w:val="1"/>
      <w:marLeft w:val="0"/>
      <w:marRight w:val="0"/>
      <w:marTop w:val="0"/>
      <w:marBottom w:val="0"/>
      <w:divBdr>
        <w:top w:val="none" w:sz="0" w:space="0" w:color="auto"/>
        <w:left w:val="none" w:sz="0" w:space="0" w:color="auto"/>
        <w:bottom w:val="none" w:sz="0" w:space="0" w:color="auto"/>
        <w:right w:val="none" w:sz="0" w:space="0" w:color="auto"/>
      </w:divBdr>
    </w:div>
    <w:div w:id="833960413">
      <w:bodyDiv w:val="1"/>
      <w:marLeft w:val="0"/>
      <w:marRight w:val="0"/>
      <w:marTop w:val="0"/>
      <w:marBottom w:val="0"/>
      <w:divBdr>
        <w:top w:val="none" w:sz="0" w:space="0" w:color="auto"/>
        <w:left w:val="none" w:sz="0" w:space="0" w:color="auto"/>
        <w:bottom w:val="none" w:sz="0" w:space="0" w:color="auto"/>
        <w:right w:val="none" w:sz="0" w:space="0" w:color="auto"/>
      </w:divBdr>
    </w:div>
    <w:div w:id="858199716">
      <w:bodyDiv w:val="1"/>
      <w:marLeft w:val="0"/>
      <w:marRight w:val="0"/>
      <w:marTop w:val="0"/>
      <w:marBottom w:val="0"/>
      <w:divBdr>
        <w:top w:val="none" w:sz="0" w:space="0" w:color="auto"/>
        <w:left w:val="none" w:sz="0" w:space="0" w:color="auto"/>
        <w:bottom w:val="none" w:sz="0" w:space="0" w:color="auto"/>
        <w:right w:val="none" w:sz="0" w:space="0" w:color="auto"/>
      </w:divBdr>
    </w:div>
    <w:div w:id="916595708">
      <w:bodyDiv w:val="1"/>
      <w:marLeft w:val="0"/>
      <w:marRight w:val="0"/>
      <w:marTop w:val="0"/>
      <w:marBottom w:val="0"/>
      <w:divBdr>
        <w:top w:val="none" w:sz="0" w:space="0" w:color="auto"/>
        <w:left w:val="none" w:sz="0" w:space="0" w:color="auto"/>
        <w:bottom w:val="none" w:sz="0" w:space="0" w:color="auto"/>
        <w:right w:val="none" w:sz="0" w:space="0" w:color="auto"/>
      </w:divBdr>
    </w:div>
    <w:div w:id="941954595">
      <w:bodyDiv w:val="1"/>
      <w:marLeft w:val="0"/>
      <w:marRight w:val="0"/>
      <w:marTop w:val="0"/>
      <w:marBottom w:val="0"/>
      <w:divBdr>
        <w:top w:val="none" w:sz="0" w:space="0" w:color="auto"/>
        <w:left w:val="none" w:sz="0" w:space="0" w:color="auto"/>
        <w:bottom w:val="none" w:sz="0" w:space="0" w:color="auto"/>
        <w:right w:val="none" w:sz="0" w:space="0" w:color="auto"/>
      </w:divBdr>
    </w:div>
    <w:div w:id="976951063">
      <w:bodyDiv w:val="1"/>
      <w:marLeft w:val="0"/>
      <w:marRight w:val="0"/>
      <w:marTop w:val="0"/>
      <w:marBottom w:val="0"/>
      <w:divBdr>
        <w:top w:val="none" w:sz="0" w:space="0" w:color="auto"/>
        <w:left w:val="none" w:sz="0" w:space="0" w:color="auto"/>
        <w:bottom w:val="none" w:sz="0" w:space="0" w:color="auto"/>
        <w:right w:val="none" w:sz="0" w:space="0" w:color="auto"/>
      </w:divBdr>
    </w:div>
    <w:div w:id="982471314">
      <w:bodyDiv w:val="1"/>
      <w:marLeft w:val="0"/>
      <w:marRight w:val="0"/>
      <w:marTop w:val="0"/>
      <w:marBottom w:val="0"/>
      <w:divBdr>
        <w:top w:val="none" w:sz="0" w:space="0" w:color="auto"/>
        <w:left w:val="none" w:sz="0" w:space="0" w:color="auto"/>
        <w:bottom w:val="none" w:sz="0" w:space="0" w:color="auto"/>
        <w:right w:val="none" w:sz="0" w:space="0" w:color="auto"/>
      </w:divBdr>
    </w:div>
    <w:div w:id="1012147717">
      <w:bodyDiv w:val="1"/>
      <w:marLeft w:val="0"/>
      <w:marRight w:val="0"/>
      <w:marTop w:val="0"/>
      <w:marBottom w:val="0"/>
      <w:divBdr>
        <w:top w:val="none" w:sz="0" w:space="0" w:color="auto"/>
        <w:left w:val="none" w:sz="0" w:space="0" w:color="auto"/>
        <w:bottom w:val="none" w:sz="0" w:space="0" w:color="auto"/>
        <w:right w:val="none" w:sz="0" w:space="0" w:color="auto"/>
      </w:divBdr>
    </w:div>
    <w:div w:id="1030759388">
      <w:bodyDiv w:val="1"/>
      <w:marLeft w:val="0"/>
      <w:marRight w:val="0"/>
      <w:marTop w:val="0"/>
      <w:marBottom w:val="0"/>
      <w:divBdr>
        <w:top w:val="none" w:sz="0" w:space="0" w:color="auto"/>
        <w:left w:val="none" w:sz="0" w:space="0" w:color="auto"/>
        <w:bottom w:val="none" w:sz="0" w:space="0" w:color="auto"/>
        <w:right w:val="none" w:sz="0" w:space="0" w:color="auto"/>
      </w:divBdr>
    </w:div>
    <w:div w:id="1099718626">
      <w:bodyDiv w:val="1"/>
      <w:marLeft w:val="0"/>
      <w:marRight w:val="0"/>
      <w:marTop w:val="0"/>
      <w:marBottom w:val="0"/>
      <w:divBdr>
        <w:top w:val="none" w:sz="0" w:space="0" w:color="auto"/>
        <w:left w:val="none" w:sz="0" w:space="0" w:color="auto"/>
        <w:bottom w:val="none" w:sz="0" w:space="0" w:color="auto"/>
        <w:right w:val="none" w:sz="0" w:space="0" w:color="auto"/>
      </w:divBdr>
    </w:div>
    <w:div w:id="1112213276">
      <w:bodyDiv w:val="1"/>
      <w:marLeft w:val="0"/>
      <w:marRight w:val="0"/>
      <w:marTop w:val="0"/>
      <w:marBottom w:val="0"/>
      <w:divBdr>
        <w:top w:val="none" w:sz="0" w:space="0" w:color="auto"/>
        <w:left w:val="none" w:sz="0" w:space="0" w:color="auto"/>
        <w:bottom w:val="none" w:sz="0" w:space="0" w:color="auto"/>
        <w:right w:val="none" w:sz="0" w:space="0" w:color="auto"/>
      </w:divBdr>
    </w:div>
    <w:div w:id="1148087541">
      <w:bodyDiv w:val="1"/>
      <w:marLeft w:val="0"/>
      <w:marRight w:val="0"/>
      <w:marTop w:val="0"/>
      <w:marBottom w:val="0"/>
      <w:divBdr>
        <w:top w:val="none" w:sz="0" w:space="0" w:color="auto"/>
        <w:left w:val="none" w:sz="0" w:space="0" w:color="auto"/>
        <w:bottom w:val="none" w:sz="0" w:space="0" w:color="auto"/>
        <w:right w:val="none" w:sz="0" w:space="0" w:color="auto"/>
      </w:divBdr>
    </w:div>
    <w:div w:id="1160733104">
      <w:bodyDiv w:val="1"/>
      <w:marLeft w:val="0"/>
      <w:marRight w:val="0"/>
      <w:marTop w:val="0"/>
      <w:marBottom w:val="0"/>
      <w:divBdr>
        <w:top w:val="none" w:sz="0" w:space="0" w:color="auto"/>
        <w:left w:val="none" w:sz="0" w:space="0" w:color="auto"/>
        <w:bottom w:val="none" w:sz="0" w:space="0" w:color="auto"/>
        <w:right w:val="none" w:sz="0" w:space="0" w:color="auto"/>
      </w:divBdr>
    </w:div>
    <w:div w:id="1178156862">
      <w:bodyDiv w:val="1"/>
      <w:marLeft w:val="0"/>
      <w:marRight w:val="0"/>
      <w:marTop w:val="0"/>
      <w:marBottom w:val="0"/>
      <w:divBdr>
        <w:top w:val="none" w:sz="0" w:space="0" w:color="auto"/>
        <w:left w:val="none" w:sz="0" w:space="0" w:color="auto"/>
        <w:bottom w:val="none" w:sz="0" w:space="0" w:color="auto"/>
        <w:right w:val="none" w:sz="0" w:space="0" w:color="auto"/>
      </w:divBdr>
    </w:div>
    <w:div w:id="1196194421">
      <w:bodyDiv w:val="1"/>
      <w:marLeft w:val="0"/>
      <w:marRight w:val="0"/>
      <w:marTop w:val="0"/>
      <w:marBottom w:val="0"/>
      <w:divBdr>
        <w:top w:val="none" w:sz="0" w:space="0" w:color="auto"/>
        <w:left w:val="none" w:sz="0" w:space="0" w:color="auto"/>
        <w:bottom w:val="none" w:sz="0" w:space="0" w:color="auto"/>
        <w:right w:val="none" w:sz="0" w:space="0" w:color="auto"/>
      </w:divBdr>
    </w:div>
    <w:div w:id="1203128451">
      <w:bodyDiv w:val="1"/>
      <w:marLeft w:val="0"/>
      <w:marRight w:val="0"/>
      <w:marTop w:val="0"/>
      <w:marBottom w:val="0"/>
      <w:divBdr>
        <w:top w:val="none" w:sz="0" w:space="0" w:color="auto"/>
        <w:left w:val="none" w:sz="0" w:space="0" w:color="auto"/>
        <w:bottom w:val="none" w:sz="0" w:space="0" w:color="auto"/>
        <w:right w:val="none" w:sz="0" w:space="0" w:color="auto"/>
      </w:divBdr>
    </w:div>
    <w:div w:id="1220289267">
      <w:bodyDiv w:val="1"/>
      <w:marLeft w:val="0"/>
      <w:marRight w:val="0"/>
      <w:marTop w:val="0"/>
      <w:marBottom w:val="0"/>
      <w:divBdr>
        <w:top w:val="none" w:sz="0" w:space="0" w:color="auto"/>
        <w:left w:val="none" w:sz="0" w:space="0" w:color="auto"/>
        <w:bottom w:val="none" w:sz="0" w:space="0" w:color="auto"/>
        <w:right w:val="none" w:sz="0" w:space="0" w:color="auto"/>
      </w:divBdr>
    </w:div>
    <w:div w:id="1232621842">
      <w:bodyDiv w:val="1"/>
      <w:marLeft w:val="0"/>
      <w:marRight w:val="0"/>
      <w:marTop w:val="0"/>
      <w:marBottom w:val="0"/>
      <w:divBdr>
        <w:top w:val="none" w:sz="0" w:space="0" w:color="auto"/>
        <w:left w:val="none" w:sz="0" w:space="0" w:color="auto"/>
        <w:bottom w:val="none" w:sz="0" w:space="0" w:color="auto"/>
        <w:right w:val="none" w:sz="0" w:space="0" w:color="auto"/>
      </w:divBdr>
    </w:div>
    <w:div w:id="1247299164">
      <w:bodyDiv w:val="1"/>
      <w:marLeft w:val="0"/>
      <w:marRight w:val="0"/>
      <w:marTop w:val="0"/>
      <w:marBottom w:val="0"/>
      <w:divBdr>
        <w:top w:val="none" w:sz="0" w:space="0" w:color="auto"/>
        <w:left w:val="none" w:sz="0" w:space="0" w:color="auto"/>
        <w:bottom w:val="none" w:sz="0" w:space="0" w:color="auto"/>
        <w:right w:val="none" w:sz="0" w:space="0" w:color="auto"/>
      </w:divBdr>
      <w:divsChild>
        <w:div w:id="1534146607">
          <w:marLeft w:val="547"/>
          <w:marRight w:val="0"/>
          <w:marTop w:val="96"/>
          <w:marBottom w:val="0"/>
          <w:divBdr>
            <w:top w:val="none" w:sz="0" w:space="0" w:color="auto"/>
            <w:left w:val="none" w:sz="0" w:space="0" w:color="auto"/>
            <w:bottom w:val="none" w:sz="0" w:space="0" w:color="auto"/>
            <w:right w:val="none" w:sz="0" w:space="0" w:color="auto"/>
          </w:divBdr>
        </w:div>
        <w:div w:id="2109081844">
          <w:marLeft w:val="547"/>
          <w:marRight w:val="0"/>
          <w:marTop w:val="96"/>
          <w:marBottom w:val="0"/>
          <w:divBdr>
            <w:top w:val="none" w:sz="0" w:space="0" w:color="auto"/>
            <w:left w:val="none" w:sz="0" w:space="0" w:color="auto"/>
            <w:bottom w:val="none" w:sz="0" w:space="0" w:color="auto"/>
            <w:right w:val="none" w:sz="0" w:space="0" w:color="auto"/>
          </w:divBdr>
        </w:div>
        <w:div w:id="1910579570">
          <w:marLeft w:val="547"/>
          <w:marRight w:val="0"/>
          <w:marTop w:val="96"/>
          <w:marBottom w:val="0"/>
          <w:divBdr>
            <w:top w:val="none" w:sz="0" w:space="0" w:color="auto"/>
            <w:left w:val="none" w:sz="0" w:space="0" w:color="auto"/>
            <w:bottom w:val="none" w:sz="0" w:space="0" w:color="auto"/>
            <w:right w:val="none" w:sz="0" w:space="0" w:color="auto"/>
          </w:divBdr>
        </w:div>
        <w:div w:id="681902212">
          <w:marLeft w:val="547"/>
          <w:marRight w:val="0"/>
          <w:marTop w:val="96"/>
          <w:marBottom w:val="0"/>
          <w:divBdr>
            <w:top w:val="none" w:sz="0" w:space="0" w:color="auto"/>
            <w:left w:val="none" w:sz="0" w:space="0" w:color="auto"/>
            <w:bottom w:val="none" w:sz="0" w:space="0" w:color="auto"/>
            <w:right w:val="none" w:sz="0" w:space="0" w:color="auto"/>
          </w:divBdr>
        </w:div>
        <w:div w:id="1270242545">
          <w:marLeft w:val="547"/>
          <w:marRight w:val="0"/>
          <w:marTop w:val="96"/>
          <w:marBottom w:val="0"/>
          <w:divBdr>
            <w:top w:val="none" w:sz="0" w:space="0" w:color="auto"/>
            <w:left w:val="none" w:sz="0" w:space="0" w:color="auto"/>
            <w:bottom w:val="none" w:sz="0" w:space="0" w:color="auto"/>
            <w:right w:val="none" w:sz="0" w:space="0" w:color="auto"/>
          </w:divBdr>
        </w:div>
        <w:div w:id="767625680">
          <w:marLeft w:val="547"/>
          <w:marRight w:val="0"/>
          <w:marTop w:val="96"/>
          <w:marBottom w:val="0"/>
          <w:divBdr>
            <w:top w:val="none" w:sz="0" w:space="0" w:color="auto"/>
            <w:left w:val="none" w:sz="0" w:space="0" w:color="auto"/>
            <w:bottom w:val="none" w:sz="0" w:space="0" w:color="auto"/>
            <w:right w:val="none" w:sz="0" w:space="0" w:color="auto"/>
          </w:divBdr>
        </w:div>
        <w:div w:id="2089382181">
          <w:marLeft w:val="547"/>
          <w:marRight w:val="0"/>
          <w:marTop w:val="96"/>
          <w:marBottom w:val="0"/>
          <w:divBdr>
            <w:top w:val="none" w:sz="0" w:space="0" w:color="auto"/>
            <w:left w:val="none" w:sz="0" w:space="0" w:color="auto"/>
            <w:bottom w:val="none" w:sz="0" w:space="0" w:color="auto"/>
            <w:right w:val="none" w:sz="0" w:space="0" w:color="auto"/>
          </w:divBdr>
        </w:div>
      </w:divsChild>
    </w:div>
    <w:div w:id="1247573040">
      <w:bodyDiv w:val="1"/>
      <w:marLeft w:val="0"/>
      <w:marRight w:val="0"/>
      <w:marTop w:val="0"/>
      <w:marBottom w:val="0"/>
      <w:divBdr>
        <w:top w:val="none" w:sz="0" w:space="0" w:color="auto"/>
        <w:left w:val="none" w:sz="0" w:space="0" w:color="auto"/>
        <w:bottom w:val="none" w:sz="0" w:space="0" w:color="auto"/>
        <w:right w:val="none" w:sz="0" w:space="0" w:color="auto"/>
      </w:divBdr>
    </w:div>
    <w:div w:id="1255699397">
      <w:bodyDiv w:val="1"/>
      <w:marLeft w:val="0"/>
      <w:marRight w:val="0"/>
      <w:marTop w:val="0"/>
      <w:marBottom w:val="0"/>
      <w:divBdr>
        <w:top w:val="none" w:sz="0" w:space="0" w:color="auto"/>
        <w:left w:val="none" w:sz="0" w:space="0" w:color="auto"/>
        <w:bottom w:val="none" w:sz="0" w:space="0" w:color="auto"/>
        <w:right w:val="none" w:sz="0" w:space="0" w:color="auto"/>
      </w:divBdr>
    </w:div>
    <w:div w:id="1263953234">
      <w:bodyDiv w:val="1"/>
      <w:marLeft w:val="0"/>
      <w:marRight w:val="0"/>
      <w:marTop w:val="0"/>
      <w:marBottom w:val="0"/>
      <w:divBdr>
        <w:top w:val="none" w:sz="0" w:space="0" w:color="auto"/>
        <w:left w:val="none" w:sz="0" w:space="0" w:color="auto"/>
        <w:bottom w:val="none" w:sz="0" w:space="0" w:color="auto"/>
        <w:right w:val="none" w:sz="0" w:space="0" w:color="auto"/>
      </w:divBdr>
    </w:div>
    <w:div w:id="1287271124">
      <w:bodyDiv w:val="1"/>
      <w:marLeft w:val="0"/>
      <w:marRight w:val="0"/>
      <w:marTop w:val="0"/>
      <w:marBottom w:val="0"/>
      <w:divBdr>
        <w:top w:val="none" w:sz="0" w:space="0" w:color="auto"/>
        <w:left w:val="none" w:sz="0" w:space="0" w:color="auto"/>
        <w:bottom w:val="none" w:sz="0" w:space="0" w:color="auto"/>
        <w:right w:val="none" w:sz="0" w:space="0" w:color="auto"/>
      </w:divBdr>
    </w:div>
    <w:div w:id="1294097076">
      <w:bodyDiv w:val="1"/>
      <w:marLeft w:val="0"/>
      <w:marRight w:val="0"/>
      <w:marTop w:val="0"/>
      <w:marBottom w:val="0"/>
      <w:divBdr>
        <w:top w:val="none" w:sz="0" w:space="0" w:color="auto"/>
        <w:left w:val="none" w:sz="0" w:space="0" w:color="auto"/>
        <w:bottom w:val="none" w:sz="0" w:space="0" w:color="auto"/>
        <w:right w:val="none" w:sz="0" w:space="0" w:color="auto"/>
      </w:divBdr>
    </w:div>
    <w:div w:id="1306548625">
      <w:bodyDiv w:val="1"/>
      <w:marLeft w:val="0"/>
      <w:marRight w:val="0"/>
      <w:marTop w:val="0"/>
      <w:marBottom w:val="0"/>
      <w:divBdr>
        <w:top w:val="none" w:sz="0" w:space="0" w:color="auto"/>
        <w:left w:val="none" w:sz="0" w:space="0" w:color="auto"/>
        <w:bottom w:val="none" w:sz="0" w:space="0" w:color="auto"/>
        <w:right w:val="none" w:sz="0" w:space="0" w:color="auto"/>
      </w:divBdr>
    </w:div>
    <w:div w:id="1323771871">
      <w:bodyDiv w:val="1"/>
      <w:marLeft w:val="0"/>
      <w:marRight w:val="0"/>
      <w:marTop w:val="0"/>
      <w:marBottom w:val="0"/>
      <w:divBdr>
        <w:top w:val="none" w:sz="0" w:space="0" w:color="auto"/>
        <w:left w:val="none" w:sz="0" w:space="0" w:color="auto"/>
        <w:bottom w:val="none" w:sz="0" w:space="0" w:color="auto"/>
        <w:right w:val="none" w:sz="0" w:space="0" w:color="auto"/>
      </w:divBdr>
    </w:div>
    <w:div w:id="1343820858">
      <w:bodyDiv w:val="1"/>
      <w:marLeft w:val="0"/>
      <w:marRight w:val="0"/>
      <w:marTop w:val="0"/>
      <w:marBottom w:val="0"/>
      <w:divBdr>
        <w:top w:val="none" w:sz="0" w:space="0" w:color="auto"/>
        <w:left w:val="none" w:sz="0" w:space="0" w:color="auto"/>
        <w:bottom w:val="none" w:sz="0" w:space="0" w:color="auto"/>
        <w:right w:val="none" w:sz="0" w:space="0" w:color="auto"/>
      </w:divBdr>
    </w:div>
    <w:div w:id="1368487777">
      <w:bodyDiv w:val="1"/>
      <w:marLeft w:val="0"/>
      <w:marRight w:val="0"/>
      <w:marTop w:val="0"/>
      <w:marBottom w:val="0"/>
      <w:divBdr>
        <w:top w:val="none" w:sz="0" w:space="0" w:color="auto"/>
        <w:left w:val="none" w:sz="0" w:space="0" w:color="auto"/>
        <w:bottom w:val="none" w:sz="0" w:space="0" w:color="auto"/>
        <w:right w:val="none" w:sz="0" w:space="0" w:color="auto"/>
      </w:divBdr>
    </w:div>
    <w:div w:id="1387528631">
      <w:bodyDiv w:val="1"/>
      <w:marLeft w:val="0"/>
      <w:marRight w:val="0"/>
      <w:marTop w:val="0"/>
      <w:marBottom w:val="0"/>
      <w:divBdr>
        <w:top w:val="none" w:sz="0" w:space="0" w:color="auto"/>
        <w:left w:val="none" w:sz="0" w:space="0" w:color="auto"/>
        <w:bottom w:val="none" w:sz="0" w:space="0" w:color="auto"/>
        <w:right w:val="none" w:sz="0" w:space="0" w:color="auto"/>
      </w:divBdr>
    </w:div>
    <w:div w:id="1424952000">
      <w:bodyDiv w:val="1"/>
      <w:marLeft w:val="0"/>
      <w:marRight w:val="0"/>
      <w:marTop w:val="0"/>
      <w:marBottom w:val="0"/>
      <w:divBdr>
        <w:top w:val="none" w:sz="0" w:space="0" w:color="auto"/>
        <w:left w:val="none" w:sz="0" w:space="0" w:color="auto"/>
        <w:bottom w:val="none" w:sz="0" w:space="0" w:color="auto"/>
        <w:right w:val="none" w:sz="0" w:space="0" w:color="auto"/>
      </w:divBdr>
      <w:divsChild>
        <w:div w:id="140848770">
          <w:marLeft w:val="1800"/>
          <w:marRight w:val="0"/>
          <w:marTop w:val="86"/>
          <w:marBottom w:val="0"/>
          <w:divBdr>
            <w:top w:val="none" w:sz="0" w:space="0" w:color="auto"/>
            <w:left w:val="none" w:sz="0" w:space="0" w:color="auto"/>
            <w:bottom w:val="none" w:sz="0" w:space="0" w:color="auto"/>
            <w:right w:val="none" w:sz="0" w:space="0" w:color="auto"/>
          </w:divBdr>
        </w:div>
        <w:div w:id="985861173">
          <w:marLeft w:val="1800"/>
          <w:marRight w:val="0"/>
          <w:marTop w:val="86"/>
          <w:marBottom w:val="0"/>
          <w:divBdr>
            <w:top w:val="none" w:sz="0" w:space="0" w:color="auto"/>
            <w:left w:val="none" w:sz="0" w:space="0" w:color="auto"/>
            <w:bottom w:val="none" w:sz="0" w:space="0" w:color="auto"/>
            <w:right w:val="none" w:sz="0" w:space="0" w:color="auto"/>
          </w:divBdr>
        </w:div>
        <w:div w:id="1122042516">
          <w:marLeft w:val="2520"/>
          <w:marRight w:val="0"/>
          <w:marTop w:val="86"/>
          <w:marBottom w:val="0"/>
          <w:divBdr>
            <w:top w:val="none" w:sz="0" w:space="0" w:color="auto"/>
            <w:left w:val="none" w:sz="0" w:space="0" w:color="auto"/>
            <w:bottom w:val="none" w:sz="0" w:space="0" w:color="auto"/>
            <w:right w:val="none" w:sz="0" w:space="0" w:color="auto"/>
          </w:divBdr>
        </w:div>
        <w:div w:id="1147935374">
          <w:marLeft w:val="1800"/>
          <w:marRight w:val="0"/>
          <w:marTop w:val="86"/>
          <w:marBottom w:val="0"/>
          <w:divBdr>
            <w:top w:val="none" w:sz="0" w:space="0" w:color="auto"/>
            <w:left w:val="none" w:sz="0" w:space="0" w:color="auto"/>
            <w:bottom w:val="none" w:sz="0" w:space="0" w:color="auto"/>
            <w:right w:val="none" w:sz="0" w:space="0" w:color="auto"/>
          </w:divBdr>
        </w:div>
        <w:div w:id="1249775732">
          <w:marLeft w:val="1166"/>
          <w:marRight w:val="0"/>
          <w:marTop w:val="96"/>
          <w:marBottom w:val="0"/>
          <w:divBdr>
            <w:top w:val="none" w:sz="0" w:space="0" w:color="auto"/>
            <w:left w:val="none" w:sz="0" w:space="0" w:color="auto"/>
            <w:bottom w:val="none" w:sz="0" w:space="0" w:color="auto"/>
            <w:right w:val="none" w:sz="0" w:space="0" w:color="auto"/>
          </w:divBdr>
        </w:div>
        <w:div w:id="1387100881">
          <w:marLeft w:val="547"/>
          <w:marRight w:val="0"/>
          <w:marTop w:val="115"/>
          <w:marBottom w:val="0"/>
          <w:divBdr>
            <w:top w:val="none" w:sz="0" w:space="0" w:color="auto"/>
            <w:left w:val="none" w:sz="0" w:space="0" w:color="auto"/>
            <w:bottom w:val="none" w:sz="0" w:space="0" w:color="auto"/>
            <w:right w:val="none" w:sz="0" w:space="0" w:color="auto"/>
          </w:divBdr>
        </w:div>
        <w:div w:id="1591430429">
          <w:marLeft w:val="1800"/>
          <w:marRight w:val="0"/>
          <w:marTop w:val="86"/>
          <w:marBottom w:val="0"/>
          <w:divBdr>
            <w:top w:val="none" w:sz="0" w:space="0" w:color="auto"/>
            <w:left w:val="none" w:sz="0" w:space="0" w:color="auto"/>
            <w:bottom w:val="none" w:sz="0" w:space="0" w:color="auto"/>
            <w:right w:val="none" w:sz="0" w:space="0" w:color="auto"/>
          </w:divBdr>
        </w:div>
        <w:div w:id="1593539272">
          <w:marLeft w:val="1166"/>
          <w:marRight w:val="0"/>
          <w:marTop w:val="96"/>
          <w:marBottom w:val="0"/>
          <w:divBdr>
            <w:top w:val="none" w:sz="0" w:space="0" w:color="auto"/>
            <w:left w:val="none" w:sz="0" w:space="0" w:color="auto"/>
            <w:bottom w:val="none" w:sz="0" w:space="0" w:color="auto"/>
            <w:right w:val="none" w:sz="0" w:space="0" w:color="auto"/>
          </w:divBdr>
        </w:div>
        <w:div w:id="2058896968">
          <w:marLeft w:val="1166"/>
          <w:marRight w:val="0"/>
          <w:marTop w:val="96"/>
          <w:marBottom w:val="0"/>
          <w:divBdr>
            <w:top w:val="none" w:sz="0" w:space="0" w:color="auto"/>
            <w:left w:val="none" w:sz="0" w:space="0" w:color="auto"/>
            <w:bottom w:val="none" w:sz="0" w:space="0" w:color="auto"/>
            <w:right w:val="none" w:sz="0" w:space="0" w:color="auto"/>
          </w:divBdr>
        </w:div>
      </w:divsChild>
    </w:div>
    <w:div w:id="1429231783">
      <w:bodyDiv w:val="1"/>
      <w:marLeft w:val="0"/>
      <w:marRight w:val="0"/>
      <w:marTop w:val="0"/>
      <w:marBottom w:val="0"/>
      <w:divBdr>
        <w:top w:val="none" w:sz="0" w:space="0" w:color="auto"/>
        <w:left w:val="none" w:sz="0" w:space="0" w:color="auto"/>
        <w:bottom w:val="none" w:sz="0" w:space="0" w:color="auto"/>
        <w:right w:val="none" w:sz="0" w:space="0" w:color="auto"/>
      </w:divBdr>
    </w:div>
    <w:div w:id="1450708280">
      <w:bodyDiv w:val="1"/>
      <w:marLeft w:val="0"/>
      <w:marRight w:val="0"/>
      <w:marTop w:val="0"/>
      <w:marBottom w:val="0"/>
      <w:divBdr>
        <w:top w:val="none" w:sz="0" w:space="0" w:color="auto"/>
        <w:left w:val="none" w:sz="0" w:space="0" w:color="auto"/>
        <w:bottom w:val="none" w:sz="0" w:space="0" w:color="auto"/>
        <w:right w:val="none" w:sz="0" w:space="0" w:color="auto"/>
      </w:divBdr>
    </w:div>
    <w:div w:id="1463419506">
      <w:bodyDiv w:val="1"/>
      <w:marLeft w:val="0"/>
      <w:marRight w:val="0"/>
      <w:marTop w:val="0"/>
      <w:marBottom w:val="0"/>
      <w:divBdr>
        <w:top w:val="none" w:sz="0" w:space="0" w:color="auto"/>
        <w:left w:val="none" w:sz="0" w:space="0" w:color="auto"/>
        <w:bottom w:val="none" w:sz="0" w:space="0" w:color="auto"/>
        <w:right w:val="none" w:sz="0" w:space="0" w:color="auto"/>
      </w:divBdr>
    </w:div>
    <w:div w:id="1463841208">
      <w:bodyDiv w:val="1"/>
      <w:marLeft w:val="0"/>
      <w:marRight w:val="0"/>
      <w:marTop w:val="0"/>
      <w:marBottom w:val="0"/>
      <w:divBdr>
        <w:top w:val="none" w:sz="0" w:space="0" w:color="auto"/>
        <w:left w:val="none" w:sz="0" w:space="0" w:color="auto"/>
        <w:bottom w:val="none" w:sz="0" w:space="0" w:color="auto"/>
        <w:right w:val="none" w:sz="0" w:space="0" w:color="auto"/>
      </w:divBdr>
    </w:div>
    <w:div w:id="1488670249">
      <w:bodyDiv w:val="1"/>
      <w:marLeft w:val="0"/>
      <w:marRight w:val="0"/>
      <w:marTop w:val="0"/>
      <w:marBottom w:val="0"/>
      <w:divBdr>
        <w:top w:val="none" w:sz="0" w:space="0" w:color="auto"/>
        <w:left w:val="none" w:sz="0" w:space="0" w:color="auto"/>
        <w:bottom w:val="none" w:sz="0" w:space="0" w:color="auto"/>
        <w:right w:val="none" w:sz="0" w:space="0" w:color="auto"/>
      </w:divBdr>
    </w:div>
    <w:div w:id="1498766492">
      <w:bodyDiv w:val="1"/>
      <w:marLeft w:val="0"/>
      <w:marRight w:val="0"/>
      <w:marTop w:val="0"/>
      <w:marBottom w:val="0"/>
      <w:divBdr>
        <w:top w:val="none" w:sz="0" w:space="0" w:color="auto"/>
        <w:left w:val="none" w:sz="0" w:space="0" w:color="auto"/>
        <w:bottom w:val="none" w:sz="0" w:space="0" w:color="auto"/>
        <w:right w:val="none" w:sz="0" w:space="0" w:color="auto"/>
      </w:divBdr>
    </w:div>
    <w:div w:id="1579556069">
      <w:bodyDiv w:val="1"/>
      <w:marLeft w:val="0"/>
      <w:marRight w:val="0"/>
      <w:marTop w:val="0"/>
      <w:marBottom w:val="0"/>
      <w:divBdr>
        <w:top w:val="none" w:sz="0" w:space="0" w:color="auto"/>
        <w:left w:val="none" w:sz="0" w:space="0" w:color="auto"/>
        <w:bottom w:val="none" w:sz="0" w:space="0" w:color="auto"/>
        <w:right w:val="none" w:sz="0" w:space="0" w:color="auto"/>
      </w:divBdr>
    </w:div>
    <w:div w:id="1649674065">
      <w:bodyDiv w:val="1"/>
      <w:marLeft w:val="0"/>
      <w:marRight w:val="0"/>
      <w:marTop w:val="0"/>
      <w:marBottom w:val="0"/>
      <w:divBdr>
        <w:top w:val="none" w:sz="0" w:space="0" w:color="auto"/>
        <w:left w:val="none" w:sz="0" w:space="0" w:color="auto"/>
        <w:bottom w:val="none" w:sz="0" w:space="0" w:color="auto"/>
        <w:right w:val="none" w:sz="0" w:space="0" w:color="auto"/>
      </w:divBdr>
    </w:div>
    <w:div w:id="1654219379">
      <w:bodyDiv w:val="1"/>
      <w:marLeft w:val="0"/>
      <w:marRight w:val="0"/>
      <w:marTop w:val="0"/>
      <w:marBottom w:val="0"/>
      <w:divBdr>
        <w:top w:val="none" w:sz="0" w:space="0" w:color="auto"/>
        <w:left w:val="none" w:sz="0" w:space="0" w:color="auto"/>
        <w:bottom w:val="none" w:sz="0" w:space="0" w:color="auto"/>
        <w:right w:val="none" w:sz="0" w:space="0" w:color="auto"/>
      </w:divBdr>
    </w:div>
    <w:div w:id="1735204215">
      <w:bodyDiv w:val="1"/>
      <w:marLeft w:val="0"/>
      <w:marRight w:val="0"/>
      <w:marTop w:val="0"/>
      <w:marBottom w:val="0"/>
      <w:divBdr>
        <w:top w:val="none" w:sz="0" w:space="0" w:color="auto"/>
        <w:left w:val="none" w:sz="0" w:space="0" w:color="auto"/>
        <w:bottom w:val="none" w:sz="0" w:space="0" w:color="auto"/>
        <w:right w:val="none" w:sz="0" w:space="0" w:color="auto"/>
      </w:divBdr>
    </w:div>
    <w:div w:id="1779834621">
      <w:bodyDiv w:val="1"/>
      <w:marLeft w:val="0"/>
      <w:marRight w:val="0"/>
      <w:marTop w:val="0"/>
      <w:marBottom w:val="0"/>
      <w:divBdr>
        <w:top w:val="none" w:sz="0" w:space="0" w:color="auto"/>
        <w:left w:val="none" w:sz="0" w:space="0" w:color="auto"/>
        <w:bottom w:val="none" w:sz="0" w:space="0" w:color="auto"/>
        <w:right w:val="none" w:sz="0" w:space="0" w:color="auto"/>
      </w:divBdr>
    </w:div>
    <w:div w:id="1785466579">
      <w:bodyDiv w:val="1"/>
      <w:marLeft w:val="0"/>
      <w:marRight w:val="0"/>
      <w:marTop w:val="0"/>
      <w:marBottom w:val="0"/>
      <w:divBdr>
        <w:top w:val="none" w:sz="0" w:space="0" w:color="auto"/>
        <w:left w:val="none" w:sz="0" w:space="0" w:color="auto"/>
        <w:bottom w:val="none" w:sz="0" w:space="0" w:color="auto"/>
        <w:right w:val="none" w:sz="0" w:space="0" w:color="auto"/>
      </w:divBdr>
    </w:div>
    <w:div w:id="1786342201">
      <w:bodyDiv w:val="1"/>
      <w:marLeft w:val="0"/>
      <w:marRight w:val="0"/>
      <w:marTop w:val="0"/>
      <w:marBottom w:val="0"/>
      <w:divBdr>
        <w:top w:val="none" w:sz="0" w:space="0" w:color="auto"/>
        <w:left w:val="none" w:sz="0" w:space="0" w:color="auto"/>
        <w:bottom w:val="none" w:sz="0" w:space="0" w:color="auto"/>
        <w:right w:val="none" w:sz="0" w:space="0" w:color="auto"/>
      </w:divBdr>
    </w:div>
    <w:div w:id="1830631101">
      <w:bodyDiv w:val="1"/>
      <w:marLeft w:val="0"/>
      <w:marRight w:val="0"/>
      <w:marTop w:val="0"/>
      <w:marBottom w:val="0"/>
      <w:divBdr>
        <w:top w:val="none" w:sz="0" w:space="0" w:color="auto"/>
        <w:left w:val="none" w:sz="0" w:space="0" w:color="auto"/>
        <w:bottom w:val="none" w:sz="0" w:space="0" w:color="auto"/>
        <w:right w:val="none" w:sz="0" w:space="0" w:color="auto"/>
      </w:divBdr>
    </w:div>
    <w:div w:id="1866019777">
      <w:bodyDiv w:val="1"/>
      <w:marLeft w:val="0"/>
      <w:marRight w:val="0"/>
      <w:marTop w:val="0"/>
      <w:marBottom w:val="0"/>
      <w:divBdr>
        <w:top w:val="none" w:sz="0" w:space="0" w:color="auto"/>
        <w:left w:val="none" w:sz="0" w:space="0" w:color="auto"/>
        <w:bottom w:val="none" w:sz="0" w:space="0" w:color="auto"/>
        <w:right w:val="none" w:sz="0" w:space="0" w:color="auto"/>
      </w:divBdr>
    </w:div>
    <w:div w:id="1904750714">
      <w:bodyDiv w:val="1"/>
      <w:marLeft w:val="0"/>
      <w:marRight w:val="0"/>
      <w:marTop w:val="0"/>
      <w:marBottom w:val="0"/>
      <w:divBdr>
        <w:top w:val="none" w:sz="0" w:space="0" w:color="auto"/>
        <w:left w:val="none" w:sz="0" w:space="0" w:color="auto"/>
        <w:bottom w:val="none" w:sz="0" w:space="0" w:color="auto"/>
        <w:right w:val="none" w:sz="0" w:space="0" w:color="auto"/>
      </w:divBdr>
    </w:div>
    <w:div w:id="1941140909">
      <w:bodyDiv w:val="1"/>
      <w:marLeft w:val="0"/>
      <w:marRight w:val="0"/>
      <w:marTop w:val="0"/>
      <w:marBottom w:val="0"/>
      <w:divBdr>
        <w:top w:val="none" w:sz="0" w:space="0" w:color="auto"/>
        <w:left w:val="none" w:sz="0" w:space="0" w:color="auto"/>
        <w:bottom w:val="none" w:sz="0" w:space="0" w:color="auto"/>
        <w:right w:val="none" w:sz="0" w:space="0" w:color="auto"/>
      </w:divBdr>
    </w:div>
    <w:div w:id="1943995184">
      <w:bodyDiv w:val="1"/>
      <w:marLeft w:val="0"/>
      <w:marRight w:val="0"/>
      <w:marTop w:val="0"/>
      <w:marBottom w:val="0"/>
      <w:divBdr>
        <w:top w:val="none" w:sz="0" w:space="0" w:color="auto"/>
        <w:left w:val="none" w:sz="0" w:space="0" w:color="auto"/>
        <w:bottom w:val="none" w:sz="0" w:space="0" w:color="auto"/>
        <w:right w:val="none" w:sz="0" w:space="0" w:color="auto"/>
      </w:divBdr>
    </w:div>
    <w:div w:id="1958947139">
      <w:bodyDiv w:val="1"/>
      <w:marLeft w:val="0"/>
      <w:marRight w:val="0"/>
      <w:marTop w:val="0"/>
      <w:marBottom w:val="0"/>
      <w:divBdr>
        <w:top w:val="none" w:sz="0" w:space="0" w:color="auto"/>
        <w:left w:val="none" w:sz="0" w:space="0" w:color="auto"/>
        <w:bottom w:val="none" w:sz="0" w:space="0" w:color="auto"/>
        <w:right w:val="none" w:sz="0" w:space="0" w:color="auto"/>
      </w:divBdr>
    </w:div>
    <w:div w:id="1976829242">
      <w:bodyDiv w:val="1"/>
      <w:marLeft w:val="0"/>
      <w:marRight w:val="0"/>
      <w:marTop w:val="0"/>
      <w:marBottom w:val="0"/>
      <w:divBdr>
        <w:top w:val="none" w:sz="0" w:space="0" w:color="auto"/>
        <w:left w:val="none" w:sz="0" w:space="0" w:color="auto"/>
        <w:bottom w:val="none" w:sz="0" w:space="0" w:color="auto"/>
        <w:right w:val="none" w:sz="0" w:space="0" w:color="auto"/>
      </w:divBdr>
    </w:div>
    <w:div w:id="1983346404">
      <w:bodyDiv w:val="1"/>
      <w:marLeft w:val="0"/>
      <w:marRight w:val="0"/>
      <w:marTop w:val="0"/>
      <w:marBottom w:val="0"/>
      <w:divBdr>
        <w:top w:val="none" w:sz="0" w:space="0" w:color="auto"/>
        <w:left w:val="none" w:sz="0" w:space="0" w:color="auto"/>
        <w:bottom w:val="none" w:sz="0" w:space="0" w:color="auto"/>
        <w:right w:val="none" w:sz="0" w:space="0" w:color="auto"/>
      </w:divBdr>
    </w:div>
    <w:div w:id="2018733038">
      <w:bodyDiv w:val="1"/>
      <w:marLeft w:val="0"/>
      <w:marRight w:val="0"/>
      <w:marTop w:val="0"/>
      <w:marBottom w:val="0"/>
      <w:divBdr>
        <w:top w:val="none" w:sz="0" w:space="0" w:color="auto"/>
        <w:left w:val="none" w:sz="0" w:space="0" w:color="auto"/>
        <w:bottom w:val="none" w:sz="0" w:space="0" w:color="auto"/>
        <w:right w:val="none" w:sz="0" w:space="0" w:color="auto"/>
      </w:divBdr>
      <w:divsChild>
        <w:div w:id="427971127">
          <w:marLeft w:val="547"/>
          <w:marRight w:val="0"/>
          <w:marTop w:val="96"/>
          <w:marBottom w:val="0"/>
          <w:divBdr>
            <w:top w:val="none" w:sz="0" w:space="0" w:color="auto"/>
            <w:left w:val="none" w:sz="0" w:space="0" w:color="auto"/>
            <w:bottom w:val="none" w:sz="0" w:space="0" w:color="auto"/>
            <w:right w:val="none" w:sz="0" w:space="0" w:color="auto"/>
          </w:divBdr>
        </w:div>
        <w:div w:id="717585473">
          <w:marLeft w:val="547"/>
          <w:marRight w:val="0"/>
          <w:marTop w:val="96"/>
          <w:marBottom w:val="0"/>
          <w:divBdr>
            <w:top w:val="none" w:sz="0" w:space="0" w:color="auto"/>
            <w:left w:val="none" w:sz="0" w:space="0" w:color="auto"/>
            <w:bottom w:val="none" w:sz="0" w:space="0" w:color="auto"/>
            <w:right w:val="none" w:sz="0" w:space="0" w:color="auto"/>
          </w:divBdr>
        </w:div>
        <w:div w:id="881212930">
          <w:marLeft w:val="547"/>
          <w:marRight w:val="0"/>
          <w:marTop w:val="96"/>
          <w:marBottom w:val="0"/>
          <w:divBdr>
            <w:top w:val="none" w:sz="0" w:space="0" w:color="auto"/>
            <w:left w:val="none" w:sz="0" w:space="0" w:color="auto"/>
            <w:bottom w:val="none" w:sz="0" w:space="0" w:color="auto"/>
            <w:right w:val="none" w:sz="0" w:space="0" w:color="auto"/>
          </w:divBdr>
        </w:div>
        <w:div w:id="914630887">
          <w:marLeft w:val="547"/>
          <w:marRight w:val="0"/>
          <w:marTop w:val="96"/>
          <w:marBottom w:val="0"/>
          <w:divBdr>
            <w:top w:val="none" w:sz="0" w:space="0" w:color="auto"/>
            <w:left w:val="none" w:sz="0" w:space="0" w:color="auto"/>
            <w:bottom w:val="none" w:sz="0" w:space="0" w:color="auto"/>
            <w:right w:val="none" w:sz="0" w:space="0" w:color="auto"/>
          </w:divBdr>
        </w:div>
        <w:div w:id="1095905122">
          <w:marLeft w:val="547"/>
          <w:marRight w:val="0"/>
          <w:marTop w:val="96"/>
          <w:marBottom w:val="0"/>
          <w:divBdr>
            <w:top w:val="none" w:sz="0" w:space="0" w:color="auto"/>
            <w:left w:val="none" w:sz="0" w:space="0" w:color="auto"/>
            <w:bottom w:val="none" w:sz="0" w:space="0" w:color="auto"/>
            <w:right w:val="none" w:sz="0" w:space="0" w:color="auto"/>
          </w:divBdr>
        </w:div>
        <w:div w:id="1211190914">
          <w:marLeft w:val="547"/>
          <w:marRight w:val="0"/>
          <w:marTop w:val="96"/>
          <w:marBottom w:val="0"/>
          <w:divBdr>
            <w:top w:val="none" w:sz="0" w:space="0" w:color="auto"/>
            <w:left w:val="none" w:sz="0" w:space="0" w:color="auto"/>
            <w:bottom w:val="none" w:sz="0" w:space="0" w:color="auto"/>
            <w:right w:val="none" w:sz="0" w:space="0" w:color="auto"/>
          </w:divBdr>
        </w:div>
        <w:div w:id="1293553826">
          <w:marLeft w:val="547"/>
          <w:marRight w:val="0"/>
          <w:marTop w:val="96"/>
          <w:marBottom w:val="0"/>
          <w:divBdr>
            <w:top w:val="none" w:sz="0" w:space="0" w:color="auto"/>
            <w:left w:val="none" w:sz="0" w:space="0" w:color="auto"/>
            <w:bottom w:val="none" w:sz="0" w:space="0" w:color="auto"/>
            <w:right w:val="none" w:sz="0" w:space="0" w:color="auto"/>
          </w:divBdr>
        </w:div>
        <w:div w:id="1931545265">
          <w:marLeft w:val="547"/>
          <w:marRight w:val="0"/>
          <w:marTop w:val="96"/>
          <w:marBottom w:val="0"/>
          <w:divBdr>
            <w:top w:val="none" w:sz="0" w:space="0" w:color="auto"/>
            <w:left w:val="none" w:sz="0" w:space="0" w:color="auto"/>
            <w:bottom w:val="none" w:sz="0" w:space="0" w:color="auto"/>
            <w:right w:val="none" w:sz="0" w:space="0" w:color="auto"/>
          </w:divBdr>
        </w:div>
        <w:div w:id="2089035377">
          <w:marLeft w:val="547"/>
          <w:marRight w:val="0"/>
          <w:marTop w:val="96"/>
          <w:marBottom w:val="0"/>
          <w:divBdr>
            <w:top w:val="none" w:sz="0" w:space="0" w:color="auto"/>
            <w:left w:val="none" w:sz="0" w:space="0" w:color="auto"/>
            <w:bottom w:val="none" w:sz="0" w:space="0" w:color="auto"/>
            <w:right w:val="none" w:sz="0" w:space="0" w:color="auto"/>
          </w:divBdr>
        </w:div>
      </w:divsChild>
    </w:div>
    <w:div w:id="2033070854">
      <w:bodyDiv w:val="1"/>
      <w:marLeft w:val="0"/>
      <w:marRight w:val="0"/>
      <w:marTop w:val="0"/>
      <w:marBottom w:val="0"/>
      <w:divBdr>
        <w:top w:val="none" w:sz="0" w:space="0" w:color="auto"/>
        <w:left w:val="none" w:sz="0" w:space="0" w:color="auto"/>
        <w:bottom w:val="none" w:sz="0" w:space="0" w:color="auto"/>
        <w:right w:val="none" w:sz="0" w:space="0" w:color="auto"/>
      </w:divBdr>
      <w:divsChild>
        <w:div w:id="285477397">
          <w:marLeft w:val="1800"/>
          <w:marRight w:val="0"/>
          <w:marTop w:val="86"/>
          <w:marBottom w:val="0"/>
          <w:divBdr>
            <w:top w:val="none" w:sz="0" w:space="0" w:color="auto"/>
            <w:left w:val="none" w:sz="0" w:space="0" w:color="auto"/>
            <w:bottom w:val="none" w:sz="0" w:space="0" w:color="auto"/>
            <w:right w:val="none" w:sz="0" w:space="0" w:color="auto"/>
          </w:divBdr>
        </w:div>
        <w:div w:id="879437062">
          <w:marLeft w:val="1800"/>
          <w:marRight w:val="0"/>
          <w:marTop w:val="86"/>
          <w:marBottom w:val="0"/>
          <w:divBdr>
            <w:top w:val="none" w:sz="0" w:space="0" w:color="auto"/>
            <w:left w:val="none" w:sz="0" w:space="0" w:color="auto"/>
            <w:bottom w:val="none" w:sz="0" w:space="0" w:color="auto"/>
            <w:right w:val="none" w:sz="0" w:space="0" w:color="auto"/>
          </w:divBdr>
        </w:div>
        <w:div w:id="884831768">
          <w:marLeft w:val="1166"/>
          <w:marRight w:val="0"/>
          <w:marTop w:val="96"/>
          <w:marBottom w:val="0"/>
          <w:divBdr>
            <w:top w:val="none" w:sz="0" w:space="0" w:color="auto"/>
            <w:left w:val="none" w:sz="0" w:space="0" w:color="auto"/>
            <w:bottom w:val="none" w:sz="0" w:space="0" w:color="auto"/>
            <w:right w:val="none" w:sz="0" w:space="0" w:color="auto"/>
          </w:divBdr>
        </w:div>
        <w:div w:id="1092315547">
          <w:marLeft w:val="1166"/>
          <w:marRight w:val="0"/>
          <w:marTop w:val="96"/>
          <w:marBottom w:val="0"/>
          <w:divBdr>
            <w:top w:val="none" w:sz="0" w:space="0" w:color="auto"/>
            <w:left w:val="none" w:sz="0" w:space="0" w:color="auto"/>
            <w:bottom w:val="none" w:sz="0" w:space="0" w:color="auto"/>
            <w:right w:val="none" w:sz="0" w:space="0" w:color="auto"/>
          </w:divBdr>
        </w:div>
        <w:div w:id="1384982245">
          <w:marLeft w:val="1800"/>
          <w:marRight w:val="0"/>
          <w:marTop w:val="86"/>
          <w:marBottom w:val="0"/>
          <w:divBdr>
            <w:top w:val="none" w:sz="0" w:space="0" w:color="auto"/>
            <w:left w:val="none" w:sz="0" w:space="0" w:color="auto"/>
            <w:bottom w:val="none" w:sz="0" w:space="0" w:color="auto"/>
            <w:right w:val="none" w:sz="0" w:space="0" w:color="auto"/>
          </w:divBdr>
        </w:div>
        <w:div w:id="1500998716">
          <w:marLeft w:val="547"/>
          <w:marRight w:val="0"/>
          <w:marTop w:val="115"/>
          <w:marBottom w:val="0"/>
          <w:divBdr>
            <w:top w:val="none" w:sz="0" w:space="0" w:color="auto"/>
            <w:left w:val="none" w:sz="0" w:space="0" w:color="auto"/>
            <w:bottom w:val="none" w:sz="0" w:space="0" w:color="auto"/>
            <w:right w:val="none" w:sz="0" w:space="0" w:color="auto"/>
          </w:divBdr>
        </w:div>
        <w:div w:id="1578858284">
          <w:marLeft w:val="2520"/>
          <w:marRight w:val="0"/>
          <w:marTop w:val="86"/>
          <w:marBottom w:val="0"/>
          <w:divBdr>
            <w:top w:val="none" w:sz="0" w:space="0" w:color="auto"/>
            <w:left w:val="none" w:sz="0" w:space="0" w:color="auto"/>
            <w:bottom w:val="none" w:sz="0" w:space="0" w:color="auto"/>
            <w:right w:val="none" w:sz="0" w:space="0" w:color="auto"/>
          </w:divBdr>
        </w:div>
        <w:div w:id="1903710042">
          <w:marLeft w:val="1800"/>
          <w:marRight w:val="0"/>
          <w:marTop w:val="86"/>
          <w:marBottom w:val="0"/>
          <w:divBdr>
            <w:top w:val="none" w:sz="0" w:space="0" w:color="auto"/>
            <w:left w:val="none" w:sz="0" w:space="0" w:color="auto"/>
            <w:bottom w:val="none" w:sz="0" w:space="0" w:color="auto"/>
            <w:right w:val="none" w:sz="0" w:space="0" w:color="auto"/>
          </w:divBdr>
        </w:div>
        <w:div w:id="1920559942">
          <w:marLeft w:val="1166"/>
          <w:marRight w:val="0"/>
          <w:marTop w:val="96"/>
          <w:marBottom w:val="0"/>
          <w:divBdr>
            <w:top w:val="none" w:sz="0" w:space="0" w:color="auto"/>
            <w:left w:val="none" w:sz="0" w:space="0" w:color="auto"/>
            <w:bottom w:val="none" w:sz="0" w:space="0" w:color="auto"/>
            <w:right w:val="none" w:sz="0" w:space="0" w:color="auto"/>
          </w:divBdr>
        </w:div>
      </w:divsChild>
    </w:div>
    <w:div w:id="2050565589">
      <w:bodyDiv w:val="1"/>
      <w:marLeft w:val="0"/>
      <w:marRight w:val="0"/>
      <w:marTop w:val="0"/>
      <w:marBottom w:val="0"/>
      <w:divBdr>
        <w:top w:val="none" w:sz="0" w:space="0" w:color="auto"/>
        <w:left w:val="none" w:sz="0" w:space="0" w:color="auto"/>
        <w:bottom w:val="none" w:sz="0" w:space="0" w:color="auto"/>
        <w:right w:val="none" w:sz="0" w:space="0" w:color="auto"/>
      </w:divBdr>
    </w:div>
    <w:div w:id="2070877702">
      <w:bodyDiv w:val="1"/>
      <w:marLeft w:val="0"/>
      <w:marRight w:val="0"/>
      <w:marTop w:val="0"/>
      <w:marBottom w:val="0"/>
      <w:divBdr>
        <w:top w:val="none" w:sz="0" w:space="0" w:color="auto"/>
        <w:left w:val="none" w:sz="0" w:space="0" w:color="auto"/>
        <w:bottom w:val="none" w:sz="0" w:space="0" w:color="auto"/>
        <w:right w:val="none" w:sz="0" w:space="0" w:color="auto"/>
      </w:divBdr>
    </w:div>
    <w:div w:id="2073698368">
      <w:bodyDiv w:val="1"/>
      <w:marLeft w:val="0"/>
      <w:marRight w:val="0"/>
      <w:marTop w:val="0"/>
      <w:marBottom w:val="0"/>
      <w:divBdr>
        <w:top w:val="none" w:sz="0" w:space="0" w:color="auto"/>
        <w:left w:val="none" w:sz="0" w:space="0" w:color="auto"/>
        <w:bottom w:val="none" w:sz="0" w:space="0" w:color="auto"/>
        <w:right w:val="none" w:sz="0" w:space="0" w:color="auto"/>
      </w:divBdr>
    </w:div>
    <w:div w:id="2120182077">
      <w:bodyDiv w:val="1"/>
      <w:marLeft w:val="0"/>
      <w:marRight w:val="0"/>
      <w:marTop w:val="0"/>
      <w:marBottom w:val="0"/>
      <w:divBdr>
        <w:top w:val="none" w:sz="0" w:space="0" w:color="auto"/>
        <w:left w:val="none" w:sz="0" w:space="0" w:color="auto"/>
        <w:bottom w:val="none" w:sz="0" w:space="0" w:color="auto"/>
        <w:right w:val="none" w:sz="0" w:space="0" w:color="auto"/>
      </w:divBdr>
    </w:div>
    <w:div w:id="213582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pacificorp.com/es/dsm.html" TargetMode="External"/><Relationship Id="rId21" Type="http://schemas.openxmlformats.org/officeDocument/2006/relationships/header" Target="header2.xml"/><Relationship Id="rId42" Type="http://schemas.openxmlformats.org/officeDocument/2006/relationships/footer" Target="footer5.xml"/><Relationship Id="rId47" Type="http://schemas.openxmlformats.org/officeDocument/2006/relationships/header" Target="header12.xml"/><Relationship Id="rId63" Type="http://schemas.openxmlformats.org/officeDocument/2006/relationships/header" Target="header24.xml"/><Relationship Id="rId68" Type="http://schemas.openxmlformats.org/officeDocument/2006/relationships/header" Target="header27.xml"/><Relationship Id="rId16" Type="http://schemas.openxmlformats.org/officeDocument/2006/relationships/diagramColors" Target="diagrams/colors1.xml"/><Relationship Id="rId11" Type="http://schemas.openxmlformats.org/officeDocument/2006/relationships/image" Target="media/image2.jpeg"/><Relationship Id="rId24" Type="http://schemas.openxmlformats.org/officeDocument/2006/relationships/header" Target="header3.xml"/><Relationship Id="rId32" Type="http://schemas.openxmlformats.org/officeDocument/2006/relationships/hyperlink" Target="http://www.homeenergysavings.net/Washington/forms.html" TargetMode="External"/><Relationship Id="rId37" Type="http://schemas.openxmlformats.org/officeDocument/2006/relationships/header" Target="header5.xml"/><Relationship Id="rId40" Type="http://schemas.openxmlformats.org/officeDocument/2006/relationships/header" Target="header7.xml"/><Relationship Id="rId45" Type="http://schemas.openxmlformats.org/officeDocument/2006/relationships/header" Target="header11.xml"/><Relationship Id="rId53" Type="http://schemas.openxmlformats.org/officeDocument/2006/relationships/header" Target="header17.xml"/><Relationship Id="rId58" Type="http://schemas.openxmlformats.org/officeDocument/2006/relationships/footer" Target="footer9.xml"/><Relationship Id="rId66" Type="http://schemas.openxmlformats.org/officeDocument/2006/relationships/footer" Target="footer11.xml"/><Relationship Id="rId74" Type="http://schemas.openxmlformats.org/officeDocument/2006/relationships/fontTable" Target="fontTable.xml"/><Relationship Id="rId79" Type="http://schemas.openxmlformats.org/officeDocument/2006/relationships/customXml" Target="../customXml/item5.xml"/><Relationship Id="rId5" Type="http://schemas.openxmlformats.org/officeDocument/2006/relationships/settings" Target="settings.xml"/><Relationship Id="rId61" Type="http://schemas.openxmlformats.org/officeDocument/2006/relationships/header" Target="header23.xml"/><Relationship Id="rId19" Type="http://schemas.openxmlformats.org/officeDocument/2006/relationships/image" Target="media/image5.emf"/><Relationship Id="rId14" Type="http://schemas.openxmlformats.org/officeDocument/2006/relationships/diagramLayout" Target="diagrams/layout1.xml"/><Relationship Id="rId22" Type="http://schemas.openxmlformats.org/officeDocument/2006/relationships/footer" Target="footer1.xml"/><Relationship Id="rId27" Type="http://schemas.openxmlformats.org/officeDocument/2006/relationships/image" Target="media/image6.emf"/><Relationship Id="rId30" Type="http://schemas.openxmlformats.org/officeDocument/2006/relationships/image" Target="media/image8.emf"/><Relationship Id="rId35" Type="http://schemas.openxmlformats.org/officeDocument/2006/relationships/hyperlink" Target="http://www.pacificorp.com/env/dsm.html" TargetMode="External"/><Relationship Id="rId43" Type="http://schemas.openxmlformats.org/officeDocument/2006/relationships/header" Target="header9.xml"/><Relationship Id="rId48" Type="http://schemas.openxmlformats.org/officeDocument/2006/relationships/header" Target="header13.xml"/><Relationship Id="rId56" Type="http://schemas.openxmlformats.org/officeDocument/2006/relationships/header" Target="header19.xml"/><Relationship Id="rId64" Type="http://schemas.openxmlformats.org/officeDocument/2006/relationships/header" Target="header25.xml"/><Relationship Id="rId69" Type="http://schemas.openxmlformats.org/officeDocument/2006/relationships/footer" Target="footer13.xml"/><Relationship Id="rId77" Type="http://schemas.openxmlformats.org/officeDocument/2006/relationships/customXml" Target="../customXml/item3.xml"/><Relationship Id="rId8" Type="http://schemas.openxmlformats.org/officeDocument/2006/relationships/endnotes" Target="endnotes.xml"/><Relationship Id="rId51" Type="http://schemas.openxmlformats.org/officeDocument/2006/relationships/header" Target="header15.xml"/><Relationship Id="rId72" Type="http://schemas.openxmlformats.org/officeDocument/2006/relationships/footer" Target="footer14.xml"/><Relationship Id="rId3" Type="http://schemas.openxmlformats.org/officeDocument/2006/relationships/styles" Target="styles.xml"/><Relationship Id="rId12" Type="http://schemas.openxmlformats.org/officeDocument/2006/relationships/image" Target="media/image3.emf"/><Relationship Id="rId17" Type="http://schemas.microsoft.com/office/2007/relationships/diagramDrawing" Target="diagrams/drawing1.xml"/><Relationship Id="rId25" Type="http://schemas.openxmlformats.org/officeDocument/2006/relationships/footer" Target="footer3.xml"/><Relationship Id="rId33" Type="http://schemas.openxmlformats.org/officeDocument/2006/relationships/hyperlink" Target="https://www.pacificpower.net/content/dam/pacific_power/doc/Business/Save_Energy_Money/WA_wattsmartBusiness_Incentive_tables_information.pdf" TargetMode="External"/><Relationship Id="rId38" Type="http://schemas.openxmlformats.org/officeDocument/2006/relationships/footer" Target="footer4.xml"/><Relationship Id="rId46" Type="http://schemas.openxmlformats.org/officeDocument/2006/relationships/footer" Target="footer6.xml"/><Relationship Id="rId59" Type="http://schemas.openxmlformats.org/officeDocument/2006/relationships/header" Target="header21.xml"/><Relationship Id="rId67" Type="http://schemas.openxmlformats.org/officeDocument/2006/relationships/footer" Target="footer12.xml"/><Relationship Id="rId20" Type="http://schemas.openxmlformats.org/officeDocument/2006/relationships/header" Target="header1.xml"/><Relationship Id="rId41" Type="http://schemas.openxmlformats.org/officeDocument/2006/relationships/header" Target="header8.xml"/><Relationship Id="rId54" Type="http://schemas.openxmlformats.org/officeDocument/2006/relationships/footer" Target="footer8.xml"/><Relationship Id="rId62" Type="http://schemas.openxmlformats.org/officeDocument/2006/relationships/footer" Target="footer10.xml"/><Relationship Id="rId70" Type="http://schemas.openxmlformats.org/officeDocument/2006/relationships/header" Target="header28.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footer" Target="footer2.xml"/><Relationship Id="rId28" Type="http://schemas.openxmlformats.org/officeDocument/2006/relationships/hyperlink" Target="http://www.pacificorp.com/es/irp/irpsupport.html" TargetMode="External"/><Relationship Id="rId36" Type="http://schemas.openxmlformats.org/officeDocument/2006/relationships/header" Target="header4.xml"/><Relationship Id="rId49" Type="http://schemas.openxmlformats.org/officeDocument/2006/relationships/header" Target="header14.xml"/><Relationship Id="rId57" Type="http://schemas.openxmlformats.org/officeDocument/2006/relationships/header" Target="header20.xml"/><Relationship Id="rId10" Type="http://schemas.openxmlformats.org/officeDocument/2006/relationships/oleObject" Target="embeddings/oleObject1.bin"/><Relationship Id="rId31" Type="http://schemas.openxmlformats.org/officeDocument/2006/relationships/hyperlink" Target="http://www.pacificpower.net/wattsmart" TargetMode="External"/><Relationship Id="rId44" Type="http://schemas.openxmlformats.org/officeDocument/2006/relationships/header" Target="header10.xml"/><Relationship Id="rId52" Type="http://schemas.openxmlformats.org/officeDocument/2006/relationships/header" Target="header16.xml"/><Relationship Id="rId60" Type="http://schemas.openxmlformats.org/officeDocument/2006/relationships/header" Target="header22.xml"/><Relationship Id="rId65" Type="http://schemas.openxmlformats.org/officeDocument/2006/relationships/header" Target="header26.xml"/><Relationship Id="rId73" Type="http://schemas.openxmlformats.org/officeDocument/2006/relationships/header" Target="header30.xml"/><Relationship Id="rId78"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diagramData" Target="diagrams/data1.xml"/><Relationship Id="rId18" Type="http://schemas.openxmlformats.org/officeDocument/2006/relationships/image" Target="media/image4.emf"/><Relationship Id="rId39" Type="http://schemas.openxmlformats.org/officeDocument/2006/relationships/header" Target="header6.xml"/><Relationship Id="rId34" Type="http://schemas.openxmlformats.org/officeDocument/2006/relationships/hyperlink" Target="http://www.pacificorp.com/es/irp.html" TargetMode="External"/><Relationship Id="rId50" Type="http://schemas.openxmlformats.org/officeDocument/2006/relationships/footer" Target="footer7.xml"/><Relationship Id="rId55" Type="http://schemas.openxmlformats.org/officeDocument/2006/relationships/header" Target="header18.xml"/><Relationship Id="rId76" Type="http://schemas.openxmlformats.org/officeDocument/2006/relationships/customXml" Target="../customXml/item2.xml"/><Relationship Id="rId7" Type="http://schemas.openxmlformats.org/officeDocument/2006/relationships/footnotes" Target="footnotes.xml"/><Relationship Id="rId71" Type="http://schemas.openxmlformats.org/officeDocument/2006/relationships/header" Target="header29.xml"/><Relationship Id="rId2" Type="http://schemas.openxmlformats.org/officeDocument/2006/relationships/numbering" Target="numbering.xml"/><Relationship Id="rId29" Type="http://schemas.openxmlformats.org/officeDocument/2006/relationships/image" Target="media/image7.emf"/></Relationships>
</file>

<file path=word/_rels/footnotes.xml.rels><?xml version="1.0" encoding="UTF-8" standalone="yes"?>
<Relationships xmlns="http://schemas.openxmlformats.org/package/2006/relationships"><Relationship Id="rId3" Type="http://schemas.openxmlformats.org/officeDocument/2006/relationships/hyperlink" Target="http://rtf.nwcouncil.org//measures/Default.asp" TargetMode="External"/><Relationship Id="rId2" Type="http://schemas.openxmlformats.org/officeDocument/2006/relationships/hyperlink" Target="http://www.pacificorp.com/es/dsm.html" TargetMode="External"/><Relationship Id="rId1" Type="http://schemas.openxmlformats.org/officeDocument/2006/relationships/hyperlink" Target="http://www.pacificorp.com/es/dsm.html"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A8DA70E-B701-4F31-AAB7-6A58624D7C0D}" type="doc">
      <dgm:prSet loTypeId="urn:microsoft.com/office/officeart/2005/8/layout/process4" loCatId="process" qsTypeId="urn:microsoft.com/office/officeart/2005/8/quickstyle/simple1" qsCatId="simple" csTypeId="urn:microsoft.com/office/officeart/2005/8/colors/accent1_2" csCatId="accent1" phldr="1"/>
      <dgm:spPr/>
      <dgm:t>
        <a:bodyPr/>
        <a:lstStyle/>
        <a:p>
          <a:endParaRPr lang="en-US"/>
        </a:p>
      </dgm:t>
    </dgm:pt>
    <dgm:pt modelId="{41894F06-182B-4E0D-BBF2-7146D0A55DA4}">
      <dgm:prSet phldrT="[Text]" custT="1"/>
      <dgm:spPr/>
      <dgm:t>
        <a:bodyPr tIns="109728" bIns="109728"/>
        <a:lstStyle/>
        <a:p>
          <a:r>
            <a:rPr lang="en-US" sz="1600">
              <a:latin typeface="Times New Roman" pitchFamily="18" charset="0"/>
              <a:cs typeface="Times New Roman" pitchFamily="18" charset="0"/>
            </a:rPr>
            <a:t>Conservation Potential Assessment (CPA) - published January 2015</a:t>
          </a:r>
        </a:p>
      </dgm:t>
    </dgm:pt>
    <dgm:pt modelId="{53E1DFAD-CF4B-43CE-AFDF-EAB889CAD82C}" type="parTrans" cxnId="{2C97265C-26AB-449E-8E26-602EDA8C46E9}">
      <dgm:prSet/>
      <dgm:spPr/>
      <dgm:t>
        <a:bodyPr/>
        <a:lstStyle/>
        <a:p>
          <a:endParaRPr lang="en-US"/>
        </a:p>
      </dgm:t>
    </dgm:pt>
    <dgm:pt modelId="{9DB87DB3-95CF-4E9E-8CAC-5888A2118D34}" type="sibTrans" cxnId="{2C97265C-26AB-449E-8E26-602EDA8C46E9}">
      <dgm:prSet/>
      <dgm:spPr/>
      <dgm:t>
        <a:bodyPr/>
        <a:lstStyle/>
        <a:p>
          <a:endParaRPr lang="en-US"/>
        </a:p>
      </dgm:t>
    </dgm:pt>
    <dgm:pt modelId="{67DAE79C-8978-4AF5-A001-C4B52959FBA6}">
      <dgm:prSet phldrT="[Text]"/>
      <dgm:spPr/>
      <dgm:t>
        <a:bodyPr/>
        <a:lstStyle/>
        <a:p>
          <a:r>
            <a:rPr lang="en-US">
              <a:latin typeface="Times New Roman" pitchFamily="18" charset="0"/>
              <a:cs typeface="Times New Roman" pitchFamily="18" charset="0"/>
            </a:rPr>
            <a:t>Identification of technical and achievable energy efficeincy resource potential available in Company's Washington service area. Consistent with regional planning assumptions in the Northwest, 85% of the technical potential is assumed techncially achievable for discretionary resources and </a:t>
          </a:r>
          <a:r>
            <a:rPr lang="en-US">
              <a:solidFill>
                <a:sysClr val="windowText" lastClr="000000"/>
              </a:solidFill>
              <a:latin typeface="Times New Roman" pitchFamily="18" charset="0"/>
              <a:cs typeface="Times New Roman" pitchFamily="18" charset="0"/>
            </a:rPr>
            <a:t>77%</a:t>
          </a:r>
          <a:r>
            <a:rPr lang="en-US">
              <a:solidFill>
                <a:srgbClr val="FF0000"/>
              </a:solidFill>
              <a:latin typeface="Times New Roman" pitchFamily="18" charset="0"/>
              <a:cs typeface="Times New Roman" pitchFamily="18" charset="0"/>
            </a:rPr>
            <a:t> </a:t>
          </a:r>
          <a:r>
            <a:rPr lang="en-US">
              <a:solidFill>
                <a:sysClr val="windowText" lastClr="000000"/>
              </a:solidFill>
              <a:latin typeface="Times New Roman" pitchFamily="18" charset="0"/>
              <a:cs typeface="Times New Roman" pitchFamily="18" charset="0"/>
            </a:rPr>
            <a:t> for lost opportunity resources.  </a:t>
          </a:r>
        </a:p>
      </dgm:t>
    </dgm:pt>
    <dgm:pt modelId="{FDC9D8EC-DC6E-4A07-999E-5A86DBE1DBAD}" type="parTrans" cxnId="{2A49719F-0008-4E6B-AD2B-65F828B04525}">
      <dgm:prSet/>
      <dgm:spPr/>
      <dgm:t>
        <a:bodyPr/>
        <a:lstStyle/>
        <a:p>
          <a:endParaRPr lang="en-US"/>
        </a:p>
      </dgm:t>
    </dgm:pt>
    <dgm:pt modelId="{83CDDAF1-ECFA-4E95-BC0E-8E623BF87412}" type="sibTrans" cxnId="{2A49719F-0008-4E6B-AD2B-65F828B04525}">
      <dgm:prSet/>
      <dgm:spPr/>
      <dgm:t>
        <a:bodyPr/>
        <a:lstStyle/>
        <a:p>
          <a:endParaRPr lang="en-US"/>
        </a:p>
      </dgm:t>
    </dgm:pt>
    <dgm:pt modelId="{0F3509B1-00F3-46B4-B348-AE97947F89F4}">
      <dgm:prSet phldrT="[Text]" custT="1"/>
      <dgm:spPr/>
      <dgm:t>
        <a:bodyPr/>
        <a:lstStyle/>
        <a:p>
          <a:r>
            <a:rPr lang="en-US" sz="1600">
              <a:latin typeface="Times New Roman" pitchFamily="18" charset="0"/>
              <a:cs typeface="Times New Roman" pitchFamily="18" charset="0"/>
            </a:rPr>
            <a:t>2015 Integrated Resource Plan (IRP) - completed March 2015</a:t>
          </a:r>
        </a:p>
      </dgm:t>
    </dgm:pt>
    <dgm:pt modelId="{88E0582E-B9F0-41A4-B59C-6B473530EC87}" type="parTrans" cxnId="{735B4395-6D68-4CDD-B013-32FA5CE54E4E}">
      <dgm:prSet/>
      <dgm:spPr/>
      <dgm:t>
        <a:bodyPr/>
        <a:lstStyle/>
        <a:p>
          <a:endParaRPr lang="en-US"/>
        </a:p>
      </dgm:t>
    </dgm:pt>
    <dgm:pt modelId="{58C9B131-2711-48AA-B094-E55FAB549FEA}" type="sibTrans" cxnId="{735B4395-6D68-4CDD-B013-32FA5CE54E4E}">
      <dgm:prSet/>
      <dgm:spPr/>
      <dgm:t>
        <a:bodyPr/>
        <a:lstStyle/>
        <a:p>
          <a:endParaRPr lang="en-US"/>
        </a:p>
      </dgm:t>
    </dgm:pt>
    <dgm:pt modelId="{81AA5816-3673-4287-A20F-9F4245AE9E3E}">
      <dgm:prSet phldrT="[Text]"/>
      <dgm:spPr/>
      <dgm:t>
        <a:bodyPr/>
        <a:lstStyle/>
        <a:p>
          <a:r>
            <a:rPr lang="en-US">
              <a:latin typeface="Times New Roman" pitchFamily="18" charset="0"/>
              <a:cs typeface="Times New Roman" pitchFamily="18" charset="0"/>
            </a:rPr>
            <a:t>Technically achievable  energy efficiency resources identified were converted to quantity and cost supply curves  and provided to the 2015 IRP as a preferred resource option. The economic  screening/resource selection process occured within the IRP resource optimization process. </a:t>
          </a:r>
        </a:p>
      </dgm:t>
    </dgm:pt>
    <dgm:pt modelId="{E807DE8A-CBFD-43EF-A9F9-7E98EA9476F1}" type="parTrans" cxnId="{C9F7FC1A-7183-496F-B47B-FB9D60803C2E}">
      <dgm:prSet/>
      <dgm:spPr/>
      <dgm:t>
        <a:bodyPr/>
        <a:lstStyle/>
        <a:p>
          <a:endParaRPr lang="en-US"/>
        </a:p>
      </dgm:t>
    </dgm:pt>
    <dgm:pt modelId="{1C18A367-966F-4B2E-B190-1E8512C0443C}" type="sibTrans" cxnId="{C9F7FC1A-7183-496F-B47B-FB9D60803C2E}">
      <dgm:prSet/>
      <dgm:spPr/>
      <dgm:t>
        <a:bodyPr/>
        <a:lstStyle/>
        <a:p>
          <a:endParaRPr lang="en-US"/>
        </a:p>
      </dgm:t>
    </dgm:pt>
    <dgm:pt modelId="{5FB66DB9-6D45-497E-BAB4-50A9929E3D99}">
      <dgm:prSet phldrT="[Text]" custT="1"/>
      <dgm:spPr/>
      <dgm:t>
        <a:bodyPr/>
        <a:lstStyle/>
        <a:p>
          <a:r>
            <a:rPr lang="en-US" sz="1600">
              <a:latin typeface="Times New Roman" pitchFamily="18" charset="0"/>
              <a:cs typeface="Times New Roman" pitchFamily="18" charset="0"/>
            </a:rPr>
            <a:t>Draft 10-year conservation potential and biennial conservation target</a:t>
          </a:r>
        </a:p>
      </dgm:t>
    </dgm:pt>
    <dgm:pt modelId="{A86F085A-0409-4F80-A0D6-A18AD876936F}" type="parTrans" cxnId="{0FABC185-B38F-4FB3-B4F7-5795A95E2912}">
      <dgm:prSet/>
      <dgm:spPr/>
      <dgm:t>
        <a:bodyPr/>
        <a:lstStyle/>
        <a:p>
          <a:endParaRPr lang="en-US"/>
        </a:p>
      </dgm:t>
    </dgm:pt>
    <dgm:pt modelId="{FDD9D6FB-DAFA-4CDF-A977-55907021B60E}" type="sibTrans" cxnId="{0FABC185-B38F-4FB3-B4F7-5795A95E2912}">
      <dgm:prSet/>
      <dgm:spPr/>
      <dgm:t>
        <a:bodyPr/>
        <a:lstStyle/>
        <a:p>
          <a:endParaRPr lang="en-US"/>
        </a:p>
      </dgm:t>
    </dgm:pt>
    <dgm:pt modelId="{8CBC6AE8-A9F1-4829-AC59-7BA6B958399C}">
      <dgm:prSet phldrT="[Text]" custT="1"/>
      <dgm:spPr/>
      <dgm:t>
        <a:bodyPr/>
        <a:lstStyle/>
        <a:p>
          <a:r>
            <a:rPr lang="en-US" sz="1600">
              <a:latin typeface="Times New Roman" pitchFamily="18" charset="0"/>
              <a:cs typeface="Times New Roman" pitchFamily="18" charset="0"/>
            </a:rPr>
            <a:t>Public Input</a:t>
          </a:r>
        </a:p>
      </dgm:t>
    </dgm:pt>
    <dgm:pt modelId="{B05DBD0D-70D2-489A-948D-09A473DD89E3}" type="parTrans" cxnId="{357934D6-EF6B-4236-A076-8F951FBB1D12}">
      <dgm:prSet/>
      <dgm:spPr/>
      <dgm:t>
        <a:bodyPr/>
        <a:lstStyle/>
        <a:p>
          <a:endParaRPr lang="en-US"/>
        </a:p>
      </dgm:t>
    </dgm:pt>
    <dgm:pt modelId="{4811A5D8-6555-4983-A4A3-F91D0592991F}" type="sibTrans" cxnId="{357934D6-EF6B-4236-A076-8F951FBB1D12}">
      <dgm:prSet/>
      <dgm:spPr/>
      <dgm:t>
        <a:bodyPr/>
        <a:lstStyle/>
        <a:p>
          <a:endParaRPr lang="en-US"/>
        </a:p>
      </dgm:t>
    </dgm:pt>
    <dgm:pt modelId="{DC89836A-61DC-49B8-A276-D8206896CD14}">
      <dgm:prSet phldrT="[Text]" custT="1"/>
      <dgm:spPr/>
      <dgm:t>
        <a:bodyPr/>
        <a:lstStyle/>
        <a:p>
          <a:r>
            <a:rPr lang="en-US" sz="1600">
              <a:latin typeface="Times New Roman" pitchFamily="18" charset="0"/>
              <a:cs typeface="Times New Roman" pitchFamily="18" charset="0"/>
            </a:rPr>
            <a:t>WAC 480-109 Compliance Filing</a:t>
          </a:r>
          <a:endParaRPr lang="en-US" sz="1000">
            <a:latin typeface="Times New Roman" pitchFamily="18" charset="0"/>
            <a:cs typeface="Times New Roman" pitchFamily="18" charset="0"/>
          </a:endParaRPr>
        </a:p>
      </dgm:t>
    </dgm:pt>
    <dgm:pt modelId="{3A7ABF7A-958F-4387-A370-CD5D35743488}" type="parTrans" cxnId="{221F797D-35E8-41FC-8F98-6E5139DFADDF}">
      <dgm:prSet/>
      <dgm:spPr/>
      <dgm:t>
        <a:bodyPr/>
        <a:lstStyle/>
        <a:p>
          <a:endParaRPr lang="en-US"/>
        </a:p>
      </dgm:t>
    </dgm:pt>
    <dgm:pt modelId="{BE1FECEF-08E1-44AE-99DD-17F3FFBB1A7E}" type="sibTrans" cxnId="{221F797D-35E8-41FC-8F98-6E5139DFADDF}">
      <dgm:prSet/>
      <dgm:spPr/>
      <dgm:t>
        <a:bodyPr/>
        <a:lstStyle/>
        <a:p>
          <a:endParaRPr lang="en-US"/>
        </a:p>
      </dgm:t>
    </dgm:pt>
    <dgm:pt modelId="{B88F9F42-E8F0-4D52-820F-2E3B2C5371F1}">
      <dgm:prSet phldrT="[Text]" custT="1"/>
      <dgm:spPr/>
      <dgm:t>
        <a:bodyPr/>
        <a:lstStyle/>
        <a:p>
          <a:r>
            <a:rPr lang="en-US" sz="900">
              <a:latin typeface="Times New Roman" pitchFamily="18" charset="0"/>
              <a:cs typeface="Times New Roman" pitchFamily="18" charset="0"/>
            </a:rPr>
            <a:t>The result of this process is PacifiCorp's ten-year conservation potential for 2016-2025 and 2016-2017 biennial target which are documented in this report.  </a:t>
          </a:r>
        </a:p>
      </dgm:t>
    </dgm:pt>
    <dgm:pt modelId="{A7A26E4A-79EE-4720-B7B1-FC2B6649ED8D}" type="parTrans" cxnId="{49565B3D-AC8B-4355-91E1-7A24B17C9123}">
      <dgm:prSet/>
      <dgm:spPr/>
      <dgm:t>
        <a:bodyPr/>
        <a:lstStyle/>
        <a:p>
          <a:endParaRPr lang="en-US"/>
        </a:p>
      </dgm:t>
    </dgm:pt>
    <dgm:pt modelId="{CA2C4E84-CB90-42BB-B458-E6EC6DB82872}" type="sibTrans" cxnId="{49565B3D-AC8B-4355-91E1-7A24B17C9123}">
      <dgm:prSet/>
      <dgm:spPr/>
      <dgm:t>
        <a:bodyPr/>
        <a:lstStyle/>
        <a:p>
          <a:endParaRPr lang="en-US"/>
        </a:p>
      </dgm:t>
    </dgm:pt>
    <dgm:pt modelId="{E743B46A-37D0-4232-8827-8BF9FC0CD773}">
      <dgm:prSet custT="1"/>
      <dgm:spPr/>
      <dgm:t>
        <a:bodyPr/>
        <a:lstStyle/>
        <a:p>
          <a:r>
            <a:rPr lang="en-US" sz="900">
              <a:solidFill>
                <a:sysClr val="windowText" lastClr="000000"/>
              </a:solidFill>
              <a:latin typeface="Times New Roman" pitchFamily="18" charset="0"/>
              <a:cs typeface="Times New Roman" pitchFamily="18" charset="0"/>
            </a:rPr>
            <a:t>The process involved public input meetings with the Company's DSM Advisory Group and IRP stakeholders</a:t>
          </a:r>
          <a:r>
            <a:rPr lang="en-US" sz="900">
              <a:solidFill>
                <a:srgbClr val="FF0000"/>
              </a:solidFill>
              <a:latin typeface="Times New Roman" pitchFamily="18" charset="0"/>
              <a:cs typeface="Times New Roman" pitchFamily="18" charset="0"/>
            </a:rPr>
            <a:t>.</a:t>
          </a:r>
        </a:p>
      </dgm:t>
    </dgm:pt>
    <dgm:pt modelId="{A4EFFBDC-3E6C-4EE2-8BD9-3C9807907612}" type="parTrans" cxnId="{144DC389-D251-4391-B928-605D93E83D1E}">
      <dgm:prSet/>
      <dgm:spPr/>
      <dgm:t>
        <a:bodyPr/>
        <a:lstStyle/>
        <a:p>
          <a:endParaRPr lang="en-US"/>
        </a:p>
      </dgm:t>
    </dgm:pt>
    <dgm:pt modelId="{3B09662F-8336-47BB-B8D5-AE1BA528A431}" type="sibTrans" cxnId="{144DC389-D251-4391-B928-605D93E83D1E}">
      <dgm:prSet/>
      <dgm:spPr/>
      <dgm:t>
        <a:bodyPr/>
        <a:lstStyle/>
        <a:p>
          <a:endParaRPr lang="en-US"/>
        </a:p>
      </dgm:t>
    </dgm:pt>
    <dgm:pt modelId="{00D340E7-F076-4014-9592-AC61BFA82278}">
      <dgm:prSet phldrT="[Text]" custT="1"/>
      <dgm:spPr/>
      <dgm:t>
        <a:bodyPr/>
        <a:lstStyle/>
        <a:p>
          <a:r>
            <a:rPr lang="en-US" sz="900">
              <a:latin typeface="Times New Roman" pitchFamily="18" charset="0"/>
              <a:cs typeface="Times New Roman" pitchFamily="18" charset="0"/>
            </a:rPr>
            <a:t>In the development of the ten-year conservation potential, the Company verified consistency of methodologies and planning assumptions between those used in the development of the Company's CPA and those of the Northwest Power and Conservation Council's 7th Power Plan and the Regional Technical Forum.</a:t>
          </a:r>
        </a:p>
      </dgm:t>
    </dgm:pt>
    <dgm:pt modelId="{B1BD5AC1-D1FF-4AC0-80F6-B4A72102A374}" type="sibTrans" cxnId="{42EEE06A-5E2C-4FEF-8096-38C54BC0AF6E}">
      <dgm:prSet/>
      <dgm:spPr/>
      <dgm:t>
        <a:bodyPr/>
        <a:lstStyle/>
        <a:p>
          <a:endParaRPr lang="en-US"/>
        </a:p>
      </dgm:t>
    </dgm:pt>
    <dgm:pt modelId="{502699AB-B9E8-4DCF-A6E5-7AC8BECDD476}" type="parTrans" cxnId="{42EEE06A-5E2C-4FEF-8096-38C54BC0AF6E}">
      <dgm:prSet/>
      <dgm:spPr/>
      <dgm:t>
        <a:bodyPr/>
        <a:lstStyle/>
        <a:p>
          <a:endParaRPr lang="en-US"/>
        </a:p>
      </dgm:t>
    </dgm:pt>
    <dgm:pt modelId="{E2668752-A0E3-4170-A374-09404B5BE1A1}">
      <dgm:prSet custT="1"/>
      <dgm:spPr/>
      <dgm:t>
        <a:bodyPr/>
        <a:lstStyle/>
        <a:p>
          <a:r>
            <a:rPr lang="en-US" sz="1600">
              <a:solidFill>
                <a:schemeClr val="bg1"/>
              </a:solidFill>
              <a:latin typeface="Times New Roman" panose="02020603050405020304" pitchFamily="18" charset="0"/>
              <a:cs typeface="Times New Roman" panose="02020603050405020304" pitchFamily="18" charset="0"/>
            </a:rPr>
            <a:t>Consultant Studies</a:t>
          </a:r>
        </a:p>
      </dgm:t>
    </dgm:pt>
    <dgm:pt modelId="{1032D0BE-2BFF-4E24-9CF1-083791A2B3BD}" type="parTrans" cxnId="{E9CF02A4-E28B-4B8A-865C-55355068C0AD}">
      <dgm:prSet/>
      <dgm:spPr/>
      <dgm:t>
        <a:bodyPr/>
        <a:lstStyle/>
        <a:p>
          <a:endParaRPr lang="en-US"/>
        </a:p>
      </dgm:t>
    </dgm:pt>
    <dgm:pt modelId="{442202A7-74F8-467E-8B24-7F63B1F9B0EC}" type="sibTrans" cxnId="{E9CF02A4-E28B-4B8A-865C-55355068C0AD}">
      <dgm:prSet/>
      <dgm:spPr/>
      <dgm:t>
        <a:bodyPr/>
        <a:lstStyle/>
        <a:p>
          <a:endParaRPr lang="en-US"/>
        </a:p>
      </dgm:t>
    </dgm:pt>
    <dgm:pt modelId="{5134C16B-5DAD-4247-B8E5-BA0E916D16F5}">
      <dgm:prSet custT="1"/>
      <dgm:spPr/>
      <dgm:t>
        <a:bodyPr/>
        <a:lstStyle/>
        <a:p>
          <a:r>
            <a:rPr lang="en-US" sz="900">
              <a:solidFill>
                <a:sysClr val="windowText" lastClr="000000"/>
              </a:solidFill>
              <a:latin typeface="Times New Roman" pitchFamily="18" charset="0"/>
              <a:cs typeface="Times New Roman" pitchFamily="18" charset="0"/>
            </a:rPr>
            <a:t>To assist in the development of potential assessments and conservation forecasts for distribution and production efficeincy, and high efficiency cogeneration, the Company enlisted the services of Commonwealth Associaties, Inc., Cascade Energy, Inc. and Navigant Consulating, Inc. who developed study data used to inform the conservation forecast process</a:t>
          </a:r>
        </a:p>
      </dgm:t>
    </dgm:pt>
    <dgm:pt modelId="{60C2B6AE-F12D-499E-86A5-E2CE668326B7}" type="parTrans" cxnId="{B6B43CCA-9E8A-4BAF-A15F-B923CD11B28B}">
      <dgm:prSet/>
      <dgm:spPr/>
      <dgm:t>
        <a:bodyPr/>
        <a:lstStyle/>
        <a:p>
          <a:endParaRPr lang="en-US"/>
        </a:p>
      </dgm:t>
    </dgm:pt>
    <dgm:pt modelId="{3B427C9D-FFD7-4690-963A-BF6AD66F11A0}" type="sibTrans" cxnId="{B6B43CCA-9E8A-4BAF-A15F-B923CD11B28B}">
      <dgm:prSet/>
      <dgm:spPr/>
      <dgm:t>
        <a:bodyPr/>
        <a:lstStyle/>
        <a:p>
          <a:endParaRPr lang="en-US"/>
        </a:p>
      </dgm:t>
    </dgm:pt>
    <dgm:pt modelId="{EAF096D1-45D8-4D80-AE9F-D10E9BA5C730}" type="pres">
      <dgm:prSet presAssocID="{6A8DA70E-B701-4F31-AAB7-6A58624D7C0D}" presName="Name0" presStyleCnt="0">
        <dgm:presLayoutVars>
          <dgm:dir/>
          <dgm:animLvl val="lvl"/>
          <dgm:resizeHandles val="exact"/>
        </dgm:presLayoutVars>
      </dgm:prSet>
      <dgm:spPr/>
      <dgm:t>
        <a:bodyPr/>
        <a:lstStyle/>
        <a:p>
          <a:endParaRPr lang="en-US"/>
        </a:p>
      </dgm:t>
    </dgm:pt>
    <dgm:pt modelId="{124BD43F-9A6D-4137-ACD4-55F865B693D4}" type="pres">
      <dgm:prSet presAssocID="{DC89836A-61DC-49B8-A276-D8206896CD14}" presName="boxAndChildren" presStyleCnt="0"/>
      <dgm:spPr/>
      <dgm:t>
        <a:bodyPr/>
        <a:lstStyle/>
        <a:p>
          <a:endParaRPr lang="en-US"/>
        </a:p>
      </dgm:t>
    </dgm:pt>
    <dgm:pt modelId="{4D4FF238-DCB7-40ED-A627-C26A0A537BA2}" type="pres">
      <dgm:prSet presAssocID="{DC89836A-61DC-49B8-A276-D8206896CD14}" presName="parentTextBox" presStyleLbl="node1" presStyleIdx="0" presStyleCnt="6"/>
      <dgm:spPr/>
      <dgm:t>
        <a:bodyPr/>
        <a:lstStyle/>
        <a:p>
          <a:endParaRPr lang="en-US"/>
        </a:p>
      </dgm:t>
    </dgm:pt>
    <dgm:pt modelId="{5ECAA8A3-4330-46BF-A464-4B62D2A37227}" type="pres">
      <dgm:prSet presAssocID="{DC89836A-61DC-49B8-A276-D8206896CD14}" presName="entireBox" presStyleLbl="node1" presStyleIdx="0" presStyleCnt="6"/>
      <dgm:spPr/>
      <dgm:t>
        <a:bodyPr/>
        <a:lstStyle/>
        <a:p>
          <a:endParaRPr lang="en-US"/>
        </a:p>
      </dgm:t>
    </dgm:pt>
    <dgm:pt modelId="{96AD4734-B372-4424-941C-CF63530351E4}" type="pres">
      <dgm:prSet presAssocID="{DC89836A-61DC-49B8-A276-D8206896CD14}" presName="descendantBox" presStyleCnt="0"/>
      <dgm:spPr/>
      <dgm:t>
        <a:bodyPr/>
        <a:lstStyle/>
        <a:p>
          <a:endParaRPr lang="en-US"/>
        </a:p>
      </dgm:t>
    </dgm:pt>
    <dgm:pt modelId="{071FF442-7C0E-4244-A636-2996FBD5EB2F}" type="pres">
      <dgm:prSet presAssocID="{B88F9F42-E8F0-4D52-820F-2E3B2C5371F1}" presName="childTextBox" presStyleLbl="fgAccFollowNode1" presStyleIdx="0" presStyleCnt="6">
        <dgm:presLayoutVars>
          <dgm:bulletEnabled val="1"/>
        </dgm:presLayoutVars>
      </dgm:prSet>
      <dgm:spPr/>
      <dgm:t>
        <a:bodyPr/>
        <a:lstStyle/>
        <a:p>
          <a:endParaRPr lang="en-US"/>
        </a:p>
      </dgm:t>
    </dgm:pt>
    <dgm:pt modelId="{F656C51C-43E5-4B54-B148-5F577424E442}" type="pres">
      <dgm:prSet presAssocID="{4811A5D8-6555-4983-A4A3-F91D0592991F}" presName="sp" presStyleCnt="0"/>
      <dgm:spPr/>
      <dgm:t>
        <a:bodyPr/>
        <a:lstStyle/>
        <a:p>
          <a:endParaRPr lang="en-US"/>
        </a:p>
      </dgm:t>
    </dgm:pt>
    <dgm:pt modelId="{EAA25353-4BE3-43E7-8450-77B2CF98ED45}" type="pres">
      <dgm:prSet presAssocID="{8CBC6AE8-A9F1-4829-AC59-7BA6B958399C}" presName="arrowAndChildren" presStyleCnt="0"/>
      <dgm:spPr/>
      <dgm:t>
        <a:bodyPr/>
        <a:lstStyle/>
        <a:p>
          <a:endParaRPr lang="en-US"/>
        </a:p>
      </dgm:t>
    </dgm:pt>
    <dgm:pt modelId="{1726809E-E241-4193-AD1D-DA6D341F8EE0}" type="pres">
      <dgm:prSet presAssocID="{8CBC6AE8-A9F1-4829-AC59-7BA6B958399C}" presName="parentTextArrow" presStyleLbl="node1" presStyleIdx="0" presStyleCnt="6"/>
      <dgm:spPr/>
      <dgm:t>
        <a:bodyPr/>
        <a:lstStyle/>
        <a:p>
          <a:endParaRPr lang="en-US"/>
        </a:p>
      </dgm:t>
    </dgm:pt>
    <dgm:pt modelId="{9E992D18-E38B-48BD-BD48-329E04F8B5E3}" type="pres">
      <dgm:prSet presAssocID="{8CBC6AE8-A9F1-4829-AC59-7BA6B958399C}" presName="arrow" presStyleLbl="node1" presStyleIdx="1" presStyleCnt="6"/>
      <dgm:spPr/>
      <dgm:t>
        <a:bodyPr/>
        <a:lstStyle/>
        <a:p>
          <a:endParaRPr lang="en-US"/>
        </a:p>
      </dgm:t>
    </dgm:pt>
    <dgm:pt modelId="{AE7D3740-997D-410B-B567-90D49ACE8EA5}" type="pres">
      <dgm:prSet presAssocID="{8CBC6AE8-A9F1-4829-AC59-7BA6B958399C}" presName="descendantArrow" presStyleCnt="0"/>
      <dgm:spPr/>
      <dgm:t>
        <a:bodyPr/>
        <a:lstStyle/>
        <a:p>
          <a:endParaRPr lang="en-US"/>
        </a:p>
      </dgm:t>
    </dgm:pt>
    <dgm:pt modelId="{70EF524A-1B01-4097-823E-39F11A6952AE}" type="pres">
      <dgm:prSet presAssocID="{E743B46A-37D0-4232-8827-8BF9FC0CD773}" presName="childTextArrow" presStyleLbl="fgAccFollowNode1" presStyleIdx="1" presStyleCnt="6">
        <dgm:presLayoutVars>
          <dgm:bulletEnabled val="1"/>
        </dgm:presLayoutVars>
      </dgm:prSet>
      <dgm:spPr/>
      <dgm:t>
        <a:bodyPr/>
        <a:lstStyle/>
        <a:p>
          <a:endParaRPr lang="en-US"/>
        </a:p>
      </dgm:t>
    </dgm:pt>
    <dgm:pt modelId="{D71B9536-233B-4ABF-BCFB-F8CA4E9DF83D}" type="pres">
      <dgm:prSet presAssocID="{442202A7-74F8-467E-8B24-7F63B1F9B0EC}" presName="sp" presStyleCnt="0"/>
      <dgm:spPr/>
    </dgm:pt>
    <dgm:pt modelId="{A26D40EC-3C2A-4A55-8B98-9EDE80C01BAF}" type="pres">
      <dgm:prSet presAssocID="{E2668752-A0E3-4170-A374-09404B5BE1A1}" presName="arrowAndChildren" presStyleCnt="0"/>
      <dgm:spPr/>
    </dgm:pt>
    <dgm:pt modelId="{3F8C014E-02F9-4F22-90A0-635A2CAB199C}" type="pres">
      <dgm:prSet presAssocID="{E2668752-A0E3-4170-A374-09404B5BE1A1}" presName="parentTextArrow" presStyleLbl="node1" presStyleIdx="1" presStyleCnt="6"/>
      <dgm:spPr/>
      <dgm:t>
        <a:bodyPr/>
        <a:lstStyle/>
        <a:p>
          <a:endParaRPr lang="en-US"/>
        </a:p>
      </dgm:t>
    </dgm:pt>
    <dgm:pt modelId="{0877FB75-747D-4AAD-B1C4-EAAE058509CE}" type="pres">
      <dgm:prSet presAssocID="{E2668752-A0E3-4170-A374-09404B5BE1A1}" presName="arrow" presStyleLbl="node1" presStyleIdx="2" presStyleCnt="6"/>
      <dgm:spPr/>
      <dgm:t>
        <a:bodyPr/>
        <a:lstStyle/>
        <a:p>
          <a:endParaRPr lang="en-US"/>
        </a:p>
      </dgm:t>
    </dgm:pt>
    <dgm:pt modelId="{EFD25DBF-E219-481A-998E-1C08E11D6BC4}" type="pres">
      <dgm:prSet presAssocID="{E2668752-A0E3-4170-A374-09404B5BE1A1}" presName="descendantArrow" presStyleCnt="0"/>
      <dgm:spPr/>
    </dgm:pt>
    <dgm:pt modelId="{93976857-88AD-4AB7-A2AE-BAD9EECCAE2A}" type="pres">
      <dgm:prSet presAssocID="{5134C16B-5DAD-4247-B8E5-BA0E916D16F5}" presName="childTextArrow" presStyleLbl="fgAccFollowNode1" presStyleIdx="2" presStyleCnt="6">
        <dgm:presLayoutVars>
          <dgm:bulletEnabled val="1"/>
        </dgm:presLayoutVars>
      </dgm:prSet>
      <dgm:spPr/>
      <dgm:t>
        <a:bodyPr/>
        <a:lstStyle/>
        <a:p>
          <a:endParaRPr lang="en-US"/>
        </a:p>
      </dgm:t>
    </dgm:pt>
    <dgm:pt modelId="{EB81F817-490F-4D5A-B287-5FF4E654EF09}" type="pres">
      <dgm:prSet presAssocID="{FDD9D6FB-DAFA-4CDF-A977-55907021B60E}" presName="sp" presStyleCnt="0"/>
      <dgm:spPr/>
      <dgm:t>
        <a:bodyPr/>
        <a:lstStyle/>
        <a:p>
          <a:endParaRPr lang="en-US"/>
        </a:p>
      </dgm:t>
    </dgm:pt>
    <dgm:pt modelId="{869A0FB0-A855-4BE9-A8AC-348B46638091}" type="pres">
      <dgm:prSet presAssocID="{5FB66DB9-6D45-497E-BAB4-50A9929E3D99}" presName="arrowAndChildren" presStyleCnt="0"/>
      <dgm:spPr/>
      <dgm:t>
        <a:bodyPr/>
        <a:lstStyle/>
        <a:p>
          <a:endParaRPr lang="en-US"/>
        </a:p>
      </dgm:t>
    </dgm:pt>
    <dgm:pt modelId="{434B4DAA-9F32-4822-852A-C2EDE22E5F37}" type="pres">
      <dgm:prSet presAssocID="{5FB66DB9-6D45-497E-BAB4-50A9929E3D99}" presName="parentTextArrow" presStyleLbl="node1" presStyleIdx="2" presStyleCnt="6"/>
      <dgm:spPr/>
      <dgm:t>
        <a:bodyPr/>
        <a:lstStyle/>
        <a:p>
          <a:endParaRPr lang="en-US"/>
        </a:p>
      </dgm:t>
    </dgm:pt>
    <dgm:pt modelId="{9C6E7294-EC37-490D-877F-739120B088F5}" type="pres">
      <dgm:prSet presAssocID="{5FB66DB9-6D45-497E-BAB4-50A9929E3D99}" presName="arrow" presStyleLbl="node1" presStyleIdx="3" presStyleCnt="6" custScaleY="105214"/>
      <dgm:spPr/>
      <dgm:t>
        <a:bodyPr/>
        <a:lstStyle/>
        <a:p>
          <a:endParaRPr lang="en-US"/>
        </a:p>
      </dgm:t>
    </dgm:pt>
    <dgm:pt modelId="{F4F06CFA-D655-49EE-BAA8-C37E08B5C991}" type="pres">
      <dgm:prSet presAssocID="{5FB66DB9-6D45-497E-BAB4-50A9929E3D99}" presName="descendantArrow" presStyleCnt="0"/>
      <dgm:spPr/>
      <dgm:t>
        <a:bodyPr/>
        <a:lstStyle/>
        <a:p>
          <a:endParaRPr lang="en-US"/>
        </a:p>
      </dgm:t>
    </dgm:pt>
    <dgm:pt modelId="{491EC662-B25B-442F-9CEB-7E440D2CBAE9}" type="pres">
      <dgm:prSet presAssocID="{00D340E7-F076-4014-9592-AC61BFA82278}" presName="childTextArrow" presStyleLbl="fgAccFollowNode1" presStyleIdx="3" presStyleCnt="6">
        <dgm:presLayoutVars>
          <dgm:bulletEnabled val="1"/>
        </dgm:presLayoutVars>
      </dgm:prSet>
      <dgm:spPr/>
      <dgm:t>
        <a:bodyPr/>
        <a:lstStyle/>
        <a:p>
          <a:endParaRPr lang="en-US"/>
        </a:p>
      </dgm:t>
    </dgm:pt>
    <dgm:pt modelId="{81FBDE26-8334-4205-8F8D-02081FF8043F}" type="pres">
      <dgm:prSet presAssocID="{58C9B131-2711-48AA-B094-E55FAB549FEA}" presName="sp" presStyleCnt="0"/>
      <dgm:spPr/>
      <dgm:t>
        <a:bodyPr/>
        <a:lstStyle/>
        <a:p>
          <a:endParaRPr lang="en-US"/>
        </a:p>
      </dgm:t>
    </dgm:pt>
    <dgm:pt modelId="{EB156E34-564F-4214-A839-B452861721F7}" type="pres">
      <dgm:prSet presAssocID="{0F3509B1-00F3-46B4-B348-AE97947F89F4}" presName="arrowAndChildren" presStyleCnt="0"/>
      <dgm:spPr/>
      <dgm:t>
        <a:bodyPr/>
        <a:lstStyle/>
        <a:p>
          <a:endParaRPr lang="en-US"/>
        </a:p>
      </dgm:t>
    </dgm:pt>
    <dgm:pt modelId="{892AD2EB-80D1-4E62-8A88-70F9408FAFB1}" type="pres">
      <dgm:prSet presAssocID="{0F3509B1-00F3-46B4-B348-AE97947F89F4}" presName="parentTextArrow" presStyleLbl="node1" presStyleIdx="3" presStyleCnt="6"/>
      <dgm:spPr/>
      <dgm:t>
        <a:bodyPr/>
        <a:lstStyle/>
        <a:p>
          <a:endParaRPr lang="en-US"/>
        </a:p>
      </dgm:t>
    </dgm:pt>
    <dgm:pt modelId="{92F5FD54-A2B5-40A9-ADEB-ED993C4BC1ED}" type="pres">
      <dgm:prSet presAssocID="{0F3509B1-00F3-46B4-B348-AE97947F89F4}" presName="arrow" presStyleLbl="node1" presStyleIdx="4" presStyleCnt="6"/>
      <dgm:spPr/>
      <dgm:t>
        <a:bodyPr/>
        <a:lstStyle/>
        <a:p>
          <a:endParaRPr lang="en-US"/>
        </a:p>
      </dgm:t>
    </dgm:pt>
    <dgm:pt modelId="{4972A979-BFA4-40D0-B3B6-60732A903B4F}" type="pres">
      <dgm:prSet presAssocID="{0F3509B1-00F3-46B4-B348-AE97947F89F4}" presName="descendantArrow" presStyleCnt="0"/>
      <dgm:spPr/>
      <dgm:t>
        <a:bodyPr/>
        <a:lstStyle/>
        <a:p>
          <a:endParaRPr lang="en-US"/>
        </a:p>
      </dgm:t>
    </dgm:pt>
    <dgm:pt modelId="{709D6D5D-1611-4E80-BE00-4A7C0A32F275}" type="pres">
      <dgm:prSet presAssocID="{81AA5816-3673-4287-A20F-9F4245AE9E3E}" presName="childTextArrow" presStyleLbl="fgAccFollowNode1" presStyleIdx="4" presStyleCnt="6">
        <dgm:presLayoutVars>
          <dgm:bulletEnabled val="1"/>
        </dgm:presLayoutVars>
      </dgm:prSet>
      <dgm:spPr/>
      <dgm:t>
        <a:bodyPr/>
        <a:lstStyle/>
        <a:p>
          <a:endParaRPr lang="en-US"/>
        </a:p>
      </dgm:t>
    </dgm:pt>
    <dgm:pt modelId="{FC377ABD-44F9-46D1-B7B9-2128AE731FED}" type="pres">
      <dgm:prSet presAssocID="{9DB87DB3-95CF-4E9E-8CAC-5888A2118D34}" presName="sp" presStyleCnt="0"/>
      <dgm:spPr/>
      <dgm:t>
        <a:bodyPr/>
        <a:lstStyle/>
        <a:p>
          <a:endParaRPr lang="en-US"/>
        </a:p>
      </dgm:t>
    </dgm:pt>
    <dgm:pt modelId="{8D442DFB-E758-4213-871B-94FBA0F55931}" type="pres">
      <dgm:prSet presAssocID="{41894F06-182B-4E0D-BBF2-7146D0A55DA4}" presName="arrowAndChildren" presStyleCnt="0"/>
      <dgm:spPr/>
      <dgm:t>
        <a:bodyPr/>
        <a:lstStyle/>
        <a:p>
          <a:endParaRPr lang="en-US"/>
        </a:p>
      </dgm:t>
    </dgm:pt>
    <dgm:pt modelId="{B2C68B1E-7BCA-4C92-9D73-DF370A6CA34D}" type="pres">
      <dgm:prSet presAssocID="{41894F06-182B-4E0D-BBF2-7146D0A55DA4}" presName="parentTextArrow" presStyleLbl="node1" presStyleIdx="4" presStyleCnt="6"/>
      <dgm:spPr/>
      <dgm:t>
        <a:bodyPr/>
        <a:lstStyle/>
        <a:p>
          <a:endParaRPr lang="en-US"/>
        </a:p>
      </dgm:t>
    </dgm:pt>
    <dgm:pt modelId="{78D1B8D6-457B-4935-A761-5D401D44C1AD}" type="pres">
      <dgm:prSet presAssocID="{41894F06-182B-4E0D-BBF2-7146D0A55DA4}" presName="arrow" presStyleLbl="node1" presStyleIdx="5" presStyleCnt="6"/>
      <dgm:spPr/>
      <dgm:t>
        <a:bodyPr/>
        <a:lstStyle/>
        <a:p>
          <a:endParaRPr lang="en-US"/>
        </a:p>
      </dgm:t>
    </dgm:pt>
    <dgm:pt modelId="{FCFC043F-3180-4632-99E8-1F200F60FE2F}" type="pres">
      <dgm:prSet presAssocID="{41894F06-182B-4E0D-BBF2-7146D0A55DA4}" presName="descendantArrow" presStyleCnt="0"/>
      <dgm:spPr/>
      <dgm:t>
        <a:bodyPr/>
        <a:lstStyle/>
        <a:p>
          <a:endParaRPr lang="en-US"/>
        </a:p>
      </dgm:t>
    </dgm:pt>
    <dgm:pt modelId="{9340ECEF-9208-4310-BC4E-26B2625E13E6}" type="pres">
      <dgm:prSet presAssocID="{67DAE79C-8978-4AF5-A001-C4B52959FBA6}" presName="childTextArrow" presStyleLbl="fgAccFollowNode1" presStyleIdx="5" presStyleCnt="6" custScaleX="388187">
        <dgm:presLayoutVars>
          <dgm:bulletEnabled val="1"/>
        </dgm:presLayoutVars>
      </dgm:prSet>
      <dgm:spPr/>
      <dgm:t>
        <a:bodyPr/>
        <a:lstStyle/>
        <a:p>
          <a:endParaRPr lang="en-US"/>
        </a:p>
      </dgm:t>
    </dgm:pt>
  </dgm:ptLst>
  <dgm:cxnLst>
    <dgm:cxn modelId="{357934D6-EF6B-4236-A076-8F951FBB1D12}" srcId="{6A8DA70E-B701-4F31-AAB7-6A58624D7C0D}" destId="{8CBC6AE8-A9F1-4829-AC59-7BA6B958399C}" srcOrd="4" destOrd="0" parTransId="{B05DBD0D-70D2-489A-948D-09A473DD89E3}" sibTransId="{4811A5D8-6555-4983-A4A3-F91D0592991F}"/>
    <dgm:cxn modelId="{811DE13C-A980-456C-971C-855E2899FA05}" type="presOf" srcId="{81AA5816-3673-4287-A20F-9F4245AE9E3E}" destId="{709D6D5D-1611-4E80-BE00-4A7C0A32F275}" srcOrd="0" destOrd="0" presId="urn:microsoft.com/office/officeart/2005/8/layout/process4"/>
    <dgm:cxn modelId="{14A08C12-69F5-4CF1-B6D1-DB4E03720CC5}" type="presOf" srcId="{0F3509B1-00F3-46B4-B348-AE97947F89F4}" destId="{92F5FD54-A2B5-40A9-ADEB-ED993C4BC1ED}" srcOrd="1" destOrd="0" presId="urn:microsoft.com/office/officeart/2005/8/layout/process4"/>
    <dgm:cxn modelId="{49565B3D-AC8B-4355-91E1-7A24B17C9123}" srcId="{DC89836A-61DC-49B8-A276-D8206896CD14}" destId="{B88F9F42-E8F0-4D52-820F-2E3B2C5371F1}" srcOrd="0" destOrd="0" parTransId="{A7A26E4A-79EE-4720-B7B1-FC2B6649ED8D}" sibTransId="{CA2C4E84-CB90-42BB-B458-E6EC6DB82872}"/>
    <dgm:cxn modelId="{EDFE1E31-A7F6-4D66-86E4-6CF09DBA59F4}" type="presOf" srcId="{8CBC6AE8-A9F1-4829-AC59-7BA6B958399C}" destId="{1726809E-E241-4193-AD1D-DA6D341F8EE0}" srcOrd="0" destOrd="0" presId="urn:microsoft.com/office/officeart/2005/8/layout/process4"/>
    <dgm:cxn modelId="{E45FA675-AFED-4C3D-843D-317DC36A5C56}" type="presOf" srcId="{41894F06-182B-4E0D-BBF2-7146D0A55DA4}" destId="{78D1B8D6-457B-4935-A761-5D401D44C1AD}" srcOrd="1" destOrd="0" presId="urn:microsoft.com/office/officeart/2005/8/layout/process4"/>
    <dgm:cxn modelId="{E856D740-238B-421E-8C53-F769E34A25EC}" type="presOf" srcId="{B88F9F42-E8F0-4D52-820F-2E3B2C5371F1}" destId="{071FF442-7C0E-4244-A636-2996FBD5EB2F}" srcOrd="0" destOrd="0" presId="urn:microsoft.com/office/officeart/2005/8/layout/process4"/>
    <dgm:cxn modelId="{735B4395-6D68-4CDD-B013-32FA5CE54E4E}" srcId="{6A8DA70E-B701-4F31-AAB7-6A58624D7C0D}" destId="{0F3509B1-00F3-46B4-B348-AE97947F89F4}" srcOrd="1" destOrd="0" parTransId="{88E0582E-B9F0-41A4-B59C-6B473530EC87}" sibTransId="{58C9B131-2711-48AA-B094-E55FAB549FEA}"/>
    <dgm:cxn modelId="{A78CBB0B-6C2D-4196-9CE7-2BA1ED369EB7}" type="presOf" srcId="{5FB66DB9-6D45-497E-BAB4-50A9929E3D99}" destId="{9C6E7294-EC37-490D-877F-739120B088F5}" srcOrd="1" destOrd="0" presId="urn:microsoft.com/office/officeart/2005/8/layout/process4"/>
    <dgm:cxn modelId="{2C97265C-26AB-449E-8E26-602EDA8C46E9}" srcId="{6A8DA70E-B701-4F31-AAB7-6A58624D7C0D}" destId="{41894F06-182B-4E0D-BBF2-7146D0A55DA4}" srcOrd="0" destOrd="0" parTransId="{53E1DFAD-CF4B-43CE-AFDF-EAB889CAD82C}" sibTransId="{9DB87DB3-95CF-4E9E-8CAC-5888A2118D34}"/>
    <dgm:cxn modelId="{0FABC185-B38F-4FB3-B4F7-5795A95E2912}" srcId="{6A8DA70E-B701-4F31-AAB7-6A58624D7C0D}" destId="{5FB66DB9-6D45-497E-BAB4-50A9929E3D99}" srcOrd="2" destOrd="0" parTransId="{A86F085A-0409-4F80-A0D6-A18AD876936F}" sibTransId="{FDD9D6FB-DAFA-4CDF-A977-55907021B60E}"/>
    <dgm:cxn modelId="{CA0B8474-DC3D-446B-8E9B-201792E1850B}" type="presOf" srcId="{41894F06-182B-4E0D-BBF2-7146D0A55DA4}" destId="{B2C68B1E-7BCA-4C92-9D73-DF370A6CA34D}" srcOrd="0" destOrd="0" presId="urn:microsoft.com/office/officeart/2005/8/layout/process4"/>
    <dgm:cxn modelId="{CFDBF25C-023F-422A-A5B8-5F1C314E73EF}" type="presOf" srcId="{6A8DA70E-B701-4F31-AAB7-6A58624D7C0D}" destId="{EAF096D1-45D8-4D80-AE9F-D10E9BA5C730}" srcOrd="0" destOrd="0" presId="urn:microsoft.com/office/officeart/2005/8/layout/process4"/>
    <dgm:cxn modelId="{80AB1030-C4DD-4841-9989-9B383A8238FC}" type="presOf" srcId="{67DAE79C-8978-4AF5-A001-C4B52959FBA6}" destId="{9340ECEF-9208-4310-BC4E-26B2625E13E6}" srcOrd="0" destOrd="0" presId="urn:microsoft.com/office/officeart/2005/8/layout/process4"/>
    <dgm:cxn modelId="{144DC389-D251-4391-B928-605D93E83D1E}" srcId="{8CBC6AE8-A9F1-4829-AC59-7BA6B958399C}" destId="{E743B46A-37D0-4232-8827-8BF9FC0CD773}" srcOrd="0" destOrd="0" parTransId="{A4EFFBDC-3E6C-4EE2-8BD9-3C9807907612}" sibTransId="{3B09662F-8336-47BB-B8D5-AE1BA528A431}"/>
    <dgm:cxn modelId="{4DB42482-1F26-450C-BF94-4E69EDC97B52}" type="presOf" srcId="{E2668752-A0E3-4170-A374-09404B5BE1A1}" destId="{3F8C014E-02F9-4F22-90A0-635A2CAB199C}" srcOrd="0" destOrd="0" presId="urn:microsoft.com/office/officeart/2005/8/layout/process4"/>
    <dgm:cxn modelId="{817954B2-4E8A-4FFC-BEE3-7886F055957A}" type="presOf" srcId="{DC89836A-61DC-49B8-A276-D8206896CD14}" destId="{4D4FF238-DCB7-40ED-A627-C26A0A537BA2}" srcOrd="0" destOrd="0" presId="urn:microsoft.com/office/officeart/2005/8/layout/process4"/>
    <dgm:cxn modelId="{75E07AAE-8F7F-4FF1-8BB1-61806FA1B77E}" type="presOf" srcId="{DC89836A-61DC-49B8-A276-D8206896CD14}" destId="{5ECAA8A3-4330-46BF-A464-4B62D2A37227}" srcOrd="1" destOrd="0" presId="urn:microsoft.com/office/officeart/2005/8/layout/process4"/>
    <dgm:cxn modelId="{8DB3830D-AFAE-4133-9297-24EA1DE9E401}" type="presOf" srcId="{E743B46A-37D0-4232-8827-8BF9FC0CD773}" destId="{70EF524A-1B01-4097-823E-39F11A6952AE}" srcOrd="0" destOrd="0" presId="urn:microsoft.com/office/officeart/2005/8/layout/process4"/>
    <dgm:cxn modelId="{009EA5D9-CD42-406E-BCCD-4A4382389EC4}" type="presOf" srcId="{0F3509B1-00F3-46B4-B348-AE97947F89F4}" destId="{892AD2EB-80D1-4E62-8A88-70F9408FAFB1}" srcOrd="0" destOrd="0" presId="urn:microsoft.com/office/officeart/2005/8/layout/process4"/>
    <dgm:cxn modelId="{2A49719F-0008-4E6B-AD2B-65F828B04525}" srcId="{41894F06-182B-4E0D-BBF2-7146D0A55DA4}" destId="{67DAE79C-8978-4AF5-A001-C4B52959FBA6}" srcOrd="0" destOrd="0" parTransId="{FDC9D8EC-DC6E-4A07-999E-5A86DBE1DBAD}" sibTransId="{83CDDAF1-ECFA-4E95-BC0E-8E623BF87412}"/>
    <dgm:cxn modelId="{0F806EDA-462A-44B8-96A0-F8CAB2908BA3}" type="presOf" srcId="{5134C16B-5DAD-4247-B8E5-BA0E916D16F5}" destId="{93976857-88AD-4AB7-A2AE-BAD9EECCAE2A}" srcOrd="0" destOrd="0" presId="urn:microsoft.com/office/officeart/2005/8/layout/process4"/>
    <dgm:cxn modelId="{221F797D-35E8-41FC-8F98-6E5139DFADDF}" srcId="{6A8DA70E-B701-4F31-AAB7-6A58624D7C0D}" destId="{DC89836A-61DC-49B8-A276-D8206896CD14}" srcOrd="5" destOrd="0" parTransId="{3A7ABF7A-958F-4387-A370-CD5D35743488}" sibTransId="{BE1FECEF-08E1-44AE-99DD-17F3FFBB1A7E}"/>
    <dgm:cxn modelId="{42EEE06A-5E2C-4FEF-8096-38C54BC0AF6E}" srcId="{5FB66DB9-6D45-497E-BAB4-50A9929E3D99}" destId="{00D340E7-F076-4014-9592-AC61BFA82278}" srcOrd="0" destOrd="0" parTransId="{502699AB-B9E8-4DCF-A6E5-7AC8BECDD476}" sibTransId="{B1BD5AC1-D1FF-4AC0-80F6-B4A72102A374}"/>
    <dgm:cxn modelId="{E9CF02A4-E28B-4B8A-865C-55355068C0AD}" srcId="{6A8DA70E-B701-4F31-AAB7-6A58624D7C0D}" destId="{E2668752-A0E3-4170-A374-09404B5BE1A1}" srcOrd="3" destOrd="0" parTransId="{1032D0BE-2BFF-4E24-9CF1-083791A2B3BD}" sibTransId="{442202A7-74F8-467E-8B24-7F63B1F9B0EC}"/>
    <dgm:cxn modelId="{B6B43CCA-9E8A-4BAF-A15F-B923CD11B28B}" srcId="{E2668752-A0E3-4170-A374-09404B5BE1A1}" destId="{5134C16B-5DAD-4247-B8E5-BA0E916D16F5}" srcOrd="0" destOrd="0" parTransId="{60C2B6AE-F12D-499E-86A5-E2CE668326B7}" sibTransId="{3B427C9D-FFD7-4690-963A-BF6AD66F11A0}"/>
    <dgm:cxn modelId="{E4931A94-08B5-42DB-8645-2EB6931FE27B}" type="presOf" srcId="{00D340E7-F076-4014-9592-AC61BFA82278}" destId="{491EC662-B25B-442F-9CEB-7E440D2CBAE9}" srcOrd="0" destOrd="0" presId="urn:microsoft.com/office/officeart/2005/8/layout/process4"/>
    <dgm:cxn modelId="{C9F7FC1A-7183-496F-B47B-FB9D60803C2E}" srcId="{0F3509B1-00F3-46B4-B348-AE97947F89F4}" destId="{81AA5816-3673-4287-A20F-9F4245AE9E3E}" srcOrd="0" destOrd="0" parTransId="{E807DE8A-CBFD-43EF-A9F9-7E98EA9476F1}" sibTransId="{1C18A367-966F-4B2E-B190-1E8512C0443C}"/>
    <dgm:cxn modelId="{193D503B-E549-4A48-9B9A-C4E69CBFF750}" type="presOf" srcId="{E2668752-A0E3-4170-A374-09404B5BE1A1}" destId="{0877FB75-747D-4AAD-B1C4-EAAE058509CE}" srcOrd="1" destOrd="0" presId="urn:microsoft.com/office/officeart/2005/8/layout/process4"/>
    <dgm:cxn modelId="{598D770B-1A69-45A1-8D84-EA6A9226FA11}" type="presOf" srcId="{5FB66DB9-6D45-497E-BAB4-50A9929E3D99}" destId="{434B4DAA-9F32-4822-852A-C2EDE22E5F37}" srcOrd="0" destOrd="0" presId="urn:microsoft.com/office/officeart/2005/8/layout/process4"/>
    <dgm:cxn modelId="{D455767C-822C-44AB-A6A8-B3983CBD15EF}" type="presOf" srcId="{8CBC6AE8-A9F1-4829-AC59-7BA6B958399C}" destId="{9E992D18-E38B-48BD-BD48-329E04F8B5E3}" srcOrd="1" destOrd="0" presId="urn:microsoft.com/office/officeart/2005/8/layout/process4"/>
    <dgm:cxn modelId="{9B75E7B1-3B87-4861-A471-950DC61C496A}" type="presParOf" srcId="{EAF096D1-45D8-4D80-AE9F-D10E9BA5C730}" destId="{124BD43F-9A6D-4137-ACD4-55F865B693D4}" srcOrd="0" destOrd="0" presId="urn:microsoft.com/office/officeart/2005/8/layout/process4"/>
    <dgm:cxn modelId="{1C27475E-26A9-4031-9B12-33E63DF0A757}" type="presParOf" srcId="{124BD43F-9A6D-4137-ACD4-55F865B693D4}" destId="{4D4FF238-DCB7-40ED-A627-C26A0A537BA2}" srcOrd="0" destOrd="0" presId="urn:microsoft.com/office/officeart/2005/8/layout/process4"/>
    <dgm:cxn modelId="{AD1BEF77-72D0-48F2-BE31-1F8B430AFB8E}" type="presParOf" srcId="{124BD43F-9A6D-4137-ACD4-55F865B693D4}" destId="{5ECAA8A3-4330-46BF-A464-4B62D2A37227}" srcOrd="1" destOrd="0" presId="urn:microsoft.com/office/officeart/2005/8/layout/process4"/>
    <dgm:cxn modelId="{4509411B-9EA2-4E3D-871B-8ED1D37ADF36}" type="presParOf" srcId="{124BD43F-9A6D-4137-ACD4-55F865B693D4}" destId="{96AD4734-B372-4424-941C-CF63530351E4}" srcOrd="2" destOrd="0" presId="urn:microsoft.com/office/officeart/2005/8/layout/process4"/>
    <dgm:cxn modelId="{13405436-4810-4140-BF76-F20DFB332BFB}" type="presParOf" srcId="{96AD4734-B372-4424-941C-CF63530351E4}" destId="{071FF442-7C0E-4244-A636-2996FBD5EB2F}" srcOrd="0" destOrd="0" presId="urn:microsoft.com/office/officeart/2005/8/layout/process4"/>
    <dgm:cxn modelId="{17EE6293-3B62-443D-B76B-DF11711366D6}" type="presParOf" srcId="{EAF096D1-45D8-4D80-AE9F-D10E9BA5C730}" destId="{F656C51C-43E5-4B54-B148-5F577424E442}" srcOrd="1" destOrd="0" presId="urn:microsoft.com/office/officeart/2005/8/layout/process4"/>
    <dgm:cxn modelId="{C4787BD2-D23B-472B-B439-6EEC9B0FC434}" type="presParOf" srcId="{EAF096D1-45D8-4D80-AE9F-D10E9BA5C730}" destId="{EAA25353-4BE3-43E7-8450-77B2CF98ED45}" srcOrd="2" destOrd="0" presId="urn:microsoft.com/office/officeart/2005/8/layout/process4"/>
    <dgm:cxn modelId="{EE90106A-E0B2-44A3-B282-6B92C376EC77}" type="presParOf" srcId="{EAA25353-4BE3-43E7-8450-77B2CF98ED45}" destId="{1726809E-E241-4193-AD1D-DA6D341F8EE0}" srcOrd="0" destOrd="0" presId="urn:microsoft.com/office/officeart/2005/8/layout/process4"/>
    <dgm:cxn modelId="{0DD9BE32-E7FB-434E-8B36-67258D89FF0B}" type="presParOf" srcId="{EAA25353-4BE3-43E7-8450-77B2CF98ED45}" destId="{9E992D18-E38B-48BD-BD48-329E04F8B5E3}" srcOrd="1" destOrd="0" presId="urn:microsoft.com/office/officeart/2005/8/layout/process4"/>
    <dgm:cxn modelId="{264B383B-61EC-4C2E-A1BF-A5CA61297339}" type="presParOf" srcId="{EAA25353-4BE3-43E7-8450-77B2CF98ED45}" destId="{AE7D3740-997D-410B-B567-90D49ACE8EA5}" srcOrd="2" destOrd="0" presId="urn:microsoft.com/office/officeart/2005/8/layout/process4"/>
    <dgm:cxn modelId="{FD889155-6425-4A0A-B346-8A15DAD79BA5}" type="presParOf" srcId="{AE7D3740-997D-410B-B567-90D49ACE8EA5}" destId="{70EF524A-1B01-4097-823E-39F11A6952AE}" srcOrd="0" destOrd="0" presId="urn:microsoft.com/office/officeart/2005/8/layout/process4"/>
    <dgm:cxn modelId="{3257A97F-6E4D-4036-932F-968DE17DBDBF}" type="presParOf" srcId="{EAF096D1-45D8-4D80-AE9F-D10E9BA5C730}" destId="{D71B9536-233B-4ABF-BCFB-F8CA4E9DF83D}" srcOrd="3" destOrd="0" presId="urn:microsoft.com/office/officeart/2005/8/layout/process4"/>
    <dgm:cxn modelId="{E946B24B-9F19-4EEA-AC1B-5B88B76C0505}" type="presParOf" srcId="{EAF096D1-45D8-4D80-AE9F-D10E9BA5C730}" destId="{A26D40EC-3C2A-4A55-8B98-9EDE80C01BAF}" srcOrd="4" destOrd="0" presId="urn:microsoft.com/office/officeart/2005/8/layout/process4"/>
    <dgm:cxn modelId="{6304F54B-24FC-4F6A-AFB1-37EC74C48A17}" type="presParOf" srcId="{A26D40EC-3C2A-4A55-8B98-9EDE80C01BAF}" destId="{3F8C014E-02F9-4F22-90A0-635A2CAB199C}" srcOrd="0" destOrd="0" presId="urn:microsoft.com/office/officeart/2005/8/layout/process4"/>
    <dgm:cxn modelId="{868DB575-0F63-46E6-8F1F-3E290CE4FBB3}" type="presParOf" srcId="{A26D40EC-3C2A-4A55-8B98-9EDE80C01BAF}" destId="{0877FB75-747D-4AAD-B1C4-EAAE058509CE}" srcOrd="1" destOrd="0" presId="urn:microsoft.com/office/officeart/2005/8/layout/process4"/>
    <dgm:cxn modelId="{CB5F9BDF-5EC4-4931-942D-28ACF87ACC43}" type="presParOf" srcId="{A26D40EC-3C2A-4A55-8B98-9EDE80C01BAF}" destId="{EFD25DBF-E219-481A-998E-1C08E11D6BC4}" srcOrd="2" destOrd="0" presId="urn:microsoft.com/office/officeart/2005/8/layout/process4"/>
    <dgm:cxn modelId="{3143A8C2-D844-46CC-A65A-99FA292050CB}" type="presParOf" srcId="{EFD25DBF-E219-481A-998E-1C08E11D6BC4}" destId="{93976857-88AD-4AB7-A2AE-BAD9EECCAE2A}" srcOrd="0" destOrd="0" presId="urn:microsoft.com/office/officeart/2005/8/layout/process4"/>
    <dgm:cxn modelId="{BFD5FC35-A639-4DC5-BCB5-17038BBF9BB0}" type="presParOf" srcId="{EAF096D1-45D8-4D80-AE9F-D10E9BA5C730}" destId="{EB81F817-490F-4D5A-B287-5FF4E654EF09}" srcOrd="5" destOrd="0" presId="urn:microsoft.com/office/officeart/2005/8/layout/process4"/>
    <dgm:cxn modelId="{BA86FC1A-A80A-4A06-BBDC-A297A7B63146}" type="presParOf" srcId="{EAF096D1-45D8-4D80-AE9F-D10E9BA5C730}" destId="{869A0FB0-A855-4BE9-A8AC-348B46638091}" srcOrd="6" destOrd="0" presId="urn:microsoft.com/office/officeart/2005/8/layout/process4"/>
    <dgm:cxn modelId="{03AF81B4-3A1B-4609-8BF2-7D119AF26256}" type="presParOf" srcId="{869A0FB0-A855-4BE9-A8AC-348B46638091}" destId="{434B4DAA-9F32-4822-852A-C2EDE22E5F37}" srcOrd="0" destOrd="0" presId="urn:microsoft.com/office/officeart/2005/8/layout/process4"/>
    <dgm:cxn modelId="{349184C7-59DF-4522-B341-EF1D980B137E}" type="presParOf" srcId="{869A0FB0-A855-4BE9-A8AC-348B46638091}" destId="{9C6E7294-EC37-490D-877F-739120B088F5}" srcOrd="1" destOrd="0" presId="urn:microsoft.com/office/officeart/2005/8/layout/process4"/>
    <dgm:cxn modelId="{118B18E2-89A4-4A0B-A4F6-2D25C119DFA2}" type="presParOf" srcId="{869A0FB0-A855-4BE9-A8AC-348B46638091}" destId="{F4F06CFA-D655-49EE-BAA8-C37E08B5C991}" srcOrd="2" destOrd="0" presId="urn:microsoft.com/office/officeart/2005/8/layout/process4"/>
    <dgm:cxn modelId="{71229EE4-FE78-48D5-A0FE-E640833352FA}" type="presParOf" srcId="{F4F06CFA-D655-49EE-BAA8-C37E08B5C991}" destId="{491EC662-B25B-442F-9CEB-7E440D2CBAE9}" srcOrd="0" destOrd="0" presId="urn:microsoft.com/office/officeart/2005/8/layout/process4"/>
    <dgm:cxn modelId="{89E32927-D8CF-4D7E-94C3-50C9CCB0D49A}" type="presParOf" srcId="{EAF096D1-45D8-4D80-AE9F-D10E9BA5C730}" destId="{81FBDE26-8334-4205-8F8D-02081FF8043F}" srcOrd="7" destOrd="0" presId="urn:microsoft.com/office/officeart/2005/8/layout/process4"/>
    <dgm:cxn modelId="{D6300FB8-E8DD-4E52-BB52-820F12EE947F}" type="presParOf" srcId="{EAF096D1-45D8-4D80-AE9F-D10E9BA5C730}" destId="{EB156E34-564F-4214-A839-B452861721F7}" srcOrd="8" destOrd="0" presId="urn:microsoft.com/office/officeart/2005/8/layout/process4"/>
    <dgm:cxn modelId="{756E278E-BBA5-41A8-9F11-442237A8CA2E}" type="presParOf" srcId="{EB156E34-564F-4214-A839-B452861721F7}" destId="{892AD2EB-80D1-4E62-8A88-70F9408FAFB1}" srcOrd="0" destOrd="0" presId="urn:microsoft.com/office/officeart/2005/8/layout/process4"/>
    <dgm:cxn modelId="{0E3C482F-E370-45A2-96DD-89A097A475A7}" type="presParOf" srcId="{EB156E34-564F-4214-A839-B452861721F7}" destId="{92F5FD54-A2B5-40A9-ADEB-ED993C4BC1ED}" srcOrd="1" destOrd="0" presId="urn:microsoft.com/office/officeart/2005/8/layout/process4"/>
    <dgm:cxn modelId="{B3FC48A2-D58E-4DA2-BFAE-A0C98F27DF40}" type="presParOf" srcId="{EB156E34-564F-4214-A839-B452861721F7}" destId="{4972A979-BFA4-40D0-B3B6-60732A903B4F}" srcOrd="2" destOrd="0" presId="urn:microsoft.com/office/officeart/2005/8/layout/process4"/>
    <dgm:cxn modelId="{32885332-E367-4A49-9FEC-DE7257FA3EF4}" type="presParOf" srcId="{4972A979-BFA4-40D0-B3B6-60732A903B4F}" destId="{709D6D5D-1611-4E80-BE00-4A7C0A32F275}" srcOrd="0" destOrd="0" presId="urn:microsoft.com/office/officeart/2005/8/layout/process4"/>
    <dgm:cxn modelId="{744C37F6-5585-424D-BBEF-BA96EABB2C46}" type="presParOf" srcId="{EAF096D1-45D8-4D80-AE9F-D10E9BA5C730}" destId="{FC377ABD-44F9-46D1-B7B9-2128AE731FED}" srcOrd="9" destOrd="0" presId="urn:microsoft.com/office/officeart/2005/8/layout/process4"/>
    <dgm:cxn modelId="{ECD038A9-4F06-484A-A165-012B1952758B}" type="presParOf" srcId="{EAF096D1-45D8-4D80-AE9F-D10E9BA5C730}" destId="{8D442DFB-E758-4213-871B-94FBA0F55931}" srcOrd="10" destOrd="0" presId="urn:microsoft.com/office/officeart/2005/8/layout/process4"/>
    <dgm:cxn modelId="{345E400E-C842-47BC-9BA9-BC0C33E27DA1}" type="presParOf" srcId="{8D442DFB-E758-4213-871B-94FBA0F55931}" destId="{B2C68B1E-7BCA-4C92-9D73-DF370A6CA34D}" srcOrd="0" destOrd="0" presId="urn:microsoft.com/office/officeart/2005/8/layout/process4"/>
    <dgm:cxn modelId="{7FFDED37-8527-4DFD-AB3A-48EF209B20E7}" type="presParOf" srcId="{8D442DFB-E758-4213-871B-94FBA0F55931}" destId="{78D1B8D6-457B-4935-A761-5D401D44C1AD}" srcOrd="1" destOrd="0" presId="urn:microsoft.com/office/officeart/2005/8/layout/process4"/>
    <dgm:cxn modelId="{1D4E1C35-DF89-4EC7-A92A-BA82C9311CE8}" type="presParOf" srcId="{8D442DFB-E758-4213-871B-94FBA0F55931}" destId="{FCFC043F-3180-4632-99E8-1F200F60FE2F}" srcOrd="2" destOrd="0" presId="urn:microsoft.com/office/officeart/2005/8/layout/process4"/>
    <dgm:cxn modelId="{61CAB33D-1BD5-4A31-B0F4-B27B5EE175CF}" type="presParOf" srcId="{FCFC043F-3180-4632-99E8-1F200F60FE2F}" destId="{9340ECEF-9208-4310-BC4E-26B2625E13E6}" srcOrd="0" destOrd="0" presId="urn:microsoft.com/office/officeart/2005/8/layout/process4"/>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ECAA8A3-4330-46BF-A464-4B62D2A37227}">
      <dsp:nvSpPr>
        <dsp:cNvPr id="0" name=""/>
        <dsp:cNvSpPr/>
      </dsp:nvSpPr>
      <dsp:spPr>
        <a:xfrm>
          <a:off x="0" y="6743248"/>
          <a:ext cx="5857875" cy="87622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en-US" sz="1600" kern="1200">
              <a:latin typeface="Times New Roman" pitchFamily="18" charset="0"/>
              <a:cs typeface="Times New Roman" pitchFamily="18" charset="0"/>
            </a:rPr>
            <a:t>WAC 480-109 Compliance Filing</a:t>
          </a:r>
          <a:endParaRPr lang="en-US" sz="1000" kern="1200">
            <a:latin typeface="Times New Roman" pitchFamily="18" charset="0"/>
            <a:cs typeface="Times New Roman" pitchFamily="18" charset="0"/>
          </a:endParaRPr>
        </a:p>
      </dsp:txBody>
      <dsp:txXfrm>
        <a:off x="0" y="6743248"/>
        <a:ext cx="5857875" cy="473161"/>
      </dsp:txXfrm>
    </dsp:sp>
    <dsp:sp modelId="{071FF442-7C0E-4244-A636-2996FBD5EB2F}">
      <dsp:nvSpPr>
        <dsp:cNvPr id="0" name=""/>
        <dsp:cNvSpPr/>
      </dsp:nvSpPr>
      <dsp:spPr>
        <a:xfrm>
          <a:off x="0" y="7198886"/>
          <a:ext cx="5857875" cy="403063"/>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lvl="0" algn="ctr" defTabSz="400050">
            <a:lnSpc>
              <a:spcPct val="90000"/>
            </a:lnSpc>
            <a:spcBef>
              <a:spcPct val="0"/>
            </a:spcBef>
            <a:spcAft>
              <a:spcPct val="35000"/>
            </a:spcAft>
          </a:pPr>
          <a:r>
            <a:rPr lang="en-US" sz="900" kern="1200">
              <a:latin typeface="Times New Roman" pitchFamily="18" charset="0"/>
              <a:cs typeface="Times New Roman" pitchFamily="18" charset="0"/>
            </a:rPr>
            <a:t>The result of this process is PacifiCorp's ten-year conservation potential for 2016-2025 and 2016-2017 biennial target which are documented in this report.  </a:t>
          </a:r>
        </a:p>
      </dsp:txBody>
      <dsp:txXfrm>
        <a:off x="0" y="7198886"/>
        <a:ext cx="5857875" cy="403063"/>
      </dsp:txXfrm>
    </dsp:sp>
    <dsp:sp modelId="{9E992D18-E38B-48BD-BD48-329E04F8B5E3}">
      <dsp:nvSpPr>
        <dsp:cNvPr id="0" name=""/>
        <dsp:cNvSpPr/>
      </dsp:nvSpPr>
      <dsp:spPr>
        <a:xfrm rot="10800000">
          <a:off x="0" y="5408757"/>
          <a:ext cx="5857875" cy="1347634"/>
        </a:xfrm>
        <a:prstGeom prst="upArrowCallo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en-US" sz="1600" kern="1200">
              <a:latin typeface="Times New Roman" pitchFamily="18" charset="0"/>
              <a:cs typeface="Times New Roman" pitchFamily="18" charset="0"/>
            </a:rPr>
            <a:t>Public Input</a:t>
          </a:r>
        </a:p>
      </dsp:txBody>
      <dsp:txXfrm rot="-10800000">
        <a:off x="0" y="5408757"/>
        <a:ext cx="5857875" cy="473019"/>
      </dsp:txXfrm>
    </dsp:sp>
    <dsp:sp modelId="{70EF524A-1B01-4097-823E-39F11A6952AE}">
      <dsp:nvSpPr>
        <dsp:cNvPr id="0" name=""/>
        <dsp:cNvSpPr/>
      </dsp:nvSpPr>
      <dsp:spPr>
        <a:xfrm>
          <a:off x="0" y="5881777"/>
          <a:ext cx="5857875" cy="402942"/>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solidFill>
              <a:latin typeface="Times New Roman" pitchFamily="18" charset="0"/>
              <a:cs typeface="Times New Roman" pitchFamily="18" charset="0"/>
            </a:rPr>
            <a:t>The process involved public input meetings with the Company's DSM Advisory Group and IRP stakeholders</a:t>
          </a:r>
          <a:r>
            <a:rPr lang="en-US" sz="900" kern="1200">
              <a:solidFill>
                <a:srgbClr val="FF0000"/>
              </a:solidFill>
              <a:latin typeface="Times New Roman" pitchFamily="18" charset="0"/>
              <a:cs typeface="Times New Roman" pitchFamily="18" charset="0"/>
            </a:rPr>
            <a:t>.</a:t>
          </a:r>
        </a:p>
      </dsp:txBody>
      <dsp:txXfrm>
        <a:off x="0" y="5881777"/>
        <a:ext cx="5857875" cy="402942"/>
      </dsp:txXfrm>
    </dsp:sp>
    <dsp:sp modelId="{0877FB75-747D-4AAD-B1C4-EAAE058509CE}">
      <dsp:nvSpPr>
        <dsp:cNvPr id="0" name=""/>
        <dsp:cNvSpPr/>
      </dsp:nvSpPr>
      <dsp:spPr>
        <a:xfrm rot="10800000">
          <a:off x="0" y="4074265"/>
          <a:ext cx="5857875" cy="1347634"/>
        </a:xfrm>
        <a:prstGeom prst="upArrowCallo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en-US" sz="1600" kern="1200">
              <a:solidFill>
                <a:schemeClr val="bg1"/>
              </a:solidFill>
              <a:latin typeface="Times New Roman" panose="02020603050405020304" pitchFamily="18" charset="0"/>
              <a:cs typeface="Times New Roman" panose="02020603050405020304" pitchFamily="18" charset="0"/>
            </a:rPr>
            <a:t>Consultant Studies</a:t>
          </a:r>
        </a:p>
      </dsp:txBody>
      <dsp:txXfrm rot="-10800000">
        <a:off x="0" y="4074265"/>
        <a:ext cx="5857875" cy="473019"/>
      </dsp:txXfrm>
    </dsp:sp>
    <dsp:sp modelId="{93976857-88AD-4AB7-A2AE-BAD9EECCAE2A}">
      <dsp:nvSpPr>
        <dsp:cNvPr id="0" name=""/>
        <dsp:cNvSpPr/>
      </dsp:nvSpPr>
      <dsp:spPr>
        <a:xfrm>
          <a:off x="0" y="4547285"/>
          <a:ext cx="5857875" cy="402942"/>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solidFill>
              <a:latin typeface="Times New Roman" pitchFamily="18" charset="0"/>
              <a:cs typeface="Times New Roman" pitchFamily="18" charset="0"/>
            </a:rPr>
            <a:t>To assist in the development of potential assessments and conservation forecasts for distribution and production efficeincy, and high efficiency cogeneration, the Company enlisted the services of Commonwealth Associaties, Inc., Cascade Energy, Inc. and Navigant Consulating, Inc. who developed study data used to inform the conservation forecast process</a:t>
          </a:r>
        </a:p>
      </dsp:txBody>
      <dsp:txXfrm>
        <a:off x="0" y="4547285"/>
        <a:ext cx="5857875" cy="402942"/>
      </dsp:txXfrm>
    </dsp:sp>
    <dsp:sp modelId="{9C6E7294-EC37-490D-877F-739120B088F5}">
      <dsp:nvSpPr>
        <dsp:cNvPr id="0" name=""/>
        <dsp:cNvSpPr/>
      </dsp:nvSpPr>
      <dsp:spPr>
        <a:xfrm rot="10800000">
          <a:off x="0" y="2669508"/>
          <a:ext cx="5857875" cy="1417900"/>
        </a:xfrm>
        <a:prstGeom prst="upArrowCallo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en-US" sz="1600" kern="1200">
              <a:latin typeface="Times New Roman" pitchFamily="18" charset="0"/>
              <a:cs typeface="Times New Roman" pitchFamily="18" charset="0"/>
            </a:rPr>
            <a:t>Draft 10-year conservation potential and biennial conservation target</a:t>
          </a:r>
        </a:p>
      </dsp:txBody>
      <dsp:txXfrm rot="-10800000">
        <a:off x="0" y="2669508"/>
        <a:ext cx="5857875" cy="497683"/>
      </dsp:txXfrm>
    </dsp:sp>
    <dsp:sp modelId="{491EC662-B25B-442F-9CEB-7E440D2CBAE9}">
      <dsp:nvSpPr>
        <dsp:cNvPr id="0" name=""/>
        <dsp:cNvSpPr/>
      </dsp:nvSpPr>
      <dsp:spPr>
        <a:xfrm>
          <a:off x="0" y="3177661"/>
          <a:ext cx="5857875" cy="402942"/>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lvl="0" algn="ctr" defTabSz="400050">
            <a:lnSpc>
              <a:spcPct val="90000"/>
            </a:lnSpc>
            <a:spcBef>
              <a:spcPct val="0"/>
            </a:spcBef>
            <a:spcAft>
              <a:spcPct val="35000"/>
            </a:spcAft>
          </a:pPr>
          <a:r>
            <a:rPr lang="en-US" sz="900" kern="1200">
              <a:latin typeface="Times New Roman" pitchFamily="18" charset="0"/>
              <a:cs typeface="Times New Roman" pitchFamily="18" charset="0"/>
            </a:rPr>
            <a:t>In the development of the ten-year conservation potential, the Company verified consistency of methodologies and planning assumptions between those used in the development of the Company's CPA and those of the Northwest Power and Conservation Council's 7th Power Plan and the Regional Technical Forum.</a:t>
          </a:r>
        </a:p>
      </dsp:txBody>
      <dsp:txXfrm>
        <a:off x="0" y="3177661"/>
        <a:ext cx="5857875" cy="402942"/>
      </dsp:txXfrm>
    </dsp:sp>
    <dsp:sp modelId="{92F5FD54-A2B5-40A9-ADEB-ED993C4BC1ED}">
      <dsp:nvSpPr>
        <dsp:cNvPr id="0" name=""/>
        <dsp:cNvSpPr/>
      </dsp:nvSpPr>
      <dsp:spPr>
        <a:xfrm rot="10800000">
          <a:off x="0" y="1335017"/>
          <a:ext cx="5857875" cy="1347634"/>
        </a:xfrm>
        <a:prstGeom prst="upArrowCallo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en-US" sz="1600" kern="1200">
              <a:latin typeface="Times New Roman" pitchFamily="18" charset="0"/>
              <a:cs typeface="Times New Roman" pitchFamily="18" charset="0"/>
            </a:rPr>
            <a:t>2015 Integrated Resource Plan (IRP) - completed March 2015</a:t>
          </a:r>
        </a:p>
      </dsp:txBody>
      <dsp:txXfrm rot="-10800000">
        <a:off x="0" y="1335017"/>
        <a:ext cx="5857875" cy="473019"/>
      </dsp:txXfrm>
    </dsp:sp>
    <dsp:sp modelId="{709D6D5D-1611-4E80-BE00-4A7C0A32F275}">
      <dsp:nvSpPr>
        <dsp:cNvPr id="0" name=""/>
        <dsp:cNvSpPr/>
      </dsp:nvSpPr>
      <dsp:spPr>
        <a:xfrm>
          <a:off x="0" y="1808036"/>
          <a:ext cx="5857875" cy="402942"/>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lvl="0" algn="ctr" defTabSz="400050">
            <a:lnSpc>
              <a:spcPct val="90000"/>
            </a:lnSpc>
            <a:spcBef>
              <a:spcPct val="0"/>
            </a:spcBef>
            <a:spcAft>
              <a:spcPct val="35000"/>
            </a:spcAft>
          </a:pPr>
          <a:r>
            <a:rPr lang="en-US" sz="900" kern="1200">
              <a:latin typeface="Times New Roman" pitchFamily="18" charset="0"/>
              <a:cs typeface="Times New Roman" pitchFamily="18" charset="0"/>
            </a:rPr>
            <a:t>Technically achievable  energy efficiency resources identified were converted to quantity and cost supply curves  and provided to the 2015 IRP as a preferred resource option. The economic  screening/resource selection process occured within the IRP resource optimization process. </a:t>
          </a:r>
        </a:p>
      </dsp:txBody>
      <dsp:txXfrm>
        <a:off x="0" y="1808036"/>
        <a:ext cx="5857875" cy="402942"/>
      </dsp:txXfrm>
    </dsp:sp>
    <dsp:sp modelId="{78D1B8D6-457B-4935-A761-5D401D44C1AD}">
      <dsp:nvSpPr>
        <dsp:cNvPr id="0" name=""/>
        <dsp:cNvSpPr/>
      </dsp:nvSpPr>
      <dsp:spPr>
        <a:xfrm rot="10800000">
          <a:off x="0" y="525"/>
          <a:ext cx="5857875" cy="1347634"/>
        </a:xfrm>
        <a:prstGeom prst="upArrowCallo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09728" rIns="113792" bIns="109728" numCol="1" spcCol="1270" anchor="ctr" anchorCtr="0">
          <a:noAutofit/>
        </a:bodyPr>
        <a:lstStyle/>
        <a:p>
          <a:pPr lvl="0" algn="ctr" defTabSz="711200">
            <a:lnSpc>
              <a:spcPct val="90000"/>
            </a:lnSpc>
            <a:spcBef>
              <a:spcPct val="0"/>
            </a:spcBef>
            <a:spcAft>
              <a:spcPct val="35000"/>
            </a:spcAft>
          </a:pPr>
          <a:r>
            <a:rPr lang="en-US" sz="1600" kern="1200">
              <a:latin typeface="Times New Roman" pitchFamily="18" charset="0"/>
              <a:cs typeface="Times New Roman" pitchFamily="18" charset="0"/>
            </a:rPr>
            <a:t>Conservation Potential Assessment (CPA) - published January 2015</a:t>
          </a:r>
        </a:p>
      </dsp:txBody>
      <dsp:txXfrm rot="-10800000">
        <a:off x="0" y="525"/>
        <a:ext cx="5857875" cy="473019"/>
      </dsp:txXfrm>
    </dsp:sp>
    <dsp:sp modelId="{9340ECEF-9208-4310-BC4E-26B2625E13E6}">
      <dsp:nvSpPr>
        <dsp:cNvPr id="0" name=""/>
        <dsp:cNvSpPr/>
      </dsp:nvSpPr>
      <dsp:spPr>
        <a:xfrm>
          <a:off x="3224" y="473545"/>
          <a:ext cx="5851426" cy="402942"/>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lvl="0" algn="ctr" defTabSz="400050">
            <a:lnSpc>
              <a:spcPct val="90000"/>
            </a:lnSpc>
            <a:spcBef>
              <a:spcPct val="0"/>
            </a:spcBef>
            <a:spcAft>
              <a:spcPct val="35000"/>
            </a:spcAft>
          </a:pPr>
          <a:r>
            <a:rPr lang="en-US" sz="900" kern="1200">
              <a:latin typeface="Times New Roman" pitchFamily="18" charset="0"/>
              <a:cs typeface="Times New Roman" pitchFamily="18" charset="0"/>
            </a:rPr>
            <a:t>Identification of technical and achievable energy efficeincy resource potential available in Company's Washington service area. Consistent with regional planning assumptions in the Northwest, 85% of the technical potential is assumed techncially achievable for discretionary resources and </a:t>
          </a:r>
          <a:r>
            <a:rPr lang="en-US" sz="900" kern="1200">
              <a:solidFill>
                <a:sysClr val="windowText" lastClr="000000"/>
              </a:solidFill>
              <a:latin typeface="Times New Roman" pitchFamily="18" charset="0"/>
              <a:cs typeface="Times New Roman" pitchFamily="18" charset="0"/>
            </a:rPr>
            <a:t>77%</a:t>
          </a:r>
          <a:r>
            <a:rPr lang="en-US" sz="900" kern="1200">
              <a:solidFill>
                <a:srgbClr val="FF0000"/>
              </a:solidFill>
              <a:latin typeface="Times New Roman" pitchFamily="18" charset="0"/>
              <a:cs typeface="Times New Roman" pitchFamily="18" charset="0"/>
            </a:rPr>
            <a:t> </a:t>
          </a:r>
          <a:r>
            <a:rPr lang="en-US" sz="900" kern="1200">
              <a:solidFill>
                <a:sysClr val="windowText" lastClr="000000"/>
              </a:solidFill>
              <a:latin typeface="Times New Roman" pitchFamily="18" charset="0"/>
              <a:cs typeface="Times New Roman" pitchFamily="18" charset="0"/>
            </a:rPr>
            <a:t> for lost opportunity resources.  </a:t>
          </a:r>
        </a:p>
      </dsp:txBody>
      <dsp:txXfrm>
        <a:off x="3224" y="473545"/>
        <a:ext cx="5851426" cy="40294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2015-10-30T07:00:00+00:00</OpenedDate>
    <Date1 xmlns="dc463f71-b30c-4ab2-9473-d307f9d35888">2015-10-30T07:00:00+00:00</Date1>
    <IsDocumentOrder xmlns="dc463f71-b30c-4ab2-9473-d307f9d35888">true</IsDocumentOrder>
    <IsHighlyConfidential xmlns="dc463f71-b30c-4ab2-9473-d307f9d35888">false</IsHighlyConfidential>
    <CaseCompanyNames xmlns="dc463f71-b30c-4ab2-9473-d307f9d35888">Pacific Power &amp; Light Company</CaseCompanyNames>
    <DocketNumber xmlns="dc463f71-b30c-4ab2-9473-d307f9d35888">152072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9D2FE07C0AA5C4E814A8CE6D7513F53" ma:contentTypeVersion="111" ma:contentTypeDescription="" ma:contentTypeScope="" ma:versionID="1216e83a7323dc2bd1493151893db36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4BBD8FB5-E76B-49A8-A16B-8698BA5318C8}"/>
</file>

<file path=customXml/itemProps2.xml><?xml version="1.0" encoding="utf-8"?>
<ds:datastoreItem xmlns:ds="http://schemas.openxmlformats.org/officeDocument/2006/customXml" ds:itemID="{DAEDD509-DE04-43C5-ACC1-45A2437246B4}"/>
</file>

<file path=customXml/itemProps3.xml><?xml version="1.0" encoding="utf-8"?>
<ds:datastoreItem xmlns:ds="http://schemas.openxmlformats.org/officeDocument/2006/customXml" ds:itemID="{6537AC5A-D0EA-48AA-9741-3D41030649D9}"/>
</file>

<file path=customXml/itemProps4.xml><?xml version="1.0" encoding="utf-8"?>
<ds:datastoreItem xmlns:ds="http://schemas.openxmlformats.org/officeDocument/2006/customXml" ds:itemID="{E1B48A6D-9DE1-4273-8D7A-5588813FF2C2}"/>
</file>

<file path=customXml/itemProps5.xml><?xml version="1.0" encoding="utf-8"?>
<ds:datastoreItem xmlns:ds="http://schemas.openxmlformats.org/officeDocument/2006/customXml" ds:itemID="{55AF091B-3C7A-41E3-B477-F2FDAA23CFDA}"/>
</file>

<file path=docProps/app.xml><?xml version="1.0" encoding="utf-8"?>
<Properties xmlns="http://schemas.openxmlformats.org/officeDocument/2006/extended-properties" xmlns:vt="http://schemas.openxmlformats.org/officeDocument/2006/docPropsVTypes">
  <Template>Normal.dotm</Template>
  <TotalTime>0</TotalTime>
  <Pages>91</Pages>
  <Words>26171</Words>
  <Characters>149180</Characters>
  <Application>Microsoft Office Word</Application>
  <DocSecurity>0</DocSecurity>
  <Lines>1243</Lines>
  <Paragraphs>350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2015-10-27T22:00:00Z</dcterms:created>
  <dcterms:modified xsi:type="dcterms:W3CDTF">2015-10-30T21:16:00Z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0x0101006E56B4D1795A2E4DB2F0B01679ED314A00D9D2FE07C0AA5C4E814A8CE6D7513F53</vt:lpwstr>
  </property>
  <property fmtid="{D5CDD505-2E9C-101B-9397-08002B2CF9AE}" pid="4" name="_docset_NoMedatataSyncRequired">
    <vt:lpwstr>False</vt:lpwstr>
  </property>
</Properties>
</file>