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AE" w:rsidRDefault="00F477AE" w:rsidP="00F477AE">
      <w:pPr>
        <w:jc w:val="center"/>
        <w:rPr>
          <w:rFonts w:ascii="Arial" w:hAnsi="Arial"/>
          <w:sz w:val="20"/>
        </w:rPr>
      </w:pPr>
      <w:r>
        <w:rPr>
          <w:rFonts w:ascii="Arial" w:hAnsi="Arial"/>
          <w:sz w:val="20"/>
        </w:rPr>
        <w:t>BEFORE THE</w:t>
      </w:r>
    </w:p>
    <w:p w:rsidR="00F477AE" w:rsidRDefault="00F477AE" w:rsidP="00F477AE">
      <w:pPr>
        <w:jc w:val="center"/>
        <w:rPr>
          <w:rFonts w:ascii="Arial" w:hAnsi="Arial"/>
          <w:sz w:val="20"/>
        </w:rPr>
      </w:pPr>
      <w:smartTag w:uri="urn:schemas-microsoft-com:office:smarttags" w:element="State">
        <w:smartTag w:uri="urn:schemas-microsoft-com:office:smarttags" w:element="place">
          <w:r>
            <w:rPr>
              <w:rFonts w:ascii="Arial" w:hAnsi="Arial"/>
              <w:sz w:val="20"/>
            </w:rPr>
            <w:t>WASHINGTON</w:t>
          </w:r>
        </w:smartTag>
      </w:smartTag>
      <w:r>
        <w:rPr>
          <w:rFonts w:ascii="Arial" w:hAnsi="Arial"/>
          <w:sz w:val="20"/>
        </w:rPr>
        <w:t xml:space="preserve"> UTILITIES AND TRANSPORTATION COMMISSION</w:t>
      </w:r>
    </w:p>
    <w:p w:rsidR="00F477AE" w:rsidRDefault="00F477AE" w:rsidP="00F477AE">
      <w:pPr>
        <w:jc w:val="both"/>
        <w:rPr>
          <w:rFonts w:ascii="Arial" w:hAnsi="Arial"/>
          <w:sz w:val="20"/>
        </w:rPr>
      </w:pPr>
    </w:p>
    <w:p w:rsidR="00F477AE" w:rsidRDefault="00F477AE" w:rsidP="00F477AE">
      <w:pPr>
        <w:tabs>
          <w:tab w:val="left" w:pos="4760"/>
        </w:tabs>
        <w:jc w:val="both"/>
        <w:rPr>
          <w:rFonts w:ascii="Arial" w:hAnsi="Arial"/>
          <w:sz w:val="20"/>
        </w:rPr>
      </w:pPr>
      <w:r>
        <w:rPr>
          <w:rFonts w:ascii="Arial" w:hAnsi="Arial"/>
          <w:sz w:val="20"/>
        </w:rPr>
        <w:t>In the matter of the request of</w:t>
      </w:r>
      <w:r>
        <w:rPr>
          <w:rFonts w:ascii="Arial" w:hAnsi="Arial"/>
          <w:sz w:val="20"/>
        </w:rPr>
        <w:tab/>
        <w:t>)</w:t>
      </w:r>
      <w:r>
        <w:rPr>
          <w:rFonts w:ascii="Arial" w:hAnsi="Arial"/>
          <w:sz w:val="20"/>
        </w:rPr>
        <w:tab/>
      </w:r>
      <w:r>
        <w:rPr>
          <w:rFonts w:ascii="Arial" w:hAnsi="Arial"/>
          <w:sz w:val="20"/>
        </w:rPr>
        <w:tab/>
        <w:t>Application</w:t>
      </w:r>
    </w:p>
    <w:p w:rsidR="00F477AE" w:rsidRDefault="00F477AE" w:rsidP="00F477AE">
      <w:pPr>
        <w:tabs>
          <w:tab w:val="left" w:pos="4760"/>
          <w:tab w:val="left" w:pos="6840"/>
        </w:tabs>
        <w:ind w:right="-980"/>
        <w:jc w:val="both"/>
        <w:rPr>
          <w:rFonts w:ascii="Arial" w:hAnsi="Arial"/>
          <w:sz w:val="20"/>
        </w:rPr>
      </w:pPr>
      <w:r>
        <w:rPr>
          <w:rFonts w:ascii="Arial" w:hAnsi="Arial"/>
          <w:sz w:val="20"/>
        </w:rPr>
        <w:t xml:space="preserve">AVISTA CORPORATION </w:t>
      </w:r>
      <w:r>
        <w:rPr>
          <w:rFonts w:ascii="Arial" w:hAnsi="Arial"/>
          <w:sz w:val="20"/>
        </w:rPr>
        <w:tab/>
        <w:t>)</w:t>
      </w:r>
    </w:p>
    <w:p w:rsidR="00F477AE" w:rsidRDefault="00F477AE" w:rsidP="00F477AE">
      <w:pPr>
        <w:tabs>
          <w:tab w:val="left" w:pos="4760"/>
        </w:tabs>
        <w:ind w:right="-180"/>
        <w:jc w:val="both"/>
        <w:rPr>
          <w:rFonts w:ascii="Arial" w:hAnsi="Arial"/>
          <w:sz w:val="20"/>
        </w:rPr>
      </w:pPr>
      <w:proofErr w:type="gramStart"/>
      <w:r>
        <w:rPr>
          <w:rFonts w:ascii="Arial" w:hAnsi="Arial"/>
          <w:sz w:val="20"/>
        </w:rPr>
        <w:t>for</w:t>
      </w:r>
      <w:proofErr w:type="gramEnd"/>
      <w:r>
        <w:rPr>
          <w:rFonts w:ascii="Arial" w:hAnsi="Arial"/>
          <w:sz w:val="20"/>
        </w:rPr>
        <w:t xml:space="preserve"> an order establishing compliance</w:t>
      </w:r>
      <w:r>
        <w:rPr>
          <w:rFonts w:ascii="Arial" w:hAnsi="Arial"/>
          <w:sz w:val="20"/>
        </w:rPr>
        <w:tab/>
        <w:t>)</w:t>
      </w:r>
      <w:r>
        <w:rPr>
          <w:rFonts w:ascii="Arial" w:hAnsi="Arial"/>
          <w:sz w:val="20"/>
        </w:rPr>
        <w:tab/>
      </w:r>
      <w:r>
        <w:rPr>
          <w:rFonts w:ascii="Arial" w:hAnsi="Arial"/>
          <w:sz w:val="20"/>
        </w:rPr>
        <w:tab/>
        <w:t xml:space="preserve">Docket No. </w:t>
      </w:r>
    </w:p>
    <w:p w:rsidR="00F477AE" w:rsidRDefault="00F477AE" w:rsidP="00F477AE">
      <w:pPr>
        <w:tabs>
          <w:tab w:val="left" w:pos="4760"/>
        </w:tabs>
        <w:ind w:right="-180"/>
        <w:jc w:val="both"/>
        <w:rPr>
          <w:rFonts w:ascii="Arial" w:hAnsi="Arial"/>
          <w:sz w:val="20"/>
        </w:rPr>
      </w:pPr>
      <w:proofErr w:type="gramStart"/>
      <w:r>
        <w:rPr>
          <w:rFonts w:ascii="Arial" w:hAnsi="Arial"/>
          <w:sz w:val="20"/>
          <w:u w:val="single"/>
        </w:rPr>
        <w:t>with</w:t>
      </w:r>
      <w:proofErr w:type="gramEnd"/>
      <w:r>
        <w:rPr>
          <w:rFonts w:ascii="Arial" w:hAnsi="Arial"/>
          <w:sz w:val="20"/>
          <w:u w:val="single"/>
        </w:rPr>
        <w:t xml:space="preserve"> Chapter 80.08</w:t>
      </w:r>
      <w:r w:rsidR="00E37381">
        <w:rPr>
          <w:rFonts w:ascii="Arial" w:hAnsi="Arial"/>
          <w:sz w:val="20"/>
          <w:u w:val="single"/>
        </w:rPr>
        <w:t>.040</w:t>
      </w:r>
      <w:r>
        <w:rPr>
          <w:rFonts w:ascii="Arial" w:hAnsi="Arial"/>
          <w:sz w:val="20"/>
          <w:u w:val="single"/>
        </w:rPr>
        <w:t xml:space="preserve"> RCW</w:t>
      </w:r>
      <w:r>
        <w:rPr>
          <w:rFonts w:ascii="Arial" w:hAnsi="Arial"/>
          <w:sz w:val="20"/>
          <w:u w:val="single"/>
        </w:rPr>
        <w:tab/>
      </w:r>
      <w:r>
        <w:rPr>
          <w:rFonts w:ascii="Arial" w:hAnsi="Arial"/>
          <w:sz w:val="20"/>
        </w:rPr>
        <w:t>)</w:t>
      </w:r>
    </w:p>
    <w:p w:rsidR="00F477AE" w:rsidRDefault="00F477AE" w:rsidP="00F477AE">
      <w:pPr>
        <w:tabs>
          <w:tab w:val="left" w:pos="4760"/>
        </w:tabs>
        <w:ind w:right="-180"/>
        <w:jc w:val="both"/>
        <w:rPr>
          <w:rFonts w:ascii="Arial" w:hAnsi="Arial"/>
          <w:sz w:val="20"/>
        </w:rPr>
      </w:pPr>
    </w:p>
    <w:p w:rsidR="00AC6DB0" w:rsidRDefault="00F477AE" w:rsidP="00165091">
      <w:pPr>
        <w:tabs>
          <w:tab w:val="left" w:pos="450"/>
        </w:tabs>
        <w:ind w:right="100"/>
        <w:jc w:val="both"/>
        <w:rPr>
          <w:rFonts w:ascii="Arial" w:hAnsi="Arial"/>
          <w:sz w:val="20"/>
        </w:rPr>
      </w:pPr>
      <w:proofErr w:type="spellStart"/>
      <w:r>
        <w:rPr>
          <w:rFonts w:ascii="Arial" w:hAnsi="Arial"/>
          <w:sz w:val="20"/>
        </w:rPr>
        <w:t>Avista</w:t>
      </w:r>
      <w:proofErr w:type="spellEnd"/>
      <w:r>
        <w:rPr>
          <w:rFonts w:ascii="Arial" w:hAnsi="Arial"/>
          <w:sz w:val="20"/>
        </w:rPr>
        <w:t xml:space="preserve"> Corporation (hereinafter called “Applicant”) hereby requests the Washington Utilities and Transportation Commission enter a written order authorizing the Applicant to </w:t>
      </w:r>
      <w:r w:rsidR="00165091">
        <w:rPr>
          <w:rFonts w:ascii="Arial" w:hAnsi="Arial"/>
          <w:sz w:val="20"/>
        </w:rPr>
        <w:t>issue up t</w:t>
      </w:r>
      <w:r w:rsidR="00A13CF5">
        <w:rPr>
          <w:rFonts w:ascii="Arial" w:hAnsi="Arial"/>
          <w:sz w:val="20"/>
        </w:rPr>
        <w:t xml:space="preserve">o $300 million </w:t>
      </w:r>
      <w:proofErr w:type="gramStart"/>
      <w:r w:rsidR="00A13CF5">
        <w:rPr>
          <w:rFonts w:ascii="Arial" w:hAnsi="Arial"/>
          <w:sz w:val="20"/>
        </w:rPr>
        <w:t>of  Debt</w:t>
      </w:r>
      <w:proofErr w:type="gramEnd"/>
      <w:r w:rsidR="00A13CF5">
        <w:rPr>
          <w:rFonts w:ascii="Arial" w:hAnsi="Arial"/>
          <w:sz w:val="20"/>
        </w:rPr>
        <w:t xml:space="preserve"> S</w:t>
      </w:r>
      <w:r w:rsidR="00165091">
        <w:rPr>
          <w:rFonts w:ascii="Arial" w:hAnsi="Arial"/>
          <w:sz w:val="20"/>
        </w:rPr>
        <w:t>ecurities</w:t>
      </w:r>
      <w:r w:rsidR="00AC6DB0">
        <w:rPr>
          <w:rFonts w:ascii="Arial" w:hAnsi="Arial"/>
          <w:sz w:val="20"/>
        </w:rPr>
        <w:t xml:space="preserve"> and issuance of up to 1,635,000 authorized but unissued shares of its Common Stock</w:t>
      </w:r>
      <w:r w:rsidR="00165091">
        <w:rPr>
          <w:rFonts w:ascii="Arial" w:hAnsi="Arial"/>
          <w:sz w:val="20"/>
        </w:rPr>
        <w:t xml:space="preserve">.  The </w:t>
      </w:r>
      <w:r w:rsidR="00747050">
        <w:rPr>
          <w:rFonts w:ascii="Arial" w:hAnsi="Arial"/>
          <w:sz w:val="20"/>
        </w:rPr>
        <w:t>D</w:t>
      </w:r>
      <w:r w:rsidR="00AC6DB0">
        <w:rPr>
          <w:rFonts w:ascii="Arial" w:hAnsi="Arial"/>
          <w:sz w:val="20"/>
        </w:rPr>
        <w:t xml:space="preserve">ebt </w:t>
      </w:r>
      <w:r w:rsidR="00747050">
        <w:rPr>
          <w:rFonts w:ascii="Arial" w:hAnsi="Arial"/>
          <w:sz w:val="20"/>
        </w:rPr>
        <w:t>S</w:t>
      </w:r>
      <w:r w:rsidR="00165091">
        <w:rPr>
          <w:rFonts w:ascii="Arial" w:hAnsi="Arial"/>
          <w:sz w:val="20"/>
        </w:rPr>
        <w:t>ecurities will be issued via public offerings, or private placement</w:t>
      </w:r>
      <w:r w:rsidR="00D3092E">
        <w:rPr>
          <w:rFonts w:ascii="Arial" w:hAnsi="Arial"/>
          <w:sz w:val="20"/>
        </w:rPr>
        <w:t>,</w:t>
      </w:r>
      <w:r w:rsidR="00165091">
        <w:rPr>
          <w:rFonts w:ascii="Arial" w:hAnsi="Arial"/>
          <w:sz w:val="20"/>
        </w:rPr>
        <w:t xml:space="preserve"> and are </w:t>
      </w:r>
      <w:r w:rsidR="00165091" w:rsidRPr="00277B88">
        <w:rPr>
          <w:rFonts w:ascii="Arial" w:hAnsi="Arial"/>
          <w:sz w:val="20"/>
        </w:rPr>
        <w:t xml:space="preserve">expected </w:t>
      </w:r>
      <w:r w:rsidR="00165091">
        <w:rPr>
          <w:rFonts w:ascii="Arial" w:hAnsi="Arial"/>
          <w:sz w:val="20"/>
        </w:rPr>
        <w:t xml:space="preserve">to have </w:t>
      </w:r>
      <w:r w:rsidR="00165091" w:rsidRPr="00277B88">
        <w:rPr>
          <w:rFonts w:ascii="Arial" w:hAnsi="Arial"/>
          <w:sz w:val="20"/>
        </w:rPr>
        <w:t xml:space="preserve">terms </w:t>
      </w:r>
      <w:r w:rsidR="00165091">
        <w:rPr>
          <w:rFonts w:ascii="Arial" w:hAnsi="Arial"/>
          <w:sz w:val="20"/>
        </w:rPr>
        <w:t xml:space="preserve">which will exceed 9 months </w:t>
      </w:r>
      <w:r w:rsidR="00165091" w:rsidRPr="00277B88">
        <w:rPr>
          <w:rFonts w:ascii="Arial" w:hAnsi="Arial"/>
          <w:sz w:val="20"/>
        </w:rPr>
        <w:t>all depending on and subject to then-existing market prices for similar transactions.</w:t>
      </w:r>
      <w:r w:rsidR="00AC6DB0">
        <w:rPr>
          <w:rFonts w:ascii="Arial" w:hAnsi="Arial"/>
          <w:sz w:val="20"/>
        </w:rPr>
        <w:t xml:space="preserve">  The shares will be issued under the Applicant’s Long-Term Incentive Plan.</w:t>
      </w:r>
      <w:r w:rsidR="00165091">
        <w:rPr>
          <w:rFonts w:ascii="Arial" w:hAnsi="Arial"/>
          <w:sz w:val="20"/>
        </w:rPr>
        <w:t xml:space="preserve"> </w:t>
      </w:r>
    </w:p>
    <w:p w:rsidR="00AC6DB0" w:rsidRDefault="00AC6DB0" w:rsidP="00165091">
      <w:pPr>
        <w:tabs>
          <w:tab w:val="left" w:pos="450"/>
        </w:tabs>
        <w:ind w:right="100"/>
        <w:jc w:val="both"/>
        <w:rPr>
          <w:rFonts w:ascii="Arial" w:hAnsi="Arial"/>
          <w:sz w:val="20"/>
        </w:rPr>
      </w:pPr>
    </w:p>
    <w:p w:rsidR="00A13CF5" w:rsidRDefault="00A13CF5" w:rsidP="00A13CF5">
      <w:pPr>
        <w:ind w:right="100"/>
        <w:jc w:val="both"/>
        <w:rPr>
          <w:rFonts w:ascii="Arial" w:hAnsi="Arial" w:cs="Arial"/>
          <w:sz w:val="20"/>
        </w:rPr>
      </w:pPr>
      <w:r>
        <w:rPr>
          <w:rFonts w:ascii="Arial" w:hAnsi="Arial" w:cs="Arial"/>
          <w:sz w:val="20"/>
        </w:rPr>
        <w:t xml:space="preserve">The requested </w:t>
      </w:r>
      <w:r w:rsidR="00747050">
        <w:rPr>
          <w:rFonts w:ascii="Arial" w:hAnsi="Arial" w:cs="Arial"/>
          <w:sz w:val="20"/>
        </w:rPr>
        <w:t xml:space="preserve">authority to issue </w:t>
      </w:r>
      <w:r>
        <w:rPr>
          <w:rFonts w:ascii="Arial" w:hAnsi="Arial" w:cs="Arial"/>
          <w:sz w:val="20"/>
        </w:rPr>
        <w:t xml:space="preserve">Debt Securities is in addition to the authority previously granted by the Washington Utilities and Transportation Commission for the issuance of debt securities </w:t>
      </w:r>
      <w:r w:rsidRPr="00AC6DB0">
        <w:rPr>
          <w:rFonts w:ascii="Arial" w:hAnsi="Arial" w:cs="Arial"/>
          <w:sz w:val="20"/>
        </w:rPr>
        <w:t>under O</w:t>
      </w:r>
      <w:r>
        <w:rPr>
          <w:rFonts w:ascii="Arial" w:hAnsi="Arial" w:cs="Arial"/>
          <w:sz w:val="20"/>
        </w:rPr>
        <w:t xml:space="preserve">rder No. 02, entered August 24, 2011, in Docket No. </w:t>
      </w:r>
      <w:proofErr w:type="gramStart"/>
      <w:r>
        <w:rPr>
          <w:rFonts w:ascii="Arial" w:hAnsi="Arial" w:cs="Arial"/>
          <w:sz w:val="20"/>
        </w:rPr>
        <w:t>U-1111</w:t>
      </w:r>
      <w:r w:rsidRPr="00AC6DB0">
        <w:rPr>
          <w:rFonts w:ascii="Arial" w:hAnsi="Arial" w:cs="Arial"/>
          <w:sz w:val="20"/>
        </w:rPr>
        <w:t>7</w:t>
      </w:r>
      <w:r>
        <w:rPr>
          <w:rFonts w:ascii="Arial" w:hAnsi="Arial" w:cs="Arial"/>
          <w:sz w:val="20"/>
        </w:rPr>
        <w:t>6</w:t>
      </w:r>
      <w:r w:rsidRPr="00AC6DB0">
        <w:rPr>
          <w:rFonts w:ascii="Arial" w:hAnsi="Arial" w:cs="Arial"/>
          <w:sz w:val="20"/>
        </w:rPr>
        <w:t xml:space="preserve">, of which </w:t>
      </w:r>
      <w:r>
        <w:rPr>
          <w:rFonts w:ascii="Arial" w:hAnsi="Arial" w:cs="Arial"/>
          <w:sz w:val="20"/>
        </w:rPr>
        <w:t xml:space="preserve">$135,000,000 </w:t>
      </w:r>
      <w:r w:rsidRPr="00AC6DB0">
        <w:rPr>
          <w:rFonts w:ascii="Arial" w:hAnsi="Arial" w:cs="Arial"/>
          <w:sz w:val="20"/>
        </w:rPr>
        <w:t>remain</w:t>
      </w:r>
      <w:r>
        <w:rPr>
          <w:rFonts w:ascii="Arial" w:hAnsi="Arial" w:cs="Arial"/>
          <w:sz w:val="20"/>
        </w:rPr>
        <w:t>s</w:t>
      </w:r>
      <w:r w:rsidRPr="00AC6DB0">
        <w:rPr>
          <w:rFonts w:ascii="Arial" w:hAnsi="Arial" w:cs="Arial"/>
          <w:sz w:val="20"/>
        </w:rPr>
        <w:t xml:space="preserve"> available for </w:t>
      </w:r>
      <w:r>
        <w:rPr>
          <w:rFonts w:ascii="Arial" w:hAnsi="Arial" w:cs="Arial"/>
          <w:sz w:val="20"/>
        </w:rPr>
        <w:t>issuance.</w:t>
      </w:r>
      <w:proofErr w:type="gramEnd"/>
    </w:p>
    <w:p w:rsidR="00A13CF5" w:rsidRDefault="00A13CF5" w:rsidP="00165091">
      <w:pPr>
        <w:tabs>
          <w:tab w:val="left" w:pos="450"/>
        </w:tabs>
        <w:ind w:right="100"/>
        <w:jc w:val="both"/>
        <w:rPr>
          <w:rFonts w:ascii="Arial" w:hAnsi="Arial"/>
          <w:sz w:val="20"/>
        </w:rPr>
      </w:pPr>
    </w:p>
    <w:p w:rsidR="00AC6DB0" w:rsidRDefault="00AC6DB0" w:rsidP="00AC6DB0">
      <w:pPr>
        <w:ind w:right="100"/>
        <w:jc w:val="both"/>
        <w:rPr>
          <w:rFonts w:ascii="Arial" w:hAnsi="Arial" w:cs="Arial"/>
          <w:sz w:val="20"/>
        </w:rPr>
      </w:pPr>
      <w:r>
        <w:rPr>
          <w:rFonts w:ascii="Arial" w:hAnsi="Arial" w:cs="Arial"/>
          <w:sz w:val="20"/>
        </w:rPr>
        <w:t xml:space="preserve">The requested </w:t>
      </w:r>
      <w:r w:rsidR="00A13CF5">
        <w:rPr>
          <w:rFonts w:ascii="Arial" w:hAnsi="Arial" w:cs="Arial"/>
          <w:sz w:val="20"/>
        </w:rPr>
        <w:t>Common Stock</w:t>
      </w:r>
      <w:r>
        <w:rPr>
          <w:rFonts w:ascii="Arial" w:hAnsi="Arial" w:cs="Arial"/>
          <w:sz w:val="20"/>
        </w:rPr>
        <w:t xml:space="preserve"> authority is in addition to the authority previously granted by the Washington Utilities and Transportation Commission for the offering, issuance and sale of Common Stock </w:t>
      </w:r>
      <w:r w:rsidRPr="00AC6DB0">
        <w:rPr>
          <w:rFonts w:ascii="Arial" w:hAnsi="Arial" w:cs="Arial"/>
          <w:sz w:val="20"/>
        </w:rPr>
        <w:t xml:space="preserve">under Order No. 01, entered October 13, 2011, in Docket No. </w:t>
      </w:r>
      <w:proofErr w:type="gramStart"/>
      <w:r w:rsidRPr="00AC6DB0">
        <w:rPr>
          <w:rFonts w:ascii="Arial" w:hAnsi="Arial" w:cs="Arial"/>
          <w:sz w:val="20"/>
        </w:rPr>
        <w:t xml:space="preserve">U-111687, of which </w:t>
      </w:r>
      <w:r w:rsidR="009E5037">
        <w:rPr>
          <w:rFonts w:ascii="Arial" w:hAnsi="Arial" w:cs="Arial"/>
          <w:sz w:val="20"/>
        </w:rPr>
        <w:t>38</w:t>
      </w:r>
      <w:r w:rsidR="008104FD">
        <w:rPr>
          <w:rFonts w:ascii="Arial" w:hAnsi="Arial" w:cs="Arial"/>
          <w:sz w:val="20"/>
        </w:rPr>
        <w:t>1,</w:t>
      </w:r>
      <w:r w:rsidR="009E5037">
        <w:rPr>
          <w:rFonts w:ascii="Arial" w:hAnsi="Arial" w:cs="Arial"/>
          <w:sz w:val="20"/>
        </w:rPr>
        <w:t>664</w:t>
      </w:r>
      <w:r w:rsidRPr="00AC6DB0">
        <w:rPr>
          <w:rFonts w:ascii="Arial" w:hAnsi="Arial" w:cs="Arial"/>
          <w:sz w:val="20"/>
        </w:rPr>
        <w:t xml:space="preserve"> shares remain available for award</w:t>
      </w:r>
      <w:r w:rsidRPr="00B97ECD">
        <w:rPr>
          <w:rFonts w:ascii="Arial" w:hAnsi="Arial" w:cs="Arial"/>
          <w:sz w:val="20"/>
        </w:rPr>
        <w:t xml:space="preserve"> pursuant to the </w:t>
      </w:r>
      <w:r>
        <w:rPr>
          <w:rFonts w:ascii="Arial" w:hAnsi="Arial" w:cs="Arial"/>
          <w:sz w:val="20"/>
        </w:rPr>
        <w:t>Company’s long-term incentive plan.</w:t>
      </w:r>
      <w:proofErr w:type="gramEnd"/>
    </w:p>
    <w:p w:rsidR="00AC6DB0" w:rsidRDefault="00AC6DB0" w:rsidP="00AC6DB0">
      <w:pPr>
        <w:ind w:right="100"/>
        <w:jc w:val="both"/>
        <w:rPr>
          <w:rFonts w:ascii="Arial" w:hAnsi="Arial"/>
          <w:sz w:val="20"/>
        </w:rPr>
      </w:pPr>
    </w:p>
    <w:p w:rsidR="00165091" w:rsidRDefault="00165091" w:rsidP="00165091">
      <w:pPr>
        <w:tabs>
          <w:tab w:val="left" w:pos="450"/>
        </w:tabs>
        <w:ind w:right="100"/>
        <w:jc w:val="both"/>
        <w:rPr>
          <w:rFonts w:ascii="Arial" w:hAnsi="Arial"/>
          <w:sz w:val="20"/>
        </w:rPr>
      </w:pPr>
      <w:r>
        <w:rPr>
          <w:rFonts w:ascii="Arial" w:hAnsi="Arial"/>
          <w:sz w:val="20"/>
        </w:rPr>
        <w:t xml:space="preserve">The terms of the financing are described in more detail in Section 2 of this application. </w:t>
      </w:r>
    </w:p>
    <w:p w:rsidR="00165091" w:rsidRDefault="00165091" w:rsidP="00165091">
      <w:pPr>
        <w:tabs>
          <w:tab w:val="left" w:pos="450"/>
        </w:tabs>
        <w:ind w:right="100"/>
        <w:jc w:val="both"/>
        <w:rPr>
          <w:rFonts w:ascii="Arial" w:hAnsi="Arial"/>
          <w:sz w:val="20"/>
        </w:rPr>
      </w:pPr>
    </w:p>
    <w:p w:rsidR="00F477AE" w:rsidRDefault="00F477AE" w:rsidP="00F477AE">
      <w:pPr>
        <w:ind w:right="100"/>
        <w:jc w:val="both"/>
        <w:rPr>
          <w:rFonts w:ascii="Arial" w:hAnsi="Arial"/>
          <w:sz w:val="20"/>
        </w:rPr>
      </w:pPr>
      <w:r>
        <w:rPr>
          <w:rFonts w:ascii="Arial" w:hAnsi="Arial"/>
          <w:sz w:val="20"/>
        </w:rPr>
        <w:t>The following information is furnished in support of this application, in accordance with the requirements of RCW 80.08.040:</w:t>
      </w:r>
    </w:p>
    <w:p w:rsidR="00F477AE" w:rsidRDefault="00F477AE" w:rsidP="00F477AE">
      <w:pPr>
        <w:ind w:right="100"/>
        <w:jc w:val="both"/>
        <w:rPr>
          <w:rFonts w:ascii="Arial" w:hAnsi="Arial"/>
          <w:sz w:val="20"/>
        </w:rPr>
      </w:pPr>
    </w:p>
    <w:p w:rsidR="00F477AE" w:rsidRDefault="00F477AE" w:rsidP="00F477AE">
      <w:pPr>
        <w:numPr>
          <w:ilvl w:val="0"/>
          <w:numId w:val="1"/>
        </w:numPr>
        <w:ind w:right="100"/>
        <w:jc w:val="both"/>
        <w:rPr>
          <w:rFonts w:ascii="Arial" w:hAnsi="Arial"/>
          <w:b/>
          <w:sz w:val="20"/>
        </w:rPr>
      </w:pPr>
      <w:r>
        <w:rPr>
          <w:rFonts w:ascii="Arial" w:hAnsi="Arial"/>
          <w:b/>
          <w:sz w:val="20"/>
        </w:rPr>
        <w:t>A Description of the Purposes for Which the Issuance is Made, Including a Certification By an Officer Authorized To Do So That the Proceeds From Any Such Securities Are For One Or More of the Purposes Allowed By Chapter 80.08 RCW.</w:t>
      </w:r>
    </w:p>
    <w:p w:rsidR="00A7493B" w:rsidRDefault="00A7493B" w:rsidP="0096320A">
      <w:pPr>
        <w:pStyle w:val="BodyTextIndent"/>
        <w:tabs>
          <w:tab w:val="clear" w:pos="980"/>
          <w:tab w:val="left" w:pos="1160"/>
        </w:tabs>
        <w:ind w:left="0"/>
        <w:rPr>
          <w:rFonts w:ascii="Arial" w:hAnsi="Arial"/>
        </w:rPr>
      </w:pPr>
    </w:p>
    <w:p w:rsidR="00F477AE" w:rsidRDefault="00F477AE" w:rsidP="0096320A">
      <w:pPr>
        <w:pStyle w:val="BodyTextIndent"/>
        <w:tabs>
          <w:tab w:val="clear" w:pos="980"/>
          <w:tab w:val="left" w:pos="1160"/>
        </w:tabs>
        <w:ind w:left="0"/>
        <w:rPr>
          <w:rFonts w:ascii="Arial" w:hAnsi="Arial"/>
        </w:rPr>
      </w:pPr>
      <w:r>
        <w:rPr>
          <w:rFonts w:ascii="Arial" w:hAnsi="Arial"/>
        </w:rPr>
        <w:t xml:space="preserve">The Applicant will use the funds from the proposed </w:t>
      </w:r>
      <w:r w:rsidR="00747050">
        <w:rPr>
          <w:rFonts w:ascii="Arial" w:hAnsi="Arial"/>
        </w:rPr>
        <w:t xml:space="preserve">issuances </w:t>
      </w:r>
      <w:r>
        <w:rPr>
          <w:rFonts w:ascii="Arial" w:hAnsi="Arial"/>
        </w:rPr>
        <w:t xml:space="preserve">for one or more of the following purposes: (a) The construction, completion, extension, or improvement of its facilities, or (b) the improvement or maintenance of </w:t>
      </w:r>
      <w:r w:rsidR="00A53530">
        <w:rPr>
          <w:rFonts w:ascii="Arial" w:hAnsi="Arial"/>
        </w:rPr>
        <w:t xml:space="preserve">its </w:t>
      </w:r>
      <w:r>
        <w:rPr>
          <w:rFonts w:ascii="Arial" w:hAnsi="Arial"/>
        </w:rPr>
        <w:t>service, or (c) the issuance of stock dividends, or (d) the discharge or refunding of its obligations, or (e) the reimbursement of moneys actually expended from income or from the treasury of the Applicant to the extent permitted by RCW 80.08.030, or (f) for other purposes permitted by law.</w:t>
      </w:r>
    </w:p>
    <w:p w:rsidR="00F477AE" w:rsidRDefault="00F477AE" w:rsidP="00F477AE">
      <w:pPr>
        <w:pStyle w:val="BodyTextIndent"/>
        <w:tabs>
          <w:tab w:val="clear" w:pos="980"/>
          <w:tab w:val="left" w:pos="1160"/>
        </w:tabs>
        <w:rPr>
          <w:rFonts w:ascii="Arial" w:hAnsi="Arial"/>
        </w:rPr>
      </w:pPr>
    </w:p>
    <w:p w:rsidR="00F477AE" w:rsidRDefault="00F477AE" w:rsidP="0096320A">
      <w:pPr>
        <w:tabs>
          <w:tab w:val="left" w:pos="1160"/>
          <w:tab w:val="left" w:pos="1440"/>
          <w:tab w:val="left" w:pos="5760"/>
        </w:tabs>
        <w:jc w:val="both"/>
        <w:rPr>
          <w:rFonts w:ascii="Arial" w:hAnsi="Arial"/>
          <w:sz w:val="20"/>
        </w:rPr>
      </w:pPr>
      <w:r>
        <w:rPr>
          <w:rFonts w:ascii="Arial" w:hAnsi="Arial"/>
          <w:sz w:val="20"/>
        </w:rPr>
        <w:t xml:space="preserve">The Applicant will utilize the proposed </w:t>
      </w:r>
      <w:r w:rsidR="00747050">
        <w:rPr>
          <w:rFonts w:ascii="Arial" w:hAnsi="Arial"/>
          <w:sz w:val="20"/>
        </w:rPr>
        <w:t>issuances</w:t>
      </w:r>
      <w:r>
        <w:rPr>
          <w:rFonts w:ascii="Arial" w:hAnsi="Arial"/>
          <w:sz w:val="20"/>
        </w:rPr>
        <w:t xml:space="preserve"> for lawful purposes as outlined in RCW 80.08.030. Specifically, the Applicant anticipates using the </w:t>
      </w:r>
      <w:r w:rsidR="00165091">
        <w:rPr>
          <w:rFonts w:ascii="Arial" w:hAnsi="Arial"/>
          <w:sz w:val="20"/>
        </w:rPr>
        <w:t>debt offering</w:t>
      </w:r>
      <w:r>
        <w:rPr>
          <w:rFonts w:ascii="Arial" w:hAnsi="Arial"/>
          <w:sz w:val="20"/>
        </w:rPr>
        <w:t xml:space="preserve"> to </w:t>
      </w:r>
      <w:r w:rsidR="00165091">
        <w:rPr>
          <w:rFonts w:ascii="Arial" w:hAnsi="Arial"/>
          <w:sz w:val="20"/>
        </w:rPr>
        <w:t xml:space="preserve">repay funds borrowed under its corporate credit facility and/or </w:t>
      </w:r>
      <w:proofErr w:type="gramStart"/>
      <w:r w:rsidR="00165091">
        <w:rPr>
          <w:rFonts w:ascii="Arial" w:hAnsi="Arial"/>
          <w:sz w:val="20"/>
        </w:rPr>
        <w:t>refinance</w:t>
      </w:r>
      <w:proofErr w:type="gramEnd"/>
      <w:r w:rsidR="00165091">
        <w:rPr>
          <w:rFonts w:ascii="Arial" w:hAnsi="Arial"/>
          <w:sz w:val="20"/>
        </w:rPr>
        <w:t xml:space="preserve"> long term debt</w:t>
      </w:r>
      <w:r w:rsidR="00B67FAE">
        <w:rPr>
          <w:rFonts w:ascii="Arial" w:hAnsi="Arial"/>
          <w:sz w:val="20"/>
        </w:rPr>
        <w:t xml:space="preserve"> and use the shares as an employee </w:t>
      </w:r>
      <w:r w:rsidR="00747050">
        <w:rPr>
          <w:rFonts w:ascii="Arial" w:hAnsi="Arial"/>
          <w:sz w:val="20"/>
        </w:rPr>
        <w:t>incentive compensation</w:t>
      </w:r>
      <w:r w:rsidR="00B67FAE">
        <w:rPr>
          <w:rFonts w:ascii="Arial" w:hAnsi="Arial"/>
          <w:sz w:val="20"/>
        </w:rPr>
        <w:t xml:space="preserve"> program</w:t>
      </w:r>
      <w:r>
        <w:rPr>
          <w:rFonts w:ascii="Arial" w:hAnsi="Arial"/>
          <w:sz w:val="20"/>
        </w:rPr>
        <w:t>.</w:t>
      </w:r>
    </w:p>
    <w:p w:rsidR="00F477AE" w:rsidRDefault="00F477AE" w:rsidP="00F477AE">
      <w:pPr>
        <w:tabs>
          <w:tab w:val="left" w:pos="1160"/>
          <w:tab w:val="left" w:pos="1440"/>
          <w:tab w:val="left" w:pos="5760"/>
        </w:tabs>
        <w:ind w:left="360"/>
        <w:jc w:val="both"/>
        <w:rPr>
          <w:rFonts w:ascii="Arial" w:hAnsi="Arial"/>
          <w:sz w:val="20"/>
        </w:rPr>
      </w:pPr>
    </w:p>
    <w:p w:rsidR="00F477AE" w:rsidRDefault="00F477AE" w:rsidP="00F477AE">
      <w:pPr>
        <w:tabs>
          <w:tab w:val="left" w:pos="1160"/>
          <w:tab w:val="left" w:pos="1440"/>
          <w:tab w:val="left" w:pos="5760"/>
        </w:tabs>
        <w:ind w:left="360"/>
        <w:jc w:val="both"/>
        <w:rPr>
          <w:rFonts w:ascii="Arial" w:hAnsi="Arial"/>
          <w:sz w:val="20"/>
        </w:rPr>
      </w:pPr>
    </w:p>
    <w:p w:rsidR="00F477AE" w:rsidRDefault="00F477AE" w:rsidP="00F477AE">
      <w:pPr>
        <w:numPr>
          <w:ilvl w:val="0"/>
          <w:numId w:val="2"/>
        </w:numPr>
        <w:ind w:right="100"/>
        <w:jc w:val="both"/>
        <w:rPr>
          <w:rFonts w:ascii="Arial" w:hAnsi="Arial"/>
          <w:b/>
          <w:sz w:val="20"/>
        </w:rPr>
      </w:pPr>
      <w:r>
        <w:rPr>
          <w:rFonts w:ascii="Arial" w:hAnsi="Arial"/>
          <w:b/>
          <w:sz w:val="20"/>
        </w:rPr>
        <w:t>A Description of the Proposed Issuance Including the Terms of Financing.</w:t>
      </w:r>
    </w:p>
    <w:p w:rsidR="00F477AE" w:rsidRDefault="00F477AE" w:rsidP="00591536">
      <w:pPr>
        <w:pStyle w:val="BodyTextIndent"/>
        <w:tabs>
          <w:tab w:val="clear" w:pos="980"/>
          <w:tab w:val="clear" w:pos="1440"/>
          <w:tab w:val="clear" w:pos="5760"/>
          <w:tab w:val="left" w:pos="540"/>
          <w:tab w:val="left" w:pos="900"/>
        </w:tabs>
        <w:ind w:left="0"/>
        <w:rPr>
          <w:rFonts w:ascii="Arial" w:hAnsi="Arial"/>
          <w:b/>
        </w:rPr>
      </w:pPr>
    </w:p>
    <w:p w:rsidR="00591536" w:rsidRDefault="00591536" w:rsidP="00591536">
      <w:pPr>
        <w:pStyle w:val="BodyTextIndent"/>
        <w:tabs>
          <w:tab w:val="clear" w:pos="980"/>
          <w:tab w:val="clear" w:pos="1440"/>
          <w:tab w:val="clear" w:pos="5760"/>
          <w:tab w:val="left" w:pos="540"/>
          <w:tab w:val="left" w:pos="900"/>
        </w:tabs>
        <w:ind w:left="0"/>
        <w:rPr>
          <w:rFonts w:ascii="Arial" w:hAnsi="Arial"/>
          <w:b/>
        </w:rPr>
      </w:pPr>
      <w:r w:rsidRPr="00591536">
        <w:rPr>
          <w:rFonts w:ascii="Arial" w:hAnsi="Arial"/>
          <w:i/>
        </w:rPr>
        <w:t>Debt Securities</w:t>
      </w:r>
      <w:r w:rsidR="00A50D57">
        <w:rPr>
          <w:rFonts w:ascii="Arial" w:hAnsi="Arial"/>
          <w:i/>
        </w:rPr>
        <w:t>:</w:t>
      </w:r>
    </w:p>
    <w:p w:rsidR="00591536" w:rsidRDefault="00591536" w:rsidP="00F477AE">
      <w:pPr>
        <w:pStyle w:val="BodyTextIndent"/>
        <w:tabs>
          <w:tab w:val="clear" w:pos="980"/>
          <w:tab w:val="clear" w:pos="1440"/>
          <w:tab w:val="clear" w:pos="5760"/>
          <w:tab w:val="left" w:pos="540"/>
          <w:tab w:val="left" w:pos="900"/>
        </w:tabs>
        <w:rPr>
          <w:rFonts w:ascii="Arial" w:hAnsi="Arial"/>
          <w:b/>
        </w:rPr>
      </w:pPr>
    </w:p>
    <w:p w:rsidR="005430B1" w:rsidRPr="00046A3A" w:rsidRDefault="005430B1" w:rsidP="005430B1">
      <w:pPr>
        <w:tabs>
          <w:tab w:val="left" w:pos="720"/>
          <w:tab w:val="left" w:pos="1440"/>
        </w:tabs>
        <w:ind w:right="-90"/>
        <w:jc w:val="both"/>
        <w:rPr>
          <w:rFonts w:ascii="Arial" w:hAnsi="Arial"/>
          <w:sz w:val="20"/>
        </w:rPr>
      </w:pPr>
      <w:r w:rsidRPr="00046A3A">
        <w:rPr>
          <w:rFonts w:ascii="Arial" w:hAnsi="Arial"/>
          <w:sz w:val="20"/>
        </w:rPr>
        <w:t xml:space="preserve">The Applicant proposes to </w:t>
      </w:r>
      <w:proofErr w:type="gramStart"/>
      <w:r w:rsidRPr="00046A3A">
        <w:rPr>
          <w:rFonts w:ascii="Arial" w:hAnsi="Arial"/>
          <w:sz w:val="20"/>
        </w:rPr>
        <w:t>offer,</w:t>
      </w:r>
      <w:proofErr w:type="gramEnd"/>
      <w:r w:rsidRPr="00046A3A">
        <w:rPr>
          <w:rFonts w:ascii="Arial" w:hAnsi="Arial"/>
          <w:sz w:val="20"/>
        </w:rPr>
        <w:t xml:space="preserve"> issue and sell the Debt Securities for purposes authorized by law, in an aggregate principal amount not to exceed $300,000,000, which maturity shall not be less than nine (9) months nor more than thirty-five (35) years from the date of initial authorization and delivery. </w:t>
      </w:r>
    </w:p>
    <w:p w:rsidR="005430B1" w:rsidRPr="00046A3A" w:rsidRDefault="005430B1" w:rsidP="005430B1">
      <w:pPr>
        <w:tabs>
          <w:tab w:val="left" w:pos="720"/>
          <w:tab w:val="left" w:pos="1440"/>
        </w:tabs>
        <w:ind w:right="-90"/>
        <w:jc w:val="both"/>
        <w:rPr>
          <w:rFonts w:ascii="Arial" w:hAnsi="Arial"/>
          <w:sz w:val="20"/>
        </w:rPr>
      </w:pPr>
    </w:p>
    <w:p w:rsidR="005430B1" w:rsidRPr="00046A3A" w:rsidRDefault="005430B1" w:rsidP="005430B1">
      <w:pPr>
        <w:tabs>
          <w:tab w:val="left" w:pos="720"/>
          <w:tab w:val="left" w:pos="1440"/>
        </w:tabs>
        <w:ind w:right="-90"/>
        <w:jc w:val="both"/>
        <w:rPr>
          <w:rFonts w:ascii="Arial" w:hAnsi="Arial"/>
          <w:sz w:val="20"/>
        </w:rPr>
      </w:pPr>
      <w:r w:rsidRPr="00046A3A">
        <w:rPr>
          <w:rFonts w:ascii="Arial" w:hAnsi="Arial"/>
          <w:sz w:val="20"/>
        </w:rPr>
        <w:t>The Debt Securities could be (1) secured or unsecured and (2) with the stated interest rate or rates thereon, which may be fixed or floating all of which could be sold in a public offering, in a private offering in accordance with Rule 144A under the Securities Act of 1933, as amended, or in a direct private placement, or issued in a term loan arrangement with lenders, or issued and delivered in exchange for outstanding debt securities of the Company and/or any combination of the foregoing.</w:t>
      </w:r>
    </w:p>
    <w:p w:rsidR="005430B1" w:rsidRPr="00046A3A" w:rsidRDefault="005430B1" w:rsidP="005430B1">
      <w:pPr>
        <w:tabs>
          <w:tab w:val="left" w:pos="720"/>
          <w:tab w:val="left" w:pos="1440"/>
        </w:tabs>
        <w:ind w:right="-90"/>
        <w:jc w:val="both"/>
        <w:rPr>
          <w:rFonts w:ascii="Arial" w:hAnsi="Arial"/>
          <w:sz w:val="20"/>
        </w:rPr>
      </w:pPr>
    </w:p>
    <w:p w:rsidR="005430B1" w:rsidRPr="00220F98" w:rsidRDefault="00747050" w:rsidP="005430B1">
      <w:pPr>
        <w:tabs>
          <w:tab w:val="left" w:pos="720"/>
          <w:tab w:val="left" w:pos="1440"/>
        </w:tabs>
        <w:ind w:right="-90"/>
        <w:jc w:val="both"/>
        <w:rPr>
          <w:rFonts w:ascii="Arial" w:hAnsi="Arial"/>
          <w:sz w:val="20"/>
        </w:rPr>
      </w:pPr>
      <w:r>
        <w:rPr>
          <w:rFonts w:ascii="Arial" w:hAnsi="Arial"/>
          <w:sz w:val="20"/>
        </w:rPr>
        <w:t xml:space="preserve">If the Company issues </w:t>
      </w:r>
      <w:r w:rsidR="005430B1" w:rsidRPr="00046A3A">
        <w:rPr>
          <w:rFonts w:ascii="Arial" w:hAnsi="Arial"/>
          <w:sz w:val="20"/>
        </w:rPr>
        <w:t xml:space="preserve">secured debt it would do so by issuing First Mortgage Bonds (FMBs). FMBs have been the traditional debt financing vehicle utilized by utilities in the U.S., and </w:t>
      </w:r>
      <w:r w:rsidR="00137F55">
        <w:rPr>
          <w:rFonts w:ascii="Arial" w:hAnsi="Arial"/>
          <w:sz w:val="20"/>
        </w:rPr>
        <w:t>can be</w:t>
      </w:r>
      <w:r w:rsidR="005430B1" w:rsidRPr="00046A3A">
        <w:rPr>
          <w:rFonts w:ascii="Arial" w:hAnsi="Arial"/>
          <w:sz w:val="20"/>
        </w:rPr>
        <w:t xml:space="preserve"> offered in </w:t>
      </w:r>
      <w:r w:rsidR="00137F55">
        <w:rPr>
          <w:rFonts w:ascii="Arial" w:hAnsi="Arial"/>
          <w:sz w:val="20"/>
        </w:rPr>
        <w:t xml:space="preserve">both </w:t>
      </w:r>
      <w:r w:rsidR="005430B1" w:rsidRPr="00046A3A">
        <w:rPr>
          <w:rFonts w:ascii="Arial" w:hAnsi="Arial"/>
          <w:sz w:val="20"/>
        </w:rPr>
        <w:t xml:space="preserve">public offerings </w:t>
      </w:r>
      <w:r w:rsidR="00137F55">
        <w:rPr>
          <w:rFonts w:ascii="Arial" w:hAnsi="Arial"/>
          <w:sz w:val="20"/>
        </w:rPr>
        <w:t>and private placement</w:t>
      </w:r>
      <w:r>
        <w:rPr>
          <w:rFonts w:ascii="Arial" w:hAnsi="Arial"/>
          <w:sz w:val="20"/>
        </w:rPr>
        <w:t>. FMBs constitute</w:t>
      </w:r>
      <w:r w:rsidR="005430B1" w:rsidRPr="00046A3A">
        <w:rPr>
          <w:rFonts w:ascii="Arial" w:hAnsi="Arial"/>
          <w:sz w:val="20"/>
        </w:rPr>
        <w:t xml:space="preserve"> a lien under the Mortgage and Deed of Trust, dated as of June 1, 1939 (the mortgage and deed of trust has been amended and supplemented by various supplemental indentures since the inception of the Mortgage and Deed of Trust). This lien acts as collateral for the bondholder and the secured debt should have a higher nationally recognized rating agency rating than if the Applicant </w:t>
      </w:r>
      <w:r w:rsidR="005430B1" w:rsidRPr="00220F98">
        <w:rPr>
          <w:rFonts w:ascii="Arial" w:hAnsi="Arial"/>
          <w:sz w:val="20"/>
        </w:rPr>
        <w:t xml:space="preserve">were to issue debt unsecured. This higher credit rating should lead to a lower interest rate at the time of issuance as compared to issuing unsecured debt. These Debt Securities could have a fixed or floating interest rate. See Exhibit B for the secured fixed interest rate spreads. </w:t>
      </w:r>
    </w:p>
    <w:p w:rsidR="005430B1" w:rsidRPr="00220F98" w:rsidRDefault="005430B1" w:rsidP="005430B1">
      <w:pPr>
        <w:tabs>
          <w:tab w:val="left" w:pos="720"/>
          <w:tab w:val="left" w:pos="1440"/>
        </w:tabs>
        <w:ind w:right="-90"/>
        <w:jc w:val="both"/>
        <w:rPr>
          <w:rFonts w:ascii="Arial" w:hAnsi="Arial"/>
          <w:sz w:val="20"/>
        </w:rPr>
      </w:pPr>
    </w:p>
    <w:p w:rsidR="005430B1" w:rsidRPr="00220F98" w:rsidRDefault="005430B1" w:rsidP="005430B1">
      <w:pPr>
        <w:tabs>
          <w:tab w:val="left" w:pos="720"/>
          <w:tab w:val="left" w:pos="1440"/>
        </w:tabs>
        <w:ind w:right="-90"/>
        <w:jc w:val="both"/>
        <w:rPr>
          <w:rFonts w:ascii="Arial" w:hAnsi="Arial"/>
          <w:sz w:val="20"/>
        </w:rPr>
      </w:pPr>
      <w:r w:rsidRPr="00220F98">
        <w:rPr>
          <w:rFonts w:ascii="Arial" w:hAnsi="Arial"/>
          <w:sz w:val="20"/>
        </w:rPr>
        <w:t xml:space="preserve">If the Company issues unsecured debt, the loan would not be collateralized by any lien on any specific asset of the Company. If these Debt Securities are unsecured the creditors have a greater risk of not being able to recover their loans made to the Company because they have to wait for the secured creditors to be paid first. Unsecured debt should have a lower nationally recognized rating agency rating than if the Applicant were to issue secured debt. Unsecured debt typically has a higher interest rate at the time of issuance as compared to issuing secured debt. These Debt Securities could have a fixed or floating interest rate. See Exhibit C for the unsecured fixed interest rate spreads. </w:t>
      </w:r>
    </w:p>
    <w:p w:rsidR="005430B1" w:rsidRPr="00220F98" w:rsidRDefault="005430B1" w:rsidP="005430B1">
      <w:pPr>
        <w:tabs>
          <w:tab w:val="left" w:pos="720"/>
          <w:tab w:val="left" w:pos="1440"/>
        </w:tabs>
        <w:ind w:right="-90"/>
        <w:jc w:val="both"/>
        <w:rPr>
          <w:rFonts w:ascii="Arial" w:hAnsi="Arial"/>
          <w:sz w:val="20"/>
        </w:rPr>
      </w:pPr>
    </w:p>
    <w:p w:rsidR="005430B1" w:rsidRPr="00220F98" w:rsidRDefault="005430B1" w:rsidP="005430B1">
      <w:pPr>
        <w:tabs>
          <w:tab w:val="left" w:pos="720"/>
          <w:tab w:val="left" w:pos="1440"/>
        </w:tabs>
        <w:ind w:right="-90"/>
        <w:jc w:val="both"/>
        <w:rPr>
          <w:rFonts w:ascii="Arial" w:hAnsi="Arial"/>
          <w:sz w:val="20"/>
        </w:rPr>
      </w:pPr>
      <w:r w:rsidRPr="00220F98">
        <w:rPr>
          <w:rFonts w:ascii="Arial" w:hAnsi="Arial"/>
          <w:sz w:val="20"/>
        </w:rPr>
        <w:t xml:space="preserve">If the Company issues Debt Securities with a fixed rate, the interest rate will not change through the life of the Debt Securities. </w:t>
      </w:r>
    </w:p>
    <w:p w:rsidR="005430B1" w:rsidRPr="00220F98" w:rsidRDefault="005430B1" w:rsidP="005430B1">
      <w:pPr>
        <w:tabs>
          <w:tab w:val="left" w:pos="720"/>
          <w:tab w:val="left" w:pos="1440"/>
        </w:tabs>
        <w:ind w:right="-90"/>
        <w:jc w:val="both"/>
        <w:rPr>
          <w:rFonts w:ascii="Arial" w:hAnsi="Arial"/>
          <w:sz w:val="20"/>
        </w:rPr>
      </w:pPr>
    </w:p>
    <w:p w:rsidR="005430B1" w:rsidRPr="00220F98" w:rsidRDefault="005430B1" w:rsidP="005430B1">
      <w:pPr>
        <w:tabs>
          <w:tab w:val="left" w:pos="720"/>
          <w:tab w:val="left" w:pos="1440"/>
        </w:tabs>
        <w:ind w:right="-90"/>
        <w:jc w:val="both"/>
        <w:rPr>
          <w:rFonts w:ascii="Arial" w:hAnsi="Arial"/>
          <w:sz w:val="20"/>
        </w:rPr>
      </w:pPr>
      <w:r w:rsidRPr="00220F98">
        <w:rPr>
          <w:rFonts w:ascii="Arial" w:hAnsi="Arial"/>
          <w:sz w:val="20"/>
        </w:rPr>
        <w:t>If the Company issues Debt Securities with a floating interest rate, the interest rate will reset periodically, such as daily, weekly, monthly, quarterly, semi-annually or annually. The most common indices used for pricing floating-rate Debt Securities are based upon LIBOR, commercial paper and Treasury bills.</w:t>
      </w:r>
    </w:p>
    <w:p w:rsidR="005430B1" w:rsidRPr="00220F98" w:rsidRDefault="005430B1" w:rsidP="005430B1">
      <w:pPr>
        <w:tabs>
          <w:tab w:val="left" w:pos="720"/>
          <w:tab w:val="left" w:pos="1440"/>
        </w:tabs>
        <w:ind w:right="-90"/>
        <w:jc w:val="both"/>
        <w:rPr>
          <w:rFonts w:ascii="Arial" w:hAnsi="Arial"/>
          <w:sz w:val="20"/>
        </w:rPr>
      </w:pPr>
    </w:p>
    <w:p w:rsidR="005430B1" w:rsidRDefault="005430B1" w:rsidP="005430B1">
      <w:pPr>
        <w:tabs>
          <w:tab w:val="left" w:pos="720"/>
          <w:tab w:val="left" w:pos="1440"/>
        </w:tabs>
        <w:ind w:right="-90"/>
        <w:jc w:val="both"/>
        <w:rPr>
          <w:rFonts w:ascii="Arial" w:hAnsi="Arial"/>
          <w:sz w:val="20"/>
        </w:rPr>
      </w:pPr>
      <w:r w:rsidRPr="00220F98">
        <w:rPr>
          <w:rFonts w:ascii="Arial" w:hAnsi="Arial"/>
          <w:sz w:val="20"/>
        </w:rPr>
        <w:t>The Applicant proposes to issue the Debt Securities from time to time in either public offerings or private placements, for cash or in exchange for its outstanding securities.</w:t>
      </w:r>
      <w:r w:rsidR="00220F98" w:rsidRPr="00220F98">
        <w:rPr>
          <w:rFonts w:ascii="Arial" w:hAnsi="Arial"/>
          <w:sz w:val="20"/>
        </w:rPr>
        <w:t xml:space="preserve">  </w:t>
      </w:r>
      <w:r w:rsidRPr="00220F98">
        <w:rPr>
          <w:rFonts w:ascii="Arial" w:hAnsi="Arial"/>
          <w:sz w:val="20"/>
        </w:rPr>
        <w:t>Underwriters or placement agents will be selected from a group of potential candidates. The firm or firms selected to be underwriters or placement agents in an offering under this authority will be determined by the Applicant's opinion of their ability to assist the Applicant in meeting its objectives for the Debt Securities to be issued. This opinion is based upon the level of underwriting or placement fees, their knowledge of the Applicant and its varied operations, and their ability to market the Debt Securities to achieve the Applicant's financing and capital structure objectives. The Applicant also requests authority to issue Debt Securities</w:t>
      </w:r>
      <w:r w:rsidR="00747050">
        <w:rPr>
          <w:rFonts w:ascii="Arial" w:hAnsi="Arial"/>
          <w:sz w:val="20"/>
        </w:rPr>
        <w:t>,</w:t>
      </w:r>
      <w:r w:rsidRPr="00220F98">
        <w:rPr>
          <w:rFonts w:ascii="Arial" w:hAnsi="Arial"/>
          <w:sz w:val="20"/>
        </w:rPr>
        <w:t xml:space="preserve"> without further Commission approval</w:t>
      </w:r>
      <w:r w:rsidR="00747050">
        <w:rPr>
          <w:rFonts w:ascii="Arial" w:hAnsi="Arial"/>
          <w:sz w:val="20"/>
        </w:rPr>
        <w:t>,</w:t>
      </w:r>
      <w:r w:rsidRPr="00220F98">
        <w:rPr>
          <w:rFonts w:ascii="Arial" w:hAnsi="Arial"/>
          <w:sz w:val="20"/>
        </w:rPr>
        <w:t xml:space="preserve"> to the extent total spreads</w:t>
      </w:r>
      <w:r w:rsidR="00747050">
        <w:rPr>
          <w:rFonts w:ascii="Arial" w:hAnsi="Arial"/>
          <w:sz w:val="20"/>
        </w:rPr>
        <w:t xml:space="preserve"> meet those provided in Exhibit B and </w:t>
      </w:r>
      <w:r w:rsidRPr="00220F98">
        <w:rPr>
          <w:rFonts w:ascii="Arial" w:hAnsi="Arial"/>
          <w:sz w:val="20"/>
        </w:rPr>
        <w:t>Exhibit C or is issued with an all-in coupon rate not exceeding 8.0 percent per annum in order to provide additional flexibility in the event spreads widen when the Applicant decides to issue any Debt.</w:t>
      </w:r>
    </w:p>
    <w:p w:rsidR="00F477AE" w:rsidRDefault="00F477AE" w:rsidP="00325628">
      <w:pPr>
        <w:pStyle w:val="BodyTextIndent"/>
        <w:tabs>
          <w:tab w:val="clear" w:pos="980"/>
          <w:tab w:val="left" w:pos="1160"/>
        </w:tabs>
        <w:rPr>
          <w:rFonts w:ascii="Arial" w:hAnsi="Arial"/>
        </w:rPr>
      </w:pPr>
    </w:p>
    <w:p w:rsidR="006708D2" w:rsidRPr="00A50D57" w:rsidRDefault="006708D2" w:rsidP="006708D2">
      <w:pPr>
        <w:pStyle w:val="BodyTextIndent"/>
        <w:tabs>
          <w:tab w:val="left" w:pos="540"/>
          <w:tab w:val="left" w:pos="900"/>
        </w:tabs>
        <w:ind w:left="0"/>
        <w:rPr>
          <w:rFonts w:ascii="Arial" w:hAnsi="Arial"/>
          <w:i/>
        </w:rPr>
      </w:pPr>
      <w:r w:rsidRPr="00A50D57">
        <w:rPr>
          <w:rFonts w:ascii="Arial" w:hAnsi="Arial"/>
          <w:i/>
        </w:rPr>
        <w:t>Long-Term Incentive Plan:</w:t>
      </w:r>
    </w:p>
    <w:p w:rsidR="006708D2" w:rsidRPr="006708D2" w:rsidRDefault="006708D2" w:rsidP="006708D2">
      <w:pPr>
        <w:pStyle w:val="BodyTextIndent"/>
        <w:tabs>
          <w:tab w:val="left" w:pos="540"/>
          <w:tab w:val="left" w:pos="900"/>
        </w:tabs>
        <w:rPr>
          <w:rFonts w:ascii="Arial" w:hAnsi="Arial"/>
          <w:i/>
          <w:highlight w:val="yellow"/>
        </w:rPr>
      </w:pPr>
    </w:p>
    <w:p w:rsidR="006708D2" w:rsidRPr="00A50D57" w:rsidRDefault="006708D2" w:rsidP="006708D2">
      <w:pPr>
        <w:pStyle w:val="BodyTextIndent"/>
        <w:tabs>
          <w:tab w:val="left" w:pos="540"/>
          <w:tab w:val="left" w:pos="900"/>
        </w:tabs>
        <w:ind w:left="0"/>
        <w:rPr>
          <w:rFonts w:ascii="Arial" w:hAnsi="Arial"/>
        </w:rPr>
      </w:pPr>
      <w:r w:rsidRPr="00A50D57">
        <w:rPr>
          <w:rFonts w:ascii="Arial" w:hAnsi="Arial"/>
        </w:rPr>
        <w:t>The Applica</w:t>
      </w:r>
      <w:r w:rsidR="00A50D57" w:rsidRPr="00A50D57">
        <w:rPr>
          <w:rFonts w:ascii="Arial" w:hAnsi="Arial"/>
        </w:rPr>
        <w:t>nt proposes to issue up to 1,635</w:t>
      </w:r>
      <w:r w:rsidRPr="00A50D57">
        <w:rPr>
          <w:rFonts w:ascii="Arial" w:hAnsi="Arial"/>
        </w:rPr>
        <w:t xml:space="preserve">,000 shares of authorized but unissued Common Stock under its Long-Term Incentive Plan (“LTIP”). This is </w:t>
      </w:r>
      <w:r w:rsidRPr="00A50D57">
        <w:rPr>
          <w:rFonts w:ascii="Arial" w:hAnsi="Arial" w:cs="Arial"/>
        </w:rPr>
        <w:t xml:space="preserve">in addition to the authority previously granted by the Washington Utilities and Transportation Commission under </w:t>
      </w:r>
      <w:r w:rsidR="00A50D57" w:rsidRPr="00A50D57">
        <w:rPr>
          <w:rFonts w:ascii="Arial" w:hAnsi="Arial" w:cs="Arial"/>
        </w:rPr>
        <w:t>Order No. 01, entered October 13, 2011, in Docket No. U-111687</w:t>
      </w:r>
      <w:r w:rsidRPr="00A50D57">
        <w:rPr>
          <w:rFonts w:ascii="Arial" w:hAnsi="Arial" w:cs="Arial"/>
        </w:rPr>
        <w:t xml:space="preserve">, </w:t>
      </w:r>
      <w:r w:rsidRPr="002A5B02">
        <w:rPr>
          <w:rFonts w:ascii="Arial" w:hAnsi="Arial" w:cs="Arial"/>
        </w:rPr>
        <w:t xml:space="preserve">of which </w:t>
      </w:r>
      <w:r w:rsidR="009E5037">
        <w:rPr>
          <w:rFonts w:ascii="Arial" w:hAnsi="Arial" w:cs="Arial"/>
        </w:rPr>
        <w:t>38</w:t>
      </w:r>
      <w:r w:rsidR="008104FD">
        <w:rPr>
          <w:rFonts w:ascii="Arial" w:hAnsi="Arial" w:cs="Arial"/>
        </w:rPr>
        <w:t>1,</w:t>
      </w:r>
      <w:r w:rsidR="009E5037">
        <w:rPr>
          <w:rFonts w:ascii="Arial" w:hAnsi="Arial" w:cs="Arial"/>
        </w:rPr>
        <w:t>664</w:t>
      </w:r>
      <w:r w:rsidRPr="002A5B02">
        <w:rPr>
          <w:rFonts w:ascii="Arial" w:hAnsi="Arial" w:cs="Arial"/>
        </w:rPr>
        <w:t xml:space="preserve"> shares</w:t>
      </w:r>
      <w:r w:rsidRPr="00A50D57">
        <w:rPr>
          <w:rFonts w:ascii="Arial" w:hAnsi="Arial" w:cs="Arial"/>
        </w:rPr>
        <w:t xml:space="preserve"> remain available for awards pursuant to the Company’s long-term incentive plan; however, </w:t>
      </w:r>
      <w:r w:rsidR="001100F8">
        <w:rPr>
          <w:rFonts w:ascii="Arial" w:hAnsi="Arial" w:cs="Arial"/>
        </w:rPr>
        <w:t xml:space="preserve">if </w:t>
      </w:r>
      <w:r w:rsidRPr="00A50D57">
        <w:rPr>
          <w:rFonts w:ascii="Arial" w:hAnsi="Arial" w:cs="Arial"/>
        </w:rPr>
        <w:t xml:space="preserve">the shares </w:t>
      </w:r>
      <w:r w:rsidR="00DF19DD">
        <w:rPr>
          <w:rFonts w:ascii="Arial" w:hAnsi="Arial" w:cs="Arial"/>
        </w:rPr>
        <w:t>awarded</w:t>
      </w:r>
      <w:r w:rsidRPr="00A50D57">
        <w:rPr>
          <w:rFonts w:ascii="Arial" w:hAnsi="Arial" w:cs="Arial"/>
        </w:rPr>
        <w:t xml:space="preserve"> in </w:t>
      </w:r>
      <w:r w:rsidR="002A5B02">
        <w:rPr>
          <w:rFonts w:ascii="Arial" w:hAnsi="Arial" w:cs="Arial"/>
        </w:rPr>
        <w:t>2013</w:t>
      </w:r>
      <w:r w:rsidR="00A57FEC">
        <w:rPr>
          <w:rFonts w:ascii="Arial" w:hAnsi="Arial" w:cs="Arial"/>
        </w:rPr>
        <w:t xml:space="preserve"> through 2015</w:t>
      </w:r>
      <w:r w:rsidR="001100F8">
        <w:rPr>
          <w:rFonts w:ascii="Arial" w:hAnsi="Arial" w:cs="Arial"/>
        </w:rPr>
        <w:t xml:space="preserve"> do not become fully vested</w:t>
      </w:r>
      <w:r w:rsidRPr="00A50D57">
        <w:rPr>
          <w:rFonts w:ascii="Arial" w:hAnsi="Arial" w:cs="Arial"/>
        </w:rPr>
        <w:t xml:space="preserve">, the Company </w:t>
      </w:r>
      <w:r w:rsidRPr="002A5B02">
        <w:rPr>
          <w:rFonts w:ascii="Arial" w:hAnsi="Arial"/>
        </w:rPr>
        <w:t xml:space="preserve">would have </w:t>
      </w:r>
      <w:r w:rsidR="001100F8">
        <w:rPr>
          <w:rFonts w:ascii="Arial" w:hAnsi="Arial"/>
        </w:rPr>
        <w:t xml:space="preserve">up to </w:t>
      </w:r>
      <w:r w:rsidR="00E53934">
        <w:rPr>
          <w:rFonts w:ascii="Arial" w:hAnsi="Arial"/>
        </w:rPr>
        <w:t>1,521,705</w:t>
      </w:r>
      <w:r w:rsidRPr="00A50D57">
        <w:rPr>
          <w:rFonts w:ascii="Arial" w:hAnsi="Arial" w:cs="Arial"/>
        </w:rPr>
        <w:t xml:space="preserve"> shares available</w:t>
      </w:r>
      <w:r w:rsidR="002A5B02">
        <w:rPr>
          <w:rFonts w:ascii="Arial" w:hAnsi="Arial" w:cs="Arial"/>
        </w:rPr>
        <w:t xml:space="preserve"> (includes authorization from UE-051895)</w:t>
      </w:r>
      <w:r w:rsidRPr="00A50D57">
        <w:rPr>
          <w:rFonts w:ascii="Arial" w:hAnsi="Arial" w:cs="Arial"/>
        </w:rPr>
        <w:t>.</w:t>
      </w:r>
    </w:p>
    <w:p w:rsidR="006708D2" w:rsidRPr="006708D2" w:rsidRDefault="006708D2" w:rsidP="006708D2">
      <w:pPr>
        <w:pStyle w:val="BodyTextIndent"/>
        <w:tabs>
          <w:tab w:val="left" w:pos="540"/>
          <w:tab w:val="left" w:pos="900"/>
        </w:tabs>
        <w:rPr>
          <w:rFonts w:ascii="Arial" w:hAnsi="Arial"/>
          <w:highlight w:val="yellow"/>
        </w:rPr>
      </w:pPr>
    </w:p>
    <w:p w:rsidR="006708D2" w:rsidRPr="00A57FEC" w:rsidRDefault="006708D2" w:rsidP="006708D2">
      <w:pPr>
        <w:pStyle w:val="BodyTextIndent"/>
        <w:tabs>
          <w:tab w:val="left" w:pos="540"/>
          <w:tab w:val="left" w:pos="900"/>
        </w:tabs>
        <w:ind w:left="0"/>
        <w:rPr>
          <w:rFonts w:ascii="Arial" w:hAnsi="Arial"/>
        </w:rPr>
      </w:pPr>
      <w:r w:rsidRPr="00A57FEC">
        <w:rPr>
          <w:rFonts w:ascii="Arial" w:hAnsi="Arial"/>
        </w:rPr>
        <w:t xml:space="preserve">The LTIP is administered by the Board of Directors of the Applicant or a committee or committees appointed by, and consisting of two or more members of the Board of Directors of the Applicant. To the extent consistent with applicable law, the Board of Directors may authorize one or more senior executive officers of the Applicant to grant awards to designated classes of eligible employees within the limits prescribed by the Board of Directors. Such shares were previously authorized by shareholders at the annual meeting dated May </w:t>
      </w:r>
      <w:r w:rsidR="00997401">
        <w:rPr>
          <w:rFonts w:ascii="Arial" w:hAnsi="Arial"/>
        </w:rPr>
        <w:t>7</w:t>
      </w:r>
      <w:r w:rsidRPr="00A57FEC">
        <w:rPr>
          <w:rFonts w:ascii="Arial" w:hAnsi="Arial"/>
        </w:rPr>
        <w:t>, 201</w:t>
      </w:r>
      <w:r w:rsidR="00997401">
        <w:rPr>
          <w:rFonts w:ascii="Arial" w:hAnsi="Arial"/>
        </w:rPr>
        <w:t>5</w:t>
      </w:r>
      <w:r w:rsidRPr="00A57FEC">
        <w:rPr>
          <w:rFonts w:ascii="Arial" w:hAnsi="Arial"/>
        </w:rPr>
        <w:t>.</w:t>
      </w:r>
    </w:p>
    <w:p w:rsidR="006708D2" w:rsidRPr="006708D2" w:rsidRDefault="006708D2" w:rsidP="006708D2">
      <w:pPr>
        <w:pStyle w:val="BodyTextIndent"/>
        <w:tabs>
          <w:tab w:val="left" w:pos="540"/>
          <w:tab w:val="left" w:pos="900"/>
        </w:tabs>
        <w:rPr>
          <w:rFonts w:ascii="Arial" w:hAnsi="Arial"/>
          <w:highlight w:val="yellow"/>
        </w:rPr>
      </w:pPr>
    </w:p>
    <w:p w:rsidR="006708D2" w:rsidRDefault="006708D2" w:rsidP="006708D2">
      <w:pPr>
        <w:pStyle w:val="BodyTextIndent"/>
        <w:tabs>
          <w:tab w:val="clear" w:pos="980"/>
          <w:tab w:val="clear" w:pos="1440"/>
          <w:tab w:val="clear" w:pos="5760"/>
          <w:tab w:val="left" w:pos="540"/>
          <w:tab w:val="left" w:pos="900"/>
        </w:tabs>
        <w:ind w:left="0"/>
        <w:rPr>
          <w:rFonts w:ascii="Arial" w:hAnsi="Arial"/>
        </w:rPr>
      </w:pPr>
      <w:r w:rsidRPr="004A7956">
        <w:rPr>
          <w:rFonts w:ascii="Arial" w:hAnsi="Arial"/>
        </w:rPr>
        <w:t xml:space="preserve">Such Awards issued under the LTIP may include, but are not limited to, Incentive Stock Options, Nonqualified Stock Options, Stock Appreciation Rights, Stock Awards, Performance Awards, </w:t>
      </w:r>
      <w:r w:rsidR="005F663E">
        <w:rPr>
          <w:rFonts w:ascii="Arial" w:hAnsi="Arial"/>
        </w:rPr>
        <w:t xml:space="preserve">Restricted Stock Units, </w:t>
      </w:r>
      <w:r w:rsidRPr="004A7956">
        <w:rPr>
          <w:rFonts w:ascii="Arial" w:hAnsi="Arial"/>
        </w:rPr>
        <w:t xml:space="preserve">Other Stock-Based Awards and Dividend Equivalent Rights. Awards may be granted singly, in combination or in tandem so that the settlement or payment of one automatically reduces or cancels the </w:t>
      </w:r>
      <w:r w:rsidRPr="004A7956">
        <w:rPr>
          <w:rFonts w:ascii="Arial" w:hAnsi="Arial"/>
        </w:rPr>
        <w:lastRenderedPageBreak/>
        <w:t>other. Awards may also be made in combination or in tandem with, as alternatives to, or as the payment form for, grants or rights under any other employee or compensation plan of the Company.</w:t>
      </w:r>
    </w:p>
    <w:p w:rsidR="004A7956" w:rsidRDefault="004A7956" w:rsidP="006708D2">
      <w:pPr>
        <w:pStyle w:val="BodyTextIndent"/>
        <w:tabs>
          <w:tab w:val="clear" w:pos="980"/>
          <w:tab w:val="clear" w:pos="1440"/>
          <w:tab w:val="clear" w:pos="5760"/>
          <w:tab w:val="left" w:pos="540"/>
          <w:tab w:val="left" w:pos="900"/>
        </w:tabs>
        <w:ind w:left="0"/>
        <w:rPr>
          <w:rFonts w:ascii="Arial" w:hAnsi="Arial"/>
        </w:rPr>
      </w:pPr>
    </w:p>
    <w:p w:rsidR="004A7956" w:rsidRPr="004A7956" w:rsidRDefault="004A7956" w:rsidP="004A7956">
      <w:pPr>
        <w:rPr>
          <w:rFonts w:ascii="Arial" w:hAnsi="Arial"/>
          <w:sz w:val="20"/>
        </w:rPr>
      </w:pPr>
      <w:r w:rsidRPr="004A7956">
        <w:rPr>
          <w:rFonts w:ascii="Arial" w:hAnsi="Arial"/>
          <w:sz w:val="20"/>
        </w:rPr>
        <w:t xml:space="preserve">Shares </w:t>
      </w:r>
      <w:r w:rsidR="005F663E">
        <w:rPr>
          <w:rFonts w:ascii="Arial" w:hAnsi="Arial"/>
          <w:sz w:val="20"/>
        </w:rPr>
        <w:t>awarde</w:t>
      </w:r>
      <w:r w:rsidR="005B4FC0">
        <w:rPr>
          <w:rFonts w:ascii="Arial" w:hAnsi="Arial"/>
          <w:sz w:val="20"/>
        </w:rPr>
        <w:t>d</w:t>
      </w:r>
      <w:r w:rsidRPr="004A7956">
        <w:rPr>
          <w:rFonts w:ascii="Arial" w:hAnsi="Arial"/>
          <w:sz w:val="20"/>
        </w:rPr>
        <w:t xml:space="preserve"> under the LTIP to eligible participants can be granted </w:t>
      </w:r>
      <w:r w:rsidR="005B4FC0">
        <w:rPr>
          <w:rFonts w:ascii="Arial" w:hAnsi="Arial"/>
          <w:sz w:val="20"/>
        </w:rPr>
        <w:t xml:space="preserve">subject to </w:t>
      </w:r>
      <w:r w:rsidRPr="004A7956">
        <w:rPr>
          <w:rFonts w:ascii="Arial" w:hAnsi="Arial"/>
          <w:sz w:val="20"/>
        </w:rPr>
        <w:t xml:space="preserve">a </w:t>
      </w:r>
      <w:r>
        <w:rPr>
          <w:rFonts w:ascii="Arial" w:hAnsi="Arial"/>
          <w:sz w:val="20"/>
        </w:rPr>
        <w:t>vesting period</w:t>
      </w:r>
      <w:r w:rsidR="00167BA3">
        <w:rPr>
          <w:rFonts w:ascii="Arial" w:hAnsi="Arial"/>
          <w:sz w:val="20"/>
        </w:rPr>
        <w:t xml:space="preserve"> and other performance measures that determine the extent of vesting</w:t>
      </w:r>
      <w:r w:rsidRPr="004A7956">
        <w:rPr>
          <w:rFonts w:ascii="Arial" w:hAnsi="Arial"/>
          <w:sz w:val="20"/>
        </w:rPr>
        <w:t xml:space="preserve">.  </w:t>
      </w:r>
      <w:r w:rsidR="00167BA3">
        <w:rPr>
          <w:rFonts w:ascii="Arial" w:hAnsi="Arial"/>
          <w:sz w:val="20"/>
        </w:rPr>
        <w:t xml:space="preserve">To the extent that </w:t>
      </w:r>
      <w:r>
        <w:rPr>
          <w:rFonts w:ascii="Arial" w:hAnsi="Arial"/>
          <w:sz w:val="20"/>
        </w:rPr>
        <w:t xml:space="preserve">previously </w:t>
      </w:r>
      <w:r w:rsidRPr="004A7956">
        <w:rPr>
          <w:rFonts w:ascii="Arial" w:hAnsi="Arial"/>
          <w:sz w:val="20"/>
        </w:rPr>
        <w:t xml:space="preserve">awarded </w:t>
      </w:r>
      <w:r>
        <w:rPr>
          <w:rFonts w:ascii="Arial" w:hAnsi="Arial"/>
          <w:sz w:val="20"/>
        </w:rPr>
        <w:t xml:space="preserve">shares are not </w:t>
      </w:r>
      <w:r w:rsidR="00167BA3">
        <w:rPr>
          <w:rFonts w:ascii="Arial" w:hAnsi="Arial"/>
          <w:sz w:val="20"/>
        </w:rPr>
        <w:t>vested to</w:t>
      </w:r>
      <w:r w:rsidRPr="004A7956">
        <w:rPr>
          <w:rFonts w:ascii="Arial" w:hAnsi="Arial"/>
          <w:sz w:val="20"/>
        </w:rPr>
        <w:t xml:space="preserve"> the participants</w:t>
      </w:r>
      <w:r>
        <w:rPr>
          <w:rFonts w:ascii="Arial" w:hAnsi="Arial"/>
          <w:sz w:val="20"/>
        </w:rPr>
        <w:t>,</w:t>
      </w:r>
      <w:r w:rsidRPr="004A7956">
        <w:rPr>
          <w:rFonts w:ascii="Arial" w:hAnsi="Arial"/>
          <w:sz w:val="20"/>
        </w:rPr>
        <w:t xml:space="preserve"> the shares can be added back to the LTIP program.</w:t>
      </w:r>
    </w:p>
    <w:p w:rsidR="004A7956" w:rsidRDefault="004A7956" w:rsidP="006708D2">
      <w:pPr>
        <w:pStyle w:val="BodyTextIndent"/>
        <w:tabs>
          <w:tab w:val="clear" w:pos="980"/>
          <w:tab w:val="clear" w:pos="1440"/>
          <w:tab w:val="clear" w:pos="5760"/>
          <w:tab w:val="left" w:pos="540"/>
          <w:tab w:val="left" w:pos="900"/>
        </w:tabs>
        <w:ind w:left="0"/>
        <w:rPr>
          <w:rFonts w:ascii="Arial" w:hAnsi="Arial"/>
        </w:rPr>
      </w:pPr>
    </w:p>
    <w:p w:rsidR="006708D2" w:rsidRPr="0052151F" w:rsidRDefault="006708D2" w:rsidP="00325628">
      <w:pPr>
        <w:pStyle w:val="BodyTextIndent"/>
        <w:tabs>
          <w:tab w:val="clear" w:pos="980"/>
          <w:tab w:val="left" w:pos="1160"/>
        </w:tabs>
        <w:rPr>
          <w:rFonts w:ascii="Arial" w:hAnsi="Arial"/>
        </w:rPr>
      </w:pPr>
    </w:p>
    <w:p w:rsidR="00F477AE" w:rsidRPr="0052151F" w:rsidRDefault="00F477AE" w:rsidP="00325628">
      <w:pPr>
        <w:pStyle w:val="BodyTextIndent"/>
        <w:tabs>
          <w:tab w:val="clear" w:pos="980"/>
          <w:tab w:val="left" w:pos="1160"/>
        </w:tabs>
        <w:rPr>
          <w:rFonts w:ascii="Arial" w:hAnsi="Arial"/>
        </w:rPr>
      </w:pPr>
    </w:p>
    <w:p w:rsidR="00F477AE" w:rsidRDefault="00F477AE" w:rsidP="00F477AE">
      <w:pPr>
        <w:numPr>
          <w:ilvl w:val="0"/>
          <w:numId w:val="3"/>
        </w:numPr>
        <w:ind w:right="100"/>
        <w:jc w:val="both"/>
        <w:rPr>
          <w:rFonts w:ascii="Arial" w:hAnsi="Arial"/>
          <w:b/>
          <w:sz w:val="20"/>
        </w:rPr>
      </w:pPr>
      <w:r>
        <w:rPr>
          <w:rFonts w:ascii="Arial" w:hAnsi="Arial"/>
          <w:b/>
          <w:sz w:val="20"/>
        </w:rPr>
        <w:t>Statement As To Why The Transaction Is In the Public Interest.</w:t>
      </w:r>
    </w:p>
    <w:p w:rsidR="00F477AE" w:rsidRDefault="00F477AE" w:rsidP="00F477AE">
      <w:pPr>
        <w:ind w:right="100"/>
        <w:jc w:val="both"/>
        <w:rPr>
          <w:rFonts w:ascii="Arial" w:hAnsi="Arial"/>
          <w:b/>
          <w:sz w:val="20"/>
        </w:rPr>
      </w:pPr>
    </w:p>
    <w:p w:rsidR="008308F6" w:rsidRPr="007F592E" w:rsidRDefault="008308F6" w:rsidP="008308F6">
      <w:pPr>
        <w:tabs>
          <w:tab w:val="left" w:pos="720"/>
          <w:tab w:val="left" w:pos="1440"/>
        </w:tabs>
        <w:ind w:right="-90"/>
        <w:jc w:val="both"/>
        <w:rPr>
          <w:rFonts w:ascii="Arial" w:hAnsi="Arial"/>
          <w:sz w:val="20"/>
        </w:rPr>
      </w:pPr>
      <w:r w:rsidRPr="007F592E">
        <w:rPr>
          <w:rFonts w:ascii="Arial" w:hAnsi="Arial"/>
          <w:sz w:val="20"/>
        </w:rPr>
        <w:t xml:space="preserve">As a public utility, the Applicant is expected to acquire, construct, improve, and maintain sufficient utility facilities to serve its customers adequately and reliably at reasonable cost. The proposed issuances are part of program to finance the cost of the Applicant's facilities taking into consideration prudent capital ratios, earnings coverage tests, market uncertainties and the relative merits of the various types of securities the Applicant could sell or other financing it could arrange. </w:t>
      </w:r>
      <w:r w:rsidR="004B3BAC">
        <w:rPr>
          <w:rFonts w:ascii="Arial" w:hAnsi="Arial"/>
          <w:sz w:val="20"/>
        </w:rPr>
        <w:t xml:space="preserve">The LTIP allows the Applicant to retain its employees and other eligible participants.  </w:t>
      </w:r>
      <w:r w:rsidRPr="007F592E">
        <w:rPr>
          <w:rFonts w:ascii="Arial" w:hAnsi="Arial"/>
          <w:sz w:val="20"/>
        </w:rPr>
        <w:t>Accordingly, the Applicant believes the requested authority is in the public interest.</w:t>
      </w:r>
    </w:p>
    <w:p w:rsidR="006708D2" w:rsidRDefault="006708D2" w:rsidP="006708D2">
      <w:pPr>
        <w:pStyle w:val="BodyText"/>
        <w:tabs>
          <w:tab w:val="clear" w:pos="360"/>
          <w:tab w:val="clear" w:pos="1080"/>
          <w:tab w:val="clear" w:pos="1800"/>
          <w:tab w:val="clear" w:pos="5580"/>
          <w:tab w:val="left" w:pos="0"/>
          <w:tab w:val="left" w:pos="1440"/>
          <w:tab w:val="left" w:pos="5760"/>
        </w:tabs>
        <w:spacing w:line="240" w:lineRule="auto"/>
        <w:rPr>
          <w:rFonts w:ascii="Arial" w:hAnsi="Arial"/>
        </w:rPr>
      </w:pPr>
    </w:p>
    <w:p w:rsidR="00325628" w:rsidRDefault="00325628" w:rsidP="00F477AE">
      <w:pPr>
        <w:pStyle w:val="BodyText"/>
        <w:tabs>
          <w:tab w:val="clear" w:pos="360"/>
          <w:tab w:val="clear" w:pos="1080"/>
          <w:tab w:val="clear" w:pos="1800"/>
          <w:tab w:val="clear" w:pos="5580"/>
          <w:tab w:val="left" w:pos="0"/>
          <w:tab w:val="left" w:pos="1440"/>
          <w:tab w:val="left" w:pos="5760"/>
        </w:tabs>
        <w:spacing w:line="240" w:lineRule="auto"/>
        <w:ind w:left="360"/>
        <w:rPr>
          <w:rFonts w:ascii="Arial" w:hAnsi="Arial"/>
        </w:rPr>
      </w:pPr>
    </w:p>
    <w:p w:rsidR="00F477AE" w:rsidRDefault="00F477AE" w:rsidP="00F477AE">
      <w:pPr>
        <w:numPr>
          <w:ilvl w:val="0"/>
          <w:numId w:val="3"/>
        </w:numPr>
        <w:ind w:right="100"/>
        <w:jc w:val="both"/>
        <w:rPr>
          <w:rFonts w:ascii="Arial" w:hAnsi="Arial"/>
          <w:b/>
          <w:sz w:val="20"/>
        </w:rPr>
      </w:pPr>
      <w:r>
        <w:rPr>
          <w:rFonts w:ascii="Arial" w:hAnsi="Arial"/>
          <w:b/>
          <w:sz w:val="20"/>
        </w:rPr>
        <w:t>Text of a Draft Order Granting Applicant’s Request for an Order.</w:t>
      </w:r>
    </w:p>
    <w:p w:rsidR="00F477AE" w:rsidRDefault="00F477AE" w:rsidP="00F477AE">
      <w:pPr>
        <w:ind w:left="360" w:right="100" w:hanging="360"/>
        <w:jc w:val="both"/>
        <w:rPr>
          <w:rFonts w:ascii="Arial" w:hAnsi="Arial"/>
          <w:b/>
          <w:sz w:val="20"/>
        </w:rPr>
      </w:pPr>
    </w:p>
    <w:p w:rsidR="00F477AE" w:rsidRDefault="00F477AE" w:rsidP="0096320A">
      <w:pPr>
        <w:pStyle w:val="BodyText"/>
        <w:tabs>
          <w:tab w:val="clear" w:pos="360"/>
          <w:tab w:val="clear" w:pos="1080"/>
          <w:tab w:val="clear" w:pos="1800"/>
          <w:tab w:val="clear" w:pos="5580"/>
          <w:tab w:val="left" w:pos="0"/>
          <w:tab w:val="left" w:pos="1440"/>
          <w:tab w:val="left" w:pos="5760"/>
        </w:tabs>
        <w:spacing w:line="240" w:lineRule="auto"/>
        <w:rPr>
          <w:rFonts w:ascii="Arial" w:hAnsi="Arial"/>
        </w:rPr>
      </w:pPr>
      <w:r>
        <w:rPr>
          <w:rFonts w:ascii="Arial" w:hAnsi="Arial"/>
        </w:rPr>
        <w:t xml:space="preserve">A copy of a draft order granting the Applicant’s request for an order </w:t>
      </w:r>
      <w:r w:rsidR="009E331A">
        <w:rPr>
          <w:rFonts w:ascii="Arial" w:hAnsi="Arial"/>
        </w:rPr>
        <w:t>is attached hereto as “Exhibit D</w:t>
      </w:r>
      <w:r>
        <w:rPr>
          <w:rFonts w:ascii="Arial" w:hAnsi="Arial"/>
        </w:rPr>
        <w:t>”.</w:t>
      </w:r>
    </w:p>
    <w:p w:rsidR="00F477AE" w:rsidRDefault="00F477AE" w:rsidP="00F477AE">
      <w:pPr>
        <w:ind w:left="360" w:right="100" w:hanging="360"/>
        <w:jc w:val="both"/>
        <w:rPr>
          <w:rFonts w:ascii="Arial" w:hAnsi="Arial"/>
          <w:b/>
          <w:sz w:val="20"/>
        </w:rPr>
      </w:pPr>
    </w:p>
    <w:p w:rsidR="00F477AE" w:rsidRPr="002E3996" w:rsidRDefault="002E3996" w:rsidP="002E3996">
      <w:pPr>
        <w:jc w:val="both"/>
        <w:rPr>
          <w:rFonts w:ascii="Arial" w:hAnsi="Arial"/>
          <w:sz w:val="20"/>
        </w:rPr>
      </w:pPr>
      <w:r>
        <w:rPr>
          <w:rFonts w:ascii="Arial" w:hAnsi="Arial"/>
          <w:sz w:val="20"/>
        </w:rPr>
        <w:t xml:space="preserve">The undersigned, an authorized agent of the Applicant, certifies under penalty of perjury under the laws of the State of Washington that the foregoing is true and correct to the best of my knowledge and belief, and that the proposed issuance of securities will be used for the purposes allowed by Chapter 80.08 RCW and </w:t>
      </w:r>
      <w:r w:rsidR="00F477AE" w:rsidRPr="002E3996">
        <w:rPr>
          <w:rFonts w:ascii="Arial" w:hAnsi="Arial"/>
          <w:sz w:val="20"/>
        </w:rPr>
        <w:t>requests that the Washington Utilities and Transportation Commission issue its order affirming that the applicant has complied with the requirements of RCW 80.08.040.</w:t>
      </w:r>
    </w:p>
    <w:p w:rsidR="00F477AE" w:rsidRDefault="00F477AE" w:rsidP="00F477AE">
      <w:pPr>
        <w:ind w:right="100"/>
        <w:jc w:val="both"/>
        <w:rPr>
          <w:rFonts w:ascii="Arial" w:hAnsi="Arial"/>
          <w:sz w:val="20"/>
        </w:rPr>
      </w:pPr>
    </w:p>
    <w:p w:rsidR="00325628" w:rsidRDefault="00325628" w:rsidP="00325628">
      <w:pPr>
        <w:ind w:right="100"/>
        <w:jc w:val="both"/>
        <w:rPr>
          <w:rFonts w:ascii="Arial" w:hAnsi="Arial"/>
          <w:sz w:val="20"/>
        </w:rPr>
      </w:pPr>
      <w:r>
        <w:rPr>
          <w:rFonts w:ascii="Arial" w:hAnsi="Arial"/>
          <w:sz w:val="20"/>
        </w:rPr>
        <w:t xml:space="preserve">Done at Spokane, Washington </w:t>
      </w:r>
      <w:r w:rsidRPr="009B080F">
        <w:rPr>
          <w:rFonts w:ascii="Arial" w:hAnsi="Arial"/>
          <w:sz w:val="20"/>
        </w:rPr>
        <w:t xml:space="preserve">this </w:t>
      </w:r>
      <w:r w:rsidR="009B080F" w:rsidRPr="009B080F">
        <w:rPr>
          <w:rFonts w:ascii="Arial" w:hAnsi="Arial"/>
          <w:sz w:val="20"/>
        </w:rPr>
        <w:t>11</w:t>
      </w:r>
      <w:r w:rsidR="009B080F" w:rsidRPr="009B080F">
        <w:rPr>
          <w:rFonts w:ascii="Arial" w:hAnsi="Arial"/>
          <w:sz w:val="20"/>
          <w:vertAlign w:val="superscript"/>
        </w:rPr>
        <w:t>th</w:t>
      </w:r>
      <w:r w:rsidR="009B080F" w:rsidRPr="009B080F">
        <w:rPr>
          <w:rFonts w:ascii="Arial" w:hAnsi="Arial"/>
          <w:sz w:val="20"/>
        </w:rPr>
        <w:t xml:space="preserve"> </w:t>
      </w:r>
      <w:r w:rsidRPr="009B080F">
        <w:rPr>
          <w:rFonts w:ascii="Arial" w:hAnsi="Arial"/>
          <w:sz w:val="20"/>
        </w:rPr>
        <w:t xml:space="preserve">day of </w:t>
      </w:r>
      <w:r w:rsidR="009B080F">
        <w:rPr>
          <w:rFonts w:ascii="Arial" w:hAnsi="Arial"/>
          <w:sz w:val="20"/>
        </w:rPr>
        <w:t>September</w:t>
      </w:r>
      <w:r w:rsidR="00DA7777">
        <w:rPr>
          <w:rFonts w:ascii="Arial" w:hAnsi="Arial"/>
          <w:sz w:val="20"/>
        </w:rPr>
        <w:t xml:space="preserve"> 2015</w:t>
      </w:r>
      <w:r>
        <w:rPr>
          <w:rFonts w:ascii="Arial" w:hAnsi="Arial"/>
          <w:sz w:val="20"/>
        </w:rPr>
        <w:t>.</w:t>
      </w:r>
    </w:p>
    <w:p w:rsidR="009B080F" w:rsidRDefault="009B080F" w:rsidP="00325628">
      <w:pPr>
        <w:ind w:right="100"/>
        <w:jc w:val="both"/>
        <w:rPr>
          <w:rFonts w:ascii="Arial" w:hAnsi="Arial"/>
          <w:sz w:val="20"/>
        </w:rPr>
      </w:pPr>
    </w:p>
    <w:p w:rsidR="00F477AE" w:rsidRDefault="00F477AE" w:rsidP="00F477AE">
      <w:pPr>
        <w:ind w:right="100"/>
        <w:jc w:val="both"/>
        <w:rPr>
          <w:rFonts w:ascii="Arial" w:hAnsi="Arial"/>
          <w:sz w:val="20"/>
        </w:rPr>
      </w:pPr>
    </w:p>
    <w:p w:rsidR="00F477AE" w:rsidRDefault="00F477AE" w:rsidP="00F477AE">
      <w:pPr>
        <w:ind w:right="100"/>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AVISTA CORPORATION</w:t>
      </w:r>
    </w:p>
    <w:p w:rsidR="00F477AE" w:rsidRDefault="00F477AE" w:rsidP="00F477AE">
      <w:pPr>
        <w:ind w:right="100"/>
        <w:jc w:val="both"/>
        <w:rPr>
          <w:rFonts w:ascii="Arial" w:hAnsi="Arial"/>
          <w:sz w:val="20"/>
        </w:rPr>
      </w:pPr>
    </w:p>
    <w:p w:rsidR="00F477AE" w:rsidRDefault="00F477AE" w:rsidP="00F477AE">
      <w:pPr>
        <w:ind w:right="100"/>
        <w:jc w:val="both"/>
        <w:rPr>
          <w:rFonts w:ascii="Arial" w:hAnsi="Arial"/>
          <w:sz w:val="20"/>
        </w:rPr>
      </w:pPr>
    </w:p>
    <w:p w:rsidR="00F477AE" w:rsidRDefault="00F477AE" w:rsidP="00F477AE">
      <w:pPr>
        <w:ind w:right="100"/>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By</w:t>
      </w:r>
      <w:r w:rsidRPr="00CD7564">
        <w:rPr>
          <w:rFonts w:ascii="Arial" w:hAnsi="Arial"/>
          <w:sz w:val="20"/>
        </w:rPr>
        <w:t xml:space="preserve">: </w:t>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F477AE" w:rsidRDefault="00F477AE" w:rsidP="00F477AE">
      <w:pPr>
        <w:ind w:right="100"/>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C137AB">
        <w:rPr>
          <w:rFonts w:ascii="Arial" w:hAnsi="Arial"/>
          <w:sz w:val="20"/>
        </w:rPr>
        <w:t>Mark Thies</w:t>
      </w:r>
    </w:p>
    <w:p w:rsidR="00F477AE" w:rsidRDefault="00C137AB" w:rsidP="00C137AB">
      <w:pPr>
        <w:ind w:left="5760" w:right="100"/>
        <w:jc w:val="both"/>
        <w:rPr>
          <w:rFonts w:ascii="Arial" w:hAnsi="Arial"/>
          <w:sz w:val="20"/>
        </w:rPr>
      </w:pPr>
      <w:r>
        <w:rPr>
          <w:rFonts w:ascii="Arial" w:hAnsi="Arial"/>
          <w:sz w:val="20"/>
        </w:rPr>
        <w:t xml:space="preserve">Senior Vice President, CFO, and </w:t>
      </w:r>
      <w:r w:rsidR="00F477AE">
        <w:rPr>
          <w:rFonts w:ascii="Arial" w:hAnsi="Arial"/>
          <w:sz w:val="20"/>
        </w:rPr>
        <w:t>Treasurer</w:t>
      </w:r>
    </w:p>
    <w:p w:rsidR="00325628" w:rsidRDefault="00325628">
      <w:pPr>
        <w:spacing w:after="200" w:line="276" w:lineRule="auto"/>
      </w:pPr>
      <w:r>
        <w:br w:type="page"/>
      </w:r>
    </w:p>
    <w:p w:rsidR="009E331A" w:rsidRDefault="009E331A">
      <w:pPr>
        <w:spacing w:after="200" w:line="276" w:lineRule="auto"/>
      </w:pPr>
    </w:p>
    <w:p w:rsidR="009E331A" w:rsidRDefault="009E331A" w:rsidP="009E331A">
      <w:pPr>
        <w:ind w:right="100"/>
        <w:jc w:val="both"/>
        <w:rPr>
          <w:rFonts w:ascii="Arial" w:hAnsi="Arial"/>
          <w:sz w:val="20"/>
        </w:rPr>
      </w:pPr>
      <w:r>
        <w:rPr>
          <w:rFonts w:ascii="Arial" w:hAnsi="Arial"/>
          <w:sz w:val="20"/>
          <w:u w:val="single"/>
        </w:rPr>
        <w:t>Exhibit A</w:t>
      </w:r>
    </w:p>
    <w:p w:rsidR="009E331A" w:rsidRDefault="009E331A" w:rsidP="009E331A">
      <w:pPr>
        <w:tabs>
          <w:tab w:val="left" w:pos="4320"/>
          <w:tab w:val="center" w:pos="6480"/>
          <w:tab w:val="left" w:pos="7830"/>
          <w:tab w:val="right" w:pos="9360"/>
        </w:tabs>
        <w:ind w:right="720"/>
        <w:jc w:val="both"/>
        <w:rPr>
          <w:rFonts w:ascii="Arial" w:hAnsi="Arial"/>
          <w:sz w:val="20"/>
        </w:rPr>
      </w:pPr>
    </w:p>
    <w:tbl>
      <w:tblPr>
        <w:tblW w:w="10733" w:type="dxa"/>
        <w:jc w:val="center"/>
        <w:tblInd w:w="-201" w:type="dxa"/>
        <w:tblLook w:val="04A0"/>
      </w:tblPr>
      <w:tblGrid>
        <w:gridCol w:w="225"/>
        <w:gridCol w:w="461"/>
        <w:gridCol w:w="3123"/>
        <w:gridCol w:w="272"/>
        <w:gridCol w:w="976"/>
        <w:gridCol w:w="382"/>
        <w:gridCol w:w="873"/>
        <w:gridCol w:w="219"/>
        <w:gridCol w:w="340"/>
        <w:gridCol w:w="981"/>
        <w:gridCol w:w="287"/>
        <w:gridCol w:w="327"/>
        <w:gridCol w:w="295"/>
        <w:gridCol w:w="1951"/>
        <w:gridCol w:w="21"/>
      </w:tblGrid>
      <w:tr w:rsidR="009E331A" w:rsidRPr="00A25C5F" w:rsidTr="00BD0B4B">
        <w:trPr>
          <w:gridBefore w:val="1"/>
          <w:gridAfter w:val="1"/>
          <w:wBefore w:w="292" w:type="dxa"/>
          <w:wAfter w:w="21" w:type="dxa"/>
          <w:trHeight w:val="368"/>
          <w:jc w:val="center"/>
        </w:trPr>
        <w:tc>
          <w:tcPr>
            <w:tcW w:w="10420" w:type="dxa"/>
            <w:gridSpan w:val="13"/>
            <w:tcBorders>
              <w:top w:val="nil"/>
              <w:left w:val="nil"/>
              <w:bottom w:val="nil"/>
              <w:right w:val="nil"/>
            </w:tcBorders>
            <w:shd w:val="clear" w:color="auto" w:fill="auto"/>
            <w:noWrap/>
            <w:vAlign w:val="bottom"/>
            <w:hideMark/>
          </w:tcPr>
          <w:p w:rsidR="009E331A" w:rsidRPr="00585638" w:rsidRDefault="009E331A" w:rsidP="00BD0B4B">
            <w:pPr>
              <w:jc w:val="center"/>
              <w:rPr>
                <w:rFonts w:ascii="Arial" w:hAnsi="Arial" w:cs="Arial"/>
                <w:b/>
                <w:color w:val="000000"/>
                <w:szCs w:val="22"/>
              </w:rPr>
            </w:pPr>
            <w:r w:rsidRPr="00585638">
              <w:rPr>
                <w:rFonts w:ascii="Arial" w:hAnsi="Arial" w:cs="Arial"/>
                <w:b/>
                <w:color w:val="000000"/>
                <w:sz w:val="22"/>
                <w:szCs w:val="22"/>
              </w:rPr>
              <w:t>Estimated Net Proceeds</w:t>
            </w:r>
            <w:r w:rsidRPr="00585638">
              <w:rPr>
                <w:rFonts w:ascii="Arial" w:hAnsi="Arial" w:cs="Arial"/>
                <w:b/>
                <w:color w:val="000000"/>
                <w:sz w:val="22"/>
                <w:szCs w:val="22"/>
                <w:vertAlign w:val="superscript"/>
              </w:rPr>
              <w:t>(1)</w:t>
            </w:r>
          </w:p>
        </w:tc>
      </w:tr>
      <w:tr w:rsidR="009E331A" w:rsidRPr="00A25C5F" w:rsidTr="00BD0B4B">
        <w:trPr>
          <w:gridBefore w:val="1"/>
          <w:wBefore w:w="292" w:type="dxa"/>
          <w:trHeight w:val="166"/>
          <w:jc w:val="center"/>
        </w:trPr>
        <w:tc>
          <w:tcPr>
            <w:tcW w:w="6020" w:type="dxa"/>
            <w:gridSpan w:val="6"/>
            <w:tcBorders>
              <w:top w:val="nil"/>
              <w:left w:val="nil"/>
              <w:bottom w:val="nil"/>
              <w:right w:val="nil"/>
            </w:tcBorders>
            <w:shd w:val="clear" w:color="auto" w:fill="auto"/>
            <w:noWrap/>
            <w:vAlign w:val="bottom"/>
            <w:hideMark/>
          </w:tcPr>
          <w:p w:rsidR="009E331A" w:rsidRPr="00A25C5F" w:rsidRDefault="009E331A" w:rsidP="00BD0B4B">
            <w:pPr>
              <w:jc w:val="center"/>
              <w:rPr>
                <w:rFonts w:ascii="Arial" w:hAnsi="Arial" w:cs="Arial"/>
                <w:color w:val="000000"/>
                <w:sz w:val="20"/>
              </w:rPr>
            </w:pPr>
          </w:p>
        </w:tc>
        <w:tc>
          <w:tcPr>
            <w:tcW w:w="2154" w:type="dxa"/>
            <w:gridSpan w:val="5"/>
            <w:tcBorders>
              <w:top w:val="nil"/>
              <w:left w:val="nil"/>
              <w:bottom w:val="nil"/>
              <w:right w:val="nil"/>
            </w:tcBorders>
            <w:shd w:val="clear" w:color="auto" w:fill="auto"/>
            <w:noWrap/>
            <w:vAlign w:val="bottom"/>
            <w:hideMark/>
          </w:tcPr>
          <w:p w:rsidR="009E331A" w:rsidRPr="00A25C5F" w:rsidRDefault="009E331A" w:rsidP="00BD0B4B">
            <w:pPr>
              <w:jc w:val="center"/>
              <w:rPr>
                <w:rFonts w:ascii="Arial" w:hAnsi="Arial" w:cs="Arial"/>
                <w:color w:val="000000"/>
                <w:sz w:val="20"/>
              </w:rPr>
            </w:pPr>
          </w:p>
        </w:tc>
        <w:tc>
          <w:tcPr>
            <w:tcW w:w="295" w:type="dxa"/>
            <w:tcBorders>
              <w:top w:val="nil"/>
              <w:left w:val="nil"/>
              <w:bottom w:val="nil"/>
              <w:right w:val="nil"/>
            </w:tcBorders>
            <w:shd w:val="clear" w:color="auto" w:fill="auto"/>
            <w:noWrap/>
            <w:vAlign w:val="bottom"/>
            <w:hideMark/>
          </w:tcPr>
          <w:p w:rsidR="009E331A" w:rsidRPr="00A25C5F" w:rsidRDefault="009E331A" w:rsidP="00BD0B4B">
            <w:pPr>
              <w:jc w:val="center"/>
              <w:rPr>
                <w:rFonts w:ascii="Arial" w:hAnsi="Arial" w:cs="Arial"/>
                <w:color w:val="000000"/>
                <w:sz w:val="20"/>
              </w:rPr>
            </w:pPr>
          </w:p>
        </w:tc>
        <w:tc>
          <w:tcPr>
            <w:tcW w:w="1972" w:type="dxa"/>
            <w:gridSpan w:val="2"/>
            <w:tcBorders>
              <w:top w:val="nil"/>
              <w:left w:val="nil"/>
              <w:bottom w:val="nil"/>
              <w:right w:val="nil"/>
            </w:tcBorders>
            <w:shd w:val="clear" w:color="auto" w:fill="auto"/>
            <w:noWrap/>
            <w:vAlign w:val="bottom"/>
            <w:hideMark/>
          </w:tcPr>
          <w:p w:rsidR="009E331A" w:rsidRPr="00A25C5F" w:rsidRDefault="009E331A" w:rsidP="00BD0B4B">
            <w:pPr>
              <w:jc w:val="center"/>
              <w:rPr>
                <w:rFonts w:ascii="Arial" w:hAnsi="Arial" w:cs="Arial"/>
                <w:color w:val="000000"/>
                <w:sz w:val="20"/>
              </w:rPr>
            </w:pPr>
          </w:p>
        </w:tc>
      </w:tr>
      <w:tr w:rsidR="009E331A" w:rsidRPr="00A25C5F" w:rsidTr="00BD0B4B">
        <w:trPr>
          <w:gridBefore w:val="1"/>
          <w:wBefore w:w="292" w:type="dxa"/>
          <w:trHeight w:val="281"/>
          <w:jc w:val="center"/>
        </w:trPr>
        <w:tc>
          <w:tcPr>
            <w:tcW w:w="6020" w:type="dxa"/>
            <w:gridSpan w:val="6"/>
            <w:tcBorders>
              <w:top w:val="nil"/>
              <w:left w:val="nil"/>
              <w:bottom w:val="nil"/>
              <w:right w:val="nil"/>
            </w:tcBorders>
            <w:shd w:val="clear" w:color="auto" w:fill="auto"/>
            <w:noWrap/>
            <w:vAlign w:val="bottom"/>
            <w:hideMark/>
          </w:tcPr>
          <w:p w:rsidR="009E331A" w:rsidRPr="00A25C5F" w:rsidRDefault="009E331A" w:rsidP="00BD0B4B">
            <w:pPr>
              <w:jc w:val="center"/>
              <w:rPr>
                <w:rFonts w:ascii="Arial" w:hAnsi="Arial" w:cs="Arial"/>
                <w:color w:val="000000"/>
                <w:sz w:val="20"/>
              </w:rPr>
            </w:pPr>
          </w:p>
        </w:tc>
        <w:tc>
          <w:tcPr>
            <w:tcW w:w="2154" w:type="dxa"/>
            <w:gridSpan w:val="5"/>
            <w:tcBorders>
              <w:top w:val="nil"/>
              <w:left w:val="nil"/>
              <w:bottom w:val="single" w:sz="4" w:space="0" w:color="auto"/>
              <w:right w:val="nil"/>
            </w:tcBorders>
            <w:shd w:val="clear" w:color="auto" w:fill="auto"/>
            <w:noWrap/>
            <w:vAlign w:val="bottom"/>
            <w:hideMark/>
          </w:tcPr>
          <w:p w:rsidR="009E331A" w:rsidRPr="00A25C5F" w:rsidRDefault="009E331A" w:rsidP="00BD0B4B">
            <w:pPr>
              <w:jc w:val="center"/>
              <w:rPr>
                <w:rFonts w:ascii="Arial" w:hAnsi="Arial" w:cs="Arial"/>
                <w:color w:val="000000"/>
                <w:sz w:val="20"/>
              </w:rPr>
            </w:pPr>
            <w:r w:rsidRPr="00A25C5F">
              <w:rPr>
                <w:rFonts w:ascii="Arial" w:hAnsi="Arial" w:cs="Arial"/>
                <w:color w:val="000000"/>
                <w:sz w:val="20"/>
              </w:rPr>
              <w:t>Total</w:t>
            </w:r>
          </w:p>
        </w:tc>
        <w:tc>
          <w:tcPr>
            <w:tcW w:w="295" w:type="dxa"/>
            <w:tcBorders>
              <w:top w:val="nil"/>
              <w:left w:val="nil"/>
              <w:bottom w:val="nil"/>
              <w:right w:val="nil"/>
            </w:tcBorders>
            <w:shd w:val="clear" w:color="auto" w:fill="auto"/>
            <w:noWrap/>
            <w:vAlign w:val="bottom"/>
            <w:hideMark/>
          </w:tcPr>
          <w:p w:rsidR="009E331A" w:rsidRPr="00A25C5F" w:rsidRDefault="009E331A" w:rsidP="00BD0B4B">
            <w:pPr>
              <w:jc w:val="center"/>
              <w:rPr>
                <w:rFonts w:ascii="Arial" w:hAnsi="Arial" w:cs="Arial"/>
                <w:color w:val="000000"/>
                <w:sz w:val="20"/>
              </w:rPr>
            </w:pPr>
          </w:p>
        </w:tc>
        <w:tc>
          <w:tcPr>
            <w:tcW w:w="1972" w:type="dxa"/>
            <w:gridSpan w:val="2"/>
            <w:tcBorders>
              <w:top w:val="nil"/>
              <w:left w:val="nil"/>
              <w:bottom w:val="single" w:sz="4" w:space="0" w:color="auto"/>
              <w:right w:val="nil"/>
            </w:tcBorders>
            <w:shd w:val="clear" w:color="auto" w:fill="auto"/>
            <w:noWrap/>
            <w:vAlign w:val="bottom"/>
            <w:hideMark/>
          </w:tcPr>
          <w:p w:rsidR="009E331A" w:rsidRPr="00A25C5F" w:rsidRDefault="009E331A" w:rsidP="00BD0B4B">
            <w:pPr>
              <w:jc w:val="center"/>
              <w:rPr>
                <w:rFonts w:ascii="Arial" w:hAnsi="Arial" w:cs="Arial"/>
                <w:color w:val="000000"/>
                <w:sz w:val="20"/>
              </w:rPr>
            </w:pPr>
            <w:r w:rsidRPr="00A25C5F">
              <w:rPr>
                <w:rFonts w:ascii="Arial" w:hAnsi="Arial" w:cs="Arial"/>
                <w:color w:val="000000"/>
                <w:sz w:val="20"/>
              </w:rPr>
              <w:t>Percent of Total</w:t>
            </w:r>
          </w:p>
        </w:tc>
      </w:tr>
      <w:tr w:rsidR="009E331A" w:rsidRPr="00A25C5F" w:rsidTr="00BD0B4B">
        <w:trPr>
          <w:gridBefore w:val="1"/>
          <w:wBefore w:w="292" w:type="dxa"/>
          <w:trHeight w:val="166"/>
          <w:jc w:val="center"/>
        </w:trPr>
        <w:tc>
          <w:tcPr>
            <w:tcW w:w="6020" w:type="dxa"/>
            <w:gridSpan w:val="6"/>
            <w:tcBorders>
              <w:top w:val="nil"/>
              <w:left w:val="nil"/>
              <w:bottom w:val="nil"/>
              <w:right w:val="nil"/>
            </w:tcBorders>
            <w:shd w:val="clear" w:color="auto" w:fill="auto"/>
            <w:noWrap/>
            <w:vAlign w:val="bottom"/>
            <w:hideMark/>
          </w:tcPr>
          <w:p w:rsidR="009E331A" w:rsidRPr="00A25C5F" w:rsidRDefault="009E331A" w:rsidP="00BD0B4B">
            <w:pPr>
              <w:jc w:val="center"/>
              <w:rPr>
                <w:rFonts w:ascii="Arial" w:hAnsi="Arial" w:cs="Arial"/>
                <w:color w:val="000000"/>
                <w:sz w:val="20"/>
              </w:rPr>
            </w:pPr>
          </w:p>
        </w:tc>
        <w:tc>
          <w:tcPr>
            <w:tcW w:w="2154" w:type="dxa"/>
            <w:gridSpan w:val="5"/>
            <w:tcBorders>
              <w:top w:val="nil"/>
              <w:left w:val="nil"/>
              <w:bottom w:val="nil"/>
              <w:right w:val="nil"/>
            </w:tcBorders>
            <w:shd w:val="clear" w:color="auto" w:fill="auto"/>
            <w:noWrap/>
            <w:vAlign w:val="bottom"/>
            <w:hideMark/>
          </w:tcPr>
          <w:p w:rsidR="009E331A" w:rsidRPr="00A25C5F" w:rsidRDefault="009E331A" w:rsidP="00BD0B4B">
            <w:pPr>
              <w:jc w:val="center"/>
              <w:rPr>
                <w:rFonts w:ascii="Arial" w:hAnsi="Arial" w:cs="Arial"/>
                <w:color w:val="000000"/>
                <w:sz w:val="20"/>
              </w:rPr>
            </w:pPr>
          </w:p>
        </w:tc>
        <w:tc>
          <w:tcPr>
            <w:tcW w:w="295" w:type="dxa"/>
            <w:tcBorders>
              <w:top w:val="nil"/>
              <w:left w:val="nil"/>
              <w:bottom w:val="nil"/>
              <w:right w:val="nil"/>
            </w:tcBorders>
            <w:shd w:val="clear" w:color="auto" w:fill="auto"/>
            <w:noWrap/>
            <w:vAlign w:val="bottom"/>
            <w:hideMark/>
          </w:tcPr>
          <w:p w:rsidR="009E331A" w:rsidRPr="00A25C5F" w:rsidRDefault="009E331A" w:rsidP="00BD0B4B">
            <w:pPr>
              <w:jc w:val="center"/>
              <w:rPr>
                <w:rFonts w:ascii="Arial" w:hAnsi="Arial" w:cs="Arial"/>
                <w:color w:val="000000"/>
                <w:sz w:val="20"/>
              </w:rPr>
            </w:pPr>
          </w:p>
        </w:tc>
        <w:tc>
          <w:tcPr>
            <w:tcW w:w="1972" w:type="dxa"/>
            <w:gridSpan w:val="2"/>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r>
      <w:tr w:rsidR="009E331A" w:rsidRPr="00A25C5F" w:rsidTr="00BD0B4B">
        <w:trPr>
          <w:gridBefore w:val="1"/>
          <w:wBefore w:w="292" w:type="dxa"/>
          <w:trHeight w:val="281"/>
          <w:jc w:val="center"/>
        </w:trPr>
        <w:tc>
          <w:tcPr>
            <w:tcW w:w="6020" w:type="dxa"/>
            <w:gridSpan w:val="6"/>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r w:rsidRPr="00A25C5F">
              <w:rPr>
                <w:rFonts w:ascii="Arial" w:hAnsi="Arial" w:cs="Arial"/>
                <w:color w:val="000000"/>
                <w:sz w:val="20"/>
              </w:rPr>
              <w:t>Gross Proceeds</w:t>
            </w:r>
          </w:p>
        </w:tc>
        <w:tc>
          <w:tcPr>
            <w:tcW w:w="2154" w:type="dxa"/>
            <w:gridSpan w:val="5"/>
            <w:tcBorders>
              <w:top w:val="nil"/>
              <w:left w:val="nil"/>
              <w:bottom w:val="nil"/>
              <w:right w:val="nil"/>
            </w:tcBorders>
            <w:shd w:val="clear" w:color="auto" w:fill="auto"/>
            <w:noWrap/>
            <w:vAlign w:val="bottom"/>
            <w:hideMark/>
          </w:tcPr>
          <w:p w:rsidR="009E331A" w:rsidRPr="00A25C5F" w:rsidRDefault="009E331A" w:rsidP="00BD0B4B">
            <w:pPr>
              <w:jc w:val="right"/>
              <w:rPr>
                <w:rFonts w:ascii="Arial" w:hAnsi="Arial" w:cs="Arial"/>
                <w:color w:val="000000"/>
                <w:sz w:val="20"/>
              </w:rPr>
            </w:pPr>
            <w:r w:rsidRPr="00A25C5F">
              <w:rPr>
                <w:rFonts w:ascii="Arial" w:hAnsi="Arial" w:cs="Arial"/>
                <w:color w:val="000000"/>
                <w:sz w:val="20"/>
              </w:rPr>
              <w:t>$</w:t>
            </w:r>
            <w:r>
              <w:rPr>
                <w:rFonts w:ascii="Arial" w:hAnsi="Arial" w:cs="Arial"/>
                <w:color w:val="000000"/>
                <w:sz w:val="20"/>
              </w:rPr>
              <w:t>300</w:t>
            </w:r>
            <w:r w:rsidRPr="00A25C5F">
              <w:rPr>
                <w:rFonts w:ascii="Arial" w:hAnsi="Arial" w:cs="Arial"/>
                <w:color w:val="000000"/>
                <w:sz w:val="20"/>
              </w:rPr>
              <w:t xml:space="preserve">,000,000 </w:t>
            </w:r>
          </w:p>
        </w:tc>
        <w:tc>
          <w:tcPr>
            <w:tcW w:w="295" w:type="dxa"/>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1972" w:type="dxa"/>
            <w:gridSpan w:val="2"/>
            <w:tcBorders>
              <w:top w:val="nil"/>
              <w:left w:val="nil"/>
              <w:bottom w:val="nil"/>
              <w:right w:val="nil"/>
            </w:tcBorders>
            <w:shd w:val="clear" w:color="auto" w:fill="auto"/>
            <w:noWrap/>
            <w:vAlign w:val="bottom"/>
            <w:hideMark/>
          </w:tcPr>
          <w:p w:rsidR="009E331A" w:rsidRPr="00A25C5F" w:rsidRDefault="009E331A" w:rsidP="00BD0B4B">
            <w:pPr>
              <w:jc w:val="right"/>
              <w:rPr>
                <w:rFonts w:ascii="Arial" w:hAnsi="Arial" w:cs="Arial"/>
                <w:color w:val="000000"/>
                <w:sz w:val="20"/>
              </w:rPr>
            </w:pPr>
            <w:r w:rsidRPr="00A25C5F">
              <w:rPr>
                <w:rFonts w:ascii="Arial" w:hAnsi="Arial" w:cs="Arial"/>
                <w:color w:val="000000"/>
                <w:sz w:val="20"/>
              </w:rPr>
              <w:t>100.00%</w:t>
            </w:r>
          </w:p>
        </w:tc>
      </w:tr>
      <w:tr w:rsidR="009E331A" w:rsidRPr="00A25C5F" w:rsidTr="00BD0B4B">
        <w:trPr>
          <w:gridBefore w:val="1"/>
          <w:wBefore w:w="292" w:type="dxa"/>
          <w:trHeight w:val="281"/>
          <w:jc w:val="center"/>
        </w:trPr>
        <w:tc>
          <w:tcPr>
            <w:tcW w:w="6020" w:type="dxa"/>
            <w:gridSpan w:val="6"/>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r w:rsidRPr="00A25C5F">
              <w:rPr>
                <w:rFonts w:ascii="Arial" w:hAnsi="Arial" w:cs="Arial"/>
                <w:color w:val="000000"/>
                <w:sz w:val="20"/>
              </w:rPr>
              <w:t>Less: Agents/Underwriters</w:t>
            </w:r>
          </w:p>
        </w:tc>
        <w:tc>
          <w:tcPr>
            <w:tcW w:w="2154" w:type="dxa"/>
            <w:gridSpan w:val="5"/>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295" w:type="dxa"/>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1972" w:type="dxa"/>
            <w:gridSpan w:val="2"/>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r>
      <w:tr w:rsidR="009E331A" w:rsidRPr="00A25C5F" w:rsidTr="00BD0B4B">
        <w:trPr>
          <w:gridBefore w:val="1"/>
          <w:wBefore w:w="292" w:type="dxa"/>
          <w:trHeight w:val="281"/>
          <w:jc w:val="center"/>
        </w:trPr>
        <w:tc>
          <w:tcPr>
            <w:tcW w:w="6020" w:type="dxa"/>
            <w:gridSpan w:val="6"/>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r w:rsidRPr="00A25C5F">
              <w:rPr>
                <w:rFonts w:ascii="Arial" w:hAnsi="Arial" w:cs="Arial"/>
                <w:color w:val="000000"/>
                <w:sz w:val="20"/>
              </w:rPr>
              <w:t xml:space="preserve">   Compensation</w:t>
            </w:r>
          </w:p>
        </w:tc>
        <w:tc>
          <w:tcPr>
            <w:tcW w:w="2154" w:type="dxa"/>
            <w:gridSpan w:val="5"/>
            <w:tcBorders>
              <w:top w:val="nil"/>
              <w:left w:val="nil"/>
              <w:bottom w:val="single" w:sz="4" w:space="0" w:color="auto"/>
              <w:right w:val="nil"/>
            </w:tcBorders>
            <w:shd w:val="clear" w:color="auto" w:fill="auto"/>
            <w:noWrap/>
            <w:vAlign w:val="bottom"/>
            <w:hideMark/>
          </w:tcPr>
          <w:p w:rsidR="009E331A" w:rsidRPr="00A25C5F" w:rsidRDefault="009E331A" w:rsidP="00BD0B4B">
            <w:pPr>
              <w:jc w:val="right"/>
              <w:rPr>
                <w:rFonts w:ascii="Arial" w:hAnsi="Arial" w:cs="Arial"/>
                <w:color w:val="000000"/>
                <w:sz w:val="20"/>
              </w:rPr>
            </w:pPr>
            <w:r>
              <w:rPr>
                <w:rFonts w:ascii="Arial" w:hAnsi="Arial" w:cs="Arial"/>
                <w:color w:val="000000"/>
                <w:sz w:val="20"/>
              </w:rPr>
              <w:t>2,625,0</w:t>
            </w:r>
            <w:r w:rsidRPr="00A25C5F">
              <w:rPr>
                <w:rFonts w:ascii="Arial" w:hAnsi="Arial" w:cs="Arial"/>
                <w:color w:val="000000"/>
                <w:sz w:val="20"/>
              </w:rPr>
              <w:t xml:space="preserve">00 </w:t>
            </w:r>
          </w:p>
        </w:tc>
        <w:tc>
          <w:tcPr>
            <w:tcW w:w="295" w:type="dxa"/>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1972" w:type="dxa"/>
            <w:gridSpan w:val="2"/>
            <w:tcBorders>
              <w:top w:val="nil"/>
              <w:left w:val="nil"/>
              <w:bottom w:val="single" w:sz="4" w:space="0" w:color="auto"/>
              <w:right w:val="nil"/>
            </w:tcBorders>
            <w:shd w:val="clear" w:color="auto" w:fill="auto"/>
            <w:noWrap/>
            <w:vAlign w:val="bottom"/>
            <w:hideMark/>
          </w:tcPr>
          <w:p w:rsidR="009E331A" w:rsidRPr="00A25C5F" w:rsidRDefault="009E331A" w:rsidP="00BD0B4B">
            <w:pPr>
              <w:jc w:val="right"/>
              <w:rPr>
                <w:rFonts w:ascii="Arial" w:hAnsi="Arial" w:cs="Arial"/>
                <w:color w:val="000000"/>
                <w:sz w:val="20"/>
              </w:rPr>
            </w:pPr>
            <w:r w:rsidRPr="00A25C5F">
              <w:rPr>
                <w:rFonts w:ascii="Arial" w:hAnsi="Arial" w:cs="Arial"/>
                <w:color w:val="000000"/>
                <w:sz w:val="20"/>
              </w:rPr>
              <w:t>0.875%</w:t>
            </w:r>
          </w:p>
        </w:tc>
      </w:tr>
      <w:tr w:rsidR="009E331A" w:rsidRPr="00A25C5F" w:rsidTr="00BD0B4B">
        <w:trPr>
          <w:gridBefore w:val="1"/>
          <w:wBefore w:w="292" w:type="dxa"/>
          <w:trHeight w:val="281"/>
          <w:jc w:val="center"/>
        </w:trPr>
        <w:tc>
          <w:tcPr>
            <w:tcW w:w="6020" w:type="dxa"/>
            <w:gridSpan w:val="6"/>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r w:rsidRPr="00A25C5F">
              <w:rPr>
                <w:rFonts w:ascii="Arial" w:hAnsi="Arial" w:cs="Arial"/>
                <w:color w:val="000000"/>
                <w:sz w:val="20"/>
              </w:rPr>
              <w:t xml:space="preserve">Proceeds Payable to </w:t>
            </w:r>
            <w:r>
              <w:rPr>
                <w:rFonts w:ascii="Arial" w:hAnsi="Arial" w:cs="Arial"/>
                <w:color w:val="000000"/>
                <w:sz w:val="20"/>
              </w:rPr>
              <w:t>Applicant</w:t>
            </w:r>
          </w:p>
        </w:tc>
        <w:tc>
          <w:tcPr>
            <w:tcW w:w="2154" w:type="dxa"/>
            <w:gridSpan w:val="5"/>
            <w:tcBorders>
              <w:top w:val="nil"/>
              <w:left w:val="nil"/>
              <w:bottom w:val="nil"/>
              <w:right w:val="nil"/>
            </w:tcBorders>
            <w:shd w:val="clear" w:color="auto" w:fill="auto"/>
            <w:noWrap/>
            <w:vAlign w:val="bottom"/>
            <w:hideMark/>
          </w:tcPr>
          <w:p w:rsidR="009E331A" w:rsidRPr="00A25C5F" w:rsidRDefault="009E331A" w:rsidP="00BD0B4B">
            <w:pPr>
              <w:jc w:val="right"/>
              <w:rPr>
                <w:rFonts w:ascii="Arial" w:hAnsi="Arial" w:cs="Arial"/>
                <w:color w:val="000000"/>
                <w:sz w:val="20"/>
              </w:rPr>
            </w:pPr>
            <w:r>
              <w:rPr>
                <w:rFonts w:ascii="Arial" w:hAnsi="Arial" w:cs="Arial"/>
                <w:color w:val="000000"/>
                <w:sz w:val="20"/>
              </w:rPr>
              <w:t>297,375,000</w:t>
            </w:r>
            <w:r w:rsidRPr="00A25C5F">
              <w:rPr>
                <w:rFonts w:ascii="Arial" w:hAnsi="Arial" w:cs="Arial"/>
                <w:color w:val="000000"/>
                <w:sz w:val="20"/>
              </w:rPr>
              <w:t xml:space="preserve"> </w:t>
            </w:r>
          </w:p>
        </w:tc>
        <w:tc>
          <w:tcPr>
            <w:tcW w:w="295" w:type="dxa"/>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1972" w:type="dxa"/>
            <w:gridSpan w:val="2"/>
            <w:tcBorders>
              <w:top w:val="nil"/>
              <w:left w:val="nil"/>
              <w:bottom w:val="nil"/>
              <w:right w:val="nil"/>
            </w:tcBorders>
            <w:shd w:val="clear" w:color="auto" w:fill="auto"/>
            <w:noWrap/>
            <w:vAlign w:val="bottom"/>
            <w:hideMark/>
          </w:tcPr>
          <w:p w:rsidR="009E331A" w:rsidRPr="00A25C5F" w:rsidRDefault="009E331A" w:rsidP="00BD0B4B">
            <w:pPr>
              <w:jc w:val="right"/>
              <w:rPr>
                <w:rFonts w:ascii="Arial" w:hAnsi="Arial" w:cs="Arial"/>
                <w:color w:val="000000"/>
                <w:sz w:val="20"/>
              </w:rPr>
            </w:pPr>
            <w:r w:rsidRPr="00A25C5F">
              <w:rPr>
                <w:rFonts w:ascii="Arial" w:hAnsi="Arial" w:cs="Arial"/>
                <w:color w:val="000000"/>
                <w:sz w:val="20"/>
              </w:rPr>
              <w:t>99.125%</w:t>
            </w:r>
          </w:p>
        </w:tc>
      </w:tr>
      <w:tr w:rsidR="009E331A" w:rsidRPr="00A25C5F" w:rsidTr="00BD0B4B">
        <w:trPr>
          <w:gridBefore w:val="1"/>
          <w:wBefore w:w="292" w:type="dxa"/>
          <w:trHeight w:val="281"/>
          <w:jc w:val="center"/>
        </w:trPr>
        <w:tc>
          <w:tcPr>
            <w:tcW w:w="6020" w:type="dxa"/>
            <w:gridSpan w:val="6"/>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r w:rsidRPr="00A25C5F">
              <w:rPr>
                <w:rFonts w:ascii="Arial" w:hAnsi="Arial" w:cs="Arial"/>
                <w:color w:val="000000"/>
                <w:sz w:val="20"/>
              </w:rPr>
              <w:t>Less: Other Issuance</w:t>
            </w:r>
            <w:r>
              <w:rPr>
                <w:rFonts w:ascii="Arial" w:hAnsi="Arial" w:cs="Arial"/>
                <w:color w:val="000000"/>
                <w:sz w:val="20"/>
              </w:rPr>
              <w:t>/Technical</w:t>
            </w:r>
            <w:r w:rsidRPr="00A25C5F">
              <w:rPr>
                <w:rFonts w:ascii="Arial" w:hAnsi="Arial" w:cs="Arial"/>
                <w:color w:val="000000"/>
                <w:sz w:val="20"/>
              </w:rPr>
              <w:t xml:space="preserve"> </w:t>
            </w:r>
            <w:r>
              <w:rPr>
                <w:rFonts w:ascii="Arial" w:hAnsi="Arial" w:cs="Arial"/>
                <w:color w:val="000000"/>
                <w:sz w:val="20"/>
              </w:rPr>
              <w:t xml:space="preserve">Services </w:t>
            </w:r>
            <w:r w:rsidRPr="00A25C5F">
              <w:rPr>
                <w:rFonts w:ascii="Arial" w:hAnsi="Arial" w:cs="Arial"/>
                <w:color w:val="000000"/>
                <w:sz w:val="20"/>
              </w:rPr>
              <w:t>Expenses</w:t>
            </w:r>
            <w:r>
              <w:rPr>
                <w:rFonts w:ascii="Arial" w:hAnsi="Arial" w:cs="Arial"/>
                <w:color w:val="000000"/>
                <w:sz w:val="20"/>
              </w:rPr>
              <w:t xml:space="preserve"> </w:t>
            </w:r>
            <w:r w:rsidRPr="00A25C5F">
              <w:rPr>
                <w:rFonts w:ascii="Arial" w:hAnsi="Arial" w:cs="Arial"/>
                <w:color w:val="000000"/>
                <w:sz w:val="20"/>
                <w:vertAlign w:val="superscript"/>
              </w:rPr>
              <w:t>(2)</w:t>
            </w:r>
            <w:r>
              <w:rPr>
                <w:rFonts w:ascii="Arial" w:hAnsi="Arial" w:cs="Arial"/>
                <w:color w:val="000000"/>
                <w:sz w:val="20"/>
                <w:vertAlign w:val="superscript"/>
              </w:rPr>
              <w:t>(3)</w:t>
            </w:r>
          </w:p>
        </w:tc>
        <w:tc>
          <w:tcPr>
            <w:tcW w:w="2154" w:type="dxa"/>
            <w:gridSpan w:val="5"/>
            <w:tcBorders>
              <w:top w:val="nil"/>
              <w:left w:val="nil"/>
              <w:bottom w:val="single" w:sz="4" w:space="0" w:color="auto"/>
              <w:right w:val="nil"/>
            </w:tcBorders>
            <w:shd w:val="clear" w:color="auto" w:fill="auto"/>
            <w:noWrap/>
            <w:vAlign w:val="bottom"/>
            <w:hideMark/>
          </w:tcPr>
          <w:p w:rsidR="009E331A" w:rsidRPr="00A25C5F" w:rsidRDefault="009E331A" w:rsidP="00BD0B4B">
            <w:pPr>
              <w:jc w:val="right"/>
              <w:rPr>
                <w:rFonts w:ascii="Arial" w:hAnsi="Arial" w:cs="Arial"/>
                <w:color w:val="000000"/>
                <w:sz w:val="20"/>
              </w:rPr>
            </w:pPr>
            <w:r>
              <w:rPr>
                <w:rFonts w:ascii="Arial" w:hAnsi="Arial" w:cs="Arial"/>
                <w:color w:val="000000"/>
                <w:sz w:val="20"/>
              </w:rPr>
              <w:t>1,860,000</w:t>
            </w:r>
            <w:r w:rsidRPr="00A25C5F">
              <w:rPr>
                <w:rFonts w:ascii="Arial" w:hAnsi="Arial" w:cs="Arial"/>
                <w:color w:val="000000"/>
                <w:sz w:val="20"/>
              </w:rPr>
              <w:t xml:space="preserve"> </w:t>
            </w:r>
          </w:p>
        </w:tc>
        <w:tc>
          <w:tcPr>
            <w:tcW w:w="295" w:type="dxa"/>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1972" w:type="dxa"/>
            <w:gridSpan w:val="2"/>
            <w:tcBorders>
              <w:top w:val="nil"/>
              <w:left w:val="nil"/>
              <w:bottom w:val="single" w:sz="4" w:space="0" w:color="auto"/>
              <w:right w:val="nil"/>
            </w:tcBorders>
            <w:shd w:val="clear" w:color="auto" w:fill="auto"/>
            <w:noWrap/>
            <w:vAlign w:val="bottom"/>
            <w:hideMark/>
          </w:tcPr>
          <w:p w:rsidR="009E331A" w:rsidRPr="00A25C5F" w:rsidRDefault="009E331A" w:rsidP="00BD0B4B">
            <w:pPr>
              <w:jc w:val="right"/>
              <w:rPr>
                <w:rFonts w:ascii="Arial" w:hAnsi="Arial" w:cs="Arial"/>
                <w:color w:val="000000"/>
                <w:sz w:val="20"/>
              </w:rPr>
            </w:pPr>
            <w:r>
              <w:rPr>
                <w:rFonts w:ascii="Arial" w:hAnsi="Arial" w:cs="Arial"/>
                <w:color w:val="000000"/>
                <w:sz w:val="20"/>
              </w:rPr>
              <w:t>0.62</w:t>
            </w:r>
            <w:r w:rsidRPr="00A25C5F">
              <w:rPr>
                <w:rFonts w:ascii="Arial" w:hAnsi="Arial" w:cs="Arial"/>
                <w:color w:val="000000"/>
                <w:sz w:val="20"/>
              </w:rPr>
              <w:t>%</w:t>
            </w:r>
          </w:p>
        </w:tc>
      </w:tr>
      <w:tr w:rsidR="009E331A" w:rsidRPr="00A25C5F" w:rsidTr="00BD0B4B">
        <w:trPr>
          <w:gridBefore w:val="1"/>
          <w:wBefore w:w="292" w:type="dxa"/>
          <w:trHeight w:val="299"/>
          <w:jc w:val="center"/>
        </w:trPr>
        <w:tc>
          <w:tcPr>
            <w:tcW w:w="6020" w:type="dxa"/>
            <w:gridSpan w:val="6"/>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r w:rsidRPr="00A25C5F">
              <w:rPr>
                <w:rFonts w:ascii="Arial" w:hAnsi="Arial" w:cs="Arial"/>
                <w:color w:val="000000"/>
                <w:sz w:val="20"/>
              </w:rPr>
              <w:t>Net Proceeds</w:t>
            </w:r>
          </w:p>
        </w:tc>
        <w:tc>
          <w:tcPr>
            <w:tcW w:w="2154" w:type="dxa"/>
            <w:gridSpan w:val="5"/>
            <w:tcBorders>
              <w:top w:val="nil"/>
              <w:left w:val="nil"/>
              <w:bottom w:val="double" w:sz="6" w:space="0" w:color="auto"/>
              <w:right w:val="nil"/>
            </w:tcBorders>
            <w:shd w:val="clear" w:color="auto" w:fill="auto"/>
            <w:noWrap/>
            <w:vAlign w:val="bottom"/>
            <w:hideMark/>
          </w:tcPr>
          <w:p w:rsidR="009E331A" w:rsidRPr="00A25C5F" w:rsidRDefault="009E331A" w:rsidP="00BD0B4B">
            <w:pPr>
              <w:jc w:val="right"/>
              <w:rPr>
                <w:rFonts w:ascii="Arial" w:hAnsi="Arial" w:cs="Arial"/>
                <w:color w:val="000000"/>
                <w:sz w:val="20"/>
              </w:rPr>
            </w:pPr>
            <w:r w:rsidRPr="00A25C5F">
              <w:rPr>
                <w:rFonts w:ascii="Arial" w:hAnsi="Arial" w:cs="Arial"/>
                <w:color w:val="000000"/>
                <w:sz w:val="20"/>
              </w:rPr>
              <w:t>$</w:t>
            </w:r>
            <w:r>
              <w:rPr>
                <w:rFonts w:ascii="Arial" w:hAnsi="Arial" w:cs="Arial"/>
                <w:color w:val="000000"/>
                <w:sz w:val="20"/>
              </w:rPr>
              <w:t>295,540,000</w:t>
            </w:r>
            <w:r w:rsidRPr="00A25C5F">
              <w:rPr>
                <w:rFonts w:ascii="Arial" w:hAnsi="Arial" w:cs="Arial"/>
                <w:color w:val="000000"/>
                <w:sz w:val="20"/>
              </w:rPr>
              <w:t xml:space="preserve"> </w:t>
            </w:r>
          </w:p>
        </w:tc>
        <w:tc>
          <w:tcPr>
            <w:tcW w:w="295" w:type="dxa"/>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1972" w:type="dxa"/>
            <w:gridSpan w:val="2"/>
            <w:tcBorders>
              <w:top w:val="nil"/>
              <w:left w:val="nil"/>
              <w:bottom w:val="double" w:sz="6" w:space="0" w:color="auto"/>
              <w:right w:val="nil"/>
            </w:tcBorders>
            <w:shd w:val="clear" w:color="auto" w:fill="auto"/>
            <w:noWrap/>
            <w:vAlign w:val="bottom"/>
            <w:hideMark/>
          </w:tcPr>
          <w:p w:rsidR="009E331A" w:rsidRPr="00A25C5F" w:rsidRDefault="009E331A" w:rsidP="00BD0B4B">
            <w:pPr>
              <w:jc w:val="right"/>
              <w:rPr>
                <w:rFonts w:ascii="Arial" w:hAnsi="Arial" w:cs="Arial"/>
                <w:color w:val="000000"/>
                <w:sz w:val="20"/>
              </w:rPr>
            </w:pPr>
            <w:r>
              <w:rPr>
                <w:rFonts w:ascii="Arial" w:hAnsi="Arial" w:cs="Arial"/>
                <w:color w:val="000000"/>
                <w:sz w:val="20"/>
              </w:rPr>
              <w:t>98.50</w:t>
            </w:r>
            <w:r w:rsidRPr="00A25C5F">
              <w:rPr>
                <w:rFonts w:ascii="Arial" w:hAnsi="Arial" w:cs="Arial"/>
                <w:color w:val="000000"/>
                <w:sz w:val="20"/>
              </w:rPr>
              <w:t>%</w:t>
            </w:r>
          </w:p>
        </w:tc>
      </w:tr>
      <w:tr w:rsidR="009E331A" w:rsidRPr="00A25C5F" w:rsidTr="00BD0B4B">
        <w:trPr>
          <w:gridBefore w:val="1"/>
          <w:wBefore w:w="292" w:type="dxa"/>
          <w:trHeight w:val="281"/>
          <w:jc w:val="center"/>
        </w:trPr>
        <w:tc>
          <w:tcPr>
            <w:tcW w:w="6020" w:type="dxa"/>
            <w:gridSpan w:val="6"/>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2154" w:type="dxa"/>
            <w:gridSpan w:val="5"/>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295" w:type="dxa"/>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1972" w:type="dxa"/>
            <w:gridSpan w:val="2"/>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r>
      <w:tr w:rsidR="009E331A" w:rsidRPr="00A25C5F" w:rsidTr="00BD0B4B">
        <w:trPr>
          <w:gridBefore w:val="1"/>
          <w:wBefore w:w="292" w:type="dxa"/>
          <w:trHeight w:val="281"/>
          <w:jc w:val="center"/>
        </w:trPr>
        <w:tc>
          <w:tcPr>
            <w:tcW w:w="6020" w:type="dxa"/>
            <w:gridSpan w:val="6"/>
            <w:tcBorders>
              <w:top w:val="nil"/>
              <w:left w:val="nil"/>
              <w:bottom w:val="nil"/>
              <w:right w:val="nil"/>
            </w:tcBorders>
            <w:shd w:val="clear" w:color="auto" w:fill="auto"/>
            <w:noWrap/>
            <w:vAlign w:val="bottom"/>
            <w:hideMark/>
          </w:tcPr>
          <w:p w:rsidR="009E331A" w:rsidRPr="00A25C5F" w:rsidRDefault="00F30248" w:rsidP="00BD0B4B">
            <w:pPr>
              <w:rPr>
                <w:rFonts w:ascii="Arial" w:hAnsi="Arial" w:cs="Arial"/>
                <w:color w:val="000000"/>
                <w:sz w:val="20"/>
              </w:rPr>
            </w:pPr>
            <w:r>
              <w:rPr>
                <w:rFonts w:ascii="Arial" w:hAnsi="Arial" w:cs="Arial"/>
                <w:color w:val="000000"/>
                <w:sz w:val="20"/>
              </w:rPr>
              <w:t>(</w:t>
            </w:r>
            <w:r w:rsidR="009E331A" w:rsidRPr="00A25C5F">
              <w:rPr>
                <w:rFonts w:ascii="Arial" w:hAnsi="Arial" w:cs="Arial"/>
                <w:color w:val="000000"/>
                <w:sz w:val="20"/>
              </w:rPr>
              <w:t xml:space="preserve">1) Assumes the issuance of </w:t>
            </w:r>
            <w:r w:rsidR="009E331A">
              <w:rPr>
                <w:rFonts w:ascii="Arial" w:hAnsi="Arial" w:cs="Arial"/>
                <w:color w:val="000000"/>
                <w:sz w:val="20"/>
              </w:rPr>
              <w:t>F</w:t>
            </w:r>
            <w:r w:rsidR="009E331A" w:rsidRPr="00A25C5F">
              <w:rPr>
                <w:rFonts w:ascii="Arial" w:hAnsi="Arial" w:cs="Arial"/>
                <w:color w:val="000000"/>
                <w:sz w:val="20"/>
              </w:rPr>
              <w:t xml:space="preserve">irst </w:t>
            </w:r>
            <w:r w:rsidR="009E331A">
              <w:rPr>
                <w:rFonts w:ascii="Arial" w:hAnsi="Arial" w:cs="Arial"/>
                <w:color w:val="000000"/>
                <w:sz w:val="20"/>
              </w:rPr>
              <w:t>M</w:t>
            </w:r>
            <w:r w:rsidR="009E331A" w:rsidRPr="00A25C5F">
              <w:rPr>
                <w:rFonts w:ascii="Arial" w:hAnsi="Arial" w:cs="Arial"/>
                <w:color w:val="000000"/>
                <w:sz w:val="20"/>
              </w:rPr>
              <w:t xml:space="preserve">ortgage </w:t>
            </w:r>
            <w:r w:rsidR="009E331A">
              <w:rPr>
                <w:rFonts w:ascii="Arial" w:hAnsi="Arial" w:cs="Arial"/>
                <w:color w:val="000000"/>
                <w:sz w:val="20"/>
              </w:rPr>
              <w:t>B</w:t>
            </w:r>
            <w:r w:rsidR="009E331A" w:rsidRPr="00A25C5F">
              <w:rPr>
                <w:rFonts w:ascii="Arial" w:hAnsi="Arial" w:cs="Arial"/>
                <w:color w:val="000000"/>
                <w:sz w:val="20"/>
              </w:rPr>
              <w:t>onds.</w:t>
            </w:r>
          </w:p>
        </w:tc>
        <w:tc>
          <w:tcPr>
            <w:tcW w:w="2154" w:type="dxa"/>
            <w:gridSpan w:val="5"/>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295" w:type="dxa"/>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1972" w:type="dxa"/>
            <w:gridSpan w:val="2"/>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r>
      <w:tr w:rsidR="009E331A" w:rsidRPr="00A25C5F" w:rsidTr="00BD0B4B">
        <w:trPr>
          <w:gridBefore w:val="1"/>
          <w:wBefore w:w="292" w:type="dxa"/>
          <w:trHeight w:val="242"/>
          <w:jc w:val="center"/>
        </w:trPr>
        <w:tc>
          <w:tcPr>
            <w:tcW w:w="6020" w:type="dxa"/>
            <w:gridSpan w:val="6"/>
            <w:tcBorders>
              <w:top w:val="nil"/>
              <w:left w:val="nil"/>
              <w:bottom w:val="nil"/>
              <w:right w:val="nil"/>
            </w:tcBorders>
            <w:shd w:val="clear" w:color="auto" w:fill="auto"/>
            <w:noWrap/>
            <w:vAlign w:val="bottom"/>
            <w:hideMark/>
          </w:tcPr>
          <w:p w:rsidR="009E331A" w:rsidRDefault="009E331A" w:rsidP="00BD0B4B">
            <w:pPr>
              <w:rPr>
                <w:rFonts w:ascii="Arial" w:hAnsi="Arial" w:cs="Arial"/>
                <w:color w:val="000000"/>
                <w:sz w:val="20"/>
              </w:rPr>
            </w:pPr>
          </w:p>
          <w:p w:rsidR="009E331A" w:rsidRPr="00A25C5F" w:rsidRDefault="009E331A" w:rsidP="00BD0B4B">
            <w:pPr>
              <w:rPr>
                <w:rFonts w:ascii="Arial" w:hAnsi="Arial" w:cs="Arial"/>
                <w:color w:val="000000"/>
                <w:sz w:val="20"/>
              </w:rPr>
            </w:pPr>
          </w:p>
        </w:tc>
        <w:tc>
          <w:tcPr>
            <w:tcW w:w="2154" w:type="dxa"/>
            <w:gridSpan w:val="5"/>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295" w:type="dxa"/>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c>
          <w:tcPr>
            <w:tcW w:w="1972" w:type="dxa"/>
            <w:gridSpan w:val="2"/>
            <w:tcBorders>
              <w:top w:val="nil"/>
              <w:left w:val="nil"/>
              <w:bottom w:val="nil"/>
              <w:right w:val="nil"/>
            </w:tcBorders>
            <w:shd w:val="clear" w:color="auto" w:fill="auto"/>
            <w:noWrap/>
            <w:vAlign w:val="bottom"/>
            <w:hideMark/>
          </w:tcPr>
          <w:p w:rsidR="009E331A" w:rsidRPr="00A25C5F" w:rsidRDefault="009E331A" w:rsidP="00BD0B4B">
            <w:pPr>
              <w:rPr>
                <w:rFonts w:ascii="Arial" w:hAnsi="Arial" w:cs="Arial"/>
                <w:color w:val="000000"/>
                <w:sz w:val="20"/>
              </w:rPr>
            </w:pPr>
          </w:p>
        </w:tc>
      </w:tr>
      <w:tr w:rsidR="009E331A" w:rsidRPr="00395CBA" w:rsidTr="00BD0B4B">
        <w:trPr>
          <w:gridBefore w:val="1"/>
          <w:gridAfter w:val="4"/>
          <w:wBefore w:w="292" w:type="dxa"/>
          <w:wAfter w:w="2594" w:type="dxa"/>
          <w:trHeight w:val="285"/>
          <w:jc w:val="center"/>
        </w:trPr>
        <w:tc>
          <w:tcPr>
            <w:tcW w:w="394" w:type="dxa"/>
            <w:tcBorders>
              <w:top w:val="nil"/>
              <w:left w:val="nil"/>
              <w:bottom w:val="nil"/>
              <w:right w:val="nil"/>
            </w:tcBorders>
            <w:shd w:val="clear" w:color="auto" w:fill="auto"/>
            <w:noWrap/>
            <w:vAlign w:val="bottom"/>
            <w:hideMark/>
          </w:tcPr>
          <w:p w:rsidR="009E331A" w:rsidRPr="00395CBA" w:rsidRDefault="00F30248" w:rsidP="00BD0B4B">
            <w:pPr>
              <w:rPr>
                <w:rFonts w:ascii="Arial" w:hAnsi="Arial" w:cs="Arial"/>
                <w:color w:val="000000"/>
                <w:sz w:val="20"/>
              </w:rPr>
            </w:pPr>
            <w:r>
              <w:rPr>
                <w:rFonts w:ascii="Arial" w:hAnsi="Arial" w:cs="Arial"/>
                <w:color w:val="000000"/>
                <w:sz w:val="20"/>
              </w:rPr>
              <w:t>(</w:t>
            </w:r>
            <w:r w:rsidR="009E331A" w:rsidRPr="00395CBA">
              <w:rPr>
                <w:rFonts w:ascii="Arial" w:hAnsi="Arial" w:cs="Arial"/>
                <w:color w:val="000000"/>
                <w:sz w:val="20"/>
              </w:rPr>
              <w:t>2)</w:t>
            </w:r>
          </w:p>
        </w:tc>
        <w:tc>
          <w:tcPr>
            <w:tcW w:w="7453" w:type="dxa"/>
            <w:gridSpan w:val="9"/>
            <w:tcBorders>
              <w:top w:val="nil"/>
              <w:left w:val="nil"/>
              <w:bottom w:val="nil"/>
              <w:right w:val="nil"/>
            </w:tcBorders>
            <w:shd w:val="clear" w:color="auto" w:fill="auto"/>
            <w:noWrap/>
            <w:vAlign w:val="bottom"/>
            <w:hideMark/>
          </w:tcPr>
          <w:p w:rsidR="009E331A" w:rsidRPr="00585638" w:rsidRDefault="009E331A" w:rsidP="00BD0B4B">
            <w:pPr>
              <w:jc w:val="center"/>
              <w:rPr>
                <w:rFonts w:ascii="Arial" w:hAnsi="Arial" w:cs="Arial"/>
                <w:b/>
                <w:color w:val="000000"/>
                <w:szCs w:val="22"/>
              </w:rPr>
            </w:pPr>
            <w:r w:rsidRPr="00585638">
              <w:rPr>
                <w:rFonts w:ascii="Arial" w:hAnsi="Arial" w:cs="Arial"/>
                <w:b/>
                <w:color w:val="000000"/>
                <w:sz w:val="22"/>
                <w:szCs w:val="22"/>
              </w:rPr>
              <w:t xml:space="preserve">Other </w:t>
            </w:r>
            <w:r>
              <w:rPr>
                <w:rFonts w:ascii="Arial" w:hAnsi="Arial" w:cs="Arial"/>
                <w:b/>
                <w:color w:val="000000"/>
                <w:sz w:val="22"/>
                <w:szCs w:val="22"/>
              </w:rPr>
              <w:t>I</w:t>
            </w:r>
            <w:r w:rsidRPr="00585638">
              <w:rPr>
                <w:rFonts w:ascii="Arial" w:hAnsi="Arial" w:cs="Arial"/>
                <w:b/>
                <w:color w:val="000000"/>
                <w:sz w:val="22"/>
                <w:szCs w:val="22"/>
              </w:rPr>
              <w:t>ssuance/</w:t>
            </w:r>
            <w:r>
              <w:rPr>
                <w:rFonts w:ascii="Arial" w:hAnsi="Arial" w:cs="Arial"/>
                <w:b/>
                <w:color w:val="000000"/>
                <w:sz w:val="22"/>
                <w:szCs w:val="22"/>
              </w:rPr>
              <w:t>T</w:t>
            </w:r>
            <w:r w:rsidRPr="00585638">
              <w:rPr>
                <w:rFonts w:ascii="Arial" w:hAnsi="Arial" w:cs="Arial"/>
                <w:b/>
                <w:color w:val="000000"/>
                <w:sz w:val="22"/>
                <w:szCs w:val="22"/>
              </w:rPr>
              <w:t xml:space="preserve">echnical </w:t>
            </w:r>
            <w:r>
              <w:rPr>
                <w:rFonts w:ascii="Arial" w:hAnsi="Arial" w:cs="Arial"/>
                <w:b/>
                <w:color w:val="000000"/>
                <w:sz w:val="22"/>
                <w:szCs w:val="22"/>
              </w:rPr>
              <w:t>S</w:t>
            </w:r>
            <w:r w:rsidRPr="00585638">
              <w:rPr>
                <w:rFonts w:ascii="Arial" w:hAnsi="Arial" w:cs="Arial"/>
                <w:b/>
                <w:color w:val="000000"/>
                <w:sz w:val="22"/>
                <w:szCs w:val="22"/>
              </w:rPr>
              <w:t xml:space="preserve">ervices </w:t>
            </w:r>
            <w:r>
              <w:rPr>
                <w:rFonts w:ascii="Arial" w:hAnsi="Arial" w:cs="Arial"/>
                <w:b/>
                <w:color w:val="000000"/>
                <w:sz w:val="22"/>
                <w:szCs w:val="22"/>
              </w:rPr>
              <w:t>E</w:t>
            </w:r>
            <w:r w:rsidRPr="00585638">
              <w:rPr>
                <w:rFonts w:ascii="Arial" w:hAnsi="Arial" w:cs="Arial"/>
                <w:b/>
                <w:color w:val="000000"/>
                <w:sz w:val="22"/>
                <w:szCs w:val="22"/>
              </w:rPr>
              <w:t xml:space="preserve">xpenses </w:t>
            </w:r>
          </w:p>
        </w:tc>
      </w:tr>
      <w:tr w:rsidR="009E331A" w:rsidRPr="00395CBA" w:rsidTr="00BD0B4B">
        <w:trPr>
          <w:gridBefore w:val="1"/>
          <w:gridAfter w:val="4"/>
          <w:wBefore w:w="292" w:type="dxa"/>
          <w:wAfter w:w="2594" w:type="dxa"/>
          <w:trHeight w:val="300"/>
          <w:jc w:val="center"/>
        </w:trPr>
        <w:tc>
          <w:tcPr>
            <w:tcW w:w="394" w:type="dxa"/>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p>
        </w:tc>
        <w:tc>
          <w:tcPr>
            <w:tcW w:w="3395" w:type="dxa"/>
            <w:gridSpan w:val="2"/>
            <w:tcBorders>
              <w:top w:val="nil"/>
              <w:left w:val="nil"/>
              <w:bottom w:val="nil"/>
              <w:right w:val="nil"/>
            </w:tcBorders>
            <w:shd w:val="clear" w:color="auto" w:fill="auto"/>
            <w:noWrap/>
            <w:vAlign w:val="bottom"/>
            <w:hideMark/>
          </w:tcPr>
          <w:p w:rsidR="009E331A" w:rsidRPr="00395CBA" w:rsidRDefault="009E331A" w:rsidP="00BD0B4B">
            <w:pPr>
              <w:rPr>
                <w:rFonts w:ascii="Calibri" w:hAnsi="Calibri" w:cs="Arial"/>
                <w:color w:val="000000"/>
                <w:szCs w:val="22"/>
              </w:rPr>
            </w:pPr>
          </w:p>
        </w:tc>
        <w:tc>
          <w:tcPr>
            <w:tcW w:w="1358" w:type="dxa"/>
            <w:gridSpan w:val="2"/>
            <w:tcBorders>
              <w:top w:val="nil"/>
              <w:left w:val="nil"/>
              <w:bottom w:val="nil"/>
              <w:right w:val="nil"/>
            </w:tcBorders>
            <w:shd w:val="clear" w:color="auto" w:fill="auto"/>
            <w:noWrap/>
            <w:vAlign w:val="bottom"/>
            <w:hideMark/>
          </w:tcPr>
          <w:p w:rsidR="009E331A" w:rsidRPr="00395CBA" w:rsidRDefault="009E331A" w:rsidP="00BD0B4B">
            <w:pPr>
              <w:rPr>
                <w:rFonts w:ascii="Calibri" w:hAnsi="Calibri" w:cs="Arial"/>
                <w:color w:val="000000"/>
                <w:szCs w:val="22"/>
              </w:rPr>
            </w:pPr>
          </w:p>
        </w:tc>
        <w:tc>
          <w:tcPr>
            <w:tcW w:w="1432" w:type="dxa"/>
            <w:gridSpan w:val="3"/>
            <w:tcBorders>
              <w:top w:val="nil"/>
              <w:left w:val="nil"/>
              <w:bottom w:val="nil"/>
              <w:right w:val="nil"/>
            </w:tcBorders>
            <w:shd w:val="clear" w:color="auto" w:fill="auto"/>
            <w:noWrap/>
            <w:vAlign w:val="bottom"/>
            <w:hideMark/>
          </w:tcPr>
          <w:p w:rsidR="009E331A" w:rsidRPr="00395CBA" w:rsidRDefault="009E331A" w:rsidP="00BD0B4B">
            <w:pPr>
              <w:rPr>
                <w:rFonts w:ascii="Calibri" w:hAnsi="Calibri" w:cs="Arial"/>
                <w:color w:val="000000"/>
                <w:szCs w:val="22"/>
              </w:rPr>
            </w:pPr>
          </w:p>
        </w:tc>
        <w:tc>
          <w:tcPr>
            <w:tcW w:w="1268" w:type="dxa"/>
            <w:gridSpan w:val="2"/>
            <w:tcBorders>
              <w:top w:val="nil"/>
              <w:left w:val="nil"/>
              <w:bottom w:val="nil"/>
              <w:right w:val="nil"/>
            </w:tcBorders>
            <w:shd w:val="clear" w:color="auto" w:fill="auto"/>
            <w:noWrap/>
            <w:vAlign w:val="bottom"/>
            <w:hideMark/>
          </w:tcPr>
          <w:p w:rsidR="009E331A" w:rsidRPr="00395CBA" w:rsidRDefault="009E331A" w:rsidP="00BD0B4B">
            <w:pPr>
              <w:rPr>
                <w:rFonts w:ascii="Calibri" w:hAnsi="Calibri" w:cs="Arial"/>
                <w:color w:val="000000"/>
                <w:szCs w:val="22"/>
              </w:rPr>
            </w:pPr>
          </w:p>
        </w:tc>
      </w:tr>
      <w:tr w:rsidR="009E331A" w:rsidRPr="00395CBA" w:rsidTr="00BD0B4B">
        <w:trPr>
          <w:gridBefore w:val="1"/>
          <w:gridAfter w:val="4"/>
          <w:wBefore w:w="292" w:type="dxa"/>
          <w:wAfter w:w="2594" w:type="dxa"/>
          <w:trHeight w:val="300"/>
          <w:jc w:val="center"/>
        </w:trPr>
        <w:tc>
          <w:tcPr>
            <w:tcW w:w="394" w:type="dxa"/>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p>
        </w:tc>
        <w:tc>
          <w:tcPr>
            <w:tcW w:w="3395" w:type="dxa"/>
            <w:gridSpan w:val="2"/>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r w:rsidRPr="00395CBA">
              <w:rPr>
                <w:rFonts w:ascii="Arial" w:hAnsi="Arial" w:cs="Arial"/>
                <w:color w:val="000000"/>
                <w:sz w:val="20"/>
              </w:rPr>
              <w:t>Rating agency fees</w:t>
            </w:r>
          </w:p>
        </w:tc>
        <w:tc>
          <w:tcPr>
            <w:tcW w:w="1358" w:type="dxa"/>
            <w:gridSpan w:val="2"/>
            <w:tcBorders>
              <w:top w:val="nil"/>
              <w:left w:val="nil"/>
              <w:bottom w:val="nil"/>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Pr>
                <w:rFonts w:ascii="Arial" w:hAnsi="Arial" w:cs="Arial"/>
                <w:color w:val="000000"/>
                <w:sz w:val="20"/>
              </w:rPr>
              <w:t>$3</w:t>
            </w:r>
            <w:r w:rsidRPr="00395CBA">
              <w:rPr>
                <w:rFonts w:ascii="Arial" w:hAnsi="Arial" w:cs="Arial"/>
                <w:color w:val="000000"/>
                <w:sz w:val="20"/>
              </w:rPr>
              <w:t>00,000</w:t>
            </w:r>
          </w:p>
        </w:tc>
        <w:tc>
          <w:tcPr>
            <w:tcW w:w="1432" w:type="dxa"/>
            <w:gridSpan w:val="3"/>
            <w:tcBorders>
              <w:top w:val="nil"/>
              <w:left w:val="nil"/>
              <w:bottom w:val="nil"/>
              <w:right w:val="nil"/>
            </w:tcBorders>
            <w:shd w:val="clear" w:color="auto" w:fill="auto"/>
            <w:noWrap/>
            <w:vAlign w:val="bottom"/>
            <w:hideMark/>
          </w:tcPr>
          <w:p w:rsidR="009E331A" w:rsidRPr="00395CBA" w:rsidRDefault="009E331A" w:rsidP="00BD0B4B">
            <w:pPr>
              <w:rPr>
                <w:rFonts w:ascii="Calibri" w:hAnsi="Calibri" w:cs="Arial"/>
                <w:color w:val="000000"/>
                <w:szCs w:val="22"/>
              </w:rPr>
            </w:pPr>
            <w:r w:rsidRPr="00395CBA">
              <w:rPr>
                <w:rFonts w:ascii="Calibri" w:hAnsi="Calibri" w:cs="Arial"/>
                <w:color w:val="000000"/>
                <w:sz w:val="22"/>
                <w:szCs w:val="22"/>
              </w:rPr>
              <w:t>to</w:t>
            </w:r>
          </w:p>
        </w:tc>
        <w:tc>
          <w:tcPr>
            <w:tcW w:w="1268" w:type="dxa"/>
            <w:gridSpan w:val="2"/>
            <w:tcBorders>
              <w:top w:val="nil"/>
              <w:left w:val="nil"/>
              <w:bottom w:val="nil"/>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Pr>
                <w:rFonts w:ascii="Arial" w:hAnsi="Arial" w:cs="Arial"/>
                <w:color w:val="000000"/>
                <w:sz w:val="20"/>
              </w:rPr>
              <w:t>$5</w:t>
            </w:r>
            <w:r w:rsidRPr="00395CBA">
              <w:rPr>
                <w:rFonts w:ascii="Arial" w:hAnsi="Arial" w:cs="Arial"/>
                <w:color w:val="000000"/>
                <w:sz w:val="20"/>
              </w:rPr>
              <w:t>00,000</w:t>
            </w:r>
          </w:p>
        </w:tc>
      </w:tr>
      <w:tr w:rsidR="009E331A" w:rsidRPr="00395CBA" w:rsidTr="00BD0B4B">
        <w:trPr>
          <w:gridBefore w:val="1"/>
          <w:gridAfter w:val="4"/>
          <w:wBefore w:w="292" w:type="dxa"/>
          <w:wAfter w:w="2594" w:type="dxa"/>
          <w:trHeight w:val="300"/>
          <w:jc w:val="center"/>
        </w:trPr>
        <w:tc>
          <w:tcPr>
            <w:tcW w:w="394" w:type="dxa"/>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p>
        </w:tc>
        <w:tc>
          <w:tcPr>
            <w:tcW w:w="3395" w:type="dxa"/>
            <w:gridSpan w:val="2"/>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r w:rsidRPr="00395CBA">
              <w:rPr>
                <w:rFonts w:ascii="Arial" w:hAnsi="Arial" w:cs="Arial"/>
                <w:color w:val="000000"/>
                <w:sz w:val="20"/>
              </w:rPr>
              <w:t>Legal fees</w:t>
            </w:r>
          </w:p>
        </w:tc>
        <w:tc>
          <w:tcPr>
            <w:tcW w:w="1358" w:type="dxa"/>
            <w:gridSpan w:val="2"/>
            <w:tcBorders>
              <w:top w:val="nil"/>
              <w:left w:val="nil"/>
              <w:bottom w:val="nil"/>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sidRPr="00395CBA">
              <w:rPr>
                <w:rFonts w:ascii="Arial" w:hAnsi="Arial" w:cs="Arial"/>
                <w:color w:val="000000"/>
                <w:sz w:val="20"/>
              </w:rPr>
              <w:t xml:space="preserve"> 300,000 </w:t>
            </w:r>
          </w:p>
        </w:tc>
        <w:tc>
          <w:tcPr>
            <w:tcW w:w="1432" w:type="dxa"/>
            <w:gridSpan w:val="3"/>
            <w:tcBorders>
              <w:top w:val="nil"/>
              <w:left w:val="nil"/>
              <w:bottom w:val="nil"/>
              <w:right w:val="nil"/>
            </w:tcBorders>
            <w:shd w:val="clear" w:color="auto" w:fill="auto"/>
            <w:noWrap/>
            <w:vAlign w:val="bottom"/>
            <w:hideMark/>
          </w:tcPr>
          <w:p w:rsidR="009E331A" w:rsidRPr="00395CBA" w:rsidRDefault="009E331A" w:rsidP="00BD0B4B">
            <w:pPr>
              <w:rPr>
                <w:rFonts w:ascii="Calibri" w:hAnsi="Calibri" w:cs="Arial"/>
                <w:color w:val="000000"/>
                <w:szCs w:val="22"/>
              </w:rPr>
            </w:pPr>
            <w:r w:rsidRPr="00395CBA">
              <w:rPr>
                <w:rFonts w:ascii="Calibri" w:hAnsi="Calibri" w:cs="Arial"/>
                <w:color w:val="000000"/>
                <w:sz w:val="22"/>
                <w:szCs w:val="22"/>
              </w:rPr>
              <w:t>to</w:t>
            </w:r>
          </w:p>
        </w:tc>
        <w:tc>
          <w:tcPr>
            <w:tcW w:w="1268" w:type="dxa"/>
            <w:gridSpan w:val="2"/>
            <w:tcBorders>
              <w:top w:val="nil"/>
              <w:left w:val="nil"/>
              <w:bottom w:val="nil"/>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sidRPr="00395CBA">
              <w:rPr>
                <w:rFonts w:ascii="Arial" w:hAnsi="Arial" w:cs="Arial"/>
                <w:color w:val="000000"/>
                <w:sz w:val="20"/>
              </w:rPr>
              <w:t>500,000</w:t>
            </w:r>
          </w:p>
        </w:tc>
      </w:tr>
      <w:tr w:rsidR="009E331A" w:rsidRPr="00395CBA" w:rsidTr="00BD0B4B">
        <w:trPr>
          <w:gridBefore w:val="1"/>
          <w:gridAfter w:val="4"/>
          <w:wBefore w:w="292" w:type="dxa"/>
          <w:wAfter w:w="2594" w:type="dxa"/>
          <w:trHeight w:val="300"/>
          <w:jc w:val="center"/>
        </w:trPr>
        <w:tc>
          <w:tcPr>
            <w:tcW w:w="394" w:type="dxa"/>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p>
        </w:tc>
        <w:tc>
          <w:tcPr>
            <w:tcW w:w="3395" w:type="dxa"/>
            <w:gridSpan w:val="2"/>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r>
              <w:rPr>
                <w:rFonts w:ascii="Arial" w:hAnsi="Arial" w:cs="Arial"/>
                <w:color w:val="000000"/>
                <w:sz w:val="20"/>
              </w:rPr>
              <w:t xml:space="preserve">Regulatory </w:t>
            </w:r>
            <w:r w:rsidRPr="00395CBA">
              <w:rPr>
                <w:rFonts w:ascii="Arial" w:hAnsi="Arial" w:cs="Arial"/>
                <w:color w:val="000000"/>
                <w:sz w:val="20"/>
              </w:rPr>
              <w:t>fees</w:t>
            </w:r>
          </w:p>
        </w:tc>
        <w:tc>
          <w:tcPr>
            <w:tcW w:w="1358" w:type="dxa"/>
            <w:gridSpan w:val="2"/>
            <w:tcBorders>
              <w:top w:val="nil"/>
              <w:left w:val="nil"/>
              <w:bottom w:val="nil"/>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sidRPr="00395CBA">
              <w:rPr>
                <w:rFonts w:ascii="Arial" w:hAnsi="Arial" w:cs="Arial"/>
                <w:color w:val="000000"/>
                <w:sz w:val="20"/>
              </w:rPr>
              <w:t>50,000</w:t>
            </w:r>
          </w:p>
        </w:tc>
        <w:tc>
          <w:tcPr>
            <w:tcW w:w="1432" w:type="dxa"/>
            <w:gridSpan w:val="3"/>
            <w:tcBorders>
              <w:top w:val="nil"/>
              <w:left w:val="nil"/>
              <w:bottom w:val="nil"/>
              <w:right w:val="nil"/>
            </w:tcBorders>
            <w:shd w:val="clear" w:color="auto" w:fill="auto"/>
            <w:noWrap/>
            <w:vAlign w:val="bottom"/>
            <w:hideMark/>
          </w:tcPr>
          <w:p w:rsidR="009E331A" w:rsidRPr="00395CBA" w:rsidRDefault="009E331A" w:rsidP="00BD0B4B">
            <w:pPr>
              <w:rPr>
                <w:rFonts w:ascii="Calibri" w:hAnsi="Calibri" w:cs="Arial"/>
                <w:color w:val="000000"/>
                <w:szCs w:val="22"/>
              </w:rPr>
            </w:pPr>
            <w:r w:rsidRPr="00395CBA">
              <w:rPr>
                <w:rFonts w:ascii="Calibri" w:hAnsi="Calibri" w:cs="Arial"/>
                <w:color w:val="000000"/>
                <w:sz w:val="22"/>
                <w:szCs w:val="22"/>
              </w:rPr>
              <w:t>to</w:t>
            </w:r>
          </w:p>
        </w:tc>
        <w:tc>
          <w:tcPr>
            <w:tcW w:w="1268" w:type="dxa"/>
            <w:gridSpan w:val="2"/>
            <w:tcBorders>
              <w:top w:val="nil"/>
              <w:left w:val="nil"/>
              <w:bottom w:val="nil"/>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sidRPr="00395CBA">
              <w:rPr>
                <w:rFonts w:ascii="Arial" w:hAnsi="Arial" w:cs="Arial"/>
                <w:color w:val="000000"/>
                <w:sz w:val="20"/>
              </w:rPr>
              <w:t>75,000</w:t>
            </w:r>
          </w:p>
        </w:tc>
      </w:tr>
      <w:tr w:rsidR="009E331A" w:rsidRPr="00395CBA" w:rsidTr="00BD0B4B">
        <w:trPr>
          <w:gridBefore w:val="1"/>
          <w:gridAfter w:val="4"/>
          <w:wBefore w:w="292" w:type="dxa"/>
          <w:wAfter w:w="2594" w:type="dxa"/>
          <w:trHeight w:val="300"/>
          <w:jc w:val="center"/>
        </w:trPr>
        <w:tc>
          <w:tcPr>
            <w:tcW w:w="394" w:type="dxa"/>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p>
        </w:tc>
        <w:tc>
          <w:tcPr>
            <w:tcW w:w="3395" w:type="dxa"/>
            <w:gridSpan w:val="2"/>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r w:rsidRPr="00395CBA">
              <w:rPr>
                <w:rFonts w:ascii="Arial" w:hAnsi="Arial" w:cs="Arial"/>
                <w:color w:val="000000"/>
                <w:sz w:val="20"/>
              </w:rPr>
              <w:t>Accounting fees</w:t>
            </w:r>
          </w:p>
        </w:tc>
        <w:tc>
          <w:tcPr>
            <w:tcW w:w="1358" w:type="dxa"/>
            <w:gridSpan w:val="2"/>
            <w:tcBorders>
              <w:top w:val="nil"/>
              <w:left w:val="nil"/>
              <w:bottom w:val="nil"/>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sidRPr="00395CBA">
              <w:rPr>
                <w:rFonts w:ascii="Arial" w:hAnsi="Arial" w:cs="Arial"/>
                <w:color w:val="000000"/>
                <w:sz w:val="20"/>
              </w:rPr>
              <w:t>50,000</w:t>
            </w:r>
          </w:p>
        </w:tc>
        <w:tc>
          <w:tcPr>
            <w:tcW w:w="1432" w:type="dxa"/>
            <w:gridSpan w:val="3"/>
            <w:tcBorders>
              <w:top w:val="nil"/>
              <w:left w:val="nil"/>
              <w:bottom w:val="nil"/>
              <w:right w:val="nil"/>
            </w:tcBorders>
            <w:shd w:val="clear" w:color="auto" w:fill="auto"/>
            <w:noWrap/>
            <w:vAlign w:val="bottom"/>
            <w:hideMark/>
          </w:tcPr>
          <w:p w:rsidR="009E331A" w:rsidRPr="00395CBA" w:rsidRDefault="009E331A" w:rsidP="00BD0B4B">
            <w:pPr>
              <w:rPr>
                <w:rFonts w:ascii="Calibri" w:hAnsi="Calibri" w:cs="Arial"/>
                <w:color w:val="000000"/>
                <w:szCs w:val="22"/>
              </w:rPr>
            </w:pPr>
            <w:r w:rsidRPr="00395CBA">
              <w:rPr>
                <w:rFonts w:ascii="Calibri" w:hAnsi="Calibri" w:cs="Arial"/>
                <w:color w:val="000000"/>
                <w:sz w:val="22"/>
                <w:szCs w:val="22"/>
              </w:rPr>
              <w:t>to</w:t>
            </w:r>
          </w:p>
        </w:tc>
        <w:tc>
          <w:tcPr>
            <w:tcW w:w="1268" w:type="dxa"/>
            <w:gridSpan w:val="2"/>
            <w:tcBorders>
              <w:top w:val="nil"/>
              <w:left w:val="nil"/>
              <w:bottom w:val="nil"/>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Pr>
                <w:rFonts w:ascii="Arial" w:hAnsi="Arial" w:cs="Arial"/>
                <w:color w:val="000000"/>
                <w:sz w:val="20"/>
              </w:rPr>
              <w:t>100</w:t>
            </w:r>
            <w:r w:rsidRPr="00395CBA">
              <w:rPr>
                <w:rFonts w:ascii="Arial" w:hAnsi="Arial" w:cs="Arial"/>
                <w:color w:val="000000"/>
                <w:sz w:val="20"/>
              </w:rPr>
              <w:t>,000</w:t>
            </w:r>
          </w:p>
        </w:tc>
      </w:tr>
      <w:tr w:rsidR="009E331A" w:rsidRPr="00395CBA" w:rsidTr="00BD0B4B">
        <w:trPr>
          <w:gridBefore w:val="1"/>
          <w:gridAfter w:val="4"/>
          <w:wBefore w:w="292" w:type="dxa"/>
          <w:wAfter w:w="2594" w:type="dxa"/>
          <w:trHeight w:val="300"/>
          <w:jc w:val="center"/>
        </w:trPr>
        <w:tc>
          <w:tcPr>
            <w:tcW w:w="394" w:type="dxa"/>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p>
        </w:tc>
        <w:tc>
          <w:tcPr>
            <w:tcW w:w="3395" w:type="dxa"/>
            <w:gridSpan w:val="2"/>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r w:rsidRPr="00395CBA">
              <w:rPr>
                <w:rFonts w:ascii="Arial" w:hAnsi="Arial" w:cs="Arial"/>
                <w:color w:val="000000"/>
                <w:sz w:val="20"/>
              </w:rPr>
              <w:t>Printing</w:t>
            </w:r>
          </w:p>
        </w:tc>
        <w:tc>
          <w:tcPr>
            <w:tcW w:w="1358" w:type="dxa"/>
            <w:gridSpan w:val="2"/>
            <w:tcBorders>
              <w:top w:val="nil"/>
              <w:left w:val="nil"/>
              <w:bottom w:val="nil"/>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sidRPr="00395CBA">
              <w:rPr>
                <w:rFonts w:ascii="Arial" w:hAnsi="Arial" w:cs="Arial"/>
                <w:color w:val="000000"/>
                <w:sz w:val="20"/>
              </w:rPr>
              <w:t>50,000</w:t>
            </w:r>
          </w:p>
        </w:tc>
        <w:tc>
          <w:tcPr>
            <w:tcW w:w="1432" w:type="dxa"/>
            <w:gridSpan w:val="3"/>
            <w:tcBorders>
              <w:top w:val="nil"/>
              <w:left w:val="nil"/>
              <w:bottom w:val="nil"/>
              <w:right w:val="nil"/>
            </w:tcBorders>
            <w:shd w:val="clear" w:color="auto" w:fill="auto"/>
            <w:noWrap/>
            <w:vAlign w:val="bottom"/>
            <w:hideMark/>
          </w:tcPr>
          <w:p w:rsidR="009E331A" w:rsidRPr="00395CBA" w:rsidRDefault="009E331A" w:rsidP="00BD0B4B">
            <w:pPr>
              <w:rPr>
                <w:rFonts w:ascii="Calibri" w:hAnsi="Calibri" w:cs="Arial"/>
                <w:color w:val="000000"/>
                <w:szCs w:val="22"/>
              </w:rPr>
            </w:pPr>
            <w:r w:rsidRPr="00395CBA">
              <w:rPr>
                <w:rFonts w:ascii="Calibri" w:hAnsi="Calibri" w:cs="Arial"/>
                <w:color w:val="000000"/>
                <w:sz w:val="22"/>
                <w:szCs w:val="22"/>
              </w:rPr>
              <w:t>to</w:t>
            </w:r>
          </w:p>
        </w:tc>
        <w:tc>
          <w:tcPr>
            <w:tcW w:w="1268" w:type="dxa"/>
            <w:gridSpan w:val="2"/>
            <w:tcBorders>
              <w:top w:val="nil"/>
              <w:left w:val="nil"/>
              <w:bottom w:val="nil"/>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sidRPr="00395CBA">
              <w:rPr>
                <w:rFonts w:ascii="Arial" w:hAnsi="Arial" w:cs="Arial"/>
                <w:color w:val="000000"/>
                <w:sz w:val="20"/>
              </w:rPr>
              <w:t>75,000</w:t>
            </w:r>
          </w:p>
        </w:tc>
      </w:tr>
      <w:tr w:rsidR="009E331A" w:rsidRPr="00395CBA" w:rsidTr="00BD0B4B">
        <w:trPr>
          <w:gridBefore w:val="1"/>
          <w:gridAfter w:val="4"/>
          <w:wBefore w:w="292" w:type="dxa"/>
          <w:wAfter w:w="2594" w:type="dxa"/>
          <w:trHeight w:val="315"/>
          <w:jc w:val="center"/>
        </w:trPr>
        <w:tc>
          <w:tcPr>
            <w:tcW w:w="394" w:type="dxa"/>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p>
        </w:tc>
        <w:tc>
          <w:tcPr>
            <w:tcW w:w="3395" w:type="dxa"/>
            <w:gridSpan w:val="2"/>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r w:rsidRPr="00395CBA">
              <w:rPr>
                <w:rFonts w:ascii="Arial" w:hAnsi="Arial" w:cs="Arial"/>
                <w:color w:val="000000"/>
                <w:sz w:val="20"/>
              </w:rPr>
              <w:t>Miscellaneous expenses</w:t>
            </w:r>
          </w:p>
        </w:tc>
        <w:tc>
          <w:tcPr>
            <w:tcW w:w="1358" w:type="dxa"/>
            <w:gridSpan w:val="2"/>
            <w:tcBorders>
              <w:top w:val="nil"/>
              <w:left w:val="nil"/>
              <w:bottom w:val="single" w:sz="8" w:space="0" w:color="auto"/>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sidRPr="00395CBA">
              <w:rPr>
                <w:rFonts w:ascii="Arial" w:hAnsi="Arial" w:cs="Arial"/>
                <w:color w:val="000000"/>
                <w:sz w:val="20"/>
              </w:rPr>
              <w:t>80,000</w:t>
            </w:r>
          </w:p>
        </w:tc>
        <w:tc>
          <w:tcPr>
            <w:tcW w:w="1432" w:type="dxa"/>
            <w:gridSpan w:val="3"/>
            <w:tcBorders>
              <w:top w:val="nil"/>
              <w:left w:val="nil"/>
              <w:bottom w:val="nil"/>
              <w:right w:val="nil"/>
            </w:tcBorders>
            <w:shd w:val="clear" w:color="auto" w:fill="auto"/>
            <w:noWrap/>
            <w:vAlign w:val="bottom"/>
            <w:hideMark/>
          </w:tcPr>
          <w:p w:rsidR="009E331A" w:rsidRPr="00395CBA" w:rsidRDefault="009E331A" w:rsidP="00BD0B4B">
            <w:pPr>
              <w:rPr>
                <w:rFonts w:ascii="Calibri" w:hAnsi="Calibri" w:cs="Arial"/>
                <w:color w:val="000000"/>
                <w:szCs w:val="22"/>
              </w:rPr>
            </w:pPr>
            <w:r w:rsidRPr="00395CBA">
              <w:rPr>
                <w:rFonts w:ascii="Calibri" w:hAnsi="Calibri" w:cs="Arial"/>
                <w:color w:val="000000"/>
                <w:sz w:val="22"/>
                <w:szCs w:val="22"/>
              </w:rPr>
              <w:t>to</w:t>
            </w:r>
          </w:p>
        </w:tc>
        <w:tc>
          <w:tcPr>
            <w:tcW w:w="1268" w:type="dxa"/>
            <w:gridSpan w:val="2"/>
            <w:tcBorders>
              <w:top w:val="nil"/>
              <w:left w:val="nil"/>
              <w:bottom w:val="single" w:sz="8" w:space="0" w:color="auto"/>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sidRPr="00395CBA">
              <w:rPr>
                <w:rFonts w:ascii="Arial" w:hAnsi="Arial" w:cs="Arial"/>
                <w:color w:val="000000"/>
                <w:sz w:val="20"/>
              </w:rPr>
              <w:t>120,000</w:t>
            </w:r>
          </w:p>
        </w:tc>
      </w:tr>
      <w:tr w:rsidR="009E331A" w:rsidRPr="00395CBA" w:rsidTr="00BD0B4B">
        <w:trPr>
          <w:gridBefore w:val="1"/>
          <w:gridAfter w:val="4"/>
          <w:wBefore w:w="292" w:type="dxa"/>
          <w:wAfter w:w="2594" w:type="dxa"/>
          <w:trHeight w:val="300"/>
          <w:jc w:val="center"/>
        </w:trPr>
        <w:tc>
          <w:tcPr>
            <w:tcW w:w="394" w:type="dxa"/>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p>
        </w:tc>
        <w:tc>
          <w:tcPr>
            <w:tcW w:w="3395" w:type="dxa"/>
            <w:gridSpan w:val="2"/>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r w:rsidRPr="00395CBA">
              <w:rPr>
                <w:rFonts w:ascii="Arial" w:hAnsi="Arial" w:cs="Arial"/>
                <w:color w:val="000000"/>
                <w:sz w:val="20"/>
              </w:rPr>
              <w:t>TOTAL</w:t>
            </w:r>
          </w:p>
        </w:tc>
        <w:tc>
          <w:tcPr>
            <w:tcW w:w="1358" w:type="dxa"/>
            <w:gridSpan w:val="2"/>
            <w:tcBorders>
              <w:top w:val="nil"/>
              <w:left w:val="nil"/>
              <w:bottom w:val="nil"/>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sidRPr="00395CBA">
              <w:rPr>
                <w:rFonts w:ascii="Arial" w:hAnsi="Arial" w:cs="Arial"/>
                <w:color w:val="000000"/>
                <w:sz w:val="20"/>
              </w:rPr>
              <w:t xml:space="preserve"> $</w:t>
            </w:r>
            <w:r>
              <w:rPr>
                <w:rFonts w:ascii="Arial" w:hAnsi="Arial" w:cs="Arial"/>
                <w:color w:val="000000"/>
                <w:sz w:val="20"/>
              </w:rPr>
              <w:t>8</w:t>
            </w:r>
            <w:r w:rsidRPr="00395CBA">
              <w:rPr>
                <w:rFonts w:ascii="Arial" w:hAnsi="Arial" w:cs="Arial"/>
                <w:color w:val="000000"/>
                <w:sz w:val="20"/>
              </w:rPr>
              <w:t xml:space="preserve">30,000 </w:t>
            </w:r>
          </w:p>
        </w:tc>
        <w:tc>
          <w:tcPr>
            <w:tcW w:w="1432" w:type="dxa"/>
            <w:gridSpan w:val="3"/>
            <w:tcBorders>
              <w:top w:val="nil"/>
              <w:left w:val="nil"/>
              <w:bottom w:val="nil"/>
              <w:right w:val="nil"/>
            </w:tcBorders>
            <w:shd w:val="clear" w:color="auto" w:fill="auto"/>
            <w:noWrap/>
            <w:vAlign w:val="bottom"/>
            <w:hideMark/>
          </w:tcPr>
          <w:p w:rsidR="009E331A" w:rsidRPr="00395CBA" w:rsidRDefault="009E331A" w:rsidP="00BD0B4B">
            <w:pPr>
              <w:rPr>
                <w:rFonts w:ascii="Calibri" w:hAnsi="Calibri" w:cs="Arial"/>
                <w:color w:val="000000"/>
                <w:szCs w:val="22"/>
              </w:rPr>
            </w:pPr>
          </w:p>
        </w:tc>
        <w:tc>
          <w:tcPr>
            <w:tcW w:w="1268" w:type="dxa"/>
            <w:gridSpan w:val="2"/>
            <w:tcBorders>
              <w:top w:val="nil"/>
              <w:left w:val="nil"/>
              <w:bottom w:val="nil"/>
              <w:right w:val="nil"/>
            </w:tcBorders>
            <w:shd w:val="clear" w:color="auto" w:fill="auto"/>
            <w:noWrap/>
            <w:vAlign w:val="bottom"/>
            <w:hideMark/>
          </w:tcPr>
          <w:p w:rsidR="009E331A" w:rsidRPr="00395CBA" w:rsidRDefault="009E331A" w:rsidP="00BD0B4B">
            <w:pPr>
              <w:jc w:val="right"/>
              <w:rPr>
                <w:rFonts w:ascii="Arial" w:hAnsi="Arial" w:cs="Arial"/>
                <w:color w:val="000000"/>
                <w:sz w:val="20"/>
              </w:rPr>
            </w:pPr>
            <w:r w:rsidRPr="00395CBA">
              <w:rPr>
                <w:rFonts w:ascii="Arial" w:hAnsi="Arial" w:cs="Arial"/>
                <w:color w:val="000000"/>
                <w:sz w:val="20"/>
              </w:rPr>
              <w:t xml:space="preserve"> $</w:t>
            </w:r>
            <w:r>
              <w:rPr>
                <w:rFonts w:ascii="Arial" w:hAnsi="Arial" w:cs="Arial"/>
                <w:color w:val="000000"/>
                <w:sz w:val="20"/>
              </w:rPr>
              <w:t>1,370,000</w:t>
            </w:r>
            <w:r w:rsidRPr="00395CBA">
              <w:rPr>
                <w:rFonts w:ascii="Arial" w:hAnsi="Arial" w:cs="Arial"/>
                <w:color w:val="000000"/>
                <w:sz w:val="20"/>
              </w:rPr>
              <w:t xml:space="preserve"> </w:t>
            </w:r>
          </w:p>
        </w:tc>
      </w:tr>
      <w:tr w:rsidR="009E331A" w:rsidRPr="00395CBA" w:rsidTr="00BD0B4B">
        <w:trPr>
          <w:gridBefore w:val="1"/>
          <w:gridAfter w:val="4"/>
          <w:wBefore w:w="292" w:type="dxa"/>
          <w:wAfter w:w="2594" w:type="dxa"/>
          <w:trHeight w:val="255"/>
          <w:jc w:val="center"/>
        </w:trPr>
        <w:tc>
          <w:tcPr>
            <w:tcW w:w="394" w:type="dxa"/>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p>
        </w:tc>
        <w:tc>
          <w:tcPr>
            <w:tcW w:w="3395" w:type="dxa"/>
            <w:gridSpan w:val="2"/>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p>
        </w:tc>
        <w:tc>
          <w:tcPr>
            <w:tcW w:w="1358" w:type="dxa"/>
            <w:gridSpan w:val="2"/>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p>
        </w:tc>
        <w:tc>
          <w:tcPr>
            <w:tcW w:w="1432" w:type="dxa"/>
            <w:gridSpan w:val="3"/>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p>
        </w:tc>
        <w:tc>
          <w:tcPr>
            <w:tcW w:w="1268" w:type="dxa"/>
            <w:gridSpan w:val="2"/>
            <w:tcBorders>
              <w:top w:val="nil"/>
              <w:left w:val="nil"/>
              <w:bottom w:val="nil"/>
              <w:right w:val="nil"/>
            </w:tcBorders>
            <w:shd w:val="clear" w:color="auto" w:fill="auto"/>
            <w:noWrap/>
            <w:vAlign w:val="bottom"/>
            <w:hideMark/>
          </w:tcPr>
          <w:p w:rsidR="009E331A" w:rsidRPr="00395CBA" w:rsidRDefault="009E331A" w:rsidP="00BD0B4B">
            <w:pPr>
              <w:rPr>
                <w:rFonts w:ascii="Arial" w:hAnsi="Arial" w:cs="Arial"/>
                <w:color w:val="000000"/>
                <w:sz w:val="20"/>
              </w:rPr>
            </w:pPr>
          </w:p>
        </w:tc>
      </w:tr>
      <w:tr w:rsidR="009E331A" w:rsidRPr="00D21F22" w:rsidTr="00BD0B4B">
        <w:trPr>
          <w:gridAfter w:val="5"/>
          <w:wAfter w:w="2881" w:type="dxa"/>
          <w:trHeight w:val="285"/>
          <w:jc w:val="center"/>
        </w:trPr>
        <w:tc>
          <w:tcPr>
            <w:tcW w:w="686" w:type="dxa"/>
            <w:gridSpan w:val="2"/>
            <w:tcBorders>
              <w:top w:val="nil"/>
              <w:left w:val="nil"/>
              <w:bottom w:val="nil"/>
              <w:right w:val="nil"/>
            </w:tcBorders>
            <w:shd w:val="clear" w:color="auto" w:fill="auto"/>
            <w:noWrap/>
            <w:vAlign w:val="bottom"/>
            <w:hideMark/>
          </w:tcPr>
          <w:p w:rsidR="009E331A" w:rsidRPr="00D21F22" w:rsidRDefault="00F30248" w:rsidP="00BD0B4B">
            <w:pPr>
              <w:rPr>
                <w:rFonts w:ascii="Arial" w:hAnsi="Arial" w:cs="Arial"/>
                <w:color w:val="000000"/>
                <w:sz w:val="20"/>
              </w:rPr>
            </w:pPr>
            <w:r>
              <w:rPr>
                <w:rFonts w:ascii="Arial" w:hAnsi="Arial" w:cs="Arial"/>
                <w:color w:val="000000"/>
                <w:sz w:val="20"/>
              </w:rPr>
              <w:t>(</w:t>
            </w:r>
            <w:r w:rsidR="009E331A" w:rsidRPr="00D21F22">
              <w:rPr>
                <w:rFonts w:ascii="Arial" w:hAnsi="Arial" w:cs="Arial"/>
                <w:color w:val="000000"/>
                <w:sz w:val="20"/>
              </w:rPr>
              <w:t>3)</w:t>
            </w:r>
          </w:p>
        </w:tc>
        <w:tc>
          <w:tcPr>
            <w:tcW w:w="7166" w:type="dxa"/>
            <w:gridSpan w:val="8"/>
            <w:tcBorders>
              <w:top w:val="nil"/>
              <w:left w:val="nil"/>
              <w:bottom w:val="nil"/>
              <w:right w:val="nil"/>
            </w:tcBorders>
            <w:shd w:val="clear" w:color="auto" w:fill="auto"/>
            <w:noWrap/>
            <w:vAlign w:val="bottom"/>
            <w:hideMark/>
          </w:tcPr>
          <w:p w:rsidR="009E331A" w:rsidRPr="00585638" w:rsidRDefault="009E331A" w:rsidP="00BD0B4B">
            <w:pPr>
              <w:jc w:val="center"/>
              <w:rPr>
                <w:rFonts w:ascii="Arial" w:hAnsi="Arial" w:cs="Arial"/>
                <w:b/>
                <w:color w:val="000000"/>
                <w:szCs w:val="22"/>
              </w:rPr>
            </w:pPr>
            <w:r w:rsidRPr="00585638">
              <w:rPr>
                <w:rFonts w:ascii="Arial" w:hAnsi="Arial" w:cs="Arial"/>
                <w:b/>
                <w:color w:val="000000"/>
                <w:sz w:val="22"/>
                <w:szCs w:val="22"/>
              </w:rPr>
              <w:t>First Mortgage Bonds Estimated Issuance Fees and Expenses</w:t>
            </w:r>
          </w:p>
        </w:tc>
      </w:tr>
      <w:tr w:rsidR="009E331A" w:rsidRPr="00D21F22" w:rsidTr="00BD0B4B">
        <w:trPr>
          <w:gridAfter w:val="5"/>
          <w:wAfter w:w="2881" w:type="dxa"/>
          <w:trHeight w:val="255"/>
          <w:jc w:val="center"/>
        </w:trPr>
        <w:tc>
          <w:tcPr>
            <w:tcW w:w="686" w:type="dxa"/>
            <w:gridSpan w:val="2"/>
            <w:tcBorders>
              <w:top w:val="nil"/>
              <w:left w:val="nil"/>
              <w:bottom w:val="nil"/>
              <w:right w:val="nil"/>
            </w:tcBorders>
            <w:shd w:val="clear" w:color="auto" w:fill="auto"/>
            <w:noWrap/>
            <w:vAlign w:val="bottom"/>
            <w:hideMark/>
          </w:tcPr>
          <w:p w:rsidR="009E331A" w:rsidRPr="00D21F22" w:rsidRDefault="009E331A" w:rsidP="00BD0B4B">
            <w:pPr>
              <w:rPr>
                <w:rFonts w:ascii="Arial" w:hAnsi="Arial" w:cs="Arial"/>
                <w:color w:val="000000"/>
                <w:sz w:val="20"/>
              </w:rPr>
            </w:pPr>
          </w:p>
        </w:tc>
        <w:tc>
          <w:tcPr>
            <w:tcW w:w="3123" w:type="dxa"/>
            <w:tcBorders>
              <w:top w:val="nil"/>
              <w:left w:val="nil"/>
              <w:bottom w:val="nil"/>
              <w:right w:val="nil"/>
            </w:tcBorders>
            <w:shd w:val="clear" w:color="auto" w:fill="auto"/>
            <w:noWrap/>
            <w:vAlign w:val="bottom"/>
            <w:hideMark/>
          </w:tcPr>
          <w:p w:rsidR="009E331A" w:rsidRPr="00D21F22" w:rsidRDefault="009E331A" w:rsidP="00BD0B4B">
            <w:pPr>
              <w:rPr>
                <w:rFonts w:ascii="Arial" w:hAnsi="Arial" w:cs="Arial"/>
                <w:color w:val="000000"/>
                <w:sz w:val="20"/>
              </w:rPr>
            </w:pPr>
          </w:p>
        </w:tc>
        <w:tc>
          <w:tcPr>
            <w:tcW w:w="4043" w:type="dxa"/>
            <w:gridSpan w:val="7"/>
            <w:tcBorders>
              <w:top w:val="nil"/>
              <w:left w:val="nil"/>
              <w:bottom w:val="nil"/>
              <w:right w:val="nil"/>
            </w:tcBorders>
            <w:shd w:val="clear" w:color="auto" w:fill="auto"/>
            <w:noWrap/>
            <w:vAlign w:val="bottom"/>
            <w:hideMark/>
          </w:tcPr>
          <w:p w:rsidR="009E331A" w:rsidRPr="00D21F22" w:rsidRDefault="009E331A" w:rsidP="00BD0B4B">
            <w:pPr>
              <w:jc w:val="center"/>
              <w:rPr>
                <w:rFonts w:ascii="Arial" w:hAnsi="Arial" w:cs="Arial"/>
                <w:color w:val="000000"/>
                <w:sz w:val="20"/>
              </w:rPr>
            </w:pPr>
          </w:p>
        </w:tc>
      </w:tr>
      <w:tr w:rsidR="009E331A" w:rsidRPr="00D21F22" w:rsidTr="00BD0B4B">
        <w:trPr>
          <w:gridAfter w:val="5"/>
          <w:wAfter w:w="2881" w:type="dxa"/>
          <w:trHeight w:val="300"/>
          <w:jc w:val="center"/>
        </w:trPr>
        <w:tc>
          <w:tcPr>
            <w:tcW w:w="686" w:type="dxa"/>
            <w:gridSpan w:val="2"/>
            <w:tcBorders>
              <w:top w:val="nil"/>
              <w:left w:val="nil"/>
              <w:bottom w:val="nil"/>
              <w:right w:val="nil"/>
            </w:tcBorders>
            <w:shd w:val="clear" w:color="auto" w:fill="auto"/>
            <w:noWrap/>
            <w:vAlign w:val="bottom"/>
            <w:hideMark/>
          </w:tcPr>
          <w:p w:rsidR="009E331A" w:rsidRPr="00D21F22" w:rsidRDefault="009E331A" w:rsidP="00BD0B4B">
            <w:pPr>
              <w:rPr>
                <w:rFonts w:ascii="Arial" w:hAnsi="Arial" w:cs="Arial"/>
                <w:color w:val="000000"/>
                <w:sz w:val="20"/>
              </w:rPr>
            </w:pPr>
          </w:p>
        </w:tc>
        <w:tc>
          <w:tcPr>
            <w:tcW w:w="3123" w:type="dxa"/>
            <w:tcBorders>
              <w:top w:val="nil"/>
              <w:left w:val="nil"/>
              <w:bottom w:val="nil"/>
              <w:right w:val="nil"/>
            </w:tcBorders>
            <w:shd w:val="clear" w:color="auto" w:fill="auto"/>
            <w:noWrap/>
            <w:vAlign w:val="bottom"/>
            <w:hideMark/>
          </w:tcPr>
          <w:p w:rsidR="009E331A" w:rsidRPr="00D21F22" w:rsidRDefault="009E331A" w:rsidP="00BD0B4B">
            <w:pPr>
              <w:rPr>
                <w:rFonts w:ascii="Arial" w:hAnsi="Arial" w:cs="Arial"/>
                <w:color w:val="000000"/>
                <w:sz w:val="20"/>
              </w:rPr>
            </w:pPr>
            <w:r w:rsidRPr="00D21F22">
              <w:rPr>
                <w:rFonts w:ascii="Arial" w:hAnsi="Arial" w:cs="Arial"/>
                <w:color w:val="000000"/>
                <w:sz w:val="20"/>
              </w:rPr>
              <w:t>Legal</w:t>
            </w:r>
          </w:p>
        </w:tc>
        <w:tc>
          <w:tcPr>
            <w:tcW w:w="1248" w:type="dxa"/>
            <w:gridSpan w:val="2"/>
            <w:tcBorders>
              <w:top w:val="nil"/>
              <w:left w:val="nil"/>
              <w:bottom w:val="nil"/>
              <w:right w:val="nil"/>
            </w:tcBorders>
            <w:shd w:val="clear" w:color="auto" w:fill="auto"/>
            <w:noWrap/>
            <w:vAlign w:val="bottom"/>
            <w:hideMark/>
          </w:tcPr>
          <w:p w:rsidR="009E331A" w:rsidRPr="00D21F22" w:rsidRDefault="009E331A" w:rsidP="00BD0B4B">
            <w:pPr>
              <w:jc w:val="right"/>
              <w:rPr>
                <w:rFonts w:ascii="Arial" w:hAnsi="Arial" w:cs="Arial"/>
                <w:color w:val="000000"/>
                <w:sz w:val="20"/>
              </w:rPr>
            </w:pPr>
            <w:r>
              <w:rPr>
                <w:rFonts w:ascii="Arial" w:hAnsi="Arial" w:cs="Arial"/>
                <w:color w:val="000000"/>
                <w:sz w:val="20"/>
              </w:rPr>
              <w:t>$</w:t>
            </w:r>
            <w:r w:rsidRPr="00D21F22">
              <w:rPr>
                <w:rFonts w:ascii="Arial" w:hAnsi="Arial" w:cs="Arial"/>
                <w:color w:val="000000"/>
                <w:sz w:val="20"/>
              </w:rPr>
              <w:t xml:space="preserve">75,000 </w:t>
            </w:r>
          </w:p>
        </w:tc>
        <w:tc>
          <w:tcPr>
            <w:tcW w:w="1474" w:type="dxa"/>
            <w:gridSpan w:val="3"/>
            <w:tcBorders>
              <w:top w:val="nil"/>
              <w:left w:val="nil"/>
              <w:bottom w:val="nil"/>
              <w:right w:val="nil"/>
            </w:tcBorders>
            <w:shd w:val="clear" w:color="auto" w:fill="auto"/>
            <w:noWrap/>
            <w:vAlign w:val="bottom"/>
            <w:hideMark/>
          </w:tcPr>
          <w:p w:rsidR="009E331A" w:rsidRPr="00D21F22" w:rsidRDefault="009E331A" w:rsidP="00BD0B4B">
            <w:pPr>
              <w:rPr>
                <w:rFonts w:ascii="Calibri" w:hAnsi="Calibri" w:cs="Arial"/>
                <w:color w:val="000000"/>
                <w:szCs w:val="22"/>
              </w:rPr>
            </w:pPr>
            <w:r w:rsidRPr="00D21F22">
              <w:rPr>
                <w:rFonts w:ascii="Calibri" w:hAnsi="Calibri" w:cs="Arial"/>
                <w:color w:val="000000"/>
                <w:sz w:val="22"/>
                <w:szCs w:val="22"/>
              </w:rPr>
              <w:t>to</w:t>
            </w:r>
          </w:p>
        </w:tc>
        <w:tc>
          <w:tcPr>
            <w:tcW w:w="1321" w:type="dxa"/>
            <w:gridSpan w:val="2"/>
            <w:tcBorders>
              <w:top w:val="nil"/>
              <w:left w:val="nil"/>
              <w:bottom w:val="nil"/>
              <w:right w:val="nil"/>
            </w:tcBorders>
            <w:shd w:val="clear" w:color="auto" w:fill="auto"/>
            <w:noWrap/>
            <w:vAlign w:val="bottom"/>
            <w:hideMark/>
          </w:tcPr>
          <w:p w:rsidR="009E331A" w:rsidRPr="00D21F22" w:rsidRDefault="009E331A" w:rsidP="00BD0B4B">
            <w:pPr>
              <w:jc w:val="right"/>
              <w:rPr>
                <w:rFonts w:ascii="Arial" w:hAnsi="Arial" w:cs="Arial"/>
                <w:color w:val="000000"/>
                <w:sz w:val="20"/>
              </w:rPr>
            </w:pPr>
            <w:r w:rsidRPr="00D21F22">
              <w:rPr>
                <w:rFonts w:ascii="Arial" w:hAnsi="Arial" w:cs="Arial"/>
                <w:color w:val="000000"/>
                <w:sz w:val="20"/>
              </w:rPr>
              <w:t xml:space="preserve"> $</w:t>
            </w:r>
            <w:r>
              <w:rPr>
                <w:rFonts w:ascii="Arial" w:hAnsi="Arial" w:cs="Arial"/>
                <w:color w:val="000000"/>
                <w:sz w:val="20"/>
              </w:rPr>
              <w:t>1</w:t>
            </w:r>
            <w:r w:rsidRPr="00D21F22">
              <w:rPr>
                <w:rFonts w:ascii="Arial" w:hAnsi="Arial" w:cs="Arial"/>
                <w:color w:val="000000"/>
                <w:sz w:val="20"/>
              </w:rPr>
              <w:t xml:space="preserve">50,000 </w:t>
            </w:r>
          </w:p>
        </w:tc>
      </w:tr>
      <w:tr w:rsidR="009E331A" w:rsidRPr="00D21F22" w:rsidTr="00BD0B4B">
        <w:trPr>
          <w:gridAfter w:val="5"/>
          <w:wAfter w:w="2881" w:type="dxa"/>
          <w:trHeight w:val="300"/>
          <w:jc w:val="center"/>
        </w:trPr>
        <w:tc>
          <w:tcPr>
            <w:tcW w:w="686" w:type="dxa"/>
            <w:gridSpan w:val="2"/>
            <w:tcBorders>
              <w:top w:val="nil"/>
              <w:left w:val="nil"/>
              <w:bottom w:val="nil"/>
              <w:right w:val="nil"/>
            </w:tcBorders>
            <w:shd w:val="clear" w:color="auto" w:fill="auto"/>
            <w:noWrap/>
            <w:vAlign w:val="bottom"/>
            <w:hideMark/>
          </w:tcPr>
          <w:p w:rsidR="009E331A" w:rsidRPr="00D21F22" w:rsidRDefault="009E331A" w:rsidP="00BD0B4B">
            <w:pPr>
              <w:rPr>
                <w:rFonts w:ascii="Arial" w:hAnsi="Arial" w:cs="Arial"/>
                <w:color w:val="000000"/>
                <w:sz w:val="20"/>
              </w:rPr>
            </w:pPr>
          </w:p>
        </w:tc>
        <w:tc>
          <w:tcPr>
            <w:tcW w:w="3123" w:type="dxa"/>
            <w:tcBorders>
              <w:top w:val="nil"/>
              <w:left w:val="nil"/>
              <w:bottom w:val="nil"/>
              <w:right w:val="nil"/>
            </w:tcBorders>
            <w:shd w:val="clear" w:color="auto" w:fill="auto"/>
            <w:noWrap/>
            <w:vAlign w:val="bottom"/>
            <w:hideMark/>
          </w:tcPr>
          <w:p w:rsidR="009E331A" w:rsidRPr="00D21F22" w:rsidRDefault="009E331A" w:rsidP="00BD0B4B">
            <w:pPr>
              <w:rPr>
                <w:rFonts w:ascii="Arial" w:hAnsi="Arial" w:cs="Arial"/>
                <w:color w:val="000000"/>
                <w:sz w:val="20"/>
              </w:rPr>
            </w:pPr>
            <w:r w:rsidRPr="00D21F22">
              <w:rPr>
                <w:rFonts w:ascii="Arial" w:hAnsi="Arial" w:cs="Arial"/>
                <w:color w:val="000000"/>
                <w:sz w:val="20"/>
              </w:rPr>
              <w:t>Title Insurance</w:t>
            </w:r>
          </w:p>
        </w:tc>
        <w:tc>
          <w:tcPr>
            <w:tcW w:w="1248" w:type="dxa"/>
            <w:gridSpan w:val="2"/>
            <w:tcBorders>
              <w:top w:val="nil"/>
              <w:left w:val="nil"/>
              <w:bottom w:val="nil"/>
              <w:right w:val="nil"/>
            </w:tcBorders>
            <w:shd w:val="clear" w:color="auto" w:fill="auto"/>
            <w:noWrap/>
            <w:vAlign w:val="bottom"/>
            <w:hideMark/>
          </w:tcPr>
          <w:p w:rsidR="009E331A" w:rsidRPr="00D21F22" w:rsidRDefault="009E331A" w:rsidP="00BD0B4B">
            <w:pPr>
              <w:jc w:val="right"/>
              <w:rPr>
                <w:rFonts w:ascii="Arial" w:hAnsi="Arial" w:cs="Arial"/>
                <w:color w:val="000000"/>
                <w:sz w:val="20"/>
              </w:rPr>
            </w:pPr>
            <w:r w:rsidRPr="00D21F22">
              <w:rPr>
                <w:rFonts w:ascii="Arial" w:hAnsi="Arial" w:cs="Arial"/>
                <w:color w:val="000000"/>
                <w:sz w:val="20"/>
              </w:rPr>
              <w:t xml:space="preserve">80,000 </w:t>
            </w:r>
          </w:p>
        </w:tc>
        <w:tc>
          <w:tcPr>
            <w:tcW w:w="1474" w:type="dxa"/>
            <w:gridSpan w:val="3"/>
            <w:tcBorders>
              <w:top w:val="nil"/>
              <w:left w:val="nil"/>
              <w:bottom w:val="nil"/>
              <w:right w:val="nil"/>
            </w:tcBorders>
            <w:shd w:val="clear" w:color="auto" w:fill="auto"/>
            <w:noWrap/>
            <w:vAlign w:val="bottom"/>
            <w:hideMark/>
          </w:tcPr>
          <w:p w:rsidR="009E331A" w:rsidRPr="00D21F22" w:rsidRDefault="009E331A" w:rsidP="00BD0B4B">
            <w:pPr>
              <w:rPr>
                <w:rFonts w:ascii="Calibri" w:hAnsi="Calibri" w:cs="Arial"/>
                <w:color w:val="000000"/>
                <w:szCs w:val="22"/>
              </w:rPr>
            </w:pPr>
            <w:r w:rsidRPr="00D21F22">
              <w:rPr>
                <w:rFonts w:ascii="Calibri" w:hAnsi="Calibri" w:cs="Arial"/>
                <w:color w:val="000000"/>
                <w:sz w:val="22"/>
                <w:szCs w:val="22"/>
              </w:rPr>
              <w:t>to</w:t>
            </w:r>
          </w:p>
        </w:tc>
        <w:tc>
          <w:tcPr>
            <w:tcW w:w="1321" w:type="dxa"/>
            <w:gridSpan w:val="2"/>
            <w:tcBorders>
              <w:top w:val="nil"/>
              <w:left w:val="nil"/>
              <w:bottom w:val="nil"/>
              <w:right w:val="nil"/>
            </w:tcBorders>
            <w:shd w:val="clear" w:color="auto" w:fill="auto"/>
            <w:noWrap/>
            <w:vAlign w:val="bottom"/>
            <w:hideMark/>
          </w:tcPr>
          <w:p w:rsidR="009E331A" w:rsidRPr="00D21F22" w:rsidRDefault="009E331A" w:rsidP="00BD0B4B">
            <w:pPr>
              <w:jc w:val="right"/>
              <w:rPr>
                <w:rFonts w:ascii="Arial" w:hAnsi="Arial" w:cs="Arial"/>
                <w:color w:val="000000"/>
                <w:sz w:val="20"/>
              </w:rPr>
            </w:pPr>
            <w:r w:rsidRPr="00D21F22">
              <w:rPr>
                <w:rFonts w:ascii="Arial" w:hAnsi="Arial" w:cs="Arial"/>
                <w:color w:val="000000"/>
                <w:sz w:val="20"/>
              </w:rPr>
              <w:t>240,000</w:t>
            </w:r>
          </w:p>
        </w:tc>
      </w:tr>
      <w:tr w:rsidR="009E331A" w:rsidRPr="00D21F22" w:rsidTr="00BD0B4B">
        <w:trPr>
          <w:gridAfter w:val="5"/>
          <w:wAfter w:w="2881" w:type="dxa"/>
          <w:trHeight w:val="300"/>
          <w:jc w:val="center"/>
        </w:trPr>
        <w:tc>
          <w:tcPr>
            <w:tcW w:w="686" w:type="dxa"/>
            <w:gridSpan w:val="2"/>
            <w:tcBorders>
              <w:top w:val="nil"/>
              <w:left w:val="nil"/>
              <w:bottom w:val="nil"/>
              <w:right w:val="nil"/>
            </w:tcBorders>
            <w:shd w:val="clear" w:color="auto" w:fill="auto"/>
            <w:noWrap/>
            <w:vAlign w:val="bottom"/>
            <w:hideMark/>
          </w:tcPr>
          <w:p w:rsidR="009E331A" w:rsidRPr="00D21F22" w:rsidRDefault="009E331A" w:rsidP="00BD0B4B">
            <w:pPr>
              <w:rPr>
                <w:rFonts w:ascii="Arial" w:hAnsi="Arial" w:cs="Arial"/>
                <w:color w:val="000000"/>
                <w:sz w:val="20"/>
              </w:rPr>
            </w:pPr>
          </w:p>
        </w:tc>
        <w:tc>
          <w:tcPr>
            <w:tcW w:w="3123" w:type="dxa"/>
            <w:tcBorders>
              <w:top w:val="nil"/>
              <w:left w:val="nil"/>
              <w:bottom w:val="nil"/>
              <w:right w:val="nil"/>
            </w:tcBorders>
            <w:shd w:val="clear" w:color="auto" w:fill="auto"/>
            <w:noWrap/>
            <w:vAlign w:val="bottom"/>
            <w:hideMark/>
          </w:tcPr>
          <w:p w:rsidR="009E331A" w:rsidRPr="00D21F22" w:rsidRDefault="009E331A" w:rsidP="00BD0B4B">
            <w:pPr>
              <w:rPr>
                <w:rFonts w:ascii="Arial" w:hAnsi="Arial" w:cs="Arial"/>
                <w:color w:val="000000"/>
                <w:sz w:val="20"/>
              </w:rPr>
            </w:pPr>
            <w:r w:rsidRPr="00D21F22">
              <w:rPr>
                <w:rFonts w:ascii="Arial" w:hAnsi="Arial" w:cs="Arial"/>
                <w:color w:val="000000"/>
                <w:sz w:val="20"/>
              </w:rPr>
              <w:t>County Filing Fees and Other</w:t>
            </w:r>
          </w:p>
        </w:tc>
        <w:tc>
          <w:tcPr>
            <w:tcW w:w="1248" w:type="dxa"/>
            <w:gridSpan w:val="2"/>
            <w:tcBorders>
              <w:top w:val="nil"/>
              <w:left w:val="nil"/>
              <w:bottom w:val="single" w:sz="4" w:space="0" w:color="auto"/>
              <w:right w:val="nil"/>
            </w:tcBorders>
            <w:shd w:val="clear" w:color="auto" w:fill="auto"/>
            <w:noWrap/>
            <w:vAlign w:val="bottom"/>
            <w:hideMark/>
          </w:tcPr>
          <w:p w:rsidR="009E331A" w:rsidRPr="00D21F22" w:rsidRDefault="009E331A" w:rsidP="00BD0B4B">
            <w:pPr>
              <w:jc w:val="right"/>
              <w:rPr>
                <w:rFonts w:ascii="Arial" w:hAnsi="Arial" w:cs="Arial"/>
                <w:color w:val="000000"/>
                <w:sz w:val="20"/>
              </w:rPr>
            </w:pPr>
            <w:r w:rsidRPr="00D21F22">
              <w:rPr>
                <w:rFonts w:ascii="Arial" w:hAnsi="Arial" w:cs="Arial"/>
                <w:color w:val="000000"/>
                <w:sz w:val="20"/>
              </w:rPr>
              <w:t>30,000</w:t>
            </w:r>
          </w:p>
        </w:tc>
        <w:tc>
          <w:tcPr>
            <w:tcW w:w="1474" w:type="dxa"/>
            <w:gridSpan w:val="3"/>
            <w:tcBorders>
              <w:top w:val="nil"/>
              <w:left w:val="nil"/>
              <w:bottom w:val="nil"/>
              <w:right w:val="nil"/>
            </w:tcBorders>
            <w:shd w:val="clear" w:color="auto" w:fill="auto"/>
            <w:noWrap/>
            <w:vAlign w:val="bottom"/>
            <w:hideMark/>
          </w:tcPr>
          <w:p w:rsidR="009E331A" w:rsidRPr="00D21F22" w:rsidRDefault="009E331A" w:rsidP="00BD0B4B">
            <w:pPr>
              <w:rPr>
                <w:rFonts w:ascii="Calibri" w:hAnsi="Calibri" w:cs="Arial"/>
                <w:color w:val="000000"/>
                <w:szCs w:val="22"/>
              </w:rPr>
            </w:pPr>
            <w:r w:rsidRPr="00D21F22">
              <w:rPr>
                <w:rFonts w:ascii="Calibri" w:hAnsi="Calibri" w:cs="Arial"/>
                <w:color w:val="000000"/>
                <w:sz w:val="22"/>
                <w:szCs w:val="22"/>
              </w:rPr>
              <w:t>to</w:t>
            </w:r>
          </w:p>
        </w:tc>
        <w:tc>
          <w:tcPr>
            <w:tcW w:w="1321" w:type="dxa"/>
            <w:gridSpan w:val="2"/>
            <w:tcBorders>
              <w:top w:val="nil"/>
              <w:left w:val="nil"/>
              <w:bottom w:val="single" w:sz="4" w:space="0" w:color="auto"/>
              <w:right w:val="nil"/>
            </w:tcBorders>
            <w:shd w:val="clear" w:color="auto" w:fill="auto"/>
            <w:noWrap/>
            <w:vAlign w:val="bottom"/>
            <w:hideMark/>
          </w:tcPr>
          <w:p w:rsidR="009E331A" w:rsidRPr="00D21F22" w:rsidRDefault="009E331A" w:rsidP="00BD0B4B">
            <w:pPr>
              <w:jc w:val="right"/>
              <w:rPr>
                <w:rFonts w:ascii="Arial" w:hAnsi="Arial" w:cs="Arial"/>
                <w:color w:val="000000"/>
                <w:sz w:val="20"/>
              </w:rPr>
            </w:pPr>
            <w:r w:rsidRPr="00D21F22">
              <w:rPr>
                <w:rFonts w:ascii="Arial" w:hAnsi="Arial" w:cs="Arial"/>
                <w:color w:val="000000"/>
                <w:sz w:val="20"/>
              </w:rPr>
              <w:t>100,000</w:t>
            </w:r>
          </w:p>
        </w:tc>
      </w:tr>
      <w:tr w:rsidR="009E331A" w:rsidRPr="00D21F22" w:rsidTr="00BD0B4B">
        <w:trPr>
          <w:gridAfter w:val="5"/>
          <w:wAfter w:w="2881" w:type="dxa"/>
          <w:trHeight w:val="255"/>
          <w:jc w:val="center"/>
        </w:trPr>
        <w:tc>
          <w:tcPr>
            <w:tcW w:w="686" w:type="dxa"/>
            <w:gridSpan w:val="2"/>
            <w:tcBorders>
              <w:top w:val="nil"/>
              <w:left w:val="nil"/>
              <w:bottom w:val="nil"/>
              <w:right w:val="nil"/>
            </w:tcBorders>
            <w:shd w:val="clear" w:color="auto" w:fill="auto"/>
            <w:noWrap/>
            <w:vAlign w:val="bottom"/>
            <w:hideMark/>
          </w:tcPr>
          <w:p w:rsidR="009E331A" w:rsidRPr="00D21F22" w:rsidRDefault="009E331A" w:rsidP="00BD0B4B">
            <w:pPr>
              <w:rPr>
                <w:rFonts w:ascii="Arial" w:hAnsi="Arial" w:cs="Arial"/>
                <w:color w:val="000000"/>
                <w:sz w:val="20"/>
              </w:rPr>
            </w:pPr>
          </w:p>
        </w:tc>
        <w:tc>
          <w:tcPr>
            <w:tcW w:w="3123" w:type="dxa"/>
            <w:tcBorders>
              <w:top w:val="nil"/>
              <w:left w:val="nil"/>
              <w:bottom w:val="nil"/>
              <w:right w:val="nil"/>
            </w:tcBorders>
            <w:shd w:val="clear" w:color="auto" w:fill="auto"/>
            <w:noWrap/>
            <w:vAlign w:val="bottom"/>
            <w:hideMark/>
          </w:tcPr>
          <w:p w:rsidR="009E331A" w:rsidRPr="00D21F22" w:rsidRDefault="009E331A" w:rsidP="00BD0B4B">
            <w:pPr>
              <w:rPr>
                <w:rFonts w:ascii="Arial" w:hAnsi="Arial" w:cs="Arial"/>
                <w:color w:val="000000"/>
                <w:sz w:val="20"/>
              </w:rPr>
            </w:pPr>
            <w:r w:rsidRPr="00D21F22">
              <w:rPr>
                <w:rFonts w:ascii="Arial" w:hAnsi="Arial" w:cs="Arial"/>
                <w:color w:val="000000"/>
                <w:sz w:val="20"/>
              </w:rPr>
              <w:t>Total</w:t>
            </w:r>
          </w:p>
        </w:tc>
        <w:tc>
          <w:tcPr>
            <w:tcW w:w="1248" w:type="dxa"/>
            <w:gridSpan w:val="2"/>
            <w:tcBorders>
              <w:top w:val="nil"/>
              <w:left w:val="nil"/>
              <w:bottom w:val="nil"/>
              <w:right w:val="nil"/>
            </w:tcBorders>
            <w:shd w:val="clear" w:color="auto" w:fill="auto"/>
            <w:noWrap/>
            <w:vAlign w:val="bottom"/>
            <w:hideMark/>
          </w:tcPr>
          <w:p w:rsidR="009E331A" w:rsidRPr="00E84824" w:rsidRDefault="009E331A" w:rsidP="00BD0B4B">
            <w:pPr>
              <w:jc w:val="right"/>
              <w:rPr>
                <w:rFonts w:ascii="Arial" w:hAnsi="Arial" w:cs="Arial"/>
                <w:bCs/>
                <w:color w:val="000000"/>
                <w:sz w:val="20"/>
              </w:rPr>
            </w:pPr>
            <w:r w:rsidRPr="00E84824">
              <w:rPr>
                <w:rFonts w:ascii="Arial" w:hAnsi="Arial" w:cs="Arial"/>
                <w:bCs/>
                <w:color w:val="000000"/>
                <w:sz w:val="20"/>
              </w:rPr>
              <w:t xml:space="preserve"> $185,000 </w:t>
            </w:r>
          </w:p>
        </w:tc>
        <w:tc>
          <w:tcPr>
            <w:tcW w:w="1474" w:type="dxa"/>
            <w:gridSpan w:val="3"/>
            <w:tcBorders>
              <w:top w:val="nil"/>
              <w:left w:val="nil"/>
              <w:bottom w:val="nil"/>
              <w:right w:val="nil"/>
            </w:tcBorders>
            <w:shd w:val="clear" w:color="auto" w:fill="auto"/>
            <w:noWrap/>
            <w:vAlign w:val="bottom"/>
            <w:hideMark/>
          </w:tcPr>
          <w:p w:rsidR="009E331A" w:rsidRPr="00E84824" w:rsidRDefault="009E331A" w:rsidP="00BD0B4B">
            <w:pPr>
              <w:rPr>
                <w:rFonts w:ascii="Arial" w:hAnsi="Arial" w:cs="Arial"/>
                <w:bCs/>
                <w:color w:val="000000"/>
                <w:sz w:val="20"/>
              </w:rPr>
            </w:pPr>
          </w:p>
        </w:tc>
        <w:tc>
          <w:tcPr>
            <w:tcW w:w="1321" w:type="dxa"/>
            <w:gridSpan w:val="2"/>
            <w:tcBorders>
              <w:top w:val="nil"/>
              <w:left w:val="nil"/>
              <w:bottom w:val="nil"/>
              <w:right w:val="nil"/>
            </w:tcBorders>
            <w:shd w:val="clear" w:color="auto" w:fill="auto"/>
            <w:noWrap/>
            <w:vAlign w:val="bottom"/>
            <w:hideMark/>
          </w:tcPr>
          <w:p w:rsidR="009E331A" w:rsidRPr="00E84824" w:rsidRDefault="009E331A" w:rsidP="00BD0B4B">
            <w:pPr>
              <w:jc w:val="right"/>
              <w:rPr>
                <w:rFonts w:ascii="Arial" w:hAnsi="Arial" w:cs="Arial"/>
                <w:bCs/>
                <w:color w:val="000000"/>
                <w:sz w:val="20"/>
              </w:rPr>
            </w:pPr>
            <w:r w:rsidRPr="00E84824">
              <w:rPr>
                <w:rFonts w:ascii="Arial" w:hAnsi="Arial" w:cs="Arial"/>
                <w:bCs/>
                <w:color w:val="000000"/>
                <w:sz w:val="20"/>
              </w:rPr>
              <w:t xml:space="preserve"> $490,000 </w:t>
            </w:r>
          </w:p>
        </w:tc>
      </w:tr>
    </w:tbl>
    <w:p w:rsidR="009E331A" w:rsidRDefault="009E331A" w:rsidP="009E331A">
      <w:pPr>
        <w:tabs>
          <w:tab w:val="left" w:pos="4320"/>
          <w:tab w:val="center" w:pos="6480"/>
          <w:tab w:val="left" w:pos="7830"/>
          <w:tab w:val="right" w:pos="9360"/>
        </w:tabs>
        <w:ind w:right="720"/>
        <w:jc w:val="both"/>
        <w:rPr>
          <w:rFonts w:ascii="Arial" w:hAnsi="Arial"/>
          <w:sz w:val="20"/>
          <w:u w:val="single"/>
        </w:rPr>
      </w:pPr>
      <w:r>
        <w:rPr>
          <w:rFonts w:ascii="Arial" w:hAnsi="Arial"/>
          <w:sz w:val="20"/>
        </w:rPr>
        <w:br w:type="page"/>
      </w:r>
      <w:r>
        <w:rPr>
          <w:rFonts w:ascii="Arial" w:hAnsi="Arial"/>
          <w:sz w:val="20"/>
          <w:u w:val="single"/>
        </w:rPr>
        <w:lastRenderedPageBreak/>
        <w:t>Exhibit B</w:t>
      </w:r>
    </w:p>
    <w:p w:rsidR="009E331A" w:rsidRDefault="009E331A" w:rsidP="009E331A">
      <w:pPr>
        <w:tabs>
          <w:tab w:val="left" w:pos="4320"/>
          <w:tab w:val="center" w:pos="6480"/>
          <w:tab w:val="left" w:pos="7830"/>
          <w:tab w:val="right" w:pos="9360"/>
        </w:tabs>
        <w:ind w:right="720"/>
        <w:jc w:val="both"/>
        <w:rPr>
          <w:rFonts w:ascii="Arial" w:hAnsi="Arial"/>
          <w:sz w:val="20"/>
          <w:u w:val="single"/>
        </w:rPr>
      </w:pPr>
    </w:p>
    <w:p w:rsidR="009E331A" w:rsidRDefault="009E331A" w:rsidP="009E331A">
      <w:pPr>
        <w:tabs>
          <w:tab w:val="left" w:pos="4320"/>
          <w:tab w:val="center" w:pos="6480"/>
          <w:tab w:val="left" w:pos="7830"/>
          <w:tab w:val="right" w:pos="9360"/>
        </w:tabs>
        <w:ind w:right="720"/>
        <w:rPr>
          <w:rFonts w:ascii="Arial" w:hAnsi="Arial"/>
          <w:b/>
          <w:sz w:val="20"/>
        </w:rPr>
      </w:pPr>
      <w:r>
        <w:rPr>
          <w:rFonts w:ascii="Arial" w:hAnsi="Arial"/>
          <w:b/>
          <w:sz w:val="20"/>
        </w:rPr>
        <w:t>Secured</w:t>
      </w:r>
      <w:r w:rsidRPr="006439E5">
        <w:rPr>
          <w:rFonts w:ascii="Arial" w:hAnsi="Arial"/>
          <w:b/>
          <w:sz w:val="20"/>
        </w:rPr>
        <w:t>-Rate Spreads</w:t>
      </w:r>
    </w:p>
    <w:p w:rsidR="009E331A" w:rsidRPr="00A625F3" w:rsidRDefault="009E331A" w:rsidP="009E331A">
      <w:pPr>
        <w:tabs>
          <w:tab w:val="left" w:pos="4320"/>
          <w:tab w:val="center" w:pos="6480"/>
          <w:tab w:val="left" w:pos="7830"/>
          <w:tab w:val="right" w:pos="9360"/>
        </w:tabs>
        <w:ind w:right="720"/>
        <w:jc w:val="center"/>
        <w:rPr>
          <w:rFonts w:ascii="Arial" w:hAnsi="Arial"/>
          <w:b/>
          <w:sz w:val="20"/>
        </w:rPr>
      </w:pPr>
    </w:p>
    <w:p w:rsidR="009E331A" w:rsidRDefault="009E331A" w:rsidP="009E331A">
      <w:pPr>
        <w:tabs>
          <w:tab w:val="left" w:pos="720"/>
          <w:tab w:val="left" w:pos="1440"/>
        </w:tabs>
        <w:ind w:right="-90"/>
        <w:jc w:val="both"/>
        <w:rPr>
          <w:rFonts w:ascii="Arial" w:hAnsi="Arial"/>
          <w:sz w:val="20"/>
        </w:rPr>
      </w:pPr>
      <w:r>
        <w:rPr>
          <w:rFonts w:ascii="Arial" w:hAnsi="Arial"/>
          <w:sz w:val="20"/>
        </w:rPr>
        <w:t xml:space="preserve">The </w:t>
      </w:r>
      <w:r w:rsidRPr="00A625F3">
        <w:rPr>
          <w:rFonts w:ascii="Arial" w:hAnsi="Arial"/>
          <w:sz w:val="20"/>
        </w:rPr>
        <w:t xml:space="preserve">following </w:t>
      </w:r>
      <w:r>
        <w:rPr>
          <w:rFonts w:ascii="Arial" w:hAnsi="Arial"/>
          <w:sz w:val="20"/>
        </w:rPr>
        <w:t xml:space="preserve">are </w:t>
      </w:r>
      <w:r w:rsidRPr="00A625F3">
        <w:rPr>
          <w:rFonts w:ascii="Arial" w:hAnsi="Arial"/>
          <w:sz w:val="20"/>
        </w:rPr>
        <w:t xml:space="preserve">maximum total spreads </w:t>
      </w:r>
      <w:r>
        <w:rPr>
          <w:rFonts w:ascii="Arial" w:hAnsi="Arial"/>
          <w:sz w:val="20"/>
        </w:rPr>
        <w:t xml:space="preserve">for various maturities </w:t>
      </w:r>
      <w:r w:rsidRPr="00A625F3">
        <w:rPr>
          <w:rFonts w:ascii="Arial" w:hAnsi="Arial"/>
          <w:sz w:val="20"/>
        </w:rPr>
        <w:t>over</w:t>
      </w:r>
      <w:r>
        <w:rPr>
          <w:rFonts w:ascii="Arial" w:hAnsi="Arial"/>
          <w:sz w:val="20"/>
        </w:rPr>
        <w:t xml:space="preserve"> the applicable benchmark treasury yield. As stated in Section 2 the Applicant</w:t>
      </w:r>
      <w:r w:rsidRPr="00574270">
        <w:rPr>
          <w:rFonts w:ascii="Arial" w:hAnsi="Arial"/>
          <w:sz w:val="20"/>
        </w:rPr>
        <w:t xml:space="preserve"> requests authority to issue </w:t>
      </w:r>
      <w:r>
        <w:rPr>
          <w:rFonts w:ascii="Arial" w:hAnsi="Arial"/>
          <w:sz w:val="20"/>
        </w:rPr>
        <w:t>Debt</w:t>
      </w:r>
      <w:r w:rsidRPr="0047116C">
        <w:rPr>
          <w:rFonts w:ascii="Arial" w:hAnsi="Arial"/>
          <w:sz w:val="20"/>
        </w:rPr>
        <w:t xml:space="preserve"> </w:t>
      </w:r>
      <w:r>
        <w:rPr>
          <w:rFonts w:ascii="Arial" w:hAnsi="Arial"/>
          <w:sz w:val="20"/>
        </w:rPr>
        <w:t>Securities</w:t>
      </w:r>
      <w:r w:rsidRPr="00574270">
        <w:rPr>
          <w:rFonts w:ascii="Arial" w:hAnsi="Arial"/>
          <w:sz w:val="20"/>
        </w:rPr>
        <w:t xml:space="preserve"> without further Commission approval </w:t>
      </w:r>
      <w:r>
        <w:rPr>
          <w:rFonts w:ascii="Arial" w:hAnsi="Arial"/>
          <w:sz w:val="20"/>
        </w:rPr>
        <w:t xml:space="preserve">if spreads exceed what </w:t>
      </w:r>
      <w:r w:rsidR="005B4FC0">
        <w:rPr>
          <w:rFonts w:ascii="Arial" w:hAnsi="Arial"/>
          <w:sz w:val="20"/>
        </w:rPr>
        <w:t xml:space="preserve">is provided in this Exhibit, </w:t>
      </w:r>
      <w:r>
        <w:rPr>
          <w:rFonts w:ascii="Arial" w:hAnsi="Arial"/>
          <w:sz w:val="20"/>
        </w:rPr>
        <w:t xml:space="preserve">as long as the all in Coupon rate does </w:t>
      </w:r>
      <w:r w:rsidRPr="00367858">
        <w:rPr>
          <w:rFonts w:ascii="Arial" w:hAnsi="Arial"/>
          <w:sz w:val="20"/>
        </w:rPr>
        <w:t>not exceed</w:t>
      </w:r>
      <w:r w:rsidRPr="00574270">
        <w:rPr>
          <w:rFonts w:ascii="Arial" w:hAnsi="Arial"/>
          <w:sz w:val="20"/>
        </w:rPr>
        <w:t xml:space="preserve"> </w:t>
      </w:r>
      <w:r>
        <w:rPr>
          <w:rFonts w:ascii="Arial" w:hAnsi="Arial"/>
          <w:sz w:val="20"/>
        </w:rPr>
        <w:t>8</w:t>
      </w:r>
      <w:r w:rsidRPr="00574270">
        <w:rPr>
          <w:rFonts w:ascii="Arial" w:hAnsi="Arial"/>
          <w:sz w:val="20"/>
        </w:rPr>
        <w:t>.0 percent per annum</w:t>
      </w:r>
      <w:r>
        <w:rPr>
          <w:rFonts w:ascii="Arial" w:hAnsi="Arial"/>
          <w:sz w:val="20"/>
        </w:rPr>
        <w:t xml:space="preserve">. This is meant to </w:t>
      </w:r>
      <w:r w:rsidRPr="00574270">
        <w:rPr>
          <w:rFonts w:ascii="Arial" w:hAnsi="Arial"/>
          <w:sz w:val="20"/>
        </w:rPr>
        <w:t>provide additional flexibility in the event spreads widen</w:t>
      </w:r>
      <w:r>
        <w:rPr>
          <w:rFonts w:ascii="Arial" w:hAnsi="Arial"/>
          <w:sz w:val="20"/>
        </w:rPr>
        <w:t xml:space="preserve"> when</w:t>
      </w:r>
      <w:r w:rsidRPr="00574270">
        <w:rPr>
          <w:rFonts w:ascii="Arial" w:hAnsi="Arial"/>
          <w:sz w:val="20"/>
        </w:rPr>
        <w:t xml:space="preserve"> the </w:t>
      </w:r>
      <w:r>
        <w:rPr>
          <w:rFonts w:ascii="Arial" w:hAnsi="Arial"/>
          <w:sz w:val="20"/>
        </w:rPr>
        <w:t>Applicant</w:t>
      </w:r>
      <w:r w:rsidRPr="00574270">
        <w:rPr>
          <w:rFonts w:ascii="Arial" w:hAnsi="Arial"/>
          <w:sz w:val="20"/>
        </w:rPr>
        <w:t xml:space="preserve"> decides to </w:t>
      </w:r>
      <w:r>
        <w:rPr>
          <w:rFonts w:ascii="Arial" w:hAnsi="Arial"/>
          <w:sz w:val="20"/>
        </w:rPr>
        <w:t>issue any</w:t>
      </w:r>
      <w:r w:rsidR="00F30248">
        <w:rPr>
          <w:rFonts w:ascii="Arial" w:hAnsi="Arial"/>
          <w:sz w:val="20"/>
        </w:rPr>
        <w:t xml:space="preserve"> d</w:t>
      </w:r>
      <w:r w:rsidRPr="00574270">
        <w:rPr>
          <w:rFonts w:ascii="Arial" w:hAnsi="Arial"/>
          <w:sz w:val="20"/>
        </w:rPr>
        <w:t>ebt.</w:t>
      </w:r>
    </w:p>
    <w:p w:rsidR="009E331A" w:rsidRDefault="009E331A" w:rsidP="009E331A">
      <w:pPr>
        <w:tabs>
          <w:tab w:val="left" w:pos="0"/>
          <w:tab w:val="left" w:pos="7830"/>
          <w:tab w:val="right" w:pos="9360"/>
        </w:tabs>
        <w:ind w:right="720"/>
        <w:rPr>
          <w:rFonts w:ascii="Arial" w:hAnsi="Arial"/>
          <w:sz w:val="20"/>
        </w:rPr>
      </w:pPr>
    </w:p>
    <w:tbl>
      <w:tblPr>
        <w:tblW w:w="5080" w:type="dxa"/>
        <w:jc w:val="center"/>
        <w:tblInd w:w="93" w:type="dxa"/>
        <w:tblLook w:val="04A0"/>
      </w:tblPr>
      <w:tblGrid>
        <w:gridCol w:w="1380"/>
        <w:gridCol w:w="2320"/>
        <w:gridCol w:w="1380"/>
      </w:tblGrid>
      <w:tr w:rsidR="005B4FC0" w:rsidRPr="00ED7DEE" w:rsidTr="00B94195">
        <w:trPr>
          <w:trHeight w:val="1215"/>
          <w:jc w:val="center"/>
        </w:trPr>
        <w:tc>
          <w:tcPr>
            <w:tcW w:w="3700" w:type="dxa"/>
            <w:gridSpan w:val="2"/>
            <w:tcBorders>
              <w:bottom w:val="single" w:sz="4" w:space="0" w:color="auto"/>
            </w:tcBorders>
            <w:shd w:val="clear" w:color="auto" w:fill="auto"/>
            <w:vAlign w:val="bottom"/>
            <w:hideMark/>
          </w:tcPr>
          <w:p w:rsidR="005B4FC0" w:rsidRDefault="005B4FC0" w:rsidP="00BD0B4B">
            <w:pPr>
              <w:jc w:val="center"/>
              <w:rPr>
                <w:rFonts w:ascii="Calibri" w:hAnsi="Calibri"/>
                <w:color w:val="000000"/>
                <w:szCs w:val="22"/>
              </w:rPr>
            </w:pPr>
            <w:r>
              <w:rPr>
                <w:rFonts w:ascii="Calibri" w:hAnsi="Calibri"/>
                <w:color w:val="000000"/>
                <w:sz w:val="22"/>
                <w:szCs w:val="22"/>
              </w:rPr>
              <w:t>Debt Securities Maturity Period</w:t>
            </w:r>
          </w:p>
          <w:p w:rsidR="005B4FC0" w:rsidRDefault="005B4FC0" w:rsidP="00BD0B4B">
            <w:pPr>
              <w:jc w:val="center"/>
              <w:rPr>
                <w:rFonts w:ascii="Calibri" w:hAnsi="Calibri"/>
                <w:color w:val="000000"/>
                <w:szCs w:val="22"/>
              </w:rPr>
            </w:pPr>
          </w:p>
          <w:p w:rsidR="005B4FC0" w:rsidRPr="00ED7DEE" w:rsidRDefault="005B4FC0" w:rsidP="00BD0B4B">
            <w:pPr>
              <w:jc w:val="center"/>
              <w:rPr>
                <w:rFonts w:ascii="Calibri" w:hAnsi="Calibri"/>
                <w:color w:val="000000"/>
                <w:szCs w:val="22"/>
              </w:rPr>
            </w:pPr>
          </w:p>
        </w:tc>
        <w:tc>
          <w:tcPr>
            <w:tcW w:w="1380" w:type="dxa"/>
            <w:tcBorders>
              <w:bottom w:val="single" w:sz="4" w:space="0" w:color="auto"/>
            </w:tcBorders>
            <w:shd w:val="clear" w:color="auto" w:fill="auto"/>
            <w:vAlign w:val="bottom"/>
            <w:hideMark/>
          </w:tcPr>
          <w:p w:rsidR="005B4FC0" w:rsidRPr="00ED7DEE" w:rsidRDefault="005B4FC0" w:rsidP="00BD0B4B">
            <w:pPr>
              <w:jc w:val="center"/>
              <w:rPr>
                <w:rFonts w:ascii="Calibri" w:hAnsi="Calibri"/>
                <w:color w:val="000000"/>
                <w:szCs w:val="22"/>
              </w:rPr>
            </w:pPr>
            <w:r w:rsidRPr="00ED7DEE">
              <w:rPr>
                <w:rFonts w:ascii="Calibri" w:hAnsi="Calibri"/>
                <w:color w:val="000000"/>
                <w:sz w:val="22"/>
                <w:szCs w:val="22"/>
              </w:rPr>
              <w:t>Maximum Spread Over Benchmark Treasury Yield</w:t>
            </w:r>
          </w:p>
        </w:tc>
      </w:tr>
      <w:tr w:rsidR="005B4FC0" w:rsidRPr="00ED7DEE" w:rsidTr="00B94195">
        <w:trPr>
          <w:trHeight w:val="296"/>
          <w:jc w:val="center"/>
        </w:trPr>
        <w:tc>
          <w:tcPr>
            <w:tcW w:w="1380" w:type="dxa"/>
            <w:tcBorders>
              <w:top w:val="single" w:sz="4" w:space="0" w:color="auto"/>
            </w:tcBorders>
            <w:shd w:val="clear" w:color="auto" w:fill="auto"/>
            <w:vAlign w:val="bottom"/>
            <w:hideMark/>
          </w:tcPr>
          <w:p w:rsidR="005B4FC0" w:rsidRDefault="005B4FC0" w:rsidP="00BD0B4B">
            <w:pPr>
              <w:jc w:val="center"/>
              <w:rPr>
                <w:rFonts w:ascii="Calibri" w:hAnsi="Calibri"/>
                <w:color w:val="000000"/>
                <w:szCs w:val="22"/>
              </w:rPr>
            </w:pPr>
            <w:r w:rsidRPr="00ED7DEE">
              <w:rPr>
                <w:rFonts w:ascii="Calibri" w:hAnsi="Calibri"/>
                <w:color w:val="000000"/>
                <w:sz w:val="22"/>
                <w:szCs w:val="22"/>
              </w:rPr>
              <w:t>Greater than</w:t>
            </w:r>
          </w:p>
        </w:tc>
        <w:tc>
          <w:tcPr>
            <w:tcW w:w="2320" w:type="dxa"/>
            <w:tcBorders>
              <w:top w:val="single" w:sz="4" w:space="0" w:color="auto"/>
            </w:tcBorders>
            <w:shd w:val="clear" w:color="auto" w:fill="auto"/>
            <w:vAlign w:val="bottom"/>
            <w:hideMark/>
          </w:tcPr>
          <w:p w:rsidR="005B4FC0" w:rsidRPr="00ED7DEE" w:rsidRDefault="005B4FC0" w:rsidP="005B4FC0">
            <w:pPr>
              <w:rPr>
                <w:rFonts w:ascii="Calibri" w:hAnsi="Calibri"/>
                <w:color w:val="000000"/>
                <w:szCs w:val="22"/>
              </w:rPr>
            </w:pPr>
            <w:r w:rsidRPr="00ED7DEE">
              <w:rPr>
                <w:rFonts w:ascii="Calibri" w:hAnsi="Calibri"/>
                <w:color w:val="000000"/>
                <w:sz w:val="22"/>
                <w:szCs w:val="22"/>
              </w:rPr>
              <w:t>Less than or equal to</w:t>
            </w:r>
          </w:p>
        </w:tc>
        <w:tc>
          <w:tcPr>
            <w:tcW w:w="1380" w:type="dxa"/>
            <w:tcBorders>
              <w:top w:val="single" w:sz="4" w:space="0" w:color="auto"/>
            </w:tcBorders>
            <w:shd w:val="clear" w:color="auto" w:fill="auto"/>
            <w:vAlign w:val="bottom"/>
            <w:hideMark/>
          </w:tcPr>
          <w:p w:rsidR="005B4FC0" w:rsidRPr="00ED7DEE" w:rsidRDefault="005B4FC0" w:rsidP="00BD0B4B">
            <w:pPr>
              <w:jc w:val="center"/>
              <w:rPr>
                <w:rFonts w:ascii="Calibri" w:hAnsi="Calibri"/>
                <w:color w:val="000000"/>
                <w:szCs w:val="22"/>
              </w:rPr>
            </w:pP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(&gt;)</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(bps)</w:t>
            </w: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9M</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1Y </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185</w:t>
            </w: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1Y </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2Y </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190</w:t>
            </w: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2Y </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3Y </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195</w:t>
            </w: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3Y </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4Y </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200</w:t>
            </w: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4Y </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5Y </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205</w:t>
            </w: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5Y </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7Y </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210</w:t>
            </w: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7Y </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8Y </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215</w:t>
            </w: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8Y </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9Y </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220</w:t>
            </w: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9Y </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10Y </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230</w:t>
            </w: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10Y </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15Y </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265</w:t>
            </w: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15Y </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20Y </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240</w:t>
            </w: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20Y </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25Y </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245</w:t>
            </w:r>
          </w:p>
        </w:tc>
      </w:tr>
      <w:tr w:rsidR="009E331A" w:rsidRPr="00ED7DEE" w:rsidTr="005B4FC0">
        <w:trPr>
          <w:trHeight w:val="300"/>
          <w:jc w:val="center"/>
        </w:trPr>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25Y </w:t>
            </w:r>
          </w:p>
        </w:tc>
        <w:tc>
          <w:tcPr>
            <w:tcW w:w="2320" w:type="dxa"/>
            <w:shd w:val="clear" w:color="auto" w:fill="auto"/>
            <w:noWrap/>
            <w:vAlign w:val="bottom"/>
            <w:hideMark/>
          </w:tcPr>
          <w:p w:rsidR="009E331A" w:rsidRPr="00ED7DEE" w:rsidRDefault="009E331A" w:rsidP="00BD0B4B">
            <w:pPr>
              <w:jc w:val="center"/>
              <w:rPr>
                <w:rFonts w:ascii="Calibri" w:hAnsi="Calibri"/>
                <w:color w:val="000000"/>
                <w:szCs w:val="22"/>
              </w:rPr>
            </w:pPr>
            <w:r w:rsidRPr="00ED7DEE">
              <w:rPr>
                <w:rFonts w:ascii="Calibri" w:hAnsi="Calibri"/>
                <w:color w:val="000000"/>
                <w:sz w:val="22"/>
                <w:szCs w:val="22"/>
              </w:rPr>
              <w:t xml:space="preserve">30Y </w:t>
            </w:r>
          </w:p>
        </w:tc>
        <w:tc>
          <w:tcPr>
            <w:tcW w:w="1380" w:type="dxa"/>
            <w:shd w:val="clear" w:color="auto" w:fill="auto"/>
            <w:noWrap/>
            <w:vAlign w:val="bottom"/>
            <w:hideMark/>
          </w:tcPr>
          <w:p w:rsidR="009E331A" w:rsidRPr="00ED7DEE" w:rsidRDefault="009E331A" w:rsidP="00BD0B4B">
            <w:pPr>
              <w:jc w:val="center"/>
              <w:rPr>
                <w:rFonts w:ascii="Calibri" w:hAnsi="Calibri"/>
                <w:color w:val="000000"/>
                <w:szCs w:val="22"/>
              </w:rPr>
            </w:pPr>
            <w:r>
              <w:rPr>
                <w:rFonts w:ascii="Calibri" w:hAnsi="Calibri"/>
                <w:color w:val="000000"/>
                <w:sz w:val="22"/>
                <w:szCs w:val="22"/>
              </w:rPr>
              <w:t>245</w:t>
            </w:r>
          </w:p>
        </w:tc>
      </w:tr>
      <w:tr w:rsidR="009E331A" w:rsidRPr="00ED7DEE" w:rsidTr="005B4FC0">
        <w:trPr>
          <w:trHeight w:val="300"/>
          <w:jc w:val="center"/>
        </w:trPr>
        <w:tc>
          <w:tcPr>
            <w:tcW w:w="1380" w:type="dxa"/>
            <w:shd w:val="clear" w:color="auto" w:fill="auto"/>
            <w:noWrap/>
            <w:vAlign w:val="bottom"/>
          </w:tcPr>
          <w:p w:rsidR="009E331A" w:rsidRPr="00ED7DEE" w:rsidRDefault="009E331A" w:rsidP="00BD0B4B">
            <w:pPr>
              <w:jc w:val="center"/>
              <w:rPr>
                <w:rFonts w:ascii="Calibri" w:hAnsi="Calibri"/>
                <w:color w:val="000000"/>
                <w:szCs w:val="22"/>
              </w:rPr>
            </w:pPr>
            <w:r>
              <w:rPr>
                <w:rFonts w:ascii="Calibri" w:hAnsi="Calibri"/>
                <w:color w:val="000000"/>
                <w:sz w:val="22"/>
                <w:szCs w:val="22"/>
              </w:rPr>
              <w:t>30Y</w:t>
            </w:r>
          </w:p>
        </w:tc>
        <w:tc>
          <w:tcPr>
            <w:tcW w:w="2320" w:type="dxa"/>
            <w:shd w:val="clear" w:color="auto" w:fill="auto"/>
            <w:noWrap/>
            <w:vAlign w:val="bottom"/>
          </w:tcPr>
          <w:p w:rsidR="009E331A" w:rsidRPr="00ED7DEE" w:rsidRDefault="009E331A" w:rsidP="00BD0B4B">
            <w:pPr>
              <w:jc w:val="center"/>
              <w:rPr>
                <w:rFonts w:ascii="Calibri" w:hAnsi="Calibri"/>
                <w:color w:val="000000"/>
                <w:szCs w:val="22"/>
              </w:rPr>
            </w:pPr>
            <w:r>
              <w:rPr>
                <w:rFonts w:ascii="Calibri" w:hAnsi="Calibri"/>
                <w:color w:val="000000"/>
                <w:sz w:val="22"/>
                <w:szCs w:val="22"/>
              </w:rPr>
              <w:t>Or more</w:t>
            </w:r>
          </w:p>
        </w:tc>
        <w:tc>
          <w:tcPr>
            <w:tcW w:w="1380" w:type="dxa"/>
            <w:shd w:val="clear" w:color="auto" w:fill="auto"/>
            <w:noWrap/>
            <w:vAlign w:val="bottom"/>
          </w:tcPr>
          <w:p w:rsidR="009E331A" w:rsidRPr="00ED7DEE" w:rsidRDefault="009E331A" w:rsidP="00BD0B4B">
            <w:pPr>
              <w:jc w:val="center"/>
              <w:rPr>
                <w:rFonts w:ascii="Calibri" w:hAnsi="Calibri"/>
                <w:color w:val="000000"/>
                <w:szCs w:val="22"/>
              </w:rPr>
            </w:pPr>
            <w:r>
              <w:rPr>
                <w:rFonts w:ascii="Calibri" w:hAnsi="Calibri"/>
                <w:color w:val="000000"/>
                <w:sz w:val="22"/>
                <w:szCs w:val="22"/>
              </w:rPr>
              <w:t>255</w:t>
            </w:r>
          </w:p>
        </w:tc>
      </w:tr>
    </w:tbl>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rPr>
          <w:rFonts w:ascii="Arial" w:hAnsi="Arial"/>
          <w:sz w:val="20"/>
        </w:rPr>
      </w:pPr>
      <w:r>
        <w:rPr>
          <w:rFonts w:ascii="Arial" w:hAnsi="Arial"/>
          <w:sz w:val="20"/>
        </w:rPr>
        <w:br w:type="page"/>
      </w:r>
    </w:p>
    <w:p w:rsidR="009E331A" w:rsidRDefault="009E331A" w:rsidP="009E331A">
      <w:pPr>
        <w:tabs>
          <w:tab w:val="left" w:pos="4320"/>
          <w:tab w:val="center" w:pos="6480"/>
          <w:tab w:val="left" w:pos="7830"/>
          <w:tab w:val="right" w:pos="9360"/>
        </w:tabs>
        <w:ind w:right="720"/>
        <w:jc w:val="both"/>
        <w:rPr>
          <w:rFonts w:ascii="Arial" w:hAnsi="Arial"/>
          <w:sz w:val="20"/>
          <w:u w:val="single"/>
        </w:rPr>
      </w:pPr>
      <w:r>
        <w:rPr>
          <w:rFonts w:ascii="Arial" w:hAnsi="Arial"/>
          <w:sz w:val="20"/>
          <w:u w:val="single"/>
        </w:rPr>
        <w:lastRenderedPageBreak/>
        <w:t>Exhibit C</w:t>
      </w:r>
    </w:p>
    <w:p w:rsidR="009E331A" w:rsidRDefault="009E331A" w:rsidP="009E331A">
      <w:pPr>
        <w:tabs>
          <w:tab w:val="left" w:pos="4320"/>
          <w:tab w:val="center" w:pos="6480"/>
          <w:tab w:val="left" w:pos="7830"/>
          <w:tab w:val="right" w:pos="9360"/>
        </w:tabs>
        <w:ind w:right="720"/>
        <w:jc w:val="both"/>
        <w:rPr>
          <w:rFonts w:ascii="Arial" w:hAnsi="Arial"/>
          <w:sz w:val="20"/>
          <w:u w:val="single"/>
        </w:rPr>
      </w:pPr>
    </w:p>
    <w:p w:rsidR="009E331A" w:rsidRDefault="009E331A" w:rsidP="009E331A">
      <w:pPr>
        <w:tabs>
          <w:tab w:val="left" w:pos="4320"/>
          <w:tab w:val="center" w:pos="6480"/>
          <w:tab w:val="left" w:pos="7830"/>
          <w:tab w:val="right" w:pos="9360"/>
        </w:tabs>
        <w:ind w:right="720"/>
        <w:rPr>
          <w:rFonts w:ascii="Arial" w:hAnsi="Arial"/>
          <w:b/>
          <w:sz w:val="20"/>
        </w:rPr>
      </w:pPr>
      <w:r>
        <w:rPr>
          <w:rFonts w:ascii="Arial" w:hAnsi="Arial"/>
          <w:b/>
          <w:sz w:val="20"/>
        </w:rPr>
        <w:t xml:space="preserve">Unsecured Interest </w:t>
      </w:r>
      <w:r w:rsidRPr="006439E5">
        <w:rPr>
          <w:rFonts w:ascii="Arial" w:hAnsi="Arial"/>
          <w:b/>
          <w:sz w:val="20"/>
        </w:rPr>
        <w:t>Rate Spreads</w:t>
      </w:r>
    </w:p>
    <w:p w:rsidR="009E331A" w:rsidRPr="00A625F3" w:rsidRDefault="009E331A" w:rsidP="009E331A">
      <w:pPr>
        <w:tabs>
          <w:tab w:val="left" w:pos="4320"/>
          <w:tab w:val="center" w:pos="6480"/>
          <w:tab w:val="left" w:pos="7830"/>
          <w:tab w:val="right" w:pos="9360"/>
        </w:tabs>
        <w:ind w:right="720"/>
        <w:jc w:val="center"/>
        <w:rPr>
          <w:rFonts w:ascii="Arial" w:hAnsi="Arial"/>
          <w:b/>
          <w:sz w:val="20"/>
        </w:rPr>
      </w:pPr>
    </w:p>
    <w:p w:rsidR="009E331A" w:rsidRDefault="009E331A" w:rsidP="009E331A">
      <w:pPr>
        <w:tabs>
          <w:tab w:val="left" w:pos="720"/>
          <w:tab w:val="left" w:pos="1440"/>
        </w:tabs>
        <w:ind w:right="-90"/>
        <w:jc w:val="both"/>
        <w:rPr>
          <w:rFonts w:ascii="Arial" w:hAnsi="Arial"/>
          <w:sz w:val="20"/>
        </w:rPr>
      </w:pPr>
      <w:r>
        <w:rPr>
          <w:rFonts w:ascii="Arial" w:hAnsi="Arial"/>
          <w:sz w:val="20"/>
        </w:rPr>
        <w:t xml:space="preserve">The </w:t>
      </w:r>
      <w:r w:rsidRPr="00A625F3">
        <w:rPr>
          <w:rFonts w:ascii="Arial" w:hAnsi="Arial"/>
          <w:sz w:val="20"/>
        </w:rPr>
        <w:t xml:space="preserve">following </w:t>
      </w:r>
      <w:r>
        <w:rPr>
          <w:rFonts w:ascii="Arial" w:hAnsi="Arial"/>
          <w:sz w:val="20"/>
        </w:rPr>
        <w:t xml:space="preserve">are </w:t>
      </w:r>
      <w:r w:rsidRPr="00A625F3">
        <w:rPr>
          <w:rFonts w:ascii="Arial" w:hAnsi="Arial"/>
          <w:sz w:val="20"/>
        </w:rPr>
        <w:t xml:space="preserve">maximum total spreads </w:t>
      </w:r>
      <w:r>
        <w:rPr>
          <w:rFonts w:ascii="Arial" w:hAnsi="Arial"/>
          <w:sz w:val="20"/>
        </w:rPr>
        <w:t xml:space="preserve">for various maturities </w:t>
      </w:r>
      <w:r w:rsidRPr="00A625F3">
        <w:rPr>
          <w:rFonts w:ascii="Arial" w:hAnsi="Arial"/>
          <w:sz w:val="20"/>
        </w:rPr>
        <w:t>over</w:t>
      </w:r>
      <w:r>
        <w:rPr>
          <w:rFonts w:ascii="Arial" w:hAnsi="Arial"/>
          <w:sz w:val="20"/>
        </w:rPr>
        <w:t xml:space="preserve"> the applicable benchmark treasury yield. As stated in Section 2 the Applicant</w:t>
      </w:r>
      <w:r w:rsidRPr="00574270">
        <w:rPr>
          <w:rFonts w:ascii="Arial" w:hAnsi="Arial"/>
          <w:sz w:val="20"/>
        </w:rPr>
        <w:t xml:space="preserve"> requests authority to issue </w:t>
      </w:r>
      <w:r>
        <w:rPr>
          <w:rFonts w:ascii="Arial" w:hAnsi="Arial"/>
          <w:sz w:val="20"/>
        </w:rPr>
        <w:t>Debt</w:t>
      </w:r>
      <w:r w:rsidRPr="0047116C">
        <w:rPr>
          <w:rFonts w:ascii="Arial" w:hAnsi="Arial"/>
          <w:sz w:val="20"/>
        </w:rPr>
        <w:t xml:space="preserve"> </w:t>
      </w:r>
      <w:r>
        <w:rPr>
          <w:rFonts w:ascii="Arial" w:hAnsi="Arial"/>
          <w:sz w:val="20"/>
        </w:rPr>
        <w:t>Securities</w:t>
      </w:r>
      <w:r w:rsidRPr="00574270">
        <w:rPr>
          <w:rFonts w:ascii="Arial" w:hAnsi="Arial"/>
          <w:sz w:val="20"/>
        </w:rPr>
        <w:t xml:space="preserve"> without further Commission approval </w:t>
      </w:r>
      <w:r>
        <w:rPr>
          <w:rFonts w:ascii="Arial" w:hAnsi="Arial"/>
          <w:sz w:val="20"/>
        </w:rPr>
        <w:t>if spreads exceed what is provided</w:t>
      </w:r>
      <w:r w:rsidR="005B4FC0">
        <w:rPr>
          <w:rFonts w:ascii="Arial" w:hAnsi="Arial"/>
          <w:sz w:val="20"/>
        </w:rPr>
        <w:t xml:space="preserve"> in this Exhibit, </w:t>
      </w:r>
      <w:r>
        <w:rPr>
          <w:rFonts w:ascii="Arial" w:hAnsi="Arial"/>
          <w:sz w:val="20"/>
        </w:rPr>
        <w:t xml:space="preserve">as long as the all in Coupon rate does </w:t>
      </w:r>
      <w:r w:rsidRPr="00367858">
        <w:rPr>
          <w:rFonts w:ascii="Arial" w:hAnsi="Arial"/>
          <w:sz w:val="20"/>
        </w:rPr>
        <w:t>not exceed</w:t>
      </w:r>
      <w:r w:rsidRPr="00574270">
        <w:rPr>
          <w:rFonts w:ascii="Arial" w:hAnsi="Arial"/>
          <w:sz w:val="20"/>
        </w:rPr>
        <w:t xml:space="preserve"> </w:t>
      </w:r>
      <w:r>
        <w:rPr>
          <w:rFonts w:ascii="Arial" w:hAnsi="Arial"/>
          <w:sz w:val="20"/>
        </w:rPr>
        <w:t>8</w:t>
      </w:r>
      <w:r w:rsidRPr="00574270">
        <w:rPr>
          <w:rFonts w:ascii="Arial" w:hAnsi="Arial"/>
          <w:sz w:val="20"/>
        </w:rPr>
        <w:t>.0 percent per annum</w:t>
      </w:r>
      <w:r>
        <w:rPr>
          <w:rFonts w:ascii="Arial" w:hAnsi="Arial"/>
          <w:sz w:val="20"/>
        </w:rPr>
        <w:t xml:space="preserve">. This is meant to </w:t>
      </w:r>
      <w:r w:rsidRPr="00574270">
        <w:rPr>
          <w:rFonts w:ascii="Arial" w:hAnsi="Arial"/>
          <w:sz w:val="20"/>
        </w:rPr>
        <w:t>provide additional flexibility in the event spreads widen</w:t>
      </w:r>
      <w:r>
        <w:rPr>
          <w:rFonts w:ascii="Arial" w:hAnsi="Arial"/>
          <w:sz w:val="20"/>
        </w:rPr>
        <w:t xml:space="preserve"> when</w:t>
      </w:r>
      <w:r w:rsidRPr="00574270">
        <w:rPr>
          <w:rFonts w:ascii="Arial" w:hAnsi="Arial"/>
          <w:sz w:val="20"/>
        </w:rPr>
        <w:t xml:space="preserve"> the </w:t>
      </w:r>
      <w:r>
        <w:rPr>
          <w:rFonts w:ascii="Arial" w:hAnsi="Arial"/>
          <w:sz w:val="20"/>
        </w:rPr>
        <w:t>Applicant</w:t>
      </w:r>
      <w:r w:rsidRPr="00574270">
        <w:rPr>
          <w:rFonts w:ascii="Arial" w:hAnsi="Arial"/>
          <w:sz w:val="20"/>
        </w:rPr>
        <w:t xml:space="preserve"> decides to </w:t>
      </w:r>
      <w:r>
        <w:rPr>
          <w:rFonts w:ascii="Arial" w:hAnsi="Arial"/>
          <w:sz w:val="20"/>
        </w:rPr>
        <w:t>issue any</w:t>
      </w:r>
      <w:r w:rsidR="00F30248">
        <w:rPr>
          <w:rFonts w:ascii="Arial" w:hAnsi="Arial"/>
          <w:sz w:val="20"/>
        </w:rPr>
        <w:t xml:space="preserve"> d</w:t>
      </w:r>
      <w:r w:rsidRPr="00574270">
        <w:rPr>
          <w:rFonts w:ascii="Arial" w:hAnsi="Arial"/>
          <w:sz w:val="20"/>
        </w:rPr>
        <w:t>ebt.</w:t>
      </w:r>
    </w:p>
    <w:tbl>
      <w:tblPr>
        <w:tblW w:w="5080" w:type="dxa"/>
        <w:jc w:val="center"/>
        <w:tblInd w:w="93" w:type="dxa"/>
        <w:tblLook w:val="04A0"/>
      </w:tblPr>
      <w:tblGrid>
        <w:gridCol w:w="1380"/>
        <w:gridCol w:w="2320"/>
        <w:gridCol w:w="1380"/>
      </w:tblGrid>
      <w:tr w:rsidR="00B94195" w:rsidRPr="00ED7DEE" w:rsidTr="00B94195">
        <w:trPr>
          <w:trHeight w:val="1215"/>
          <w:jc w:val="center"/>
        </w:trPr>
        <w:tc>
          <w:tcPr>
            <w:tcW w:w="3700" w:type="dxa"/>
            <w:gridSpan w:val="2"/>
            <w:tcBorders>
              <w:bottom w:val="single" w:sz="4" w:space="0" w:color="auto"/>
            </w:tcBorders>
            <w:shd w:val="clear" w:color="auto" w:fill="auto"/>
            <w:vAlign w:val="bottom"/>
            <w:hideMark/>
          </w:tcPr>
          <w:p w:rsidR="00B94195" w:rsidRPr="00ED7DEE" w:rsidRDefault="00B94195" w:rsidP="00BD0B4B">
            <w:pPr>
              <w:jc w:val="center"/>
              <w:rPr>
                <w:rFonts w:ascii="Calibri" w:hAnsi="Calibri"/>
                <w:color w:val="000000"/>
                <w:szCs w:val="22"/>
              </w:rPr>
            </w:pPr>
            <w:r w:rsidRPr="00B94195">
              <w:rPr>
                <w:rFonts w:ascii="Calibri" w:hAnsi="Calibri"/>
                <w:color w:val="000000"/>
                <w:sz w:val="22"/>
                <w:szCs w:val="22"/>
              </w:rPr>
              <w:t>Debt Securities Maturity Period</w:t>
            </w:r>
          </w:p>
        </w:tc>
        <w:tc>
          <w:tcPr>
            <w:tcW w:w="1380" w:type="dxa"/>
            <w:tcBorders>
              <w:bottom w:val="single" w:sz="4" w:space="0" w:color="auto"/>
            </w:tcBorders>
            <w:shd w:val="clear" w:color="auto" w:fill="auto"/>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Maximum Spread Over Benchmark Treasury Yield</w:t>
            </w:r>
          </w:p>
        </w:tc>
      </w:tr>
      <w:tr w:rsidR="00B94195" w:rsidRPr="00ED7DEE" w:rsidTr="00B94195">
        <w:trPr>
          <w:trHeight w:val="359"/>
          <w:jc w:val="center"/>
        </w:trPr>
        <w:tc>
          <w:tcPr>
            <w:tcW w:w="1380" w:type="dxa"/>
            <w:tcBorders>
              <w:top w:val="single" w:sz="4" w:space="0" w:color="auto"/>
            </w:tcBorders>
            <w:shd w:val="clear" w:color="auto" w:fill="auto"/>
            <w:vAlign w:val="bottom"/>
            <w:hideMark/>
          </w:tcPr>
          <w:p w:rsidR="00B94195" w:rsidRPr="00ED7DEE" w:rsidRDefault="00B94195" w:rsidP="002E05D9">
            <w:pPr>
              <w:jc w:val="center"/>
              <w:rPr>
                <w:rFonts w:ascii="Calibri" w:hAnsi="Calibri"/>
                <w:color w:val="000000"/>
                <w:szCs w:val="22"/>
              </w:rPr>
            </w:pPr>
            <w:r w:rsidRPr="00ED7DEE">
              <w:rPr>
                <w:rFonts w:ascii="Calibri" w:hAnsi="Calibri"/>
                <w:color w:val="000000"/>
                <w:sz w:val="22"/>
                <w:szCs w:val="22"/>
              </w:rPr>
              <w:t>Greater than</w:t>
            </w:r>
          </w:p>
        </w:tc>
        <w:tc>
          <w:tcPr>
            <w:tcW w:w="2320" w:type="dxa"/>
            <w:tcBorders>
              <w:top w:val="single" w:sz="4" w:space="0" w:color="auto"/>
            </w:tcBorders>
            <w:shd w:val="clear" w:color="auto" w:fill="auto"/>
            <w:vAlign w:val="bottom"/>
            <w:hideMark/>
          </w:tcPr>
          <w:p w:rsidR="00B94195" w:rsidRPr="00ED7DEE" w:rsidRDefault="00B94195" w:rsidP="002E05D9">
            <w:pPr>
              <w:jc w:val="center"/>
              <w:rPr>
                <w:rFonts w:ascii="Calibri" w:hAnsi="Calibri"/>
                <w:color w:val="000000"/>
                <w:szCs w:val="22"/>
              </w:rPr>
            </w:pPr>
            <w:r w:rsidRPr="00ED7DEE">
              <w:rPr>
                <w:rFonts w:ascii="Calibri" w:hAnsi="Calibri"/>
                <w:color w:val="000000"/>
                <w:sz w:val="22"/>
                <w:szCs w:val="22"/>
              </w:rPr>
              <w:t>Less than or equal to</w:t>
            </w:r>
          </w:p>
        </w:tc>
        <w:tc>
          <w:tcPr>
            <w:tcW w:w="1380" w:type="dxa"/>
            <w:tcBorders>
              <w:top w:val="single" w:sz="4" w:space="0" w:color="auto"/>
            </w:tcBorders>
            <w:shd w:val="clear" w:color="auto" w:fill="auto"/>
            <w:vAlign w:val="bottom"/>
            <w:hideMark/>
          </w:tcPr>
          <w:p w:rsidR="00B94195" w:rsidRPr="00ED7DEE" w:rsidRDefault="00B94195" w:rsidP="00BD0B4B">
            <w:pPr>
              <w:jc w:val="center"/>
              <w:rPr>
                <w:rFonts w:ascii="Calibri" w:hAnsi="Calibri"/>
                <w:color w:val="000000"/>
                <w:szCs w:val="22"/>
              </w:rPr>
            </w:pP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(&gt;)</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(bps)</w:t>
            </w: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0Y</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1Y </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Pr>
                <w:rFonts w:ascii="Calibri" w:hAnsi="Calibri"/>
                <w:color w:val="000000"/>
                <w:sz w:val="22"/>
                <w:szCs w:val="22"/>
              </w:rPr>
              <w:t>215</w:t>
            </w: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1Y </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2Y </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Pr>
                <w:rFonts w:ascii="Calibri" w:hAnsi="Calibri"/>
                <w:color w:val="000000"/>
                <w:sz w:val="22"/>
                <w:szCs w:val="22"/>
              </w:rPr>
              <w:t>220</w:t>
            </w: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2Y </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3Y </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Pr>
                <w:rFonts w:ascii="Calibri" w:hAnsi="Calibri"/>
                <w:color w:val="000000"/>
                <w:sz w:val="22"/>
                <w:szCs w:val="22"/>
              </w:rPr>
              <w:t>225</w:t>
            </w: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3Y </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4Y </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Pr>
                <w:rFonts w:ascii="Calibri" w:hAnsi="Calibri"/>
                <w:color w:val="000000"/>
                <w:sz w:val="22"/>
                <w:szCs w:val="22"/>
              </w:rPr>
              <w:t>230</w:t>
            </w: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4Y </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5Y </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Pr>
                <w:rFonts w:ascii="Calibri" w:hAnsi="Calibri"/>
                <w:color w:val="000000"/>
                <w:sz w:val="22"/>
                <w:szCs w:val="22"/>
              </w:rPr>
              <w:t>235</w:t>
            </w: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5Y </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7Y </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Pr>
                <w:rFonts w:ascii="Calibri" w:hAnsi="Calibri"/>
                <w:color w:val="000000"/>
                <w:sz w:val="22"/>
                <w:szCs w:val="22"/>
              </w:rPr>
              <w:t>240</w:t>
            </w: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7Y </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8Y </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Pr>
                <w:rFonts w:ascii="Calibri" w:hAnsi="Calibri"/>
                <w:color w:val="000000"/>
                <w:sz w:val="22"/>
                <w:szCs w:val="22"/>
              </w:rPr>
              <w:t>245</w:t>
            </w: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8Y </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9Y </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Pr>
                <w:rFonts w:ascii="Calibri" w:hAnsi="Calibri"/>
                <w:color w:val="000000"/>
                <w:sz w:val="22"/>
                <w:szCs w:val="22"/>
              </w:rPr>
              <w:t>250</w:t>
            </w: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9Y </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10Y </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Pr>
                <w:rFonts w:ascii="Calibri" w:hAnsi="Calibri"/>
                <w:color w:val="000000"/>
                <w:sz w:val="22"/>
                <w:szCs w:val="22"/>
              </w:rPr>
              <w:t>260</w:t>
            </w: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10Y </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15Y </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Pr>
                <w:rFonts w:ascii="Calibri" w:hAnsi="Calibri"/>
                <w:color w:val="000000"/>
                <w:sz w:val="22"/>
                <w:szCs w:val="22"/>
              </w:rPr>
              <w:t>295</w:t>
            </w: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15Y </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20Y </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Pr>
                <w:rFonts w:ascii="Calibri" w:hAnsi="Calibri"/>
                <w:color w:val="000000"/>
                <w:sz w:val="22"/>
                <w:szCs w:val="22"/>
              </w:rPr>
              <w:t>270</w:t>
            </w: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20Y </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25Y </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Pr>
                <w:rFonts w:ascii="Calibri" w:hAnsi="Calibri"/>
                <w:color w:val="000000"/>
                <w:sz w:val="22"/>
                <w:szCs w:val="22"/>
              </w:rPr>
              <w:t>275</w:t>
            </w:r>
          </w:p>
        </w:tc>
      </w:tr>
      <w:tr w:rsidR="00B94195" w:rsidRPr="00ED7DEE" w:rsidTr="00B94195">
        <w:trPr>
          <w:trHeight w:val="300"/>
          <w:jc w:val="center"/>
        </w:trPr>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25Y </w:t>
            </w:r>
          </w:p>
        </w:tc>
        <w:tc>
          <w:tcPr>
            <w:tcW w:w="2320" w:type="dxa"/>
            <w:shd w:val="clear" w:color="auto" w:fill="auto"/>
            <w:noWrap/>
            <w:vAlign w:val="bottom"/>
            <w:hideMark/>
          </w:tcPr>
          <w:p w:rsidR="00B94195" w:rsidRPr="00ED7DEE" w:rsidRDefault="00B94195" w:rsidP="00BD0B4B">
            <w:pPr>
              <w:jc w:val="center"/>
              <w:rPr>
                <w:rFonts w:ascii="Calibri" w:hAnsi="Calibri"/>
                <w:color w:val="000000"/>
                <w:szCs w:val="22"/>
              </w:rPr>
            </w:pPr>
            <w:r w:rsidRPr="00ED7DEE">
              <w:rPr>
                <w:rFonts w:ascii="Calibri" w:hAnsi="Calibri"/>
                <w:color w:val="000000"/>
                <w:sz w:val="22"/>
                <w:szCs w:val="22"/>
              </w:rPr>
              <w:t xml:space="preserve">30Y </w:t>
            </w:r>
          </w:p>
        </w:tc>
        <w:tc>
          <w:tcPr>
            <w:tcW w:w="1380" w:type="dxa"/>
            <w:shd w:val="clear" w:color="auto" w:fill="auto"/>
            <w:noWrap/>
            <w:vAlign w:val="bottom"/>
            <w:hideMark/>
          </w:tcPr>
          <w:p w:rsidR="00B94195" w:rsidRPr="00ED7DEE" w:rsidRDefault="00B94195" w:rsidP="00BD0B4B">
            <w:pPr>
              <w:jc w:val="center"/>
              <w:rPr>
                <w:rFonts w:ascii="Calibri" w:hAnsi="Calibri"/>
                <w:color w:val="000000"/>
                <w:szCs w:val="22"/>
              </w:rPr>
            </w:pPr>
            <w:r>
              <w:rPr>
                <w:rFonts w:ascii="Calibri" w:hAnsi="Calibri"/>
                <w:color w:val="000000"/>
                <w:sz w:val="22"/>
                <w:szCs w:val="22"/>
              </w:rPr>
              <w:t>275</w:t>
            </w:r>
          </w:p>
        </w:tc>
      </w:tr>
      <w:tr w:rsidR="00B94195" w:rsidRPr="00ED7DEE" w:rsidTr="00B94195">
        <w:trPr>
          <w:trHeight w:val="300"/>
          <w:jc w:val="center"/>
        </w:trPr>
        <w:tc>
          <w:tcPr>
            <w:tcW w:w="1380" w:type="dxa"/>
            <w:shd w:val="clear" w:color="auto" w:fill="auto"/>
            <w:noWrap/>
            <w:vAlign w:val="bottom"/>
          </w:tcPr>
          <w:p w:rsidR="00B94195" w:rsidRPr="00ED7DEE" w:rsidRDefault="00B94195" w:rsidP="00BD0B4B">
            <w:pPr>
              <w:jc w:val="center"/>
              <w:rPr>
                <w:rFonts w:ascii="Calibri" w:hAnsi="Calibri"/>
                <w:color w:val="000000"/>
                <w:szCs w:val="22"/>
              </w:rPr>
            </w:pPr>
            <w:r>
              <w:rPr>
                <w:rFonts w:ascii="Calibri" w:hAnsi="Calibri"/>
                <w:color w:val="000000"/>
                <w:sz w:val="22"/>
                <w:szCs w:val="22"/>
              </w:rPr>
              <w:t>30Y</w:t>
            </w:r>
          </w:p>
        </w:tc>
        <w:tc>
          <w:tcPr>
            <w:tcW w:w="2320" w:type="dxa"/>
            <w:shd w:val="clear" w:color="auto" w:fill="auto"/>
            <w:noWrap/>
            <w:vAlign w:val="bottom"/>
          </w:tcPr>
          <w:p w:rsidR="00B94195" w:rsidRPr="00ED7DEE" w:rsidRDefault="00B94195" w:rsidP="00BD0B4B">
            <w:pPr>
              <w:jc w:val="center"/>
              <w:rPr>
                <w:rFonts w:ascii="Calibri" w:hAnsi="Calibri"/>
                <w:color w:val="000000"/>
                <w:szCs w:val="22"/>
              </w:rPr>
            </w:pPr>
            <w:r>
              <w:rPr>
                <w:rFonts w:ascii="Calibri" w:hAnsi="Calibri"/>
                <w:color w:val="000000"/>
                <w:sz w:val="22"/>
                <w:szCs w:val="22"/>
              </w:rPr>
              <w:t>Or more</w:t>
            </w:r>
          </w:p>
        </w:tc>
        <w:tc>
          <w:tcPr>
            <w:tcW w:w="1380" w:type="dxa"/>
            <w:shd w:val="clear" w:color="auto" w:fill="auto"/>
            <w:noWrap/>
            <w:vAlign w:val="bottom"/>
          </w:tcPr>
          <w:p w:rsidR="00B94195" w:rsidRPr="00ED7DEE" w:rsidRDefault="00B94195" w:rsidP="00BD0B4B">
            <w:pPr>
              <w:jc w:val="center"/>
              <w:rPr>
                <w:rFonts w:ascii="Calibri" w:hAnsi="Calibri"/>
                <w:color w:val="000000"/>
                <w:szCs w:val="22"/>
              </w:rPr>
            </w:pPr>
            <w:r>
              <w:rPr>
                <w:rFonts w:ascii="Calibri" w:hAnsi="Calibri"/>
                <w:color w:val="000000"/>
                <w:sz w:val="22"/>
                <w:szCs w:val="22"/>
              </w:rPr>
              <w:t>285</w:t>
            </w:r>
          </w:p>
        </w:tc>
      </w:tr>
    </w:tbl>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0"/>
          <w:tab w:val="left" w:pos="7830"/>
          <w:tab w:val="right" w:pos="9360"/>
        </w:tabs>
        <w:ind w:right="720"/>
        <w:rPr>
          <w:rFonts w:ascii="Arial" w:hAnsi="Arial"/>
          <w:sz w:val="20"/>
        </w:rPr>
      </w:pPr>
    </w:p>
    <w:p w:rsidR="009E331A" w:rsidRDefault="009E331A" w:rsidP="009E331A">
      <w:pPr>
        <w:tabs>
          <w:tab w:val="left" w:pos="4320"/>
          <w:tab w:val="center" w:pos="6480"/>
          <w:tab w:val="left" w:pos="7830"/>
          <w:tab w:val="right" w:pos="9360"/>
        </w:tabs>
        <w:ind w:right="720"/>
        <w:jc w:val="both"/>
        <w:rPr>
          <w:rFonts w:ascii="Arial" w:hAnsi="Arial"/>
          <w:sz w:val="20"/>
          <w:u w:val="single"/>
        </w:rPr>
      </w:pPr>
    </w:p>
    <w:p w:rsidR="009E331A" w:rsidRDefault="009E331A">
      <w:pPr>
        <w:spacing w:after="200" w:line="276" w:lineRule="auto"/>
      </w:pPr>
    </w:p>
    <w:p w:rsidR="00325628" w:rsidRDefault="00325628" w:rsidP="00325628">
      <w:pPr>
        <w:ind w:right="100"/>
        <w:jc w:val="both"/>
        <w:rPr>
          <w:rFonts w:ascii="Arial" w:hAnsi="Arial"/>
          <w:sz w:val="20"/>
        </w:rPr>
      </w:pPr>
    </w:p>
    <w:p w:rsidR="00D7302A" w:rsidRDefault="00D7302A"/>
    <w:sectPr w:rsidR="00D7302A" w:rsidSect="00325628">
      <w:footerReference w:type="default" r:id="rId8"/>
      <w:headerReference w:type="first" r:id="rId9"/>
      <w:footerReference w:type="first" r:id="rId10"/>
      <w:pgSz w:w="12240" w:h="15840"/>
      <w:pgMar w:top="1080" w:right="1350" w:bottom="990" w:left="1440" w:header="720" w:footer="44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7FF" w:rsidRDefault="00A337FF" w:rsidP="004E421E">
      <w:r>
        <w:separator/>
      </w:r>
    </w:p>
  </w:endnote>
  <w:endnote w:type="continuationSeparator" w:id="0">
    <w:p w:rsidR="00A337FF" w:rsidRDefault="00A337FF" w:rsidP="004E4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01907"/>
      <w:docPartObj>
        <w:docPartGallery w:val="Page Numbers (Bottom of Page)"/>
        <w:docPartUnique/>
      </w:docPartObj>
    </w:sdtPr>
    <w:sdtContent>
      <w:sdt>
        <w:sdtPr>
          <w:id w:val="565050523"/>
          <w:docPartObj>
            <w:docPartGallery w:val="Page Numbers (Top of Page)"/>
            <w:docPartUnique/>
          </w:docPartObj>
        </w:sdtPr>
        <w:sdtContent>
          <w:p w:rsidR="00A337FF" w:rsidRDefault="00A337FF" w:rsidP="00325628">
            <w:pPr>
              <w:pStyle w:val="Footer"/>
              <w:jc w:val="center"/>
            </w:pPr>
            <w:r w:rsidRPr="00325628">
              <w:rPr>
                <w:rFonts w:ascii="Arial" w:hAnsi="Arial" w:cs="Arial"/>
              </w:rPr>
              <w:t xml:space="preserve">Page </w:t>
            </w:r>
            <w:r w:rsidR="00D511DB" w:rsidRPr="00325628">
              <w:rPr>
                <w:rFonts w:ascii="Arial" w:hAnsi="Arial" w:cs="Arial"/>
              </w:rPr>
              <w:fldChar w:fldCharType="begin"/>
            </w:r>
            <w:r w:rsidRPr="00325628">
              <w:rPr>
                <w:rFonts w:ascii="Arial" w:hAnsi="Arial" w:cs="Arial"/>
              </w:rPr>
              <w:instrText xml:space="preserve"> PAGE </w:instrText>
            </w:r>
            <w:r w:rsidR="00D511DB" w:rsidRPr="00325628">
              <w:rPr>
                <w:rFonts w:ascii="Arial" w:hAnsi="Arial" w:cs="Arial"/>
              </w:rPr>
              <w:fldChar w:fldCharType="separate"/>
            </w:r>
            <w:r w:rsidR="00D75ACD">
              <w:rPr>
                <w:rFonts w:ascii="Arial" w:hAnsi="Arial" w:cs="Arial"/>
                <w:noProof/>
              </w:rPr>
              <w:t>3</w:t>
            </w:r>
            <w:r w:rsidR="00D511DB" w:rsidRPr="00325628">
              <w:rPr>
                <w:rFonts w:ascii="Arial" w:hAnsi="Arial" w:cs="Arial"/>
              </w:rPr>
              <w:fldChar w:fldCharType="end"/>
            </w:r>
            <w:r w:rsidRPr="00325628">
              <w:rPr>
                <w:rFonts w:ascii="Arial" w:hAnsi="Arial" w:cs="Arial"/>
              </w:rPr>
              <w:t xml:space="preserve"> of </w:t>
            </w:r>
            <w:r w:rsidR="00D511DB" w:rsidRPr="00325628">
              <w:rPr>
                <w:rFonts w:ascii="Arial" w:hAnsi="Arial" w:cs="Arial"/>
              </w:rPr>
              <w:fldChar w:fldCharType="begin"/>
            </w:r>
            <w:r w:rsidRPr="00325628">
              <w:rPr>
                <w:rFonts w:ascii="Arial" w:hAnsi="Arial" w:cs="Arial"/>
              </w:rPr>
              <w:instrText xml:space="preserve"> NUMPAGES  </w:instrText>
            </w:r>
            <w:r w:rsidR="00D511DB" w:rsidRPr="00325628">
              <w:rPr>
                <w:rFonts w:ascii="Arial" w:hAnsi="Arial" w:cs="Arial"/>
              </w:rPr>
              <w:fldChar w:fldCharType="separate"/>
            </w:r>
            <w:r w:rsidR="00D75ACD">
              <w:rPr>
                <w:rFonts w:ascii="Arial" w:hAnsi="Arial" w:cs="Arial"/>
                <w:noProof/>
              </w:rPr>
              <w:t>6</w:t>
            </w:r>
            <w:r w:rsidR="00D511DB" w:rsidRPr="00325628">
              <w:rPr>
                <w:rFonts w:ascii="Arial" w:hAnsi="Arial" w:cs="Arial"/>
              </w:rPr>
              <w:fldChar w:fldCharType="end"/>
            </w:r>
          </w:p>
        </w:sdtContent>
      </w:sdt>
    </w:sdtContent>
  </w:sdt>
  <w:p w:rsidR="00A337FF" w:rsidRDefault="00A337F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01909"/>
      <w:docPartObj>
        <w:docPartGallery w:val="Page Numbers (Bottom of Page)"/>
        <w:docPartUnique/>
      </w:docPartObj>
    </w:sdtPr>
    <w:sdtEndPr>
      <w:rPr>
        <w:rFonts w:ascii="Arial" w:hAnsi="Arial" w:cs="Arial"/>
      </w:rPr>
    </w:sdtEndPr>
    <w:sdtContent>
      <w:sdt>
        <w:sdtPr>
          <w:id w:val="66601908"/>
          <w:docPartObj>
            <w:docPartGallery w:val="Page Numbers (Top of Page)"/>
            <w:docPartUnique/>
          </w:docPartObj>
        </w:sdtPr>
        <w:sdtEndPr>
          <w:rPr>
            <w:rFonts w:ascii="Arial" w:hAnsi="Arial" w:cs="Arial"/>
          </w:rPr>
        </w:sdtEndPr>
        <w:sdtContent>
          <w:p w:rsidR="00A337FF" w:rsidRPr="00325628" w:rsidRDefault="00A337FF" w:rsidP="00325628">
            <w:pPr>
              <w:pStyle w:val="Footer"/>
              <w:jc w:val="center"/>
              <w:rPr>
                <w:rFonts w:ascii="Arial" w:hAnsi="Arial" w:cs="Arial"/>
              </w:rPr>
            </w:pPr>
            <w:r w:rsidRPr="00325628">
              <w:rPr>
                <w:rFonts w:ascii="Arial" w:hAnsi="Arial" w:cs="Arial"/>
              </w:rPr>
              <w:t xml:space="preserve">Page </w:t>
            </w:r>
            <w:r w:rsidR="00D511DB" w:rsidRPr="00325628">
              <w:rPr>
                <w:rFonts w:ascii="Arial" w:hAnsi="Arial" w:cs="Arial"/>
              </w:rPr>
              <w:fldChar w:fldCharType="begin"/>
            </w:r>
            <w:r w:rsidRPr="00325628">
              <w:rPr>
                <w:rFonts w:ascii="Arial" w:hAnsi="Arial" w:cs="Arial"/>
              </w:rPr>
              <w:instrText xml:space="preserve"> PAGE </w:instrText>
            </w:r>
            <w:r w:rsidR="00D511DB" w:rsidRPr="00325628">
              <w:rPr>
                <w:rFonts w:ascii="Arial" w:hAnsi="Arial" w:cs="Arial"/>
              </w:rPr>
              <w:fldChar w:fldCharType="separate"/>
            </w:r>
            <w:r w:rsidR="00D75ACD">
              <w:rPr>
                <w:rFonts w:ascii="Arial" w:hAnsi="Arial" w:cs="Arial"/>
                <w:noProof/>
              </w:rPr>
              <w:t>1</w:t>
            </w:r>
            <w:r w:rsidR="00D511DB" w:rsidRPr="00325628">
              <w:rPr>
                <w:rFonts w:ascii="Arial" w:hAnsi="Arial" w:cs="Arial"/>
              </w:rPr>
              <w:fldChar w:fldCharType="end"/>
            </w:r>
            <w:r w:rsidRPr="00325628">
              <w:rPr>
                <w:rFonts w:ascii="Arial" w:hAnsi="Arial" w:cs="Arial"/>
              </w:rPr>
              <w:t xml:space="preserve"> of </w:t>
            </w:r>
            <w:r w:rsidR="00D511DB" w:rsidRPr="00325628">
              <w:rPr>
                <w:rFonts w:ascii="Arial" w:hAnsi="Arial" w:cs="Arial"/>
              </w:rPr>
              <w:fldChar w:fldCharType="begin"/>
            </w:r>
            <w:r w:rsidRPr="00325628">
              <w:rPr>
                <w:rFonts w:ascii="Arial" w:hAnsi="Arial" w:cs="Arial"/>
              </w:rPr>
              <w:instrText xml:space="preserve"> NUMPAGES  </w:instrText>
            </w:r>
            <w:r w:rsidR="00D511DB" w:rsidRPr="00325628">
              <w:rPr>
                <w:rFonts w:ascii="Arial" w:hAnsi="Arial" w:cs="Arial"/>
              </w:rPr>
              <w:fldChar w:fldCharType="separate"/>
            </w:r>
            <w:r w:rsidR="00D75ACD">
              <w:rPr>
                <w:rFonts w:ascii="Arial" w:hAnsi="Arial" w:cs="Arial"/>
                <w:noProof/>
              </w:rPr>
              <w:t>6</w:t>
            </w:r>
            <w:r w:rsidR="00D511DB" w:rsidRPr="00325628">
              <w:rPr>
                <w:rFonts w:ascii="Arial" w:hAnsi="Arial" w:cs="Arial"/>
              </w:rPr>
              <w:fldChar w:fldCharType="end"/>
            </w:r>
          </w:p>
        </w:sdtContent>
      </w:sdt>
    </w:sdtContent>
  </w:sdt>
  <w:p w:rsidR="00A337FF" w:rsidRPr="00325628" w:rsidRDefault="00A337FF">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7FF" w:rsidRDefault="00A337FF" w:rsidP="004E421E">
      <w:r>
        <w:separator/>
      </w:r>
    </w:p>
  </w:footnote>
  <w:footnote w:type="continuationSeparator" w:id="0">
    <w:p w:rsidR="00A337FF" w:rsidRDefault="00A337FF" w:rsidP="004E4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FF" w:rsidRPr="00015248" w:rsidRDefault="00A337FF" w:rsidP="00635873">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6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B023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6C6C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6053F1"/>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4">
    <w:nsid w:val="199519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13892"/>
    <w:multiLevelType w:val="singleLevel"/>
    <w:tmpl w:val="FCB2DA0E"/>
    <w:lvl w:ilvl="0">
      <w:start w:val="12"/>
      <w:numFmt w:val="lowerLetter"/>
      <w:lvlText w:val="(%1)"/>
      <w:lvlJc w:val="left"/>
      <w:pPr>
        <w:tabs>
          <w:tab w:val="num" w:pos="1080"/>
        </w:tabs>
        <w:ind w:left="1080" w:hanging="360"/>
      </w:pPr>
      <w:rPr>
        <w:rFonts w:cs="Times New Roman" w:hint="default"/>
      </w:rPr>
    </w:lvl>
  </w:abstractNum>
  <w:abstractNum w:abstractNumId="6">
    <w:nsid w:val="1A444932"/>
    <w:multiLevelType w:val="singleLevel"/>
    <w:tmpl w:val="8DFEBFA4"/>
    <w:lvl w:ilvl="0">
      <w:start w:val="2"/>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7">
    <w:nsid w:val="20B90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5B71F2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2FCB4B06"/>
    <w:multiLevelType w:val="singleLevel"/>
    <w:tmpl w:val="ED580122"/>
    <w:lvl w:ilvl="0">
      <w:start w:val="1"/>
      <w:numFmt w:val="decimal"/>
      <w:lvlText w:val="%1. "/>
      <w:legacy w:legacy="1" w:legacySpace="0" w:legacyIndent="360"/>
      <w:lvlJc w:val="left"/>
      <w:pPr>
        <w:ind w:left="1080" w:hanging="360"/>
      </w:pPr>
      <w:rPr>
        <w:rFonts w:ascii="Helvetica" w:hAnsi="Helvetica" w:cs="Times New Roman" w:hint="default"/>
        <w:b w:val="0"/>
        <w:i w:val="0"/>
        <w:sz w:val="20"/>
        <w:u w:val="none"/>
      </w:rPr>
    </w:lvl>
  </w:abstractNum>
  <w:abstractNum w:abstractNumId="10">
    <w:nsid w:val="357C1892"/>
    <w:multiLevelType w:val="singleLevel"/>
    <w:tmpl w:val="AB5EB1BA"/>
    <w:lvl w:ilvl="0">
      <w:start w:val="4"/>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11">
    <w:nsid w:val="361345BC"/>
    <w:multiLevelType w:val="singleLevel"/>
    <w:tmpl w:val="8DFEBFA4"/>
    <w:lvl w:ilvl="0">
      <w:start w:val="2"/>
      <w:numFmt w:val="decimal"/>
      <w:lvlText w:val="%1. "/>
      <w:legacy w:legacy="1" w:legacySpace="0" w:legacyIndent="360"/>
      <w:lvlJc w:val="left"/>
      <w:pPr>
        <w:ind w:left="1080" w:hanging="360"/>
      </w:pPr>
      <w:rPr>
        <w:rFonts w:ascii="Helvetica" w:hAnsi="Helvetica" w:cs="Times New Roman" w:hint="default"/>
        <w:b w:val="0"/>
        <w:i w:val="0"/>
        <w:sz w:val="20"/>
        <w:u w:val="none"/>
      </w:rPr>
    </w:lvl>
  </w:abstractNum>
  <w:abstractNum w:abstractNumId="12">
    <w:nsid w:val="38E61B57"/>
    <w:multiLevelType w:val="singleLevel"/>
    <w:tmpl w:val="0720A9D8"/>
    <w:lvl w:ilvl="0">
      <w:start w:val="3"/>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13">
    <w:nsid w:val="58840852"/>
    <w:multiLevelType w:val="singleLevel"/>
    <w:tmpl w:val="D654DF24"/>
    <w:lvl w:ilvl="0">
      <w:start w:val="1"/>
      <w:numFmt w:val="lowerLetter"/>
      <w:lvlText w:val="%1."/>
      <w:lvlJc w:val="left"/>
      <w:pPr>
        <w:tabs>
          <w:tab w:val="num" w:pos="1080"/>
        </w:tabs>
        <w:ind w:left="1080" w:hanging="360"/>
      </w:pPr>
      <w:rPr>
        <w:rFonts w:cs="Times New Roman" w:hint="default"/>
      </w:rPr>
    </w:lvl>
  </w:abstractNum>
  <w:abstractNum w:abstractNumId="14">
    <w:nsid w:val="59486736"/>
    <w:multiLevelType w:val="singleLevel"/>
    <w:tmpl w:val="0720A9D8"/>
    <w:lvl w:ilvl="0">
      <w:start w:val="3"/>
      <w:numFmt w:val="decimal"/>
      <w:lvlText w:val="%1. "/>
      <w:legacy w:legacy="1" w:legacySpace="0" w:legacyIndent="360"/>
      <w:lvlJc w:val="left"/>
      <w:pPr>
        <w:ind w:left="1080" w:hanging="360"/>
      </w:pPr>
      <w:rPr>
        <w:rFonts w:ascii="Helvetica" w:hAnsi="Helvetica" w:cs="Times New Roman" w:hint="default"/>
        <w:b w:val="0"/>
        <w:i w:val="0"/>
        <w:sz w:val="20"/>
        <w:u w:val="none"/>
      </w:rPr>
    </w:lvl>
  </w:abstractNum>
  <w:abstractNum w:abstractNumId="15">
    <w:nsid w:val="5FDE1A63"/>
    <w:multiLevelType w:val="singleLevel"/>
    <w:tmpl w:val="0E96053A"/>
    <w:lvl w:ilvl="0">
      <w:start w:val="2"/>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16">
    <w:nsid w:val="60C22BD0"/>
    <w:multiLevelType w:val="singleLevel"/>
    <w:tmpl w:val="17D472BA"/>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17">
    <w:nsid w:val="705F49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18F43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4745E10"/>
    <w:multiLevelType w:val="singleLevel"/>
    <w:tmpl w:val="C9A65D04"/>
    <w:lvl w:ilvl="0">
      <w:start w:val="3"/>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20">
    <w:nsid w:val="785B0027"/>
    <w:multiLevelType w:val="singleLevel"/>
    <w:tmpl w:val="ED580122"/>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21">
    <w:nsid w:val="7885557A"/>
    <w:multiLevelType w:val="singleLevel"/>
    <w:tmpl w:val="ED580122"/>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22">
    <w:nsid w:val="7A3F0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C0B134A"/>
    <w:multiLevelType w:val="singleLevel"/>
    <w:tmpl w:val="6C08D1AA"/>
    <w:lvl w:ilvl="0">
      <w:start w:val="1"/>
      <w:numFmt w:val="lowerLetter"/>
      <w:lvlText w:val="(%1)"/>
      <w:lvlJc w:val="left"/>
      <w:pPr>
        <w:tabs>
          <w:tab w:val="num" w:pos="2880"/>
        </w:tabs>
        <w:ind w:left="2880" w:hanging="720"/>
      </w:pPr>
      <w:rPr>
        <w:rFonts w:cs="Times New Roman" w:hint="default"/>
      </w:rPr>
    </w:lvl>
  </w:abstractNum>
  <w:num w:numId="1">
    <w:abstractNumId w:val="16"/>
  </w:num>
  <w:num w:numId="2">
    <w:abstractNumId w:val="15"/>
  </w:num>
  <w:num w:numId="3">
    <w:abstractNumId w:val="19"/>
  </w:num>
  <w:num w:numId="4">
    <w:abstractNumId w:val="20"/>
  </w:num>
  <w:num w:numId="5">
    <w:abstractNumId w:val="21"/>
  </w:num>
  <w:num w:numId="6">
    <w:abstractNumId w:val="6"/>
  </w:num>
  <w:num w:numId="7">
    <w:abstractNumId w:val="12"/>
  </w:num>
  <w:num w:numId="8">
    <w:abstractNumId w:val="9"/>
  </w:num>
  <w:num w:numId="9">
    <w:abstractNumId w:val="11"/>
  </w:num>
  <w:num w:numId="10">
    <w:abstractNumId w:val="14"/>
  </w:num>
  <w:num w:numId="11">
    <w:abstractNumId w:val="10"/>
  </w:num>
  <w:num w:numId="12">
    <w:abstractNumId w:val="13"/>
  </w:num>
  <w:num w:numId="13">
    <w:abstractNumId w:val="5"/>
  </w:num>
  <w:num w:numId="14">
    <w:abstractNumId w:val="0"/>
  </w:num>
  <w:num w:numId="15">
    <w:abstractNumId w:val="1"/>
  </w:num>
  <w:num w:numId="16">
    <w:abstractNumId w:val="17"/>
  </w:num>
  <w:num w:numId="17">
    <w:abstractNumId w:val="2"/>
  </w:num>
  <w:num w:numId="18">
    <w:abstractNumId w:val="7"/>
  </w:num>
  <w:num w:numId="19">
    <w:abstractNumId w:val="22"/>
  </w:num>
  <w:num w:numId="20">
    <w:abstractNumId w:val="18"/>
  </w:num>
  <w:num w:numId="21">
    <w:abstractNumId w:val="4"/>
  </w:num>
  <w:num w:numId="22">
    <w:abstractNumId w:val="3"/>
  </w:num>
  <w:num w:numId="23">
    <w:abstractNumId w:val="2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477AE"/>
    <w:rsid w:val="00022670"/>
    <w:rsid w:val="00027A0C"/>
    <w:rsid w:val="00041CCD"/>
    <w:rsid w:val="0005182D"/>
    <w:rsid w:val="000611BC"/>
    <w:rsid w:val="0006159E"/>
    <w:rsid w:val="0006332E"/>
    <w:rsid w:val="00077DE7"/>
    <w:rsid w:val="00082DAB"/>
    <w:rsid w:val="00095237"/>
    <w:rsid w:val="000A68E6"/>
    <w:rsid w:val="000D3D60"/>
    <w:rsid w:val="000E7CFF"/>
    <w:rsid w:val="000F57C7"/>
    <w:rsid w:val="000F670E"/>
    <w:rsid w:val="0010612F"/>
    <w:rsid w:val="001100F8"/>
    <w:rsid w:val="00122172"/>
    <w:rsid w:val="00137F55"/>
    <w:rsid w:val="0014044E"/>
    <w:rsid w:val="00152749"/>
    <w:rsid w:val="0015773B"/>
    <w:rsid w:val="00165091"/>
    <w:rsid w:val="00167BA3"/>
    <w:rsid w:val="0017272B"/>
    <w:rsid w:val="00172874"/>
    <w:rsid w:val="001A5102"/>
    <w:rsid w:val="001C5984"/>
    <w:rsid w:val="001D117B"/>
    <w:rsid w:val="001F4F8D"/>
    <w:rsid w:val="00213C8D"/>
    <w:rsid w:val="00220F98"/>
    <w:rsid w:val="00227506"/>
    <w:rsid w:val="00262545"/>
    <w:rsid w:val="00274318"/>
    <w:rsid w:val="00276C87"/>
    <w:rsid w:val="00282758"/>
    <w:rsid w:val="002A43C4"/>
    <w:rsid w:val="002A5B02"/>
    <w:rsid w:val="002D06F3"/>
    <w:rsid w:val="002E3996"/>
    <w:rsid w:val="002F232B"/>
    <w:rsid w:val="00302C22"/>
    <w:rsid w:val="00320A1E"/>
    <w:rsid w:val="00325628"/>
    <w:rsid w:val="003272E3"/>
    <w:rsid w:val="00375D75"/>
    <w:rsid w:val="003A64BE"/>
    <w:rsid w:val="003D46A0"/>
    <w:rsid w:val="003D5A93"/>
    <w:rsid w:val="003E2141"/>
    <w:rsid w:val="003E75B9"/>
    <w:rsid w:val="003F2EA4"/>
    <w:rsid w:val="004134EF"/>
    <w:rsid w:val="00415A32"/>
    <w:rsid w:val="00423E28"/>
    <w:rsid w:val="00467088"/>
    <w:rsid w:val="00476776"/>
    <w:rsid w:val="00480563"/>
    <w:rsid w:val="00482FF8"/>
    <w:rsid w:val="00494908"/>
    <w:rsid w:val="00495FB6"/>
    <w:rsid w:val="004A62DC"/>
    <w:rsid w:val="004A7956"/>
    <w:rsid w:val="004B3BAC"/>
    <w:rsid w:val="004C0AF9"/>
    <w:rsid w:val="004D4074"/>
    <w:rsid w:val="004E3AB1"/>
    <w:rsid w:val="004E3E23"/>
    <w:rsid w:val="004E421E"/>
    <w:rsid w:val="004E7149"/>
    <w:rsid w:val="00510FFF"/>
    <w:rsid w:val="0052151F"/>
    <w:rsid w:val="00521E6A"/>
    <w:rsid w:val="00522641"/>
    <w:rsid w:val="005269C5"/>
    <w:rsid w:val="00541FB3"/>
    <w:rsid w:val="005430B1"/>
    <w:rsid w:val="00551378"/>
    <w:rsid w:val="00561540"/>
    <w:rsid w:val="0056407A"/>
    <w:rsid w:val="0057505B"/>
    <w:rsid w:val="00577A12"/>
    <w:rsid w:val="00591536"/>
    <w:rsid w:val="005A3780"/>
    <w:rsid w:val="005B38CE"/>
    <w:rsid w:val="005B4FC0"/>
    <w:rsid w:val="005B52DE"/>
    <w:rsid w:val="005B6568"/>
    <w:rsid w:val="005D2484"/>
    <w:rsid w:val="005F19FD"/>
    <w:rsid w:val="005F6363"/>
    <w:rsid w:val="005F663E"/>
    <w:rsid w:val="00606EA0"/>
    <w:rsid w:val="006257E1"/>
    <w:rsid w:val="00625EEF"/>
    <w:rsid w:val="00635873"/>
    <w:rsid w:val="00641039"/>
    <w:rsid w:val="00641062"/>
    <w:rsid w:val="0065639C"/>
    <w:rsid w:val="00656D03"/>
    <w:rsid w:val="0066697D"/>
    <w:rsid w:val="006708D2"/>
    <w:rsid w:val="00680713"/>
    <w:rsid w:val="0068223F"/>
    <w:rsid w:val="00685FED"/>
    <w:rsid w:val="006B76CF"/>
    <w:rsid w:val="006E07A8"/>
    <w:rsid w:val="006F5A9F"/>
    <w:rsid w:val="006F68DB"/>
    <w:rsid w:val="00711C1F"/>
    <w:rsid w:val="007434F3"/>
    <w:rsid w:val="00747050"/>
    <w:rsid w:val="00747D68"/>
    <w:rsid w:val="00756401"/>
    <w:rsid w:val="0076603D"/>
    <w:rsid w:val="00773CA7"/>
    <w:rsid w:val="00781FE7"/>
    <w:rsid w:val="0079432D"/>
    <w:rsid w:val="007B519E"/>
    <w:rsid w:val="007C1998"/>
    <w:rsid w:val="007F5CB3"/>
    <w:rsid w:val="008104FD"/>
    <w:rsid w:val="00824049"/>
    <w:rsid w:val="008257B6"/>
    <w:rsid w:val="008308F6"/>
    <w:rsid w:val="00851C55"/>
    <w:rsid w:val="008625CA"/>
    <w:rsid w:val="008A6FB1"/>
    <w:rsid w:val="008B7FCF"/>
    <w:rsid w:val="008C1AC3"/>
    <w:rsid w:val="008C2D2E"/>
    <w:rsid w:val="008D7C12"/>
    <w:rsid w:val="008F3B1F"/>
    <w:rsid w:val="008F4062"/>
    <w:rsid w:val="00900474"/>
    <w:rsid w:val="00916915"/>
    <w:rsid w:val="00933554"/>
    <w:rsid w:val="0093716F"/>
    <w:rsid w:val="00963129"/>
    <w:rsid w:val="0096320A"/>
    <w:rsid w:val="00970683"/>
    <w:rsid w:val="00983077"/>
    <w:rsid w:val="0099609D"/>
    <w:rsid w:val="009972D5"/>
    <w:rsid w:val="00997401"/>
    <w:rsid w:val="009A257E"/>
    <w:rsid w:val="009B080F"/>
    <w:rsid w:val="009E331A"/>
    <w:rsid w:val="009E5037"/>
    <w:rsid w:val="00A02DCF"/>
    <w:rsid w:val="00A06220"/>
    <w:rsid w:val="00A06A8C"/>
    <w:rsid w:val="00A13CF5"/>
    <w:rsid w:val="00A14D3D"/>
    <w:rsid w:val="00A337FF"/>
    <w:rsid w:val="00A50D57"/>
    <w:rsid w:val="00A50F42"/>
    <w:rsid w:val="00A53530"/>
    <w:rsid w:val="00A57FEC"/>
    <w:rsid w:val="00A71264"/>
    <w:rsid w:val="00A7493B"/>
    <w:rsid w:val="00A77BE0"/>
    <w:rsid w:val="00A86B21"/>
    <w:rsid w:val="00A94A14"/>
    <w:rsid w:val="00A96C91"/>
    <w:rsid w:val="00AA16CA"/>
    <w:rsid w:val="00AA6D1E"/>
    <w:rsid w:val="00AB0337"/>
    <w:rsid w:val="00AB2F90"/>
    <w:rsid w:val="00AB427E"/>
    <w:rsid w:val="00AB7D98"/>
    <w:rsid w:val="00AC4B7E"/>
    <w:rsid w:val="00AC6DB0"/>
    <w:rsid w:val="00AD1ED3"/>
    <w:rsid w:val="00AE4813"/>
    <w:rsid w:val="00AF490B"/>
    <w:rsid w:val="00B10FE6"/>
    <w:rsid w:val="00B34DE0"/>
    <w:rsid w:val="00B511B8"/>
    <w:rsid w:val="00B520C1"/>
    <w:rsid w:val="00B53BEB"/>
    <w:rsid w:val="00B55D38"/>
    <w:rsid w:val="00B626FF"/>
    <w:rsid w:val="00B67FAE"/>
    <w:rsid w:val="00B81B30"/>
    <w:rsid w:val="00B86C09"/>
    <w:rsid w:val="00B878DC"/>
    <w:rsid w:val="00B9396C"/>
    <w:rsid w:val="00B94195"/>
    <w:rsid w:val="00B9587A"/>
    <w:rsid w:val="00BA589C"/>
    <w:rsid w:val="00BA636A"/>
    <w:rsid w:val="00BD0B4B"/>
    <w:rsid w:val="00BD1083"/>
    <w:rsid w:val="00BD7C52"/>
    <w:rsid w:val="00BE0802"/>
    <w:rsid w:val="00BE0AC4"/>
    <w:rsid w:val="00BE29FA"/>
    <w:rsid w:val="00BE48D9"/>
    <w:rsid w:val="00C137AB"/>
    <w:rsid w:val="00C139BC"/>
    <w:rsid w:val="00C27272"/>
    <w:rsid w:val="00C47388"/>
    <w:rsid w:val="00C4786C"/>
    <w:rsid w:val="00C62C3C"/>
    <w:rsid w:val="00C73932"/>
    <w:rsid w:val="00C75665"/>
    <w:rsid w:val="00C92D34"/>
    <w:rsid w:val="00CA2455"/>
    <w:rsid w:val="00CB0F5B"/>
    <w:rsid w:val="00CB225B"/>
    <w:rsid w:val="00CB5EBF"/>
    <w:rsid w:val="00CD7564"/>
    <w:rsid w:val="00CE6357"/>
    <w:rsid w:val="00CE749C"/>
    <w:rsid w:val="00CF2DD4"/>
    <w:rsid w:val="00D11525"/>
    <w:rsid w:val="00D20433"/>
    <w:rsid w:val="00D2657B"/>
    <w:rsid w:val="00D3092E"/>
    <w:rsid w:val="00D356E6"/>
    <w:rsid w:val="00D511DB"/>
    <w:rsid w:val="00D7302A"/>
    <w:rsid w:val="00D75ACD"/>
    <w:rsid w:val="00DA7777"/>
    <w:rsid w:val="00DA7B28"/>
    <w:rsid w:val="00DB3EA7"/>
    <w:rsid w:val="00DC1DE6"/>
    <w:rsid w:val="00DC6838"/>
    <w:rsid w:val="00DD136A"/>
    <w:rsid w:val="00DF092C"/>
    <w:rsid w:val="00DF19DD"/>
    <w:rsid w:val="00DF3170"/>
    <w:rsid w:val="00E00199"/>
    <w:rsid w:val="00E02E69"/>
    <w:rsid w:val="00E05392"/>
    <w:rsid w:val="00E11E1F"/>
    <w:rsid w:val="00E1430E"/>
    <w:rsid w:val="00E358EA"/>
    <w:rsid w:val="00E37381"/>
    <w:rsid w:val="00E42754"/>
    <w:rsid w:val="00E53934"/>
    <w:rsid w:val="00E65E08"/>
    <w:rsid w:val="00E74A8F"/>
    <w:rsid w:val="00E8557F"/>
    <w:rsid w:val="00EB164E"/>
    <w:rsid w:val="00EB4295"/>
    <w:rsid w:val="00ED32AB"/>
    <w:rsid w:val="00EE1DC0"/>
    <w:rsid w:val="00EE22B8"/>
    <w:rsid w:val="00EF05D9"/>
    <w:rsid w:val="00EF723A"/>
    <w:rsid w:val="00EF731F"/>
    <w:rsid w:val="00F00276"/>
    <w:rsid w:val="00F0190B"/>
    <w:rsid w:val="00F03ADE"/>
    <w:rsid w:val="00F06584"/>
    <w:rsid w:val="00F13AC0"/>
    <w:rsid w:val="00F224E4"/>
    <w:rsid w:val="00F30248"/>
    <w:rsid w:val="00F330E3"/>
    <w:rsid w:val="00F477AE"/>
    <w:rsid w:val="00F50134"/>
    <w:rsid w:val="00F64342"/>
    <w:rsid w:val="00F721F8"/>
    <w:rsid w:val="00F7319A"/>
    <w:rsid w:val="00F8231F"/>
    <w:rsid w:val="00F860D7"/>
    <w:rsid w:val="00FA2603"/>
    <w:rsid w:val="00FD4FE4"/>
    <w:rsid w:val="00FF0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AE"/>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uiPriority w:val="99"/>
    <w:qFormat/>
    <w:rsid w:val="00C62C3C"/>
    <w:pPr>
      <w:keepNext/>
      <w:ind w:right="-180"/>
      <w:jc w:val="center"/>
      <w:outlineLvl w:val="0"/>
    </w:pPr>
    <w:rPr>
      <w:rFonts w:ascii="Helvetica" w:hAnsi="Helvetica"/>
      <w:sz w:val="20"/>
      <w:u w:val="single"/>
    </w:rPr>
  </w:style>
  <w:style w:type="paragraph" w:styleId="Heading3">
    <w:name w:val="heading 3"/>
    <w:basedOn w:val="Normal"/>
    <w:next w:val="Normal"/>
    <w:link w:val="Heading3Char"/>
    <w:uiPriority w:val="99"/>
    <w:qFormat/>
    <w:rsid w:val="00C62C3C"/>
    <w:pPr>
      <w:keepNext/>
      <w:outlineLvl w:val="2"/>
    </w:pPr>
    <w:rPr>
      <w:rFonts w:ascii="Times New Roman" w:hAnsi="Times New Roman"/>
      <w:i/>
      <w:sz w:val="20"/>
    </w:rPr>
  </w:style>
  <w:style w:type="paragraph" w:styleId="Heading4">
    <w:name w:val="heading 4"/>
    <w:basedOn w:val="Normal"/>
    <w:next w:val="Normal"/>
    <w:link w:val="Heading4Char"/>
    <w:uiPriority w:val="99"/>
    <w:qFormat/>
    <w:rsid w:val="00C62C3C"/>
    <w:pPr>
      <w:keepNext/>
      <w:spacing w:line="480" w:lineRule="auto"/>
      <w:ind w:left="540"/>
      <w:outlineLvl w:val="3"/>
    </w:pPr>
    <w:rPr>
      <w:rFonts w:ascii="Helvetica" w:hAnsi="Helvetica"/>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77AE"/>
    <w:pPr>
      <w:tabs>
        <w:tab w:val="center" w:pos="4320"/>
        <w:tab w:val="right" w:pos="8640"/>
      </w:tabs>
    </w:pPr>
    <w:rPr>
      <w:sz w:val="20"/>
    </w:rPr>
  </w:style>
  <w:style w:type="character" w:customStyle="1" w:styleId="FooterChar">
    <w:name w:val="Footer Char"/>
    <w:basedOn w:val="DefaultParagraphFont"/>
    <w:link w:val="Footer"/>
    <w:uiPriority w:val="99"/>
    <w:rsid w:val="00F477AE"/>
    <w:rPr>
      <w:rFonts w:ascii="New York" w:eastAsia="Times New Roman" w:hAnsi="New York" w:cs="Times New Roman"/>
      <w:sz w:val="20"/>
      <w:szCs w:val="20"/>
    </w:rPr>
  </w:style>
  <w:style w:type="paragraph" w:styleId="Header">
    <w:name w:val="header"/>
    <w:basedOn w:val="Normal"/>
    <w:link w:val="HeaderChar"/>
    <w:uiPriority w:val="99"/>
    <w:rsid w:val="00F477AE"/>
    <w:pPr>
      <w:tabs>
        <w:tab w:val="center" w:pos="4320"/>
        <w:tab w:val="right" w:pos="8640"/>
      </w:tabs>
    </w:pPr>
  </w:style>
  <w:style w:type="character" w:customStyle="1" w:styleId="HeaderChar">
    <w:name w:val="Header Char"/>
    <w:basedOn w:val="DefaultParagraphFont"/>
    <w:link w:val="Header"/>
    <w:uiPriority w:val="99"/>
    <w:rsid w:val="00F477AE"/>
    <w:rPr>
      <w:rFonts w:ascii="New York" w:eastAsia="Times New Roman" w:hAnsi="New York" w:cs="Times New Roman"/>
      <w:sz w:val="24"/>
      <w:szCs w:val="20"/>
    </w:rPr>
  </w:style>
  <w:style w:type="paragraph" w:styleId="BodyTextIndent">
    <w:name w:val="Body Text Indent"/>
    <w:basedOn w:val="Normal"/>
    <w:link w:val="BodyTextIndentChar"/>
    <w:rsid w:val="00F477AE"/>
    <w:pPr>
      <w:tabs>
        <w:tab w:val="left" w:pos="980"/>
        <w:tab w:val="left" w:pos="1440"/>
        <w:tab w:val="left" w:pos="5760"/>
      </w:tabs>
      <w:ind w:left="360"/>
      <w:jc w:val="both"/>
    </w:pPr>
    <w:rPr>
      <w:rFonts w:ascii="Helvetica" w:hAnsi="Helvetica"/>
      <w:sz w:val="20"/>
    </w:rPr>
  </w:style>
  <w:style w:type="character" w:customStyle="1" w:styleId="BodyTextIndentChar">
    <w:name w:val="Body Text Indent Char"/>
    <w:basedOn w:val="DefaultParagraphFont"/>
    <w:link w:val="BodyTextIndent"/>
    <w:uiPriority w:val="99"/>
    <w:rsid w:val="00F477AE"/>
    <w:rPr>
      <w:rFonts w:ascii="Helvetica" w:eastAsia="Times New Roman" w:hAnsi="Helvetica" w:cs="Times New Roman"/>
      <w:sz w:val="20"/>
      <w:szCs w:val="20"/>
    </w:rPr>
  </w:style>
  <w:style w:type="paragraph" w:styleId="BodyText">
    <w:name w:val="Body Text"/>
    <w:basedOn w:val="Normal"/>
    <w:link w:val="BodyTextChar"/>
    <w:uiPriority w:val="99"/>
    <w:rsid w:val="00F477AE"/>
    <w:pPr>
      <w:tabs>
        <w:tab w:val="left" w:pos="360"/>
        <w:tab w:val="left" w:pos="1080"/>
        <w:tab w:val="left" w:pos="1800"/>
        <w:tab w:val="center" w:pos="5580"/>
      </w:tabs>
      <w:spacing w:line="260" w:lineRule="atLeast"/>
      <w:jc w:val="both"/>
    </w:pPr>
    <w:rPr>
      <w:rFonts w:ascii="Times" w:hAnsi="Times"/>
      <w:sz w:val="20"/>
    </w:rPr>
  </w:style>
  <w:style w:type="character" w:customStyle="1" w:styleId="BodyTextChar">
    <w:name w:val="Body Text Char"/>
    <w:basedOn w:val="DefaultParagraphFont"/>
    <w:link w:val="BodyText"/>
    <w:uiPriority w:val="99"/>
    <w:rsid w:val="00F477AE"/>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022670"/>
    <w:rPr>
      <w:rFonts w:ascii="Tahoma" w:hAnsi="Tahoma" w:cs="Tahoma"/>
      <w:sz w:val="16"/>
      <w:szCs w:val="16"/>
    </w:rPr>
  </w:style>
  <w:style w:type="character" w:customStyle="1" w:styleId="BalloonTextChar">
    <w:name w:val="Balloon Text Char"/>
    <w:basedOn w:val="DefaultParagraphFont"/>
    <w:link w:val="BalloonText"/>
    <w:uiPriority w:val="99"/>
    <w:semiHidden/>
    <w:rsid w:val="00022670"/>
    <w:rPr>
      <w:rFonts w:ascii="Tahoma" w:eastAsia="Times New Roman" w:hAnsi="Tahoma" w:cs="Tahoma"/>
      <w:sz w:val="16"/>
      <w:szCs w:val="16"/>
    </w:rPr>
  </w:style>
  <w:style w:type="character" w:customStyle="1" w:styleId="Heading1Char">
    <w:name w:val="Heading 1 Char"/>
    <w:basedOn w:val="DefaultParagraphFont"/>
    <w:link w:val="Heading1"/>
    <w:uiPriority w:val="99"/>
    <w:rsid w:val="00C62C3C"/>
    <w:rPr>
      <w:rFonts w:ascii="Helvetica" w:eastAsia="Times New Roman" w:hAnsi="Helvetica" w:cs="Times New Roman"/>
      <w:sz w:val="20"/>
      <w:szCs w:val="20"/>
      <w:u w:val="single"/>
    </w:rPr>
  </w:style>
  <w:style w:type="character" w:customStyle="1" w:styleId="Heading3Char">
    <w:name w:val="Heading 3 Char"/>
    <w:basedOn w:val="DefaultParagraphFont"/>
    <w:link w:val="Heading3"/>
    <w:uiPriority w:val="99"/>
    <w:rsid w:val="00C62C3C"/>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9"/>
    <w:rsid w:val="00C62C3C"/>
    <w:rPr>
      <w:rFonts w:ascii="Helvetica" w:eastAsia="Times New Roman" w:hAnsi="Helvetica" w:cs="Times New Roman"/>
      <w:i/>
      <w:sz w:val="20"/>
      <w:szCs w:val="20"/>
    </w:rPr>
  </w:style>
  <w:style w:type="paragraph" w:customStyle="1" w:styleId="normalflushleft">
    <w:name w:val="normal flush left"/>
    <w:basedOn w:val="Normal"/>
    <w:uiPriority w:val="99"/>
    <w:rsid w:val="00C62C3C"/>
    <w:pPr>
      <w:keepNext/>
    </w:pPr>
    <w:rPr>
      <w:rFonts w:ascii="Geneva" w:hAnsi="Geneva"/>
      <w:sz w:val="20"/>
    </w:rPr>
  </w:style>
  <w:style w:type="paragraph" w:styleId="BodyTextIndent2">
    <w:name w:val="Body Text Indent 2"/>
    <w:basedOn w:val="Normal"/>
    <w:link w:val="BodyTextIndent2Char"/>
    <w:uiPriority w:val="99"/>
    <w:rsid w:val="00C62C3C"/>
    <w:pPr>
      <w:tabs>
        <w:tab w:val="left" w:pos="720"/>
        <w:tab w:val="left" w:pos="1440"/>
        <w:tab w:val="left" w:pos="2520"/>
        <w:tab w:val="left" w:pos="4860"/>
        <w:tab w:val="left" w:pos="720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2520" w:hanging="1800"/>
    </w:pPr>
    <w:rPr>
      <w:rFonts w:ascii="Helvetica" w:hAnsi="Helvetica"/>
      <w:sz w:val="20"/>
    </w:rPr>
  </w:style>
  <w:style w:type="character" w:customStyle="1" w:styleId="BodyTextIndent2Char">
    <w:name w:val="Body Text Indent 2 Char"/>
    <w:basedOn w:val="DefaultParagraphFont"/>
    <w:link w:val="BodyTextIndent2"/>
    <w:uiPriority w:val="99"/>
    <w:rsid w:val="00C62C3C"/>
    <w:rPr>
      <w:rFonts w:ascii="Helvetica" w:eastAsia="Times New Roman" w:hAnsi="Helvetica" w:cs="Times New Roman"/>
      <w:sz w:val="20"/>
      <w:szCs w:val="20"/>
    </w:rPr>
  </w:style>
  <w:style w:type="paragraph" w:styleId="BodyTextIndent3">
    <w:name w:val="Body Text Indent 3"/>
    <w:basedOn w:val="Normal"/>
    <w:link w:val="BodyTextIndent3Char"/>
    <w:uiPriority w:val="99"/>
    <w:rsid w:val="00C62C3C"/>
    <w:pPr>
      <w:ind w:left="1440"/>
    </w:pPr>
    <w:rPr>
      <w:rFonts w:ascii="Helvetica" w:hAnsi="Helvetica"/>
      <w:sz w:val="20"/>
    </w:rPr>
  </w:style>
  <w:style w:type="character" w:customStyle="1" w:styleId="BodyTextIndent3Char">
    <w:name w:val="Body Text Indent 3 Char"/>
    <w:basedOn w:val="DefaultParagraphFont"/>
    <w:link w:val="BodyTextIndent3"/>
    <w:uiPriority w:val="99"/>
    <w:rsid w:val="00C62C3C"/>
    <w:rPr>
      <w:rFonts w:ascii="Helvetica" w:eastAsia="Times New Roman" w:hAnsi="Helvetica" w:cs="Times New Roman"/>
      <w:sz w:val="20"/>
      <w:szCs w:val="20"/>
    </w:rPr>
  </w:style>
  <w:style w:type="paragraph" w:styleId="BlockText">
    <w:name w:val="Block Text"/>
    <w:basedOn w:val="Normal"/>
    <w:uiPriority w:val="99"/>
    <w:rsid w:val="00C62C3C"/>
    <w:pPr>
      <w:ind w:left="360" w:right="100" w:hanging="360"/>
      <w:jc w:val="both"/>
    </w:pPr>
    <w:rPr>
      <w:rFonts w:ascii="Helvetica" w:hAnsi="Helvetica"/>
      <w:b/>
      <w:sz w:val="20"/>
    </w:rPr>
  </w:style>
  <w:style w:type="character" w:styleId="CommentReference">
    <w:name w:val="annotation reference"/>
    <w:basedOn w:val="DefaultParagraphFont"/>
    <w:uiPriority w:val="99"/>
    <w:semiHidden/>
    <w:unhideWhenUsed/>
    <w:rsid w:val="00C62C3C"/>
    <w:rPr>
      <w:sz w:val="16"/>
      <w:szCs w:val="16"/>
    </w:rPr>
  </w:style>
  <w:style w:type="paragraph" w:styleId="CommentText">
    <w:name w:val="annotation text"/>
    <w:basedOn w:val="Normal"/>
    <w:link w:val="CommentTextChar"/>
    <w:uiPriority w:val="99"/>
    <w:semiHidden/>
    <w:unhideWhenUsed/>
    <w:rsid w:val="00C62C3C"/>
    <w:rPr>
      <w:sz w:val="20"/>
    </w:rPr>
  </w:style>
  <w:style w:type="character" w:customStyle="1" w:styleId="CommentTextChar">
    <w:name w:val="Comment Text Char"/>
    <w:basedOn w:val="DefaultParagraphFont"/>
    <w:link w:val="CommentText"/>
    <w:uiPriority w:val="99"/>
    <w:semiHidden/>
    <w:rsid w:val="00C62C3C"/>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C62C3C"/>
    <w:rPr>
      <w:b/>
      <w:bCs/>
    </w:rPr>
  </w:style>
  <w:style w:type="character" w:customStyle="1" w:styleId="CommentSubjectChar">
    <w:name w:val="Comment Subject Char"/>
    <w:basedOn w:val="CommentTextChar"/>
    <w:link w:val="CommentSubject"/>
    <w:uiPriority w:val="99"/>
    <w:semiHidden/>
    <w:rsid w:val="00C62C3C"/>
    <w:rPr>
      <w:rFonts w:ascii="New York" w:eastAsia="Times New Roman" w:hAnsi="New York" w:cs="Times New Roman"/>
      <w:b/>
      <w:bCs/>
      <w:sz w:val="20"/>
      <w:szCs w:val="20"/>
    </w:rPr>
  </w:style>
  <w:style w:type="paragraph" w:styleId="Revision">
    <w:name w:val="Revision"/>
    <w:hidden/>
    <w:uiPriority w:val="99"/>
    <w:semiHidden/>
    <w:rsid w:val="00C62C3C"/>
    <w:pPr>
      <w:spacing w:after="0" w:line="240" w:lineRule="auto"/>
    </w:pPr>
    <w:rPr>
      <w:rFonts w:ascii="New York" w:eastAsia="Times New Roman" w:hAnsi="New York"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831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F11872C89BD349ADD141CEA0DB887F" ma:contentTypeVersion="119" ma:contentTypeDescription="" ma:contentTypeScope="" ma:versionID="c9ed080a037b008b93570797330ad7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Securities</CaseType>
    <IndustryCode xmlns="dc463f71-b30c-4ab2-9473-d307f9d35888">140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151822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593E65C-2D92-40F0-AA01-990C10E823D6}"/>
</file>

<file path=customXml/itemProps2.xml><?xml version="1.0" encoding="utf-8"?>
<ds:datastoreItem xmlns:ds="http://schemas.openxmlformats.org/officeDocument/2006/customXml" ds:itemID="{5117A309-A858-4748-81F2-D71339ADDDA2}"/>
</file>

<file path=customXml/itemProps3.xml><?xml version="1.0" encoding="utf-8"?>
<ds:datastoreItem xmlns:ds="http://schemas.openxmlformats.org/officeDocument/2006/customXml" ds:itemID="{71F4F432-05B5-4987-85F2-D6BFC5BE57F9}"/>
</file>

<file path=customXml/itemProps4.xml><?xml version="1.0" encoding="utf-8"?>
<ds:datastoreItem xmlns:ds="http://schemas.openxmlformats.org/officeDocument/2006/customXml" ds:itemID="{3FBC551B-EC01-4157-9BBC-0DD5E19C9616}"/>
</file>

<file path=customXml/itemProps5.xml><?xml version="1.0" encoding="utf-8"?>
<ds:datastoreItem xmlns:ds="http://schemas.openxmlformats.org/officeDocument/2006/customXml" ds:itemID="{F5E965E3-6A81-4330-A259-586BB1B86962}"/>
</file>

<file path=docProps/app.xml><?xml version="1.0" encoding="utf-8"?>
<Properties xmlns="http://schemas.openxmlformats.org/officeDocument/2006/extended-properties" xmlns:vt="http://schemas.openxmlformats.org/officeDocument/2006/docPropsVTypes">
  <Template>Normal.dotm</Template>
  <TotalTime>828</TotalTime>
  <Pages>6</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Scull</dc:creator>
  <cp:lastModifiedBy>lp</cp:lastModifiedBy>
  <cp:revision>58</cp:revision>
  <cp:lastPrinted>2015-09-09T21:50:00Z</cp:lastPrinted>
  <dcterms:created xsi:type="dcterms:W3CDTF">2015-06-16T17:15:00Z</dcterms:created>
  <dcterms:modified xsi:type="dcterms:W3CDTF">2015-09-09T21:51:00Z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0x0101006E56B4D1795A2E4DB2F0B01679ED314A0020F11872C89BD349ADD141CEA0DB887F</vt:lpwstr>
  </property>
  <property fmtid="{D5CDD505-2E9C-101B-9397-08002B2CF9AE}" pid="3" name="_docset_NoMedatataSyncRequired">
    <vt:lpwstr>False</vt:lpwstr>
  </property>
</Properties>
</file>