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D13A1" w14:textId="77777777" w:rsidR="00E53751" w:rsidRDefault="00050B46">
      <w:pPr>
        <w:jc w:val="center"/>
      </w:pPr>
      <w:r>
        <w:t>GENERAL RULES AND REGULATIONS</w:t>
      </w:r>
    </w:p>
    <w:p w14:paraId="17FD13A2" w14:textId="77777777" w:rsidR="00E53751" w:rsidRPr="00C60CA5" w:rsidRDefault="00050B46">
      <w:pPr>
        <w:jc w:val="center"/>
        <w:rPr>
          <w:sz w:val="22"/>
        </w:rPr>
      </w:pPr>
      <w:r w:rsidRPr="00C60CA5">
        <w:rPr>
          <w:sz w:val="22"/>
        </w:rPr>
        <w:t>(continued)</w:t>
      </w:r>
    </w:p>
    <w:p w14:paraId="17FD13A3" w14:textId="77777777" w:rsidR="00E53751" w:rsidRDefault="00E53751">
      <w:pPr>
        <w:jc w:val="center"/>
      </w:pPr>
    </w:p>
    <w:p w14:paraId="17FD13A4" w14:textId="77777777" w:rsidR="00E53751" w:rsidRDefault="00E53751"/>
    <w:p w14:paraId="4A4797A4" w14:textId="3D398B85" w:rsidR="002500CE" w:rsidRDefault="002500CE"/>
    <w:p w14:paraId="17FD13A5" w14:textId="77777777" w:rsidR="00E53751" w:rsidRDefault="00050B46">
      <w:pPr>
        <w:widowControl w:val="0"/>
        <w:tabs>
          <w:tab w:val="left" w:pos="-1440"/>
        </w:tabs>
        <w:ind w:left="1440" w:hanging="1440"/>
        <w:rPr>
          <w:b/>
        </w:rPr>
      </w:pPr>
      <w:r>
        <w:rPr>
          <w:b/>
        </w:rPr>
        <w:t>Rule 9.</w:t>
      </w:r>
      <w:r>
        <w:rPr>
          <w:b/>
        </w:rPr>
        <w:tab/>
        <w:t>Appliance Inspection and Adjustment Services:  Residential.</w:t>
      </w:r>
    </w:p>
    <w:p w14:paraId="17FD13A6" w14:textId="77777777" w:rsidR="00E53751" w:rsidRDefault="00050B46">
      <w:pPr>
        <w:widowControl w:val="0"/>
        <w:tabs>
          <w:tab w:val="left" w:pos="-1440"/>
        </w:tabs>
        <w:ind w:left="1440" w:hanging="1440"/>
        <w:rPr>
          <w:b/>
        </w:rPr>
      </w:pPr>
      <w:r>
        <w:rPr>
          <w:b/>
        </w:rPr>
        <w:tab/>
      </w:r>
    </w:p>
    <w:p w14:paraId="17FD13A7" w14:textId="63AA4F65" w:rsidR="00E53751" w:rsidRDefault="002500CE">
      <w:pPr>
        <w:tabs>
          <w:tab w:val="left" w:pos="-720"/>
        </w:tabs>
        <w:suppressAutoHyphens/>
        <w:rPr>
          <w:spacing w:val="-2"/>
          <w:sz w:val="20"/>
        </w:rPr>
      </w:pPr>
      <w:r w:rsidRPr="002500CE">
        <w:rPr>
          <w:noProof/>
          <w:spacing w:val="-2"/>
          <w:sz w:val="20"/>
          <w:u w:val="single"/>
        </w:rPr>
        <mc:AlternateContent>
          <mc:Choice Requires="wps">
            <w:drawing>
              <wp:anchor distT="0" distB="0" distL="114300" distR="114300" simplePos="0" relativeHeight="251659264" behindDoc="0" locked="0" layoutInCell="1" allowOverlap="1" wp14:anchorId="233A1764" wp14:editId="1CD156CA">
                <wp:simplePos x="0" y="0"/>
                <wp:positionH relativeFrom="column">
                  <wp:posOffset>5814060</wp:posOffset>
                </wp:positionH>
                <wp:positionV relativeFrom="paragraph">
                  <wp:posOffset>47625</wp:posOffset>
                </wp:positionV>
                <wp:extent cx="708660" cy="34594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459480"/>
                        </a:xfrm>
                        <a:prstGeom prst="rect">
                          <a:avLst/>
                        </a:prstGeom>
                        <a:solidFill>
                          <a:srgbClr val="FFFFFF"/>
                        </a:solidFill>
                        <a:ln w="9525">
                          <a:noFill/>
                          <a:miter lim="800000"/>
                          <a:headEnd/>
                          <a:tailEnd/>
                        </a:ln>
                      </wps:spPr>
                      <wps:txbx>
                        <w:txbxContent>
                          <w:p w14:paraId="0CE0B7C1" w14:textId="77777777" w:rsidR="002500CE" w:rsidRDefault="002500CE">
                            <w:pPr>
                              <w:rPr>
                                <w:sz w:val="20"/>
                                <w:szCs w:val="21"/>
                              </w:rPr>
                            </w:pPr>
                            <w:r w:rsidRPr="002500CE">
                              <w:rPr>
                                <w:sz w:val="20"/>
                                <w:szCs w:val="21"/>
                              </w:rPr>
                              <w:t xml:space="preserve"> </w:t>
                            </w:r>
                          </w:p>
                          <w:p w14:paraId="3302490E" w14:textId="77777777" w:rsidR="002500CE" w:rsidRDefault="002500CE">
                            <w:pPr>
                              <w:rPr>
                                <w:sz w:val="20"/>
                                <w:szCs w:val="21"/>
                              </w:rPr>
                            </w:pPr>
                          </w:p>
                          <w:p w14:paraId="79B96E42" w14:textId="77777777" w:rsidR="002500CE" w:rsidRDefault="002500CE">
                            <w:pPr>
                              <w:rPr>
                                <w:sz w:val="20"/>
                                <w:szCs w:val="21"/>
                              </w:rPr>
                            </w:pPr>
                          </w:p>
                          <w:p w14:paraId="59C7C174" w14:textId="77777777" w:rsidR="002500CE" w:rsidRDefault="002500CE">
                            <w:pPr>
                              <w:rPr>
                                <w:sz w:val="20"/>
                                <w:szCs w:val="21"/>
                              </w:rPr>
                            </w:pPr>
                          </w:p>
                          <w:p w14:paraId="5F555322" w14:textId="77777777" w:rsidR="002500CE" w:rsidRDefault="002500CE">
                            <w:pPr>
                              <w:rPr>
                                <w:sz w:val="20"/>
                                <w:szCs w:val="21"/>
                              </w:rPr>
                            </w:pPr>
                          </w:p>
                          <w:p w14:paraId="676330F1" w14:textId="77777777" w:rsidR="002500CE" w:rsidRDefault="002500CE">
                            <w:pPr>
                              <w:rPr>
                                <w:sz w:val="20"/>
                                <w:szCs w:val="21"/>
                              </w:rPr>
                            </w:pPr>
                          </w:p>
                          <w:p w14:paraId="63597579" w14:textId="77777777" w:rsidR="002500CE" w:rsidRDefault="002500CE">
                            <w:pPr>
                              <w:rPr>
                                <w:sz w:val="20"/>
                                <w:szCs w:val="21"/>
                              </w:rPr>
                            </w:pPr>
                          </w:p>
                          <w:p w14:paraId="79FCA0AF" w14:textId="77777777" w:rsidR="002500CE" w:rsidRDefault="002500CE">
                            <w:pPr>
                              <w:rPr>
                                <w:sz w:val="20"/>
                                <w:szCs w:val="21"/>
                              </w:rPr>
                            </w:pPr>
                          </w:p>
                          <w:p w14:paraId="6BAD51D5" w14:textId="77777777" w:rsidR="002500CE" w:rsidRDefault="002500CE">
                            <w:pPr>
                              <w:rPr>
                                <w:sz w:val="20"/>
                                <w:szCs w:val="21"/>
                              </w:rPr>
                            </w:pPr>
                          </w:p>
                          <w:p w14:paraId="732946BF" w14:textId="77777777" w:rsidR="002500CE" w:rsidRDefault="002500CE">
                            <w:pPr>
                              <w:rPr>
                                <w:sz w:val="20"/>
                                <w:szCs w:val="21"/>
                              </w:rPr>
                            </w:pPr>
                          </w:p>
                          <w:p w14:paraId="65B93320" w14:textId="23F617F8" w:rsidR="002500CE" w:rsidRPr="002500CE" w:rsidRDefault="002500CE">
                            <w:pPr>
                              <w:rPr>
                                <w:sz w:val="18"/>
                                <w:szCs w:val="18"/>
                              </w:rPr>
                            </w:pPr>
                            <w:r w:rsidRPr="002500CE">
                              <w:rPr>
                                <w:sz w:val="20"/>
                                <w:szCs w:val="21"/>
                              </w:rPr>
                              <w:t>(</w:t>
                            </w:r>
                            <w:r w:rsidRPr="002500CE">
                              <w:rPr>
                                <w:sz w:val="18"/>
                                <w:szCs w:val="18"/>
                              </w:rPr>
                              <w:t>C)</w:t>
                            </w:r>
                          </w:p>
                          <w:p w14:paraId="2C71103A" w14:textId="77777777" w:rsidR="002500CE" w:rsidRPr="002500CE" w:rsidRDefault="002500C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7.8pt;margin-top:3.75pt;width:55.8pt;height:27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" stroked="f">
                <v:textbox>
                  <w:txbxContent>
                    <w:p w14:paraId="0CE0B7C1" w14:textId="77777777" w:rsidR="002500CE" w:rsidRDefault="002500CE">
                      <w:pPr>
                        <w:rPr>
                          <w:sz w:val="20"/>
                          <w:szCs w:val="21"/>
                        </w:rPr>
                      </w:pPr>
                      <w:r w:rsidRPr="002500CE">
                        <w:rPr>
                          <w:sz w:val="20"/>
                          <w:szCs w:val="21"/>
                        </w:rPr>
                        <w:t xml:space="preserve"> </w:t>
                      </w:r>
                    </w:p>
                    <w:p w14:paraId="3302490E" w14:textId="77777777" w:rsidR="002500CE" w:rsidRDefault="002500CE">
                      <w:pPr>
                        <w:rPr>
                          <w:sz w:val="20"/>
                          <w:szCs w:val="21"/>
                        </w:rPr>
                      </w:pPr>
                    </w:p>
                    <w:p w14:paraId="79B96E42" w14:textId="77777777" w:rsidR="002500CE" w:rsidRDefault="002500CE">
                      <w:pPr>
                        <w:rPr>
                          <w:sz w:val="20"/>
                          <w:szCs w:val="21"/>
                        </w:rPr>
                      </w:pPr>
                    </w:p>
                    <w:p w14:paraId="59C7C174" w14:textId="77777777" w:rsidR="002500CE" w:rsidRDefault="002500CE">
                      <w:pPr>
                        <w:rPr>
                          <w:sz w:val="20"/>
                          <w:szCs w:val="21"/>
                        </w:rPr>
                      </w:pPr>
                    </w:p>
                    <w:p w14:paraId="5F555322" w14:textId="77777777" w:rsidR="002500CE" w:rsidRDefault="002500CE">
                      <w:pPr>
                        <w:rPr>
                          <w:sz w:val="20"/>
                          <w:szCs w:val="21"/>
                        </w:rPr>
                      </w:pPr>
                    </w:p>
                    <w:p w14:paraId="676330F1" w14:textId="77777777" w:rsidR="002500CE" w:rsidRDefault="002500CE">
                      <w:pPr>
                        <w:rPr>
                          <w:sz w:val="20"/>
                          <w:szCs w:val="21"/>
                        </w:rPr>
                      </w:pPr>
                    </w:p>
                    <w:p w14:paraId="63597579" w14:textId="77777777" w:rsidR="002500CE" w:rsidRDefault="002500CE">
                      <w:pPr>
                        <w:rPr>
                          <w:sz w:val="20"/>
                          <w:szCs w:val="21"/>
                        </w:rPr>
                      </w:pPr>
                    </w:p>
                    <w:p w14:paraId="79FCA0AF" w14:textId="77777777" w:rsidR="002500CE" w:rsidRDefault="002500CE">
                      <w:pPr>
                        <w:rPr>
                          <w:sz w:val="20"/>
                          <w:szCs w:val="21"/>
                        </w:rPr>
                      </w:pPr>
                    </w:p>
                    <w:p w14:paraId="6BAD51D5" w14:textId="77777777" w:rsidR="002500CE" w:rsidRDefault="002500CE">
                      <w:pPr>
                        <w:rPr>
                          <w:sz w:val="20"/>
                          <w:szCs w:val="21"/>
                        </w:rPr>
                      </w:pPr>
                    </w:p>
                    <w:p w14:paraId="732946BF" w14:textId="77777777" w:rsidR="002500CE" w:rsidRDefault="002500CE">
                      <w:pPr>
                        <w:rPr>
                          <w:sz w:val="20"/>
                          <w:szCs w:val="21"/>
                        </w:rPr>
                      </w:pPr>
                    </w:p>
                    <w:p w14:paraId="65B93320" w14:textId="23F617F8" w:rsidR="002500CE" w:rsidRPr="002500CE" w:rsidRDefault="002500CE">
                      <w:pPr>
                        <w:rPr>
                          <w:sz w:val="18"/>
                          <w:szCs w:val="18"/>
                        </w:rPr>
                      </w:pPr>
                      <w:r w:rsidRPr="002500CE">
                        <w:rPr>
                          <w:sz w:val="20"/>
                          <w:szCs w:val="21"/>
                        </w:rPr>
                        <w:t>(</w:t>
                      </w:r>
                      <w:r w:rsidRPr="002500CE">
                        <w:rPr>
                          <w:sz w:val="18"/>
                          <w:szCs w:val="18"/>
                        </w:rPr>
                        <w:t>C)</w:t>
                      </w:r>
                    </w:p>
                    <w:p w14:paraId="2C71103A" w14:textId="77777777" w:rsidR="002500CE" w:rsidRPr="002500CE" w:rsidRDefault="002500CE">
                      <w:pPr>
                        <w:rPr>
                          <w:sz w:val="18"/>
                          <w:szCs w:val="18"/>
                        </w:rPr>
                      </w:pPr>
                    </w:p>
                  </w:txbxContent>
                </v:textbox>
              </v:shape>
            </w:pict>
          </mc:Fallback>
        </mc:AlternateContent>
      </w:r>
      <w:r w:rsidR="00050B46">
        <w:rPr>
          <w:spacing w:val="-2"/>
          <w:sz w:val="20"/>
        </w:rPr>
        <w:t xml:space="preserve">Upon reasonable customer request, the Company will inspect and adjust customer-owned appliances and facilities for safe and efficient operation. </w:t>
      </w:r>
    </w:p>
    <w:p w14:paraId="17FD13A8" w14:textId="77777777" w:rsidR="00E53751" w:rsidRDefault="00E53751">
      <w:pPr>
        <w:tabs>
          <w:tab w:val="left" w:pos="-720"/>
        </w:tabs>
        <w:suppressAutoHyphens/>
        <w:rPr>
          <w:spacing w:val="-2"/>
          <w:sz w:val="20"/>
        </w:rPr>
      </w:pPr>
    </w:p>
    <w:p w14:paraId="17FD13A9" w14:textId="710306C1" w:rsidR="00E53751" w:rsidRDefault="00050B46">
      <w:pPr>
        <w:tabs>
          <w:tab w:val="left" w:pos="-720"/>
        </w:tabs>
        <w:suppressAutoHyphens/>
        <w:rPr>
          <w:spacing w:val="-2"/>
          <w:sz w:val="20"/>
        </w:rPr>
      </w:pPr>
      <w:r>
        <w:rPr>
          <w:spacing w:val="-2"/>
          <w:sz w:val="20"/>
          <w:u w:val="single"/>
        </w:rPr>
        <w:t>The Company's basic gas service</w:t>
      </w:r>
      <w:r>
        <w:rPr>
          <w:spacing w:val="-2"/>
          <w:sz w:val="20"/>
        </w:rPr>
        <w:t xml:space="preserve"> includes certain inspection and adjustment services, offered at no direct charge to the customer.  Such services include, as required, but are not necessarily limited to:  inspecting the customer's gas appliances (furnace, water heater, range, dryer, etc.) and facilities generally; performing gas input and primary air adjustments to pilot and main burner flames; repairing leaks in appliance parts and connections; performing minor cleaning operations to burners; cleaning pilots, pilot orifices, pilot tubings, and B-valves; greasing valve cores</w:t>
      </w:r>
      <w:r>
        <w:rPr>
          <w:rFonts w:ascii="Dutch Roman 10pt" w:hAnsi="Dutch Roman 10pt"/>
          <w:spacing w:val="-2"/>
          <w:sz w:val="20"/>
        </w:rPr>
        <w:t xml:space="preserve">; </w:t>
      </w:r>
      <w:r>
        <w:rPr>
          <w:spacing w:val="-2"/>
          <w:sz w:val="20"/>
        </w:rPr>
        <w:t>adjusting appliance control mechanisms as needed; and re-lighting pilots.</w:t>
      </w:r>
    </w:p>
    <w:p w14:paraId="17FD13AA" w14:textId="77777777" w:rsidR="00E53751" w:rsidRDefault="00E53751">
      <w:pPr>
        <w:tabs>
          <w:tab w:val="left" w:pos="-720"/>
        </w:tabs>
        <w:suppressAutoHyphens/>
        <w:rPr>
          <w:spacing w:val="-2"/>
          <w:sz w:val="20"/>
        </w:rPr>
      </w:pPr>
    </w:p>
    <w:p w14:paraId="17FD13AB" w14:textId="3112ABFE" w:rsidR="00E53751" w:rsidRDefault="00050B46">
      <w:pPr>
        <w:rPr>
          <w:spacing w:val="-2"/>
          <w:sz w:val="20"/>
        </w:rPr>
      </w:pPr>
      <w:r>
        <w:rPr>
          <w:spacing w:val="-2"/>
          <w:sz w:val="20"/>
        </w:rPr>
        <w:t xml:space="preserve">The Company </w:t>
      </w:r>
      <w:r w:rsidR="00C60CA5">
        <w:rPr>
          <w:spacing w:val="-2"/>
          <w:sz w:val="20"/>
        </w:rPr>
        <w:t xml:space="preserve">may, </w:t>
      </w:r>
      <w:r>
        <w:rPr>
          <w:spacing w:val="-2"/>
          <w:sz w:val="20"/>
        </w:rPr>
        <w:t>in the course of providing meter installation or equipment inspection or adjustment services, perform othe</w:t>
      </w:r>
      <w:r w:rsidR="002500CE">
        <w:rPr>
          <w:spacing w:val="-2"/>
          <w:sz w:val="20"/>
        </w:rPr>
        <w:t xml:space="preserve">r repairs, parts replacements, </w:t>
      </w:r>
      <w:r>
        <w:rPr>
          <w:spacing w:val="-2"/>
          <w:sz w:val="20"/>
        </w:rPr>
        <w:t>or services, for a charge, in portions of its service territory where in the Company's judgment such services are not readily available.  Where conditions or repairs are beyond the scope of these services, the Company will refer the customer to a service repair agency.</w:t>
      </w:r>
    </w:p>
    <w:p w14:paraId="17FD13AC" w14:textId="77777777" w:rsidR="00E53751" w:rsidRDefault="00E53751">
      <w:pPr>
        <w:widowControl w:val="0"/>
        <w:rPr>
          <w:sz w:val="20"/>
        </w:rPr>
      </w:pPr>
    </w:p>
    <w:p w14:paraId="17FD13AD" w14:textId="77777777" w:rsidR="00E53751" w:rsidRDefault="00E53751">
      <w:pPr>
        <w:widowControl w:val="0"/>
        <w:rPr>
          <w:sz w:val="20"/>
        </w:rPr>
      </w:pPr>
    </w:p>
    <w:p w14:paraId="17FD13AE" w14:textId="77777777" w:rsidR="00E53751" w:rsidRDefault="00E53751">
      <w:pPr>
        <w:widowControl w:val="0"/>
        <w:rPr>
          <w:sz w:val="20"/>
        </w:rPr>
      </w:pPr>
    </w:p>
    <w:p w14:paraId="17FD13AF" w14:textId="77777777" w:rsidR="00E53751" w:rsidRDefault="00E53751">
      <w:pPr>
        <w:widowControl w:val="0"/>
        <w:rPr>
          <w:sz w:val="20"/>
        </w:rPr>
      </w:pPr>
    </w:p>
    <w:p w14:paraId="17FD13B0" w14:textId="77777777" w:rsidR="00E53751" w:rsidRDefault="00E53751">
      <w:pPr>
        <w:widowControl w:val="0"/>
        <w:rPr>
          <w:sz w:val="20"/>
        </w:rPr>
      </w:pPr>
    </w:p>
    <w:p w14:paraId="17FD13B1" w14:textId="77777777" w:rsidR="00E53751" w:rsidRDefault="00E53751">
      <w:pPr>
        <w:widowControl w:val="0"/>
        <w:rPr>
          <w:sz w:val="20"/>
        </w:rPr>
      </w:pPr>
    </w:p>
    <w:p w14:paraId="17FD13B2" w14:textId="77777777" w:rsidR="00E53751" w:rsidRDefault="00E53751">
      <w:pPr>
        <w:widowControl w:val="0"/>
        <w:rPr>
          <w:sz w:val="20"/>
        </w:rPr>
      </w:pPr>
    </w:p>
    <w:p w14:paraId="17FD13B3" w14:textId="77777777" w:rsidR="00E53751" w:rsidRDefault="00E53751">
      <w:pPr>
        <w:widowControl w:val="0"/>
        <w:rPr>
          <w:sz w:val="20"/>
        </w:rPr>
      </w:pPr>
    </w:p>
    <w:p w14:paraId="17FD13B4" w14:textId="77777777" w:rsidR="00E53751" w:rsidRDefault="00E53751">
      <w:pPr>
        <w:widowControl w:val="0"/>
        <w:rPr>
          <w:sz w:val="20"/>
        </w:rPr>
      </w:pPr>
    </w:p>
    <w:p w14:paraId="17FD13B5" w14:textId="77777777" w:rsidR="00E53751" w:rsidRDefault="00E53751">
      <w:pPr>
        <w:widowControl w:val="0"/>
        <w:rPr>
          <w:sz w:val="20"/>
        </w:rPr>
      </w:pPr>
    </w:p>
    <w:p w14:paraId="17FD13B6" w14:textId="77777777" w:rsidR="00E53751" w:rsidRDefault="00E53751">
      <w:pPr>
        <w:widowControl w:val="0"/>
        <w:rPr>
          <w:sz w:val="20"/>
        </w:rPr>
      </w:pPr>
    </w:p>
    <w:p w14:paraId="17FD13B7" w14:textId="77777777" w:rsidR="00E53751" w:rsidRDefault="00E53751">
      <w:pPr>
        <w:widowControl w:val="0"/>
        <w:rPr>
          <w:sz w:val="20"/>
        </w:rPr>
      </w:pPr>
    </w:p>
    <w:p w14:paraId="17FD13B8" w14:textId="77777777" w:rsidR="00E53751" w:rsidRDefault="00E53751">
      <w:pPr>
        <w:widowControl w:val="0"/>
        <w:rPr>
          <w:sz w:val="20"/>
        </w:rPr>
      </w:pPr>
    </w:p>
    <w:p w14:paraId="17FD13BB" w14:textId="77777777" w:rsidR="00E53751" w:rsidRDefault="00E53751">
      <w:pPr>
        <w:widowControl w:val="0"/>
        <w:rPr>
          <w:sz w:val="20"/>
        </w:rPr>
      </w:pPr>
      <w:bookmarkStart w:id="0" w:name="_GoBack"/>
      <w:bookmarkEnd w:id="0"/>
    </w:p>
    <w:p w14:paraId="17FD13BC" w14:textId="77777777" w:rsidR="00E53751" w:rsidRDefault="00E53751">
      <w:pPr>
        <w:widowControl w:val="0"/>
        <w:rPr>
          <w:sz w:val="20"/>
        </w:rPr>
      </w:pPr>
    </w:p>
    <w:p w14:paraId="17FD13BD" w14:textId="77777777" w:rsidR="00E53751" w:rsidRDefault="00E53751">
      <w:pPr>
        <w:widowControl w:val="0"/>
        <w:rPr>
          <w:sz w:val="20"/>
        </w:rPr>
      </w:pPr>
    </w:p>
    <w:p w14:paraId="17FD13BE" w14:textId="77777777" w:rsidR="00E53751" w:rsidRDefault="00E53751">
      <w:pPr>
        <w:widowControl w:val="0"/>
        <w:rPr>
          <w:sz w:val="20"/>
        </w:rPr>
      </w:pPr>
    </w:p>
    <w:p w14:paraId="17FD13BF" w14:textId="77777777" w:rsidR="00E53751" w:rsidRDefault="00E53751">
      <w:pPr>
        <w:widowControl w:val="0"/>
        <w:rPr>
          <w:sz w:val="20"/>
        </w:rPr>
      </w:pPr>
    </w:p>
    <w:p w14:paraId="17FD13C0" w14:textId="77777777" w:rsidR="00E53751" w:rsidRDefault="00E53751">
      <w:pPr>
        <w:widowControl w:val="0"/>
        <w:rPr>
          <w:sz w:val="20"/>
        </w:rPr>
      </w:pPr>
    </w:p>
    <w:p w14:paraId="17FD13C1" w14:textId="77777777" w:rsidR="00E53751" w:rsidRDefault="00050B46">
      <w:pPr>
        <w:widowControl w:val="0"/>
        <w:jc w:val="center"/>
        <w:rPr>
          <w:sz w:val="20"/>
        </w:rPr>
      </w:pPr>
      <w:r>
        <w:rPr>
          <w:sz w:val="20"/>
        </w:rPr>
        <w:t>(continue to Sheet 10.1)</w:t>
      </w:r>
    </w:p>
    <w:sectPr w:rsidR="00E53751">
      <w:headerReference w:type="default" r:id="rId11"/>
      <w:footerReference w:type="default" r:id="rId12"/>
      <w:pgSz w:w="12240" w:h="15840" w:code="1"/>
      <w:pgMar w:top="720" w:right="1800" w:bottom="72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D13C4" w14:textId="77777777" w:rsidR="00E53751" w:rsidRDefault="00050B46">
      <w:r>
        <w:separator/>
      </w:r>
    </w:p>
  </w:endnote>
  <w:endnote w:type="continuationSeparator" w:id="0">
    <w:p w14:paraId="17FD13C5" w14:textId="77777777" w:rsidR="00E53751" w:rsidRDefault="0005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Roman 10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D13C8" w14:textId="48EE0379" w:rsidR="00E53751" w:rsidRPr="002500CE" w:rsidRDefault="00050B46" w:rsidP="002500CE">
    <w:pPr>
      <w:pStyle w:val="Footer"/>
      <w:tabs>
        <w:tab w:val="left" w:pos="5670"/>
      </w:tabs>
      <w:rPr>
        <w:sz w:val="22"/>
      </w:rPr>
    </w:pPr>
    <w:r w:rsidRPr="002500CE">
      <w:rPr>
        <w:sz w:val="22"/>
      </w:rPr>
      <w:t>Issued</w:t>
    </w:r>
    <w:r w:rsidR="002500CE" w:rsidRPr="002500CE">
      <w:rPr>
        <w:sz w:val="22"/>
      </w:rPr>
      <w:t xml:space="preserve"> June 26, 2015</w:t>
    </w:r>
    <w:r w:rsidRPr="002500CE">
      <w:rPr>
        <w:sz w:val="22"/>
      </w:rPr>
      <w:t xml:space="preserve">                                             </w:t>
    </w:r>
    <w:r w:rsidR="002500CE" w:rsidRPr="002500CE">
      <w:rPr>
        <w:sz w:val="22"/>
      </w:rPr>
      <w:tab/>
    </w:r>
    <w:r w:rsidRPr="002500CE">
      <w:rPr>
        <w:sz w:val="22"/>
      </w:rPr>
      <w:t>Effective with service on</w:t>
    </w:r>
  </w:p>
  <w:p w14:paraId="17FD13C9" w14:textId="1997B62A" w:rsidR="00E53751" w:rsidRPr="002500CE" w:rsidRDefault="00050B46" w:rsidP="002500CE">
    <w:pPr>
      <w:pStyle w:val="Footer"/>
      <w:tabs>
        <w:tab w:val="left" w:pos="5670"/>
      </w:tabs>
      <w:rPr>
        <w:sz w:val="22"/>
      </w:rPr>
    </w:pPr>
    <w:r w:rsidRPr="002500CE">
      <w:rPr>
        <w:sz w:val="22"/>
      </w:rPr>
      <w:t>N</w:t>
    </w:r>
    <w:r w:rsidR="00C60CA5" w:rsidRPr="002500CE">
      <w:rPr>
        <w:sz w:val="22"/>
      </w:rPr>
      <w:t>WN</w:t>
    </w:r>
    <w:r w:rsidR="002500CE" w:rsidRPr="002500CE">
      <w:rPr>
        <w:sz w:val="22"/>
      </w:rPr>
      <w:t xml:space="preserve"> </w:t>
    </w:r>
    <w:r w:rsidR="00C60CA5" w:rsidRPr="002500CE">
      <w:rPr>
        <w:sz w:val="22"/>
      </w:rPr>
      <w:t xml:space="preserve">WUTC </w:t>
    </w:r>
    <w:r w:rsidRPr="002500CE">
      <w:rPr>
        <w:sz w:val="22"/>
      </w:rPr>
      <w:t xml:space="preserve">Advice No. </w:t>
    </w:r>
    <w:r w:rsidR="002500CE" w:rsidRPr="002500CE">
      <w:rPr>
        <w:sz w:val="22"/>
      </w:rPr>
      <w:t>15-04</w:t>
    </w:r>
    <w:r w:rsidR="002500CE" w:rsidRPr="002500CE">
      <w:rPr>
        <w:sz w:val="22"/>
      </w:rPr>
      <w:tab/>
    </w:r>
    <w:r w:rsidR="002500CE" w:rsidRPr="002500CE">
      <w:rPr>
        <w:sz w:val="22"/>
      </w:rPr>
      <w:tab/>
    </w:r>
    <w:r w:rsidRPr="002500CE">
      <w:rPr>
        <w:sz w:val="22"/>
      </w:rPr>
      <w:t xml:space="preserve">and after </w:t>
    </w:r>
    <w:r w:rsidR="002500CE" w:rsidRPr="002500CE">
      <w:rPr>
        <w:sz w:val="22"/>
      </w:rPr>
      <w:t>July 27, 2015</w:t>
    </w:r>
  </w:p>
  <w:p w14:paraId="5E1C87D5" w14:textId="77777777" w:rsidR="002500CE" w:rsidRDefault="002500CE" w:rsidP="002500CE">
    <w:pPr>
      <w:pStyle w:val="Footer"/>
      <w:tabs>
        <w:tab w:val="left" w:pos="5670"/>
      </w:tabs>
    </w:pPr>
  </w:p>
  <w:p w14:paraId="17FD13CC" w14:textId="77777777" w:rsidR="00E53751" w:rsidRDefault="00050B46" w:rsidP="002500CE">
    <w:pPr>
      <w:pStyle w:val="Footer"/>
      <w:pBdr>
        <w:top w:val="single" w:sz="4" w:space="1" w:color="auto"/>
      </w:pBdr>
      <w:jc w:val="center"/>
      <w:rPr>
        <w:b/>
        <w:i/>
        <w:sz w:val="18"/>
      </w:rPr>
    </w:pPr>
    <w:r>
      <w:rPr>
        <w:b/>
        <w:i/>
        <w:sz w:val="18"/>
      </w:rPr>
      <w:t>Issued by:  NORTHWEST NATURAL GAS COMPANY</w:t>
    </w:r>
  </w:p>
  <w:p w14:paraId="17FD13CD" w14:textId="3B66D808" w:rsidR="00E53751" w:rsidRDefault="00C60CA5">
    <w:pPr>
      <w:pStyle w:val="Footer"/>
      <w:jc w:val="center"/>
      <w:rPr>
        <w:i/>
        <w:sz w:val="18"/>
      </w:rPr>
    </w:pPr>
    <w:r>
      <w:rPr>
        <w:i/>
        <w:sz w:val="18"/>
      </w:rPr>
      <w:t>d.b.a. NW Natural</w:t>
    </w:r>
  </w:p>
  <w:p w14:paraId="17FD13CE" w14:textId="77777777" w:rsidR="00E53751" w:rsidRDefault="00050B46">
    <w:pPr>
      <w:pStyle w:val="Footer"/>
      <w:jc w:val="center"/>
      <w:rPr>
        <w:i/>
        <w:sz w:val="18"/>
      </w:rPr>
    </w:pPr>
    <w:r>
      <w:rPr>
        <w:i/>
        <w:sz w:val="18"/>
      </w:rPr>
      <w:t>220 N.W. Second Avenue</w:t>
    </w:r>
  </w:p>
  <w:p w14:paraId="17FD13CF" w14:textId="77777777" w:rsidR="00E53751" w:rsidRDefault="00050B46">
    <w:pPr>
      <w:pStyle w:val="Footer"/>
      <w:jc w:val="center"/>
    </w:pPr>
    <w:r>
      <w:rPr>
        <w:i/>
        <w:sz w:val="18"/>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D13C2" w14:textId="77777777" w:rsidR="00E53751" w:rsidRDefault="00050B46">
      <w:r>
        <w:separator/>
      </w:r>
    </w:p>
  </w:footnote>
  <w:footnote w:type="continuationSeparator" w:id="0">
    <w:p w14:paraId="17FD13C3" w14:textId="77777777" w:rsidR="00E53751" w:rsidRDefault="00050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D13C6" w14:textId="77777777" w:rsidR="00E53751" w:rsidRDefault="00050B46">
    <w:pPr>
      <w:pStyle w:val="Header"/>
      <w:rPr>
        <w:sz w:val="28"/>
      </w:rPr>
    </w:pPr>
    <w:r>
      <w:rPr>
        <w:sz w:val="28"/>
      </w:rPr>
      <w:t>NORTHWEST NATURAL GAS COMPANY</w:t>
    </w:r>
  </w:p>
  <w:p w14:paraId="17FD13C7" w14:textId="601E0B07" w:rsidR="00E53751" w:rsidRPr="00695C13" w:rsidRDefault="00050B46">
    <w:pPr>
      <w:pStyle w:val="Header"/>
    </w:pPr>
    <w:r w:rsidRPr="00695C13">
      <w:t>WN U-6</w:t>
    </w:r>
    <w:r w:rsidRPr="00695C13">
      <w:tab/>
    </w:r>
    <w:r w:rsidR="00C60CA5" w:rsidRPr="00695C13">
      <w:t xml:space="preserve">First Revision of </w:t>
    </w:r>
    <w:r w:rsidRPr="00695C13">
      <w:t>Sheet 9.1</w:t>
    </w:r>
  </w:p>
  <w:p w14:paraId="2B516B2C" w14:textId="2B922469" w:rsidR="00C60CA5" w:rsidRPr="00695C13" w:rsidRDefault="00C60CA5">
    <w:pPr>
      <w:pStyle w:val="Header"/>
    </w:pPr>
    <w:r w:rsidRPr="00695C13">
      <w:t>Cancels Original Sheet 9.1</w:t>
    </w:r>
  </w:p>
  <w:p w14:paraId="6D8936BF" w14:textId="5E18DC0E" w:rsidR="00C60CA5" w:rsidRDefault="002500CE">
    <w:pPr>
      <w:pStyle w:val="Header"/>
      <w:rPr>
        <w:sz w:val="28"/>
      </w:rPr>
    </w:pPr>
    <w:r>
      <w:pict w14:anchorId="47D761CA">
        <v:rect id="_x0000_i1025" style="width:450pt;height:1.5pt" o:hralign="center" o:hrstd="t" o:hrnoshade="t" o:hr="t" fillcolor="black [3213]" stroked="f"/>
      </w:pict>
    </w:r>
  </w:p>
  <w:p w14:paraId="44062D54" w14:textId="77777777" w:rsidR="00C60CA5" w:rsidRDefault="00C60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46"/>
    <w:rsid w:val="00050B46"/>
    <w:rsid w:val="002500CE"/>
    <w:rsid w:val="00695C13"/>
    <w:rsid w:val="00C60CA5"/>
    <w:rsid w:val="00E5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17FD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C60CA5"/>
    <w:rPr>
      <w:rFonts w:ascii="Tahoma" w:hAnsi="Tahoma" w:cs="Tahoma"/>
      <w:sz w:val="16"/>
      <w:szCs w:val="16"/>
    </w:rPr>
  </w:style>
  <w:style w:type="character" w:customStyle="1" w:styleId="BalloonTextChar">
    <w:name w:val="Balloon Text Char"/>
    <w:basedOn w:val="DefaultParagraphFont"/>
    <w:link w:val="BalloonText"/>
    <w:uiPriority w:val="99"/>
    <w:semiHidden/>
    <w:rsid w:val="00C60C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C60CA5"/>
    <w:rPr>
      <w:rFonts w:ascii="Tahoma" w:hAnsi="Tahoma" w:cs="Tahoma"/>
      <w:sz w:val="16"/>
      <w:szCs w:val="16"/>
    </w:rPr>
  </w:style>
  <w:style w:type="character" w:customStyle="1" w:styleId="BalloonTextChar">
    <w:name w:val="Balloon Text Char"/>
    <w:basedOn w:val="DefaultParagraphFont"/>
    <w:link w:val="BalloonText"/>
    <w:uiPriority w:val="99"/>
    <w:semiHidden/>
    <w:rsid w:val="00C60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B955601147FB45B237B21BD29366F4" ma:contentTypeVersion="119" ma:contentTypeDescription="" ma:contentTypeScope="" ma:versionID="ce5733d360e25bfff2ba0e803657b94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2015-06-26T07:00:00+00:00</OpenedDate>
    <Date1 xmlns="dc463f71-b30c-4ab2-9473-d307f9d35888">2015-06-26T07:00:00+00:00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151326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CE4FA21-1B3D-4F3A-8F67-D0E8C0117096}"/>
</file>

<file path=customXml/itemProps2.xml><?xml version="1.0" encoding="utf-8"?>
<ds:datastoreItem xmlns:ds="http://schemas.openxmlformats.org/officeDocument/2006/customXml" ds:itemID="{62DE2E1B-15FA-4DEE-BF6F-1E68CAE3DD3A}"/>
</file>

<file path=customXml/itemProps3.xml><?xml version="1.0" encoding="utf-8"?>
<ds:datastoreItem xmlns:ds="http://schemas.openxmlformats.org/officeDocument/2006/customXml" ds:itemID="{A2C42547-0502-4E6F-900E-8E61C577567F}"/>
</file>

<file path=customXml/itemProps4.xml><?xml version="1.0" encoding="utf-8"?>
<ds:datastoreItem xmlns:ds="http://schemas.openxmlformats.org/officeDocument/2006/customXml" ds:itemID="{E431040D-2D30-4B75-BAB1-726CE83FA093}"/>
</file>

<file path=docProps/app.xml><?xml version="1.0" encoding="utf-8"?>
<Properties xmlns="http://schemas.openxmlformats.org/officeDocument/2006/extended-properties" xmlns:vt="http://schemas.openxmlformats.org/officeDocument/2006/docPropsVTypes">
  <Template>Normal.dotm</Template>
  <TotalTime>12</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Applicant Repairs and Adjustments</vt:lpstr>
    </vt:vector>
  </TitlesOfParts>
  <Company>Northwest Natural Gas</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Repairs and Adjustments</dc:title>
  <dc:creator>NNG</dc:creator>
  <cp:lastModifiedBy>King, Onita</cp:lastModifiedBy>
  <cp:revision>5</cp:revision>
  <cp:lastPrinted>1997-10-28T19:21:00Z</cp:lastPrinted>
  <dcterms:created xsi:type="dcterms:W3CDTF">2014-06-18T16:20:00Z</dcterms:created>
  <dcterms:modified xsi:type="dcterms:W3CDTF">2015-06-25T23:41:00Z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0x0101006E56B4D1795A2E4DB2F0B01679ED314A00B3B955601147FB45B237B21BD29366F4</vt:lpwstr>
  </property>
  <property fmtid="{D5CDD505-2E9C-101B-9397-08002B2CF9AE}" pid="3" name="_dlc_DocIdItemGuid">
    <vt:lpwstr>282d8c98-702f-4f8b-bed0-794662b29757</vt:lpwstr>
  </property>
  <property fmtid="{D5CDD505-2E9C-101B-9397-08002B2CF9AE}" pid="4" name="_docset_NoMedatataSyncRequired">
    <vt:lpwstr>False</vt:lpwstr>
  </property>
</Properties>
</file>