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BA3D" w14:textId="77777777" w:rsidR="00174090" w:rsidRPr="005D6487" w:rsidRDefault="00174090">
      <w:bookmarkStart w:id="0" w:name="_GoBack"/>
      <w:bookmarkEnd w:id="0"/>
    </w:p>
    <w:p w14:paraId="51A8BA3E" w14:textId="77777777" w:rsidR="00E40D2B" w:rsidRDefault="004F10FC" w:rsidP="0073155C">
      <w:pPr>
        <w:rPr>
          <w:b/>
          <w:sz w:val="36"/>
          <w:szCs w:val="36"/>
        </w:rPr>
      </w:pPr>
      <w:r w:rsidRPr="005D6487">
        <w:rPr>
          <w:b/>
          <w:sz w:val="36"/>
          <w:szCs w:val="36"/>
        </w:rPr>
        <w:t>A</w:t>
      </w:r>
      <w:r w:rsidR="00CD3870" w:rsidRPr="005D6487">
        <w:rPr>
          <w:b/>
          <w:sz w:val="36"/>
          <w:szCs w:val="36"/>
        </w:rPr>
        <w:t>ppendix C</w:t>
      </w:r>
    </w:p>
    <w:p w14:paraId="51A8BA3F" w14:textId="77777777" w:rsidR="0073155C" w:rsidRPr="005D6487" w:rsidRDefault="0073155C" w:rsidP="0073155C">
      <w:pPr>
        <w:rPr>
          <w:b/>
          <w:sz w:val="36"/>
          <w:szCs w:val="36"/>
        </w:rPr>
      </w:pPr>
    </w:p>
    <w:p w14:paraId="51A8BA40" w14:textId="77777777" w:rsidR="00695816" w:rsidRPr="005D6487" w:rsidRDefault="00D81065" w:rsidP="0073155C">
      <w:pPr>
        <w:rPr>
          <w:b/>
          <w:sz w:val="36"/>
          <w:szCs w:val="36"/>
        </w:rPr>
      </w:pPr>
      <w:r>
        <w:rPr>
          <w:b/>
          <w:sz w:val="36"/>
          <w:szCs w:val="36"/>
        </w:rPr>
        <w:t xml:space="preserve">May </w:t>
      </w:r>
      <w:r w:rsidR="008246A4">
        <w:rPr>
          <w:b/>
          <w:sz w:val="36"/>
          <w:szCs w:val="36"/>
        </w:rPr>
        <w:t>29</w:t>
      </w:r>
      <w:r>
        <w:rPr>
          <w:b/>
          <w:sz w:val="36"/>
          <w:szCs w:val="36"/>
        </w:rPr>
        <w:t>, 201</w:t>
      </w:r>
      <w:r w:rsidR="008246A4">
        <w:rPr>
          <w:b/>
          <w:sz w:val="36"/>
          <w:szCs w:val="36"/>
        </w:rPr>
        <w:t>5</w:t>
      </w:r>
      <w:r>
        <w:rPr>
          <w:b/>
          <w:sz w:val="36"/>
          <w:szCs w:val="36"/>
        </w:rPr>
        <w:t xml:space="preserve"> </w:t>
      </w:r>
      <w:r w:rsidR="00CD3870" w:rsidRPr="005D6487">
        <w:rPr>
          <w:b/>
          <w:sz w:val="36"/>
          <w:szCs w:val="36"/>
        </w:rPr>
        <w:t xml:space="preserve">Clark Fork River Hydroelectric </w:t>
      </w:r>
      <w:r w:rsidR="0073155C">
        <w:rPr>
          <w:b/>
          <w:sz w:val="36"/>
          <w:szCs w:val="36"/>
        </w:rPr>
        <w:t xml:space="preserve">Project </w:t>
      </w:r>
      <w:r w:rsidR="00CD3870" w:rsidRPr="005D6487">
        <w:rPr>
          <w:b/>
          <w:sz w:val="36"/>
          <w:szCs w:val="36"/>
        </w:rPr>
        <w:t>Qualifying Upgrade</w:t>
      </w:r>
      <w:r w:rsidR="0073155C">
        <w:rPr>
          <w:b/>
          <w:sz w:val="36"/>
          <w:szCs w:val="36"/>
        </w:rPr>
        <w:t>s</w:t>
      </w:r>
      <w:r w:rsidR="00CD3870" w:rsidRPr="005D6487">
        <w:rPr>
          <w:b/>
          <w:sz w:val="36"/>
          <w:szCs w:val="36"/>
        </w:rPr>
        <w:t xml:space="preserve"> Re</w:t>
      </w:r>
      <w:r w:rsidR="0073155C">
        <w:rPr>
          <w:b/>
          <w:sz w:val="36"/>
          <w:szCs w:val="36"/>
        </w:rPr>
        <w:t>port</w:t>
      </w:r>
    </w:p>
    <w:p w14:paraId="51A8BA41" w14:textId="77777777" w:rsidR="0073155C" w:rsidRDefault="0073155C" w:rsidP="0073155C">
      <w:pPr>
        <w:rPr>
          <w:b/>
          <w:sz w:val="36"/>
          <w:szCs w:val="36"/>
        </w:rPr>
      </w:pPr>
    </w:p>
    <w:p w14:paraId="51A8BA42" w14:textId="77777777" w:rsidR="004F10FC" w:rsidRPr="005D6487" w:rsidRDefault="00360FB6" w:rsidP="0073155C">
      <w:pPr>
        <w:rPr>
          <w:b/>
          <w:sz w:val="36"/>
          <w:szCs w:val="36"/>
        </w:rPr>
      </w:pPr>
      <w:r w:rsidRPr="005D6487">
        <w:rPr>
          <w:b/>
          <w:sz w:val="36"/>
          <w:szCs w:val="36"/>
        </w:rPr>
        <w:t>Avista Corporation</w:t>
      </w:r>
    </w:p>
    <w:p w14:paraId="51A8BA43" w14:textId="77777777" w:rsidR="004F10FC" w:rsidRPr="005D6487" w:rsidRDefault="004F10FC" w:rsidP="004F10FC">
      <w:pPr>
        <w:jc w:val="right"/>
        <w:rPr>
          <w:b/>
          <w:sz w:val="32"/>
          <w:szCs w:val="32"/>
        </w:rPr>
      </w:pPr>
    </w:p>
    <w:p w14:paraId="51A8BA44" w14:textId="77777777" w:rsidR="005C7C96" w:rsidRPr="005D6487" w:rsidRDefault="00005EE6" w:rsidP="002009C9">
      <w:pPr>
        <w:spacing w:line="480" w:lineRule="auto"/>
        <w:rPr>
          <w:b/>
          <w:sz w:val="28"/>
          <w:szCs w:val="28"/>
        </w:rPr>
      </w:pPr>
      <w:r w:rsidRPr="005D6487">
        <w:rPr>
          <w:b/>
        </w:rPr>
        <w:br w:type="page"/>
      </w:r>
      <w:r w:rsidR="005C7C96" w:rsidRPr="005D6487">
        <w:rPr>
          <w:b/>
          <w:sz w:val="28"/>
          <w:szCs w:val="28"/>
        </w:rPr>
        <w:lastRenderedPageBreak/>
        <w:t>Introduction</w:t>
      </w:r>
    </w:p>
    <w:p w14:paraId="51A8BA45" w14:textId="77777777" w:rsidR="0005416C" w:rsidRPr="005D6487" w:rsidRDefault="0005416C" w:rsidP="002009C9">
      <w:pPr>
        <w:spacing w:line="480" w:lineRule="auto"/>
      </w:pPr>
      <w:r w:rsidRPr="005D6487">
        <w:t xml:space="preserve">This appendix </w:t>
      </w:r>
      <w:r w:rsidR="00B91935" w:rsidRPr="005D6487">
        <w:t xml:space="preserve">provides details about the calculation of qualifying renewable energy output from incremental </w:t>
      </w:r>
      <w:r w:rsidRPr="005D6487">
        <w:t xml:space="preserve">hydroelectric upgrades on the Company’s Clark Fork River Hydroelectric Project. The Clark Fork River Project includes hydroelectric projects located near Clark Fork, Idaho and Noxon, Montana, 70 miles south of the Canadian border. The plants operate under a FERC license through 2046. </w:t>
      </w:r>
    </w:p>
    <w:p w14:paraId="51A8BA46" w14:textId="77777777" w:rsidR="0005416C" w:rsidRPr="005D6487" w:rsidRDefault="0005416C" w:rsidP="002009C9">
      <w:pPr>
        <w:spacing w:line="480" w:lineRule="auto"/>
      </w:pPr>
    </w:p>
    <w:p w14:paraId="51A8BA47" w14:textId="77777777" w:rsidR="00C20A28" w:rsidRPr="005D6487" w:rsidRDefault="00682A61" w:rsidP="002009C9">
      <w:pPr>
        <w:spacing w:line="480" w:lineRule="auto"/>
      </w:pPr>
      <w:r w:rsidRPr="005D6487">
        <w:t xml:space="preserve">Under certain circumstances, incremental electricity produced as a result of efficiency improvements completed after March 31, 1999 may qualify as an eligible renewable resource for purposes of compliance with Washington’s Energy Independence Act,  RCW 19.285.030(10)(b). </w:t>
      </w:r>
      <w:r w:rsidR="002009C9" w:rsidRPr="005D6487">
        <w:t>Three methodologies</w:t>
      </w:r>
      <w:r w:rsidRPr="005D6487">
        <w:t xml:space="preserve"> to calculate the amount of incremental hydro electricity associated with efficiency improvements</w:t>
      </w:r>
      <w:r w:rsidR="003B1C2B">
        <w:t xml:space="preserve"> are available</w:t>
      </w:r>
      <w:r w:rsidRPr="005D6487">
        <w:t>.</w:t>
      </w:r>
      <w:r w:rsidR="00B91935" w:rsidRPr="005D6487">
        <w:t xml:space="preserve"> All of the acceptable methodologies consider the state of the hydroelectric project in question without the incremental improvements, then with the incremental improvements, and </w:t>
      </w:r>
      <w:r w:rsidR="00C20A28" w:rsidRPr="005D6487">
        <w:t xml:space="preserve">the </w:t>
      </w:r>
      <w:r w:rsidR="00B91935" w:rsidRPr="005D6487">
        <w:t xml:space="preserve">resulting difference between the </w:t>
      </w:r>
      <w:r w:rsidR="00C20A28" w:rsidRPr="005D6487">
        <w:t>generation before and after the incremental improvements constitutes the amount of</w:t>
      </w:r>
      <w:r w:rsidR="003B1C2B">
        <w:t xml:space="preserve"> qualifying</w:t>
      </w:r>
      <w:r w:rsidR="00C20A28" w:rsidRPr="005D6487">
        <w:t xml:space="preserve"> generation </w:t>
      </w:r>
      <w:r w:rsidR="003B1C2B">
        <w:t>available to satisfy</w:t>
      </w:r>
      <w:r w:rsidR="00C20A28" w:rsidRPr="005D6487">
        <w:t xml:space="preserve"> the Company’s goals under the Energy Independence Act. </w:t>
      </w:r>
    </w:p>
    <w:p w14:paraId="51A8BA48" w14:textId="77777777" w:rsidR="00C20A28" w:rsidRPr="005D6487" w:rsidRDefault="00C20A28" w:rsidP="002009C9">
      <w:pPr>
        <w:spacing w:line="480" w:lineRule="auto"/>
      </w:pPr>
    </w:p>
    <w:p w14:paraId="51A8BA49" w14:textId="77777777" w:rsidR="00B91935" w:rsidRPr="005D6487" w:rsidRDefault="00C20A28" w:rsidP="002009C9">
      <w:pPr>
        <w:spacing w:line="480" w:lineRule="auto"/>
      </w:pPr>
      <w:r w:rsidRPr="005D6487">
        <w:t xml:space="preserve"> </w:t>
      </w:r>
      <w:r w:rsidR="00682A61" w:rsidRPr="005D6487">
        <w:t>Th</w:t>
      </w:r>
      <w:r w:rsidR="00B91935" w:rsidRPr="005D6487">
        <w:t>e accepted methodologies under Docket UE-110523 include:</w:t>
      </w:r>
    </w:p>
    <w:p w14:paraId="51A8BA4A" w14:textId="77777777" w:rsidR="00682A61" w:rsidRPr="005D6487" w:rsidRDefault="00B91935" w:rsidP="002009C9">
      <w:pPr>
        <w:pStyle w:val="ListParagraph"/>
        <w:numPr>
          <w:ilvl w:val="0"/>
          <w:numId w:val="6"/>
        </w:numPr>
        <w:spacing w:line="480" w:lineRule="auto"/>
        <w:rPr>
          <w:rFonts w:ascii="Times New Roman" w:hAnsi="Times New Roman"/>
          <w:sz w:val="24"/>
          <w:szCs w:val="24"/>
        </w:rPr>
      </w:pPr>
      <w:r w:rsidRPr="005D6487">
        <w:rPr>
          <w:rFonts w:ascii="Times New Roman" w:hAnsi="Times New Roman"/>
          <w:sz w:val="24"/>
          <w:szCs w:val="24"/>
        </w:rPr>
        <w:t>“Annual calculation using hydroelectric model and actual inflows or generation;”</w:t>
      </w:r>
    </w:p>
    <w:p w14:paraId="51A8BA4B" w14:textId="77777777" w:rsidR="00B91935" w:rsidRPr="005D6487" w:rsidRDefault="00B91935" w:rsidP="002009C9">
      <w:pPr>
        <w:pStyle w:val="ListParagraph"/>
        <w:numPr>
          <w:ilvl w:val="0"/>
          <w:numId w:val="6"/>
        </w:numPr>
        <w:spacing w:line="480" w:lineRule="auto"/>
        <w:rPr>
          <w:rFonts w:ascii="Times New Roman" w:hAnsi="Times New Roman"/>
          <w:sz w:val="24"/>
          <w:szCs w:val="24"/>
        </w:rPr>
      </w:pPr>
      <w:r w:rsidRPr="005D6487">
        <w:rPr>
          <w:rFonts w:ascii="Times New Roman" w:hAnsi="Times New Roman"/>
          <w:sz w:val="24"/>
          <w:szCs w:val="24"/>
        </w:rPr>
        <w:t>“One-time calculation of renewable electricity percentage using an historical period of inflow or generation;” or</w:t>
      </w:r>
    </w:p>
    <w:p w14:paraId="51A8BA4C" w14:textId="77777777" w:rsidR="00B91935" w:rsidRPr="005D6487" w:rsidRDefault="00B91935" w:rsidP="002009C9">
      <w:pPr>
        <w:pStyle w:val="ListParagraph"/>
        <w:numPr>
          <w:ilvl w:val="0"/>
          <w:numId w:val="6"/>
        </w:numPr>
        <w:spacing w:line="480" w:lineRule="auto"/>
        <w:rPr>
          <w:rFonts w:ascii="Times New Roman" w:hAnsi="Times New Roman"/>
          <w:sz w:val="24"/>
          <w:szCs w:val="24"/>
        </w:rPr>
      </w:pPr>
      <w:r w:rsidRPr="005D6487">
        <w:rPr>
          <w:rFonts w:ascii="Times New Roman" w:hAnsi="Times New Roman"/>
          <w:sz w:val="24"/>
          <w:szCs w:val="24"/>
        </w:rPr>
        <w:lastRenderedPageBreak/>
        <w:t>“One-time calculation of renewable electricity using an historical period of inflow or generation.”</w:t>
      </w:r>
    </w:p>
    <w:p w14:paraId="51A8BA4D" w14:textId="77777777" w:rsidR="005C7813" w:rsidRPr="005D6487" w:rsidRDefault="00B91935" w:rsidP="002009C9">
      <w:pPr>
        <w:spacing w:line="480" w:lineRule="auto"/>
      </w:pPr>
      <w:r w:rsidRPr="005D6487">
        <w:t xml:space="preserve">Avista has decided to utilize the </w:t>
      </w:r>
      <w:r w:rsidR="00C20A28" w:rsidRPr="005D6487">
        <w:t>third method</w:t>
      </w:r>
      <w:r w:rsidR="002009C9" w:rsidRPr="005D6487">
        <w:t xml:space="preserve"> using historical inflows from 2002 through 2011</w:t>
      </w:r>
      <w:r w:rsidR="00C20A28" w:rsidRPr="005D6487">
        <w:t xml:space="preserve">. This method entails the use of historical inflow or generation based on a minimum of five years or up to the available inflow record of generation. The qualifying amount of renewable energy output for the before and after incremental improvement states are calculated with a hydroelectric model. The megawatt-hour value difference between the two states is used for the future years are the amount of available renewable energy. The Company modeled the two states using Avista’s Hydro Optimization Package (Hydro Model). The Hydro Model used for the studies in this appendix is the same model that the Company uses </w:t>
      </w:r>
      <w:r w:rsidR="009A567A" w:rsidRPr="005D6487">
        <w:t>to optimize its system operations for short- and long-term planning, budgeting, hydro project market valuation studies, supporting hydro</w:t>
      </w:r>
      <w:r w:rsidR="005C7813" w:rsidRPr="005D6487">
        <w:t>electric</w:t>
      </w:r>
      <w:r w:rsidR="009A567A" w:rsidRPr="005D6487">
        <w:t xml:space="preserve"> upgrade option studies, and in general rate case submissions</w:t>
      </w:r>
      <w:r w:rsidR="007A793F">
        <w:t xml:space="preserve"> (Docket No. UE-100467</w:t>
      </w:r>
      <w:r w:rsidR="00232531">
        <w:t xml:space="preserve"> for the Clark Fork Hydro Model</w:t>
      </w:r>
      <w:r w:rsidR="007A793F">
        <w:t>)</w:t>
      </w:r>
      <w:r w:rsidR="009A567A" w:rsidRPr="005D6487">
        <w:t xml:space="preserve">. </w:t>
      </w:r>
    </w:p>
    <w:p w14:paraId="51A8BA4E" w14:textId="77777777" w:rsidR="005C7813" w:rsidRPr="005D6487" w:rsidRDefault="005C7813" w:rsidP="002009C9">
      <w:pPr>
        <w:spacing w:line="480" w:lineRule="auto"/>
      </w:pPr>
    </w:p>
    <w:p w14:paraId="51A8BA4F" w14:textId="77777777" w:rsidR="001F0D18" w:rsidRPr="005D6487" w:rsidRDefault="009A567A" w:rsidP="002009C9">
      <w:pPr>
        <w:spacing w:line="480" w:lineRule="auto"/>
      </w:pPr>
      <w:r w:rsidRPr="005D6487">
        <w:t xml:space="preserve">The </w:t>
      </w:r>
      <w:r w:rsidR="005C7813" w:rsidRPr="005D6487">
        <w:t xml:space="preserve">Hydro Model is a mixed-integer </w:t>
      </w:r>
      <w:r w:rsidR="00C20A28" w:rsidRPr="005D6487">
        <w:t>linear programming-based system emulating the operation of the Company’s projects. It was developed in support of system operations, financial forecasting, and hydro</w:t>
      </w:r>
      <w:r w:rsidR="00AA4B4E">
        <w:t>electric</w:t>
      </w:r>
      <w:r w:rsidR="00C20A28" w:rsidRPr="005D6487">
        <w:t xml:space="preserve"> upgrades. Operating on an hourly time-step, they accurately represent individual turbine and reservoir operations. </w:t>
      </w:r>
      <w:r w:rsidR="008F5F55">
        <w:t>The model honors all l</w:t>
      </w:r>
      <w:r w:rsidR="00C20A28" w:rsidRPr="005D6487">
        <w:t xml:space="preserve">icense constraints </w:t>
      </w:r>
      <w:r w:rsidR="002009C9" w:rsidRPr="005D6487">
        <w:t xml:space="preserve">such as </w:t>
      </w:r>
      <w:r w:rsidR="00C20A28" w:rsidRPr="005D6487">
        <w:t>minimum flows</w:t>
      </w:r>
      <w:r w:rsidR="002009C9" w:rsidRPr="005D6487">
        <w:t xml:space="preserve"> and </w:t>
      </w:r>
      <w:r w:rsidR="00C20A28" w:rsidRPr="005D6487">
        <w:t xml:space="preserve">elevation limits in all periods. </w:t>
      </w:r>
    </w:p>
    <w:p w14:paraId="51A8BA50" w14:textId="77777777" w:rsidR="00AA4B4E" w:rsidRDefault="00AA4B4E" w:rsidP="00245778">
      <w:pPr>
        <w:rPr>
          <w:b/>
          <w:sz w:val="28"/>
          <w:szCs w:val="28"/>
        </w:rPr>
      </w:pPr>
    </w:p>
    <w:p w14:paraId="51A8BA51" w14:textId="77777777" w:rsidR="00D15FC3" w:rsidRPr="005D6487" w:rsidRDefault="006B207A" w:rsidP="00245778">
      <w:pPr>
        <w:rPr>
          <w:b/>
          <w:sz w:val="28"/>
          <w:szCs w:val="28"/>
        </w:rPr>
      </w:pPr>
      <w:r w:rsidRPr="005D6487">
        <w:rPr>
          <w:b/>
          <w:sz w:val="28"/>
          <w:szCs w:val="28"/>
        </w:rPr>
        <w:t>Cabinet Gorge</w:t>
      </w:r>
      <w:r w:rsidR="00D15FC3" w:rsidRPr="005D6487">
        <w:rPr>
          <w:b/>
          <w:sz w:val="28"/>
          <w:szCs w:val="28"/>
        </w:rPr>
        <w:t xml:space="preserve"> Project Upgrade</w:t>
      </w:r>
      <w:r w:rsidR="00DE5861" w:rsidRPr="005D6487">
        <w:rPr>
          <w:b/>
          <w:sz w:val="28"/>
          <w:szCs w:val="28"/>
        </w:rPr>
        <w:t xml:space="preserve"> Description</w:t>
      </w:r>
      <w:r w:rsidR="00D15FC3" w:rsidRPr="005D6487">
        <w:rPr>
          <w:b/>
          <w:sz w:val="28"/>
          <w:szCs w:val="28"/>
        </w:rPr>
        <w:t>s</w:t>
      </w:r>
    </w:p>
    <w:p w14:paraId="51A8BA52" w14:textId="77777777" w:rsidR="00245778" w:rsidRPr="005D6487" w:rsidRDefault="00245778" w:rsidP="00245778">
      <w:pPr>
        <w:rPr>
          <w:b/>
          <w:sz w:val="28"/>
          <w:szCs w:val="28"/>
        </w:rPr>
      </w:pPr>
    </w:p>
    <w:p w14:paraId="51A8BA53" w14:textId="77777777" w:rsidR="00245778" w:rsidRPr="005D6487" w:rsidRDefault="00245778" w:rsidP="0005416C">
      <w:pPr>
        <w:pStyle w:val="BodyText"/>
        <w:jc w:val="left"/>
        <w:rPr>
          <w:b w:val="0"/>
        </w:rPr>
      </w:pPr>
      <w:r w:rsidRPr="005D6487">
        <w:rPr>
          <w:b w:val="0"/>
        </w:rPr>
        <w:t>Qualifying hydroelectric upgrades to Cabinet Gorge Units # 2 – 4 were completed between 2001 and 2007. Details about each of the upgrades is provided below, along with the annual incremental renewable energy output for each unit and the turbine efficiency curves before and after the upgrades.</w:t>
      </w:r>
    </w:p>
    <w:p w14:paraId="51A8BA54" w14:textId="77777777" w:rsidR="006B207A" w:rsidRPr="005D6487" w:rsidRDefault="00245778" w:rsidP="0005416C">
      <w:pPr>
        <w:pStyle w:val="BodyText"/>
        <w:jc w:val="left"/>
        <w:rPr>
          <w:b w:val="0"/>
        </w:rPr>
      </w:pPr>
      <w:r w:rsidRPr="005D6487">
        <w:rPr>
          <w:b w:val="0"/>
        </w:rPr>
        <w:t xml:space="preserve"> </w:t>
      </w:r>
    </w:p>
    <w:p w14:paraId="51A8BA55" w14:textId="77777777" w:rsidR="006B207A" w:rsidRPr="005D6487" w:rsidRDefault="006B207A" w:rsidP="006B207A">
      <w:pPr>
        <w:pStyle w:val="BodyText"/>
        <w:jc w:val="left"/>
      </w:pPr>
      <w:r w:rsidRPr="005D6487">
        <w:t>Cabinet Gorge Unit #2</w:t>
      </w:r>
      <w:r w:rsidR="00CE5809" w:rsidRPr="005D6487">
        <w:t xml:space="preserve"> Upgrade</w:t>
      </w:r>
      <w:r w:rsidRPr="005D6487">
        <w:t xml:space="preserve"> </w:t>
      </w:r>
    </w:p>
    <w:p w14:paraId="51A8BA56" w14:textId="77777777" w:rsidR="003434E2" w:rsidRPr="005D6487" w:rsidRDefault="006B207A" w:rsidP="003434E2">
      <w:pPr>
        <w:pStyle w:val="BodyText2"/>
        <w:tabs>
          <w:tab w:val="left" w:pos="1440"/>
        </w:tabs>
      </w:pPr>
      <w:r w:rsidRPr="005D6487">
        <w:t xml:space="preserve">The Company completed an upgrade of Cabinet Gorge Project Unit #2 in March 2004. The </w:t>
      </w:r>
      <w:r w:rsidR="008F5F55">
        <w:t xml:space="preserve">upgrade included the removal and replacement of the </w:t>
      </w:r>
      <w:r w:rsidRPr="005D6487">
        <w:t>original 1952 propeller runner  with a modern design mixed-flow runner. Following the upgrade, the Company realized a 17 MW increase in capacity, from 55 MW to 72 MW.</w:t>
      </w:r>
      <w:r w:rsidR="002009C9" w:rsidRPr="005D6487">
        <w:t xml:space="preserve"> The Hydro Model study for Cabinet Gorge Unit #2 resulted in 29,0</w:t>
      </w:r>
      <w:r w:rsidR="00D15F52">
        <w:t>0</w:t>
      </w:r>
      <w:r w:rsidR="002009C9" w:rsidRPr="005D6487">
        <w:t>8 MWh of annual qualifying renewable energy.</w:t>
      </w:r>
      <w:r w:rsidRPr="005D6487">
        <w:t xml:space="preserve"> </w:t>
      </w:r>
      <w:r w:rsidR="003434E2" w:rsidRPr="005D6487">
        <w:t xml:space="preserve">Illustration </w:t>
      </w:r>
      <w:r w:rsidR="002009C9" w:rsidRPr="005D6487">
        <w:t>1</w:t>
      </w:r>
      <w:r w:rsidR="003434E2" w:rsidRPr="005D6487">
        <w:t xml:space="preserve"> shows the original and upgraded turbine curves for Cabinet Gorge Unit #2.</w:t>
      </w:r>
      <w:r w:rsidR="001545AC">
        <w:t xml:space="preserve"> The upgraded turbine produces energy </w:t>
      </w:r>
      <w:r w:rsidR="00AA4B4E">
        <w:t xml:space="preserve">more efficiently </w:t>
      </w:r>
      <w:r w:rsidR="001545AC">
        <w:t xml:space="preserve">at </w:t>
      </w:r>
      <w:r w:rsidR="00AA4B4E">
        <w:t xml:space="preserve">the </w:t>
      </w:r>
      <w:r w:rsidR="001545AC">
        <w:t>higher streamflow</w:t>
      </w:r>
      <w:r w:rsidR="00AA4B4E">
        <w:t xml:space="preserve"> conditions </w:t>
      </w:r>
      <w:r w:rsidR="001545AC">
        <w:t xml:space="preserve">where this unit </w:t>
      </w:r>
      <w:r w:rsidR="00AA4B4E">
        <w:t xml:space="preserve">typically </w:t>
      </w:r>
      <w:r w:rsidR="001545AC">
        <w:t>operate</w:t>
      </w:r>
      <w:r w:rsidR="00AA4B4E">
        <w:t>s</w:t>
      </w:r>
      <w:r w:rsidR="001545AC" w:rsidRPr="00D868A3">
        <w:t xml:space="preserve">. </w:t>
      </w:r>
      <w:r w:rsidR="00D868A3" w:rsidRPr="00D868A3">
        <w:t>The Commission reviewed the Cabinet Gorge Unit # 2 upgrade in Docket No. UE-050482.</w:t>
      </w:r>
      <w:r w:rsidR="00D868A3">
        <w:t xml:space="preserve"> </w:t>
      </w:r>
    </w:p>
    <w:p w14:paraId="51A8BA57" w14:textId="77777777" w:rsidR="002009C9" w:rsidRDefault="002009C9" w:rsidP="003434E2">
      <w:pPr>
        <w:pStyle w:val="BodyText2"/>
        <w:tabs>
          <w:tab w:val="left" w:pos="1440"/>
        </w:tabs>
      </w:pPr>
    </w:p>
    <w:p w14:paraId="51A8BA58" w14:textId="77777777" w:rsidR="00AA4B4E" w:rsidRDefault="00AA4B4E" w:rsidP="003434E2">
      <w:pPr>
        <w:pStyle w:val="BodyText2"/>
        <w:tabs>
          <w:tab w:val="left" w:pos="1440"/>
        </w:tabs>
      </w:pPr>
    </w:p>
    <w:p w14:paraId="51A8BA59" w14:textId="77777777" w:rsidR="00AA4B4E" w:rsidRDefault="00AA4B4E" w:rsidP="003434E2">
      <w:pPr>
        <w:pStyle w:val="BodyText2"/>
        <w:tabs>
          <w:tab w:val="left" w:pos="1440"/>
        </w:tabs>
      </w:pPr>
    </w:p>
    <w:p w14:paraId="51A8BA5A" w14:textId="77777777" w:rsidR="00AA4B4E" w:rsidRDefault="00AA4B4E" w:rsidP="003434E2">
      <w:pPr>
        <w:pStyle w:val="BodyText2"/>
        <w:tabs>
          <w:tab w:val="left" w:pos="1440"/>
        </w:tabs>
      </w:pPr>
    </w:p>
    <w:p w14:paraId="51A8BA5B" w14:textId="77777777" w:rsidR="00AA4B4E" w:rsidRDefault="00AA4B4E" w:rsidP="003434E2">
      <w:pPr>
        <w:pStyle w:val="BodyText2"/>
        <w:tabs>
          <w:tab w:val="left" w:pos="1440"/>
        </w:tabs>
      </w:pPr>
    </w:p>
    <w:p w14:paraId="51A8BA5C" w14:textId="77777777" w:rsidR="00AA4B4E" w:rsidRDefault="00AA4B4E" w:rsidP="003434E2">
      <w:pPr>
        <w:pStyle w:val="BodyText2"/>
        <w:tabs>
          <w:tab w:val="left" w:pos="1440"/>
        </w:tabs>
      </w:pPr>
    </w:p>
    <w:p w14:paraId="51A8BA5D" w14:textId="77777777" w:rsidR="00AA4B4E" w:rsidRDefault="00AA4B4E" w:rsidP="003434E2">
      <w:pPr>
        <w:pStyle w:val="BodyText2"/>
        <w:tabs>
          <w:tab w:val="left" w:pos="1440"/>
        </w:tabs>
      </w:pPr>
    </w:p>
    <w:p w14:paraId="51A8BA5E" w14:textId="77777777" w:rsidR="00AA4B4E" w:rsidRDefault="00AA4B4E" w:rsidP="003434E2">
      <w:pPr>
        <w:pStyle w:val="BodyText2"/>
        <w:tabs>
          <w:tab w:val="left" w:pos="1440"/>
        </w:tabs>
      </w:pPr>
    </w:p>
    <w:p w14:paraId="51A8BA5F" w14:textId="77777777" w:rsidR="00AA4B4E" w:rsidRDefault="00AA4B4E" w:rsidP="003434E2">
      <w:pPr>
        <w:pStyle w:val="BodyText2"/>
        <w:tabs>
          <w:tab w:val="left" w:pos="1440"/>
        </w:tabs>
      </w:pPr>
    </w:p>
    <w:p w14:paraId="51A8BA60" w14:textId="77777777" w:rsidR="00AA4B4E" w:rsidRDefault="00AA4B4E" w:rsidP="003434E2">
      <w:pPr>
        <w:pStyle w:val="BodyText2"/>
        <w:tabs>
          <w:tab w:val="left" w:pos="1440"/>
        </w:tabs>
      </w:pPr>
    </w:p>
    <w:p w14:paraId="51A8BA61" w14:textId="77777777" w:rsidR="00AA4B4E" w:rsidRDefault="00AA4B4E" w:rsidP="003434E2">
      <w:pPr>
        <w:pStyle w:val="BodyText2"/>
        <w:tabs>
          <w:tab w:val="left" w:pos="1440"/>
        </w:tabs>
      </w:pPr>
    </w:p>
    <w:p w14:paraId="51A8BA62" w14:textId="77777777" w:rsidR="003434E2" w:rsidRPr="005D6487" w:rsidRDefault="003434E2" w:rsidP="003434E2">
      <w:pPr>
        <w:pStyle w:val="BodyText2"/>
        <w:tabs>
          <w:tab w:val="left" w:pos="1440"/>
        </w:tabs>
        <w:ind w:firstLine="720"/>
        <w:jc w:val="center"/>
        <w:rPr>
          <w:b/>
        </w:rPr>
      </w:pPr>
      <w:r w:rsidRPr="005D6487">
        <w:rPr>
          <w:b/>
        </w:rPr>
        <w:t xml:space="preserve">Illustration </w:t>
      </w:r>
      <w:r w:rsidR="002009C9" w:rsidRPr="005D6487">
        <w:rPr>
          <w:b/>
        </w:rPr>
        <w:t>1</w:t>
      </w:r>
      <w:r w:rsidRPr="005D6487">
        <w:rPr>
          <w:b/>
        </w:rPr>
        <w:t>: Cabinet Gorge Unit #2 Turbine Curves</w:t>
      </w:r>
    </w:p>
    <w:p w14:paraId="51A8BA63" w14:textId="77777777" w:rsidR="003434E2" w:rsidRPr="005D6487" w:rsidRDefault="007A793F" w:rsidP="006B207A">
      <w:pPr>
        <w:pStyle w:val="BodyText"/>
        <w:jc w:val="left"/>
      </w:pPr>
      <w:r w:rsidRPr="007A793F">
        <w:rPr>
          <w:noProof/>
        </w:rPr>
        <w:drawing>
          <wp:inline distT="0" distB="0" distL="0" distR="0" wp14:anchorId="51A8BB2A" wp14:editId="51A8BB2B">
            <wp:extent cx="5486400" cy="38740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6400" cy="3874012"/>
                    </a:xfrm>
                    <a:prstGeom prst="rect">
                      <a:avLst/>
                    </a:prstGeom>
                    <a:noFill/>
                    <a:ln w="9525">
                      <a:noFill/>
                      <a:miter lim="800000"/>
                      <a:headEnd/>
                      <a:tailEnd/>
                    </a:ln>
                  </pic:spPr>
                </pic:pic>
              </a:graphicData>
            </a:graphic>
          </wp:inline>
        </w:drawing>
      </w:r>
    </w:p>
    <w:p w14:paraId="51A8BA64" w14:textId="77777777" w:rsidR="007A793F" w:rsidRDefault="007A793F" w:rsidP="006B207A">
      <w:pPr>
        <w:pStyle w:val="BodyText"/>
        <w:jc w:val="left"/>
      </w:pPr>
    </w:p>
    <w:p w14:paraId="51A8BA65" w14:textId="77777777" w:rsidR="006B207A" w:rsidRPr="005D6487" w:rsidRDefault="006B207A" w:rsidP="006B207A">
      <w:pPr>
        <w:pStyle w:val="BodyText"/>
        <w:jc w:val="left"/>
      </w:pPr>
      <w:r w:rsidRPr="005D6487">
        <w:t>Cabinet Gorge Unit #3</w:t>
      </w:r>
      <w:r w:rsidR="00CE5809" w:rsidRPr="005D6487">
        <w:t xml:space="preserve"> Upgrade</w:t>
      </w:r>
      <w:r w:rsidRPr="005D6487">
        <w:t xml:space="preserve"> </w:t>
      </w:r>
    </w:p>
    <w:p w14:paraId="51A8BA66" w14:textId="77777777" w:rsidR="006B207A" w:rsidRPr="00AA4B4E" w:rsidRDefault="008F5F55" w:rsidP="006B207A">
      <w:pPr>
        <w:pStyle w:val="BodyText"/>
        <w:jc w:val="left"/>
        <w:rPr>
          <w:b w:val="0"/>
          <w:bCs w:val="0"/>
        </w:rPr>
      </w:pPr>
      <w:r>
        <w:rPr>
          <w:b w:val="0"/>
          <w:bCs w:val="0"/>
        </w:rPr>
        <w:t>Avista</w:t>
      </w:r>
      <w:r w:rsidR="006B207A" w:rsidRPr="005D6487">
        <w:rPr>
          <w:b w:val="0"/>
          <w:bCs w:val="0"/>
        </w:rPr>
        <w:t xml:space="preserve"> completed a</w:t>
      </w:r>
      <w:r w:rsidR="00245778" w:rsidRPr="005D6487">
        <w:rPr>
          <w:b w:val="0"/>
          <w:bCs w:val="0"/>
        </w:rPr>
        <w:t>n</w:t>
      </w:r>
      <w:r w:rsidR="006B207A" w:rsidRPr="005D6487">
        <w:rPr>
          <w:b w:val="0"/>
          <w:bCs w:val="0"/>
        </w:rPr>
        <w:t xml:space="preserve"> upgrade project in 2001 for the Cabinet Gorge Project Unit #3</w:t>
      </w:r>
      <w:r w:rsidR="00245778" w:rsidRPr="005D6487">
        <w:rPr>
          <w:b w:val="0"/>
          <w:bCs w:val="0"/>
        </w:rPr>
        <w:t>, which included a runner replacement and generator rewind</w:t>
      </w:r>
      <w:r w:rsidR="006B207A" w:rsidRPr="005D6487">
        <w:rPr>
          <w:b w:val="0"/>
          <w:bCs w:val="0"/>
        </w:rPr>
        <w:t>. The capacity of the unit increased from 55 MW to 72 MW</w:t>
      </w:r>
      <w:r w:rsidR="002009C9" w:rsidRPr="005D6487">
        <w:rPr>
          <w:b w:val="0"/>
          <w:bCs w:val="0"/>
        </w:rPr>
        <w:t>. The Hydro Model study for Cabinet Gorge Unit #3 resulted in 45,808 MWh of annual qualifying renewable energy.</w:t>
      </w:r>
      <w:r w:rsidR="006B207A" w:rsidRPr="005D6487">
        <w:rPr>
          <w:b w:val="0"/>
          <w:bCs w:val="0"/>
        </w:rPr>
        <w:t xml:space="preserve"> </w:t>
      </w:r>
      <w:r w:rsidR="00245778" w:rsidRPr="005D6487">
        <w:rPr>
          <w:b w:val="0"/>
          <w:bCs w:val="0"/>
        </w:rPr>
        <w:t>Illustration 2 shows the turbines curves for Unit #3 before and after the project upgrade.</w:t>
      </w:r>
      <w:r w:rsidR="00AA4B4E">
        <w:rPr>
          <w:b w:val="0"/>
          <w:bCs w:val="0"/>
        </w:rPr>
        <w:t xml:space="preserve"> </w:t>
      </w:r>
      <w:r w:rsidR="00AA4B4E" w:rsidRPr="00AA4B4E">
        <w:rPr>
          <w:b w:val="0"/>
        </w:rPr>
        <w:t>The upgraded turbine produces energy more efficiently at the higher streamflow conditions where this unit typically operates.</w:t>
      </w:r>
    </w:p>
    <w:p w14:paraId="51A8BA67" w14:textId="77777777" w:rsidR="00245778" w:rsidRDefault="00245778" w:rsidP="006B207A">
      <w:pPr>
        <w:pStyle w:val="BodyText"/>
        <w:jc w:val="left"/>
        <w:rPr>
          <w:b w:val="0"/>
        </w:rPr>
      </w:pPr>
    </w:p>
    <w:p w14:paraId="51A8BA68" w14:textId="77777777" w:rsidR="00AA4B4E" w:rsidRDefault="00AA4B4E" w:rsidP="006B207A">
      <w:pPr>
        <w:pStyle w:val="BodyText"/>
        <w:jc w:val="left"/>
        <w:rPr>
          <w:b w:val="0"/>
        </w:rPr>
      </w:pPr>
    </w:p>
    <w:p w14:paraId="51A8BA69" w14:textId="77777777" w:rsidR="00AA4B4E" w:rsidRDefault="00AA4B4E" w:rsidP="006B207A">
      <w:pPr>
        <w:pStyle w:val="BodyText"/>
        <w:jc w:val="left"/>
        <w:rPr>
          <w:b w:val="0"/>
        </w:rPr>
      </w:pPr>
    </w:p>
    <w:p w14:paraId="51A8BA6A" w14:textId="77777777" w:rsidR="00AA4B4E" w:rsidRDefault="00AA4B4E" w:rsidP="006B207A">
      <w:pPr>
        <w:pStyle w:val="BodyText"/>
        <w:jc w:val="left"/>
        <w:rPr>
          <w:b w:val="0"/>
        </w:rPr>
      </w:pPr>
    </w:p>
    <w:p w14:paraId="51A8BA6B" w14:textId="77777777" w:rsidR="00232531" w:rsidRDefault="00232531" w:rsidP="006B207A">
      <w:pPr>
        <w:pStyle w:val="BodyText"/>
        <w:jc w:val="left"/>
        <w:rPr>
          <w:b w:val="0"/>
        </w:rPr>
      </w:pPr>
    </w:p>
    <w:p w14:paraId="51A8BA6C" w14:textId="77777777" w:rsidR="00232531" w:rsidRDefault="00232531" w:rsidP="006B207A">
      <w:pPr>
        <w:pStyle w:val="BodyText"/>
        <w:jc w:val="left"/>
        <w:rPr>
          <w:b w:val="0"/>
        </w:rPr>
      </w:pPr>
    </w:p>
    <w:p w14:paraId="51A8BA6D" w14:textId="77777777" w:rsidR="00245778" w:rsidRPr="005D6487" w:rsidRDefault="00245778" w:rsidP="00245778">
      <w:pPr>
        <w:pStyle w:val="BodyText2"/>
        <w:tabs>
          <w:tab w:val="left" w:pos="1440"/>
        </w:tabs>
        <w:ind w:firstLine="720"/>
        <w:jc w:val="center"/>
        <w:rPr>
          <w:b/>
        </w:rPr>
      </w:pPr>
      <w:r w:rsidRPr="005D6487">
        <w:rPr>
          <w:b/>
        </w:rPr>
        <w:t>Illustration 2: Cabinet Gorge Unit #</w:t>
      </w:r>
      <w:r w:rsidR="007A793F">
        <w:rPr>
          <w:b/>
        </w:rPr>
        <w:t>3</w:t>
      </w:r>
      <w:r w:rsidRPr="005D6487">
        <w:rPr>
          <w:b/>
        </w:rPr>
        <w:t xml:space="preserve"> Turbine Curves</w:t>
      </w:r>
    </w:p>
    <w:p w14:paraId="51A8BA6E" w14:textId="77777777" w:rsidR="006B207A" w:rsidRPr="005D6487" w:rsidRDefault="007A793F" w:rsidP="006B207A">
      <w:pPr>
        <w:pStyle w:val="BodyText"/>
        <w:jc w:val="left"/>
        <w:rPr>
          <w:b w:val="0"/>
        </w:rPr>
      </w:pPr>
      <w:r w:rsidRPr="007A793F">
        <w:rPr>
          <w:noProof/>
        </w:rPr>
        <w:drawing>
          <wp:inline distT="0" distB="0" distL="0" distR="0" wp14:anchorId="51A8BB2C" wp14:editId="51A8BB2D">
            <wp:extent cx="5486400" cy="385974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3859743"/>
                    </a:xfrm>
                    <a:prstGeom prst="rect">
                      <a:avLst/>
                    </a:prstGeom>
                    <a:noFill/>
                    <a:ln w="9525">
                      <a:noFill/>
                      <a:miter lim="800000"/>
                      <a:headEnd/>
                      <a:tailEnd/>
                    </a:ln>
                  </pic:spPr>
                </pic:pic>
              </a:graphicData>
            </a:graphic>
          </wp:inline>
        </w:drawing>
      </w:r>
    </w:p>
    <w:p w14:paraId="51A8BA6F" w14:textId="77777777" w:rsidR="00245778" w:rsidRPr="005D6487" w:rsidRDefault="00245778" w:rsidP="006B207A">
      <w:pPr>
        <w:pStyle w:val="BodyText"/>
        <w:jc w:val="left"/>
      </w:pPr>
    </w:p>
    <w:p w14:paraId="51A8BA70" w14:textId="77777777" w:rsidR="00245778" w:rsidRPr="005D6487" w:rsidRDefault="00245778" w:rsidP="006B207A">
      <w:pPr>
        <w:pStyle w:val="BodyText"/>
        <w:jc w:val="left"/>
      </w:pPr>
    </w:p>
    <w:p w14:paraId="51A8BA71" w14:textId="77777777" w:rsidR="006B207A" w:rsidRPr="005D6487" w:rsidRDefault="006B207A" w:rsidP="006B207A">
      <w:pPr>
        <w:pStyle w:val="BodyText"/>
        <w:jc w:val="left"/>
      </w:pPr>
      <w:r w:rsidRPr="005D6487">
        <w:t>Cabinet Gorge Unit #4</w:t>
      </w:r>
      <w:r w:rsidR="00CE5809" w:rsidRPr="005D6487">
        <w:t xml:space="preserve"> Upgrade</w:t>
      </w:r>
      <w:r w:rsidRPr="005D6487">
        <w:t xml:space="preserve"> </w:t>
      </w:r>
    </w:p>
    <w:p w14:paraId="51A8BA72" w14:textId="77777777" w:rsidR="00245778" w:rsidRPr="005D6487" w:rsidRDefault="00245778" w:rsidP="00245778">
      <w:pPr>
        <w:pStyle w:val="BodyText"/>
        <w:jc w:val="left"/>
        <w:rPr>
          <w:b w:val="0"/>
        </w:rPr>
      </w:pPr>
      <w:r w:rsidRPr="005D6487">
        <w:rPr>
          <w:b w:val="0"/>
        </w:rPr>
        <w:t>The Company completed an upgrade project in April 2007 for the Cabinet Gorge Project Unit #3, which included a runner replacement and generator rewind. The capacity of the unit increased from 55 MW to 68 MW. The Hydro Model study for Cabinet Gorge Unit #4 resulted in 20,</w:t>
      </w:r>
      <w:r w:rsidR="00D15F52">
        <w:rPr>
          <w:b w:val="0"/>
        </w:rPr>
        <w:t>517</w:t>
      </w:r>
      <w:r w:rsidRPr="005D6487">
        <w:rPr>
          <w:b w:val="0"/>
        </w:rPr>
        <w:t xml:space="preserve"> MWh of annual</w:t>
      </w:r>
      <w:r w:rsidRPr="005D6487">
        <w:t xml:space="preserve"> </w:t>
      </w:r>
      <w:r w:rsidRPr="005D6487">
        <w:rPr>
          <w:b w:val="0"/>
        </w:rPr>
        <w:t>qualifying renewable energy. Illustration 3 shows the turbines curves for Unit #</w:t>
      </w:r>
      <w:r w:rsidR="00E53D84" w:rsidRPr="005D6487">
        <w:rPr>
          <w:b w:val="0"/>
        </w:rPr>
        <w:t>4</w:t>
      </w:r>
      <w:r w:rsidRPr="005D6487">
        <w:rPr>
          <w:b w:val="0"/>
        </w:rPr>
        <w:t xml:space="preserve"> before and after the project upgrade.</w:t>
      </w:r>
      <w:r w:rsidR="00AA4B4E">
        <w:rPr>
          <w:b w:val="0"/>
        </w:rPr>
        <w:t xml:space="preserve"> </w:t>
      </w:r>
      <w:r w:rsidR="00AA4B4E" w:rsidRPr="00AA4B4E">
        <w:rPr>
          <w:b w:val="0"/>
        </w:rPr>
        <w:t>The upgraded turbine produces energy more efficiently at the higher streamflow conditions where this unit typically operates.</w:t>
      </w:r>
      <w:r w:rsidR="00A435E4">
        <w:rPr>
          <w:b w:val="0"/>
        </w:rPr>
        <w:t xml:space="preserve"> The Commission reviewed the Cabinet Gorge Unit # 4 upgrade </w:t>
      </w:r>
      <w:r w:rsidR="00F65B99">
        <w:rPr>
          <w:b w:val="0"/>
        </w:rPr>
        <w:t xml:space="preserve">in </w:t>
      </w:r>
      <w:r w:rsidR="00A435E4">
        <w:rPr>
          <w:b w:val="0"/>
        </w:rPr>
        <w:t>Docket No. UE-070804.</w:t>
      </w:r>
    </w:p>
    <w:p w14:paraId="51A8BA73" w14:textId="77777777" w:rsidR="00245778" w:rsidRDefault="00245778" w:rsidP="00245778">
      <w:pPr>
        <w:pStyle w:val="BodyText"/>
        <w:jc w:val="left"/>
        <w:rPr>
          <w:b w:val="0"/>
        </w:rPr>
      </w:pPr>
    </w:p>
    <w:p w14:paraId="51A8BA74" w14:textId="77777777" w:rsidR="00232531" w:rsidRDefault="00232531" w:rsidP="00245778">
      <w:pPr>
        <w:pStyle w:val="BodyText"/>
        <w:jc w:val="left"/>
        <w:rPr>
          <w:b w:val="0"/>
        </w:rPr>
      </w:pPr>
    </w:p>
    <w:p w14:paraId="51A8BA75" w14:textId="77777777" w:rsidR="00232531" w:rsidRDefault="00232531" w:rsidP="00245778">
      <w:pPr>
        <w:pStyle w:val="BodyText"/>
        <w:jc w:val="left"/>
        <w:rPr>
          <w:b w:val="0"/>
        </w:rPr>
      </w:pPr>
    </w:p>
    <w:p w14:paraId="51A8BA76" w14:textId="77777777" w:rsidR="00AA4B4E" w:rsidRDefault="00AA4B4E" w:rsidP="00245778">
      <w:pPr>
        <w:pStyle w:val="BodyText"/>
        <w:jc w:val="left"/>
        <w:rPr>
          <w:b w:val="0"/>
        </w:rPr>
      </w:pPr>
    </w:p>
    <w:p w14:paraId="51A8BA77" w14:textId="77777777" w:rsidR="00245778" w:rsidRPr="005D6487" w:rsidRDefault="00245778" w:rsidP="00245778">
      <w:pPr>
        <w:pStyle w:val="BodyText2"/>
        <w:tabs>
          <w:tab w:val="left" w:pos="1440"/>
        </w:tabs>
        <w:ind w:firstLine="720"/>
        <w:jc w:val="center"/>
        <w:rPr>
          <w:b/>
        </w:rPr>
      </w:pPr>
      <w:r w:rsidRPr="005D6487">
        <w:rPr>
          <w:b/>
        </w:rPr>
        <w:t>Illustration 3: Cabinet Gorge Unit #</w:t>
      </w:r>
      <w:r w:rsidR="00E53D84" w:rsidRPr="005D6487">
        <w:rPr>
          <w:b/>
        </w:rPr>
        <w:t>4</w:t>
      </w:r>
      <w:r w:rsidRPr="005D6487">
        <w:rPr>
          <w:b/>
        </w:rPr>
        <w:t xml:space="preserve"> Turbine Curves</w:t>
      </w:r>
    </w:p>
    <w:p w14:paraId="51A8BA78" w14:textId="77777777" w:rsidR="005A19AE" w:rsidRPr="005D6487" w:rsidRDefault="00311D3C" w:rsidP="0005416C">
      <w:pPr>
        <w:pStyle w:val="BodyText"/>
        <w:jc w:val="left"/>
        <w:rPr>
          <w:b w:val="0"/>
          <w:bCs w:val="0"/>
        </w:rPr>
      </w:pPr>
      <w:r w:rsidRPr="00311D3C">
        <w:rPr>
          <w:noProof/>
        </w:rPr>
        <w:drawing>
          <wp:inline distT="0" distB="0" distL="0" distR="0" wp14:anchorId="51A8BB2E" wp14:editId="51A8BB2F">
            <wp:extent cx="5486400" cy="40309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6400" cy="4030970"/>
                    </a:xfrm>
                    <a:prstGeom prst="rect">
                      <a:avLst/>
                    </a:prstGeom>
                    <a:noFill/>
                    <a:ln w="9525">
                      <a:noFill/>
                      <a:miter lim="800000"/>
                      <a:headEnd/>
                      <a:tailEnd/>
                    </a:ln>
                  </pic:spPr>
                </pic:pic>
              </a:graphicData>
            </a:graphic>
          </wp:inline>
        </w:drawing>
      </w:r>
    </w:p>
    <w:p w14:paraId="51A8BA79" w14:textId="77777777" w:rsidR="005A19AE" w:rsidRPr="005D6487" w:rsidRDefault="005A19AE" w:rsidP="0005416C">
      <w:pPr>
        <w:pStyle w:val="BodyText"/>
        <w:jc w:val="left"/>
        <w:rPr>
          <w:b w:val="0"/>
          <w:bCs w:val="0"/>
        </w:rPr>
      </w:pPr>
    </w:p>
    <w:p w14:paraId="51A8BA7A" w14:textId="77777777" w:rsidR="005A19AE" w:rsidRPr="005D6487" w:rsidRDefault="005A19AE" w:rsidP="0005416C">
      <w:pPr>
        <w:pStyle w:val="BodyText"/>
        <w:jc w:val="left"/>
        <w:rPr>
          <w:b w:val="0"/>
          <w:bCs w:val="0"/>
        </w:rPr>
      </w:pPr>
    </w:p>
    <w:p w14:paraId="51A8BA7B" w14:textId="77777777" w:rsidR="0005416C" w:rsidRPr="005D6487" w:rsidRDefault="0005416C" w:rsidP="0005416C">
      <w:pPr>
        <w:rPr>
          <w:b/>
          <w:sz w:val="28"/>
          <w:szCs w:val="28"/>
        </w:rPr>
      </w:pPr>
      <w:r w:rsidRPr="005D6487">
        <w:rPr>
          <w:b/>
          <w:sz w:val="28"/>
          <w:szCs w:val="28"/>
        </w:rPr>
        <w:t>Noxon Rapids</w:t>
      </w:r>
      <w:r w:rsidR="00245778" w:rsidRPr="005D6487">
        <w:rPr>
          <w:b/>
          <w:sz w:val="28"/>
          <w:szCs w:val="28"/>
        </w:rPr>
        <w:t xml:space="preserve"> Project Upgrade Descriptions</w:t>
      </w:r>
    </w:p>
    <w:p w14:paraId="51A8BA7C" w14:textId="77777777" w:rsidR="00B52F07" w:rsidRPr="005D6487" w:rsidRDefault="00B52F07" w:rsidP="00B52F07">
      <w:pPr>
        <w:pStyle w:val="BodyText"/>
        <w:spacing w:line="480" w:lineRule="auto"/>
        <w:jc w:val="left"/>
        <w:rPr>
          <w:b w:val="0"/>
        </w:rPr>
      </w:pPr>
    </w:p>
    <w:p w14:paraId="51A8BA7D" w14:textId="77777777" w:rsidR="00245778" w:rsidRPr="005D6487" w:rsidRDefault="00245778" w:rsidP="00B52F07">
      <w:pPr>
        <w:pStyle w:val="BodyText"/>
        <w:spacing w:line="480" w:lineRule="auto"/>
        <w:jc w:val="left"/>
        <w:rPr>
          <w:b w:val="0"/>
        </w:rPr>
      </w:pPr>
      <w:r w:rsidRPr="005D6487">
        <w:rPr>
          <w:b w:val="0"/>
        </w:rPr>
        <w:t>Qualifying hydroelectric upgrade</w:t>
      </w:r>
      <w:r w:rsidR="00416CC8">
        <w:rPr>
          <w:b w:val="0"/>
        </w:rPr>
        <w:t xml:space="preserve"> project</w:t>
      </w:r>
      <w:r w:rsidRPr="005D6487">
        <w:rPr>
          <w:b w:val="0"/>
        </w:rPr>
        <w:t xml:space="preserve">s to Noxon Rapids Units # 1 – 4 </w:t>
      </w:r>
      <w:r w:rsidR="00E53D84" w:rsidRPr="005D6487">
        <w:rPr>
          <w:b w:val="0"/>
        </w:rPr>
        <w:t xml:space="preserve">started in 2008 and </w:t>
      </w:r>
      <w:r w:rsidR="00416CC8">
        <w:rPr>
          <w:b w:val="0"/>
        </w:rPr>
        <w:t>finished</w:t>
      </w:r>
      <w:r w:rsidRPr="005D6487">
        <w:rPr>
          <w:b w:val="0"/>
        </w:rPr>
        <w:t xml:space="preserve"> </w:t>
      </w:r>
      <w:r w:rsidR="00E53D84" w:rsidRPr="005D6487">
        <w:rPr>
          <w:b w:val="0"/>
        </w:rPr>
        <w:t xml:space="preserve">in </w:t>
      </w:r>
      <w:r w:rsidRPr="005D6487">
        <w:rPr>
          <w:b w:val="0"/>
        </w:rPr>
        <w:t xml:space="preserve">2012. </w:t>
      </w:r>
      <w:r w:rsidR="00CD7E5D">
        <w:rPr>
          <w:b w:val="0"/>
        </w:rPr>
        <w:t>The following section provides d</w:t>
      </w:r>
      <w:r w:rsidRPr="005D6487">
        <w:rPr>
          <w:b w:val="0"/>
        </w:rPr>
        <w:t xml:space="preserve">etails about the upgrades, along with the annual incremental renewable energy output for each unit and </w:t>
      </w:r>
      <w:r w:rsidR="00416CC8">
        <w:rPr>
          <w:b w:val="0"/>
        </w:rPr>
        <w:t xml:space="preserve">illustrations of </w:t>
      </w:r>
      <w:r w:rsidRPr="005D6487">
        <w:rPr>
          <w:b w:val="0"/>
        </w:rPr>
        <w:t>the turbine efficiency curves before and after the upgrades.</w:t>
      </w:r>
    </w:p>
    <w:p w14:paraId="51A8BA7E" w14:textId="77777777" w:rsidR="00245778" w:rsidRPr="005D6487" w:rsidRDefault="00245778" w:rsidP="0005416C">
      <w:pPr>
        <w:rPr>
          <w:b/>
          <w:sz w:val="28"/>
          <w:szCs w:val="28"/>
        </w:rPr>
      </w:pPr>
    </w:p>
    <w:p w14:paraId="51A8BA7F" w14:textId="77777777" w:rsidR="0005416C" w:rsidRDefault="002463AA" w:rsidP="0005416C">
      <w:pPr>
        <w:rPr>
          <w:b/>
        </w:rPr>
      </w:pPr>
      <w:r w:rsidRPr="005D6487">
        <w:rPr>
          <w:b/>
        </w:rPr>
        <w:t>Noxon Rapids</w:t>
      </w:r>
      <w:r w:rsidR="0005416C" w:rsidRPr="005D6487">
        <w:rPr>
          <w:b/>
        </w:rPr>
        <w:t xml:space="preserve"> </w:t>
      </w:r>
      <w:r w:rsidR="00245778" w:rsidRPr="005D6487">
        <w:rPr>
          <w:b/>
        </w:rPr>
        <w:t>Unit #1</w:t>
      </w:r>
      <w:r w:rsidR="00CE5809" w:rsidRPr="005D6487">
        <w:rPr>
          <w:b/>
        </w:rPr>
        <w:t xml:space="preserve"> Upgrade</w:t>
      </w:r>
    </w:p>
    <w:p w14:paraId="51A8BA80" w14:textId="77777777" w:rsidR="00AA4B4E" w:rsidRPr="005D6487" w:rsidRDefault="00AA4B4E" w:rsidP="0005416C">
      <w:pPr>
        <w:rPr>
          <w:b/>
        </w:rPr>
      </w:pPr>
    </w:p>
    <w:p w14:paraId="51A8BA81" w14:textId="77777777" w:rsidR="00B52F07" w:rsidRPr="00A435E4" w:rsidRDefault="00245778" w:rsidP="00B52F07">
      <w:pPr>
        <w:pStyle w:val="BodyText2"/>
      </w:pPr>
      <w:r w:rsidRPr="005D6487">
        <w:t xml:space="preserve">The </w:t>
      </w:r>
      <w:r w:rsidR="00D15FC3" w:rsidRPr="005D6487">
        <w:t xml:space="preserve">Noxon </w:t>
      </w:r>
      <w:r w:rsidRPr="005D6487">
        <w:t xml:space="preserve">Rapids </w:t>
      </w:r>
      <w:r w:rsidR="002463AA" w:rsidRPr="005D6487">
        <w:t>Unit #1</w:t>
      </w:r>
      <w:r w:rsidRPr="005D6487">
        <w:t xml:space="preserve"> </w:t>
      </w:r>
      <w:r w:rsidR="000A111D" w:rsidRPr="005D6487">
        <w:t xml:space="preserve">upgrade </w:t>
      </w:r>
      <w:r w:rsidRPr="005D6487">
        <w:t xml:space="preserve">began July 2008 and </w:t>
      </w:r>
      <w:r w:rsidR="00CB3CF5">
        <w:t>finish</w:t>
      </w:r>
      <w:r w:rsidRPr="005D6487">
        <w:t xml:space="preserve">ed in March 2009. The upgrade included replacement of the </w:t>
      </w:r>
      <w:r w:rsidR="002463AA" w:rsidRPr="005D6487">
        <w:t xml:space="preserve">stator core, </w:t>
      </w:r>
      <w:r w:rsidR="00A9170E" w:rsidRPr="005D6487">
        <w:t xml:space="preserve">stator </w:t>
      </w:r>
      <w:r w:rsidR="002463AA" w:rsidRPr="005D6487">
        <w:t>rewind, new turbine</w:t>
      </w:r>
      <w:r w:rsidR="0022793B" w:rsidRPr="005D6487">
        <w:t xml:space="preserve"> installation</w:t>
      </w:r>
      <w:r w:rsidR="00CB3CF5">
        <w:t>,</w:t>
      </w:r>
      <w:r w:rsidR="002463AA" w:rsidRPr="005D6487">
        <w:t xml:space="preserve"> and a complete mechanical overhaul. </w:t>
      </w:r>
      <w:r w:rsidR="00A9170E" w:rsidRPr="005D6487">
        <w:t>T</w:t>
      </w:r>
      <w:r w:rsidR="002463AA" w:rsidRPr="005D6487">
        <w:t xml:space="preserve">he </w:t>
      </w:r>
      <w:r w:rsidR="00A9170E" w:rsidRPr="005D6487">
        <w:t>upgrade increase</w:t>
      </w:r>
      <w:r w:rsidR="0022793B" w:rsidRPr="005D6487">
        <w:t>d</w:t>
      </w:r>
      <w:r w:rsidR="00A9170E" w:rsidRPr="005D6487">
        <w:t xml:space="preserve"> the </w:t>
      </w:r>
      <w:r w:rsidR="002463AA" w:rsidRPr="005D6487">
        <w:t xml:space="preserve">unit rating from 105 MW to 112.5 MW. </w:t>
      </w:r>
      <w:r w:rsidR="00A9170E" w:rsidRPr="005D6487">
        <w:t xml:space="preserve">The costs </w:t>
      </w:r>
      <w:r w:rsidR="002463AA" w:rsidRPr="005D6487">
        <w:t>and additional generation of this project were approved for recovery</w:t>
      </w:r>
      <w:bookmarkStart w:id="1" w:name="OLE_LINK1"/>
      <w:bookmarkStart w:id="2" w:name="OLE_LINK2"/>
      <w:r w:rsidR="002463AA" w:rsidRPr="005D6487">
        <w:t xml:space="preserve"> in Docket No. UE-0</w:t>
      </w:r>
      <w:r w:rsidR="00AF7840">
        <w:t>80416</w:t>
      </w:r>
      <w:bookmarkEnd w:id="1"/>
      <w:bookmarkEnd w:id="2"/>
      <w:r w:rsidR="002463AA" w:rsidRPr="005D6487">
        <w:t xml:space="preserve">. </w:t>
      </w:r>
      <w:r w:rsidR="00B52F07" w:rsidRPr="005D6487">
        <w:t>The Hydro Model study for Noxon Rapids Unit #1 resulted in 21,</w:t>
      </w:r>
      <w:r w:rsidR="00D15F52">
        <w:t>435</w:t>
      </w:r>
      <w:r w:rsidR="00B52F07" w:rsidRPr="005D6487">
        <w:t xml:space="preserve"> MWh of annual qualifying renewable energy. Illustration 4 shows the turbines curves for Unit #1 before and after the upgrade.</w:t>
      </w:r>
      <w:r w:rsidR="00A435E4">
        <w:t xml:space="preserve"> </w:t>
      </w:r>
      <w:r w:rsidR="00A435E4" w:rsidRPr="00A435E4">
        <w:t>The upgraded turbine produces energy more efficiently at the streamflow conditions where this unit typically operates.</w:t>
      </w:r>
      <w:r w:rsidR="00232531" w:rsidRPr="00232531">
        <w:rPr>
          <w:b/>
        </w:rPr>
        <w:t xml:space="preserve"> </w:t>
      </w:r>
    </w:p>
    <w:p w14:paraId="51A8BA82" w14:textId="77777777" w:rsidR="002463AA" w:rsidRPr="005D6487" w:rsidRDefault="002463AA" w:rsidP="0005416C">
      <w:pPr>
        <w:pStyle w:val="BodyText2"/>
        <w:tabs>
          <w:tab w:val="left" w:pos="1440"/>
        </w:tabs>
        <w:ind w:firstLine="720"/>
        <w:rPr>
          <w:b/>
        </w:rPr>
      </w:pPr>
    </w:p>
    <w:p w14:paraId="51A8BA83" w14:textId="77777777" w:rsidR="00A9170E" w:rsidRPr="005D6487" w:rsidRDefault="00A9170E" w:rsidP="00A9170E">
      <w:pPr>
        <w:pStyle w:val="BodyText2"/>
        <w:tabs>
          <w:tab w:val="left" w:pos="1440"/>
        </w:tabs>
        <w:ind w:firstLine="720"/>
        <w:jc w:val="center"/>
        <w:rPr>
          <w:b/>
        </w:rPr>
      </w:pPr>
      <w:r w:rsidRPr="005D6487">
        <w:rPr>
          <w:b/>
        </w:rPr>
        <w:t>Illustration 4: Noxon Rapids Unit #1 Turbine Curves</w:t>
      </w:r>
    </w:p>
    <w:p w14:paraId="51A8BA84" w14:textId="77777777" w:rsidR="00A9170E" w:rsidRPr="005D6487" w:rsidRDefault="00311D3C" w:rsidP="00A9170E">
      <w:pPr>
        <w:pStyle w:val="BodyText2"/>
        <w:jc w:val="center"/>
        <w:rPr>
          <w:b/>
        </w:rPr>
      </w:pPr>
      <w:r w:rsidRPr="00311D3C">
        <w:rPr>
          <w:noProof/>
        </w:rPr>
        <w:drawing>
          <wp:inline distT="0" distB="0" distL="0" distR="0" wp14:anchorId="51A8BB30" wp14:editId="51A8BB31">
            <wp:extent cx="5486400" cy="3667746"/>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486400" cy="3667746"/>
                    </a:xfrm>
                    <a:prstGeom prst="rect">
                      <a:avLst/>
                    </a:prstGeom>
                    <a:noFill/>
                    <a:ln w="9525">
                      <a:noFill/>
                      <a:miter lim="800000"/>
                      <a:headEnd/>
                      <a:tailEnd/>
                    </a:ln>
                  </pic:spPr>
                </pic:pic>
              </a:graphicData>
            </a:graphic>
          </wp:inline>
        </w:drawing>
      </w:r>
    </w:p>
    <w:p w14:paraId="51A8BA85" w14:textId="77777777" w:rsidR="0022793B" w:rsidRDefault="0022793B" w:rsidP="00CE5809">
      <w:pPr>
        <w:pStyle w:val="BodyText2"/>
        <w:rPr>
          <w:b/>
        </w:rPr>
      </w:pPr>
    </w:p>
    <w:p w14:paraId="51A8BA86" w14:textId="77777777" w:rsidR="00232531" w:rsidRDefault="00232531" w:rsidP="00CE5809">
      <w:pPr>
        <w:pStyle w:val="BodyText2"/>
        <w:rPr>
          <w:b/>
        </w:rPr>
      </w:pPr>
    </w:p>
    <w:p w14:paraId="51A8BA87" w14:textId="77777777" w:rsidR="00D81065" w:rsidRDefault="00D81065" w:rsidP="00CE5809">
      <w:pPr>
        <w:pStyle w:val="BodyText2"/>
        <w:rPr>
          <w:b/>
        </w:rPr>
      </w:pPr>
    </w:p>
    <w:p w14:paraId="51A8BA88" w14:textId="77777777" w:rsidR="00232531" w:rsidRDefault="00232531" w:rsidP="00CE5809">
      <w:pPr>
        <w:pStyle w:val="BodyText2"/>
        <w:rPr>
          <w:b/>
        </w:rPr>
      </w:pPr>
    </w:p>
    <w:p w14:paraId="51A8BA89" w14:textId="77777777" w:rsidR="00AF7840" w:rsidRPr="005D6487" w:rsidRDefault="00AF7840" w:rsidP="00CE5809">
      <w:pPr>
        <w:pStyle w:val="BodyText2"/>
        <w:rPr>
          <w:b/>
        </w:rPr>
      </w:pPr>
    </w:p>
    <w:p w14:paraId="51A8BA8A" w14:textId="77777777" w:rsidR="0005416C" w:rsidRPr="005D6487" w:rsidRDefault="003434E2" w:rsidP="00CE5809">
      <w:pPr>
        <w:pStyle w:val="BodyText2"/>
      </w:pPr>
      <w:r w:rsidRPr="005D6487">
        <w:rPr>
          <w:b/>
        </w:rPr>
        <w:t xml:space="preserve">Noxon Rapids </w:t>
      </w:r>
      <w:r w:rsidR="0005416C" w:rsidRPr="005D6487">
        <w:rPr>
          <w:b/>
        </w:rPr>
        <w:t>Unit #2</w:t>
      </w:r>
      <w:r w:rsidR="00CE5809" w:rsidRPr="005D6487">
        <w:rPr>
          <w:b/>
        </w:rPr>
        <w:t xml:space="preserve"> Upgrade</w:t>
      </w:r>
      <w:r w:rsidR="0005416C" w:rsidRPr="005D6487">
        <w:t xml:space="preserve"> </w:t>
      </w:r>
    </w:p>
    <w:p w14:paraId="51A8BA8B" w14:textId="77777777" w:rsidR="00B52F07" w:rsidRPr="00A435E4" w:rsidRDefault="002463AA" w:rsidP="00B52F07">
      <w:pPr>
        <w:pStyle w:val="BodyText2"/>
      </w:pPr>
      <w:r w:rsidRPr="005D6487">
        <w:t>The Noxon Unit #2 upgrade included a new turbine and complete mechanical overhaul which was completed in May 2011. This upgrade increased the unit rating by 7.5 MW.   The costs and additional generation for Unit #2 were approved for recovery in Docket No. UE-1</w:t>
      </w:r>
      <w:r w:rsidR="00026314">
        <w:t>00467</w:t>
      </w:r>
      <w:r w:rsidRPr="005D6487">
        <w:t>.</w:t>
      </w:r>
      <w:r w:rsidR="00CE5809" w:rsidRPr="005D6487">
        <w:t xml:space="preserve"> </w:t>
      </w:r>
      <w:r w:rsidR="00B52F07" w:rsidRPr="005D6487">
        <w:t>The Hydro Model study for Noxon Rapids Unit #</w:t>
      </w:r>
      <w:r w:rsidR="00CE5809" w:rsidRPr="005D6487">
        <w:t>2</w:t>
      </w:r>
      <w:r w:rsidR="00B52F07" w:rsidRPr="005D6487">
        <w:t xml:space="preserve"> resulted in </w:t>
      </w:r>
      <w:r w:rsidR="00CE5809" w:rsidRPr="005D6487">
        <w:t>7</w:t>
      </w:r>
      <w:r w:rsidR="00B52F07" w:rsidRPr="005D6487">
        <w:t>,</w:t>
      </w:r>
      <w:r w:rsidR="00CE5809" w:rsidRPr="005D6487">
        <w:t>709</w:t>
      </w:r>
      <w:r w:rsidR="00B52F07" w:rsidRPr="005D6487">
        <w:t xml:space="preserve"> MWh of annual qualifying renewable energy. Illustration </w:t>
      </w:r>
      <w:r w:rsidR="00CE5809" w:rsidRPr="005D6487">
        <w:t>5</w:t>
      </w:r>
      <w:r w:rsidR="00B52F07" w:rsidRPr="005D6487">
        <w:t xml:space="preserve"> shows the turbines curves for Unit #</w:t>
      </w:r>
      <w:r w:rsidR="00CE5809" w:rsidRPr="005D6487">
        <w:t>2</w:t>
      </w:r>
      <w:r w:rsidR="00B52F07" w:rsidRPr="005D6487">
        <w:t xml:space="preserve"> before and after the project upgrade.</w:t>
      </w:r>
      <w:r w:rsidR="00A435E4">
        <w:t xml:space="preserve"> </w:t>
      </w:r>
      <w:r w:rsidR="00A435E4" w:rsidRPr="00A435E4">
        <w:t>The upgraded turbine produces energy more efficiently at the streamflow conditions where this unit typically operates.</w:t>
      </w:r>
      <w:r w:rsidR="00232531" w:rsidRPr="00232531">
        <w:t xml:space="preserve"> </w:t>
      </w:r>
    </w:p>
    <w:p w14:paraId="51A8BA8C" w14:textId="77777777" w:rsidR="00B52F07" w:rsidRPr="005D6487" w:rsidRDefault="00B52F07" w:rsidP="003434E2">
      <w:pPr>
        <w:pStyle w:val="BodyText2"/>
        <w:tabs>
          <w:tab w:val="left" w:pos="1440"/>
        </w:tabs>
        <w:ind w:firstLine="720"/>
      </w:pPr>
    </w:p>
    <w:p w14:paraId="51A8BA8D" w14:textId="77777777" w:rsidR="00B52F07" w:rsidRPr="005D6487" w:rsidRDefault="00B52F07" w:rsidP="00B52F07">
      <w:pPr>
        <w:pStyle w:val="BodyText2"/>
        <w:tabs>
          <w:tab w:val="left" w:pos="1440"/>
        </w:tabs>
        <w:ind w:firstLine="720"/>
        <w:jc w:val="center"/>
        <w:rPr>
          <w:b/>
        </w:rPr>
      </w:pPr>
      <w:r w:rsidRPr="005D6487">
        <w:rPr>
          <w:b/>
        </w:rPr>
        <w:t>Illustration 5: Noxon Rapids Unit #2 Turbine Curves</w:t>
      </w:r>
    </w:p>
    <w:p w14:paraId="51A8BA8E" w14:textId="77777777" w:rsidR="00B362C4" w:rsidRPr="005D6487" w:rsidRDefault="00311D3C" w:rsidP="00B52F07">
      <w:pPr>
        <w:pStyle w:val="BodyText2"/>
        <w:jc w:val="left"/>
      </w:pPr>
      <w:r w:rsidRPr="00311D3C">
        <w:rPr>
          <w:noProof/>
        </w:rPr>
        <w:drawing>
          <wp:inline distT="0" distB="0" distL="0" distR="0" wp14:anchorId="51A8BB32" wp14:editId="51A8BB33">
            <wp:extent cx="5486400" cy="4061487"/>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486400" cy="4061487"/>
                    </a:xfrm>
                    <a:prstGeom prst="rect">
                      <a:avLst/>
                    </a:prstGeom>
                    <a:noFill/>
                    <a:ln w="9525">
                      <a:noFill/>
                      <a:miter lim="800000"/>
                      <a:headEnd/>
                      <a:tailEnd/>
                    </a:ln>
                  </pic:spPr>
                </pic:pic>
              </a:graphicData>
            </a:graphic>
          </wp:inline>
        </w:drawing>
      </w:r>
    </w:p>
    <w:p w14:paraId="51A8BA8F" w14:textId="77777777" w:rsidR="00CE5809" w:rsidRPr="005D6487" w:rsidRDefault="00CE5809" w:rsidP="0005416C">
      <w:pPr>
        <w:pStyle w:val="BodyText2"/>
        <w:tabs>
          <w:tab w:val="left" w:pos="1440"/>
        </w:tabs>
        <w:jc w:val="left"/>
        <w:rPr>
          <w:b/>
        </w:rPr>
      </w:pPr>
    </w:p>
    <w:p w14:paraId="51A8BA90" w14:textId="77777777" w:rsidR="00E53D84" w:rsidRDefault="00E53D84" w:rsidP="0005416C">
      <w:pPr>
        <w:pStyle w:val="BodyText2"/>
        <w:tabs>
          <w:tab w:val="left" w:pos="1440"/>
        </w:tabs>
        <w:jc w:val="left"/>
        <w:rPr>
          <w:b/>
        </w:rPr>
      </w:pPr>
    </w:p>
    <w:p w14:paraId="51A8BA91" w14:textId="77777777" w:rsidR="00B362C4" w:rsidRPr="005D6487" w:rsidRDefault="003434E2" w:rsidP="0005416C">
      <w:pPr>
        <w:pStyle w:val="BodyText2"/>
        <w:tabs>
          <w:tab w:val="left" w:pos="1440"/>
        </w:tabs>
        <w:jc w:val="left"/>
      </w:pPr>
      <w:r w:rsidRPr="005D6487">
        <w:rPr>
          <w:b/>
        </w:rPr>
        <w:t xml:space="preserve">Noxon Rapids </w:t>
      </w:r>
      <w:r w:rsidR="0005416C" w:rsidRPr="005D6487">
        <w:rPr>
          <w:b/>
        </w:rPr>
        <w:t>Unit #3</w:t>
      </w:r>
      <w:r w:rsidR="00CE5809" w:rsidRPr="005D6487">
        <w:rPr>
          <w:b/>
        </w:rPr>
        <w:t xml:space="preserve"> Upgrade</w:t>
      </w:r>
      <w:r w:rsidR="0005416C" w:rsidRPr="005D6487">
        <w:t xml:space="preserve"> </w:t>
      </w:r>
    </w:p>
    <w:p w14:paraId="51A8BA92" w14:textId="77777777" w:rsidR="00B52F07" w:rsidRPr="00A435E4" w:rsidRDefault="002463AA" w:rsidP="00CE5809">
      <w:pPr>
        <w:pStyle w:val="BodyText2"/>
      </w:pPr>
      <w:r w:rsidRPr="005D6487">
        <w:t>The Noxon Unit #3 upgrade</w:t>
      </w:r>
      <w:r w:rsidR="00CE5809" w:rsidRPr="005D6487">
        <w:t xml:space="preserve"> was</w:t>
      </w:r>
      <w:r w:rsidRPr="005D6487">
        <w:t xml:space="preserve"> completed in May 2010</w:t>
      </w:r>
      <w:r w:rsidR="00CE5809" w:rsidRPr="005D6487">
        <w:t xml:space="preserve">. The upgrade included a turbine runner replacement, which </w:t>
      </w:r>
      <w:r w:rsidRPr="005D6487">
        <w:t>increased boost the unit rating by 7.5 MW.  The costs and additional generation for Unit #3 were approved for recovery in Docket No. UE-</w:t>
      </w:r>
      <w:r w:rsidR="00026314">
        <w:t>090134</w:t>
      </w:r>
      <w:r w:rsidRPr="005D6487">
        <w:t>.</w:t>
      </w:r>
      <w:r w:rsidR="00CE5809" w:rsidRPr="005D6487">
        <w:t xml:space="preserve"> </w:t>
      </w:r>
      <w:r w:rsidR="00B52F07" w:rsidRPr="005D6487">
        <w:t>The Hydro Model study for Noxon Rapids Unit #</w:t>
      </w:r>
      <w:r w:rsidR="00CE5809" w:rsidRPr="005D6487">
        <w:t>3</w:t>
      </w:r>
      <w:r w:rsidR="00B52F07" w:rsidRPr="005D6487">
        <w:t xml:space="preserve"> resulted in 1</w:t>
      </w:r>
      <w:r w:rsidR="00CE5809" w:rsidRPr="005D6487">
        <w:t>4</w:t>
      </w:r>
      <w:r w:rsidR="00B52F07" w:rsidRPr="005D6487">
        <w:t>,</w:t>
      </w:r>
      <w:r w:rsidR="00CE5809" w:rsidRPr="005D6487">
        <w:t>529</w:t>
      </w:r>
      <w:r w:rsidR="00B52F07" w:rsidRPr="005D6487">
        <w:t xml:space="preserve"> MWh of annual qualifying renewable energy. Illustration </w:t>
      </w:r>
      <w:r w:rsidR="00CE5809" w:rsidRPr="005D6487">
        <w:t>6</w:t>
      </w:r>
      <w:r w:rsidR="00B52F07" w:rsidRPr="005D6487">
        <w:t xml:space="preserve"> shows the turbines curves for Unit #</w:t>
      </w:r>
      <w:r w:rsidR="00CE5809" w:rsidRPr="005D6487">
        <w:t>3</w:t>
      </w:r>
      <w:r w:rsidR="00B52F07" w:rsidRPr="005D6487">
        <w:t xml:space="preserve"> before and after the project upgrade.</w:t>
      </w:r>
      <w:r w:rsidR="00A435E4" w:rsidRPr="00A435E4">
        <w:rPr>
          <w:b/>
        </w:rPr>
        <w:t xml:space="preserve"> </w:t>
      </w:r>
      <w:r w:rsidR="00A435E4" w:rsidRPr="00A435E4">
        <w:t>The upgraded turbine produces energy more efficiently at the streamflow conditions where this unit typically operates.</w:t>
      </w:r>
      <w:r w:rsidR="00232531" w:rsidRPr="00232531">
        <w:t xml:space="preserve"> The Commission reviewed the Noxon Rapids Unit # </w:t>
      </w:r>
      <w:r w:rsidR="00232531">
        <w:t>3</w:t>
      </w:r>
      <w:r w:rsidR="00232531" w:rsidRPr="00232531">
        <w:t xml:space="preserve"> upgrade in Docket No</w:t>
      </w:r>
      <w:r w:rsidR="00232531">
        <w:t>s</w:t>
      </w:r>
      <w:r w:rsidR="00232531" w:rsidRPr="00232531">
        <w:t>. UE-090134</w:t>
      </w:r>
      <w:r w:rsidR="00232531">
        <w:t xml:space="preserve"> and UE-100467</w:t>
      </w:r>
      <w:r w:rsidR="00232531" w:rsidRPr="00232531">
        <w:t>.</w:t>
      </w:r>
    </w:p>
    <w:p w14:paraId="51A8BA93" w14:textId="77777777" w:rsidR="00B52F07" w:rsidRPr="005D6487" w:rsidRDefault="00B52F07" w:rsidP="002463AA">
      <w:pPr>
        <w:pStyle w:val="BodyText2"/>
        <w:tabs>
          <w:tab w:val="left" w:pos="1440"/>
        </w:tabs>
        <w:ind w:firstLine="720"/>
      </w:pPr>
    </w:p>
    <w:p w14:paraId="51A8BA94" w14:textId="77777777" w:rsidR="00B52F07" w:rsidRPr="005D6487" w:rsidRDefault="00B52F07" w:rsidP="00B52F07">
      <w:pPr>
        <w:pStyle w:val="BodyText2"/>
        <w:tabs>
          <w:tab w:val="left" w:pos="1440"/>
        </w:tabs>
        <w:ind w:firstLine="720"/>
        <w:jc w:val="center"/>
        <w:rPr>
          <w:b/>
        </w:rPr>
      </w:pPr>
      <w:r w:rsidRPr="005D6487">
        <w:rPr>
          <w:b/>
        </w:rPr>
        <w:t>Illustration 6: Noxon Rapids Unit #3 Turbine Curves</w:t>
      </w:r>
    </w:p>
    <w:p w14:paraId="51A8BA95" w14:textId="77777777" w:rsidR="0005416C" w:rsidRPr="005D6487" w:rsidRDefault="00311D3C" w:rsidP="00B52F07">
      <w:pPr>
        <w:pStyle w:val="BodyText2"/>
        <w:jc w:val="left"/>
      </w:pPr>
      <w:r w:rsidRPr="00311D3C">
        <w:rPr>
          <w:noProof/>
        </w:rPr>
        <w:drawing>
          <wp:inline distT="0" distB="0" distL="0" distR="0" wp14:anchorId="51A8BB34" wp14:editId="51A8BB35">
            <wp:extent cx="5486400" cy="3946769"/>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486400" cy="3946769"/>
                    </a:xfrm>
                    <a:prstGeom prst="rect">
                      <a:avLst/>
                    </a:prstGeom>
                    <a:noFill/>
                    <a:ln w="9525">
                      <a:noFill/>
                      <a:miter lim="800000"/>
                      <a:headEnd/>
                      <a:tailEnd/>
                    </a:ln>
                  </pic:spPr>
                </pic:pic>
              </a:graphicData>
            </a:graphic>
          </wp:inline>
        </w:drawing>
      </w:r>
    </w:p>
    <w:p w14:paraId="51A8BA96" w14:textId="77777777" w:rsidR="00CE5809" w:rsidRPr="005D6487" w:rsidRDefault="00CE5809" w:rsidP="0005416C">
      <w:pPr>
        <w:pStyle w:val="BodyText2"/>
        <w:tabs>
          <w:tab w:val="left" w:pos="1440"/>
        </w:tabs>
        <w:jc w:val="left"/>
      </w:pPr>
      <w:r w:rsidRPr="005D6487">
        <w:rPr>
          <w:b/>
        </w:rPr>
        <w:t xml:space="preserve">Noxon Rapids </w:t>
      </w:r>
      <w:r w:rsidR="0005416C" w:rsidRPr="005D6487">
        <w:rPr>
          <w:b/>
        </w:rPr>
        <w:t>Unit #4</w:t>
      </w:r>
      <w:r w:rsidRPr="005D6487">
        <w:rPr>
          <w:b/>
        </w:rPr>
        <w:t xml:space="preserve"> Upgrade</w:t>
      </w:r>
      <w:r w:rsidR="0005416C" w:rsidRPr="005D6487">
        <w:t xml:space="preserve"> </w:t>
      </w:r>
    </w:p>
    <w:p w14:paraId="51A8BA97" w14:textId="77777777" w:rsidR="00B52F07" w:rsidRPr="00A435E4" w:rsidRDefault="00B362C4" w:rsidP="00B52F07">
      <w:pPr>
        <w:pStyle w:val="BodyText2"/>
      </w:pPr>
      <w:r w:rsidRPr="005D6487">
        <w:t>The upgrade work at Noxon Unit #4 involve</w:t>
      </w:r>
      <w:r w:rsidR="00CE5809" w:rsidRPr="005D6487">
        <w:t>d</w:t>
      </w:r>
      <w:r w:rsidRPr="005D6487">
        <w:t xml:space="preserve"> the installation of a new turbine and a complete mechanical overhaul. The project started in August 2011 and </w:t>
      </w:r>
      <w:r w:rsidR="00CE5809" w:rsidRPr="005D6487">
        <w:t xml:space="preserve">was </w:t>
      </w:r>
      <w:r w:rsidRPr="005D6487">
        <w:t>complet</w:t>
      </w:r>
      <w:r w:rsidR="00CE5809" w:rsidRPr="005D6487">
        <w:t>ed</w:t>
      </w:r>
      <w:r w:rsidRPr="005D6487">
        <w:t xml:space="preserve"> in May 2012. The Unit #4 upgrade </w:t>
      </w:r>
      <w:r w:rsidR="00CE5809" w:rsidRPr="005D6487">
        <w:t xml:space="preserve">is expected to </w:t>
      </w:r>
      <w:r w:rsidRPr="005D6487">
        <w:t>increase</w:t>
      </w:r>
      <w:r w:rsidR="00CE5809" w:rsidRPr="005D6487">
        <w:t xml:space="preserve"> </w:t>
      </w:r>
      <w:r w:rsidRPr="005D6487">
        <w:t>the unit capacity rating by 7.5 MW.</w:t>
      </w:r>
      <w:r w:rsidR="00CE5809" w:rsidRPr="005D6487">
        <w:t xml:space="preserve"> </w:t>
      </w:r>
      <w:r w:rsidR="00B52F07" w:rsidRPr="005D6487">
        <w:t>The Hydro Model study for Noxon Rapids Unit #</w:t>
      </w:r>
      <w:r w:rsidR="00206296" w:rsidRPr="005D6487">
        <w:t>4</w:t>
      </w:r>
      <w:r w:rsidR="00B52F07" w:rsidRPr="005D6487">
        <w:t xml:space="preserve"> resulted in </w:t>
      </w:r>
      <w:r w:rsidR="006E7699">
        <w:t>10,934</w:t>
      </w:r>
      <w:r w:rsidR="00B52F07" w:rsidRPr="005D6487">
        <w:t xml:space="preserve"> MWh of </w:t>
      </w:r>
      <w:r w:rsidR="00206296" w:rsidRPr="005D6487">
        <w:t xml:space="preserve">2012 </w:t>
      </w:r>
      <w:r w:rsidR="00B52F07" w:rsidRPr="005D6487">
        <w:t>annual qualifying renewable energy</w:t>
      </w:r>
      <w:r w:rsidR="00206296" w:rsidRPr="005D6487">
        <w:t xml:space="preserve"> after the upgrade </w:t>
      </w:r>
      <w:r w:rsidR="006E7699">
        <w:t>was</w:t>
      </w:r>
      <w:r w:rsidR="00206296" w:rsidRPr="005D6487">
        <w:t xml:space="preserve"> completed in May 2012</w:t>
      </w:r>
      <w:r w:rsidR="00B52F07" w:rsidRPr="005D6487">
        <w:t xml:space="preserve">. </w:t>
      </w:r>
      <w:r w:rsidR="00206296" w:rsidRPr="005D6487">
        <w:t xml:space="preserve">Annual qualifying renewable energy </w:t>
      </w:r>
      <w:r w:rsidR="006E7699">
        <w:t>will</w:t>
      </w:r>
      <w:r w:rsidR="00206296" w:rsidRPr="005D6487">
        <w:t xml:space="preserve"> be 1</w:t>
      </w:r>
      <w:r w:rsidR="00D15F52">
        <w:t>2,024</w:t>
      </w:r>
      <w:r w:rsidR="00206296" w:rsidRPr="005D6487">
        <w:t xml:space="preserve"> MWh starting in 2013. </w:t>
      </w:r>
      <w:r w:rsidR="00B52F07" w:rsidRPr="005D6487">
        <w:t xml:space="preserve">Illustration </w:t>
      </w:r>
      <w:r w:rsidR="00206296" w:rsidRPr="005D6487">
        <w:t>7</w:t>
      </w:r>
      <w:r w:rsidR="00B52F07" w:rsidRPr="005D6487">
        <w:t xml:space="preserve"> shows the </w:t>
      </w:r>
      <w:r w:rsidR="00206296" w:rsidRPr="005D6487">
        <w:t xml:space="preserve">estimated </w:t>
      </w:r>
      <w:r w:rsidR="00B52F07" w:rsidRPr="005D6487">
        <w:t>turbines curves for Unit #</w:t>
      </w:r>
      <w:r w:rsidR="00206296" w:rsidRPr="005D6487">
        <w:t>4</w:t>
      </w:r>
      <w:r w:rsidR="00B52F07" w:rsidRPr="005D6487">
        <w:t xml:space="preserve"> before and after the project upgrade.</w:t>
      </w:r>
      <w:r w:rsidR="00A435E4" w:rsidRPr="00A435E4">
        <w:rPr>
          <w:b/>
        </w:rPr>
        <w:t xml:space="preserve"> </w:t>
      </w:r>
      <w:r w:rsidR="00A435E4" w:rsidRPr="00A435E4">
        <w:t>The upgraded turbine produces energy more efficiently at the streamflow conditions where this unit typically operates.</w:t>
      </w:r>
      <w:r w:rsidR="00AF7840" w:rsidRPr="00AF7840">
        <w:t xml:space="preserve"> </w:t>
      </w:r>
      <w:r w:rsidR="00AF7840" w:rsidRPr="00232531">
        <w:t>The Commission review</w:t>
      </w:r>
      <w:r w:rsidR="00D81065">
        <w:t>ed</w:t>
      </w:r>
      <w:r w:rsidR="00AF7840" w:rsidRPr="00232531">
        <w:t xml:space="preserve"> the Noxon Rapids Unit # </w:t>
      </w:r>
      <w:r w:rsidR="00AF7840">
        <w:t>4</w:t>
      </w:r>
      <w:r w:rsidR="00AF7840" w:rsidRPr="00232531">
        <w:t xml:space="preserve"> upgrade in Docket No. UE-</w:t>
      </w:r>
      <w:r w:rsidR="00AF7840">
        <w:t>120436</w:t>
      </w:r>
      <w:r w:rsidR="00AF7840" w:rsidRPr="00232531">
        <w:t>.</w:t>
      </w:r>
    </w:p>
    <w:p w14:paraId="51A8BA98" w14:textId="77777777" w:rsidR="00A67E5B" w:rsidRDefault="00A67E5B" w:rsidP="00B362C4">
      <w:pPr>
        <w:rPr>
          <w:b/>
        </w:rPr>
      </w:pPr>
    </w:p>
    <w:p w14:paraId="51A8BA99" w14:textId="77777777" w:rsidR="0028217C" w:rsidRDefault="0028217C" w:rsidP="00B362C4">
      <w:pPr>
        <w:rPr>
          <w:b/>
        </w:rPr>
      </w:pPr>
    </w:p>
    <w:p w14:paraId="51A8BA9A" w14:textId="77777777" w:rsidR="0028217C" w:rsidRDefault="0028217C" w:rsidP="00B362C4">
      <w:pPr>
        <w:rPr>
          <w:b/>
        </w:rPr>
      </w:pPr>
    </w:p>
    <w:p w14:paraId="51A8BA9B" w14:textId="77777777" w:rsidR="0028217C" w:rsidRDefault="0028217C" w:rsidP="00B362C4">
      <w:pPr>
        <w:rPr>
          <w:b/>
        </w:rPr>
      </w:pPr>
    </w:p>
    <w:p w14:paraId="51A8BA9C" w14:textId="77777777" w:rsidR="0028217C" w:rsidRDefault="0028217C" w:rsidP="00B362C4">
      <w:pPr>
        <w:rPr>
          <w:b/>
        </w:rPr>
      </w:pPr>
    </w:p>
    <w:p w14:paraId="51A8BA9D" w14:textId="77777777" w:rsidR="0028217C" w:rsidRDefault="0028217C" w:rsidP="00B362C4">
      <w:pPr>
        <w:rPr>
          <w:b/>
        </w:rPr>
      </w:pPr>
    </w:p>
    <w:p w14:paraId="51A8BA9E" w14:textId="77777777" w:rsidR="0028217C" w:rsidRDefault="0028217C" w:rsidP="00B362C4">
      <w:pPr>
        <w:rPr>
          <w:b/>
        </w:rPr>
      </w:pPr>
    </w:p>
    <w:p w14:paraId="51A8BA9F" w14:textId="77777777" w:rsidR="0028217C" w:rsidRDefault="0028217C" w:rsidP="00B362C4">
      <w:pPr>
        <w:rPr>
          <w:b/>
        </w:rPr>
      </w:pPr>
    </w:p>
    <w:p w14:paraId="51A8BAA0" w14:textId="77777777" w:rsidR="0028217C" w:rsidRDefault="0028217C" w:rsidP="00B362C4">
      <w:pPr>
        <w:rPr>
          <w:b/>
        </w:rPr>
      </w:pPr>
    </w:p>
    <w:p w14:paraId="51A8BAA1" w14:textId="77777777" w:rsidR="0028217C" w:rsidRDefault="0028217C" w:rsidP="00B362C4">
      <w:pPr>
        <w:rPr>
          <w:b/>
        </w:rPr>
      </w:pPr>
    </w:p>
    <w:p w14:paraId="51A8BAA2" w14:textId="77777777" w:rsidR="0028217C" w:rsidRDefault="0028217C" w:rsidP="00B362C4">
      <w:pPr>
        <w:rPr>
          <w:b/>
        </w:rPr>
      </w:pPr>
    </w:p>
    <w:p w14:paraId="51A8BAA3" w14:textId="77777777" w:rsidR="0028217C" w:rsidRDefault="0028217C" w:rsidP="00B362C4">
      <w:pPr>
        <w:rPr>
          <w:b/>
        </w:rPr>
      </w:pPr>
    </w:p>
    <w:p w14:paraId="51A8BAA4" w14:textId="77777777" w:rsidR="0028217C" w:rsidRDefault="0028217C" w:rsidP="00B362C4">
      <w:pPr>
        <w:rPr>
          <w:b/>
        </w:rPr>
      </w:pPr>
    </w:p>
    <w:p w14:paraId="51A8BAA5" w14:textId="77777777" w:rsidR="0028217C" w:rsidRDefault="0028217C" w:rsidP="00B362C4">
      <w:pPr>
        <w:rPr>
          <w:b/>
        </w:rPr>
      </w:pPr>
    </w:p>
    <w:p w14:paraId="51A8BAA6" w14:textId="77777777" w:rsidR="0028217C" w:rsidRDefault="0028217C" w:rsidP="00B362C4">
      <w:pPr>
        <w:rPr>
          <w:b/>
        </w:rPr>
      </w:pPr>
    </w:p>
    <w:p w14:paraId="51A8BAA7" w14:textId="77777777" w:rsidR="0028217C" w:rsidRDefault="0028217C" w:rsidP="00B362C4">
      <w:pPr>
        <w:rPr>
          <w:b/>
        </w:rPr>
      </w:pPr>
    </w:p>
    <w:p w14:paraId="51A8BAA8" w14:textId="77777777" w:rsidR="0028217C" w:rsidRDefault="0028217C" w:rsidP="00B362C4">
      <w:pPr>
        <w:rPr>
          <w:b/>
        </w:rPr>
      </w:pPr>
    </w:p>
    <w:p w14:paraId="51A8BAA9" w14:textId="77777777" w:rsidR="0028217C" w:rsidRDefault="0028217C" w:rsidP="00B362C4">
      <w:pPr>
        <w:rPr>
          <w:b/>
        </w:rPr>
      </w:pPr>
    </w:p>
    <w:p w14:paraId="51A8BAAA" w14:textId="77777777" w:rsidR="004F581C" w:rsidRDefault="004F581C" w:rsidP="00B362C4">
      <w:pPr>
        <w:rPr>
          <w:b/>
        </w:rPr>
      </w:pPr>
    </w:p>
    <w:p w14:paraId="51A8BAAB" w14:textId="77777777" w:rsidR="004F581C" w:rsidRDefault="004F581C" w:rsidP="00B362C4">
      <w:pPr>
        <w:rPr>
          <w:b/>
        </w:rPr>
      </w:pPr>
    </w:p>
    <w:p w14:paraId="51A8BAAC" w14:textId="77777777" w:rsidR="0028217C" w:rsidRDefault="0028217C" w:rsidP="00B362C4">
      <w:pPr>
        <w:rPr>
          <w:b/>
        </w:rPr>
      </w:pPr>
    </w:p>
    <w:p w14:paraId="51A8BAAD" w14:textId="77777777" w:rsidR="0028217C" w:rsidRDefault="0028217C" w:rsidP="00B362C4">
      <w:pPr>
        <w:rPr>
          <w:b/>
        </w:rPr>
      </w:pPr>
    </w:p>
    <w:p w14:paraId="51A8BAAE" w14:textId="77777777" w:rsidR="0028217C" w:rsidRDefault="0028217C" w:rsidP="00B362C4">
      <w:pPr>
        <w:rPr>
          <w:b/>
        </w:rPr>
      </w:pPr>
    </w:p>
    <w:p w14:paraId="51A8BAAF" w14:textId="77777777" w:rsidR="0028217C" w:rsidRPr="005D6487" w:rsidRDefault="0028217C" w:rsidP="00B362C4">
      <w:pPr>
        <w:rPr>
          <w:b/>
        </w:rPr>
      </w:pPr>
    </w:p>
    <w:p w14:paraId="51A8BAB0" w14:textId="77777777" w:rsidR="00B52F07" w:rsidRPr="005D6487" w:rsidRDefault="00B52F07" w:rsidP="00B52F07">
      <w:pPr>
        <w:pStyle w:val="BodyText2"/>
        <w:tabs>
          <w:tab w:val="left" w:pos="1440"/>
        </w:tabs>
        <w:ind w:firstLine="720"/>
        <w:jc w:val="center"/>
        <w:rPr>
          <w:b/>
        </w:rPr>
      </w:pPr>
      <w:r w:rsidRPr="005D6487">
        <w:rPr>
          <w:b/>
        </w:rPr>
        <w:t>Illustration 7: Noxon Rapids Unit #4 Turbine Curves</w:t>
      </w:r>
    </w:p>
    <w:p w14:paraId="51A8BAB1" w14:textId="77777777" w:rsidR="00CF272C" w:rsidRPr="005D6487" w:rsidRDefault="004330E5" w:rsidP="0031783C">
      <w:pPr>
        <w:pStyle w:val="BodyText"/>
        <w:jc w:val="left"/>
      </w:pPr>
      <w:r w:rsidRPr="004330E5">
        <w:rPr>
          <w:noProof/>
        </w:rPr>
        <w:drawing>
          <wp:inline distT="0" distB="0" distL="0" distR="0" wp14:anchorId="51A8BB36" wp14:editId="51A8BB37">
            <wp:extent cx="5353050" cy="3695700"/>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353050" cy="3695700"/>
                    </a:xfrm>
                    <a:prstGeom prst="rect">
                      <a:avLst/>
                    </a:prstGeom>
                    <a:noFill/>
                    <a:ln w="9525">
                      <a:noFill/>
                      <a:miter lim="800000"/>
                      <a:headEnd/>
                      <a:tailEnd/>
                    </a:ln>
                  </pic:spPr>
                </pic:pic>
              </a:graphicData>
            </a:graphic>
          </wp:inline>
        </w:drawing>
      </w:r>
    </w:p>
    <w:p w14:paraId="51A8BAB2" w14:textId="77777777" w:rsidR="00CF272C" w:rsidRPr="005D6487" w:rsidRDefault="00CF272C" w:rsidP="0031783C">
      <w:pPr>
        <w:pStyle w:val="BodyText"/>
        <w:jc w:val="left"/>
      </w:pPr>
    </w:p>
    <w:p w14:paraId="51A8BAB3" w14:textId="77777777" w:rsidR="0031783C" w:rsidRPr="005D6487" w:rsidRDefault="0031783C" w:rsidP="0066012D">
      <w:pPr>
        <w:pStyle w:val="BodyText"/>
        <w:spacing w:line="480" w:lineRule="auto"/>
        <w:jc w:val="left"/>
      </w:pPr>
      <w:r w:rsidRPr="005D6487">
        <w:t xml:space="preserve">Summary of Clark Fork Upgrades </w:t>
      </w:r>
    </w:p>
    <w:p w14:paraId="51A8BAB4" w14:textId="77777777" w:rsidR="0031783C" w:rsidRDefault="0031783C" w:rsidP="0066012D">
      <w:pPr>
        <w:spacing w:line="480" w:lineRule="auto"/>
      </w:pPr>
      <w:r w:rsidRPr="005D6487">
        <w:t>Table 1 summariz</w:t>
      </w:r>
      <w:r w:rsidR="00CF272C" w:rsidRPr="005D6487">
        <w:t>es</w:t>
      </w:r>
      <w:r w:rsidRPr="005D6487">
        <w:t xml:space="preserve"> the annual incremental energy amounts determined by the Hydro Model for 2002 through 2011. </w:t>
      </w:r>
      <w:r w:rsidR="0028217C">
        <w:t xml:space="preserve">The average annual incremental energy over the 10-year period is the amount of qualifying renewable energy output from each hydroelectric upgrade. </w:t>
      </w:r>
      <w:r w:rsidR="00E941D0">
        <w:t>The supporting documentation for Table 1 is in the confidential work papers for this filing.</w:t>
      </w:r>
    </w:p>
    <w:p w14:paraId="51A8BAB5" w14:textId="77777777" w:rsidR="0028217C" w:rsidRDefault="0028217C" w:rsidP="0066012D">
      <w:pPr>
        <w:spacing w:line="480" w:lineRule="auto"/>
      </w:pPr>
    </w:p>
    <w:p w14:paraId="51A8BAB6" w14:textId="77777777" w:rsidR="0028217C" w:rsidRDefault="0028217C" w:rsidP="0066012D">
      <w:pPr>
        <w:spacing w:line="480" w:lineRule="auto"/>
      </w:pPr>
    </w:p>
    <w:p w14:paraId="51A8BAB7" w14:textId="77777777" w:rsidR="0028217C" w:rsidRDefault="0028217C" w:rsidP="0066012D">
      <w:pPr>
        <w:spacing w:line="480" w:lineRule="auto"/>
      </w:pPr>
    </w:p>
    <w:p w14:paraId="51A8BAB8" w14:textId="77777777" w:rsidR="0028217C" w:rsidRDefault="0028217C" w:rsidP="0066012D">
      <w:pPr>
        <w:spacing w:line="480" w:lineRule="auto"/>
      </w:pPr>
    </w:p>
    <w:p w14:paraId="51A8BAB9" w14:textId="77777777" w:rsidR="0028217C" w:rsidRDefault="0028217C" w:rsidP="0066012D">
      <w:pPr>
        <w:spacing w:line="480" w:lineRule="auto"/>
      </w:pPr>
    </w:p>
    <w:p w14:paraId="51A8BABA" w14:textId="77777777" w:rsidR="00AE7800" w:rsidRPr="005D6487" w:rsidRDefault="00AE7800" w:rsidP="00AE7800">
      <w:pPr>
        <w:pStyle w:val="BodyText2"/>
        <w:tabs>
          <w:tab w:val="left" w:pos="1440"/>
        </w:tabs>
        <w:ind w:firstLine="720"/>
        <w:jc w:val="center"/>
        <w:rPr>
          <w:b/>
        </w:rPr>
      </w:pPr>
      <w:r w:rsidRPr="005D6487">
        <w:rPr>
          <w:b/>
        </w:rPr>
        <w:t>Table 1: Clark Fork Annual Incremental Energy from Qualified Upgrades</w:t>
      </w:r>
    </w:p>
    <w:tbl>
      <w:tblPr>
        <w:tblW w:w="9225" w:type="dxa"/>
        <w:tblInd w:w="93" w:type="dxa"/>
        <w:tblLook w:val="04A0" w:firstRow="1" w:lastRow="0" w:firstColumn="1" w:lastColumn="0" w:noHBand="0" w:noVBand="1"/>
      </w:tblPr>
      <w:tblGrid>
        <w:gridCol w:w="1006"/>
        <w:gridCol w:w="1154"/>
        <w:gridCol w:w="1170"/>
        <w:gridCol w:w="1170"/>
        <w:gridCol w:w="1170"/>
        <w:gridCol w:w="1170"/>
        <w:gridCol w:w="1170"/>
        <w:gridCol w:w="1215"/>
      </w:tblGrid>
      <w:tr w:rsidR="0031783C" w:rsidRPr="005D6487" w14:paraId="51A8BABC" w14:textId="77777777" w:rsidTr="00AE7800">
        <w:trPr>
          <w:trHeight w:val="315"/>
        </w:trPr>
        <w:tc>
          <w:tcPr>
            <w:tcW w:w="9225" w:type="dxa"/>
            <w:gridSpan w:val="8"/>
            <w:tcBorders>
              <w:top w:val="single" w:sz="4" w:space="0" w:color="auto"/>
              <w:left w:val="single" w:sz="4" w:space="0" w:color="auto"/>
              <w:bottom w:val="single" w:sz="4" w:space="0" w:color="auto"/>
              <w:right w:val="single" w:sz="4" w:space="0" w:color="000000"/>
            </w:tcBorders>
            <w:shd w:val="clear" w:color="000000" w:fill="A5A5A5"/>
            <w:noWrap/>
            <w:vAlign w:val="bottom"/>
            <w:hideMark/>
          </w:tcPr>
          <w:p w14:paraId="51A8BABB" w14:textId="77777777" w:rsidR="0031783C" w:rsidRPr="005D6487" w:rsidRDefault="0031783C" w:rsidP="0031783C">
            <w:pPr>
              <w:jc w:val="center"/>
              <w:rPr>
                <w:b/>
                <w:bCs/>
                <w:color w:val="000000"/>
              </w:rPr>
            </w:pPr>
            <w:r w:rsidRPr="005D6487">
              <w:rPr>
                <w:b/>
                <w:bCs/>
                <w:color w:val="000000"/>
              </w:rPr>
              <w:t>Incremental MWh</w:t>
            </w:r>
          </w:p>
        </w:tc>
      </w:tr>
      <w:tr w:rsidR="0031783C" w:rsidRPr="005D6487" w14:paraId="51A8BAC5"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BD" w14:textId="77777777" w:rsidR="0031783C" w:rsidRPr="005D6487" w:rsidRDefault="0031783C" w:rsidP="0031783C">
            <w:pPr>
              <w:rPr>
                <w:b/>
                <w:bCs/>
                <w:color w:val="000000"/>
                <w:sz w:val="20"/>
                <w:szCs w:val="20"/>
              </w:rPr>
            </w:pPr>
            <w:r w:rsidRPr="005D6487">
              <w:rPr>
                <w:b/>
                <w:bCs/>
                <w:color w:val="000000"/>
                <w:sz w:val="20"/>
                <w:szCs w:val="20"/>
              </w:rPr>
              <w:t> </w:t>
            </w:r>
            <w:r w:rsidR="00E8782E" w:rsidRPr="005D6487">
              <w:rPr>
                <w:b/>
                <w:bCs/>
                <w:color w:val="000000"/>
                <w:sz w:val="20"/>
                <w:szCs w:val="20"/>
              </w:rPr>
              <w:t>Year</w:t>
            </w:r>
          </w:p>
        </w:tc>
        <w:tc>
          <w:tcPr>
            <w:tcW w:w="1154" w:type="dxa"/>
            <w:tcBorders>
              <w:top w:val="nil"/>
              <w:left w:val="nil"/>
              <w:bottom w:val="single" w:sz="4" w:space="0" w:color="auto"/>
              <w:right w:val="single" w:sz="4" w:space="0" w:color="auto"/>
            </w:tcBorders>
            <w:shd w:val="clear" w:color="000000" w:fill="D8D8D8"/>
            <w:noWrap/>
            <w:vAlign w:val="bottom"/>
            <w:hideMark/>
          </w:tcPr>
          <w:p w14:paraId="51A8BABE" w14:textId="77777777" w:rsidR="0031783C" w:rsidRPr="005D6487" w:rsidRDefault="0031783C" w:rsidP="0031783C">
            <w:pPr>
              <w:rPr>
                <w:b/>
                <w:bCs/>
                <w:color w:val="000000"/>
                <w:sz w:val="20"/>
                <w:szCs w:val="20"/>
              </w:rPr>
            </w:pPr>
            <w:r w:rsidRPr="005D6487">
              <w:rPr>
                <w:b/>
                <w:bCs/>
                <w:color w:val="000000"/>
                <w:sz w:val="20"/>
                <w:szCs w:val="20"/>
              </w:rPr>
              <w:t>Cabinet Gorge #3 Upgrade</w:t>
            </w:r>
          </w:p>
        </w:tc>
        <w:tc>
          <w:tcPr>
            <w:tcW w:w="1170" w:type="dxa"/>
            <w:tcBorders>
              <w:top w:val="nil"/>
              <w:left w:val="nil"/>
              <w:bottom w:val="single" w:sz="4" w:space="0" w:color="auto"/>
              <w:right w:val="single" w:sz="4" w:space="0" w:color="auto"/>
            </w:tcBorders>
            <w:shd w:val="clear" w:color="000000" w:fill="D8D8D8"/>
            <w:noWrap/>
            <w:vAlign w:val="bottom"/>
            <w:hideMark/>
          </w:tcPr>
          <w:p w14:paraId="51A8BABF" w14:textId="77777777" w:rsidR="0031783C" w:rsidRPr="005D6487" w:rsidRDefault="0031783C" w:rsidP="0031783C">
            <w:pPr>
              <w:rPr>
                <w:b/>
                <w:bCs/>
                <w:color w:val="000000"/>
                <w:sz w:val="20"/>
                <w:szCs w:val="20"/>
              </w:rPr>
            </w:pPr>
            <w:r w:rsidRPr="005D6487">
              <w:rPr>
                <w:b/>
                <w:bCs/>
                <w:color w:val="000000"/>
                <w:sz w:val="20"/>
                <w:szCs w:val="20"/>
              </w:rPr>
              <w:t>Cabinet Gorge #2 Upgrade</w:t>
            </w:r>
          </w:p>
        </w:tc>
        <w:tc>
          <w:tcPr>
            <w:tcW w:w="1170" w:type="dxa"/>
            <w:tcBorders>
              <w:top w:val="nil"/>
              <w:left w:val="nil"/>
              <w:bottom w:val="single" w:sz="4" w:space="0" w:color="auto"/>
              <w:right w:val="single" w:sz="4" w:space="0" w:color="auto"/>
            </w:tcBorders>
            <w:shd w:val="clear" w:color="000000" w:fill="D8D8D8"/>
            <w:noWrap/>
            <w:vAlign w:val="bottom"/>
            <w:hideMark/>
          </w:tcPr>
          <w:p w14:paraId="51A8BAC0" w14:textId="77777777" w:rsidR="0031783C" w:rsidRPr="005D6487" w:rsidRDefault="0031783C" w:rsidP="0031783C">
            <w:pPr>
              <w:rPr>
                <w:b/>
                <w:bCs/>
                <w:color w:val="000000"/>
                <w:sz w:val="20"/>
                <w:szCs w:val="20"/>
              </w:rPr>
            </w:pPr>
            <w:r w:rsidRPr="005D6487">
              <w:rPr>
                <w:b/>
                <w:bCs/>
                <w:color w:val="000000"/>
                <w:sz w:val="20"/>
                <w:szCs w:val="20"/>
              </w:rPr>
              <w:t>Cabinet Gorge #4 Upgrade</w:t>
            </w:r>
          </w:p>
        </w:tc>
        <w:tc>
          <w:tcPr>
            <w:tcW w:w="1170" w:type="dxa"/>
            <w:tcBorders>
              <w:top w:val="nil"/>
              <w:left w:val="nil"/>
              <w:bottom w:val="single" w:sz="4" w:space="0" w:color="auto"/>
              <w:right w:val="single" w:sz="4" w:space="0" w:color="auto"/>
            </w:tcBorders>
            <w:shd w:val="clear" w:color="000000" w:fill="D8D8D8"/>
            <w:noWrap/>
            <w:vAlign w:val="bottom"/>
            <w:hideMark/>
          </w:tcPr>
          <w:p w14:paraId="51A8BAC1" w14:textId="77777777" w:rsidR="0031783C" w:rsidRPr="005D6487" w:rsidRDefault="0031783C" w:rsidP="0031783C">
            <w:pPr>
              <w:rPr>
                <w:b/>
                <w:bCs/>
                <w:color w:val="000000"/>
                <w:sz w:val="20"/>
                <w:szCs w:val="20"/>
              </w:rPr>
            </w:pPr>
            <w:r w:rsidRPr="005D6487">
              <w:rPr>
                <w:b/>
                <w:bCs/>
                <w:color w:val="000000"/>
                <w:sz w:val="20"/>
                <w:szCs w:val="20"/>
              </w:rPr>
              <w:t>Noxon Rapids #1 Upgrade</w:t>
            </w:r>
          </w:p>
        </w:tc>
        <w:tc>
          <w:tcPr>
            <w:tcW w:w="1170" w:type="dxa"/>
            <w:tcBorders>
              <w:top w:val="nil"/>
              <w:left w:val="nil"/>
              <w:bottom w:val="single" w:sz="4" w:space="0" w:color="auto"/>
              <w:right w:val="single" w:sz="4" w:space="0" w:color="auto"/>
            </w:tcBorders>
            <w:shd w:val="clear" w:color="000000" w:fill="D8D8D8"/>
            <w:noWrap/>
            <w:vAlign w:val="bottom"/>
            <w:hideMark/>
          </w:tcPr>
          <w:p w14:paraId="51A8BAC2" w14:textId="77777777" w:rsidR="0031783C" w:rsidRPr="005D6487" w:rsidRDefault="0031783C" w:rsidP="0031783C">
            <w:pPr>
              <w:rPr>
                <w:b/>
                <w:bCs/>
                <w:color w:val="000000"/>
                <w:sz w:val="20"/>
                <w:szCs w:val="20"/>
              </w:rPr>
            </w:pPr>
            <w:r w:rsidRPr="005D6487">
              <w:rPr>
                <w:b/>
                <w:bCs/>
                <w:color w:val="000000"/>
                <w:sz w:val="20"/>
                <w:szCs w:val="20"/>
              </w:rPr>
              <w:t>Noxon Rapids #3 Upgrade</w:t>
            </w:r>
          </w:p>
        </w:tc>
        <w:tc>
          <w:tcPr>
            <w:tcW w:w="1170" w:type="dxa"/>
            <w:tcBorders>
              <w:top w:val="nil"/>
              <w:left w:val="nil"/>
              <w:bottom w:val="single" w:sz="4" w:space="0" w:color="auto"/>
              <w:right w:val="single" w:sz="4" w:space="0" w:color="auto"/>
            </w:tcBorders>
            <w:shd w:val="clear" w:color="000000" w:fill="D8D8D8"/>
            <w:noWrap/>
            <w:vAlign w:val="bottom"/>
            <w:hideMark/>
          </w:tcPr>
          <w:p w14:paraId="51A8BAC3" w14:textId="77777777" w:rsidR="0031783C" w:rsidRPr="005D6487" w:rsidRDefault="0031783C" w:rsidP="0031783C">
            <w:pPr>
              <w:rPr>
                <w:b/>
                <w:bCs/>
                <w:color w:val="000000"/>
                <w:sz w:val="20"/>
                <w:szCs w:val="20"/>
              </w:rPr>
            </w:pPr>
            <w:r w:rsidRPr="005D6487">
              <w:rPr>
                <w:b/>
                <w:bCs/>
                <w:color w:val="000000"/>
                <w:sz w:val="20"/>
                <w:szCs w:val="20"/>
              </w:rPr>
              <w:t>Noxon Rapids #2 Upgrade</w:t>
            </w:r>
          </w:p>
        </w:tc>
        <w:tc>
          <w:tcPr>
            <w:tcW w:w="1215" w:type="dxa"/>
            <w:tcBorders>
              <w:top w:val="nil"/>
              <w:left w:val="nil"/>
              <w:bottom w:val="single" w:sz="4" w:space="0" w:color="auto"/>
              <w:right w:val="single" w:sz="4" w:space="0" w:color="auto"/>
            </w:tcBorders>
            <w:shd w:val="clear" w:color="000000" w:fill="D8D8D8"/>
            <w:noWrap/>
            <w:vAlign w:val="bottom"/>
            <w:hideMark/>
          </w:tcPr>
          <w:p w14:paraId="51A8BAC4" w14:textId="77777777" w:rsidR="0031783C" w:rsidRPr="005D6487" w:rsidRDefault="0031783C" w:rsidP="0031783C">
            <w:pPr>
              <w:rPr>
                <w:b/>
                <w:bCs/>
                <w:color w:val="000000"/>
                <w:sz w:val="20"/>
                <w:szCs w:val="20"/>
              </w:rPr>
            </w:pPr>
            <w:r w:rsidRPr="005D6487">
              <w:rPr>
                <w:b/>
                <w:bCs/>
                <w:color w:val="000000"/>
                <w:sz w:val="20"/>
                <w:szCs w:val="20"/>
              </w:rPr>
              <w:t>N</w:t>
            </w:r>
            <w:r w:rsidR="00E8782E" w:rsidRPr="005D6487">
              <w:rPr>
                <w:b/>
                <w:bCs/>
                <w:color w:val="000000"/>
                <w:sz w:val="20"/>
                <w:szCs w:val="20"/>
              </w:rPr>
              <w:t xml:space="preserve">oxon </w:t>
            </w:r>
            <w:r w:rsidRPr="005D6487">
              <w:rPr>
                <w:b/>
                <w:bCs/>
                <w:color w:val="000000"/>
                <w:sz w:val="20"/>
                <w:szCs w:val="20"/>
              </w:rPr>
              <w:t>R</w:t>
            </w:r>
            <w:r w:rsidR="00E8782E" w:rsidRPr="005D6487">
              <w:rPr>
                <w:b/>
                <w:bCs/>
                <w:color w:val="000000"/>
                <w:sz w:val="20"/>
                <w:szCs w:val="20"/>
              </w:rPr>
              <w:t>apids #</w:t>
            </w:r>
            <w:r w:rsidRPr="005D6487">
              <w:rPr>
                <w:b/>
                <w:bCs/>
                <w:color w:val="000000"/>
                <w:sz w:val="20"/>
                <w:szCs w:val="20"/>
              </w:rPr>
              <w:t>4 Upgrade</w:t>
            </w:r>
          </w:p>
        </w:tc>
      </w:tr>
      <w:tr w:rsidR="0031783C" w:rsidRPr="005D6487" w14:paraId="51A8BACE"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C6" w14:textId="77777777" w:rsidR="0031783C" w:rsidRPr="005D6487" w:rsidRDefault="0031783C" w:rsidP="0031783C">
            <w:pPr>
              <w:jc w:val="center"/>
              <w:rPr>
                <w:b/>
                <w:bCs/>
                <w:color w:val="000000"/>
                <w:sz w:val="20"/>
                <w:szCs w:val="20"/>
              </w:rPr>
            </w:pPr>
            <w:r w:rsidRPr="005D6487">
              <w:rPr>
                <w:b/>
                <w:bCs/>
                <w:color w:val="000000"/>
                <w:sz w:val="20"/>
                <w:szCs w:val="20"/>
              </w:rPr>
              <w:t>2002</w:t>
            </w:r>
          </w:p>
        </w:tc>
        <w:tc>
          <w:tcPr>
            <w:tcW w:w="1154" w:type="dxa"/>
            <w:tcBorders>
              <w:top w:val="nil"/>
              <w:left w:val="nil"/>
              <w:bottom w:val="single" w:sz="4" w:space="0" w:color="auto"/>
              <w:right w:val="single" w:sz="4" w:space="0" w:color="auto"/>
            </w:tcBorders>
            <w:shd w:val="clear" w:color="auto" w:fill="auto"/>
            <w:noWrap/>
            <w:vAlign w:val="bottom"/>
            <w:hideMark/>
          </w:tcPr>
          <w:p w14:paraId="51A8BAC7" w14:textId="77777777" w:rsidR="0031783C" w:rsidRPr="005D6487" w:rsidRDefault="0031783C" w:rsidP="00E8782E">
            <w:pPr>
              <w:jc w:val="center"/>
              <w:rPr>
                <w:color w:val="000000"/>
                <w:sz w:val="20"/>
                <w:szCs w:val="20"/>
              </w:rPr>
            </w:pPr>
            <w:r w:rsidRPr="005D6487">
              <w:rPr>
                <w:color w:val="000000"/>
                <w:sz w:val="20"/>
                <w:szCs w:val="20"/>
              </w:rPr>
              <w:t>46,810</w:t>
            </w:r>
          </w:p>
        </w:tc>
        <w:tc>
          <w:tcPr>
            <w:tcW w:w="1170" w:type="dxa"/>
            <w:tcBorders>
              <w:top w:val="nil"/>
              <w:left w:val="nil"/>
              <w:bottom w:val="single" w:sz="4" w:space="0" w:color="auto"/>
              <w:right w:val="single" w:sz="4" w:space="0" w:color="auto"/>
            </w:tcBorders>
            <w:shd w:val="clear" w:color="auto" w:fill="auto"/>
            <w:noWrap/>
            <w:vAlign w:val="bottom"/>
            <w:hideMark/>
          </w:tcPr>
          <w:p w14:paraId="51A8BAC8" w14:textId="77777777" w:rsidR="0031783C" w:rsidRPr="005D6487" w:rsidRDefault="0031783C" w:rsidP="00E8782E">
            <w:pPr>
              <w:jc w:val="center"/>
              <w:rPr>
                <w:color w:val="000000"/>
                <w:sz w:val="20"/>
                <w:szCs w:val="20"/>
              </w:rPr>
            </w:pPr>
            <w:r w:rsidRPr="005D6487">
              <w:rPr>
                <w:color w:val="000000"/>
                <w:sz w:val="20"/>
                <w:szCs w:val="20"/>
              </w:rPr>
              <w:t>26,882</w:t>
            </w:r>
          </w:p>
        </w:tc>
        <w:tc>
          <w:tcPr>
            <w:tcW w:w="1170" w:type="dxa"/>
            <w:tcBorders>
              <w:top w:val="nil"/>
              <w:left w:val="nil"/>
              <w:bottom w:val="single" w:sz="4" w:space="0" w:color="auto"/>
              <w:right w:val="single" w:sz="4" w:space="0" w:color="auto"/>
            </w:tcBorders>
            <w:shd w:val="clear" w:color="auto" w:fill="auto"/>
            <w:noWrap/>
            <w:vAlign w:val="bottom"/>
            <w:hideMark/>
          </w:tcPr>
          <w:p w14:paraId="51A8BAC9" w14:textId="77777777" w:rsidR="0031783C" w:rsidRPr="005D6487" w:rsidRDefault="0031783C" w:rsidP="00E8782E">
            <w:pPr>
              <w:jc w:val="center"/>
              <w:rPr>
                <w:color w:val="000000"/>
                <w:sz w:val="20"/>
                <w:szCs w:val="20"/>
              </w:rPr>
            </w:pPr>
            <w:r w:rsidRPr="005D6487">
              <w:rPr>
                <w:color w:val="000000"/>
                <w:sz w:val="20"/>
                <w:szCs w:val="20"/>
              </w:rPr>
              <w:t>26,104</w:t>
            </w:r>
          </w:p>
        </w:tc>
        <w:tc>
          <w:tcPr>
            <w:tcW w:w="1170" w:type="dxa"/>
            <w:tcBorders>
              <w:top w:val="nil"/>
              <w:left w:val="nil"/>
              <w:bottom w:val="single" w:sz="4" w:space="0" w:color="auto"/>
              <w:right w:val="single" w:sz="4" w:space="0" w:color="auto"/>
            </w:tcBorders>
            <w:shd w:val="clear" w:color="auto" w:fill="auto"/>
            <w:noWrap/>
            <w:vAlign w:val="bottom"/>
            <w:hideMark/>
          </w:tcPr>
          <w:p w14:paraId="51A8BACA" w14:textId="77777777" w:rsidR="0031783C" w:rsidRPr="005D6487" w:rsidRDefault="0031783C" w:rsidP="00E8782E">
            <w:pPr>
              <w:jc w:val="center"/>
              <w:rPr>
                <w:color w:val="000000"/>
                <w:sz w:val="20"/>
                <w:szCs w:val="20"/>
              </w:rPr>
            </w:pPr>
            <w:r w:rsidRPr="005D6487">
              <w:rPr>
                <w:color w:val="000000"/>
                <w:sz w:val="20"/>
                <w:szCs w:val="20"/>
              </w:rPr>
              <w:t>23,508</w:t>
            </w:r>
          </w:p>
        </w:tc>
        <w:tc>
          <w:tcPr>
            <w:tcW w:w="1170" w:type="dxa"/>
            <w:tcBorders>
              <w:top w:val="nil"/>
              <w:left w:val="nil"/>
              <w:bottom w:val="single" w:sz="4" w:space="0" w:color="auto"/>
              <w:right w:val="single" w:sz="4" w:space="0" w:color="auto"/>
            </w:tcBorders>
            <w:shd w:val="clear" w:color="auto" w:fill="auto"/>
            <w:noWrap/>
            <w:vAlign w:val="bottom"/>
            <w:hideMark/>
          </w:tcPr>
          <w:p w14:paraId="51A8BACB" w14:textId="77777777" w:rsidR="0031783C" w:rsidRPr="005D6487" w:rsidRDefault="0031783C" w:rsidP="00E8782E">
            <w:pPr>
              <w:jc w:val="center"/>
              <w:rPr>
                <w:color w:val="000000"/>
                <w:sz w:val="20"/>
                <w:szCs w:val="20"/>
              </w:rPr>
            </w:pPr>
            <w:r w:rsidRPr="005D6487">
              <w:rPr>
                <w:color w:val="000000"/>
                <w:sz w:val="20"/>
                <w:szCs w:val="20"/>
              </w:rPr>
              <w:t>14,667</w:t>
            </w:r>
          </w:p>
        </w:tc>
        <w:tc>
          <w:tcPr>
            <w:tcW w:w="1170" w:type="dxa"/>
            <w:tcBorders>
              <w:top w:val="nil"/>
              <w:left w:val="nil"/>
              <w:bottom w:val="single" w:sz="4" w:space="0" w:color="auto"/>
              <w:right w:val="single" w:sz="4" w:space="0" w:color="auto"/>
            </w:tcBorders>
            <w:shd w:val="clear" w:color="auto" w:fill="auto"/>
            <w:noWrap/>
            <w:vAlign w:val="bottom"/>
            <w:hideMark/>
          </w:tcPr>
          <w:p w14:paraId="51A8BACC" w14:textId="77777777" w:rsidR="0031783C" w:rsidRPr="005D6487" w:rsidRDefault="0031783C" w:rsidP="00E8782E">
            <w:pPr>
              <w:jc w:val="center"/>
              <w:rPr>
                <w:color w:val="000000"/>
                <w:sz w:val="20"/>
                <w:szCs w:val="20"/>
              </w:rPr>
            </w:pPr>
            <w:r w:rsidRPr="005D6487">
              <w:rPr>
                <w:color w:val="000000"/>
                <w:sz w:val="20"/>
                <w:szCs w:val="20"/>
              </w:rPr>
              <w:t>8,894</w:t>
            </w:r>
          </w:p>
        </w:tc>
        <w:tc>
          <w:tcPr>
            <w:tcW w:w="1215" w:type="dxa"/>
            <w:tcBorders>
              <w:top w:val="nil"/>
              <w:left w:val="nil"/>
              <w:bottom w:val="single" w:sz="4" w:space="0" w:color="auto"/>
              <w:right w:val="single" w:sz="4" w:space="0" w:color="auto"/>
            </w:tcBorders>
            <w:shd w:val="clear" w:color="auto" w:fill="auto"/>
            <w:noWrap/>
            <w:vAlign w:val="bottom"/>
            <w:hideMark/>
          </w:tcPr>
          <w:p w14:paraId="51A8BACD" w14:textId="77777777" w:rsidR="0031783C" w:rsidRPr="005D6487" w:rsidRDefault="0031783C" w:rsidP="00E8782E">
            <w:pPr>
              <w:jc w:val="center"/>
              <w:rPr>
                <w:color w:val="000000"/>
                <w:sz w:val="20"/>
                <w:szCs w:val="20"/>
              </w:rPr>
            </w:pPr>
            <w:r w:rsidRPr="005D6487">
              <w:rPr>
                <w:color w:val="000000"/>
                <w:sz w:val="20"/>
                <w:szCs w:val="20"/>
              </w:rPr>
              <w:t>27,663</w:t>
            </w:r>
          </w:p>
        </w:tc>
      </w:tr>
      <w:tr w:rsidR="0031783C" w:rsidRPr="005D6487" w14:paraId="51A8BAD7"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CF" w14:textId="77777777" w:rsidR="0031783C" w:rsidRPr="005D6487" w:rsidRDefault="0031783C" w:rsidP="0031783C">
            <w:pPr>
              <w:jc w:val="center"/>
              <w:rPr>
                <w:b/>
                <w:bCs/>
                <w:color w:val="000000"/>
                <w:sz w:val="20"/>
                <w:szCs w:val="20"/>
              </w:rPr>
            </w:pPr>
            <w:r w:rsidRPr="005D6487">
              <w:rPr>
                <w:b/>
                <w:bCs/>
                <w:color w:val="000000"/>
                <w:sz w:val="20"/>
                <w:szCs w:val="20"/>
              </w:rPr>
              <w:t>2003</w:t>
            </w:r>
          </w:p>
        </w:tc>
        <w:tc>
          <w:tcPr>
            <w:tcW w:w="1154" w:type="dxa"/>
            <w:tcBorders>
              <w:top w:val="nil"/>
              <w:left w:val="nil"/>
              <w:bottom w:val="single" w:sz="4" w:space="0" w:color="auto"/>
              <w:right w:val="single" w:sz="4" w:space="0" w:color="auto"/>
            </w:tcBorders>
            <w:shd w:val="clear" w:color="auto" w:fill="auto"/>
            <w:noWrap/>
            <w:vAlign w:val="bottom"/>
            <w:hideMark/>
          </w:tcPr>
          <w:p w14:paraId="51A8BAD0" w14:textId="77777777" w:rsidR="0031783C" w:rsidRPr="005D6487" w:rsidRDefault="0031783C" w:rsidP="00E8782E">
            <w:pPr>
              <w:jc w:val="center"/>
              <w:rPr>
                <w:color w:val="000000"/>
                <w:sz w:val="20"/>
                <w:szCs w:val="20"/>
              </w:rPr>
            </w:pPr>
            <w:r w:rsidRPr="005D6487">
              <w:rPr>
                <w:color w:val="000000"/>
                <w:sz w:val="20"/>
                <w:szCs w:val="20"/>
              </w:rPr>
              <w:t>49,045</w:t>
            </w:r>
          </w:p>
        </w:tc>
        <w:tc>
          <w:tcPr>
            <w:tcW w:w="1170" w:type="dxa"/>
            <w:tcBorders>
              <w:top w:val="nil"/>
              <w:left w:val="nil"/>
              <w:bottom w:val="single" w:sz="4" w:space="0" w:color="auto"/>
              <w:right w:val="single" w:sz="4" w:space="0" w:color="auto"/>
            </w:tcBorders>
            <w:shd w:val="clear" w:color="auto" w:fill="auto"/>
            <w:noWrap/>
            <w:vAlign w:val="bottom"/>
            <w:hideMark/>
          </w:tcPr>
          <w:p w14:paraId="51A8BAD1" w14:textId="77777777" w:rsidR="0031783C" w:rsidRPr="005D6487" w:rsidRDefault="0031783C" w:rsidP="00E8782E">
            <w:pPr>
              <w:jc w:val="center"/>
              <w:rPr>
                <w:color w:val="000000"/>
                <w:sz w:val="20"/>
                <w:szCs w:val="20"/>
              </w:rPr>
            </w:pPr>
            <w:r w:rsidRPr="005D6487">
              <w:rPr>
                <w:color w:val="000000"/>
                <w:sz w:val="20"/>
                <w:szCs w:val="20"/>
              </w:rPr>
              <w:t>25,233</w:t>
            </w:r>
          </w:p>
        </w:tc>
        <w:tc>
          <w:tcPr>
            <w:tcW w:w="1170" w:type="dxa"/>
            <w:tcBorders>
              <w:top w:val="nil"/>
              <w:left w:val="nil"/>
              <w:bottom w:val="single" w:sz="4" w:space="0" w:color="auto"/>
              <w:right w:val="single" w:sz="4" w:space="0" w:color="auto"/>
            </w:tcBorders>
            <w:shd w:val="clear" w:color="auto" w:fill="auto"/>
            <w:noWrap/>
            <w:vAlign w:val="bottom"/>
            <w:hideMark/>
          </w:tcPr>
          <w:p w14:paraId="51A8BAD2" w14:textId="77777777" w:rsidR="0031783C" w:rsidRPr="005D6487" w:rsidRDefault="0031783C" w:rsidP="00E8782E">
            <w:pPr>
              <w:jc w:val="center"/>
              <w:rPr>
                <w:color w:val="000000"/>
                <w:sz w:val="20"/>
                <w:szCs w:val="20"/>
              </w:rPr>
            </w:pPr>
            <w:r w:rsidRPr="005D6487">
              <w:rPr>
                <w:color w:val="000000"/>
                <w:sz w:val="20"/>
                <w:szCs w:val="20"/>
              </w:rPr>
              <w:t>21,934</w:t>
            </w:r>
          </w:p>
        </w:tc>
        <w:tc>
          <w:tcPr>
            <w:tcW w:w="1170" w:type="dxa"/>
            <w:tcBorders>
              <w:top w:val="nil"/>
              <w:left w:val="nil"/>
              <w:bottom w:val="single" w:sz="4" w:space="0" w:color="auto"/>
              <w:right w:val="single" w:sz="4" w:space="0" w:color="auto"/>
            </w:tcBorders>
            <w:shd w:val="clear" w:color="auto" w:fill="auto"/>
            <w:noWrap/>
            <w:vAlign w:val="bottom"/>
            <w:hideMark/>
          </w:tcPr>
          <w:p w14:paraId="51A8BAD3" w14:textId="77777777" w:rsidR="0031783C" w:rsidRPr="005D6487" w:rsidRDefault="0031783C" w:rsidP="00E8782E">
            <w:pPr>
              <w:jc w:val="center"/>
              <w:rPr>
                <w:color w:val="000000"/>
                <w:sz w:val="20"/>
                <w:szCs w:val="20"/>
              </w:rPr>
            </w:pPr>
            <w:r w:rsidRPr="005D6487">
              <w:rPr>
                <w:color w:val="000000"/>
                <w:sz w:val="20"/>
                <w:szCs w:val="20"/>
              </w:rPr>
              <w:t>15,482</w:t>
            </w:r>
          </w:p>
        </w:tc>
        <w:tc>
          <w:tcPr>
            <w:tcW w:w="1170" w:type="dxa"/>
            <w:tcBorders>
              <w:top w:val="nil"/>
              <w:left w:val="nil"/>
              <w:bottom w:val="single" w:sz="4" w:space="0" w:color="auto"/>
              <w:right w:val="single" w:sz="4" w:space="0" w:color="auto"/>
            </w:tcBorders>
            <w:shd w:val="clear" w:color="auto" w:fill="auto"/>
            <w:noWrap/>
            <w:vAlign w:val="bottom"/>
            <w:hideMark/>
          </w:tcPr>
          <w:p w14:paraId="51A8BAD4" w14:textId="77777777" w:rsidR="0031783C" w:rsidRPr="005D6487" w:rsidRDefault="0031783C" w:rsidP="00E8782E">
            <w:pPr>
              <w:jc w:val="center"/>
              <w:rPr>
                <w:color w:val="000000"/>
                <w:sz w:val="20"/>
                <w:szCs w:val="20"/>
              </w:rPr>
            </w:pPr>
            <w:r w:rsidRPr="005D6487">
              <w:rPr>
                <w:color w:val="000000"/>
                <w:sz w:val="20"/>
                <w:szCs w:val="20"/>
              </w:rPr>
              <w:t>14,334</w:t>
            </w:r>
          </w:p>
        </w:tc>
        <w:tc>
          <w:tcPr>
            <w:tcW w:w="1170" w:type="dxa"/>
            <w:tcBorders>
              <w:top w:val="nil"/>
              <w:left w:val="nil"/>
              <w:bottom w:val="single" w:sz="4" w:space="0" w:color="auto"/>
              <w:right w:val="single" w:sz="4" w:space="0" w:color="auto"/>
            </w:tcBorders>
            <w:shd w:val="clear" w:color="auto" w:fill="auto"/>
            <w:noWrap/>
            <w:vAlign w:val="bottom"/>
            <w:hideMark/>
          </w:tcPr>
          <w:p w14:paraId="51A8BAD5" w14:textId="77777777" w:rsidR="0031783C" w:rsidRPr="005D6487" w:rsidRDefault="0031783C" w:rsidP="00E8782E">
            <w:pPr>
              <w:jc w:val="center"/>
              <w:rPr>
                <w:color w:val="000000"/>
                <w:sz w:val="20"/>
                <w:szCs w:val="20"/>
              </w:rPr>
            </w:pPr>
            <w:r w:rsidRPr="005D6487">
              <w:rPr>
                <w:color w:val="000000"/>
                <w:sz w:val="20"/>
                <w:szCs w:val="20"/>
              </w:rPr>
              <w:t>4,475</w:t>
            </w:r>
          </w:p>
        </w:tc>
        <w:tc>
          <w:tcPr>
            <w:tcW w:w="1215" w:type="dxa"/>
            <w:tcBorders>
              <w:top w:val="nil"/>
              <w:left w:val="nil"/>
              <w:bottom w:val="single" w:sz="4" w:space="0" w:color="auto"/>
              <w:right w:val="single" w:sz="4" w:space="0" w:color="auto"/>
            </w:tcBorders>
            <w:shd w:val="clear" w:color="auto" w:fill="auto"/>
            <w:noWrap/>
            <w:vAlign w:val="bottom"/>
            <w:hideMark/>
          </w:tcPr>
          <w:p w14:paraId="51A8BAD6" w14:textId="77777777" w:rsidR="0031783C" w:rsidRPr="005D6487" w:rsidRDefault="0031783C" w:rsidP="00E8782E">
            <w:pPr>
              <w:jc w:val="center"/>
              <w:rPr>
                <w:color w:val="000000"/>
                <w:sz w:val="20"/>
                <w:szCs w:val="20"/>
              </w:rPr>
            </w:pPr>
            <w:r w:rsidRPr="005D6487">
              <w:rPr>
                <w:color w:val="000000"/>
                <w:sz w:val="20"/>
                <w:szCs w:val="20"/>
              </w:rPr>
              <w:t>6,662</w:t>
            </w:r>
          </w:p>
        </w:tc>
      </w:tr>
      <w:tr w:rsidR="0031783C" w:rsidRPr="005D6487" w14:paraId="51A8BAE0"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D8" w14:textId="77777777" w:rsidR="0031783C" w:rsidRPr="005D6487" w:rsidRDefault="0031783C" w:rsidP="0031783C">
            <w:pPr>
              <w:jc w:val="center"/>
              <w:rPr>
                <w:b/>
                <w:bCs/>
                <w:color w:val="000000"/>
                <w:sz w:val="20"/>
                <w:szCs w:val="20"/>
              </w:rPr>
            </w:pPr>
            <w:r w:rsidRPr="005D6487">
              <w:rPr>
                <w:b/>
                <w:bCs/>
                <w:color w:val="000000"/>
                <w:sz w:val="20"/>
                <w:szCs w:val="20"/>
              </w:rPr>
              <w:t>2004</w:t>
            </w:r>
          </w:p>
        </w:tc>
        <w:tc>
          <w:tcPr>
            <w:tcW w:w="1154" w:type="dxa"/>
            <w:tcBorders>
              <w:top w:val="nil"/>
              <w:left w:val="nil"/>
              <w:bottom w:val="single" w:sz="4" w:space="0" w:color="auto"/>
              <w:right w:val="single" w:sz="4" w:space="0" w:color="auto"/>
            </w:tcBorders>
            <w:shd w:val="clear" w:color="auto" w:fill="auto"/>
            <w:noWrap/>
            <w:vAlign w:val="bottom"/>
            <w:hideMark/>
          </w:tcPr>
          <w:p w14:paraId="51A8BAD9" w14:textId="77777777" w:rsidR="0031783C" w:rsidRPr="005D6487" w:rsidRDefault="0031783C" w:rsidP="00E8782E">
            <w:pPr>
              <w:jc w:val="center"/>
              <w:rPr>
                <w:color w:val="000000"/>
                <w:sz w:val="20"/>
                <w:szCs w:val="20"/>
              </w:rPr>
            </w:pPr>
            <w:r w:rsidRPr="005D6487">
              <w:rPr>
                <w:color w:val="000000"/>
                <w:sz w:val="20"/>
                <w:szCs w:val="20"/>
              </w:rPr>
              <w:t>57,013</w:t>
            </w:r>
          </w:p>
        </w:tc>
        <w:tc>
          <w:tcPr>
            <w:tcW w:w="1170" w:type="dxa"/>
            <w:tcBorders>
              <w:top w:val="nil"/>
              <w:left w:val="nil"/>
              <w:bottom w:val="single" w:sz="4" w:space="0" w:color="auto"/>
              <w:right w:val="single" w:sz="4" w:space="0" w:color="auto"/>
            </w:tcBorders>
            <w:shd w:val="clear" w:color="auto" w:fill="auto"/>
            <w:noWrap/>
            <w:vAlign w:val="bottom"/>
            <w:hideMark/>
          </w:tcPr>
          <w:p w14:paraId="51A8BADA" w14:textId="77777777" w:rsidR="0031783C" w:rsidRPr="005D6487" w:rsidRDefault="0031783C" w:rsidP="00E8782E">
            <w:pPr>
              <w:jc w:val="center"/>
              <w:rPr>
                <w:color w:val="000000"/>
                <w:sz w:val="20"/>
                <w:szCs w:val="20"/>
              </w:rPr>
            </w:pPr>
            <w:r w:rsidRPr="005D6487">
              <w:rPr>
                <w:color w:val="000000"/>
                <w:sz w:val="20"/>
                <w:szCs w:val="20"/>
              </w:rPr>
              <w:t>16,472</w:t>
            </w:r>
          </w:p>
        </w:tc>
        <w:tc>
          <w:tcPr>
            <w:tcW w:w="1170" w:type="dxa"/>
            <w:tcBorders>
              <w:top w:val="nil"/>
              <w:left w:val="nil"/>
              <w:bottom w:val="single" w:sz="4" w:space="0" w:color="auto"/>
              <w:right w:val="single" w:sz="4" w:space="0" w:color="auto"/>
            </w:tcBorders>
            <w:shd w:val="clear" w:color="auto" w:fill="auto"/>
            <w:noWrap/>
            <w:vAlign w:val="bottom"/>
            <w:hideMark/>
          </w:tcPr>
          <w:p w14:paraId="51A8BADB" w14:textId="77777777" w:rsidR="0031783C" w:rsidRPr="005D6487" w:rsidRDefault="0031783C" w:rsidP="00E8782E">
            <w:pPr>
              <w:jc w:val="center"/>
              <w:rPr>
                <w:color w:val="000000"/>
                <w:sz w:val="20"/>
                <w:szCs w:val="20"/>
              </w:rPr>
            </w:pPr>
            <w:r w:rsidRPr="005D6487">
              <w:rPr>
                <w:color w:val="000000"/>
                <w:sz w:val="20"/>
                <w:szCs w:val="20"/>
              </w:rPr>
              <w:t>24,553</w:t>
            </w:r>
          </w:p>
        </w:tc>
        <w:tc>
          <w:tcPr>
            <w:tcW w:w="1170" w:type="dxa"/>
            <w:tcBorders>
              <w:top w:val="nil"/>
              <w:left w:val="nil"/>
              <w:bottom w:val="single" w:sz="4" w:space="0" w:color="auto"/>
              <w:right w:val="single" w:sz="4" w:space="0" w:color="auto"/>
            </w:tcBorders>
            <w:shd w:val="clear" w:color="auto" w:fill="auto"/>
            <w:noWrap/>
            <w:vAlign w:val="bottom"/>
            <w:hideMark/>
          </w:tcPr>
          <w:p w14:paraId="51A8BADC" w14:textId="77777777" w:rsidR="0031783C" w:rsidRPr="005D6487" w:rsidRDefault="0031783C" w:rsidP="00E8782E">
            <w:pPr>
              <w:jc w:val="center"/>
              <w:rPr>
                <w:color w:val="000000"/>
                <w:sz w:val="20"/>
                <w:szCs w:val="20"/>
              </w:rPr>
            </w:pPr>
            <w:r w:rsidRPr="005D6487">
              <w:rPr>
                <w:color w:val="000000"/>
                <w:sz w:val="20"/>
                <w:szCs w:val="20"/>
              </w:rPr>
              <w:t>18,934</w:t>
            </w:r>
          </w:p>
        </w:tc>
        <w:tc>
          <w:tcPr>
            <w:tcW w:w="1170" w:type="dxa"/>
            <w:tcBorders>
              <w:top w:val="nil"/>
              <w:left w:val="nil"/>
              <w:bottom w:val="single" w:sz="4" w:space="0" w:color="auto"/>
              <w:right w:val="single" w:sz="4" w:space="0" w:color="auto"/>
            </w:tcBorders>
            <w:shd w:val="clear" w:color="auto" w:fill="auto"/>
            <w:noWrap/>
            <w:vAlign w:val="bottom"/>
            <w:hideMark/>
          </w:tcPr>
          <w:p w14:paraId="51A8BADD" w14:textId="77777777" w:rsidR="0031783C" w:rsidRPr="005D6487" w:rsidRDefault="0031783C" w:rsidP="00E8782E">
            <w:pPr>
              <w:jc w:val="center"/>
              <w:rPr>
                <w:color w:val="000000"/>
                <w:sz w:val="20"/>
                <w:szCs w:val="20"/>
              </w:rPr>
            </w:pPr>
            <w:r w:rsidRPr="005D6487">
              <w:rPr>
                <w:color w:val="000000"/>
                <w:sz w:val="20"/>
                <w:szCs w:val="20"/>
              </w:rPr>
              <w:t>10,259</w:t>
            </w:r>
          </w:p>
        </w:tc>
        <w:tc>
          <w:tcPr>
            <w:tcW w:w="1170" w:type="dxa"/>
            <w:tcBorders>
              <w:top w:val="nil"/>
              <w:left w:val="nil"/>
              <w:bottom w:val="single" w:sz="4" w:space="0" w:color="auto"/>
              <w:right w:val="single" w:sz="4" w:space="0" w:color="auto"/>
            </w:tcBorders>
            <w:shd w:val="clear" w:color="auto" w:fill="auto"/>
            <w:noWrap/>
            <w:vAlign w:val="bottom"/>
            <w:hideMark/>
          </w:tcPr>
          <w:p w14:paraId="51A8BADE" w14:textId="77777777" w:rsidR="0031783C" w:rsidRPr="005D6487" w:rsidRDefault="0031783C" w:rsidP="00E8782E">
            <w:pPr>
              <w:jc w:val="center"/>
              <w:rPr>
                <w:color w:val="000000"/>
                <w:sz w:val="20"/>
                <w:szCs w:val="20"/>
              </w:rPr>
            </w:pPr>
            <w:r w:rsidRPr="005D6487">
              <w:rPr>
                <w:color w:val="000000"/>
                <w:sz w:val="20"/>
                <w:szCs w:val="20"/>
              </w:rPr>
              <w:t>6,509</w:t>
            </w:r>
          </w:p>
        </w:tc>
        <w:tc>
          <w:tcPr>
            <w:tcW w:w="1215" w:type="dxa"/>
            <w:tcBorders>
              <w:top w:val="nil"/>
              <w:left w:val="nil"/>
              <w:bottom w:val="single" w:sz="4" w:space="0" w:color="auto"/>
              <w:right w:val="single" w:sz="4" w:space="0" w:color="auto"/>
            </w:tcBorders>
            <w:shd w:val="clear" w:color="auto" w:fill="auto"/>
            <w:noWrap/>
            <w:vAlign w:val="bottom"/>
            <w:hideMark/>
          </w:tcPr>
          <w:p w14:paraId="51A8BADF" w14:textId="77777777" w:rsidR="0031783C" w:rsidRPr="005D6487" w:rsidRDefault="0031783C" w:rsidP="00E8782E">
            <w:pPr>
              <w:jc w:val="center"/>
              <w:rPr>
                <w:color w:val="000000"/>
                <w:sz w:val="20"/>
                <w:szCs w:val="20"/>
              </w:rPr>
            </w:pPr>
            <w:r w:rsidRPr="005D6487">
              <w:rPr>
                <w:color w:val="000000"/>
                <w:sz w:val="20"/>
                <w:szCs w:val="20"/>
              </w:rPr>
              <w:t>8,959</w:t>
            </w:r>
          </w:p>
        </w:tc>
      </w:tr>
      <w:tr w:rsidR="0031783C" w:rsidRPr="005D6487" w14:paraId="51A8BAE9"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E1" w14:textId="77777777" w:rsidR="0031783C" w:rsidRPr="005D6487" w:rsidRDefault="0031783C" w:rsidP="0031783C">
            <w:pPr>
              <w:jc w:val="center"/>
              <w:rPr>
                <w:b/>
                <w:bCs/>
                <w:color w:val="000000"/>
                <w:sz w:val="20"/>
                <w:szCs w:val="20"/>
              </w:rPr>
            </w:pPr>
            <w:r w:rsidRPr="005D6487">
              <w:rPr>
                <w:b/>
                <w:bCs/>
                <w:color w:val="000000"/>
                <w:sz w:val="20"/>
                <w:szCs w:val="20"/>
              </w:rPr>
              <w:t>2005</w:t>
            </w:r>
          </w:p>
        </w:tc>
        <w:tc>
          <w:tcPr>
            <w:tcW w:w="1154" w:type="dxa"/>
            <w:tcBorders>
              <w:top w:val="nil"/>
              <w:left w:val="nil"/>
              <w:bottom w:val="single" w:sz="4" w:space="0" w:color="auto"/>
              <w:right w:val="single" w:sz="4" w:space="0" w:color="auto"/>
            </w:tcBorders>
            <w:shd w:val="clear" w:color="auto" w:fill="auto"/>
            <w:noWrap/>
            <w:vAlign w:val="bottom"/>
            <w:hideMark/>
          </w:tcPr>
          <w:p w14:paraId="51A8BAE2" w14:textId="77777777" w:rsidR="0031783C" w:rsidRPr="005D6487" w:rsidRDefault="0031783C" w:rsidP="00E8782E">
            <w:pPr>
              <w:jc w:val="center"/>
              <w:rPr>
                <w:color w:val="000000"/>
                <w:sz w:val="20"/>
                <w:szCs w:val="20"/>
              </w:rPr>
            </w:pPr>
            <w:r w:rsidRPr="005D6487">
              <w:rPr>
                <w:color w:val="000000"/>
                <w:sz w:val="20"/>
                <w:szCs w:val="20"/>
              </w:rPr>
              <w:t>56,495</w:t>
            </w:r>
          </w:p>
        </w:tc>
        <w:tc>
          <w:tcPr>
            <w:tcW w:w="1170" w:type="dxa"/>
            <w:tcBorders>
              <w:top w:val="nil"/>
              <w:left w:val="nil"/>
              <w:bottom w:val="single" w:sz="4" w:space="0" w:color="auto"/>
              <w:right w:val="single" w:sz="4" w:space="0" w:color="auto"/>
            </w:tcBorders>
            <w:shd w:val="clear" w:color="auto" w:fill="auto"/>
            <w:noWrap/>
            <w:vAlign w:val="bottom"/>
            <w:hideMark/>
          </w:tcPr>
          <w:p w14:paraId="51A8BAE3" w14:textId="77777777" w:rsidR="0031783C" w:rsidRPr="005D6487" w:rsidRDefault="0031783C" w:rsidP="00E8782E">
            <w:pPr>
              <w:jc w:val="center"/>
              <w:rPr>
                <w:color w:val="000000"/>
                <w:sz w:val="20"/>
                <w:szCs w:val="20"/>
              </w:rPr>
            </w:pPr>
            <w:r w:rsidRPr="005D6487">
              <w:rPr>
                <w:color w:val="000000"/>
                <w:sz w:val="20"/>
                <w:szCs w:val="20"/>
              </w:rPr>
              <w:t>26,096</w:t>
            </w:r>
          </w:p>
        </w:tc>
        <w:tc>
          <w:tcPr>
            <w:tcW w:w="1170" w:type="dxa"/>
            <w:tcBorders>
              <w:top w:val="nil"/>
              <w:left w:val="nil"/>
              <w:bottom w:val="single" w:sz="4" w:space="0" w:color="auto"/>
              <w:right w:val="single" w:sz="4" w:space="0" w:color="auto"/>
            </w:tcBorders>
            <w:shd w:val="clear" w:color="auto" w:fill="auto"/>
            <w:noWrap/>
            <w:vAlign w:val="bottom"/>
            <w:hideMark/>
          </w:tcPr>
          <w:p w14:paraId="51A8BAE4" w14:textId="77777777" w:rsidR="0031783C" w:rsidRPr="005D6487" w:rsidRDefault="0031783C" w:rsidP="00E8782E">
            <w:pPr>
              <w:jc w:val="center"/>
              <w:rPr>
                <w:color w:val="000000"/>
                <w:sz w:val="20"/>
                <w:szCs w:val="20"/>
              </w:rPr>
            </w:pPr>
            <w:r w:rsidRPr="005D6487">
              <w:rPr>
                <w:color w:val="000000"/>
                <w:sz w:val="20"/>
                <w:szCs w:val="20"/>
              </w:rPr>
              <w:t>19,618</w:t>
            </w:r>
          </w:p>
        </w:tc>
        <w:tc>
          <w:tcPr>
            <w:tcW w:w="1170" w:type="dxa"/>
            <w:tcBorders>
              <w:top w:val="nil"/>
              <w:left w:val="nil"/>
              <w:bottom w:val="single" w:sz="4" w:space="0" w:color="auto"/>
              <w:right w:val="single" w:sz="4" w:space="0" w:color="auto"/>
            </w:tcBorders>
            <w:shd w:val="clear" w:color="auto" w:fill="auto"/>
            <w:noWrap/>
            <w:vAlign w:val="bottom"/>
            <w:hideMark/>
          </w:tcPr>
          <w:p w14:paraId="51A8BAE5" w14:textId="77777777" w:rsidR="0031783C" w:rsidRPr="005D6487" w:rsidRDefault="0031783C" w:rsidP="00E8782E">
            <w:pPr>
              <w:jc w:val="center"/>
              <w:rPr>
                <w:color w:val="000000"/>
                <w:sz w:val="20"/>
                <w:szCs w:val="20"/>
              </w:rPr>
            </w:pPr>
            <w:r w:rsidRPr="005D6487">
              <w:rPr>
                <w:color w:val="000000"/>
                <w:sz w:val="20"/>
                <w:szCs w:val="20"/>
              </w:rPr>
              <w:t>18,250</w:t>
            </w:r>
          </w:p>
        </w:tc>
        <w:tc>
          <w:tcPr>
            <w:tcW w:w="1170" w:type="dxa"/>
            <w:tcBorders>
              <w:top w:val="nil"/>
              <w:left w:val="nil"/>
              <w:bottom w:val="single" w:sz="4" w:space="0" w:color="auto"/>
              <w:right w:val="single" w:sz="4" w:space="0" w:color="auto"/>
            </w:tcBorders>
            <w:shd w:val="clear" w:color="auto" w:fill="auto"/>
            <w:noWrap/>
            <w:vAlign w:val="bottom"/>
            <w:hideMark/>
          </w:tcPr>
          <w:p w14:paraId="51A8BAE6" w14:textId="77777777" w:rsidR="0031783C" w:rsidRPr="005D6487" w:rsidRDefault="0031783C" w:rsidP="00E8782E">
            <w:pPr>
              <w:jc w:val="center"/>
              <w:rPr>
                <w:color w:val="000000"/>
                <w:sz w:val="20"/>
                <w:szCs w:val="20"/>
              </w:rPr>
            </w:pPr>
            <w:r w:rsidRPr="005D6487">
              <w:rPr>
                <w:color w:val="000000"/>
                <w:sz w:val="20"/>
                <w:szCs w:val="20"/>
              </w:rPr>
              <w:t>14,045</w:t>
            </w:r>
          </w:p>
        </w:tc>
        <w:tc>
          <w:tcPr>
            <w:tcW w:w="1170" w:type="dxa"/>
            <w:tcBorders>
              <w:top w:val="nil"/>
              <w:left w:val="nil"/>
              <w:bottom w:val="single" w:sz="4" w:space="0" w:color="auto"/>
              <w:right w:val="single" w:sz="4" w:space="0" w:color="auto"/>
            </w:tcBorders>
            <w:shd w:val="clear" w:color="auto" w:fill="auto"/>
            <w:noWrap/>
            <w:vAlign w:val="bottom"/>
            <w:hideMark/>
          </w:tcPr>
          <w:p w14:paraId="51A8BAE7" w14:textId="77777777" w:rsidR="0031783C" w:rsidRPr="005D6487" w:rsidRDefault="0031783C" w:rsidP="00E8782E">
            <w:pPr>
              <w:jc w:val="center"/>
              <w:rPr>
                <w:color w:val="000000"/>
                <w:sz w:val="20"/>
                <w:szCs w:val="20"/>
              </w:rPr>
            </w:pPr>
            <w:r w:rsidRPr="005D6487">
              <w:rPr>
                <w:color w:val="000000"/>
                <w:sz w:val="20"/>
                <w:szCs w:val="20"/>
              </w:rPr>
              <w:t>6,558</w:t>
            </w:r>
          </w:p>
        </w:tc>
        <w:tc>
          <w:tcPr>
            <w:tcW w:w="1215" w:type="dxa"/>
            <w:tcBorders>
              <w:top w:val="nil"/>
              <w:left w:val="nil"/>
              <w:bottom w:val="single" w:sz="4" w:space="0" w:color="auto"/>
              <w:right w:val="single" w:sz="4" w:space="0" w:color="auto"/>
            </w:tcBorders>
            <w:shd w:val="clear" w:color="auto" w:fill="auto"/>
            <w:noWrap/>
            <w:vAlign w:val="bottom"/>
            <w:hideMark/>
          </w:tcPr>
          <w:p w14:paraId="51A8BAE8" w14:textId="77777777" w:rsidR="0031783C" w:rsidRPr="005D6487" w:rsidRDefault="0031783C" w:rsidP="00E8782E">
            <w:pPr>
              <w:jc w:val="center"/>
              <w:rPr>
                <w:color w:val="000000"/>
                <w:sz w:val="20"/>
                <w:szCs w:val="20"/>
              </w:rPr>
            </w:pPr>
            <w:r w:rsidRPr="005D6487">
              <w:rPr>
                <w:color w:val="000000"/>
                <w:sz w:val="20"/>
                <w:szCs w:val="20"/>
              </w:rPr>
              <w:t>11,381</w:t>
            </w:r>
          </w:p>
        </w:tc>
      </w:tr>
      <w:tr w:rsidR="0031783C" w:rsidRPr="005D6487" w14:paraId="51A8BAF2"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EA" w14:textId="77777777" w:rsidR="0031783C" w:rsidRPr="005D6487" w:rsidRDefault="0031783C" w:rsidP="0031783C">
            <w:pPr>
              <w:jc w:val="center"/>
              <w:rPr>
                <w:b/>
                <w:bCs/>
                <w:color w:val="000000"/>
                <w:sz w:val="20"/>
                <w:szCs w:val="20"/>
              </w:rPr>
            </w:pPr>
            <w:r w:rsidRPr="005D6487">
              <w:rPr>
                <w:b/>
                <w:bCs/>
                <w:color w:val="000000"/>
                <w:sz w:val="20"/>
                <w:szCs w:val="20"/>
              </w:rPr>
              <w:t>2006</w:t>
            </w:r>
          </w:p>
        </w:tc>
        <w:tc>
          <w:tcPr>
            <w:tcW w:w="1154" w:type="dxa"/>
            <w:tcBorders>
              <w:top w:val="nil"/>
              <w:left w:val="nil"/>
              <w:bottom w:val="single" w:sz="4" w:space="0" w:color="auto"/>
              <w:right w:val="single" w:sz="4" w:space="0" w:color="auto"/>
            </w:tcBorders>
            <w:shd w:val="clear" w:color="auto" w:fill="auto"/>
            <w:noWrap/>
            <w:vAlign w:val="bottom"/>
            <w:hideMark/>
          </w:tcPr>
          <w:p w14:paraId="51A8BAEB" w14:textId="77777777" w:rsidR="0031783C" w:rsidRPr="005D6487" w:rsidRDefault="0031783C" w:rsidP="00E8782E">
            <w:pPr>
              <w:jc w:val="center"/>
              <w:rPr>
                <w:color w:val="000000"/>
                <w:sz w:val="20"/>
                <w:szCs w:val="20"/>
              </w:rPr>
            </w:pPr>
            <w:r w:rsidRPr="005D6487">
              <w:rPr>
                <w:color w:val="000000"/>
                <w:sz w:val="20"/>
                <w:szCs w:val="20"/>
              </w:rPr>
              <w:t>33,813</w:t>
            </w:r>
          </w:p>
        </w:tc>
        <w:tc>
          <w:tcPr>
            <w:tcW w:w="1170" w:type="dxa"/>
            <w:tcBorders>
              <w:top w:val="nil"/>
              <w:left w:val="nil"/>
              <w:bottom w:val="single" w:sz="4" w:space="0" w:color="auto"/>
              <w:right w:val="single" w:sz="4" w:space="0" w:color="auto"/>
            </w:tcBorders>
            <w:shd w:val="clear" w:color="auto" w:fill="auto"/>
            <w:noWrap/>
            <w:vAlign w:val="bottom"/>
            <w:hideMark/>
          </w:tcPr>
          <w:p w14:paraId="51A8BAEC" w14:textId="77777777" w:rsidR="0031783C" w:rsidRPr="005D6487" w:rsidRDefault="0031783C" w:rsidP="00E8782E">
            <w:pPr>
              <w:jc w:val="center"/>
              <w:rPr>
                <w:color w:val="000000"/>
                <w:sz w:val="20"/>
                <w:szCs w:val="20"/>
              </w:rPr>
            </w:pPr>
            <w:r w:rsidRPr="005D6487">
              <w:rPr>
                <w:color w:val="000000"/>
                <w:sz w:val="20"/>
                <w:szCs w:val="20"/>
              </w:rPr>
              <w:t>44,828</w:t>
            </w:r>
          </w:p>
        </w:tc>
        <w:tc>
          <w:tcPr>
            <w:tcW w:w="1170" w:type="dxa"/>
            <w:tcBorders>
              <w:top w:val="nil"/>
              <w:left w:val="nil"/>
              <w:bottom w:val="single" w:sz="4" w:space="0" w:color="auto"/>
              <w:right w:val="single" w:sz="4" w:space="0" w:color="auto"/>
            </w:tcBorders>
            <w:shd w:val="clear" w:color="auto" w:fill="auto"/>
            <w:noWrap/>
            <w:vAlign w:val="bottom"/>
            <w:hideMark/>
          </w:tcPr>
          <w:p w14:paraId="51A8BAED" w14:textId="77777777" w:rsidR="0031783C" w:rsidRPr="005D6487" w:rsidRDefault="0031783C" w:rsidP="00E8782E">
            <w:pPr>
              <w:jc w:val="center"/>
              <w:rPr>
                <w:color w:val="000000"/>
                <w:sz w:val="20"/>
                <w:szCs w:val="20"/>
              </w:rPr>
            </w:pPr>
            <w:r w:rsidRPr="005D6487">
              <w:rPr>
                <w:color w:val="000000"/>
                <w:sz w:val="20"/>
                <w:szCs w:val="20"/>
              </w:rPr>
              <w:t>12,959</w:t>
            </w:r>
          </w:p>
        </w:tc>
        <w:tc>
          <w:tcPr>
            <w:tcW w:w="1170" w:type="dxa"/>
            <w:tcBorders>
              <w:top w:val="nil"/>
              <w:left w:val="nil"/>
              <w:bottom w:val="single" w:sz="4" w:space="0" w:color="auto"/>
              <w:right w:val="single" w:sz="4" w:space="0" w:color="auto"/>
            </w:tcBorders>
            <w:shd w:val="clear" w:color="auto" w:fill="auto"/>
            <w:noWrap/>
            <w:vAlign w:val="bottom"/>
            <w:hideMark/>
          </w:tcPr>
          <w:p w14:paraId="51A8BAEE" w14:textId="77777777" w:rsidR="0031783C" w:rsidRPr="005D6487" w:rsidRDefault="0031783C" w:rsidP="00E8782E">
            <w:pPr>
              <w:jc w:val="center"/>
              <w:rPr>
                <w:color w:val="000000"/>
                <w:sz w:val="20"/>
                <w:szCs w:val="20"/>
              </w:rPr>
            </w:pPr>
            <w:r w:rsidRPr="005D6487">
              <w:rPr>
                <w:color w:val="000000"/>
                <w:sz w:val="20"/>
                <w:szCs w:val="20"/>
              </w:rPr>
              <w:t>29,488</w:t>
            </w:r>
          </w:p>
        </w:tc>
        <w:tc>
          <w:tcPr>
            <w:tcW w:w="1170" w:type="dxa"/>
            <w:tcBorders>
              <w:top w:val="nil"/>
              <w:left w:val="nil"/>
              <w:bottom w:val="single" w:sz="4" w:space="0" w:color="auto"/>
              <w:right w:val="single" w:sz="4" w:space="0" w:color="auto"/>
            </w:tcBorders>
            <w:shd w:val="clear" w:color="auto" w:fill="auto"/>
            <w:noWrap/>
            <w:vAlign w:val="bottom"/>
            <w:hideMark/>
          </w:tcPr>
          <w:p w14:paraId="51A8BAEF" w14:textId="77777777" w:rsidR="0031783C" w:rsidRPr="005D6487" w:rsidRDefault="0031783C" w:rsidP="00E8782E">
            <w:pPr>
              <w:jc w:val="center"/>
              <w:rPr>
                <w:color w:val="000000"/>
                <w:sz w:val="20"/>
                <w:szCs w:val="20"/>
              </w:rPr>
            </w:pPr>
            <w:r w:rsidRPr="005D6487">
              <w:rPr>
                <w:color w:val="000000"/>
                <w:sz w:val="20"/>
                <w:szCs w:val="20"/>
              </w:rPr>
              <w:t>17,737</w:t>
            </w:r>
          </w:p>
        </w:tc>
        <w:tc>
          <w:tcPr>
            <w:tcW w:w="1170" w:type="dxa"/>
            <w:tcBorders>
              <w:top w:val="nil"/>
              <w:left w:val="nil"/>
              <w:bottom w:val="single" w:sz="4" w:space="0" w:color="auto"/>
              <w:right w:val="single" w:sz="4" w:space="0" w:color="auto"/>
            </w:tcBorders>
            <w:shd w:val="clear" w:color="auto" w:fill="auto"/>
            <w:noWrap/>
            <w:vAlign w:val="bottom"/>
            <w:hideMark/>
          </w:tcPr>
          <w:p w14:paraId="51A8BAF0" w14:textId="77777777" w:rsidR="0031783C" w:rsidRPr="005D6487" w:rsidRDefault="0031783C" w:rsidP="00E8782E">
            <w:pPr>
              <w:jc w:val="center"/>
              <w:rPr>
                <w:color w:val="000000"/>
                <w:sz w:val="20"/>
                <w:szCs w:val="20"/>
              </w:rPr>
            </w:pPr>
            <w:r w:rsidRPr="005D6487">
              <w:rPr>
                <w:color w:val="000000"/>
                <w:sz w:val="20"/>
                <w:szCs w:val="20"/>
              </w:rPr>
              <w:t>6,400</w:t>
            </w:r>
          </w:p>
        </w:tc>
        <w:tc>
          <w:tcPr>
            <w:tcW w:w="1215" w:type="dxa"/>
            <w:tcBorders>
              <w:top w:val="nil"/>
              <w:left w:val="nil"/>
              <w:bottom w:val="single" w:sz="4" w:space="0" w:color="auto"/>
              <w:right w:val="single" w:sz="4" w:space="0" w:color="auto"/>
            </w:tcBorders>
            <w:shd w:val="clear" w:color="auto" w:fill="auto"/>
            <w:noWrap/>
            <w:vAlign w:val="bottom"/>
            <w:hideMark/>
          </w:tcPr>
          <w:p w14:paraId="51A8BAF1" w14:textId="77777777" w:rsidR="0031783C" w:rsidRPr="005D6487" w:rsidRDefault="0031783C" w:rsidP="00E8782E">
            <w:pPr>
              <w:jc w:val="center"/>
              <w:rPr>
                <w:color w:val="000000"/>
                <w:sz w:val="20"/>
                <w:szCs w:val="20"/>
              </w:rPr>
            </w:pPr>
            <w:r w:rsidRPr="005D6487">
              <w:rPr>
                <w:color w:val="000000"/>
                <w:sz w:val="20"/>
                <w:szCs w:val="20"/>
              </w:rPr>
              <w:t>14,587</w:t>
            </w:r>
          </w:p>
        </w:tc>
      </w:tr>
      <w:tr w:rsidR="0031783C" w:rsidRPr="005D6487" w14:paraId="51A8BAFB"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F3" w14:textId="77777777" w:rsidR="0031783C" w:rsidRPr="005D6487" w:rsidRDefault="0031783C" w:rsidP="0031783C">
            <w:pPr>
              <w:jc w:val="center"/>
              <w:rPr>
                <w:b/>
                <w:bCs/>
                <w:color w:val="000000"/>
                <w:sz w:val="20"/>
                <w:szCs w:val="20"/>
              </w:rPr>
            </w:pPr>
            <w:r w:rsidRPr="005D6487">
              <w:rPr>
                <w:b/>
                <w:bCs/>
                <w:color w:val="000000"/>
                <w:sz w:val="20"/>
                <w:szCs w:val="20"/>
              </w:rPr>
              <w:t>2007</w:t>
            </w:r>
          </w:p>
        </w:tc>
        <w:tc>
          <w:tcPr>
            <w:tcW w:w="1154" w:type="dxa"/>
            <w:tcBorders>
              <w:top w:val="nil"/>
              <w:left w:val="nil"/>
              <w:bottom w:val="single" w:sz="4" w:space="0" w:color="auto"/>
              <w:right w:val="single" w:sz="4" w:space="0" w:color="auto"/>
            </w:tcBorders>
            <w:shd w:val="clear" w:color="auto" w:fill="auto"/>
            <w:noWrap/>
            <w:vAlign w:val="bottom"/>
            <w:hideMark/>
          </w:tcPr>
          <w:p w14:paraId="51A8BAF4" w14:textId="77777777" w:rsidR="0031783C" w:rsidRPr="005D6487" w:rsidRDefault="0031783C" w:rsidP="00E8782E">
            <w:pPr>
              <w:jc w:val="center"/>
              <w:rPr>
                <w:color w:val="000000"/>
                <w:sz w:val="20"/>
                <w:szCs w:val="20"/>
              </w:rPr>
            </w:pPr>
            <w:r w:rsidRPr="005D6487">
              <w:rPr>
                <w:color w:val="000000"/>
                <w:sz w:val="20"/>
                <w:szCs w:val="20"/>
              </w:rPr>
              <w:t>40,336</w:t>
            </w:r>
          </w:p>
        </w:tc>
        <w:tc>
          <w:tcPr>
            <w:tcW w:w="1170" w:type="dxa"/>
            <w:tcBorders>
              <w:top w:val="nil"/>
              <w:left w:val="nil"/>
              <w:bottom w:val="single" w:sz="4" w:space="0" w:color="auto"/>
              <w:right w:val="single" w:sz="4" w:space="0" w:color="auto"/>
            </w:tcBorders>
            <w:shd w:val="clear" w:color="auto" w:fill="auto"/>
            <w:noWrap/>
            <w:vAlign w:val="bottom"/>
            <w:hideMark/>
          </w:tcPr>
          <w:p w14:paraId="51A8BAF5" w14:textId="77777777" w:rsidR="0031783C" w:rsidRPr="005D6487" w:rsidRDefault="0031783C" w:rsidP="00E8782E">
            <w:pPr>
              <w:jc w:val="center"/>
              <w:rPr>
                <w:color w:val="000000"/>
                <w:sz w:val="20"/>
                <w:szCs w:val="20"/>
              </w:rPr>
            </w:pPr>
            <w:r w:rsidRPr="005D6487">
              <w:rPr>
                <w:color w:val="000000"/>
                <w:sz w:val="20"/>
                <w:szCs w:val="20"/>
              </w:rPr>
              <w:t>26,420</w:t>
            </w:r>
          </w:p>
        </w:tc>
        <w:tc>
          <w:tcPr>
            <w:tcW w:w="1170" w:type="dxa"/>
            <w:tcBorders>
              <w:top w:val="nil"/>
              <w:left w:val="nil"/>
              <w:bottom w:val="single" w:sz="4" w:space="0" w:color="auto"/>
              <w:right w:val="single" w:sz="4" w:space="0" w:color="auto"/>
            </w:tcBorders>
            <w:shd w:val="clear" w:color="auto" w:fill="auto"/>
            <w:noWrap/>
            <w:vAlign w:val="bottom"/>
            <w:hideMark/>
          </w:tcPr>
          <w:p w14:paraId="51A8BAF6" w14:textId="77777777" w:rsidR="0031783C" w:rsidRPr="005D6487" w:rsidRDefault="0031783C" w:rsidP="00E8782E">
            <w:pPr>
              <w:jc w:val="center"/>
              <w:rPr>
                <w:color w:val="000000"/>
                <w:sz w:val="20"/>
                <w:szCs w:val="20"/>
              </w:rPr>
            </w:pPr>
            <w:r w:rsidRPr="005D6487">
              <w:rPr>
                <w:color w:val="000000"/>
                <w:sz w:val="20"/>
                <w:szCs w:val="20"/>
              </w:rPr>
              <w:t>19,451</w:t>
            </w:r>
          </w:p>
        </w:tc>
        <w:tc>
          <w:tcPr>
            <w:tcW w:w="1170" w:type="dxa"/>
            <w:tcBorders>
              <w:top w:val="nil"/>
              <w:left w:val="nil"/>
              <w:bottom w:val="single" w:sz="4" w:space="0" w:color="auto"/>
              <w:right w:val="single" w:sz="4" w:space="0" w:color="auto"/>
            </w:tcBorders>
            <w:shd w:val="clear" w:color="auto" w:fill="auto"/>
            <w:noWrap/>
            <w:vAlign w:val="bottom"/>
            <w:hideMark/>
          </w:tcPr>
          <w:p w14:paraId="51A8BAF7" w14:textId="77777777" w:rsidR="0031783C" w:rsidRPr="005D6487" w:rsidRDefault="0031783C" w:rsidP="00E8782E">
            <w:pPr>
              <w:jc w:val="center"/>
              <w:rPr>
                <w:color w:val="000000"/>
                <w:sz w:val="20"/>
                <w:szCs w:val="20"/>
              </w:rPr>
            </w:pPr>
            <w:r w:rsidRPr="005D6487">
              <w:rPr>
                <w:color w:val="000000"/>
                <w:sz w:val="20"/>
                <w:szCs w:val="20"/>
              </w:rPr>
              <w:t>18,177</w:t>
            </w:r>
          </w:p>
        </w:tc>
        <w:tc>
          <w:tcPr>
            <w:tcW w:w="1170" w:type="dxa"/>
            <w:tcBorders>
              <w:top w:val="nil"/>
              <w:left w:val="nil"/>
              <w:bottom w:val="single" w:sz="4" w:space="0" w:color="auto"/>
              <w:right w:val="single" w:sz="4" w:space="0" w:color="auto"/>
            </w:tcBorders>
            <w:shd w:val="clear" w:color="auto" w:fill="auto"/>
            <w:noWrap/>
            <w:vAlign w:val="bottom"/>
            <w:hideMark/>
          </w:tcPr>
          <w:p w14:paraId="51A8BAF8" w14:textId="77777777" w:rsidR="0031783C" w:rsidRPr="005D6487" w:rsidRDefault="0031783C" w:rsidP="00E8782E">
            <w:pPr>
              <w:jc w:val="center"/>
              <w:rPr>
                <w:color w:val="000000"/>
                <w:sz w:val="20"/>
                <w:szCs w:val="20"/>
              </w:rPr>
            </w:pPr>
            <w:r w:rsidRPr="005D6487">
              <w:rPr>
                <w:color w:val="000000"/>
                <w:sz w:val="20"/>
                <w:szCs w:val="20"/>
              </w:rPr>
              <w:t>11,181</w:t>
            </w:r>
          </w:p>
        </w:tc>
        <w:tc>
          <w:tcPr>
            <w:tcW w:w="1170" w:type="dxa"/>
            <w:tcBorders>
              <w:top w:val="nil"/>
              <w:left w:val="nil"/>
              <w:bottom w:val="single" w:sz="4" w:space="0" w:color="auto"/>
              <w:right w:val="single" w:sz="4" w:space="0" w:color="auto"/>
            </w:tcBorders>
            <w:shd w:val="clear" w:color="auto" w:fill="auto"/>
            <w:noWrap/>
            <w:vAlign w:val="bottom"/>
            <w:hideMark/>
          </w:tcPr>
          <w:p w14:paraId="51A8BAF9" w14:textId="77777777" w:rsidR="0031783C" w:rsidRPr="005D6487" w:rsidRDefault="0031783C" w:rsidP="00E8782E">
            <w:pPr>
              <w:jc w:val="center"/>
              <w:rPr>
                <w:color w:val="000000"/>
                <w:sz w:val="20"/>
                <w:szCs w:val="20"/>
              </w:rPr>
            </w:pPr>
            <w:r w:rsidRPr="005D6487">
              <w:rPr>
                <w:color w:val="000000"/>
                <w:sz w:val="20"/>
                <w:szCs w:val="20"/>
              </w:rPr>
              <w:t>10,171</w:t>
            </w:r>
          </w:p>
        </w:tc>
        <w:tc>
          <w:tcPr>
            <w:tcW w:w="1215" w:type="dxa"/>
            <w:tcBorders>
              <w:top w:val="nil"/>
              <w:left w:val="nil"/>
              <w:bottom w:val="single" w:sz="4" w:space="0" w:color="auto"/>
              <w:right w:val="single" w:sz="4" w:space="0" w:color="auto"/>
            </w:tcBorders>
            <w:shd w:val="clear" w:color="auto" w:fill="auto"/>
            <w:noWrap/>
            <w:vAlign w:val="bottom"/>
            <w:hideMark/>
          </w:tcPr>
          <w:p w14:paraId="51A8BAFA" w14:textId="77777777" w:rsidR="0031783C" w:rsidRPr="005D6487" w:rsidRDefault="0031783C" w:rsidP="00E8782E">
            <w:pPr>
              <w:jc w:val="center"/>
              <w:rPr>
                <w:color w:val="000000"/>
                <w:sz w:val="20"/>
                <w:szCs w:val="20"/>
              </w:rPr>
            </w:pPr>
            <w:r w:rsidRPr="005D6487">
              <w:rPr>
                <w:color w:val="000000"/>
                <w:sz w:val="20"/>
                <w:szCs w:val="20"/>
              </w:rPr>
              <w:t>2,086</w:t>
            </w:r>
          </w:p>
        </w:tc>
      </w:tr>
      <w:tr w:rsidR="0031783C" w:rsidRPr="005D6487" w14:paraId="51A8BB04"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AFC" w14:textId="77777777" w:rsidR="0031783C" w:rsidRPr="005D6487" w:rsidRDefault="0031783C" w:rsidP="0031783C">
            <w:pPr>
              <w:jc w:val="center"/>
              <w:rPr>
                <w:b/>
                <w:bCs/>
                <w:color w:val="000000"/>
                <w:sz w:val="20"/>
                <w:szCs w:val="20"/>
              </w:rPr>
            </w:pPr>
            <w:r w:rsidRPr="005D6487">
              <w:rPr>
                <w:b/>
                <w:bCs/>
                <w:color w:val="000000"/>
                <w:sz w:val="20"/>
                <w:szCs w:val="20"/>
              </w:rPr>
              <w:t>2008</w:t>
            </w:r>
          </w:p>
        </w:tc>
        <w:tc>
          <w:tcPr>
            <w:tcW w:w="1154" w:type="dxa"/>
            <w:tcBorders>
              <w:top w:val="nil"/>
              <w:left w:val="nil"/>
              <w:bottom w:val="single" w:sz="4" w:space="0" w:color="auto"/>
              <w:right w:val="single" w:sz="4" w:space="0" w:color="auto"/>
            </w:tcBorders>
            <w:shd w:val="clear" w:color="auto" w:fill="auto"/>
            <w:noWrap/>
            <w:vAlign w:val="bottom"/>
            <w:hideMark/>
          </w:tcPr>
          <w:p w14:paraId="51A8BAFD" w14:textId="77777777" w:rsidR="0031783C" w:rsidRPr="005D6487" w:rsidRDefault="0031783C" w:rsidP="00E8782E">
            <w:pPr>
              <w:jc w:val="center"/>
              <w:rPr>
                <w:color w:val="000000"/>
                <w:sz w:val="20"/>
                <w:szCs w:val="20"/>
              </w:rPr>
            </w:pPr>
            <w:r w:rsidRPr="005D6487">
              <w:rPr>
                <w:color w:val="000000"/>
                <w:sz w:val="20"/>
                <w:szCs w:val="20"/>
              </w:rPr>
              <w:t>36,328</w:t>
            </w:r>
          </w:p>
        </w:tc>
        <w:tc>
          <w:tcPr>
            <w:tcW w:w="1170" w:type="dxa"/>
            <w:tcBorders>
              <w:top w:val="nil"/>
              <w:left w:val="nil"/>
              <w:bottom w:val="single" w:sz="4" w:space="0" w:color="auto"/>
              <w:right w:val="single" w:sz="4" w:space="0" w:color="auto"/>
            </w:tcBorders>
            <w:shd w:val="clear" w:color="auto" w:fill="auto"/>
            <w:noWrap/>
            <w:vAlign w:val="bottom"/>
            <w:hideMark/>
          </w:tcPr>
          <w:p w14:paraId="51A8BAFE" w14:textId="77777777" w:rsidR="0031783C" w:rsidRPr="005D6487" w:rsidRDefault="0031783C" w:rsidP="00E8782E">
            <w:pPr>
              <w:jc w:val="center"/>
              <w:rPr>
                <w:color w:val="000000"/>
                <w:sz w:val="20"/>
                <w:szCs w:val="20"/>
              </w:rPr>
            </w:pPr>
            <w:r w:rsidRPr="005D6487">
              <w:rPr>
                <w:color w:val="000000"/>
                <w:sz w:val="20"/>
                <w:szCs w:val="20"/>
              </w:rPr>
              <w:t>32,724</w:t>
            </w:r>
          </w:p>
        </w:tc>
        <w:tc>
          <w:tcPr>
            <w:tcW w:w="1170" w:type="dxa"/>
            <w:tcBorders>
              <w:top w:val="nil"/>
              <w:left w:val="nil"/>
              <w:bottom w:val="single" w:sz="4" w:space="0" w:color="auto"/>
              <w:right w:val="single" w:sz="4" w:space="0" w:color="auto"/>
            </w:tcBorders>
            <w:shd w:val="clear" w:color="auto" w:fill="auto"/>
            <w:noWrap/>
            <w:vAlign w:val="bottom"/>
            <w:hideMark/>
          </w:tcPr>
          <w:p w14:paraId="51A8BAFF" w14:textId="77777777" w:rsidR="0031783C" w:rsidRPr="005D6487" w:rsidRDefault="0031783C" w:rsidP="00E8782E">
            <w:pPr>
              <w:jc w:val="center"/>
              <w:rPr>
                <w:color w:val="000000"/>
                <w:sz w:val="20"/>
                <w:szCs w:val="20"/>
              </w:rPr>
            </w:pPr>
            <w:r w:rsidRPr="005D6487">
              <w:rPr>
                <w:color w:val="000000"/>
                <w:sz w:val="20"/>
                <w:szCs w:val="20"/>
              </w:rPr>
              <w:t>11,501</w:t>
            </w:r>
          </w:p>
        </w:tc>
        <w:tc>
          <w:tcPr>
            <w:tcW w:w="1170" w:type="dxa"/>
            <w:tcBorders>
              <w:top w:val="nil"/>
              <w:left w:val="nil"/>
              <w:bottom w:val="single" w:sz="4" w:space="0" w:color="auto"/>
              <w:right w:val="single" w:sz="4" w:space="0" w:color="auto"/>
            </w:tcBorders>
            <w:shd w:val="clear" w:color="auto" w:fill="auto"/>
            <w:noWrap/>
            <w:vAlign w:val="bottom"/>
            <w:hideMark/>
          </w:tcPr>
          <w:p w14:paraId="51A8BB00" w14:textId="77777777" w:rsidR="0031783C" w:rsidRPr="005D6487" w:rsidRDefault="0031783C" w:rsidP="00E8782E">
            <w:pPr>
              <w:jc w:val="center"/>
              <w:rPr>
                <w:color w:val="000000"/>
                <w:sz w:val="20"/>
                <w:szCs w:val="20"/>
              </w:rPr>
            </w:pPr>
            <w:r w:rsidRPr="005D6487">
              <w:rPr>
                <w:color w:val="000000"/>
                <w:sz w:val="20"/>
                <w:szCs w:val="20"/>
              </w:rPr>
              <w:t>25,007</w:t>
            </w:r>
          </w:p>
        </w:tc>
        <w:tc>
          <w:tcPr>
            <w:tcW w:w="1170" w:type="dxa"/>
            <w:tcBorders>
              <w:top w:val="nil"/>
              <w:left w:val="nil"/>
              <w:bottom w:val="single" w:sz="4" w:space="0" w:color="auto"/>
              <w:right w:val="single" w:sz="4" w:space="0" w:color="auto"/>
            </w:tcBorders>
            <w:shd w:val="clear" w:color="auto" w:fill="auto"/>
            <w:noWrap/>
            <w:vAlign w:val="bottom"/>
            <w:hideMark/>
          </w:tcPr>
          <w:p w14:paraId="51A8BB01" w14:textId="77777777" w:rsidR="0031783C" w:rsidRPr="005D6487" w:rsidRDefault="0031783C" w:rsidP="00E8782E">
            <w:pPr>
              <w:jc w:val="center"/>
              <w:rPr>
                <w:color w:val="000000"/>
                <w:sz w:val="20"/>
                <w:szCs w:val="20"/>
              </w:rPr>
            </w:pPr>
            <w:r w:rsidRPr="005D6487">
              <w:rPr>
                <w:color w:val="000000"/>
                <w:sz w:val="20"/>
                <w:szCs w:val="20"/>
              </w:rPr>
              <w:t>19,828</w:t>
            </w:r>
          </w:p>
        </w:tc>
        <w:tc>
          <w:tcPr>
            <w:tcW w:w="1170" w:type="dxa"/>
            <w:tcBorders>
              <w:top w:val="nil"/>
              <w:left w:val="nil"/>
              <w:bottom w:val="single" w:sz="4" w:space="0" w:color="auto"/>
              <w:right w:val="single" w:sz="4" w:space="0" w:color="auto"/>
            </w:tcBorders>
            <w:shd w:val="clear" w:color="auto" w:fill="auto"/>
            <w:noWrap/>
            <w:vAlign w:val="bottom"/>
            <w:hideMark/>
          </w:tcPr>
          <w:p w14:paraId="51A8BB02" w14:textId="77777777" w:rsidR="0031783C" w:rsidRPr="005D6487" w:rsidRDefault="0031783C" w:rsidP="00E8782E">
            <w:pPr>
              <w:jc w:val="center"/>
              <w:rPr>
                <w:color w:val="000000"/>
                <w:sz w:val="20"/>
                <w:szCs w:val="20"/>
              </w:rPr>
            </w:pPr>
            <w:r w:rsidRPr="005D6487">
              <w:rPr>
                <w:color w:val="000000"/>
                <w:sz w:val="20"/>
                <w:szCs w:val="20"/>
              </w:rPr>
              <w:t>7,373</w:t>
            </w:r>
          </w:p>
        </w:tc>
        <w:tc>
          <w:tcPr>
            <w:tcW w:w="1215" w:type="dxa"/>
            <w:tcBorders>
              <w:top w:val="nil"/>
              <w:left w:val="nil"/>
              <w:bottom w:val="single" w:sz="4" w:space="0" w:color="auto"/>
              <w:right w:val="single" w:sz="4" w:space="0" w:color="auto"/>
            </w:tcBorders>
            <w:shd w:val="clear" w:color="auto" w:fill="auto"/>
            <w:noWrap/>
            <w:vAlign w:val="bottom"/>
            <w:hideMark/>
          </w:tcPr>
          <w:p w14:paraId="51A8BB03" w14:textId="77777777" w:rsidR="0031783C" w:rsidRPr="005D6487" w:rsidRDefault="0031783C" w:rsidP="00E8782E">
            <w:pPr>
              <w:jc w:val="center"/>
              <w:rPr>
                <w:color w:val="000000"/>
                <w:sz w:val="20"/>
                <w:szCs w:val="20"/>
              </w:rPr>
            </w:pPr>
            <w:r w:rsidRPr="005D6487">
              <w:rPr>
                <w:color w:val="000000"/>
                <w:sz w:val="20"/>
                <w:szCs w:val="20"/>
              </w:rPr>
              <w:t>27,736</w:t>
            </w:r>
          </w:p>
        </w:tc>
      </w:tr>
      <w:tr w:rsidR="0031783C" w:rsidRPr="005D6487" w14:paraId="51A8BB0D"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B05" w14:textId="77777777" w:rsidR="0031783C" w:rsidRPr="005D6487" w:rsidRDefault="0031783C" w:rsidP="0031783C">
            <w:pPr>
              <w:jc w:val="center"/>
              <w:rPr>
                <w:b/>
                <w:bCs/>
                <w:color w:val="000000"/>
                <w:sz w:val="20"/>
                <w:szCs w:val="20"/>
              </w:rPr>
            </w:pPr>
            <w:r w:rsidRPr="005D6487">
              <w:rPr>
                <w:b/>
                <w:bCs/>
                <w:color w:val="000000"/>
                <w:sz w:val="20"/>
                <w:szCs w:val="20"/>
              </w:rPr>
              <w:t>2009</w:t>
            </w:r>
          </w:p>
        </w:tc>
        <w:tc>
          <w:tcPr>
            <w:tcW w:w="1154" w:type="dxa"/>
            <w:tcBorders>
              <w:top w:val="nil"/>
              <w:left w:val="nil"/>
              <w:bottom w:val="single" w:sz="4" w:space="0" w:color="auto"/>
              <w:right w:val="single" w:sz="4" w:space="0" w:color="auto"/>
            </w:tcBorders>
            <w:shd w:val="clear" w:color="auto" w:fill="auto"/>
            <w:noWrap/>
            <w:vAlign w:val="bottom"/>
            <w:hideMark/>
          </w:tcPr>
          <w:p w14:paraId="51A8BB06" w14:textId="77777777" w:rsidR="0031783C" w:rsidRPr="005D6487" w:rsidRDefault="0031783C" w:rsidP="00E8782E">
            <w:pPr>
              <w:jc w:val="center"/>
              <w:rPr>
                <w:color w:val="000000"/>
                <w:sz w:val="20"/>
                <w:szCs w:val="20"/>
              </w:rPr>
            </w:pPr>
            <w:r w:rsidRPr="005D6487">
              <w:rPr>
                <w:color w:val="000000"/>
                <w:sz w:val="20"/>
                <w:szCs w:val="20"/>
              </w:rPr>
              <w:t>64,735</w:t>
            </w:r>
          </w:p>
        </w:tc>
        <w:tc>
          <w:tcPr>
            <w:tcW w:w="1170" w:type="dxa"/>
            <w:tcBorders>
              <w:top w:val="nil"/>
              <w:left w:val="nil"/>
              <w:bottom w:val="single" w:sz="4" w:space="0" w:color="auto"/>
              <w:right w:val="single" w:sz="4" w:space="0" w:color="auto"/>
            </w:tcBorders>
            <w:shd w:val="clear" w:color="auto" w:fill="auto"/>
            <w:noWrap/>
            <w:vAlign w:val="bottom"/>
            <w:hideMark/>
          </w:tcPr>
          <w:p w14:paraId="51A8BB07" w14:textId="77777777" w:rsidR="0031783C" w:rsidRPr="005D6487" w:rsidRDefault="0031783C" w:rsidP="00E8782E">
            <w:pPr>
              <w:jc w:val="center"/>
              <w:rPr>
                <w:color w:val="000000"/>
                <w:sz w:val="20"/>
                <w:szCs w:val="20"/>
              </w:rPr>
            </w:pPr>
            <w:r w:rsidRPr="005D6487">
              <w:rPr>
                <w:color w:val="000000"/>
                <w:sz w:val="20"/>
                <w:szCs w:val="20"/>
              </w:rPr>
              <w:t>27,659</w:t>
            </w:r>
          </w:p>
        </w:tc>
        <w:tc>
          <w:tcPr>
            <w:tcW w:w="1170" w:type="dxa"/>
            <w:tcBorders>
              <w:top w:val="nil"/>
              <w:left w:val="nil"/>
              <w:bottom w:val="single" w:sz="4" w:space="0" w:color="auto"/>
              <w:right w:val="single" w:sz="4" w:space="0" w:color="auto"/>
            </w:tcBorders>
            <w:shd w:val="clear" w:color="auto" w:fill="auto"/>
            <w:noWrap/>
            <w:vAlign w:val="bottom"/>
            <w:hideMark/>
          </w:tcPr>
          <w:p w14:paraId="51A8BB08" w14:textId="77777777" w:rsidR="0031783C" w:rsidRPr="005D6487" w:rsidRDefault="0031783C" w:rsidP="00E8782E">
            <w:pPr>
              <w:jc w:val="center"/>
              <w:rPr>
                <w:color w:val="000000"/>
                <w:sz w:val="20"/>
                <w:szCs w:val="20"/>
              </w:rPr>
            </w:pPr>
            <w:r w:rsidRPr="005D6487">
              <w:rPr>
                <w:color w:val="000000"/>
                <w:sz w:val="20"/>
                <w:szCs w:val="20"/>
              </w:rPr>
              <w:t>22,165</w:t>
            </w:r>
          </w:p>
        </w:tc>
        <w:tc>
          <w:tcPr>
            <w:tcW w:w="1170" w:type="dxa"/>
            <w:tcBorders>
              <w:top w:val="nil"/>
              <w:left w:val="nil"/>
              <w:bottom w:val="single" w:sz="4" w:space="0" w:color="auto"/>
              <w:right w:val="single" w:sz="4" w:space="0" w:color="auto"/>
            </w:tcBorders>
            <w:shd w:val="clear" w:color="auto" w:fill="auto"/>
            <w:noWrap/>
            <w:vAlign w:val="bottom"/>
            <w:hideMark/>
          </w:tcPr>
          <w:p w14:paraId="51A8BB09" w14:textId="77777777" w:rsidR="0031783C" w:rsidRPr="005D6487" w:rsidRDefault="0031783C" w:rsidP="00E8782E">
            <w:pPr>
              <w:jc w:val="center"/>
              <w:rPr>
                <w:color w:val="000000"/>
                <w:sz w:val="20"/>
                <w:szCs w:val="20"/>
              </w:rPr>
            </w:pPr>
            <w:r w:rsidRPr="005D6487">
              <w:rPr>
                <w:color w:val="000000"/>
                <w:sz w:val="20"/>
                <w:szCs w:val="20"/>
              </w:rPr>
              <w:t>18,554</w:t>
            </w:r>
          </w:p>
        </w:tc>
        <w:tc>
          <w:tcPr>
            <w:tcW w:w="1170" w:type="dxa"/>
            <w:tcBorders>
              <w:top w:val="nil"/>
              <w:left w:val="nil"/>
              <w:bottom w:val="single" w:sz="4" w:space="0" w:color="auto"/>
              <w:right w:val="single" w:sz="4" w:space="0" w:color="auto"/>
            </w:tcBorders>
            <w:shd w:val="clear" w:color="auto" w:fill="auto"/>
            <w:noWrap/>
            <w:vAlign w:val="bottom"/>
            <w:hideMark/>
          </w:tcPr>
          <w:p w14:paraId="51A8BB0A" w14:textId="77777777" w:rsidR="0031783C" w:rsidRPr="005D6487" w:rsidRDefault="0031783C" w:rsidP="00E8782E">
            <w:pPr>
              <w:jc w:val="center"/>
              <w:rPr>
                <w:color w:val="000000"/>
                <w:sz w:val="20"/>
                <w:szCs w:val="20"/>
              </w:rPr>
            </w:pPr>
            <w:r w:rsidRPr="005D6487">
              <w:rPr>
                <w:color w:val="000000"/>
                <w:sz w:val="20"/>
                <w:szCs w:val="20"/>
              </w:rPr>
              <w:t>14,744</w:t>
            </w:r>
          </w:p>
        </w:tc>
        <w:tc>
          <w:tcPr>
            <w:tcW w:w="1170" w:type="dxa"/>
            <w:tcBorders>
              <w:top w:val="nil"/>
              <w:left w:val="nil"/>
              <w:bottom w:val="single" w:sz="4" w:space="0" w:color="auto"/>
              <w:right w:val="single" w:sz="4" w:space="0" w:color="auto"/>
            </w:tcBorders>
            <w:shd w:val="clear" w:color="auto" w:fill="auto"/>
            <w:noWrap/>
            <w:vAlign w:val="bottom"/>
            <w:hideMark/>
          </w:tcPr>
          <w:p w14:paraId="51A8BB0B" w14:textId="77777777" w:rsidR="0031783C" w:rsidRPr="005D6487" w:rsidRDefault="0031783C" w:rsidP="00E8782E">
            <w:pPr>
              <w:jc w:val="center"/>
              <w:rPr>
                <w:color w:val="000000"/>
                <w:sz w:val="20"/>
                <w:szCs w:val="20"/>
              </w:rPr>
            </w:pPr>
            <w:r w:rsidRPr="005D6487">
              <w:rPr>
                <w:color w:val="000000"/>
                <w:sz w:val="20"/>
                <w:szCs w:val="20"/>
              </w:rPr>
              <w:t>8,179</w:t>
            </w:r>
          </w:p>
        </w:tc>
        <w:tc>
          <w:tcPr>
            <w:tcW w:w="1215" w:type="dxa"/>
            <w:tcBorders>
              <w:top w:val="nil"/>
              <w:left w:val="nil"/>
              <w:bottom w:val="single" w:sz="4" w:space="0" w:color="auto"/>
              <w:right w:val="single" w:sz="4" w:space="0" w:color="auto"/>
            </w:tcBorders>
            <w:shd w:val="clear" w:color="auto" w:fill="auto"/>
            <w:noWrap/>
            <w:vAlign w:val="bottom"/>
            <w:hideMark/>
          </w:tcPr>
          <w:p w14:paraId="51A8BB0C" w14:textId="77777777" w:rsidR="0031783C" w:rsidRPr="005D6487" w:rsidRDefault="0031783C" w:rsidP="00E8782E">
            <w:pPr>
              <w:jc w:val="center"/>
              <w:rPr>
                <w:color w:val="000000"/>
                <w:sz w:val="20"/>
                <w:szCs w:val="20"/>
              </w:rPr>
            </w:pPr>
            <w:r w:rsidRPr="005D6487">
              <w:rPr>
                <w:color w:val="000000"/>
                <w:sz w:val="20"/>
                <w:szCs w:val="20"/>
              </w:rPr>
              <w:t>11,361</w:t>
            </w:r>
          </w:p>
        </w:tc>
      </w:tr>
      <w:tr w:rsidR="0031783C" w:rsidRPr="005D6487" w14:paraId="51A8BB16"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B0E" w14:textId="77777777" w:rsidR="0031783C" w:rsidRPr="005D6487" w:rsidRDefault="0031783C" w:rsidP="0031783C">
            <w:pPr>
              <w:jc w:val="center"/>
              <w:rPr>
                <w:b/>
                <w:bCs/>
                <w:color w:val="000000"/>
                <w:sz w:val="20"/>
                <w:szCs w:val="20"/>
              </w:rPr>
            </w:pPr>
            <w:r w:rsidRPr="005D6487">
              <w:rPr>
                <w:b/>
                <w:bCs/>
                <w:color w:val="000000"/>
                <w:sz w:val="20"/>
                <w:szCs w:val="20"/>
              </w:rPr>
              <w:t>2010</w:t>
            </w:r>
          </w:p>
        </w:tc>
        <w:tc>
          <w:tcPr>
            <w:tcW w:w="1154" w:type="dxa"/>
            <w:tcBorders>
              <w:top w:val="nil"/>
              <w:left w:val="nil"/>
              <w:bottom w:val="single" w:sz="4" w:space="0" w:color="auto"/>
              <w:right w:val="single" w:sz="4" w:space="0" w:color="auto"/>
            </w:tcBorders>
            <w:shd w:val="clear" w:color="auto" w:fill="auto"/>
            <w:noWrap/>
            <w:vAlign w:val="bottom"/>
            <w:hideMark/>
          </w:tcPr>
          <w:p w14:paraId="51A8BB0F" w14:textId="77777777" w:rsidR="0031783C" w:rsidRPr="005D6487" w:rsidRDefault="0031783C" w:rsidP="00E8782E">
            <w:pPr>
              <w:jc w:val="center"/>
              <w:rPr>
                <w:color w:val="000000"/>
                <w:sz w:val="20"/>
                <w:szCs w:val="20"/>
              </w:rPr>
            </w:pPr>
            <w:r w:rsidRPr="005D6487">
              <w:rPr>
                <w:color w:val="000000"/>
                <w:sz w:val="20"/>
                <w:szCs w:val="20"/>
              </w:rPr>
              <w:t>49,588</w:t>
            </w:r>
          </w:p>
        </w:tc>
        <w:tc>
          <w:tcPr>
            <w:tcW w:w="1170" w:type="dxa"/>
            <w:tcBorders>
              <w:top w:val="nil"/>
              <w:left w:val="nil"/>
              <w:bottom w:val="single" w:sz="4" w:space="0" w:color="auto"/>
              <w:right w:val="single" w:sz="4" w:space="0" w:color="auto"/>
            </w:tcBorders>
            <w:shd w:val="clear" w:color="auto" w:fill="auto"/>
            <w:noWrap/>
            <w:vAlign w:val="bottom"/>
            <w:hideMark/>
          </w:tcPr>
          <w:p w14:paraId="51A8BB10" w14:textId="77777777" w:rsidR="0031783C" w:rsidRPr="005D6487" w:rsidRDefault="0031783C" w:rsidP="00E8782E">
            <w:pPr>
              <w:jc w:val="center"/>
              <w:rPr>
                <w:color w:val="000000"/>
                <w:sz w:val="20"/>
                <w:szCs w:val="20"/>
              </w:rPr>
            </w:pPr>
            <w:r w:rsidRPr="005D6487">
              <w:rPr>
                <w:color w:val="000000"/>
                <w:sz w:val="20"/>
                <w:szCs w:val="20"/>
              </w:rPr>
              <w:t>22,827</w:t>
            </w:r>
          </w:p>
        </w:tc>
        <w:tc>
          <w:tcPr>
            <w:tcW w:w="1170" w:type="dxa"/>
            <w:tcBorders>
              <w:top w:val="nil"/>
              <w:left w:val="nil"/>
              <w:bottom w:val="single" w:sz="4" w:space="0" w:color="auto"/>
              <w:right w:val="single" w:sz="4" w:space="0" w:color="auto"/>
            </w:tcBorders>
            <w:shd w:val="clear" w:color="auto" w:fill="auto"/>
            <w:noWrap/>
            <w:vAlign w:val="bottom"/>
            <w:hideMark/>
          </w:tcPr>
          <w:p w14:paraId="51A8BB11" w14:textId="77777777" w:rsidR="0031783C" w:rsidRPr="005D6487" w:rsidRDefault="0031783C" w:rsidP="00E8782E">
            <w:pPr>
              <w:jc w:val="center"/>
              <w:rPr>
                <w:color w:val="000000"/>
                <w:sz w:val="20"/>
                <w:szCs w:val="20"/>
              </w:rPr>
            </w:pPr>
            <w:r w:rsidRPr="005D6487">
              <w:rPr>
                <w:color w:val="000000"/>
                <w:sz w:val="20"/>
                <w:szCs w:val="20"/>
              </w:rPr>
              <w:t>21,658</w:t>
            </w:r>
          </w:p>
        </w:tc>
        <w:tc>
          <w:tcPr>
            <w:tcW w:w="1170" w:type="dxa"/>
            <w:tcBorders>
              <w:top w:val="nil"/>
              <w:left w:val="nil"/>
              <w:bottom w:val="single" w:sz="4" w:space="0" w:color="auto"/>
              <w:right w:val="single" w:sz="4" w:space="0" w:color="auto"/>
            </w:tcBorders>
            <w:shd w:val="clear" w:color="auto" w:fill="auto"/>
            <w:noWrap/>
            <w:vAlign w:val="bottom"/>
            <w:hideMark/>
          </w:tcPr>
          <w:p w14:paraId="51A8BB12" w14:textId="77777777" w:rsidR="0031783C" w:rsidRPr="005D6487" w:rsidRDefault="0031783C" w:rsidP="00E8782E">
            <w:pPr>
              <w:jc w:val="center"/>
              <w:rPr>
                <w:color w:val="000000"/>
                <w:sz w:val="20"/>
                <w:szCs w:val="20"/>
              </w:rPr>
            </w:pPr>
            <w:r w:rsidRPr="005D6487">
              <w:rPr>
                <w:color w:val="000000"/>
                <w:sz w:val="20"/>
                <w:szCs w:val="20"/>
              </w:rPr>
              <w:t>16,795</w:t>
            </w:r>
          </w:p>
        </w:tc>
        <w:tc>
          <w:tcPr>
            <w:tcW w:w="1170" w:type="dxa"/>
            <w:tcBorders>
              <w:top w:val="nil"/>
              <w:left w:val="nil"/>
              <w:bottom w:val="single" w:sz="4" w:space="0" w:color="auto"/>
              <w:right w:val="single" w:sz="4" w:space="0" w:color="auto"/>
            </w:tcBorders>
            <w:shd w:val="clear" w:color="auto" w:fill="auto"/>
            <w:noWrap/>
            <w:vAlign w:val="bottom"/>
            <w:hideMark/>
          </w:tcPr>
          <w:p w14:paraId="51A8BB13" w14:textId="77777777" w:rsidR="0031783C" w:rsidRPr="005D6487" w:rsidRDefault="0031783C" w:rsidP="00E8782E">
            <w:pPr>
              <w:jc w:val="center"/>
              <w:rPr>
                <w:color w:val="000000"/>
                <w:sz w:val="20"/>
                <w:szCs w:val="20"/>
              </w:rPr>
            </w:pPr>
            <w:r w:rsidRPr="005D6487">
              <w:rPr>
                <w:color w:val="000000"/>
                <w:sz w:val="20"/>
                <w:szCs w:val="20"/>
              </w:rPr>
              <w:t>13,119</w:t>
            </w:r>
          </w:p>
        </w:tc>
        <w:tc>
          <w:tcPr>
            <w:tcW w:w="1170" w:type="dxa"/>
            <w:tcBorders>
              <w:top w:val="nil"/>
              <w:left w:val="nil"/>
              <w:bottom w:val="single" w:sz="4" w:space="0" w:color="auto"/>
              <w:right w:val="single" w:sz="4" w:space="0" w:color="auto"/>
            </w:tcBorders>
            <w:shd w:val="clear" w:color="auto" w:fill="auto"/>
            <w:noWrap/>
            <w:vAlign w:val="bottom"/>
            <w:hideMark/>
          </w:tcPr>
          <w:p w14:paraId="51A8BB14" w14:textId="77777777" w:rsidR="0031783C" w:rsidRPr="005D6487" w:rsidRDefault="0031783C" w:rsidP="00E8782E">
            <w:pPr>
              <w:jc w:val="center"/>
              <w:rPr>
                <w:color w:val="000000"/>
                <w:sz w:val="20"/>
                <w:szCs w:val="20"/>
              </w:rPr>
            </w:pPr>
            <w:r w:rsidRPr="005D6487">
              <w:rPr>
                <w:color w:val="000000"/>
                <w:sz w:val="20"/>
                <w:szCs w:val="20"/>
              </w:rPr>
              <w:t>8,685</w:t>
            </w:r>
          </w:p>
        </w:tc>
        <w:tc>
          <w:tcPr>
            <w:tcW w:w="1215" w:type="dxa"/>
            <w:tcBorders>
              <w:top w:val="nil"/>
              <w:left w:val="nil"/>
              <w:bottom w:val="single" w:sz="4" w:space="0" w:color="auto"/>
              <w:right w:val="single" w:sz="4" w:space="0" w:color="auto"/>
            </w:tcBorders>
            <w:shd w:val="clear" w:color="auto" w:fill="auto"/>
            <w:noWrap/>
            <w:vAlign w:val="bottom"/>
            <w:hideMark/>
          </w:tcPr>
          <w:p w14:paraId="51A8BB15" w14:textId="77777777" w:rsidR="0031783C" w:rsidRPr="005D6487" w:rsidRDefault="0031783C" w:rsidP="00E8782E">
            <w:pPr>
              <w:jc w:val="center"/>
              <w:rPr>
                <w:color w:val="000000"/>
                <w:sz w:val="20"/>
                <w:szCs w:val="20"/>
              </w:rPr>
            </w:pPr>
            <w:r w:rsidRPr="005D6487">
              <w:rPr>
                <w:color w:val="000000"/>
                <w:sz w:val="20"/>
                <w:szCs w:val="20"/>
              </w:rPr>
              <w:t>10,042</w:t>
            </w:r>
          </w:p>
        </w:tc>
      </w:tr>
      <w:tr w:rsidR="00E8782E" w:rsidRPr="005D6487" w14:paraId="51A8BB1F"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B17" w14:textId="77777777" w:rsidR="00E8782E" w:rsidRPr="005D6487" w:rsidRDefault="00E8782E" w:rsidP="0031783C">
            <w:pPr>
              <w:jc w:val="center"/>
              <w:rPr>
                <w:b/>
                <w:bCs/>
                <w:color w:val="000000"/>
                <w:sz w:val="20"/>
                <w:szCs w:val="20"/>
              </w:rPr>
            </w:pPr>
            <w:r w:rsidRPr="005D6487">
              <w:rPr>
                <w:b/>
                <w:bCs/>
                <w:color w:val="000000"/>
                <w:sz w:val="20"/>
                <w:szCs w:val="20"/>
              </w:rPr>
              <w:t>2011</w:t>
            </w:r>
          </w:p>
        </w:tc>
        <w:tc>
          <w:tcPr>
            <w:tcW w:w="1154" w:type="dxa"/>
            <w:tcBorders>
              <w:top w:val="nil"/>
              <w:left w:val="nil"/>
              <w:bottom w:val="single" w:sz="4" w:space="0" w:color="auto"/>
              <w:right w:val="single" w:sz="4" w:space="0" w:color="auto"/>
            </w:tcBorders>
            <w:shd w:val="clear" w:color="auto" w:fill="auto"/>
            <w:noWrap/>
            <w:vAlign w:val="bottom"/>
            <w:hideMark/>
          </w:tcPr>
          <w:p w14:paraId="51A8BB18" w14:textId="77777777" w:rsidR="00E8782E" w:rsidRPr="005D6487" w:rsidRDefault="00E8782E" w:rsidP="00E8782E">
            <w:pPr>
              <w:jc w:val="center"/>
              <w:rPr>
                <w:color w:val="000000"/>
                <w:sz w:val="20"/>
                <w:szCs w:val="20"/>
              </w:rPr>
            </w:pPr>
            <w:r w:rsidRPr="005D6487">
              <w:rPr>
                <w:color w:val="000000"/>
                <w:sz w:val="20"/>
                <w:szCs w:val="20"/>
              </w:rPr>
              <w:t>23,914</w:t>
            </w:r>
          </w:p>
        </w:tc>
        <w:tc>
          <w:tcPr>
            <w:tcW w:w="1170" w:type="dxa"/>
            <w:tcBorders>
              <w:top w:val="nil"/>
              <w:left w:val="nil"/>
              <w:bottom w:val="single" w:sz="4" w:space="0" w:color="auto"/>
              <w:right w:val="single" w:sz="4" w:space="0" w:color="auto"/>
            </w:tcBorders>
            <w:shd w:val="clear" w:color="auto" w:fill="auto"/>
            <w:noWrap/>
            <w:vAlign w:val="bottom"/>
            <w:hideMark/>
          </w:tcPr>
          <w:p w14:paraId="51A8BB19" w14:textId="77777777" w:rsidR="00E8782E" w:rsidRPr="005D6487" w:rsidRDefault="00E8782E" w:rsidP="00E8782E">
            <w:pPr>
              <w:jc w:val="center"/>
              <w:rPr>
                <w:color w:val="000000"/>
                <w:sz w:val="20"/>
                <w:szCs w:val="20"/>
              </w:rPr>
            </w:pPr>
            <w:r w:rsidRPr="005D6487">
              <w:rPr>
                <w:color w:val="000000"/>
                <w:sz w:val="20"/>
                <w:szCs w:val="20"/>
              </w:rPr>
              <w:t>40,941</w:t>
            </w:r>
          </w:p>
        </w:tc>
        <w:tc>
          <w:tcPr>
            <w:tcW w:w="1170" w:type="dxa"/>
            <w:tcBorders>
              <w:top w:val="nil"/>
              <w:left w:val="nil"/>
              <w:bottom w:val="single" w:sz="4" w:space="0" w:color="auto"/>
              <w:right w:val="single" w:sz="4" w:space="0" w:color="auto"/>
            </w:tcBorders>
            <w:shd w:val="clear" w:color="auto" w:fill="auto"/>
            <w:noWrap/>
            <w:vAlign w:val="bottom"/>
            <w:hideMark/>
          </w:tcPr>
          <w:p w14:paraId="51A8BB1A" w14:textId="77777777" w:rsidR="00E8782E" w:rsidRPr="005D6487" w:rsidRDefault="00E8782E" w:rsidP="00E8782E">
            <w:pPr>
              <w:jc w:val="center"/>
              <w:rPr>
                <w:color w:val="000000"/>
                <w:sz w:val="20"/>
                <w:szCs w:val="20"/>
              </w:rPr>
            </w:pPr>
            <w:r w:rsidRPr="005D6487">
              <w:rPr>
                <w:color w:val="000000"/>
                <w:sz w:val="20"/>
                <w:szCs w:val="20"/>
              </w:rPr>
              <w:t>21,451</w:t>
            </w:r>
          </w:p>
        </w:tc>
        <w:tc>
          <w:tcPr>
            <w:tcW w:w="1170" w:type="dxa"/>
            <w:tcBorders>
              <w:top w:val="nil"/>
              <w:left w:val="nil"/>
              <w:bottom w:val="single" w:sz="4" w:space="0" w:color="auto"/>
              <w:right w:val="single" w:sz="4" w:space="0" w:color="auto"/>
            </w:tcBorders>
            <w:shd w:val="clear" w:color="auto" w:fill="auto"/>
            <w:noWrap/>
            <w:vAlign w:val="bottom"/>
            <w:hideMark/>
          </w:tcPr>
          <w:p w14:paraId="51A8BB1B" w14:textId="77777777" w:rsidR="00E8782E" w:rsidRPr="005D6487" w:rsidRDefault="00E8782E" w:rsidP="00E8782E">
            <w:pPr>
              <w:jc w:val="center"/>
              <w:rPr>
                <w:color w:val="000000"/>
                <w:sz w:val="20"/>
                <w:szCs w:val="20"/>
              </w:rPr>
            </w:pPr>
            <w:r w:rsidRPr="005D6487">
              <w:rPr>
                <w:color w:val="000000"/>
                <w:sz w:val="20"/>
                <w:szCs w:val="20"/>
              </w:rPr>
              <w:t>33,926</w:t>
            </w:r>
          </w:p>
        </w:tc>
        <w:tc>
          <w:tcPr>
            <w:tcW w:w="1170" w:type="dxa"/>
            <w:tcBorders>
              <w:top w:val="nil"/>
              <w:left w:val="nil"/>
              <w:bottom w:val="single" w:sz="4" w:space="0" w:color="auto"/>
              <w:right w:val="single" w:sz="4" w:space="0" w:color="auto"/>
            </w:tcBorders>
            <w:shd w:val="clear" w:color="auto" w:fill="auto"/>
            <w:noWrap/>
            <w:vAlign w:val="bottom"/>
            <w:hideMark/>
          </w:tcPr>
          <w:p w14:paraId="51A8BB1C" w14:textId="77777777" w:rsidR="00E8782E" w:rsidRPr="005D6487" w:rsidRDefault="00E8782E" w:rsidP="00E8782E">
            <w:pPr>
              <w:jc w:val="center"/>
              <w:rPr>
                <w:color w:val="000000"/>
                <w:sz w:val="20"/>
                <w:szCs w:val="20"/>
              </w:rPr>
            </w:pPr>
            <w:r w:rsidRPr="005D6487">
              <w:rPr>
                <w:color w:val="000000"/>
                <w:sz w:val="20"/>
                <w:szCs w:val="20"/>
              </w:rPr>
              <w:t>15,372</w:t>
            </w:r>
          </w:p>
        </w:tc>
        <w:tc>
          <w:tcPr>
            <w:tcW w:w="1170" w:type="dxa"/>
            <w:tcBorders>
              <w:top w:val="nil"/>
              <w:left w:val="nil"/>
              <w:bottom w:val="single" w:sz="4" w:space="0" w:color="auto"/>
              <w:right w:val="single" w:sz="4" w:space="0" w:color="auto"/>
            </w:tcBorders>
            <w:shd w:val="clear" w:color="auto" w:fill="auto"/>
            <w:noWrap/>
            <w:vAlign w:val="bottom"/>
            <w:hideMark/>
          </w:tcPr>
          <w:p w14:paraId="51A8BB1D" w14:textId="77777777" w:rsidR="00E8782E" w:rsidRPr="005D6487" w:rsidRDefault="00E8782E" w:rsidP="00E8782E">
            <w:pPr>
              <w:jc w:val="center"/>
              <w:rPr>
                <w:color w:val="000000"/>
                <w:sz w:val="20"/>
                <w:szCs w:val="20"/>
              </w:rPr>
            </w:pPr>
            <w:r w:rsidRPr="005D6487">
              <w:rPr>
                <w:color w:val="000000"/>
                <w:sz w:val="20"/>
                <w:szCs w:val="20"/>
              </w:rPr>
              <w:t>9,850</w:t>
            </w:r>
          </w:p>
        </w:tc>
        <w:tc>
          <w:tcPr>
            <w:tcW w:w="1215" w:type="dxa"/>
            <w:tcBorders>
              <w:top w:val="nil"/>
              <w:left w:val="nil"/>
              <w:bottom w:val="single" w:sz="4" w:space="0" w:color="auto"/>
              <w:right w:val="single" w:sz="4" w:space="0" w:color="auto"/>
            </w:tcBorders>
            <w:shd w:val="clear" w:color="auto" w:fill="auto"/>
            <w:noWrap/>
            <w:vAlign w:val="bottom"/>
            <w:hideMark/>
          </w:tcPr>
          <w:p w14:paraId="51A8BB1E" w14:textId="77777777" w:rsidR="00E8782E" w:rsidRPr="005D6487" w:rsidRDefault="00E8782E" w:rsidP="00E8782E">
            <w:pPr>
              <w:jc w:val="center"/>
              <w:rPr>
                <w:color w:val="000000"/>
                <w:sz w:val="20"/>
                <w:szCs w:val="20"/>
              </w:rPr>
            </w:pPr>
            <w:r w:rsidRPr="005D6487">
              <w:rPr>
                <w:color w:val="000000"/>
                <w:sz w:val="20"/>
                <w:szCs w:val="20"/>
              </w:rPr>
              <w:t>31,708</w:t>
            </w:r>
          </w:p>
        </w:tc>
      </w:tr>
      <w:tr w:rsidR="0031783C" w:rsidRPr="005D6487" w14:paraId="51A8BB28" w14:textId="77777777" w:rsidTr="00AE7800">
        <w:trPr>
          <w:trHeight w:val="255"/>
        </w:trPr>
        <w:tc>
          <w:tcPr>
            <w:tcW w:w="1006" w:type="dxa"/>
            <w:tcBorders>
              <w:top w:val="nil"/>
              <w:left w:val="single" w:sz="4" w:space="0" w:color="auto"/>
              <w:bottom w:val="single" w:sz="4" w:space="0" w:color="auto"/>
              <w:right w:val="single" w:sz="4" w:space="0" w:color="auto"/>
            </w:tcBorders>
            <w:shd w:val="clear" w:color="000000" w:fill="D8D8D8"/>
            <w:noWrap/>
            <w:vAlign w:val="bottom"/>
            <w:hideMark/>
          </w:tcPr>
          <w:p w14:paraId="51A8BB20" w14:textId="77777777" w:rsidR="0031783C" w:rsidRPr="005D6487" w:rsidRDefault="00E8782E" w:rsidP="0031783C">
            <w:pPr>
              <w:jc w:val="center"/>
              <w:rPr>
                <w:b/>
                <w:bCs/>
                <w:color w:val="000000"/>
                <w:sz w:val="20"/>
                <w:szCs w:val="20"/>
              </w:rPr>
            </w:pPr>
            <w:r w:rsidRPr="005D6487">
              <w:rPr>
                <w:b/>
                <w:bCs/>
                <w:color w:val="000000"/>
                <w:sz w:val="20"/>
                <w:szCs w:val="20"/>
              </w:rPr>
              <w:t>Average</w:t>
            </w:r>
          </w:p>
        </w:tc>
        <w:tc>
          <w:tcPr>
            <w:tcW w:w="1154" w:type="dxa"/>
            <w:tcBorders>
              <w:top w:val="nil"/>
              <w:left w:val="nil"/>
              <w:bottom w:val="single" w:sz="4" w:space="0" w:color="auto"/>
              <w:right w:val="single" w:sz="4" w:space="0" w:color="auto"/>
            </w:tcBorders>
            <w:shd w:val="clear" w:color="auto" w:fill="auto"/>
            <w:noWrap/>
            <w:vAlign w:val="bottom"/>
            <w:hideMark/>
          </w:tcPr>
          <w:p w14:paraId="51A8BB21" w14:textId="77777777" w:rsidR="0031783C" w:rsidRPr="005D6487" w:rsidRDefault="00E8782E" w:rsidP="00E8782E">
            <w:pPr>
              <w:jc w:val="center"/>
              <w:rPr>
                <w:b/>
                <w:color w:val="000000"/>
                <w:sz w:val="20"/>
                <w:szCs w:val="20"/>
              </w:rPr>
            </w:pPr>
            <w:r w:rsidRPr="005D6487">
              <w:rPr>
                <w:b/>
                <w:color w:val="000000"/>
                <w:sz w:val="20"/>
                <w:szCs w:val="20"/>
              </w:rPr>
              <w:t>45,808</w:t>
            </w:r>
          </w:p>
        </w:tc>
        <w:tc>
          <w:tcPr>
            <w:tcW w:w="1170" w:type="dxa"/>
            <w:tcBorders>
              <w:top w:val="nil"/>
              <w:left w:val="nil"/>
              <w:bottom w:val="single" w:sz="4" w:space="0" w:color="auto"/>
              <w:right w:val="single" w:sz="4" w:space="0" w:color="auto"/>
            </w:tcBorders>
            <w:shd w:val="clear" w:color="auto" w:fill="auto"/>
            <w:noWrap/>
            <w:vAlign w:val="bottom"/>
            <w:hideMark/>
          </w:tcPr>
          <w:p w14:paraId="51A8BB22" w14:textId="77777777" w:rsidR="0031783C" w:rsidRPr="005D6487" w:rsidRDefault="00E8782E" w:rsidP="00D15F52">
            <w:pPr>
              <w:jc w:val="center"/>
              <w:rPr>
                <w:b/>
                <w:color w:val="000000"/>
                <w:sz w:val="20"/>
                <w:szCs w:val="20"/>
              </w:rPr>
            </w:pPr>
            <w:r w:rsidRPr="005D6487">
              <w:rPr>
                <w:b/>
                <w:color w:val="000000"/>
                <w:sz w:val="20"/>
                <w:szCs w:val="20"/>
              </w:rPr>
              <w:t>29,0</w:t>
            </w:r>
            <w:r w:rsidR="00D15F52">
              <w:rPr>
                <w:b/>
                <w:color w:val="000000"/>
                <w:sz w:val="20"/>
                <w:szCs w:val="20"/>
              </w:rPr>
              <w:t>0</w:t>
            </w:r>
            <w:r w:rsidRPr="005D6487">
              <w:rPr>
                <w:b/>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bottom"/>
            <w:hideMark/>
          </w:tcPr>
          <w:p w14:paraId="51A8BB23" w14:textId="77777777" w:rsidR="0031783C" w:rsidRPr="005D6487" w:rsidRDefault="00E8782E" w:rsidP="00D15F52">
            <w:pPr>
              <w:jc w:val="center"/>
              <w:rPr>
                <w:b/>
                <w:color w:val="000000"/>
                <w:sz w:val="20"/>
                <w:szCs w:val="20"/>
              </w:rPr>
            </w:pPr>
            <w:r w:rsidRPr="005D6487">
              <w:rPr>
                <w:b/>
                <w:color w:val="000000"/>
                <w:sz w:val="20"/>
                <w:szCs w:val="20"/>
              </w:rPr>
              <w:t>20,</w:t>
            </w:r>
            <w:r w:rsidR="00D15F52">
              <w:rPr>
                <w:b/>
                <w:color w:val="000000"/>
                <w:sz w:val="20"/>
                <w:szCs w:val="20"/>
              </w:rPr>
              <w:t>517</w:t>
            </w:r>
          </w:p>
        </w:tc>
        <w:tc>
          <w:tcPr>
            <w:tcW w:w="1170" w:type="dxa"/>
            <w:tcBorders>
              <w:top w:val="nil"/>
              <w:left w:val="nil"/>
              <w:bottom w:val="single" w:sz="4" w:space="0" w:color="auto"/>
              <w:right w:val="single" w:sz="4" w:space="0" w:color="auto"/>
            </w:tcBorders>
            <w:shd w:val="clear" w:color="auto" w:fill="auto"/>
            <w:noWrap/>
            <w:vAlign w:val="bottom"/>
            <w:hideMark/>
          </w:tcPr>
          <w:p w14:paraId="51A8BB24" w14:textId="77777777" w:rsidR="0031783C" w:rsidRPr="005D6487" w:rsidRDefault="00E8782E" w:rsidP="00D15F52">
            <w:pPr>
              <w:jc w:val="center"/>
              <w:rPr>
                <w:b/>
                <w:color w:val="000000"/>
                <w:sz w:val="20"/>
                <w:szCs w:val="20"/>
              </w:rPr>
            </w:pPr>
            <w:r w:rsidRPr="005D6487">
              <w:rPr>
                <w:b/>
                <w:color w:val="000000"/>
                <w:sz w:val="20"/>
                <w:szCs w:val="20"/>
              </w:rPr>
              <w:t>21,</w:t>
            </w:r>
            <w:r w:rsidR="00D15F52">
              <w:rPr>
                <w:b/>
                <w:color w:val="000000"/>
                <w:sz w:val="20"/>
                <w:szCs w:val="20"/>
              </w:rPr>
              <w:t>435</w:t>
            </w:r>
          </w:p>
        </w:tc>
        <w:tc>
          <w:tcPr>
            <w:tcW w:w="1170" w:type="dxa"/>
            <w:tcBorders>
              <w:top w:val="nil"/>
              <w:left w:val="nil"/>
              <w:bottom w:val="single" w:sz="4" w:space="0" w:color="auto"/>
              <w:right w:val="single" w:sz="4" w:space="0" w:color="auto"/>
            </w:tcBorders>
            <w:shd w:val="clear" w:color="auto" w:fill="auto"/>
            <w:noWrap/>
            <w:vAlign w:val="bottom"/>
            <w:hideMark/>
          </w:tcPr>
          <w:p w14:paraId="51A8BB25" w14:textId="77777777" w:rsidR="0031783C" w:rsidRPr="005D6487" w:rsidRDefault="00E8782E" w:rsidP="00E8782E">
            <w:pPr>
              <w:jc w:val="center"/>
              <w:rPr>
                <w:b/>
                <w:color w:val="000000"/>
                <w:sz w:val="20"/>
                <w:szCs w:val="20"/>
              </w:rPr>
            </w:pPr>
            <w:r w:rsidRPr="005D6487">
              <w:rPr>
                <w:b/>
                <w:color w:val="000000"/>
                <w:sz w:val="20"/>
                <w:szCs w:val="20"/>
              </w:rPr>
              <w:t>14,529</w:t>
            </w:r>
          </w:p>
        </w:tc>
        <w:tc>
          <w:tcPr>
            <w:tcW w:w="1170" w:type="dxa"/>
            <w:tcBorders>
              <w:top w:val="nil"/>
              <w:left w:val="nil"/>
              <w:bottom w:val="single" w:sz="4" w:space="0" w:color="auto"/>
              <w:right w:val="single" w:sz="4" w:space="0" w:color="auto"/>
            </w:tcBorders>
            <w:shd w:val="clear" w:color="auto" w:fill="auto"/>
            <w:noWrap/>
            <w:vAlign w:val="bottom"/>
            <w:hideMark/>
          </w:tcPr>
          <w:p w14:paraId="51A8BB26" w14:textId="77777777" w:rsidR="0031783C" w:rsidRPr="005D6487" w:rsidRDefault="00E8782E" w:rsidP="00E8782E">
            <w:pPr>
              <w:jc w:val="center"/>
              <w:rPr>
                <w:b/>
                <w:color w:val="000000"/>
                <w:sz w:val="20"/>
                <w:szCs w:val="20"/>
              </w:rPr>
            </w:pPr>
            <w:r w:rsidRPr="005D6487">
              <w:rPr>
                <w:b/>
                <w:color w:val="000000"/>
                <w:sz w:val="20"/>
                <w:szCs w:val="20"/>
              </w:rPr>
              <w:t>7,709</w:t>
            </w:r>
          </w:p>
        </w:tc>
        <w:tc>
          <w:tcPr>
            <w:tcW w:w="1215" w:type="dxa"/>
            <w:tcBorders>
              <w:top w:val="nil"/>
              <w:left w:val="nil"/>
              <w:bottom w:val="single" w:sz="4" w:space="0" w:color="auto"/>
              <w:right w:val="single" w:sz="4" w:space="0" w:color="auto"/>
            </w:tcBorders>
            <w:shd w:val="clear" w:color="auto" w:fill="auto"/>
            <w:noWrap/>
            <w:vAlign w:val="bottom"/>
            <w:hideMark/>
          </w:tcPr>
          <w:p w14:paraId="51A8BB27" w14:textId="77777777" w:rsidR="0031783C" w:rsidRPr="005D6487" w:rsidRDefault="00D15F52" w:rsidP="00E8782E">
            <w:pPr>
              <w:jc w:val="center"/>
              <w:rPr>
                <w:b/>
                <w:color w:val="000000"/>
                <w:sz w:val="20"/>
                <w:szCs w:val="20"/>
              </w:rPr>
            </w:pPr>
            <w:r>
              <w:rPr>
                <w:b/>
                <w:color w:val="000000"/>
                <w:sz w:val="20"/>
                <w:szCs w:val="20"/>
              </w:rPr>
              <w:t>12,024</w:t>
            </w:r>
          </w:p>
        </w:tc>
      </w:tr>
    </w:tbl>
    <w:p w14:paraId="51A8BB29" w14:textId="77777777" w:rsidR="0031783C" w:rsidRPr="005D6487" w:rsidRDefault="0031783C" w:rsidP="0031783C">
      <w:pPr>
        <w:rPr>
          <w:b/>
        </w:rPr>
      </w:pPr>
    </w:p>
    <w:sectPr w:rsidR="0031783C" w:rsidRPr="005D6487" w:rsidSect="00D913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BB3A" w14:textId="77777777" w:rsidR="00D81065" w:rsidRDefault="00D81065">
      <w:r>
        <w:separator/>
      </w:r>
    </w:p>
  </w:endnote>
  <w:endnote w:type="continuationSeparator" w:id="0">
    <w:p w14:paraId="51A8BB3B" w14:textId="77777777" w:rsidR="00D81065" w:rsidRDefault="00D8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BB38" w14:textId="77777777" w:rsidR="00D81065" w:rsidRDefault="00D81065">
      <w:r>
        <w:separator/>
      </w:r>
    </w:p>
  </w:footnote>
  <w:footnote w:type="continuationSeparator" w:id="0">
    <w:p w14:paraId="51A8BB39" w14:textId="77777777" w:rsidR="00D81065" w:rsidRDefault="00D8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53C"/>
    <w:multiLevelType w:val="hybridMultilevel"/>
    <w:tmpl w:val="A8C8716C"/>
    <w:lvl w:ilvl="0" w:tplc="45982CBC">
      <w:start w:val="1"/>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8DE2F17"/>
    <w:multiLevelType w:val="hybridMultilevel"/>
    <w:tmpl w:val="6AA851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62E7850"/>
    <w:multiLevelType w:val="hybridMultilevel"/>
    <w:tmpl w:val="EA60F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D10D9"/>
    <w:multiLevelType w:val="hybridMultilevel"/>
    <w:tmpl w:val="31BA1A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65CBB"/>
    <w:multiLevelType w:val="hybridMultilevel"/>
    <w:tmpl w:val="52E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52F6"/>
    <w:rsid w:val="00005EE6"/>
    <w:rsid w:val="000149DE"/>
    <w:rsid w:val="00026314"/>
    <w:rsid w:val="000273AC"/>
    <w:rsid w:val="00041B42"/>
    <w:rsid w:val="0005416C"/>
    <w:rsid w:val="00066549"/>
    <w:rsid w:val="000A111D"/>
    <w:rsid w:val="000B2057"/>
    <w:rsid w:val="000B2A03"/>
    <w:rsid w:val="000D2C0E"/>
    <w:rsid w:val="000F6D9D"/>
    <w:rsid w:val="0010134B"/>
    <w:rsid w:val="00132BF8"/>
    <w:rsid w:val="001545AC"/>
    <w:rsid w:val="001729F0"/>
    <w:rsid w:val="00174090"/>
    <w:rsid w:val="00174D45"/>
    <w:rsid w:val="00184FD2"/>
    <w:rsid w:val="00187267"/>
    <w:rsid w:val="00187867"/>
    <w:rsid w:val="001B0AC7"/>
    <w:rsid w:val="001B6CD6"/>
    <w:rsid w:val="001F0D18"/>
    <w:rsid w:val="002009C9"/>
    <w:rsid w:val="00206296"/>
    <w:rsid w:val="002151A3"/>
    <w:rsid w:val="0022793B"/>
    <w:rsid w:val="00232531"/>
    <w:rsid w:val="0024084A"/>
    <w:rsid w:val="00245778"/>
    <w:rsid w:val="002463AA"/>
    <w:rsid w:val="0028217C"/>
    <w:rsid w:val="0029200C"/>
    <w:rsid w:val="002A005D"/>
    <w:rsid w:val="002A5BB4"/>
    <w:rsid w:val="002B4C35"/>
    <w:rsid w:val="002C6202"/>
    <w:rsid w:val="002F2CC2"/>
    <w:rsid w:val="00311D3C"/>
    <w:rsid w:val="0031783C"/>
    <w:rsid w:val="003434E2"/>
    <w:rsid w:val="00360FB6"/>
    <w:rsid w:val="00374594"/>
    <w:rsid w:val="00383F61"/>
    <w:rsid w:val="00384A48"/>
    <w:rsid w:val="003B1C2B"/>
    <w:rsid w:val="003B7A35"/>
    <w:rsid w:val="003C5E14"/>
    <w:rsid w:val="00416CC8"/>
    <w:rsid w:val="0043083D"/>
    <w:rsid w:val="004330E5"/>
    <w:rsid w:val="00485808"/>
    <w:rsid w:val="00486489"/>
    <w:rsid w:val="004F10FC"/>
    <w:rsid w:val="004F581C"/>
    <w:rsid w:val="0050684A"/>
    <w:rsid w:val="00550858"/>
    <w:rsid w:val="00561013"/>
    <w:rsid w:val="005613CD"/>
    <w:rsid w:val="00573AED"/>
    <w:rsid w:val="00591D9D"/>
    <w:rsid w:val="005A19AE"/>
    <w:rsid w:val="005C573F"/>
    <w:rsid w:val="005C7813"/>
    <w:rsid w:val="005C7C96"/>
    <w:rsid w:val="005D6487"/>
    <w:rsid w:val="006057E7"/>
    <w:rsid w:val="006455F5"/>
    <w:rsid w:val="0066012D"/>
    <w:rsid w:val="00682A61"/>
    <w:rsid w:val="00695816"/>
    <w:rsid w:val="006B207A"/>
    <w:rsid w:val="006B5B53"/>
    <w:rsid w:val="006D2A8A"/>
    <w:rsid w:val="006E7699"/>
    <w:rsid w:val="00711160"/>
    <w:rsid w:val="00715C92"/>
    <w:rsid w:val="00717476"/>
    <w:rsid w:val="00731525"/>
    <w:rsid w:val="0073155C"/>
    <w:rsid w:val="007479F7"/>
    <w:rsid w:val="007828F3"/>
    <w:rsid w:val="007A5F7C"/>
    <w:rsid w:val="007A793F"/>
    <w:rsid w:val="007D5365"/>
    <w:rsid w:val="00816E20"/>
    <w:rsid w:val="008246A4"/>
    <w:rsid w:val="00874C7C"/>
    <w:rsid w:val="008819BB"/>
    <w:rsid w:val="00891475"/>
    <w:rsid w:val="008A1CBD"/>
    <w:rsid w:val="008B2C22"/>
    <w:rsid w:val="008B73F8"/>
    <w:rsid w:val="008C1155"/>
    <w:rsid w:val="008E52DD"/>
    <w:rsid w:val="008F5F55"/>
    <w:rsid w:val="0094005C"/>
    <w:rsid w:val="00951F98"/>
    <w:rsid w:val="00996F16"/>
    <w:rsid w:val="009A567A"/>
    <w:rsid w:val="00A2108B"/>
    <w:rsid w:val="00A32764"/>
    <w:rsid w:val="00A418D0"/>
    <w:rsid w:val="00A435E4"/>
    <w:rsid w:val="00A465C6"/>
    <w:rsid w:val="00A50893"/>
    <w:rsid w:val="00A53441"/>
    <w:rsid w:val="00A57B5C"/>
    <w:rsid w:val="00A67E5B"/>
    <w:rsid w:val="00A9170E"/>
    <w:rsid w:val="00AA4B4E"/>
    <w:rsid w:val="00AE7800"/>
    <w:rsid w:val="00AF7840"/>
    <w:rsid w:val="00B278D4"/>
    <w:rsid w:val="00B33E34"/>
    <w:rsid w:val="00B362C4"/>
    <w:rsid w:val="00B52F07"/>
    <w:rsid w:val="00B70F00"/>
    <w:rsid w:val="00B91935"/>
    <w:rsid w:val="00BE7EE8"/>
    <w:rsid w:val="00C05E8F"/>
    <w:rsid w:val="00C17086"/>
    <w:rsid w:val="00C20A28"/>
    <w:rsid w:val="00C270C7"/>
    <w:rsid w:val="00C5662E"/>
    <w:rsid w:val="00CB3CF5"/>
    <w:rsid w:val="00CD3870"/>
    <w:rsid w:val="00CD7E5D"/>
    <w:rsid w:val="00CD7F59"/>
    <w:rsid w:val="00CE5809"/>
    <w:rsid w:val="00CF272C"/>
    <w:rsid w:val="00D15F52"/>
    <w:rsid w:val="00D15FC3"/>
    <w:rsid w:val="00D16323"/>
    <w:rsid w:val="00D55F50"/>
    <w:rsid w:val="00D74805"/>
    <w:rsid w:val="00D81065"/>
    <w:rsid w:val="00D83924"/>
    <w:rsid w:val="00D868A3"/>
    <w:rsid w:val="00D913FD"/>
    <w:rsid w:val="00DB0713"/>
    <w:rsid w:val="00DE5861"/>
    <w:rsid w:val="00DF33F4"/>
    <w:rsid w:val="00DF6CFE"/>
    <w:rsid w:val="00E40D2B"/>
    <w:rsid w:val="00E533A0"/>
    <w:rsid w:val="00E53D84"/>
    <w:rsid w:val="00E647EE"/>
    <w:rsid w:val="00E8782E"/>
    <w:rsid w:val="00E941D0"/>
    <w:rsid w:val="00E952F6"/>
    <w:rsid w:val="00EA51CA"/>
    <w:rsid w:val="00F40144"/>
    <w:rsid w:val="00F65B99"/>
    <w:rsid w:val="00FA16E8"/>
    <w:rsid w:val="00FA3EBC"/>
    <w:rsid w:val="00FC6C08"/>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8BA3D"/>
  <w15:docId w15:val="{F25B31EA-7087-457B-832D-29B3B511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FD"/>
    <w:rPr>
      <w:sz w:val="24"/>
      <w:szCs w:val="24"/>
    </w:rPr>
  </w:style>
  <w:style w:type="paragraph" w:styleId="Heading3">
    <w:name w:val="heading 3"/>
    <w:basedOn w:val="Normal"/>
    <w:next w:val="Normal"/>
    <w:link w:val="Heading3Char1"/>
    <w:qFormat/>
    <w:rsid w:val="0005416C"/>
    <w:pPr>
      <w:keepNext/>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05D"/>
    <w:rPr>
      <w:color w:val="0000FF"/>
      <w:u w:val="single"/>
    </w:rPr>
  </w:style>
  <w:style w:type="table" w:styleId="TableGrid">
    <w:name w:val="Table Grid"/>
    <w:basedOn w:val="TableNormal"/>
    <w:rsid w:val="001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108B"/>
    <w:pPr>
      <w:tabs>
        <w:tab w:val="center" w:pos="4320"/>
        <w:tab w:val="right" w:pos="8640"/>
      </w:tabs>
    </w:pPr>
  </w:style>
  <w:style w:type="paragraph" w:styleId="Footer">
    <w:name w:val="footer"/>
    <w:basedOn w:val="Normal"/>
    <w:rsid w:val="00A2108B"/>
    <w:pPr>
      <w:tabs>
        <w:tab w:val="center" w:pos="4320"/>
        <w:tab w:val="right" w:pos="8640"/>
      </w:tabs>
    </w:pPr>
  </w:style>
  <w:style w:type="character" w:styleId="PageNumber">
    <w:name w:val="page number"/>
    <w:basedOn w:val="DefaultParagraphFont"/>
    <w:rsid w:val="00A2108B"/>
  </w:style>
  <w:style w:type="paragraph" w:styleId="ListParagraph">
    <w:name w:val="List Paragraph"/>
    <w:basedOn w:val="Normal"/>
    <w:uiPriority w:val="99"/>
    <w:qFormat/>
    <w:rsid w:val="00695816"/>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C270C7"/>
    <w:rPr>
      <w:rFonts w:ascii="Tahoma" w:hAnsi="Tahoma"/>
      <w:sz w:val="16"/>
      <w:szCs w:val="16"/>
    </w:rPr>
  </w:style>
  <w:style w:type="character" w:customStyle="1" w:styleId="BalloonTextChar">
    <w:name w:val="Balloon Text Char"/>
    <w:link w:val="BalloonText"/>
    <w:rsid w:val="00C270C7"/>
    <w:rPr>
      <w:rFonts w:ascii="Tahoma" w:hAnsi="Tahoma" w:cs="Tahoma"/>
      <w:sz w:val="16"/>
      <w:szCs w:val="16"/>
    </w:rPr>
  </w:style>
  <w:style w:type="paragraph" w:customStyle="1" w:styleId="Default">
    <w:name w:val="Default"/>
    <w:rsid w:val="005C7C96"/>
    <w:pPr>
      <w:autoSpaceDE w:val="0"/>
      <w:autoSpaceDN w:val="0"/>
      <w:adjustRightInd w:val="0"/>
    </w:pPr>
    <w:rPr>
      <w:color w:val="000000"/>
      <w:sz w:val="24"/>
      <w:szCs w:val="24"/>
    </w:rPr>
  </w:style>
  <w:style w:type="character" w:styleId="CommentReference">
    <w:name w:val="annotation reference"/>
    <w:rsid w:val="000F6D9D"/>
    <w:rPr>
      <w:sz w:val="16"/>
      <w:szCs w:val="16"/>
    </w:rPr>
  </w:style>
  <w:style w:type="paragraph" w:styleId="CommentText">
    <w:name w:val="annotation text"/>
    <w:basedOn w:val="Normal"/>
    <w:link w:val="CommentTextChar"/>
    <w:rsid w:val="000F6D9D"/>
    <w:rPr>
      <w:sz w:val="20"/>
      <w:szCs w:val="20"/>
    </w:rPr>
  </w:style>
  <w:style w:type="character" w:customStyle="1" w:styleId="CommentTextChar">
    <w:name w:val="Comment Text Char"/>
    <w:basedOn w:val="DefaultParagraphFont"/>
    <w:link w:val="CommentText"/>
    <w:rsid w:val="000F6D9D"/>
  </w:style>
  <w:style w:type="paragraph" w:styleId="CommentSubject">
    <w:name w:val="annotation subject"/>
    <w:basedOn w:val="CommentText"/>
    <w:next w:val="CommentText"/>
    <w:link w:val="CommentSubjectChar"/>
    <w:rsid w:val="000F6D9D"/>
    <w:rPr>
      <w:b/>
      <w:bCs/>
    </w:rPr>
  </w:style>
  <w:style w:type="character" w:customStyle="1" w:styleId="CommentSubjectChar">
    <w:name w:val="Comment Subject Char"/>
    <w:link w:val="CommentSubject"/>
    <w:rsid w:val="000F6D9D"/>
    <w:rPr>
      <w:b/>
      <w:bCs/>
    </w:rPr>
  </w:style>
  <w:style w:type="paragraph" w:styleId="BodyText2">
    <w:name w:val="Body Text 2"/>
    <w:basedOn w:val="Normal"/>
    <w:link w:val="BodyText2Char"/>
    <w:rsid w:val="00B362C4"/>
    <w:pPr>
      <w:autoSpaceDE w:val="0"/>
      <w:autoSpaceDN w:val="0"/>
      <w:spacing w:line="480" w:lineRule="auto"/>
      <w:jc w:val="both"/>
    </w:pPr>
  </w:style>
  <w:style w:type="character" w:customStyle="1" w:styleId="BodyText2Char">
    <w:name w:val="Body Text 2 Char"/>
    <w:basedOn w:val="DefaultParagraphFont"/>
    <w:link w:val="BodyText2"/>
    <w:rsid w:val="00B362C4"/>
    <w:rPr>
      <w:sz w:val="24"/>
      <w:szCs w:val="24"/>
    </w:rPr>
  </w:style>
  <w:style w:type="paragraph" w:styleId="BodyText">
    <w:name w:val="Body Text"/>
    <w:basedOn w:val="Normal"/>
    <w:link w:val="BodyTextChar"/>
    <w:uiPriority w:val="99"/>
    <w:rsid w:val="00B362C4"/>
    <w:pPr>
      <w:autoSpaceDE w:val="0"/>
      <w:autoSpaceDN w:val="0"/>
      <w:spacing w:line="360" w:lineRule="auto"/>
      <w:jc w:val="center"/>
    </w:pPr>
    <w:rPr>
      <w:b/>
      <w:bCs/>
    </w:rPr>
  </w:style>
  <w:style w:type="character" w:customStyle="1" w:styleId="BodyTextChar">
    <w:name w:val="Body Text Char"/>
    <w:basedOn w:val="DefaultParagraphFont"/>
    <w:link w:val="BodyText"/>
    <w:uiPriority w:val="99"/>
    <w:rsid w:val="00B362C4"/>
    <w:rPr>
      <w:b/>
      <w:bCs/>
      <w:sz w:val="24"/>
      <w:szCs w:val="24"/>
    </w:rPr>
  </w:style>
  <w:style w:type="character" w:customStyle="1" w:styleId="Heading3Char">
    <w:name w:val="Heading 3 Char"/>
    <w:basedOn w:val="DefaultParagraphFont"/>
    <w:semiHidden/>
    <w:rsid w:val="0005416C"/>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05416C"/>
    <w:rPr>
      <w:rFonts w:ascii="Arial" w:hAnsi="Arial" w:cs="Arial"/>
      <w:b/>
      <w:bCs/>
      <w:sz w:val="24"/>
      <w:szCs w:val="26"/>
    </w:rPr>
  </w:style>
  <w:style w:type="paragraph" w:styleId="BodyTextIndent3">
    <w:name w:val="Body Text Indent 3"/>
    <w:basedOn w:val="Normal"/>
    <w:link w:val="BodyTextIndent3Char"/>
    <w:rsid w:val="00C20A28"/>
    <w:pPr>
      <w:spacing w:after="120"/>
      <w:ind w:left="360"/>
    </w:pPr>
    <w:rPr>
      <w:sz w:val="16"/>
      <w:szCs w:val="16"/>
    </w:rPr>
  </w:style>
  <w:style w:type="character" w:customStyle="1" w:styleId="BodyTextIndent3Char">
    <w:name w:val="Body Text Indent 3 Char"/>
    <w:basedOn w:val="DefaultParagraphFont"/>
    <w:link w:val="BodyTextIndent3"/>
    <w:rsid w:val="00C20A28"/>
    <w:rPr>
      <w:sz w:val="16"/>
      <w:szCs w:val="16"/>
    </w:rPr>
  </w:style>
  <w:style w:type="paragraph" w:styleId="FootnoteText">
    <w:name w:val="footnote text"/>
    <w:basedOn w:val="Normal"/>
    <w:link w:val="FootnoteTextChar"/>
    <w:rsid w:val="00C20A28"/>
    <w:pPr>
      <w:autoSpaceDE w:val="0"/>
      <w:autoSpaceDN w:val="0"/>
    </w:pPr>
    <w:rPr>
      <w:sz w:val="20"/>
      <w:szCs w:val="20"/>
    </w:rPr>
  </w:style>
  <w:style w:type="character" w:customStyle="1" w:styleId="FootnoteTextChar">
    <w:name w:val="Footnote Text Char"/>
    <w:basedOn w:val="DefaultParagraphFont"/>
    <w:link w:val="FootnoteText"/>
    <w:rsid w:val="00C20A28"/>
  </w:style>
  <w:style w:type="character" w:styleId="FootnoteReference">
    <w:name w:val="footnote reference"/>
    <w:basedOn w:val="DefaultParagraphFont"/>
    <w:rsid w:val="00C20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8509">
      <w:bodyDiv w:val="1"/>
      <w:marLeft w:val="0"/>
      <w:marRight w:val="0"/>
      <w:marTop w:val="0"/>
      <w:marBottom w:val="0"/>
      <w:divBdr>
        <w:top w:val="none" w:sz="0" w:space="0" w:color="auto"/>
        <w:left w:val="none" w:sz="0" w:space="0" w:color="auto"/>
        <w:bottom w:val="none" w:sz="0" w:space="0" w:color="auto"/>
        <w:right w:val="none" w:sz="0" w:space="0" w:color="auto"/>
      </w:divBdr>
    </w:div>
    <w:div w:id="545800443">
      <w:bodyDiv w:val="1"/>
      <w:marLeft w:val="0"/>
      <w:marRight w:val="0"/>
      <w:marTop w:val="0"/>
      <w:marBottom w:val="0"/>
      <w:divBdr>
        <w:top w:val="none" w:sz="0" w:space="0" w:color="auto"/>
        <w:left w:val="none" w:sz="0" w:space="0" w:color="auto"/>
        <w:bottom w:val="none" w:sz="0" w:space="0" w:color="auto"/>
        <w:right w:val="none" w:sz="0" w:space="0" w:color="auto"/>
      </w:divBdr>
    </w:div>
    <w:div w:id="624893745">
      <w:bodyDiv w:val="1"/>
      <w:marLeft w:val="0"/>
      <w:marRight w:val="0"/>
      <w:marTop w:val="0"/>
      <w:marBottom w:val="0"/>
      <w:divBdr>
        <w:top w:val="none" w:sz="0" w:space="0" w:color="auto"/>
        <w:left w:val="none" w:sz="0" w:space="0" w:color="auto"/>
        <w:bottom w:val="none" w:sz="0" w:space="0" w:color="auto"/>
        <w:right w:val="none" w:sz="0" w:space="0" w:color="auto"/>
      </w:divBdr>
    </w:div>
    <w:div w:id="1288127252">
      <w:bodyDiv w:val="1"/>
      <w:marLeft w:val="0"/>
      <w:marRight w:val="0"/>
      <w:marTop w:val="0"/>
      <w:marBottom w:val="0"/>
      <w:divBdr>
        <w:top w:val="none" w:sz="0" w:space="0" w:color="auto"/>
        <w:left w:val="none" w:sz="0" w:space="0" w:color="auto"/>
        <w:bottom w:val="none" w:sz="0" w:space="0" w:color="auto"/>
        <w:right w:val="none" w:sz="0" w:space="0" w:color="auto"/>
      </w:divBdr>
    </w:div>
    <w:div w:id="1300455759">
      <w:bodyDiv w:val="1"/>
      <w:marLeft w:val="0"/>
      <w:marRight w:val="0"/>
      <w:marTop w:val="0"/>
      <w:marBottom w:val="0"/>
      <w:divBdr>
        <w:top w:val="none" w:sz="0" w:space="0" w:color="auto"/>
        <w:left w:val="none" w:sz="0" w:space="0" w:color="auto"/>
        <w:bottom w:val="none" w:sz="0" w:space="0" w:color="auto"/>
        <w:right w:val="none" w:sz="0" w:space="0" w:color="auto"/>
      </w:divBdr>
    </w:div>
    <w:div w:id="20522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F28E2B-7298-4361-A2EE-60566D4790DE}"/>
</file>

<file path=customXml/itemProps2.xml><?xml version="1.0" encoding="utf-8"?>
<ds:datastoreItem xmlns:ds="http://schemas.openxmlformats.org/officeDocument/2006/customXml" ds:itemID="{73E74B3A-1A0F-4A9D-B8D8-77A2E94AF23A}"/>
</file>

<file path=customXml/itemProps3.xml><?xml version="1.0" encoding="utf-8"?>
<ds:datastoreItem xmlns:ds="http://schemas.openxmlformats.org/officeDocument/2006/customXml" ds:itemID="{59468C49-B3E2-4096-A931-5FB215A1A626}"/>
</file>

<file path=customXml/itemProps4.xml><?xml version="1.0" encoding="utf-8"?>
<ds:datastoreItem xmlns:ds="http://schemas.openxmlformats.org/officeDocument/2006/customXml" ds:itemID="{72FDE77F-835C-4987-A66F-A8FBEC505440}"/>
</file>

<file path=docProps/app.xml><?xml version="1.0" encoding="utf-8"?>
<Properties xmlns="http://schemas.openxmlformats.org/officeDocument/2006/extended-properties" xmlns:vt="http://schemas.openxmlformats.org/officeDocument/2006/docPropsVTypes">
  <Template>Normal.dotm</Template>
  <TotalTime>0</TotalTime>
  <Pages>13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rcw</vt:lpstr>
    </vt:vector>
  </TitlesOfParts>
  <Company>Puget Sound Energy</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rcw</dc:title>
  <dc:creator>eengle</dc:creator>
  <cp:lastModifiedBy>Crawford, Denise (UTC)</cp:lastModifiedBy>
  <cp:revision>2</cp:revision>
  <cp:lastPrinted>2012-05-29T21:28:00Z</cp:lastPrinted>
  <dcterms:created xsi:type="dcterms:W3CDTF">2015-05-29T22:16:00Z</dcterms:created>
  <dcterms:modified xsi:type="dcterms:W3CDTF">2015-05-29T22:16:00Z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