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93D" w:rsidRPr="00D3367D" w:rsidRDefault="005479BD" w:rsidP="005479BD">
      <w:pPr>
        <w:ind w:left="-1080" w:right="-360"/>
      </w:pPr>
      <w:r w:rsidRPr="00D3367D">
        <w:rPr>
          <w:noProof/>
        </w:rPr>
        <w:drawing>
          <wp:inline distT="0" distB="0" distL="0" distR="0">
            <wp:extent cx="7085402" cy="1144800"/>
            <wp:effectExtent l="19050" t="0" r="119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098128" cy="1146856"/>
                    </a:xfrm>
                    <a:prstGeom prst="rect">
                      <a:avLst/>
                    </a:prstGeom>
                    <a:noFill/>
                    <a:ln w="9525">
                      <a:noFill/>
                      <a:miter lim="800000"/>
                      <a:headEnd/>
                      <a:tailEnd/>
                    </a:ln>
                  </pic:spPr>
                </pic:pic>
              </a:graphicData>
            </a:graphic>
          </wp:inline>
        </w:drawing>
      </w:r>
    </w:p>
    <w:p w:rsidR="00D2493D" w:rsidRPr="00D3367D" w:rsidRDefault="00D2493D"/>
    <w:p w:rsidR="00D2493D" w:rsidRPr="00D3367D" w:rsidRDefault="00D2493D"/>
    <w:tbl>
      <w:tblPr>
        <w:tblW w:w="0" w:type="auto"/>
        <w:tblBorders>
          <w:insideH w:val="single" w:sz="4" w:space="0" w:color="auto"/>
        </w:tblBorders>
        <w:tblLayout w:type="fixed"/>
        <w:tblLook w:val="0000"/>
      </w:tblPr>
      <w:tblGrid>
        <w:gridCol w:w="4788"/>
        <w:gridCol w:w="4788"/>
      </w:tblGrid>
      <w:tr w:rsidR="00040621" w:rsidRPr="009F5D7E">
        <w:tc>
          <w:tcPr>
            <w:tcW w:w="4788" w:type="dxa"/>
          </w:tcPr>
          <w:p w:rsidR="00040621" w:rsidRPr="009F5D7E" w:rsidRDefault="00040621">
            <w:pPr>
              <w:pStyle w:val="Header"/>
              <w:rPr>
                <w:b/>
                <w:bCs/>
                <w:sz w:val="24"/>
                <w:szCs w:val="24"/>
              </w:rPr>
            </w:pPr>
            <w:r w:rsidRPr="009F5D7E">
              <w:rPr>
                <w:b/>
                <w:bCs/>
                <w:sz w:val="24"/>
                <w:szCs w:val="24"/>
              </w:rPr>
              <w:t>Avista Corp.</w:t>
            </w:r>
          </w:p>
          <w:p w:rsidR="00040621" w:rsidRPr="009F5D7E" w:rsidRDefault="00040621">
            <w:pPr>
              <w:pStyle w:val="Header"/>
              <w:rPr>
                <w:sz w:val="24"/>
                <w:szCs w:val="24"/>
              </w:rPr>
            </w:pPr>
            <w:r w:rsidRPr="009F5D7E">
              <w:rPr>
                <w:sz w:val="24"/>
                <w:szCs w:val="24"/>
              </w:rPr>
              <w:t>1411 East Mission   P.O. Box 3727</w:t>
            </w:r>
          </w:p>
          <w:p w:rsidR="00040621" w:rsidRPr="009F5D7E" w:rsidRDefault="00040621">
            <w:pPr>
              <w:pStyle w:val="Header"/>
              <w:rPr>
                <w:sz w:val="24"/>
                <w:szCs w:val="24"/>
              </w:rPr>
            </w:pPr>
            <w:r w:rsidRPr="009F5D7E">
              <w:rPr>
                <w:sz w:val="24"/>
                <w:szCs w:val="24"/>
              </w:rPr>
              <w:t>Spokane</w:t>
            </w:r>
            <w:r w:rsidR="005479BD" w:rsidRPr="009F5D7E">
              <w:rPr>
                <w:sz w:val="24"/>
                <w:szCs w:val="24"/>
              </w:rPr>
              <w:t>,</w:t>
            </w:r>
            <w:r w:rsidRPr="009F5D7E">
              <w:rPr>
                <w:sz w:val="24"/>
                <w:szCs w:val="24"/>
              </w:rPr>
              <w:t xml:space="preserve"> Washington  99220-0500</w:t>
            </w:r>
          </w:p>
          <w:p w:rsidR="00040621" w:rsidRPr="009F5D7E" w:rsidRDefault="00040621">
            <w:pPr>
              <w:pStyle w:val="Header"/>
              <w:rPr>
                <w:sz w:val="24"/>
                <w:szCs w:val="24"/>
              </w:rPr>
            </w:pPr>
            <w:r w:rsidRPr="009F5D7E">
              <w:rPr>
                <w:sz w:val="24"/>
                <w:szCs w:val="24"/>
              </w:rPr>
              <w:t>Telephone 509-489-0500</w:t>
            </w:r>
          </w:p>
          <w:p w:rsidR="00040621" w:rsidRPr="009F5D7E" w:rsidRDefault="00040621">
            <w:pPr>
              <w:pStyle w:val="Header"/>
              <w:rPr>
                <w:sz w:val="24"/>
                <w:szCs w:val="24"/>
              </w:rPr>
            </w:pPr>
            <w:r w:rsidRPr="009F5D7E">
              <w:rPr>
                <w:sz w:val="24"/>
                <w:szCs w:val="24"/>
              </w:rPr>
              <w:t>Toll Free   800-727-9170</w:t>
            </w:r>
          </w:p>
          <w:p w:rsidR="00040621" w:rsidRPr="009F5D7E" w:rsidRDefault="00040621">
            <w:pPr>
              <w:pStyle w:val="Header"/>
              <w:rPr>
                <w:b/>
                <w:bCs/>
                <w:sz w:val="24"/>
                <w:szCs w:val="24"/>
              </w:rPr>
            </w:pPr>
          </w:p>
        </w:tc>
        <w:tc>
          <w:tcPr>
            <w:tcW w:w="4788" w:type="dxa"/>
          </w:tcPr>
          <w:p w:rsidR="00040621" w:rsidRPr="009F5D7E" w:rsidRDefault="00040621">
            <w:pPr>
              <w:pStyle w:val="Header"/>
              <w:tabs>
                <w:tab w:val="left" w:pos="2232"/>
              </w:tabs>
              <w:rPr>
                <w:b/>
                <w:bCs/>
                <w:sz w:val="24"/>
                <w:szCs w:val="24"/>
              </w:rPr>
            </w:pPr>
            <w:r w:rsidRPr="009F5D7E">
              <w:rPr>
                <w:b/>
                <w:bCs/>
                <w:sz w:val="24"/>
                <w:szCs w:val="24"/>
              </w:rPr>
              <w:t xml:space="preserve"> </w:t>
            </w:r>
            <w:r w:rsidRPr="009F5D7E">
              <w:rPr>
                <w:b/>
                <w:bCs/>
                <w:sz w:val="24"/>
                <w:szCs w:val="24"/>
              </w:rPr>
              <w:tab/>
              <w:t xml:space="preserve"> </w:t>
            </w:r>
          </w:p>
        </w:tc>
      </w:tr>
    </w:tbl>
    <w:p w:rsidR="004C3C45" w:rsidRPr="009F5D7E" w:rsidRDefault="00CD60DE">
      <w:pPr>
        <w:jc w:val="both"/>
        <w:rPr>
          <w:b/>
          <w:i/>
          <w:sz w:val="24"/>
          <w:szCs w:val="24"/>
        </w:rPr>
      </w:pPr>
      <w:r w:rsidRPr="009F5D7E">
        <w:rPr>
          <w:b/>
          <w:i/>
          <w:sz w:val="24"/>
          <w:szCs w:val="24"/>
        </w:rPr>
        <w:t>VIA – Electronic Mail</w:t>
      </w:r>
    </w:p>
    <w:p w:rsidR="00CD60DE" w:rsidRPr="00D3367D" w:rsidRDefault="00CD60DE">
      <w:pPr>
        <w:jc w:val="both"/>
        <w:rPr>
          <w:sz w:val="24"/>
        </w:rPr>
      </w:pPr>
    </w:p>
    <w:p w:rsidR="00040621" w:rsidRPr="00D3367D" w:rsidRDefault="00F87289">
      <w:pPr>
        <w:jc w:val="both"/>
        <w:rPr>
          <w:sz w:val="24"/>
        </w:rPr>
      </w:pPr>
      <w:r>
        <w:rPr>
          <w:sz w:val="24"/>
        </w:rPr>
        <w:t xml:space="preserve">August </w:t>
      </w:r>
      <w:r w:rsidR="00F609F5">
        <w:rPr>
          <w:sz w:val="24"/>
        </w:rPr>
        <w:t>8</w:t>
      </w:r>
      <w:r w:rsidR="00D3367D">
        <w:rPr>
          <w:sz w:val="24"/>
        </w:rPr>
        <w:t>, 2014</w:t>
      </w:r>
    </w:p>
    <w:p w:rsidR="00040621" w:rsidRPr="00D3367D" w:rsidRDefault="00040621">
      <w:pPr>
        <w:jc w:val="both"/>
        <w:rPr>
          <w:sz w:val="24"/>
        </w:rPr>
      </w:pPr>
    </w:p>
    <w:p w:rsidR="008F221D" w:rsidRPr="00D3367D" w:rsidRDefault="008F221D" w:rsidP="008F221D">
      <w:pPr>
        <w:ind w:right="-270"/>
        <w:jc w:val="both"/>
        <w:rPr>
          <w:sz w:val="24"/>
          <w:szCs w:val="24"/>
        </w:rPr>
      </w:pPr>
      <w:r w:rsidRPr="00D3367D">
        <w:rPr>
          <w:sz w:val="24"/>
          <w:szCs w:val="24"/>
        </w:rPr>
        <w:t>Steven V. King</w:t>
      </w:r>
    </w:p>
    <w:p w:rsidR="008F221D" w:rsidRPr="00D3367D" w:rsidRDefault="008F221D" w:rsidP="008F221D">
      <w:pPr>
        <w:ind w:right="-270"/>
        <w:jc w:val="both"/>
        <w:rPr>
          <w:sz w:val="24"/>
          <w:szCs w:val="24"/>
        </w:rPr>
      </w:pPr>
      <w:r w:rsidRPr="00D3367D">
        <w:rPr>
          <w:sz w:val="24"/>
          <w:szCs w:val="24"/>
        </w:rPr>
        <w:t>Executive Director and Secretary</w:t>
      </w:r>
    </w:p>
    <w:p w:rsidR="008F221D" w:rsidRPr="00D3367D" w:rsidRDefault="008F221D" w:rsidP="008F221D">
      <w:pPr>
        <w:ind w:right="-270"/>
        <w:jc w:val="both"/>
        <w:rPr>
          <w:sz w:val="24"/>
          <w:szCs w:val="24"/>
        </w:rPr>
      </w:pPr>
      <w:r w:rsidRPr="00D3367D">
        <w:rPr>
          <w:sz w:val="24"/>
          <w:szCs w:val="24"/>
        </w:rPr>
        <w:t>Washington Utilities &amp; Transportation Commission</w:t>
      </w:r>
    </w:p>
    <w:p w:rsidR="008F221D" w:rsidRPr="00D3367D" w:rsidRDefault="008F221D" w:rsidP="008F221D">
      <w:pPr>
        <w:ind w:right="-270"/>
        <w:jc w:val="both"/>
        <w:rPr>
          <w:sz w:val="24"/>
          <w:szCs w:val="24"/>
        </w:rPr>
      </w:pPr>
      <w:proofErr w:type="gramStart"/>
      <w:r w:rsidRPr="00D3367D">
        <w:rPr>
          <w:sz w:val="24"/>
          <w:szCs w:val="24"/>
        </w:rPr>
        <w:t>1300 S. Evergreen Park Drive S. W.</w:t>
      </w:r>
      <w:proofErr w:type="gramEnd"/>
    </w:p>
    <w:p w:rsidR="008F221D" w:rsidRPr="00D3367D" w:rsidRDefault="008F221D" w:rsidP="008F221D">
      <w:pPr>
        <w:ind w:right="-270"/>
        <w:jc w:val="both"/>
        <w:rPr>
          <w:sz w:val="24"/>
          <w:szCs w:val="24"/>
        </w:rPr>
      </w:pPr>
      <w:r w:rsidRPr="00D3367D">
        <w:rPr>
          <w:sz w:val="24"/>
          <w:szCs w:val="24"/>
        </w:rPr>
        <w:t>P.O. Box 47250</w:t>
      </w:r>
    </w:p>
    <w:p w:rsidR="008F221D" w:rsidRPr="00D3367D" w:rsidRDefault="008F221D" w:rsidP="008F221D">
      <w:pPr>
        <w:ind w:right="-270"/>
        <w:jc w:val="both"/>
        <w:rPr>
          <w:sz w:val="24"/>
          <w:szCs w:val="24"/>
        </w:rPr>
      </w:pPr>
      <w:r w:rsidRPr="00D3367D">
        <w:rPr>
          <w:sz w:val="24"/>
          <w:szCs w:val="24"/>
        </w:rPr>
        <w:t>Olympia, Washington  98504-7250</w:t>
      </w:r>
    </w:p>
    <w:p w:rsidR="00040621" w:rsidRPr="00D3367D" w:rsidRDefault="00040621">
      <w:pPr>
        <w:jc w:val="both"/>
        <w:rPr>
          <w:sz w:val="24"/>
        </w:rPr>
      </w:pPr>
    </w:p>
    <w:p w:rsidR="00040621" w:rsidRPr="00D3367D" w:rsidRDefault="00134550">
      <w:pPr>
        <w:jc w:val="both"/>
        <w:rPr>
          <w:sz w:val="24"/>
        </w:rPr>
      </w:pPr>
      <w:r w:rsidRPr="00D3367D">
        <w:rPr>
          <w:sz w:val="24"/>
        </w:rPr>
        <w:t>Dear Mr</w:t>
      </w:r>
      <w:r w:rsidR="00040621" w:rsidRPr="00D3367D">
        <w:rPr>
          <w:sz w:val="24"/>
        </w:rPr>
        <w:t xml:space="preserve">. </w:t>
      </w:r>
      <w:r w:rsidR="008F221D" w:rsidRPr="00D3367D">
        <w:rPr>
          <w:sz w:val="24"/>
        </w:rPr>
        <w:t>King</w:t>
      </w:r>
      <w:r w:rsidR="00040621" w:rsidRPr="00D3367D">
        <w:rPr>
          <w:sz w:val="24"/>
        </w:rPr>
        <w:t>:</w:t>
      </w:r>
    </w:p>
    <w:p w:rsidR="00040621" w:rsidRPr="00D3367D" w:rsidRDefault="00040621">
      <w:pPr>
        <w:jc w:val="both"/>
        <w:rPr>
          <w:sz w:val="24"/>
        </w:rPr>
      </w:pPr>
    </w:p>
    <w:p w:rsidR="00040621" w:rsidRPr="00D3367D" w:rsidRDefault="00040621" w:rsidP="004F1F1E">
      <w:pPr>
        <w:pStyle w:val="BodyText2"/>
        <w:spacing w:line="360" w:lineRule="auto"/>
        <w:ind w:firstLine="720"/>
      </w:pPr>
      <w:r w:rsidRPr="00D3367D">
        <w:t xml:space="preserve">Attached for filing with the Commission is an electronic copy of </w:t>
      </w:r>
      <w:r w:rsidR="00D23FE7" w:rsidRPr="00D3367D">
        <w:rPr>
          <w:szCs w:val="24"/>
        </w:rPr>
        <w:t>Avista Corporation’s d</w:t>
      </w:r>
      <w:r w:rsidR="00AF4671" w:rsidRPr="00D3367D">
        <w:rPr>
          <w:szCs w:val="24"/>
        </w:rPr>
        <w:t>/</w:t>
      </w:r>
      <w:r w:rsidR="00D23FE7" w:rsidRPr="00D3367D">
        <w:rPr>
          <w:szCs w:val="24"/>
        </w:rPr>
        <w:t>b</w:t>
      </w:r>
      <w:r w:rsidR="00AF4671" w:rsidRPr="00D3367D">
        <w:rPr>
          <w:szCs w:val="24"/>
        </w:rPr>
        <w:t>/</w:t>
      </w:r>
      <w:r w:rsidR="00D23FE7" w:rsidRPr="00D3367D">
        <w:rPr>
          <w:szCs w:val="24"/>
        </w:rPr>
        <w:t>a Avista Utilities (“Avista</w:t>
      </w:r>
      <w:r w:rsidR="00AF4671" w:rsidRPr="00D3367D">
        <w:rPr>
          <w:szCs w:val="24"/>
        </w:rPr>
        <w:t>”</w:t>
      </w:r>
      <w:r w:rsidR="00D23FE7" w:rsidRPr="00D3367D">
        <w:rPr>
          <w:szCs w:val="24"/>
        </w:rPr>
        <w:t xml:space="preserve"> or </w:t>
      </w:r>
      <w:r w:rsidR="00AF4671" w:rsidRPr="00D3367D">
        <w:rPr>
          <w:szCs w:val="24"/>
        </w:rPr>
        <w:t>“</w:t>
      </w:r>
      <w:r w:rsidR="00D23FE7" w:rsidRPr="00D3367D">
        <w:rPr>
          <w:szCs w:val="24"/>
        </w:rPr>
        <w:t>Company”)</w:t>
      </w:r>
      <w:r w:rsidRPr="00D3367D">
        <w:t xml:space="preserve"> </w:t>
      </w:r>
      <w:r w:rsidR="00EE6695" w:rsidRPr="00D3367D">
        <w:t>filing</w:t>
      </w:r>
      <w:r w:rsidR="003A3A22" w:rsidRPr="00D3367D">
        <w:t xml:space="preserve"> of its </w:t>
      </w:r>
      <w:r w:rsidRPr="00D3367D">
        <w:t xml:space="preserve">proposed revisions to the </w:t>
      </w:r>
      <w:r w:rsidR="00353210" w:rsidRPr="00D3367D">
        <w:t>following tariffs</w:t>
      </w:r>
      <w:r w:rsidR="0061578F" w:rsidRPr="00D3367D">
        <w:t>,</w:t>
      </w:r>
      <w:r w:rsidR="00E51832" w:rsidRPr="00D3367D">
        <w:t xml:space="preserve"> </w:t>
      </w:r>
      <w:r w:rsidR="008F221D" w:rsidRPr="00D3367D">
        <w:t>WN U-28</w:t>
      </w:r>
      <w:r w:rsidRPr="00D3367D">
        <w:t>:</w:t>
      </w:r>
    </w:p>
    <w:p w:rsidR="00AE4BA6" w:rsidRDefault="00AE4BA6" w:rsidP="00AE4BA6">
      <w:pPr>
        <w:tabs>
          <w:tab w:val="left" w:pos="5760"/>
        </w:tabs>
        <w:ind w:left="720"/>
        <w:jc w:val="center"/>
        <w:rPr>
          <w:b/>
          <w:sz w:val="24"/>
          <w:u w:val="single"/>
        </w:rPr>
      </w:pPr>
      <w:r>
        <w:rPr>
          <w:b/>
          <w:sz w:val="24"/>
          <w:u w:val="single"/>
        </w:rPr>
        <w:t>Tariff Schedule 90 – Electric Energy Efficiency Programs</w:t>
      </w:r>
    </w:p>
    <w:p w:rsidR="00AE4BA6" w:rsidRPr="00D3367D" w:rsidRDefault="00AE4BA6" w:rsidP="00AE4BA6">
      <w:pPr>
        <w:tabs>
          <w:tab w:val="left" w:pos="5760"/>
        </w:tabs>
        <w:ind w:left="720"/>
        <w:jc w:val="center"/>
        <w:rPr>
          <w:b/>
          <w:sz w:val="24"/>
          <w:u w:val="single"/>
        </w:rPr>
      </w:pPr>
    </w:p>
    <w:p w:rsidR="00353210" w:rsidRPr="00D3367D" w:rsidRDefault="00D3367D" w:rsidP="002A3646">
      <w:pPr>
        <w:tabs>
          <w:tab w:val="left" w:pos="4500"/>
          <w:tab w:val="left" w:pos="5760"/>
        </w:tabs>
        <w:ind w:left="720"/>
        <w:rPr>
          <w:b/>
          <w:sz w:val="24"/>
        </w:rPr>
      </w:pPr>
      <w:r>
        <w:rPr>
          <w:b/>
          <w:sz w:val="24"/>
        </w:rPr>
        <w:t>Third</w:t>
      </w:r>
      <w:r w:rsidR="00353210" w:rsidRPr="00D3367D">
        <w:rPr>
          <w:b/>
          <w:sz w:val="24"/>
        </w:rPr>
        <w:t xml:space="preserve"> Revision Sheet 9</w:t>
      </w:r>
      <w:r>
        <w:rPr>
          <w:b/>
          <w:sz w:val="24"/>
        </w:rPr>
        <w:t>0</w:t>
      </w:r>
      <w:r w:rsidR="002A3646" w:rsidRPr="00D3367D">
        <w:rPr>
          <w:b/>
          <w:sz w:val="24"/>
        </w:rPr>
        <w:tab/>
      </w:r>
      <w:r w:rsidR="00353210" w:rsidRPr="00D3367D">
        <w:rPr>
          <w:sz w:val="24"/>
        </w:rPr>
        <w:t xml:space="preserve">Canceling </w:t>
      </w:r>
      <w:r w:rsidR="00353210" w:rsidRPr="00D3367D">
        <w:rPr>
          <w:sz w:val="24"/>
        </w:rPr>
        <w:tab/>
        <w:t xml:space="preserve">   </w:t>
      </w:r>
      <w:r>
        <w:rPr>
          <w:b/>
          <w:sz w:val="24"/>
        </w:rPr>
        <w:t>Second</w:t>
      </w:r>
      <w:r w:rsidR="00353210" w:rsidRPr="00D3367D">
        <w:rPr>
          <w:b/>
          <w:sz w:val="24"/>
        </w:rPr>
        <w:t xml:space="preserve"> Revision Sheet 9</w:t>
      </w:r>
      <w:r>
        <w:rPr>
          <w:b/>
          <w:sz w:val="24"/>
        </w:rPr>
        <w:t>0</w:t>
      </w:r>
    </w:p>
    <w:p w:rsidR="00D3367D" w:rsidRDefault="00D3367D" w:rsidP="00D3367D">
      <w:pPr>
        <w:tabs>
          <w:tab w:val="left" w:pos="4500"/>
          <w:tab w:val="left" w:pos="5760"/>
        </w:tabs>
        <w:ind w:left="720"/>
        <w:rPr>
          <w:b/>
          <w:sz w:val="24"/>
        </w:rPr>
      </w:pPr>
      <w:r>
        <w:rPr>
          <w:b/>
          <w:sz w:val="24"/>
        </w:rPr>
        <w:t>Fifth</w:t>
      </w:r>
      <w:r w:rsidRPr="00D3367D">
        <w:rPr>
          <w:b/>
          <w:sz w:val="24"/>
        </w:rPr>
        <w:t xml:space="preserve"> Revision Sheet 9</w:t>
      </w:r>
      <w:r>
        <w:rPr>
          <w:b/>
          <w:sz w:val="24"/>
        </w:rPr>
        <w:t>0A</w:t>
      </w:r>
      <w:r w:rsidRPr="00D3367D">
        <w:rPr>
          <w:b/>
          <w:sz w:val="24"/>
        </w:rPr>
        <w:tab/>
      </w:r>
      <w:r w:rsidRPr="00D3367D">
        <w:rPr>
          <w:sz w:val="24"/>
        </w:rPr>
        <w:t xml:space="preserve">Canceling </w:t>
      </w:r>
      <w:r w:rsidRPr="00D3367D">
        <w:rPr>
          <w:sz w:val="24"/>
        </w:rPr>
        <w:tab/>
        <w:t xml:space="preserve">   </w:t>
      </w:r>
      <w:r>
        <w:rPr>
          <w:b/>
          <w:sz w:val="24"/>
        </w:rPr>
        <w:t xml:space="preserve">Fourth </w:t>
      </w:r>
      <w:r w:rsidRPr="00D3367D">
        <w:rPr>
          <w:b/>
          <w:sz w:val="24"/>
        </w:rPr>
        <w:t>Revision Sheet 9</w:t>
      </w:r>
      <w:r>
        <w:rPr>
          <w:b/>
          <w:sz w:val="24"/>
        </w:rPr>
        <w:t>0A</w:t>
      </w:r>
    </w:p>
    <w:p w:rsidR="00D3367D" w:rsidRDefault="00D3367D" w:rsidP="00D3367D">
      <w:pPr>
        <w:tabs>
          <w:tab w:val="left" w:pos="4500"/>
          <w:tab w:val="left" w:pos="5760"/>
        </w:tabs>
        <w:ind w:left="720"/>
        <w:rPr>
          <w:b/>
          <w:sz w:val="24"/>
        </w:rPr>
      </w:pPr>
      <w:r>
        <w:rPr>
          <w:b/>
          <w:sz w:val="24"/>
        </w:rPr>
        <w:t>Fourth</w:t>
      </w:r>
      <w:r w:rsidRPr="00D3367D">
        <w:rPr>
          <w:b/>
          <w:sz w:val="24"/>
        </w:rPr>
        <w:t xml:space="preserve"> Revision Sheet 9</w:t>
      </w:r>
      <w:r>
        <w:rPr>
          <w:b/>
          <w:sz w:val="24"/>
        </w:rPr>
        <w:t>0B</w:t>
      </w:r>
      <w:r w:rsidRPr="00D3367D">
        <w:rPr>
          <w:b/>
          <w:sz w:val="24"/>
        </w:rPr>
        <w:tab/>
      </w:r>
      <w:r w:rsidRPr="00D3367D">
        <w:rPr>
          <w:sz w:val="24"/>
        </w:rPr>
        <w:t xml:space="preserve">Canceling </w:t>
      </w:r>
      <w:r w:rsidRPr="00D3367D">
        <w:rPr>
          <w:sz w:val="24"/>
        </w:rPr>
        <w:tab/>
        <w:t xml:space="preserve">   </w:t>
      </w:r>
      <w:r>
        <w:rPr>
          <w:b/>
          <w:sz w:val="24"/>
        </w:rPr>
        <w:t xml:space="preserve">Substitute Third </w:t>
      </w:r>
      <w:r w:rsidRPr="00D3367D">
        <w:rPr>
          <w:b/>
          <w:sz w:val="24"/>
        </w:rPr>
        <w:t>Revision Sheet 9</w:t>
      </w:r>
      <w:r>
        <w:rPr>
          <w:b/>
          <w:sz w:val="24"/>
        </w:rPr>
        <w:t>0B</w:t>
      </w:r>
    </w:p>
    <w:p w:rsidR="00D3367D" w:rsidRPr="00D3367D" w:rsidRDefault="00D3367D" w:rsidP="00D3367D">
      <w:pPr>
        <w:tabs>
          <w:tab w:val="left" w:pos="4500"/>
          <w:tab w:val="left" w:pos="5760"/>
        </w:tabs>
        <w:ind w:left="720"/>
        <w:rPr>
          <w:b/>
          <w:sz w:val="24"/>
        </w:rPr>
      </w:pPr>
    </w:p>
    <w:p w:rsidR="00277086" w:rsidRPr="00F87289" w:rsidRDefault="0004743D" w:rsidP="00D3367D">
      <w:pPr>
        <w:spacing w:line="360" w:lineRule="auto"/>
        <w:ind w:firstLine="720"/>
        <w:jc w:val="both"/>
        <w:rPr>
          <w:sz w:val="24"/>
          <w:szCs w:val="24"/>
        </w:rPr>
      </w:pPr>
      <w:r w:rsidRPr="00F87289">
        <w:rPr>
          <w:rStyle w:val="LineNumber"/>
        </w:rPr>
        <w:t>Avista Corporation, doing business as Avista Utilities (hereinafter Avista or Company), at 1411 East Mission Avenue, Spokane, Washington, respectfully proposes revisions to</w:t>
      </w:r>
      <w:r w:rsidRPr="00F87289">
        <w:rPr>
          <w:sz w:val="24"/>
          <w:szCs w:val="24"/>
        </w:rPr>
        <w:t xml:space="preserve"> Schedule 90 “Electric Energy Efficiency Programs.” </w:t>
      </w:r>
      <w:r w:rsidR="00D3367D" w:rsidRPr="00F87289">
        <w:rPr>
          <w:rStyle w:val="LineNumber"/>
        </w:rPr>
        <w:t xml:space="preserve">The purpose of this filing is to </w:t>
      </w:r>
      <w:r w:rsidRPr="00F87289">
        <w:rPr>
          <w:rStyle w:val="LineNumber"/>
        </w:rPr>
        <w:t xml:space="preserve">propose revisions that would </w:t>
      </w:r>
      <w:r w:rsidR="008002DF">
        <w:rPr>
          <w:rStyle w:val="LineNumber"/>
        </w:rPr>
        <w:t xml:space="preserve">result in </w:t>
      </w:r>
      <w:r w:rsidR="00AE4BA6" w:rsidRPr="00F87289">
        <w:rPr>
          <w:sz w:val="24"/>
          <w:szCs w:val="24"/>
        </w:rPr>
        <w:t>increase</w:t>
      </w:r>
      <w:r w:rsidR="008002DF">
        <w:rPr>
          <w:sz w:val="24"/>
          <w:szCs w:val="24"/>
        </w:rPr>
        <w:t>s in</w:t>
      </w:r>
      <w:r w:rsidR="00AE4BA6" w:rsidRPr="00F87289">
        <w:rPr>
          <w:sz w:val="24"/>
          <w:szCs w:val="24"/>
        </w:rPr>
        <w:t xml:space="preserve"> the</w:t>
      </w:r>
      <w:r w:rsidR="00277086" w:rsidRPr="00F87289">
        <w:rPr>
          <w:sz w:val="24"/>
          <w:szCs w:val="24"/>
        </w:rPr>
        <w:t xml:space="preserve"> incentive for fuel efficiency (electric to natural gas conversion) projects</w:t>
      </w:r>
      <w:r w:rsidR="00244CF8" w:rsidRPr="00F87289">
        <w:rPr>
          <w:sz w:val="24"/>
          <w:szCs w:val="24"/>
        </w:rPr>
        <w:t>. The Company is also proposing to provide incentives for cost-effective demand response programs.</w:t>
      </w:r>
    </w:p>
    <w:p w:rsidR="00AD0557" w:rsidRDefault="00AD0557" w:rsidP="00D3367D">
      <w:pPr>
        <w:spacing w:line="360" w:lineRule="auto"/>
        <w:ind w:firstLine="720"/>
        <w:jc w:val="both"/>
        <w:rPr>
          <w:sz w:val="24"/>
          <w:szCs w:val="24"/>
        </w:rPr>
      </w:pPr>
    </w:p>
    <w:p w:rsidR="0004743D" w:rsidRPr="00F87289" w:rsidRDefault="0004743D" w:rsidP="00D3367D">
      <w:pPr>
        <w:spacing w:line="360" w:lineRule="auto"/>
        <w:ind w:firstLine="720"/>
        <w:jc w:val="both"/>
        <w:rPr>
          <w:sz w:val="24"/>
          <w:szCs w:val="24"/>
        </w:rPr>
      </w:pPr>
      <w:r w:rsidRPr="00F87289">
        <w:rPr>
          <w:sz w:val="24"/>
          <w:szCs w:val="24"/>
        </w:rPr>
        <w:t xml:space="preserve">The Company engages in ongoing business planning efforts in response to changes in markets, technologies and regulatory direction.  In recent months, several changes to the demand </w:t>
      </w:r>
      <w:r w:rsidRPr="00F87289">
        <w:rPr>
          <w:sz w:val="24"/>
          <w:szCs w:val="24"/>
        </w:rPr>
        <w:lastRenderedPageBreak/>
        <w:t>side management (DSM) portfolio that the Company believes would lead to improved portfolio performance have been identified and discussed with Avista’s External Advisory Group.</w:t>
      </w:r>
    </w:p>
    <w:p w:rsidR="00AD0557" w:rsidRDefault="00AD0557" w:rsidP="00D3367D">
      <w:pPr>
        <w:spacing w:line="360" w:lineRule="auto"/>
        <w:ind w:firstLine="720"/>
        <w:jc w:val="both"/>
        <w:rPr>
          <w:sz w:val="24"/>
          <w:szCs w:val="24"/>
        </w:rPr>
      </w:pPr>
    </w:p>
    <w:p w:rsidR="0004743D" w:rsidRPr="00F87289" w:rsidRDefault="0004743D" w:rsidP="00D3367D">
      <w:pPr>
        <w:spacing w:line="360" w:lineRule="auto"/>
        <w:ind w:firstLine="720"/>
        <w:jc w:val="both"/>
        <w:rPr>
          <w:sz w:val="24"/>
          <w:szCs w:val="24"/>
        </w:rPr>
      </w:pPr>
      <w:r w:rsidRPr="00F87289">
        <w:rPr>
          <w:sz w:val="24"/>
          <w:szCs w:val="24"/>
        </w:rPr>
        <w:t>The Company has regularly convened stakeholder meetings to gain input from customer representatives, Commission staff members, and individuals from the environmental communities.  In these stakeholder meetings the Company’s program offerings are reviewed as well as the underlying cost-effectiveness tests and results.  Stakeholder involvement has grown in the past couple years, partly due to increased attention on the “I-937” conservation targets.  The Company continues to appreciate the time and input provided by Avista’s stakeholders.</w:t>
      </w:r>
    </w:p>
    <w:p w:rsidR="0004743D" w:rsidRPr="00F87289" w:rsidRDefault="0004743D" w:rsidP="00D3367D">
      <w:pPr>
        <w:spacing w:line="360" w:lineRule="auto"/>
        <w:ind w:firstLine="720"/>
        <w:jc w:val="both"/>
        <w:rPr>
          <w:sz w:val="24"/>
          <w:szCs w:val="24"/>
        </w:rPr>
      </w:pPr>
    </w:p>
    <w:p w:rsidR="0004743D" w:rsidRPr="00F87289" w:rsidRDefault="0004743D" w:rsidP="0004743D">
      <w:pPr>
        <w:spacing w:line="360" w:lineRule="auto"/>
        <w:jc w:val="both"/>
        <w:rPr>
          <w:sz w:val="24"/>
          <w:szCs w:val="24"/>
        </w:rPr>
      </w:pPr>
      <w:r w:rsidRPr="00F87289">
        <w:rPr>
          <w:sz w:val="24"/>
          <w:szCs w:val="24"/>
        </w:rPr>
        <w:t>The proposed revisions to Schedule 90 are as follows:</w:t>
      </w:r>
    </w:p>
    <w:p w:rsidR="00244CF8" w:rsidRPr="00F87289" w:rsidRDefault="00244CF8" w:rsidP="00D3367D">
      <w:pPr>
        <w:spacing w:line="360" w:lineRule="auto"/>
        <w:ind w:firstLine="720"/>
        <w:jc w:val="both"/>
        <w:rPr>
          <w:sz w:val="24"/>
          <w:szCs w:val="24"/>
        </w:rPr>
      </w:pPr>
    </w:p>
    <w:p w:rsidR="00244CF8" w:rsidRPr="00F87289" w:rsidRDefault="00244CF8" w:rsidP="00244CF8">
      <w:pPr>
        <w:spacing w:line="360" w:lineRule="auto"/>
        <w:jc w:val="both"/>
        <w:rPr>
          <w:b/>
          <w:sz w:val="24"/>
          <w:szCs w:val="24"/>
        </w:rPr>
      </w:pPr>
      <w:r w:rsidRPr="00F87289">
        <w:rPr>
          <w:b/>
          <w:sz w:val="24"/>
          <w:szCs w:val="24"/>
        </w:rPr>
        <w:t xml:space="preserve">Electric to Natural Gas Conversion - </w:t>
      </w:r>
    </w:p>
    <w:p w:rsidR="00F87289" w:rsidRDefault="00F87289" w:rsidP="00277086">
      <w:pPr>
        <w:spacing w:line="360" w:lineRule="auto"/>
        <w:ind w:firstLine="720"/>
        <w:jc w:val="both"/>
        <w:rPr>
          <w:sz w:val="24"/>
          <w:szCs w:val="24"/>
        </w:rPr>
      </w:pPr>
      <w:r w:rsidRPr="003E4CE1">
        <w:rPr>
          <w:sz w:val="24"/>
          <w:szCs w:val="24"/>
        </w:rPr>
        <w:t xml:space="preserve">The changing natural gas supply picture </w:t>
      </w:r>
      <w:r>
        <w:rPr>
          <w:sz w:val="24"/>
          <w:szCs w:val="24"/>
        </w:rPr>
        <w:t xml:space="preserve">over the past few years </w:t>
      </w:r>
      <w:r w:rsidRPr="003E4CE1">
        <w:rPr>
          <w:sz w:val="24"/>
          <w:szCs w:val="24"/>
        </w:rPr>
        <w:t xml:space="preserve">and resultant lower prices </w:t>
      </w:r>
      <w:r>
        <w:rPr>
          <w:sz w:val="24"/>
          <w:szCs w:val="24"/>
        </w:rPr>
        <w:t>continue to result</w:t>
      </w:r>
      <w:r w:rsidRPr="003E4CE1">
        <w:rPr>
          <w:sz w:val="24"/>
          <w:szCs w:val="24"/>
        </w:rPr>
        <w:t xml:space="preserve"> in the decline of natural gas avoided costs. While this is good news for consumers of natural gas, these lower avoided costs add new challenges to offering a comprehensive natural gas DSM portfolio.</w:t>
      </w:r>
      <w:r>
        <w:rPr>
          <w:sz w:val="24"/>
          <w:szCs w:val="24"/>
        </w:rPr>
        <w:t xml:space="preserve"> These l</w:t>
      </w:r>
      <w:r w:rsidRPr="00F87289">
        <w:rPr>
          <w:sz w:val="24"/>
          <w:szCs w:val="24"/>
        </w:rPr>
        <w:t xml:space="preserve">ower </w:t>
      </w:r>
      <w:r>
        <w:rPr>
          <w:sz w:val="24"/>
          <w:szCs w:val="24"/>
        </w:rPr>
        <w:t xml:space="preserve">natural gas avoided costs </w:t>
      </w:r>
      <w:proofErr w:type="gramStart"/>
      <w:r>
        <w:rPr>
          <w:sz w:val="24"/>
          <w:szCs w:val="24"/>
        </w:rPr>
        <w:t>cause</w:t>
      </w:r>
      <w:proofErr w:type="gramEnd"/>
      <w:r w:rsidRPr="00F87289">
        <w:rPr>
          <w:sz w:val="24"/>
          <w:szCs w:val="24"/>
        </w:rPr>
        <w:t xml:space="preserve"> the direct use of natural gas to be more cost-effective.  Thus, Avista </w:t>
      </w:r>
      <w:r>
        <w:rPr>
          <w:sz w:val="24"/>
          <w:szCs w:val="24"/>
        </w:rPr>
        <w:t>proposes that</w:t>
      </w:r>
      <w:r w:rsidRPr="00F87289">
        <w:rPr>
          <w:sz w:val="24"/>
          <w:szCs w:val="24"/>
        </w:rPr>
        <w:t xml:space="preserve"> incentives for conversion of end-use equipment from electricity to natural gas be increased.  This would have multiple customer benefits, including efficiency of fuel use, support of the trade ally network, and keeping the efficiency message in the marketplace.</w:t>
      </w:r>
    </w:p>
    <w:p w:rsidR="00AD0557" w:rsidRDefault="00AD0557" w:rsidP="00277086">
      <w:pPr>
        <w:spacing w:line="360" w:lineRule="auto"/>
        <w:ind w:firstLine="720"/>
        <w:jc w:val="both"/>
        <w:rPr>
          <w:sz w:val="24"/>
          <w:szCs w:val="24"/>
        </w:rPr>
      </w:pPr>
    </w:p>
    <w:p w:rsidR="00277086" w:rsidRPr="00F87289" w:rsidRDefault="00277086" w:rsidP="00277086">
      <w:pPr>
        <w:spacing w:line="360" w:lineRule="auto"/>
        <w:ind w:firstLine="720"/>
        <w:jc w:val="both"/>
        <w:rPr>
          <w:sz w:val="24"/>
          <w:szCs w:val="24"/>
        </w:rPr>
      </w:pPr>
      <w:r w:rsidRPr="00F87289">
        <w:rPr>
          <w:sz w:val="24"/>
          <w:szCs w:val="24"/>
        </w:rPr>
        <w:t>Historically</w:t>
      </w:r>
      <w:r w:rsidR="00AE4BA6" w:rsidRPr="00F87289">
        <w:rPr>
          <w:sz w:val="24"/>
          <w:szCs w:val="24"/>
        </w:rPr>
        <w:t>,</w:t>
      </w:r>
      <w:r w:rsidRPr="00F87289">
        <w:rPr>
          <w:sz w:val="24"/>
          <w:szCs w:val="24"/>
        </w:rPr>
        <w:t xml:space="preserve"> the Company has been able to acquire a significant share of fuel efficiency resource opportunities at a per kWh </w:t>
      </w:r>
      <w:r w:rsidR="00046817" w:rsidRPr="00F87289">
        <w:rPr>
          <w:sz w:val="24"/>
          <w:szCs w:val="24"/>
        </w:rPr>
        <w:t xml:space="preserve">cost </w:t>
      </w:r>
      <w:r w:rsidRPr="00F87289">
        <w:rPr>
          <w:sz w:val="24"/>
          <w:szCs w:val="24"/>
        </w:rPr>
        <w:t xml:space="preserve">ranging from one to </w:t>
      </w:r>
      <w:r w:rsidR="00046817" w:rsidRPr="00F87289">
        <w:rPr>
          <w:sz w:val="24"/>
          <w:szCs w:val="24"/>
        </w:rPr>
        <w:t>seven</w:t>
      </w:r>
      <w:r w:rsidRPr="00F87289">
        <w:rPr>
          <w:sz w:val="24"/>
          <w:szCs w:val="24"/>
        </w:rPr>
        <w:t xml:space="preserve"> cents per kWh rather than the eight to twenty cents per kWh incentive specified for all other </w:t>
      </w:r>
      <w:r w:rsidR="00046817" w:rsidRPr="00F87289">
        <w:rPr>
          <w:sz w:val="24"/>
          <w:szCs w:val="24"/>
        </w:rPr>
        <w:t xml:space="preserve">qualifying </w:t>
      </w:r>
      <w:r w:rsidRPr="00F87289">
        <w:rPr>
          <w:sz w:val="24"/>
          <w:szCs w:val="24"/>
        </w:rPr>
        <w:t xml:space="preserve">electric efficiency projects.   Over time the stock of these relatively easy fuel efficiency projects has diminished and </w:t>
      </w:r>
      <w:r w:rsidR="00046817" w:rsidRPr="00F87289">
        <w:rPr>
          <w:sz w:val="24"/>
          <w:szCs w:val="24"/>
        </w:rPr>
        <w:t xml:space="preserve">programmatic </w:t>
      </w:r>
      <w:r w:rsidRPr="00F87289">
        <w:rPr>
          <w:sz w:val="24"/>
          <w:szCs w:val="24"/>
        </w:rPr>
        <w:t xml:space="preserve">throughput has gradually decreased.  A </w:t>
      </w:r>
      <w:r w:rsidR="00046817" w:rsidRPr="00F87289">
        <w:rPr>
          <w:sz w:val="24"/>
          <w:szCs w:val="24"/>
        </w:rPr>
        <w:t xml:space="preserve">comprehensive </w:t>
      </w:r>
      <w:r w:rsidRPr="00F87289">
        <w:rPr>
          <w:sz w:val="24"/>
          <w:szCs w:val="24"/>
        </w:rPr>
        <w:t xml:space="preserve">review of the fuel efficiency program has </w:t>
      </w:r>
      <w:r w:rsidR="00046817" w:rsidRPr="00F87289">
        <w:rPr>
          <w:sz w:val="24"/>
          <w:szCs w:val="24"/>
        </w:rPr>
        <w:t xml:space="preserve">led to the conclusion that </w:t>
      </w:r>
      <w:r w:rsidRPr="00F87289">
        <w:rPr>
          <w:sz w:val="24"/>
          <w:szCs w:val="24"/>
        </w:rPr>
        <w:t>current incentives are insufficient to secure a reasonable share of the</w:t>
      </w:r>
      <w:r w:rsidR="00046817" w:rsidRPr="00F87289">
        <w:rPr>
          <w:sz w:val="24"/>
          <w:szCs w:val="24"/>
        </w:rPr>
        <w:t xml:space="preserve"> remaining </w:t>
      </w:r>
      <w:r w:rsidRPr="00F87289">
        <w:rPr>
          <w:sz w:val="24"/>
          <w:szCs w:val="24"/>
        </w:rPr>
        <w:t>lost opportunity projects.  As part of that project review</w:t>
      </w:r>
      <w:r w:rsidR="00AE4BA6" w:rsidRPr="00F87289">
        <w:rPr>
          <w:sz w:val="24"/>
          <w:szCs w:val="24"/>
        </w:rPr>
        <w:t>,</w:t>
      </w:r>
      <w:r w:rsidRPr="00F87289">
        <w:rPr>
          <w:sz w:val="24"/>
          <w:szCs w:val="24"/>
        </w:rPr>
        <w:t xml:space="preserve"> the Company has </w:t>
      </w:r>
      <w:r w:rsidR="00046817" w:rsidRPr="00F87289">
        <w:rPr>
          <w:sz w:val="24"/>
          <w:szCs w:val="24"/>
        </w:rPr>
        <w:t xml:space="preserve">identified and </w:t>
      </w:r>
      <w:r w:rsidRPr="00F87289">
        <w:rPr>
          <w:sz w:val="24"/>
          <w:szCs w:val="24"/>
        </w:rPr>
        <w:t xml:space="preserve">enacted other actions </w:t>
      </w:r>
      <w:r w:rsidR="00046817" w:rsidRPr="00F87289">
        <w:rPr>
          <w:sz w:val="24"/>
          <w:szCs w:val="24"/>
        </w:rPr>
        <w:t xml:space="preserve">not requiring revisions to the tariff </w:t>
      </w:r>
      <w:r w:rsidRPr="00F87289">
        <w:rPr>
          <w:sz w:val="24"/>
          <w:szCs w:val="24"/>
        </w:rPr>
        <w:t xml:space="preserve">to improve program </w:t>
      </w:r>
      <w:r w:rsidRPr="00F87289">
        <w:rPr>
          <w:sz w:val="24"/>
          <w:szCs w:val="24"/>
        </w:rPr>
        <w:lastRenderedPageBreak/>
        <w:t>performance</w:t>
      </w:r>
      <w:r w:rsidR="00AE4BA6" w:rsidRPr="00F87289">
        <w:rPr>
          <w:sz w:val="24"/>
          <w:szCs w:val="24"/>
        </w:rPr>
        <w:t>,</w:t>
      </w:r>
      <w:r w:rsidRPr="00F87289">
        <w:rPr>
          <w:sz w:val="24"/>
          <w:szCs w:val="24"/>
        </w:rPr>
        <w:t xml:space="preserve"> with particular attention to improving </w:t>
      </w:r>
      <w:r w:rsidR="00AE4BA6" w:rsidRPr="00F87289">
        <w:rPr>
          <w:sz w:val="24"/>
          <w:szCs w:val="24"/>
        </w:rPr>
        <w:t>the Company’s</w:t>
      </w:r>
      <w:r w:rsidRPr="00F87289">
        <w:rPr>
          <w:sz w:val="24"/>
          <w:szCs w:val="24"/>
        </w:rPr>
        <w:t xml:space="preserve"> ability to </w:t>
      </w:r>
      <w:r w:rsidR="00503707" w:rsidRPr="00F87289">
        <w:rPr>
          <w:sz w:val="24"/>
          <w:szCs w:val="24"/>
        </w:rPr>
        <w:t>work with homes in foreclosure or renovation (“flipping”), which has become a significant share of the potential market.</w:t>
      </w:r>
    </w:p>
    <w:p w:rsidR="00AD0557" w:rsidRDefault="00AD0557" w:rsidP="00277086">
      <w:pPr>
        <w:spacing w:line="360" w:lineRule="auto"/>
        <w:ind w:firstLine="720"/>
        <w:jc w:val="both"/>
        <w:rPr>
          <w:sz w:val="24"/>
          <w:szCs w:val="24"/>
        </w:rPr>
      </w:pPr>
    </w:p>
    <w:p w:rsidR="00D02288" w:rsidRDefault="00046817" w:rsidP="00277086">
      <w:pPr>
        <w:spacing w:line="360" w:lineRule="auto"/>
        <w:ind w:firstLine="720"/>
        <w:jc w:val="both"/>
        <w:rPr>
          <w:sz w:val="24"/>
          <w:szCs w:val="24"/>
        </w:rPr>
      </w:pPr>
      <w:r w:rsidRPr="00F87289">
        <w:rPr>
          <w:sz w:val="24"/>
          <w:szCs w:val="24"/>
        </w:rPr>
        <w:t xml:space="preserve">While these revisions are intended primarily to enhance the Company’s ability to penetrate the residential market, the increased incentives will also be applicable to site-specific custom projects within the non-residential market.  </w:t>
      </w:r>
      <w:r w:rsidR="00503707" w:rsidRPr="00F87289">
        <w:rPr>
          <w:sz w:val="24"/>
          <w:szCs w:val="24"/>
        </w:rPr>
        <w:t>The</w:t>
      </w:r>
      <w:r w:rsidRPr="00F87289">
        <w:rPr>
          <w:sz w:val="24"/>
          <w:szCs w:val="24"/>
        </w:rPr>
        <w:t xml:space="preserve"> proposed</w:t>
      </w:r>
      <w:r w:rsidR="00503707" w:rsidRPr="00F87289">
        <w:rPr>
          <w:sz w:val="24"/>
          <w:szCs w:val="24"/>
        </w:rPr>
        <w:t xml:space="preserve"> revisions to the tariff will not change the </w:t>
      </w:r>
      <w:r w:rsidRPr="00F87289">
        <w:rPr>
          <w:sz w:val="24"/>
          <w:szCs w:val="24"/>
        </w:rPr>
        <w:t xml:space="preserve">incentive caps as a percentage of customer cost nor </w:t>
      </w:r>
      <w:r w:rsidR="00503707" w:rsidRPr="00F87289">
        <w:rPr>
          <w:sz w:val="24"/>
          <w:szCs w:val="24"/>
        </w:rPr>
        <w:t>will it change the approach of establishing the per kWh incentive level based upon the energy simple payback associated with the typical project within each prescriptive program or site-specific project.</w:t>
      </w:r>
    </w:p>
    <w:p w:rsidR="00AD0557" w:rsidRDefault="00AD0557" w:rsidP="00277086">
      <w:pPr>
        <w:spacing w:line="360" w:lineRule="auto"/>
        <w:ind w:firstLine="720"/>
        <w:jc w:val="both"/>
        <w:rPr>
          <w:sz w:val="24"/>
          <w:szCs w:val="24"/>
        </w:rPr>
      </w:pPr>
    </w:p>
    <w:p w:rsidR="003A48DF" w:rsidRDefault="00F609F5" w:rsidP="00277086">
      <w:pPr>
        <w:spacing w:line="360" w:lineRule="auto"/>
        <w:ind w:firstLine="720"/>
        <w:jc w:val="both"/>
        <w:rPr>
          <w:sz w:val="24"/>
          <w:szCs w:val="24"/>
        </w:rPr>
      </w:pPr>
      <w:r>
        <w:rPr>
          <w:sz w:val="24"/>
          <w:szCs w:val="24"/>
        </w:rPr>
        <w:t>T</w:t>
      </w:r>
      <w:r w:rsidR="003A48DF">
        <w:rPr>
          <w:sz w:val="24"/>
          <w:szCs w:val="24"/>
        </w:rPr>
        <w:t xml:space="preserve">he </w:t>
      </w:r>
      <w:r>
        <w:rPr>
          <w:sz w:val="24"/>
          <w:szCs w:val="24"/>
        </w:rPr>
        <w:t>following table</w:t>
      </w:r>
      <w:r w:rsidR="003A48DF">
        <w:rPr>
          <w:sz w:val="24"/>
          <w:szCs w:val="24"/>
        </w:rPr>
        <w:t xml:space="preserve"> </w:t>
      </w:r>
      <w:r>
        <w:rPr>
          <w:sz w:val="24"/>
          <w:szCs w:val="24"/>
        </w:rPr>
        <w:t>in</w:t>
      </w:r>
      <w:r w:rsidR="008002DF">
        <w:rPr>
          <w:sz w:val="24"/>
          <w:szCs w:val="24"/>
        </w:rPr>
        <w:t xml:space="preserve"> </w:t>
      </w:r>
      <w:r w:rsidR="003A48DF">
        <w:rPr>
          <w:sz w:val="24"/>
          <w:szCs w:val="24"/>
        </w:rPr>
        <w:t>Schedule 90</w:t>
      </w:r>
      <w:r w:rsidR="008002DF">
        <w:rPr>
          <w:sz w:val="24"/>
          <w:szCs w:val="24"/>
        </w:rPr>
        <w:t>A</w:t>
      </w:r>
      <w:r w:rsidR="003A48DF">
        <w:rPr>
          <w:sz w:val="24"/>
          <w:szCs w:val="24"/>
        </w:rPr>
        <w:t xml:space="preserve"> would no longer include the fuel conversion tier:</w:t>
      </w:r>
    </w:p>
    <w:p w:rsidR="00CB33C1" w:rsidRDefault="00CB33C1" w:rsidP="00277086">
      <w:pPr>
        <w:spacing w:line="360" w:lineRule="auto"/>
        <w:ind w:firstLine="720"/>
        <w:jc w:val="both"/>
        <w:rPr>
          <w:sz w:val="24"/>
          <w:szCs w:val="24"/>
        </w:rPr>
      </w:pPr>
    </w:p>
    <w:p w:rsidR="00F609F5" w:rsidRPr="00CB33C1" w:rsidRDefault="00F609F5" w:rsidP="00CB33C1">
      <w:pPr>
        <w:spacing w:line="360" w:lineRule="auto"/>
        <w:jc w:val="both"/>
        <w:rPr>
          <w:b/>
          <w:sz w:val="24"/>
          <w:szCs w:val="24"/>
          <w:u w:val="single"/>
        </w:rPr>
      </w:pPr>
      <w:r w:rsidRPr="00CB33C1">
        <w:rPr>
          <w:b/>
          <w:sz w:val="24"/>
          <w:szCs w:val="24"/>
          <w:u w:val="single"/>
        </w:rPr>
        <w:t>Table No. 1</w:t>
      </w:r>
    </w:p>
    <w:p w:rsidR="00CB33C1" w:rsidRPr="00F87289" w:rsidRDefault="00CB33C1" w:rsidP="00CB33C1">
      <w:pPr>
        <w:spacing w:line="360" w:lineRule="auto"/>
        <w:jc w:val="both"/>
        <w:rPr>
          <w:sz w:val="24"/>
          <w:szCs w:val="24"/>
        </w:rPr>
      </w:pPr>
      <w:r w:rsidRPr="00CB33C1">
        <w:rPr>
          <w:noProof/>
          <w:szCs w:val="24"/>
        </w:rPr>
        <w:drawing>
          <wp:inline distT="0" distB="0" distL="0" distR="0">
            <wp:extent cx="5969000" cy="191516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69000" cy="1915160"/>
                    </a:xfrm>
                    <a:prstGeom prst="rect">
                      <a:avLst/>
                    </a:prstGeom>
                    <a:noFill/>
                    <a:ln w="9525">
                      <a:noFill/>
                      <a:miter lim="800000"/>
                      <a:headEnd/>
                      <a:tailEnd/>
                    </a:ln>
                  </pic:spPr>
                </pic:pic>
              </a:graphicData>
            </a:graphic>
          </wp:inline>
        </w:drawing>
      </w:r>
    </w:p>
    <w:p w:rsidR="00D02288" w:rsidRDefault="00F609F5" w:rsidP="00277086">
      <w:pPr>
        <w:spacing w:line="360" w:lineRule="auto"/>
        <w:ind w:firstLine="720"/>
        <w:jc w:val="both"/>
        <w:rPr>
          <w:sz w:val="24"/>
          <w:szCs w:val="24"/>
        </w:rPr>
      </w:pPr>
      <w:r>
        <w:rPr>
          <w:sz w:val="24"/>
          <w:szCs w:val="24"/>
        </w:rPr>
        <w:t>This</w:t>
      </w:r>
      <w:r w:rsidR="003A48DF">
        <w:rPr>
          <w:sz w:val="24"/>
          <w:szCs w:val="24"/>
        </w:rPr>
        <w:t xml:space="preserve"> change </w:t>
      </w:r>
      <w:r w:rsidR="008002DF">
        <w:rPr>
          <w:sz w:val="24"/>
          <w:szCs w:val="24"/>
        </w:rPr>
        <w:t>will</w:t>
      </w:r>
      <w:r w:rsidR="003A48DF">
        <w:rPr>
          <w:sz w:val="24"/>
          <w:szCs w:val="24"/>
        </w:rPr>
        <w:t xml:space="preserve"> result in higher</w:t>
      </w:r>
      <w:r w:rsidR="00AE4BA6" w:rsidRPr="00F87289">
        <w:rPr>
          <w:sz w:val="24"/>
          <w:szCs w:val="24"/>
        </w:rPr>
        <w:t xml:space="preserve"> </w:t>
      </w:r>
      <w:r w:rsidR="003A48DF">
        <w:rPr>
          <w:sz w:val="24"/>
          <w:szCs w:val="24"/>
        </w:rPr>
        <w:t>incentive amounts</w:t>
      </w:r>
      <w:r w:rsidR="00513692">
        <w:rPr>
          <w:sz w:val="24"/>
          <w:szCs w:val="24"/>
        </w:rPr>
        <w:t xml:space="preserve"> for fuel conversion projects</w:t>
      </w:r>
      <w:r w:rsidR="00F46328">
        <w:rPr>
          <w:sz w:val="24"/>
          <w:szCs w:val="24"/>
        </w:rPr>
        <w:t xml:space="preserve"> for both residential and commercial customers</w:t>
      </w:r>
      <w:r w:rsidR="00513692">
        <w:rPr>
          <w:sz w:val="24"/>
          <w:szCs w:val="24"/>
        </w:rPr>
        <w:t xml:space="preserve">.  </w:t>
      </w:r>
      <w:r>
        <w:rPr>
          <w:sz w:val="24"/>
          <w:szCs w:val="24"/>
        </w:rPr>
        <w:t>The table b</w:t>
      </w:r>
      <w:r w:rsidR="00513692">
        <w:rPr>
          <w:sz w:val="24"/>
          <w:szCs w:val="24"/>
        </w:rPr>
        <w:t xml:space="preserve">elow is an example </w:t>
      </w:r>
      <w:r>
        <w:rPr>
          <w:sz w:val="24"/>
          <w:szCs w:val="24"/>
        </w:rPr>
        <w:t>of a</w:t>
      </w:r>
      <w:r w:rsidR="008600FC" w:rsidRPr="00F87289">
        <w:rPr>
          <w:sz w:val="24"/>
          <w:szCs w:val="24"/>
        </w:rPr>
        <w:t xml:space="preserve"> </w:t>
      </w:r>
      <w:r w:rsidR="00513692">
        <w:rPr>
          <w:sz w:val="24"/>
          <w:szCs w:val="24"/>
        </w:rPr>
        <w:t xml:space="preserve">residential </w:t>
      </w:r>
      <w:r w:rsidR="008600FC" w:rsidRPr="00F87289">
        <w:rPr>
          <w:sz w:val="24"/>
          <w:szCs w:val="24"/>
        </w:rPr>
        <w:t>electric to natural gas conversion</w:t>
      </w:r>
      <w:r>
        <w:rPr>
          <w:sz w:val="24"/>
          <w:szCs w:val="24"/>
        </w:rPr>
        <w:t>:</w:t>
      </w:r>
    </w:p>
    <w:p w:rsidR="00CB33C1" w:rsidRDefault="00CB33C1" w:rsidP="00277086">
      <w:pPr>
        <w:spacing w:line="360" w:lineRule="auto"/>
        <w:ind w:firstLine="720"/>
        <w:jc w:val="both"/>
        <w:rPr>
          <w:sz w:val="24"/>
          <w:szCs w:val="24"/>
        </w:rPr>
      </w:pPr>
    </w:p>
    <w:p w:rsidR="00F609F5" w:rsidRDefault="00F609F5" w:rsidP="00CB33C1">
      <w:pPr>
        <w:jc w:val="both"/>
        <w:rPr>
          <w:b/>
          <w:sz w:val="24"/>
          <w:szCs w:val="24"/>
          <w:u w:val="single"/>
        </w:rPr>
      </w:pPr>
      <w:r w:rsidRPr="00CB33C1">
        <w:rPr>
          <w:b/>
          <w:sz w:val="24"/>
          <w:szCs w:val="24"/>
          <w:u w:val="single"/>
        </w:rPr>
        <w:t>Table No. 2</w:t>
      </w:r>
    </w:p>
    <w:p w:rsidR="00CB33C1" w:rsidRPr="00CB33C1" w:rsidRDefault="00CB33C1" w:rsidP="00CB33C1">
      <w:pPr>
        <w:jc w:val="both"/>
        <w:rPr>
          <w:b/>
          <w:sz w:val="24"/>
          <w:szCs w:val="24"/>
          <w:u w:val="single"/>
        </w:rPr>
      </w:pPr>
    </w:p>
    <w:tbl>
      <w:tblPr>
        <w:tblW w:w="0" w:type="auto"/>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081"/>
        <w:gridCol w:w="1282"/>
        <w:gridCol w:w="1350"/>
      </w:tblGrid>
      <w:tr w:rsidR="00D02288" w:rsidRPr="00F87289" w:rsidTr="00BC57B3">
        <w:trPr>
          <w:trHeight w:val="242"/>
        </w:trPr>
        <w:tc>
          <w:tcPr>
            <w:tcW w:w="5081" w:type="dxa"/>
            <w:tcMar>
              <w:top w:w="0" w:type="dxa"/>
              <w:left w:w="108" w:type="dxa"/>
              <w:bottom w:w="0" w:type="dxa"/>
              <w:right w:w="108" w:type="dxa"/>
            </w:tcMar>
            <w:hideMark/>
          </w:tcPr>
          <w:p w:rsidR="00D02288" w:rsidRPr="00F87289" w:rsidRDefault="00D02288">
            <w:pPr>
              <w:rPr>
                <w:b/>
                <w:sz w:val="24"/>
              </w:rPr>
            </w:pPr>
            <w:r w:rsidRPr="00F87289">
              <w:rPr>
                <w:b/>
                <w:sz w:val="24"/>
              </w:rPr>
              <w:t>Measure</w:t>
            </w:r>
          </w:p>
        </w:tc>
        <w:tc>
          <w:tcPr>
            <w:tcW w:w="1282" w:type="dxa"/>
          </w:tcPr>
          <w:p w:rsidR="00D02288" w:rsidRPr="00F87289" w:rsidRDefault="00D02288" w:rsidP="00D02288">
            <w:pPr>
              <w:jc w:val="center"/>
              <w:rPr>
                <w:b/>
                <w:bCs/>
                <w:sz w:val="24"/>
              </w:rPr>
            </w:pPr>
            <w:r w:rsidRPr="00F87289">
              <w:rPr>
                <w:b/>
                <w:bCs/>
                <w:sz w:val="24"/>
              </w:rPr>
              <w:t>Current</w:t>
            </w:r>
          </w:p>
        </w:tc>
        <w:tc>
          <w:tcPr>
            <w:tcW w:w="1350" w:type="dxa"/>
            <w:tcMar>
              <w:top w:w="0" w:type="dxa"/>
              <w:left w:w="108" w:type="dxa"/>
              <w:bottom w:w="0" w:type="dxa"/>
              <w:right w:w="108" w:type="dxa"/>
            </w:tcMar>
          </w:tcPr>
          <w:p w:rsidR="00D02288" w:rsidRPr="00F87289" w:rsidRDefault="00D02288" w:rsidP="00D02288">
            <w:pPr>
              <w:jc w:val="center"/>
              <w:rPr>
                <w:b/>
                <w:bCs/>
                <w:sz w:val="24"/>
              </w:rPr>
            </w:pPr>
            <w:r w:rsidRPr="00F87289">
              <w:rPr>
                <w:b/>
                <w:bCs/>
                <w:sz w:val="24"/>
              </w:rPr>
              <w:t>Proposed</w:t>
            </w:r>
          </w:p>
        </w:tc>
      </w:tr>
      <w:tr w:rsidR="00D02288" w:rsidRPr="00F87289" w:rsidTr="00BC57B3">
        <w:trPr>
          <w:trHeight w:val="350"/>
        </w:trPr>
        <w:tc>
          <w:tcPr>
            <w:tcW w:w="5081" w:type="dxa"/>
            <w:tcMar>
              <w:top w:w="0" w:type="dxa"/>
              <w:left w:w="108" w:type="dxa"/>
              <w:bottom w:w="0" w:type="dxa"/>
              <w:right w:w="108" w:type="dxa"/>
            </w:tcMar>
            <w:hideMark/>
          </w:tcPr>
          <w:p w:rsidR="00D02288" w:rsidRPr="00F87289" w:rsidRDefault="00D02288" w:rsidP="00BC57B3">
            <w:pPr>
              <w:rPr>
                <w:rFonts w:ascii="Calibri" w:eastAsiaTheme="minorHAnsi" w:hAnsi="Calibri"/>
                <w:sz w:val="24"/>
                <w:szCs w:val="22"/>
              </w:rPr>
            </w:pPr>
            <w:r w:rsidRPr="00F87289">
              <w:rPr>
                <w:sz w:val="24"/>
              </w:rPr>
              <w:t>Electric to natural gas furnace conversion        </w:t>
            </w:r>
          </w:p>
        </w:tc>
        <w:tc>
          <w:tcPr>
            <w:tcW w:w="1282" w:type="dxa"/>
          </w:tcPr>
          <w:p w:rsidR="00D02288" w:rsidRPr="00F87289" w:rsidRDefault="00D02288" w:rsidP="00D02288">
            <w:pPr>
              <w:jc w:val="center"/>
              <w:rPr>
                <w:bCs/>
                <w:sz w:val="24"/>
              </w:rPr>
            </w:pPr>
            <w:r w:rsidRPr="00F87289">
              <w:rPr>
                <w:bCs/>
                <w:sz w:val="24"/>
              </w:rPr>
              <w:t>$900</w:t>
            </w:r>
          </w:p>
        </w:tc>
        <w:tc>
          <w:tcPr>
            <w:tcW w:w="1350" w:type="dxa"/>
            <w:tcMar>
              <w:top w:w="0" w:type="dxa"/>
              <w:left w:w="108" w:type="dxa"/>
              <w:bottom w:w="0" w:type="dxa"/>
              <w:right w:w="108" w:type="dxa"/>
            </w:tcMar>
          </w:tcPr>
          <w:p w:rsidR="00D02288" w:rsidRPr="00F87289" w:rsidRDefault="00D02288" w:rsidP="00D02288">
            <w:pPr>
              <w:jc w:val="center"/>
              <w:rPr>
                <w:rFonts w:ascii="Calibri" w:eastAsiaTheme="minorHAnsi" w:hAnsi="Calibri"/>
                <w:bCs/>
                <w:sz w:val="24"/>
              </w:rPr>
            </w:pPr>
            <w:r w:rsidRPr="00F87289">
              <w:rPr>
                <w:bCs/>
                <w:sz w:val="24"/>
              </w:rPr>
              <w:t>$2,300</w:t>
            </w:r>
          </w:p>
          <w:p w:rsidR="00D02288" w:rsidRPr="00F87289" w:rsidRDefault="00D02288" w:rsidP="00D02288">
            <w:pPr>
              <w:jc w:val="center"/>
              <w:rPr>
                <w:rFonts w:ascii="Calibri" w:eastAsiaTheme="minorHAnsi" w:hAnsi="Calibri"/>
                <w:sz w:val="24"/>
                <w:szCs w:val="22"/>
              </w:rPr>
            </w:pPr>
          </w:p>
        </w:tc>
      </w:tr>
      <w:tr w:rsidR="00D02288" w:rsidRPr="00F87289" w:rsidTr="00BC57B3">
        <w:trPr>
          <w:trHeight w:val="125"/>
        </w:trPr>
        <w:tc>
          <w:tcPr>
            <w:tcW w:w="5081" w:type="dxa"/>
            <w:tcMar>
              <w:top w:w="0" w:type="dxa"/>
              <w:left w:w="108" w:type="dxa"/>
              <w:bottom w:w="0" w:type="dxa"/>
              <w:right w:w="108" w:type="dxa"/>
            </w:tcMar>
            <w:hideMark/>
          </w:tcPr>
          <w:p w:rsidR="00D02288" w:rsidRPr="00F87289" w:rsidRDefault="00D02288">
            <w:pPr>
              <w:rPr>
                <w:rFonts w:ascii="Calibri" w:eastAsiaTheme="minorHAnsi" w:hAnsi="Calibri"/>
                <w:sz w:val="24"/>
                <w:szCs w:val="22"/>
              </w:rPr>
            </w:pPr>
            <w:r w:rsidRPr="00F87289">
              <w:rPr>
                <w:sz w:val="24"/>
              </w:rPr>
              <w:t>Electric to natural gas water heater conversion </w:t>
            </w:r>
          </w:p>
        </w:tc>
        <w:tc>
          <w:tcPr>
            <w:tcW w:w="1282" w:type="dxa"/>
          </w:tcPr>
          <w:p w:rsidR="00D02288" w:rsidRPr="00F87289" w:rsidRDefault="00D02288" w:rsidP="00D02288">
            <w:pPr>
              <w:jc w:val="center"/>
              <w:rPr>
                <w:bCs/>
                <w:sz w:val="24"/>
              </w:rPr>
            </w:pPr>
            <w:r w:rsidRPr="00F87289">
              <w:rPr>
                <w:bCs/>
                <w:sz w:val="24"/>
              </w:rPr>
              <w:t>$300</w:t>
            </w:r>
          </w:p>
        </w:tc>
        <w:tc>
          <w:tcPr>
            <w:tcW w:w="1350" w:type="dxa"/>
            <w:tcMar>
              <w:top w:w="0" w:type="dxa"/>
              <w:left w:w="108" w:type="dxa"/>
              <w:bottom w:w="0" w:type="dxa"/>
              <w:right w:w="108" w:type="dxa"/>
            </w:tcMar>
          </w:tcPr>
          <w:p w:rsidR="00D02288" w:rsidRPr="00F87289" w:rsidRDefault="00D02288" w:rsidP="00D02288">
            <w:pPr>
              <w:jc w:val="center"/>
              <w:rPr>
                <w:rFonts w:ascii="Calibri" w:eastAsiaTheme="minorHAnsi" w:hAnsi="Calibri"/>
                <w:sz w:val="24"/>
              </w:rPr>
            </w:pPr>
            <w:r w:rsidRPr="00F87289">
              <w:rPr>
                <w:bCs/>
                <w:sz w:val="24"/>
              </w:rPr>
              <w:t>$600</w:t>
            </w:r>
          </w:p>
          <w:p w:rsidR="00D02288" w:rsidRPr="00F87289" w:rsidRDefault="00D02288" w:rsidP="00D02288">
            <w:pPr>
              <w:jc w:val="center"/>
              <w:rPr>
                <w:rFonts w:ascii="Calibri" w:eastAsiaTheme="minorHAnsi" w:hAnsi="Calibri"/>
                <w:sz w:val="24"/>
                <w:szCs w:val="22"/>
              </w:rPr>
            </w:pPr>
          </w:p>
        </w:tc>
      </w:tr>
      <w:tr w:rsidR="00D02288" w:rsidRPr="00F87289" w:rsidTr="00BC57B3">
        <w:trPr>
          <w:trHeight w:val="241"/>
        </w:trPr>
        <w:tc>
          <w:tcPr>
            <w:tcW w:w="5081" w:type="dxa"/>
            <w:tcMar>
              <w:top w:w="0" w:type="dxa"/>
              <w:left w:w="108" w:type="dxa"/>
              <w:bottom w:w="0" w:type="dxa"/>
              <w:right w:w="108" w:type="dxa"/>
            </w:tcMar>
            <w:hideMark/>
          </w:tcPr>
          <w:p w:rsidR="00D02288" w:rsidRPr="00F87289" w:rsidRDefault="00D02288">
            <w:pPr>
              <w:rPr>
                <w:rFonts w:ascii="Calibri" w:eastAsiaTheme="minorHAnsi" w:hAnsi="Calibri"/>
                <w:sz w:val="24"/>
                <w:szCs w:val="22"/>
              </w:rPr>
            </w:pPr>
            <w:r w:rsidRPr="00F87289">
              <w:rPr>
                <w:sz w:val="24"/>
              </w:rPr>
              <w:t>Electric to natural gas furnace and water heater converted at the same time      </w:t>
            </w:r>
          </w:p>
        </w:tc>
        <w:tc>
          <w:tcPr>
            <w:tcW w:w="1282" w:type="dxa"/>
          </w:tcPr>
          <w:p w:rsidR="00D02288" w:rsidRPr="00F87289" w:rsidRDefault="00D02288" w:rsidP="00D02288">
            <w:pPr>
              <w:jc w:val="center"/>
              <w:rPr>
                <w:bCs/>
                <w:sz w:val="24"/>
              </w:rPr>
            </w:pPr>
            <w:r w:rsidRPr="00F87289">
              <w:rPr>
                <w:bCs/>
                <w:sz w:val="24"/>
              </w:rPr>
              <w:t>$1,200</w:t>
            </w:r>
          </w:p>
        </w:tc>
        <w:tc>
          <w:tcPr>
            <w:tcW w:w="1350" w:type="dxa"/>
            <w:tcMar>
              <w:top w:w="0" w:type="dxa"/>
              <w:left w:w="108" w:type="dxa"/>
              <w:bottom w:w="0" w:type="dxa"/>
              <w:right w:w="108" w:type="dxa"/>
            </w:tcMar>
          </w:tcPr>
          <w:p w:rsidR="00D02288" w:rsidRPr="00F87289" w:rsidRDefault="00D02288" w:rsidP="00D02288">
            <w:pPr>
              <w:jc w:val="center"/>
              <w:rPr>
                <w:rFonts w:ascii="Calibri" w:eastAsiaTheme="minorHAnsi" w:hAnsi="Calibri"/>
                <w:sz w:val="24"/>
              </w:rPr>
            </w:pPr>
            <w:r w:rsidRPr="00F87289">
              <w:rPr>
                <w:bCs/>
                <w:sz w:val="24"/>
              </w:rPr>
              <w:t>$3,200</w:t>
            </w:r>
          </w:p>
          <w:p w:rsidR="00D02288" w:rsidRPr="00F87289" w:rsidRDefault="00D02288" w:rsidP="00D02288">
            <w:pPr>
              <w:jc w:val="center"/>
              <w:rPr>
                <w:rFonts w:ascii="Calibri" w:eastAsiaTheme="minorHAnsi" w:hAnsi="Calibri"/>
                <w:sz w:val="24"/>
                <w:szCs w:val="22"/>
              </w:rPr>
            </w:pPr>
          </w:p>
        </w:tc>
      </w:tr>
    </w:tbl>
    <w:p w:rsidR="00503707" w:rsidRPr="00F87289" w:rsidRDefault="00503707" w:rsidP="00277086">
      <w:pPr>
        <w:spacing w:line="360" w:lineRule="auto"/>
        <w:ind w:firstLine="720"/>
        <w:jc w:val="both"/>
        <w:rPr>
          <w:sz w:val="24"/>
          <w:szCs w:val="24"/>
        </w:rPr>
      </w:pPr>
      <w:r w:rsidRPr="00F87289">
        <w:rPr>
          <w:sz w:val="24"/>
          <w:szCs w:val="24"/>
        </w:rPr>
        <w:lastRenderedPageBreak/>
        <w:t xml:space="preserve">  </w:t>
      </w:r>
    </w:p>
    <w:p w:rsidR="00503707" w:rsidRPr="00F87289" w:rsidRDefault="00503707" w:rsidP="00277086">
      <w:pPr>
        <w:spacing w:line="360" w:lineRule="auto"/>
        <w:ind w:firstLine="720"/>
        <w:jc w:val="both"/>
        <w:rPr>
          <w:sz w:val="24"/>
          <w:szCs w:val="24"/>
        </w:rPr>
      </w:pPr>
      <w:r w:rsidRPr="00F87289">
        <w:rPr>
          <w:sz w:val="24"/>
          <w:szCs w:val="24"/>
        </w:rPr>
        <w:t>In order to equitably treat our customers during this transition, the Company will provide the higher incentive level</w:t>
      </w:r>
      <w:r w:rsidR="00046817" w:rsidRPr="00F87289">
        <w:rPr>
          <w:sz w:val="24"/>
          <w:szCs w:val="24"/>
        </w:rPr>
        <w:t>, if approved,</w:t>
      </w:r>
      <w:r w:rsidRPr="00F87289">
        <w:rPr>
          <w:sz w:val="24"/>
          <w:szCs w:val="24"/>
        </w:rPr>
        <w:t xml:space="preserve"> to any customer that has completed their project within 90 days of the effective date of the revised tariff.  This time period is consistent with the Company’s long-standing requirement that customers submit applications for prescriptive rebates within 90 days of project completion and ensures that customers who submit their project before that time period elapses are treated in the same manner as customers who use the full period permitted under </w:t>
      </w:r>
      <w:r w:rsidR="00AE4BA6" w:rsidRPr="00F87289">
        <w:rPr>
          <w:sz w:val="24"/>
          <w:szCs w:val="24"/>
        </w:rPr>
        <w:t xml:space="preserve">the Company’s </w:t>
      </w:r>
      <w:r w:rsidRPr="00F87289">
        <w:rPr>
          <w:sz w:val="24"/>
          <w:szCs w:val="24"/>
        </w:rPr>
        <w:t>current policy.</w:t>
      </w:r>
    </w:p>
    <w:p w:rsidR="00AD0557" w:rsidRDefault="00AD0557" w:rsidP="00277086">
      <w:pPr>
        <w:spacing w:line="360" w:lineRule="auto"/>
        <w:ind w:firstLine="720"/>
        <w:jc w:val="both"/>
        <w:rPr>
          <w:sz w:val="24"/>
          <w:szCs w:val="24"/>
        </w:rPr>
      </w:pPr>
    </w:p>
    <w:p w:rsidR="00046817" w:rsidRPr="00F87289" w:rsidRDefault="00046817" w:rsidP="00277086">
      <w:pPr>
        <w:spacing w:line="360" w:lineRule="auto"/>
        <w:ind w:firstLine="720"/>
        <w:jc w:val="both"/>
        <w:rPr>
          <w:sz w:val="24"/>
          <w:szCs w:val="24"/>
        </w:rPr>
      </w:pPr>
      <w:r w:rsidRPr="00F87289">
        <w:rPr>
          <w:sz w:val="24"/>
          <w:szCs w:val="24"/>
        </w:rPr>
        <w:t xml:space="preserve">The Company has developed plans to work with key trade allies to facilitate a smooth transition to the proposed higher incentives.  </w:t>
      </w:r>
    </w:p>
    <w:p w:rsidR="00244CF8" w:rsidRPr="00F87289" w:rsidRDefault="00244CF8" w:rsidP="00277086">
      <w:pPr>
        <w:spacing w:line="360" w:lineRule="auto"/>
        <w:ind w:firstLine="720"/>
        <w:jc w:val="both"/>
        <w:rPr>
          <w:sz w:val="24"/>
          <w:szCs w:val="24"/>
        </w:rPr>
      </w:pPr>
    </w:p>
    <w:p w:rsidR="00244CF8" w:rsidRPr="00F87289" w:rsidRDefault="00244CF8" w:rsidP="00244CF8">
      <w:pPr>
        <w:spacing w:line="360" w:lineRule="auto"/>
        <w:jc w:val="both"/>
        <w:rPr>
          <w:b/>
          <w:sz w:val="24"/>
          <w:szCs w:val="24"/>
        </w:rPr>
      </w:pPr>
      <w:r w:rsidRPr="00F87289">
        <w:rPr>
          <w:b/>
          <w:sz w:val="24"/>
          <w:szCs w:val="24"/>
        </w:rPr>
        <w:t xml:space="preserve">Proposed Cost-Effective Demand Response - </w:t>
      </w:r>
    </w:p>
    <w:p w:rsidR="00905E2B" w:rsidRPr="00F87289" w:rsidRDefault="00905E2B" w:rsidP="00277086">
      <w:pPr>
        <w:spacing w:line="360" w:lineRule="auto"/>
        <w:ind w:firstLine="720"/>
        <w:jc w:val="both"/>
        <w:rPr>
          <w:sz w:val="24"/>
          <w:szCs w:val="24"/>
        </w:rPr>
      </w:pPr>
      <w:r w:rsidRPr="00F87289">
        <w:rPr>
          <w:sz w:val="24"/>
          <w:szCs w:val="24"/>
        </w:rPr>
        <w:t xml:space="preserve">The Company is also proposing to provide incentives for cost-effective demand response within Schedule 90.  </w:t>
      </w:r>
      <w:r w:rsidR="00244CF8" w:rsidRPr="00F87289">
        <w:rPr>
          <w:sz w:val="24"/>
          <w:szCs w:val="24"/>
        </w:rPr>
        <w:t>Although there are</w:t>
      </w:r>
      <w:r w:rsidRPr="00F87289">
        <w:rPr>
          <w:sz w:val="24"/>
          <w:szCs w:val="24"/>
        </w:rPr>
        <w:t xml:space="preserve"> no full-scale programs </w:t>
      </w:r>
      <w:r w:rsidR="00244CF8" w:rsidRPr="00F87289">
        <w:rPr>
          <w:sz w:val="24"/>
          <w:szCs w:val="24"/>
        </w:rPr>
        <w:t>being</w:t>
      </w:r>
      <w:r w:rsidRPr="00F87289">
        <w:rPr>
          <w:sz w:val="24"/>
          <w:szCs w:val="24"/>
        </w:rPr>
        <w:t xml:space="preserve"> </w:t>
      </w:r>
      <w:r w:rsidR="00244CF8" w:rsidRPr="00F87289">
        <w:rPr>
          <w:sz w:val="24"/>
          <w:szCs w:val="24"/>
        </w:rPr>
        <w:t>evaluated</w:t>
      </w:r>
      <w:r w:rsidRPr="00F87289">
        <w:rPr>
          <w:sz w:val="24"/>
          <w:szCs w:val="24"/>
        </w:rPr>
        <w:t xml:space="preserve"> at </w:t>
      </w:r>
      <w:r w:rsidR="00244CF8" w:rsidRPr="00F87289">
        <w:rPr>
          <w:sz w:val="24"/>
          <w:szCs w:val="24"/>
        </w:rPr>
        <w:t>this time</w:t>
      </w:r>
      <w:r w:rsidRPr="00F87289">
        <w:rPr>
          <w:sz w:val="24"/>
          <w:szCs w:val="24"/>
        </w:rPr>
        <w:t>, the Company does seek to have the ability to respond to the potential for programs in the future</w:t>
      </w:r>
      <w:r w:rsidR="00244CF8" w:rsidRPr="00F87289">
        <w:rPr>
          <w:sz w:val="24"/>
          <w:szCs w:val="24"/>
        </w:rPr>
        <w:t xml:space="preserve">. The Company proposes that the incentives </w:t>
      </w:r>
      <w:r w:rsidRPr="00F87289">
        <w:rPr>
          <w:sz w:val="24"/>
          <w:szCs w:val="24"/>
        </w:rPr>
        <w:t xml:space="preserve">would not exceed 75% of the capacity value of the acquired resource.  This approach </w:t>
      </w:r>
      <w:r w:rsidR="00244CF8" w:rsidRPr="00F87289">
        <w:rPr>
          <w:sz w:val="24"/>
          <w:szCs w:val="24"/>
        </w:rPr>
        <w:t>would</w:t>
      </w:r>
      <w:r w:rsidRPr="00F87289">
        <w:rPr>
          <w:sz w:val="24"/>
          <w:szCs w:val="24"/>
        </w:rPr>
        <w:t xml:space="preserve"> allow the Company the flexibility to capitalize upon resource opportunities and </w:t>
      </w:r>
      <w:r w:rsidR="00244CF8" w:rsidRPr="00F87289">
        <w:rPr>
          <w:sz w:val="24"/>
          <w:szCs w:val="24"/>
        </w:rPr>
        <w:t>would</w:t>
      </w:r>
      <w:r w:rsidRPr="00F87289">
        <w:rPr>
          <w:sz w:val="24"/>
          <w:szCs w:val="24"/>
        </w:rPr>
        <w:t xml:space="preserve"> provide </w:t>
      </w:r>
      <w:r w:rsidR="00244CF8" w:rsidRPr="00F87289">
        <w:rPr>
          <w:sz w:val="24"/>
          <w:szCs w:val="24"/>
        </w:rPr>
        <w:t>a range of incentives that would</w:t>
      </w:r>
      <w:r w:rsidRPr="00F87289">
        <w:rPr>
          <w:sz w:val="24"/>
          <w:szCs w:val="24"/>
        </w:rPr>
        <w:t xml:space="preserve"> benefit both participating and non-participating customers.</w:t>
      </w:r>
      <w:r w:rsidR="00A26586" w:rsidRPr="00F87289">
        <w:rPr>
          <w:sz w:val="24"/>
          <w:szCs w:val="24"/>
        </w:rPr>
        <w:t xml:space="preserve">  The Company is currently reviewing proposals to evaluate the demand response potential within our service territory.</w:t>
      </w:r>
    </w:p>
    <w:p w:rsidR="00AD0557" w:rsidRDefault="00AD0557" w:rsidP="00277086">
      <w:pPr>
        <w:spacing w:line="360" w:lineRule="auto"/>
        <w:ind w:firstLine="720"/>
        <w:jc w:val="both"/>
        <w:rPr>
          <w:sz w:val="24"/>
          <w:szCs w:val="24"/>
        </w:rPr>
      </w:pPr>
    </w:p>
    <w:p w:rsidR="0004743D" w:rsidRPr="00F87289" w:rsidRDefault="0004743D" w:rsidP="00277086">
      <w:pPr>
        <w:spacing w:line="360" w:lineRule="auto"/>
        <w:ind w:firstLine="720"/>
        <w:jc w:val="both"/>
        <w:rPr>
          <w:sz w:val="24"/>
          <w:szCs w:val="24"/>
        </w:rPr>
      </w:pPr>
      <w:r w:rsidRPr="00F87289">
        <w:rPr>
          <w:sz w:val="24"/>
          <w:szCs w:val="24"/>
        </w:rPr>
        <w:t xml:space="preserve">In conclusion, Avista </w:t>
      </w:r>
      <w:r w:rsidRPr="00F87289">
        <w:rPr>
          <w:rStyle w:val="LineNumber"/>
        </w:rPr>
        <w:t>requests the Commission approve the proposed revisions in Schedule 90 with an effective date of September 5, 2014</w:t>
      </w:r>
      <w:r w:rsidRPr="00F87289">
        <w:rPr>
          <w:sz w:val="24"/>
          <w:szCs w:val="24"/>
        </w:rPr>
        <w:t>.</w:t>
      </w:r>
    </w:p>
    <w:p w:rsidR="00AD0557" w:rsidRDefault="00AD0557" w:rsidP="00AD0557">
      <w:pPr>
        <w:suppressAutoHyphens/>
        <w:spacing w:line="360" w:lineRule="auto"/>
        <w:ind w:firstLine="720"/>
        <w:jc w:val="both"/>
        <w:rPr>
          <w:sz w:val="24"/>
          <w:szCs w:val="24"/>
        </w:rPr>
      </w:pPr>
    </w:p>
    <w:p w:rsidR="0004743D" w:rsidRPr="00F87289" w:rsidRDefault="0004743D" w:rsidP="00AD0557">
      <w:pPr>
        <w:suppressAutoHyphens/>
        <w:spacing w:line="360" w:lineRule="auto"/>
        <w:ind w:firstLine="720"/>
        <w:jc w:val="both"/>
        <w:rPr>
          <w:sz w:val="24"/>
          <w:szCs w:val="24"/>
        </w:rPr>
      </w:pPr>
      <w:r w:rsidRPr="00F87289">
        <w:rPr>
          <w:sz w:val="24"/>
          <w:szCs w:val="24"/>
        </w:rPr>
        <w:t xml:space="preserve">Pursuant to WAC 480-100-195(2), a “Notice of Tariff Change” will be posted </w:t>
      </w:r>
      <w:r w:rsidR="006320C1">
        <w:rPr>
          <w:sz w:val="24"/>
          <w:szCs w:val="24"/>
        </w:rPr>
        <w:t>on the Company’s website</w:t>
      </w:r>
      <w:r w:rsidRPr="00F87289">
        <w:rPr>
          <w:sz w:val="24"/>
          <w:szCs w:val="24"/>
        </w:rPr>
        <w:t xml:space="preserve"> coincident with the date of this filing.  </w:t>
      </w:r>
    </w:p>
    <w:p w:rsidR="0004743D" w:rsidRDefault="0004743D" w:rsidP="00277086">
      <w:pPr>
        <w:spacing w:line="360" w:lineRule="auto"/>
        <w:ind w:firstLine="720"/>
        <w:jc w:val="both"/>
        <w:rPr>
          <w:sz w:val="24"/>
          <w:szCs w:val="24"/>
        </w:rPr>
      </w:pPr>
    </w:p>
    <w:p w:rsidR="00E621CF" w:rsidRDefault="00E621CF" w:rsidP="00565FBA">
      <w:pPr>
        <w:spacing w:line="360" w:lineRule="auto"/>
        <w:ind w:firstLine="720"/>
        <w:jc w:val="both"/>
        <w:rPr>
          <w:sz w:val="24"/>
          <w:szCs w:val="24"/>
        </w:rPr>
      </w:pPr>
    </w:p>
    <w:p w:rsidR="00E621CF" w:rsidRDefault="00E621CF" w:rsidP="00565FBA">
      <w:pPr>
        <w:spacing w:line="360" w:lineRule="auto"/>
        <w:ind w:firstLine="720"/>
        <w:jc w:val="both"/>
        <w:rPr>
          <w:sz w:val="24"/>
          <w:szCs w:val="24"/>
        </w:rPr>
      </w:pPr>
    </w:p>
    <w:p w:rsidR="00040621" w:rsidRPr="00D3367D" w:rsidRDefault="00040621" w:rsidP="00565FBA">
      <w:pPr>
        <w:spacing w:line="360" w:lineRule="auto"/>
        <w:ind w:firstLine="720"/>
        <w:jc w:val="both"/>
        <w:rPr>
          <w:sz w:val="24"/>
          <w:szCs w:val="24"/>
        </w:rPr>
      </w:pPr>
      <w:r w:rsidRPr="00D3367D">
        <w:rPr>
          <w:sz w:val="24"/>
          <w:szCs w:val="24"/>
        </w:rPr>
        <w:lastRenderedPageBreak/>
        <w:t xml:space="preserve">Please direct </w:t>
      </w:r>
      <w:r w:rsidR="005479BD" w:rsidRPr="00D3367D">
        <w:rPr>
          <w:sz w:val="24"/>
          <w:szCs w:val="24"/>
        </w:rPr>
        <w:t xml:space="preserve">any questions on this matter to </w:t>
      </w:r>
      <w:r w:rsidR="00F87289">
        <w:rPr>
          <w:sz w:val="24"/>
          <w:szCs w:val="24"/>
        </w:rPr>
        <w:t>Dan Johnson at (509) 495-2807</w:t>
      </w:r>
      <w:r w:rsidR="005479BD" w:rsidRPr="00D3367D">
        <w:rPr>
          <w:sz w:val="24"/>
          <w:szCs w:val="24"/>
        </w:rPr>
        <w:t xml:space="preserve"> or </w:t>
      </w:r>
      <w:hyperlink r:id="rId10" w:history="1">
        <w:r w:rsidR="00F87289" w:rsidRPr="002B0E2E">
          <w:rPr>
            <w:rStyle w:val="Hyperlink"/>
            <w:sz w:val="24"/>
            <w:szCs w:val="24"/>
          </w:rPr>
          <w:t>dan.johnson@avistacorp.com</w:t>
        </w:r>
      </w:hyperlink>
      <w:r w:rsidR="005479BD" w:rsidRPr="00D3367D">
        <w:rPr>
          <w:sz w:val="24"/>
          <w:szCs w:val="24"/>
        </w:rPr>
        <w:t xml:space="preserve"> or </w:t>
      </w:r>
      <w:r w:rsidR="00B15816" w:rsidRPr="00D3367D">
        <w:rPr>
          <w:sz w:val="24"/>
          <w:szCs w:val="24"/>
        </w:rPr>
        <w:t>myself at (509) 495-</w:t>
      </w:r>
      <w:r w:rsidR="0088729D" w:rsidRPr="00D3367D">
        <w:rPr>
          <w:sz w:val="24"/>
          <w:szCs w:val="24"/>
        </w:rPr>
        <w:t>4975</w:t>
      </w:r>
      <w:r w:rsidR="005479BD" w:rsidRPr="00D3367D">
        <w:rPr>
          <w:sz w:val="24"/>
          <w:szCs w:val="24"/>
        </w:rPr>
        <w:t xml:space="preserve"> or </w:t>
      </w:r>
      <w:hyperlink r:id="rId11" w:history="1">
        <w:r w:rsidR="005479BD" w:rsidRPr="00D3367D">
          <w:rPr>
            <w:rStyle w:val="Hyperlink"/>
            <w:sz w:val="24"/>
            <w:szCs w:val="24"/>
          </w:rPr>
          <w:t>linda.gervais@avistacorp.com</w:t>
        </w:r>
      </w:hyperlink>
      <w:r w:rsidRPr="00D3367D">
        <w:rPr>
          <w:sz w:val="24"/>
          <w:szCs w:val="24"/>
        </w:rPr>
        <w:t>.</w:t>
      </w:r>
    </w:p>
    <w:p w:rsidR="00040621" w:rsidRPr="00D3367D" w:rsidRDefault="00040621" w:rsidP="00A03E67">
      <w:pPr>
        <w:spacing w:line="360" w:lineRule="auto"/>
        <w:jc w:val="both"/>
        <w:rPr>
          <w:sz w:val="24"/>
          <w:szCs w:val="24"/>
        </w:rPr>
      </w:pPr>
    </w:p>
    <w:p w:rsidR="00040621" w:rsidRPr="00D3367D" w:rsidRDefault="00040621">
      <w:pPr>
        <w:jc w:val="both"/>
        <w:rPr>
          <w:sz w:val="24"/>
          <w:szCs w:val="24"/>
        </w:rPr>
      </w:pPr>
      <w:r w:rsidRPr="00D3367D">
        <w:rPr>
          <w:sz w:val="24"/>
          <w:szCs w:val="24"/>
        </w:rPr>
        <w:t>Sincerely,</w:t>
      </w:r>
    </w:p>
    <w:p w:rsidR="00040621" w:rsidRPr="00D3367D" w:rsidRDefault="00040621">
      <w:pPr>
        <w:jc w:val="both"/>
        <w:rPr>
          <w:sz w:val="24"/>
          <w:szCs w:val="24"/>
        </w:rPr>
      </w:pPr>
    </w:p>
    <w:p w:rsidR="00040621" w:rsidRPr="00552625" w:rsidRDefault="00427F5F">
      <w:pPr>
        <w:jc w:val="both"/>
        <w:rPr>
          <w:rFonts w:ascii="Lucida Handwriting" w:hAnsi="Lucida Handwriting"/>
          <w:sz w:val="24"/>
          <w:szCs w:val="24"/>
        </w:rPr>
      </w:pPr>
      <w:r w:rsidRPr="00552625">
        <w:rPr>
          <w:rFonts w:ascii="Lucida Handwriting" w:hAnsi="Lucida Handwriting"/>
          <w:sz w:val="24"/>
          <w:szCs w:val="24"/>
        </w:rPr>
        <w:t>/s</w:t>
      </w:r>
      <w:r w:rsidR="006D39A8" w:rsidRPr="00552625">
        <w:rPr>
          <w:rFonts w:ascii="Lucida Handwriting" w:hAnsi="Lucida Handwriting"/>
          <w:sz w:val="24"/>
          <w:szCs w:val="24"/>
        </w:rPr>
        <w:t>/Linda Gervais</w:t>
      </w:r>
    </w:p>
    <w:p w:rsidR="00040621" w:rsidRPr="00D3367D" w:rsidRDefault="00040621">
      <w:pPr>
        <w:jc w:val="both"/>
        <w:rPr>
          <w:sz w:val="24"/>
          <w:szCs w:val="24"/>
        </w:rPr>
      </w:pPr>
    </w:p>
    <w:p w:rsidR="007A17FF" w:rsidRPr="00D3367D" w:rsidRDefault="0088729D">
      <w:pPr>
        <w:jc w:val="both"/>
        <w:rPr>
          <w:sz w:val="24"/>
          <w:szCs w:val="24"/>
        </w:rPr>
      </w:pPr>
      <w:r w:rsidRPr="00D3367D">
        <w:rPr>
          <w:sz w:val="24"/>
          <w:szCs w:val="24"/>
        </w:rPr>
        <w:t>Linda Gervais</w:t>
      </w:r>
    </w:p>
    <w:p w:rsidR="00040621" w:rsidRPr="00D3367D" w:rsidRDefault="002C67B6">
      <w:pPr>
        <w:jc w:val="both"/>
        <w:rPr>
          <w:sz w:val="24"/>
          <w:szCs w:val="24"/>
        </w:rPr>
      </w:pPr>
      <w:r w:rsidRPr="00D3367D">
        <w:rPr>
          <w:sz w:val="24"/>
          <w:szCs w:val="24"/>
        </w:rPr>
        <w:t>Manager,</w:t>
      </w:r>
      <w:r w:rsidR="0088729D" w:rsidRPr="00D3367D">
        <w:rPr>
          <w:sz w:val="24"/>
          <w:szCs w:val="24"/>
        </w:rPr>
        <w:t xml:space="preserve"> Regulatory </w:t>
      </w:r>
      <w:smartTag w:uri="urn:schemas-microsoft-com:office:smarttags" w:element="place">
        <w:r w:rsidR="0088729D" w:rsidRPr="00D3367D">
          <w:rPr>
            <w:sz w:val="24"/>
            <w:szCs w:val="24"/>
          </w:rPr>
          <w:t>Po</w:t>
        </w:r>
      </w:smartTag>
      <w:r w:rsidR="0088729D" w:rsidRPr="00D3367D">
        <w:rPr>
          <w:sz w:val="24"/>
          <w:szCs w:val="24"/>
        </w:rPr>
        <w:t>licy</w:t>
      </w:r>
    </w:p>
    <w:p w:rsidR="0088729D" w:rsidRPr="00D3367D" w:rsidRDefault="002C67B6">
      <w:pPr>
        <w:jc w:val="both"/>
        <w:rPr>
          <w:sz w:val="24"/>
          <w:szCs w:val="24"/>
        </w:rPr>
      </w:pPr>
      <w:r w:rsidRPr="00D3367D">
        <w:rPr>
          <w:sz w:val="24"/>
          <w:szCs w:val="24"/>
        </w:rPr>
        <w:t>Avista Utilities</w:t>
      </w:r>
    </w:p>
    <w:p w:rsidR="0088729D" w:rsidRPr="00D3367D" w:rsidRDefault="00F02ADC">
      <w:pPr>
        <w:jc w:val="both"/>
        <w:rPr>
          <w:sz w:val="24"/>
          <w:szCs w:val="24"/>
        </w:rPr>
      </w:pPr>
      <w:hyperlink r:id="rId12" w:history="1">
        <w:r w:rsidR="005479BD" w:rsidRPr="00D3367D">
          <w:rPr>
            <w:rStyle w:val="Hyperlink"/>
            <w:sz w:val="24"/>
            <w:szCs w:val="24"/>
          </w:rPr>
          <w:t>linda.gervais@avistacorp.com</w:t>
        </w:r>
      </w:hyperlink>
    </w:p>
    <w:p w:rsidR="005479BD" w:rsidRPr="00D3367D" w:rsidRDefault="005479BD">
      <w:pPr>
        <w:jc w:val="both"/>
        <w:rPr>
          <w:sz w:val="24"/>
          <w:szCs w:val="24"/>
        </w:rPr>
      </w:pPr>
    </w:p>
    <w:p w:rsidR="00040621" w:rsidRPr="00D3367D" w:rsidRDefault="00040621">
      <w:pPr>
        <w:jc w:val="both"/>
        <w:rPr>
          <w:sz w:val="24"/>
          <w:szCs w:val="24"/>
        </w:rPr>
      </w:pPr>
    </w:p>
    <w:p w:rsidR="00040621" w:rsidRPr="00D3367D" w:rsidRDefault="00040621">
      <w:pPr>
        <w:jc w:val="both"/>
        <w:rPr>
          <w:sz w:val="24"/>
          <w:szCs w:val="24"/>
        </w:rPr>
      </w:pPr>
      <w:r w:rsidRPr="00D3367D">
        <w:rPr>
          <w:sz w:val="24"/>
          <w:szCs w:val="24"/>
        </w:rPr>
        <w:t>Enclosures</w:t>
      </w:r>
    </w:p>
    <w:p w:rsidR="00040621" w:rsidRPr="00D3367D" w:rsidRDefault="00040621">
      <w:pPr>
        <w:jc w:val="both"/>
        <w:rPr>
          <w:sz w:val="24"/>
          <w:szCs w:val="24"/>
        </w:rPr>
      </w:pPr>
    </w:p>
    <w:p w:rsidR="00B232C8" w:rsidRPr="00D3367D" w:rsidRDefault="00B232C8" w:rsidP="00B14584">
      <w:pPr>
        <w:tabs>
          <w:tab w:val="left" w:pos="360"/>
        </w:tabs>
        <w:jc w:val="both"/>
        <w:rPr>
          <w:sz w:val="24"/>
          <w:szCs w:val="24"/>
        </w:rPr>
      </w:pPr>
      <w:r w:rsidRPr="00D3367D">
        <w:rPr>
          <w:sz w:val="24"/>
          <w:szCs w:val="24"/>
        </w:rPr>
        <w:t xml:space="preserve">cc: </w:t>
      </w:r>
      <w:r w:rsidR="00B14584" w:rsidRPr="00D3367D">
        <w:rPr>
          <w:sz w:val="24"/>
          <w:szCs w:val="24"/>
        </w:rPr>
        <w:tab/>
      </w:r>
      <w:r w:rsidR="00FC23BC" w:rsidRPr="00D3367D">
        <w:rPr>
          <w:sz w:val="24"/>
          <w:szCs w:val="24"/>
        </w:rPr>
        <w:t>Advisory Group</w:t>
      </w:r>
    </w:p>
    <w:sectPr w:rsidR="00B232C8" w:rsidRPr="00D3367D" w:rsidSect="00AF4671">
      <w:headerReference w:type="default" r:id="rId13"/>
      <w:pgSz w:w="12240" w:h="15840"/>
      <w:pgMar w:top="1080" w:right="1080" w:bottom="117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3BE" w:rsidRDefault="00B073BE">
      <w:r>
        <w:separator/>
      </w:r>
    </w:p>
  </w:endnote>
  <w:endnote w:type="continuationSeparator" w:id="0">
    <w:p w:rsidR="00B073BE" w:rsidRDefault="00B073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3BE" w:rsidRDefault="00B073BE">
      <w:r>
        <w:separator/>
      </w:r>
    </w:p>
  </w:footnote>
  <w:footnote w:type="continuationSeparator" w:id="0">
    <w:p w:rsidR="00B073BE" w:rsidRDefault="00B07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3BE" w:rsidRDefault="00B073BE">
    <w:pPr>
      <w:pStyle w:val="Header"/>
      <w:rPr>
        <w:sz w:val="24"/>
      </w:rPr>
    </w:pPr>
    <w:r>
      <w:rPr>
        <w:sz w:val="24"/>
      </w:rPr>
      <w:t>Schedule 90 Revisions</w:t>
    </w:r>
  </w:p>
  <w:p w:rsidR="00B073BE" w:rsidRDefault="00B073BE">
    <w:pPr>
      <w:pStyle w:val="Header"/>
      <w:rPr>
        <w:sz w:val="24"/>
      </w:rPr>
    </w:pPr>
    <w:r>
      <w:rPr>
        <w:sz w:val="24"/>
      </w:rPr>
      <w:t>August 8, 2014</w:t>
    </w:r>
  </w:p>
  <w:p w:rsidR="00B073BE" w:rsidRDefault="00B073BE">
    <w:pPr>
      <w:pStyle w:val="Header"/>
      <w:rPr>
        <w:rStyle w:val="PageNumber"/>
        <w:sz w:val="24"/>
      </w:rPr>
    </w:pPr>
    <w:r>
      <w:rPr>
        <w:sz w:val="24"/>
      </w:rPr>
      <w:t xml:space="preserve">Page </w:t>
    </w:r>
    <w:r w:rsidR="00F02ADC">
      <w:rPr>
        <w:rStyle w:val="PageNumber"/>
        <w:sz w:val="24"/>
      </w:rPr>
      <w:fldChar w:fldCharType="begin"/>
    </w:r>
    <w:r>
      <w:rPr>
        <w:rStyle w:val="PageNumber"/>
        <w:sz w:val="24"/>
      </w:rPr>
      <w:instrText xml:space="preserve"> PAGE </w:instrText>
    </w:r>
    <w:r w:rsidR="00F02ADC">
      <w:rPr>
        <w:rStyle w:val="PageNumber"/>
        <w:sz w:val="24"/>
      </w:rPr>
      <w:fldChar w:fldCharType="separate"/>
    </w:r>
    <w:r w:rsidR="00552625">
      <w:rPr>
        <w:rStyle w:val="PageNumber"/>
        <w:noProof/>
        <w:sz w:val="24"/>
      </w:rPr>
      <w:t>5</w:t>
    </w:r>
    <w:r w:rsidR="00F02ADC">
      <w:rPr>
        <w:rStyle w:val="PageNumber"/>
        <w:sz w:val="24"/>
      </w:rPr>
      <w:fldChar w:fldCharType="end"/>
    </w:r>
  </w:p>
  <w:p w:rsidR="00B073BE" w:rsidRDefault="00B073BE">
    <w:pPr>
      <w:pStyle w:val="Header"/>
      <w:rPr>
        <w:rStyle w:val="PageNumbe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16741"/>
    <w:multiLevelType w:val="hybridMultilevel"/>
    <w:tmpl w:val="ED6E55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A7D5237"/>
    <w:multiLevelType w:val="hybridMultilevel"/>
    <w:tmpl w:val="906C0C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BCC4C97"/>
    <w:multiLevelType w:val="hybridMultilevel"/>
    <w:tmpl w:val="FEEE954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DC677C2"/>
    <w:multiLevelType w:val="hybridMultilevel"/>
    <w:tmpl w:val="1D64D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3086C06"/>
    <w:multiLevelType w:val="hybridMultilevel"/>
    <w:tmpl w:val="D2742B72"/>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5">
    <w:nsid w:val="6A9C3FBF"/>
    <w:multiLevelType w:val="singleLevel"/>
    <w:tmpl w:val="79321796"/>
    <w:lvl w:ilvl="0">
      <w:start w:val="3"/>
      <w:numFmt w:val="bullet"/>
      <w:lvlText w:val=""/>
      <w:lvlJc w:val="left"/>
      <w:pPr>
        <w:tabs>
          <w:tab w:val="num" w:pos="720"/>
        </w:tabs>
        <w:ind w:left="720" w:hanging="720"/>
      </w:pPr>
      <w:rPr>
        <w:rFonts w:ascii="Symbol" w:hAnsi="Symbol" w:hint="default"/>
      </w:rPr>
    </w:lvl>
  </w:abstractNum>
  <w:abstractNum w:abstractNumId="6">
    <w:nsid w:val="6DD26A9D"/>
    <w:multiLevelType w:val="hybridMultilevel"/>
    <w:tmpl w:val="0BEE2DD0"/>
    <w:lvl w:ilvl="0" w:tplc="EC82C5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81936F2"/>
    <w:multiLevelType w:val="singleLevel"/>
    <w:tmpl w:val="20F49E84"/>
    <w:lvl w:ilvl="0">
      <w:start w:val="1"/>
      <w:numFmt w:val="decimal"/>
      <w:lvlText w:val="%1)"/>
      <w:lvlJc w:val="left"/>
      <w:pPr>
        <w:tabs>
          <w:tab w:val="num" w:pos="720"/>
        </w:tabs>
        <w:ind w:left="720" w:hanging="720"/>
      </w:pPr>
      <w:rPr>
        <w:rFonts w:hint="default"/>
      </w:rPr>
    </w:lvl>
  </w:abstractNum>
  <w:abstractNum w:abstractNumId="8">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B85845"/>
    <w:multiLevelType w:val="hybridMultilevel"/>
    <w:tmpl w:val="2CB81174"/>
    <w:lvl w:ilvl="0" w:tplc="EC82C5E2">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2"/>
  </w:num>
  <w:num w:numId="6">
    <w:abstractNumId w:val="6"/>
  </w:num>
  <w:num w:numId="7">
    <w:abstractNumId w:val="9"/>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hideGrammaticalErrors/>
  <w:activeWritingStyle w:appName="MSWord" w:lang="en-US" w:vendorID="8" w:dllVersion="513" w:checkStyle="1"/>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AF20EE"/>
    <w:rsid w:val="0002071B"/>
    <w:rsid w:val="0003355A"/>
    <w:rsid w:val="000336DD"/>
    <w:rsid w:val="000401B8"/>
    <w:rsid w:val="00040621"/>
    <w:rsid w:val="00046817"/>
    <w:rsid w:val="0004743D"/>
    <w:rsid w:val="0005125A"/>
    <w:rsid w:val="0005174E"/>
    <w:rsid w:val="00052E25"/>
    <w:rsid w:val="00063617"/>
    <w:rsid w:val="00063C7A"/>
    <w:rsid w:val="00073F75"/>
    <w:rsid w:val="000B7F79"/>
    <w:rsid w:val="000D0B83"/>
    <w:rsid w:val="000D6898"/>
    <w:rsid w:val="000E5DE2"/>
    <w:rsid w:val="000F1EB1"/>
    <w:rsid w:val="00110C55"/>
    <w:rsid w:val="0011729D"/>
    <w:rsid w:val="001241B9"/>
    <w:rsid w:val="00134021"/>
    <w:rsid w:val="00134550"/>
    <w:rsid w:val="001618EE"/>
    <w:rsid w:val="00190B82"/>
    <w:rsid w:val="00196E09"/>
    <w:rsid w:val="001970F9"/>
    <w:rsid w:val="001975F3"/>
    <w:rsid w:val="001B4920"/>
    <w:rsid w:val="001C6991"/>
    <w:rsid w:val="001F178D"/>
    <w:rsid w:val="001F2CC9"/>
    <w:rsid w:val="002055AD"/>
    <w:rsid w:val="00212D64"/>
    <w:rsid w:val="00230EF0"/>
    <w:rsid w:val="002331C4"/>
    <w:rsid w:val="00236524"/>
    <w:rsid w:val="0023687E"/>
    <w:rsid w:val="00244CF8"/>
    <w:rsid w:val="00264194"/>
    <w:rsid w:val="00265566"/>
    <w:rsid w:val="00277086"/>
    <w:rsid w:val="002862F8"/>
    <w:rsid w:val="002908DF"/>
    <w:rsid w:val="00293E7F"/>
    <w:rsid w:val="00295620"/>
    <w:rsid w:val="002A3646"/>
    <w:rsid w:val="002B39ED"/>
    <w:rsid w:val="002B7DD0"/>
    <w:rsid w:val="002C67B6"/>
    <w:rsid w:val="002E141A"/>
    <w:rsid w:val="002E4C90"/>
    <w:rsid w:val="002F033B"/>
    <w:rsid w:val="002F5F20"/>
    <w:rsid w:val="003024F2"/>
    <w:rsid w:val="00316FDE"/>
    <w:rsid w:val="00323DF0"/>
    <w:rsid w:val="0034331A"/>
    <w:rsid w:val="00343AFB"/>
    <w:rsid w:val="003458F3"/>
    <w:rsid w:val="00351550"/>
    <w:rsid w:val="00353210"/>
    <w:rsid w:val="00356DBD"/>
    <w:rsid w:val="0036547E"/>
    <w:rsid w:val="003662AE"/>
    <w:rsid w:val="003709CC"/>
    <w:rsid w:val="00375879"/>
    <w:rsid w:val="00377742"/>
    <w:rsid w:val="00377FD1"/>
    <w:rsid w:val="003846FB"/>
    <w:rsid w:val="003902FF"/>
    <w:rsid w:val="003A13B2"/>
    <w:rsid w:val="003A3A22"/>
    <w:rsid w:val="003A42E1"/>
    <w:rsid w:val="003A48DF"/>
    <w:rsid w:val="003B0826"/>
    <w:rsid w:val="003B424A"/>
    <w:rsid w:val="003C2809"/>
    <w:rsid w:val="003E58EA"/>
    <w:rsid w:val="003E5D5C"/>
    <w:rsid w:val="003F22B9"/>
    <w:rsid w:val="003F44D5"/>
    <w:rsid w:val="00427F5F"/>
    <w:rsid w:val="00435BF4"/>
    <w:rsid w:val="00450756"/>
    <w:rsid w:val="004517D4"/>
    <w:rsid w:val="00452092"/>
    <w:rsid w:val="00455E2B"/>
    <w:rsid w:val="00471A91"/>
    <w:rsid w:val="00485113"/>
    <w:rsid w:val="00497379"/>
    <w:rsid w:val="004A0D38"/>
    <w:rsid w:val="004A2184"/>
    <w:rsid w:val="004A4359"/>
    <w:rsid w:val="004B014C"/>
    <w:rsid w:val="004B39F6"/>
    <w:rsid w:val="004B4CE7"/>
    <w:rsid w:val="004C3C45"/>
    <w:rsid w:val="004D416E"/>
    <w:rsid w:val="004D7755"/>
    <w:rsid w:val="004E51A4"/>
    <w:rsid w:val="004E5F73"/>
    <w:rsid w:val="004F058C"/>
    <w:rsid w:val="004F1F1E"/>
    <w:rsid w:val="00503707"/>
    <w:rsid w:val="00505AF6"/>
    <w:rsid w:val="005123F8"/>
    <w:rsid w:val="00513692"/>
    <w:rsid w:val="005479BD"/>
    <w:rsid w:val="00550B61"/>
    <w:rsid w:val="005519C3"/>
    <w:rsid w:val="00552625"/>
    <w:rsid w:val="00562616"/>
    <w:rsid w:val="0056501D"/>
    <w:rsid w:val="00565FBA"/>
    <w:rsid w:val="00571611"/>
    <w:rsid w:val="00572962"/>
    <w:rsid w:val="00577813"/>
    <w:rsid w:val="00590008"/>
    <w:rsid w:val="0059415F"/>
    <w:rsid w:val="005A2EF9"/>
    <w:rsid w:val="005A338C"/>
    <w:rsid w:val="005A47D6"/>
    <w:rsid w:val="005B086C"/>
    <w:rsid w:val="005C2F04"/>
    <w:rsid w:val="005C3A92"/>
    <w:rsid w:val="005C6734"/>
    <w:rsid w:val="005E12C6"/>
    <w:rsid w:val="005F40FB"/>
    <w:rsid w:val="005F4179"/>
    <w:rsid w:val="005F754A"/>
    <w:rsid w:val="00606BCB"/>
    <w:rsid w:val="006100B1"/>
    <w:rsid w:val="0061578F"/>
    <w:rsid w:val="00622D0B"/>
    <w:rsid w:val="00623C8D"/>
    <w:rsid w:val="00626438"/>
    <w:rsid w:val="006320C1"/>
    <w:rsid w:val="00634275"/>
    <w:rsid w:val="00651294"/>
    <w:rsid w:val="00655B6B"/>
    <w:rsid w:val="00660535"/>
    <w:rsid w:val="00666D7C"/>
    <w:rsid w:val="00672C44"/>
    <w:rsid w:val="00676FA4"/>
    <w:rsid w:val="006776DA"/>
    <w:rsid w:val="006918B9"/>
    <w:rsid w:val="006B27F3"/>
    <w:rsid w:val="006B5C81"/>
    <w:rsid w:val="006D2245"/>
    <w:rsid w:val="006D39A8"/>
    <w:rsid w:val="006E11A7"/>
    <w:rsid w:val="006F2A24"/>
    <w:rsid w:val="00705C95"/>
    <w:rsid w:val="00714294"/>
    <w:rsid w:val="007200DD"/>
    <w:rsid w:val="007245BD"/>
    <w:rsid w:val="0072508A"/>
    <w:rsid w:val="0073219B"/>
    <w:rsid w:val="007356C1"/>
    <w:rsid w:val="00741902"/>
    <w:rsid w:val="00742560"/>
    <w:rsid w:val="007437E9"/>
    <w:rsid w:val="007479E3"/>
    <w:rsid w:val="00755E3F"/>
    <w:rsid w:val="00772C70"/>
    <w:rsid w:val="007801F3"/>
    <w:rsid w:val="007A17FF"/>
    <w:rsid w:val="007A6656"/>
    <w:rsid w:val="007B5D91"/>
    <w:rsid w:val="007C4DFB"/>
    <w:rsid w:val="007E00A2"/>
    <w:rsid w:val="007F176C"/>
    <w:rsid w:val="008002DF"/>
    <w:rsid w:val="00827194"/>
    <w:rsid w:val="0083065F"/>
    <w:rsid w:val="00831025"/>
    <w:rsid w:val="00841083"/>
    <w:rsid w:val="00841BD3"/>
    <w:rsid w:val="008600FC"/>
    <w:rsid w:val="008614DF"/>
    <w:rsid w:val="008621D3"/>
    <w:rsid w:val="0088447C"/>
    <w:rsid w:val="00884A50"/>
    <w:rsid w:val="0088729D"/>
    <w:rsid w:val="0089647E"/>
    <w:rsid w:val="008A3326"/>
    <w:rsid w:val="008C1672"/>
    <w:rsid w:val="008D7D48"/>
    <w:rsid w:val="008E0338"/>
    <w:rsid w:val="008E336C"/>
    <w:rsid w:val="008F221D"/>
    <w:rsid w:val="00905E2B"/>
    <w:rsid w:val="00907955"/>
    <w:rsid w:val="009178AB"/>
    <w:rsid w:val="00920E8A"/>
    <w:rsid w:val="0092371B"/>
    <w:rsid w:val="00930807"/>
    <w:rsid w:val="00931669"/>
    <w:rsid w:val="00931E21"/>
    <w:rsid w:val="00932295"/>
    <w:rsid w:val="00936303"/>
    <w:rsid w:val="00946679"/>
    <w:rsid w:val="00966DF9"/>
    <w:rsid w:val="00982C4F"/>
    <w:rsid w:val="00994CAA"/>
    <w:rsid w:val="00996800"/>
    <w:rsid w:val="009B223E"/>
    <w:rsid w:val="009B7715"/>
    <w:rsid w:val="009C1D50"/>
    <w:rsid w:val="009C4B4F"/>
    <w:rsid w:val="009C7C27"/>
    <w:rsid w:val="009D79A8"/>
    <w:rsid w:val="009E0305"/>
    <w:rsid w:val="009E5B7D"/>
    <w:rsid w:val="009F3585"/>
    <w:rsid w:val="009F5D7E"/>
    <w:rsid w:val="00A010CF"/>
    <w:rsid w:val="00A03E67"/>
    <w:rsid w:val="00A11561"/>
    <w:rsid w:val="00A14BAA"/>
    <w:rsid w:val="00A26586"/>
    <w:rsid w:val="00A35203"/>
    <w:rsid w:val="00A42EC5"/>
    <w:rsid w:val="00A4498A"/>
    <w:rsid w:val="00A46111"/>
    <w:rsid w:val="00A47591"/>
    <w:rsid w:val="00A61CD1"/>
    <w:rsid w:val="00A62952"/>
    <w:rsid w:val="00A77B12"/>
    <w:rsid w:val="00A8189A"/>
    <w:rsid w:val="00A90350"/>
    <w:rsid w:val="00AA10B4"/>
    <w:rsid w:val="00AA3519"/>
    <w:rsid w:val="00AC187E"/>
    <w:rsid w:val="00AD0557"/>
    <w:rsid w:val="00AD4048"/>
    <w:rsid w:val="00AE00CF"/>
    <w:rsid w:val="00AE4BA6"/>
    <w:rsid w:val="00AF20EE"/>
    <w:rsid w:val="00AF4671"/>
    <w:rsid w:val="00B012CB"/>
    <w:rsid w:val="00B03A47"/>
    <w:rsid w:val="00B04325"/>
    <w:rsid w:val="00B07028"/>
    <w:rsid w:val="00B073BE"/>
    <w:rsid w:val="00B14584"/>
    <w:rsid w:val="00B15816"/>
    <w:rsid w:val="00B213D0"/>
    <w:rsid w:val="00B232C8"/>
    <w:rsid w:val="00B24035"/>
    <w:rsid w:val="00B30BD7"/>
    <w:rsid w:val="00B50F66"/>
    <w:rsid w:val="00B5756B"/>
    <w:rsid w:val="00B6299C"/>
    <w:rsid w:val="00B65BF5"/>
    <w:rsid w:val="00B67EDE"/>
    <w:rsid w:val="00B73275"/>
    <w:rsid w:val="00B92B26"/>
    <w:rsid w:val="00BA3820"/>
    <w:rsid w:val="00BA5429"/>
    <w:rsid w:val="00BB23E3"/>
    <w:rsid w:val="00BB5649"/>
    <w:rsid w:val="00BB66AE"/>
    <w:rsid w:val="00BC57B3"/>
    <w:rsid w:val="00BD0AD0"/>
    <w:rsid w:val="00BD64FB"/>
    <w:rsid w:val="00BE65D5"/>
    <w:rsid w:val="00BF090D"/>
    <w:rsid w:val="00BF1BC5"/>
    <w:rsid w:val="00BF6B7E"/>
    <w:rsid w:val="00C0555C"/>
    <w:rsid w:val="00C129F8"/>
    <w:rsid w:val="00C2174A"/>
    <w:rsid w:val="00C2456C"/>
    <w:rsid w:val="00C33046"/>
    <w:rsid w:val="00C33F1F"/>
    <w:rsid w:val="00C34953"/>
    <w:rsid w:val="00C41B9A"/>
    <w:rsid w:val="00C436D9"/>
    <w:rsid w:val="00C800C5"/>
    <w:rsid w:val="00C83322"/>
    <w:rsid w:val="00C87E5A"/>
    <w:rsid w:val="00C96877"/>
    <w:rsid w:val="00CA0D34"/>
    <w:rsid w:val="00CB33C1"/>
    <w:rsid w:val="00CB374C"/>
    <w:rsid w:val="00CC03D2"/>
    <w:rsid w:val="00CC1BAA"/>
    <w:rsid w:val="00CD346B"/>
    <w:rsid w:val="00CD60DE"/>
    <w:rsid w:val="00CD78C3"/>
    <w:rsid w:val="00CE0039"/>
    <w:rsid w:val="00CF657D"/>
    <w:rsid w:val="00D01DA5"/>
    <w:rsid w:val="00D02288"/>
    <w:rsid w:val="00D04A56"/>
    <w:rsid w:val="00D23FE7"/>
    <w:rsid w:val="00D2493D"/>
    <w:rsid w:val="00D26572"/>
    <w:rsid w:val="00D3367D"/>
    <w:rsid w:val="00D37B30"/>
    <w:rsid w:val="00D44DF6"/>
    <w:rsid w:val="00D50B07"/>
    <w:rsid w:val="00D558EE"/>
    <w:rsid w:val="00D55F36"/>
    <w:rsid w:val="00D72C3C"/>
    <w:rsid w:val="00D80128"/>
    <w:rsid w:val="00DA1D28"/>
    <w:rsid w:val="00DA42AA"/>
    <w:rsid w:val="00DA633A"/>
    <w:rsid w:val="00DC380B"/>
    <w:rsid w:val="00DD4751"/>
    <w:rsid w:val="00DD5FC6"/>
    <w:rsid w:val="00DD671B"/>
    <w:rsid w:val="00DE0C75"/>
    <w:rsid w:val="00DE4DE1"/>
    <w:rsid w:val="00DE77A0"/>
    <w:rsid w:val="00DF7E76"/>
    <w:rsid w:val="00E04D16"/>
    <w:rsid w:val="00E06BAC"/>
    <w:rsid w:val="00E1037B"/>
    <w:rsid w:val="00E16E22"/>
    <w:rsid w:val="00E17377"/>
    <w:rsid w:val="00E25458"/>
    <w:rsid w:val="00E3126B"/>
    <w:rsid w:val="00E31C7B"/>
    <w:rsid w:val="00E40917"/>
    <w:rsid w:val="00E51832"/>
    <w:rsid w:val="00E621CF"/>
    <w:rsid w:val="00E65250"/>
    <w:rsid w:val="00E67087"/>
    <w:rsid w:val="00E745FD"/>
    <w:rsid w:val="00E811F1"/>
    <w:rsid w:val="00E920A0"/>
    <w:rsid w:val="00E97DC2"/>
    <w:rsid w:val="00EB5DE7"/>
    <w:rsid w:val="00EE08D9"/>
    <w:rsid w:val="00EE6695"/>
    <w:rsid w:val="00F02ADC"/>
    <w:rsid w:val="00F1059F"/>
    <w:rsid w:val="00F31B46"/>
    <w:rsid w:val="00F33CF2"/>
    <w:rsid w:val="00F33E5E"/>
    <w:rsid w:val="00F40A80"/>
    <w:rsid w:val="00F423F3"/>
    <w:rsid w:val="00F46328"/>
    <w:rsid w:val="00F46E04"/>
    <w:rsid w:val="00F52D82"/>
    <w:rsid w:val="00F53CDD"/>
    <w:rsid w:val="00F604AF"/>
    <w:rsid w:val="00F609F5"/>
    <w:rsid w:val="00F60D11"/>
    <w:rsid w:val="00F623F2"/>
    <w:rsid w:val="00F66FE5"/>
    <w:rsid w:val="00F67B3A"/>
    <w:rsid w:val="00F743D8"/>
    <w:rsid w:val="00F74BE8"/>
    <w:rsid w:val="00F830C7"/>
    <w:rsid w:val="00F87289"/>
    <w:rsid w:val="00F91CD4"/>
    <w:rsid w:val="00FA3020"/>
    <w:rsid w:val="00FA5C30"/>
    <w:rsid w:val="00FB41D2"/>
    <w:rsid w:val="00FB63BD"/>
    <w:rsid w:val="00FB73F1"/>
    <w:rsid w:val="00FC23BC"/>
    <w:rsid w:val="00FC4767"/>
    <w:rsid w:val="00FD6FD4"/>
    <w:rsid w:val="00FD7B2A"/>
    <w:rsid w:val="00FE220A"/>
    <w:rsid w:val="00FE393C"/>
    <w:rsid w:val="00FF0471"/>
    <w:rsid w:val="00FF0EC6"/>
    <w:rsid w:val="00FF39B8"/>
    <w:rsid w:val="00FF76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3E3"/>
  </w:style>
  <w:style w:type="paragraph" w:styleId="Heading1">
    <w:name w:val="heading 1"/>
    <w:basedOn w:val="Normal"/>
    <w:next w:val="Normal"/>
    <w:qFormat/>
    <w:rsid w:val="00BB23E3"/>
    <w:pPr>
      <w:keepNext/>
      <w:jc w:val="both"/>
      <w:outlineLvl w:val="0"/>
    </w:pPr>
    <w:rPr>
      <w:sz w:val="24"/>
    </w:rPr>
  </w:style>
  <w:style w:type="paragraph" w:styleId="Heading2">
    <w:name w:val="heading 2"/>
    <w:basedOn w:val="Normal"/>
    <w:next w:val="Normal"/>
    <w:qFormat/>
    <w:rsid w:val="00BB23E3"/>
    <w:pPr>
      <w:keepNext/>
      <w:outlineLvl w:val="1"/>
    </w:pPr>
    <w:rPr>
      <w:u w:val="single"/>
    </w:rPr>
  </w:style>
  <w:style w:type="paragraph" w:styleId="Heading3">
    <w:name w:val="heading 3"/>
    <w:basedOn w:val="Normal"/>
    <w:next w:val="Normal"/>
    <w:qFormat/>
    <w:rsid w:val="00BB23E3"/>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23E3"/>
    <w:pPr>
      <w:tabs>
        <w:tab w:val="center" w:pos="4320"/>
        <w:tab w:val="right" w:pos="8640"/>
      </w:tabs>
    </w:pPr>
  </w:style>
  <w:style w:type="paragraph" w:styleId="Footer">
    <w:name w:val="footer"/>
    <w:basedOn w:val="Normal"/>
    <w:rsid w:val="00BB23E3"/>
    <w:pPr>
      <w:tabs>
        <w:tab w:val="center" w:pos="4320"/>
        <w:tab w:val="right" w:pos="8640"/>
      </w:tabs>
    </w:pPr>
  </w:style>
  <w:style w:type="character" w:styleId="PageNumber">
    <w:name w:val="page number"/>
    <w:basedOn w:val="DefaultParagraphFont"/>
    <w:rsid w:val="00BB23E3"/>
  </w:style>
  <w:style w:type="paragraph" w:styleId="BodyText">
    <w:name w:val="Body Text"/>
    <w:basedOn w:val="Normal"/>
    <w:rsid w:val="00BB23E3"/>
    <w:pPr>
      <w:pBdr>
        <w:left w:val="double" w:sz="6" w:space="10" w:color="auto"/>
      </w:pBdr>
      <w:tabs>
        <w:tab w:val="left" w:pos="720"/>
        <w:tab w:val="left" w:pos="1440"/>
      </w:tabs>
      <w:spacing w:line="480" w:lineRule="auto"/>
    </w:pPr>
    <w:rPr>
      <w:sz w:val="24"/>
    </w:rPr>
  </w:style>
  <w:style w:type="paragraph" w:styleId="BodyTextIndent2">
    <w:name w:val="Body Text Indent 2"/>
    <w:basedOn w:val="Normal"/>
    <w:rsid w:val="00BB23E3"/>
    <w:pPr>
      <w:pBdr>
        <w:left w:val="double" w:sz="6" w:space="10" w:color="auto"/>
      </w:pBdr>
      <w:ind w:left="720" w:hanging="720"/>
    </w:pPr>
    <w:rPr>
      <w:sz w:val="24"/>
    </w:rPr>
  </w:style>
  <w:style w:type="paragraph" w:styleId="BodyText2">
    <w:name w:val="Body Text 2"/>
    <w:basedOn w:val="Normal"/>
    <w:link w:val="BodyText2Char"/>
    <w:rsid w:val="00BB23E3"/>
    <w:pPr>
      <w:jc w:val="both"/>
    </w:pPr>
    <w:rPr>
      <w:sz w:val="24"/>
    </w:rPr>
  </w:style>
  <w:style w:type="paragraph" w:styleId="BodyTextIndent">
    <w:name w:val="Body Text Indent"/>
    <w:basedOn w:val="Normal"/>
    <w:rsid w:val="00BB23E3"/>
    <w:pPr>
      <w:tabs>
        <w:tab w:val="left" w:pos="1440"/>
      </w:tabs>
      <w:ind w:firstLine="720"/>
      <w:jc w:val="both"/>
    </w:pPr>
    <w:rPr>
      <w:sz w:val="24"/>
    </w:rPr>
  </w:style>
  <w:style w:type="paragraph" w:styleId="BodyText3">
    <w:name w:val="Body Text 3"/>
    <w:basedOn w:val="Normal"/>
    <w:rsid w:val="00BB23E3"/>
    <w:rPr>
      <w:sz w:val="24"/>
    </w:rPr>
  </w:style>
  <w:style w:type="paragraph" w:styleId="BodyTextIndent3">
    <w:name w:val="Body Text Indent 3"/>
    <w:basedOn w:val="Normal"/>
    <w:rsid w:val="00BB23E3"/>
    <w:pPr>
      <w:ind w:left="1440" w:hanging="720"/>
      <w:jc w:val="both"/>
    </w:pPr>
    <w:rPr>
      <w:sz w:val="24"/>
    </w:rPr>
  </w:style>
  <w:style w:type="paragraph" w:customStyle="1" w:styleId="Items1">
    <w:name w:val="Items 1"/>
    <w:basedOn w:val="Normal"/>
    <w:rsid w:val="002C67B6"/>
    <w:pPr>
      <w:autoSpaceDE w:val="0"/>
      <w:autoSpaceDN w:val="0"/>
      <w:ind w:left="720" w:hanging="360"/>
      <w:jc w:val="both"/>
    </w:pPr>
    <w:rPr>
      <w:rFonts w:ascii="Helvetica" w:hAnsi="Helvetica" w:cs="Helvetica"/>
      <w:noProof/>
      <w:sz w:val="24"/>
      <w:szCs w:val="24"/>
    </w:rPr>
  </w:style>
  <w:style w:type="character" w:styleId="LineNumber">
    <w:name w:val="line number"/>
    <w:basedOn w:val="DefaultParagraphFont"/>
    <w:rsid w:val="002C67B6"/>
    <w:rPr>
      <w:rFonts w:ascii="Times New Roman" w:hAnsi="Times New Roman" w:cs="Times New Roman"/>
      <w:sz w:val="24"/>
      <w:szCs w:val="24"/>
    </w:rPr>
  </w:style>
  <w:style w:type="paragraph" w:styleId="BalloonText">
    <w:name w:val="Balloon Text"/>
    <w:basedOn w:val="Normal"/>
    <w:link w:val="BalloonTextChar"/>
    <w:rsid w:val="00D2493D"/>
    <w:rPr>
      <w:rFonts w:ascii="Tahoma" w:hAnsi="Tahoma" w:cs="Tahoma"/>
      <w:sz w:val="16"/>
      <w:szCs w:val="16"/>
    </w:rPr>
  </w:style>
  <w:style w:type="character" w:customStyle="1" w:styleId="BalloonTextChar">
    <w:name w:val="Balloon Text Char"/>
    <w:basedOn w:val="DefaultParagraphFont"/>
    <w:link w:val="BalloonText"/>
    <w:rsid w:val="00D2493D"/>
    <w:rPr>
      <w:rFonts w:ascii="Tahoma" w:hAnsi="Tahoma" w:cs="Tahoma"/>
      <w:sz w:val="16"/>
      <w:szCs w:val="16"/>
    </w:rPr>
  </w:style>
  <w:style w:type="paragraph" w:styleId="ListParagraph">
    <w:name w:val="List Paragraph"/>
    <w:basedOn w:val="Normal"/>
    <w:uiPriority w:val="34"/>
    <w:qFormat/>
    <w:rsid w:val="00E1037B"/>
    <w:pPr>
      <w:ind w:left="720"/>
      <w:contextualSpacing/>
    </w:pPr>
    <w:rPr>
      <w:sz w:val="24"/>
      <w:szCs w:val="24"/>
    </w:rPr>
  </w:style>
  <w:style w:type="paragraph" w:styleId="FootnoteText">
    <w:name w:val="footnote text"/>
    <w:basedOn w:val="Normal"/>
    <w:link w:val="FootnoteTextChar"/>
    <w:rsid w:val="00351550"/>
  </w:style>
  <w:style w:type="character" w:customStyle="1" w:styleId="FootnoteTextChar">
    <w:name w:val="Footnote Text Char"/>
    <w:basedOn w:val="DefaultParagraphFont"/>
    <w:link w:val="FootnoteText"/>
    <w:rsid w:val="00351550"/>
  </w:style>
  <w:style w:type="character" w:styleId="FootnoteReference">
    <w:name w:val="footnote reference"/>
    <w:basedOn w:val="DefaultParagraphFont"/>
    <w:rsid w:val="00351550"/>
    <w:rPr>
      <w:vertAlign w:val="superscript"/>
    </w:rPr>
  </w:style>
  <w:style w:type="paragraph" w:styleId="EndnoteText">
    <w:name w:val="endnote text"/>
    <w:basedOn w:val="Normal"/>
    <w:link w:val="EndnoteTextChar"/>
    <w:rsid w:val="00A4498A"/>
  </w:style>
  <w:style w:type="character" w:customStyle="1" w:styleId="EndnoteTextChar">
    <w:name w:val="Endnote Text Char"/>
    <w:basedOn w:val="DefaultParagraphFont"/>
    <w:link w:val="EndnoteText"/>
    <w:rsid w:val="00A4498A"/>
  </w:style>
  <w:style w:type="character" w:styleId="EndnoteReference">
    <w:name w:val="endnote reference"/>
    <w:basedOn w:val="DefaultParagraphFont"/>
    <w:rsid w:val="00A4498A"/>
    <w:rPr>
      <w:vertAlign w:val="superscript"/>
    </w:rPr>
  </w:style>
  <w:style w:type="paragraph" w:styleId="NoSpacing">
    <w:name w:val="No Spacing"/>
    <w:uiPriority w:val="1"/>
    <w:qFormat/>
    <w:rsid w:val="00A47591"/>
    <w:rPr>
      <w:rFonts w:ascii="Calibri" w:eastAsia="Calibri" w:hAnsi="Calibri"/>
      <w:sz w:val="22"/>
      <w:szCs w:val="22"/>
    </w:rPr>
  </w:style>
  <w:style w:type="character" w:styleId="CommentReference">
    <w:name w:val="annotation reference"/>
    <w:basedOn w:val="DefaultParagraphFont"/>
    <w:rsid w:val="001618EE"/>
    <w:rPr>
      <w:sz w:val="16"/>
      <w:szCs w:val="16"/>
    </w:rPr>
  </w:style>
  <w:style w:type="paragraph" w:styleId="CommentText">
    <w:name w:val="annotation text"/>
    <w:basedOn w:val="Normal"/>
    <w:link w:val="CommentTextChar"/>
    <w:rsid w:val="001618EE"/>
  </w:style>
  <w:style w:type="character" w:customStyle="1" w:styleId="CommentTextChar">
    <w:name w:val="Comment Text Char"/>
    <w:basedOn w:val="DefaultParagraphFont"/>
    <w:link w:val="CommentText"/>
    <w:rsid w:val="001618EE"/>
  </w:style>
  <w:style w:type="paragraph" w:styleId="CommentSubject">
    <w:name w:val="annotation subject"/>
    <w:basedOn w:val="CommentText"/>
    <w:next w:val="CommentText"/>
    <w:link w:val="CommentSubjectChar"/>
    <w:rsid w:val="001618EE"/>
    <w:rPr>
      <w:b/>
      <w:bCs/>
    </w:rPr>
  </w:style>
  <w:style w:type="character" w:customStyle="1" w:styleId="CommentSubjectChar">
    <w:name w:val="Comment Subject Char"/>
    <w:basedOn w:val="CommentTextChar"/>
    <w:link w:val="CommentSubject"/>
    <w:rsid w:val="001618EE"/>
    <w:rPr>
      <w:b/>
      <w:bCs/>
    </w:rPr>
  </w:style>
  <w:style w:type="character" w:styleId="Hyperlink">
    <w:name w:val="Hyperlink"/>
    <w:basedOn w:val="DefaultParagraphFont"/>
    <w:rsid w:val="005479BD"/>
    <w:rPr>
      <w:color w:val="0000FF" w:themeColor="hyperlink"/>
      <w:u w:val="single"/>
    </w:rPr>
  </w:style>
  <w:style w:type="character" w:customStyle="1" w:styleId="BodyText2Char">
    <w:name w:val="Body Text 2 Char"/>
    <w:basedOn w:val="DefaultParagraphFont"/>
    <w:link w:val="BodyText2"/>
    <w:rsid w:val="00293E7F"/>
    <w:rPr>
      <w:sz w:val="24"/>
    </w:rPr>
  </w:style>
</w:styles>
</file>

<file path=word/webSettings.xml><?xml version="1.0" encoding="utf-8"?>
<w:webSettings xmlns:r="http://schemas.openxmlformats.org/officeDocument/2006/relationships" xmlns:w="http://schemas.openxmlformats.org/wordprocessingml/2006/main">
  <w:divs>
    <w:div w:id="1398939079">
      <w:bodyDiv w:val="1"/>
      <w:marLeft w:val="0"/>
      <w:marRight w:val="0"/>
      <w:marTop w:val="0"/>
      <w:marBottom w:val="0"/>
      <w:divBdr>
        <w:top w:val="none" w:sz="0" w:space="0" w:color="auto"/>
        <w:left w:val="none" w:sz="0" w:space="0" w:color="auto"/>
        <w:bottom w:val="none" w:sz="0" w:space="0" w:color="auto"/>
        <w:right w:val="none" w:sz="0" w:space="0" w:color="auto"/>
      </w:divBdr>
    </w:div>
    <w:div w:id="20448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nda.gervais@avistacorp.com"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a.gervais@avistacorp.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n.johnson@avistacorp.com"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9BA13D01DDD24999BDDAC28CCB2DC4" ma:contentTypeVersion="175" ma:contentTypeDescription="" ma:contentTypeScope="" ma:versionID="202099aefd3de84ef18240e57366978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2014-08-07T07:00:00+00:00</OpenedDate>
    <Date1 xmlns="dc463f71-b30c-4ab2-9473-d307f9d35888">2014-08-08T07:00:00+00:00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143081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330F823-67C0-4641-8939-D3946595D1F8}"/>
</file>

<file path=customXml/itemProps2.xml><?xml version="1.0" encoding="utf-8"?>
<ds:datastoreItem xmlns:ds="http://schemas.openxmlformats.org/officeDocument/2006/customXml" ds:itemID="{AEBC426A-61CD-4B29-905F-B5E5BAA481B7}"/>
</file>

<file path=customXml/itemProps3.xml><?xml version="1.0" encoding="utf-8"?>
<ds:datastoreItem xmlns:ds="http://schemas.openxmlformats.org/officeDocument/2006/customXml" ds:itemID="{B9F5A963-54B1-449A-8AF5-9C6C47593E76}"/>
</file>

<file path=customXml/itemProps4.xml><?xml version="1.0" encoding="utf-8"?>
<ds:datastoreItem xmlns:ds="http://schemas.openxmlformats.org/officeDocument/2006/customXml" ds:itemID="{930FDC3C-2B61-4E1B-B61A-42B4D06483E7}"/>
</file>

<file path=customXml/itemProps5.xml><?xml version="1.0" encoding="utf-8"?>
<ds:datastoreItem xmlns:ds="http://schemas.openxmlformats.org/officeDocument/2006/customXml" ds:itemID="{4934DB36-8945-469F-B386-AE1156F862AC}"/>
</file>

<file path=docProps/app.xml><?xml version="1.0" encoding="utf-8"?>
<Properties xmlns="http://schemas.openxmlformats.org/officeDocument/2006/extended-properties" xmlns:vt="http://schemas.openxmlformats.org/officeDocument/2006/docPropsVTypes">
  <Template>Normal</Template>
  <TotalTime>25</TotalTime>
  <Pages>5</Pages>
  <Words>1050</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Enclosed for filing is</vt:lpstr>
    </vt:vector>
  </TitlesOfParts>
  <Company>WWP</Company>
  <LinksUpToDate>false</LinksUpToDate>
  <CharactersWithSpaces>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Enclosed for filing is</dc:title>
  <dc:creator>judy johnson</dc:creator>
  <cp:lastModifiedBy>Linda Gervais</cp:lastModifiedBy>
  <cp:revision>11</cp:revision>
  <cp:lastPrinted>2013-05-30T21:03:00Z</cp:lastPrinted>
  <dcterms:created xsi:type="dcterms:W3CDTF">2014-08-07T15:51:00Z</dcterms:created>
  <dcterms:modified xsi:type="dcterms:W3CDTF">2014-08-08T16:30:00Z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0x0101006E56B4D1795A2E4DB2F0B01679ED314A00A69BA13D01DDD24999BDDAC28CCB2DC4</vt:lpwstr>
  </property>
  <property fmtid="{D5CDD505-2E9C-101B-9397-08002B2CF9AE}" pid="3" name="_docset_NoMedatataSyncRequired">
    <vt:lpwstr>False</vt:lpwstr>
  </property>
</Properties>
</file>