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0A" w:rsidRDefault="001F160A">
      <w:pPr>
        <w:jc w:val="center"/>
        <w:rPr>
          <w:b/>
          <w:bCs/>
          <w:sz w:val="36"/>
          <w:szCs w:val="36"/>
        </w:rPr>
      </w:pPr>
      <w:bookmarkStart w:id="0" w:name="_GoBack"/>
      <w:bookmarkEnd w:id="0"/>
      <w:r>
        <w:rPr>
          <w:b/>
          <w:bCs/>
          <w:sz w:val="36"/>
          <w:szCs w:val="36"/>
        </w:rPr>
        <w:t>SEA VIEW WATER L.L.C.</w:t>
      </w:r>
    </w:p>
    <w:p w:rsidR="001F160A" w:rsidRDefault="001F160A">
      <w:pPr>
        <w:jc w:val="center"/>
        <w:rPr>
          <w:b/>
          <w:bCs/>
          <w:sz w:val="32"/>
          <w:szCs w:val="32"/>
        </w:rPr>
      </w:pPr>
      <w:r>
        <w:rPr>
          <w:b/>
          <w:bCs/>
          <w:sz w:val="32"/>
          <w:szCs w:val="32"/>
        </w:rPr>
        <w:t>ID # 77148Y</w:t>
      </w:r>
    </w:p>
    <w:p w:rsidR="001F160A" w:rsidRDefault="001F160A">
      <w:pPr>
        <w:jc w:val="center"/>
        <w:rPr>
          <w:b/>
          <w:bCs/>
          <w:sz w:val="28"/>
          <w:szCs w:val="28"/>
        </w:rPr>
      </w:pPr>
      <w:r>
        <w:rPr>
          <w:b/>
          <w:bCs/>
          <w:sz w:val="28"/>
          <w:szCs w:val="28"/>
        </w:rPr>
        <w:t>P.O. Box 1241</w:t>
      </w:r>
    </w:p>
    <w:p w:rsidR="001F160A" w:rsidRDefault="001F160A">
      <w:pPr>
        <w:jc w:val="center"/>
        <w:rPr>
          <w:b/>
          <w:bCs/>
          <w:sz w:val="28"/>
          <w:szCs w:val="28"/>
        </w:rPr>
      </w:pPr>
      <w:r>
        <w:rPr>
          <w:b/>
          <w:bCs/>
          <w:sz w:val="28"/>
          <w:szCs w:val="28"/>
        </w:rPr>
        <w:t>Mount Vernon, WA  98273</w:t>
      </w:r>
    </w:p>
    <w:p w:rsidR="001F160A" w:rsidRDefault="001F160A">
      <w:pPr>
        <w:jc w:val="center"/>
        <w:rPr>
          <w:b/>
          <w:bCs/>
          <w:sz w:val="28"/>
          <w:szCs w:val="28"/>
        </w:rPr>
      </w:pPr>
      <w:r>
        <w:rPr>
          <w:b/>
          <w:bCs/>
          <w:sz w:val="28"/>
          <w:szCs w:val="28"/>
        </w:rPr>
        <w:t>(360) 632-1049</w:t>
      </w:r>
    </w:p>
    <w:p w:rsidR="001F160A" w:rsidRDefault="001F160A">
      <w:pPr>
        <w:jc w:val="both"/>
        <w:rPr>
          <w:b/>
          <w:bCs/>
          <w:sz w:val="28"/>
          <w:szCs w:val="28"/>
        </w:rPr>
      </w:pPr>
    </w:p>
    <w:p w:rsidR="001F160A" w:rsidRDefault="001F160A">
      <w:pPr>
        <w:jc w:val="center"/>
        <w:rPr>
          <w:b/>
          <w:bCs/>
          <w:sz w:val="44"/>
          <w:szCs w:val="44"/>
        </w:rPr>
      </w:pPr>
      <w:r>
        <w:rPr>
          <w:b/>
          <w:bCs/>
          <w:sz w:val="44"/>
          <w:szCs w:val="44"/>
        </w:rPr>
        <w:t>IMPORTANT NOTICE</w:t>
      </w:r>
    </w:p>
    <w:p w:rsidR="001F160A" w:rsidRDefault="001F160A">
      <w:pPr>
        <w:jc w:val="both"/>
        <w:rPr>
          <w:b/>
          <w:bCs/>
          <w:sz w:val="40"/>
          <w:szCs w:val="40"/>
        </w:rPr>
      </w:pPr>
    </w:p>
    <w:p w:rsidR="001F160A" w:rsidRDefault="001F160A">
      <w:pPr>
        <w:jc w:val="both"/>
        <w:rPr>
          <w:sz w:val="28"/>
          <w:szCs w:val="28"/>
        </w:rPr>
      </w:pPr>
      <w:r>
        <w:rPr>
          <w:sz w:val="28"/>
          <w:szCs w:val="28"/>
        </w:rPr>
        <w:t>May 22, 2014</w:t>
      </w:r>
    </w:p>
    <w:p w:rsidR="001F160A" w:rsidRDefault="001F160A">
      <w:pPr>
        <w:jc w:val="both"/>
        <w:rPr>
          <w:sz w:val="28"/>
          <w:szCs w:val="28"/>
        </w:rPr>
      </w:pPr>
    </w:p>
    <w:p w:rsidR="001F160A" w:rsidRDefault="001F160A">
      <w:pPr>
        <w:jc w:val="both"/>
        <w:rPr>
          <w:sz w:val="28"/>
          <w:szCs w:val="28"/>
        </w:rPr>
      </w:pPr>
      <w:r>
        <w:rPr>
          <w:sz w:val="28"/>
          <w:szCs w:val="28"/>
        </w:rPr>
        <w:t xml:space="preserve">Sea View Water has asked the Washington Utilities and Transportation Commission to approve an application to increase rates. If approved, the new rates will become effective July 1, 2014. It is estimated this rate change could generate an additional $18,000 annually (a thirty-two percent increase), compared to the current rates. </w:t>
      </w:r>
    </w:p>
    <w:p w:rsidR="001F160A" w:rsidRDefault="001F160A">
      <w:pPr>
        <w:jc w:val="both"/>
        <w:rPr>
          <w:sz w:val="28"/>
          <w:szCs w:val="28"/>
        </w:rPr>
      </w:pPr>
    </w:p>
    <w:p w:rsidR="001F160A" w:rsidRDefault="001F160A">
      <w:pPr>
        <w:jc w:val="both"/>
        <w:rPr>
          <w:sz w:val="28"/>
          <w:szCs w:val="28"/>
        </w:rPr>
      </w:pPr>
      <w:r>
        <w:rPr>
          <w:sz w:val="28"/>
          <w:szCs w:val="28"/>
        </w:rPr>
        <w:t>Following is a comparison of the current and proposed rates:</w:t>
      </w:r>
    </w:p>
    <w:p w:rsidR="001F160A" w:rsidRDefault="001F160A">
      <w:pPr>
        <w:jc w:val="both"/>
        <w:rPr>
          <w:sz w:val="28"/>
          <w:szCs w:val="28"/>
        </w:rPr>
      </w:pPr>
    </w:p>
    <w:tbl>
      <w:tblPr>
        <w:tblW w:w="0" w:type="auto"/>
        <w:tblLayout w:type="fixed"/>
        <w:tblCellMar>
          <w:left w:w="180" w:type="dxa"/>
          <w:right w:w="180" w:type="dxa"/>
        </w:tblCellMar>
        <w:tblLook w:val="0000" w:firstRow="0" w:lastRow="0" w:firstColumn="0" w:lastColumn="0" w:noHBand="0" w:noVBand="0"/>
      </w:tblPr>
      <w:tblGrid>
        <w:gridCol w:w="5017"/>
        <w:gridCol w:w="1468"/>
        <w:gridCol w:w="1488"/>
      </w:tblGrid>
      <w:tr w:rsidR="001F160A">
        <w:tblPrEx>
          <w:tblCellMar>
            <w:top w:w="0" w:type="dxa"/>
            <w:bottom w:w="0" w:type="dxa"/>
          </w:tblCellMar>
        </w:tblPrEx>
        <w:trPr>
          <w:trHeight w:val="755"/>
        </w:trPr>
        <w:tc>
          <w:tcPr>
            <w:tcW w:w="5017" w:type="dxa"/>
            <w:tcBorders>
              <w:top w:val="single" w:sz="8" w:space="0" w:color="auto"/>
              <w:left w:val="single" w:sz="8" w:space="0" w:color="auto"/>
              <w:bottom w:val="single" w:sz="8" w:space="0" w:color="auto"/>
              <w:right w:val="nil"/>
            </w:tcBorders>
            <w:vAlign w:val="center"/>
          </w:tcPr>
          <w:p w:rsidR="001F160A" w:rsidRDefault="001F160A">
            <w:pPr>
              <w:keepNext/>
              <w:jc w:val="center"/>
            </w:pPr>
            <w:r>
              <w:rPr>
                <w:b/>
                <w:bCs/>
                <w:sz w:val="32"/>
                <w:szCs w:val="32"/>
              </w:rPr>
              <w:t>Monthly Rates</w:t>
            </w:r>
          </w:p>
        </w:tc>
        <w:tc>
          <w:tcPr>
            <w:tcW w:w="1468" w:type="dxa"/>
            <w:tcBorders>
              <w:top w:val="single" w:sz="8" w:space="0" w:color="auto"/>
              <w:left w:val="single" w:sz="8" w:space="0" w:color="auto"/>
              <w:bottom w:val="single" w:sz="8" w:space="0" w:color="auto"/>
              <w:right w:val="nil"/>
            </w:tcBorders>
          </w:tcPr>
          <w:p w:rsidR="001F160A" w:rsidRDefault="001F160A">
            <w:pPr>
              <w:keepNext/>
              <w:jc w:val="center"/>
            </w:pPr>
            <w:r>
              <w:rPr>
                <w:b/>
                <w:bCs/>
                <w:sz w:val="28"/>
                <w:szCs w:val="28"/>
              </w:rPr>
              <w:t>Current Rate</w:t>
            </w:r>
          </w:p>
        </w:tc>
        <w:tc>
          <w:tcPr>
            <w:tcW w:w="1488" w:type="dxa"/>
            <w:tcBorders>
              <w:top w:val="single" w:sz="8" w:space="0" w:color="auto"/>
              <w:left w:val="single" w:sz="8" w:space="0" w:color="auto"/>
              <w:bottom w:val="single" w:sz="8" w:space="0" w:color="auto"/>
              <w:right w:val="single" w:sz="8" w:space="0" w:color="auto"/>
            </w:tcBorders>
          </w:tcPr>
          <w:p w:rsidR="001F160A" w:rsidRDefault="001F160A">
            <w:pPr>
              <w:keepNext/>
              <w:ind w:left="-96"/>
              <w:jc w:val="center"/>
            </w:pPr>
            <w:r>
              <w:rPr>
                <w:b/>
                <w:bCs/>
                <w:sz w:val="28"/>
                <w:szCs w:val="28"/>
              </w:rPr>
              <w:t>Proposed Rate</w:t>
            </w:r>
          </w:p>
        </w:tc>
      </w:tr>
      <w:tr w:rsidR="001F160A">
        <w:tblPrEx>
          <w:tblCellMar>
            <w:top w:w="0" w:type="dxa"/>
            <w:bottom w:w="0" w:type="dxa"/>
          </w:tblCellMar>
        </w:tblPrEx>
        <w:trPr>
          <w:trHeight w:val="385"/>
        </w:trPr>
        <w:tc>
          <w:tcPr>
            <w:tcW w:w="5017"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Base Rate (zero allowance)</w:t>
            </w:r>
          </w:p>
        </w:tc>
        <w:tc>
          <w:tcPr>
            <w:tcW w:w="1468"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$13.00</w:t>
            </w:r>
          </w:p>
        </w:tc>
        <w:tc>
          <w:tcPr>
            <w:tcW w:w="1488" w:type="dxa"/>
            <w:tcBorders>
              <w:top w:val="single" w:sz="8" w:space="0" w:color="auto"/>
              <w:left w:val="single" w:sz="8" w:space="0" w:color="auto"/>
              <w:bottom w:val="single" w:sz="8" w:space="0" w:color="auto"/>
              <w:right w:val="single" w:sz="8" w:space="0" w:color="auto"/>
            </w:tcBorders>
            <w:vAlign w:val="center"/>
          </w:tcPr>
          <w:p w:rsidR="001F160A" w:rsidRDefault="001F160A">
            <w:pPr>
              <w:jc w:val="center"/>
            </w:pPr>
            <w:r>
              <w:rPr>
                <w:sz w:val="28"/>
                <w:szCs w:val="28"/>
              </w:rPr>
              <w:t>$18.00</w:t>
            </w:r>
          </w:p>
        </w:tc>
      </w:tr>
      <w:tr w:rsidR="001F160A">
        <w:tblPrEx>
          <w:tblCellMar>
            <w:top w:w="0" w:type="dxa"/>
            <w:bottom w:w="0" w:type="dxa"/>
          </w:tblCellMar>
        </w:tblPrEx>
        <w:trPr>
          <w:trHeight w:val="370"/>
        </w:trPr>
        <w:tc>
          <w:tcPr>
            <w:tcW w:w="5017"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0-4,000 gallons per 1,000 gallon</w:t>
            </w:r>
          </w:p>
        </w:tc>
        <w:tc>
          <w:tcPr>
            <w:tcW w:w="1468"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$2.50</w:t>
            </w:r>
          </w:p>
        </w:tc>
        <w:tc>
          <w:tcPr>
            <w:tcW w:w="1488" w:type="dxa"/>
            <w:tcBorders>
              <w:top w:val="single" w:sz="8" w:space="0" w:color="auto"/>
              <w:left w:val="single" w:sz="8" w:space="0" w:color="auto"/>
              <w:bottom w:val="single" w:sz="8" w:space="0" w:color="auto"/>
              <w:right w:val="single" w:sz="8" w:space="0" w:color="auto"/>
            </w:tcBorders>
            <w:vAlign w:val="center"/>
          </w:tcPr>
          <w:p w:rsidR="001F160A" w:rsidRDefault="001F160A">
            <w:pPr>
              <w:jc w:val="center"/>
            </w:pPr>
            <w:r>
              <w:rPr>
                <w:sz w:val="28"/>
                <w:szCs w:val="28"/>
              </w:rPr>
              <w:t>$3.20</w:t>
            </w:r>
          </w:p>
        </w:tc>
      </w:tr>
      <w:tr w:rsidR="001F160A">
        <w:tblPrEx>
          <w:tblCellMar>
            <w:top w:w="0" w:type="dxa"/>
            <w:bottom w:w="0" w:type="dxa"/>
          </w:tblCellMar>
        </w:tblPrEx>
        <w:trPr>
          <w:trHeight w:val="370"/>
        </w:trPr>
        <w:tc>
          <w:tcPr>
            <w:tcW w:w="5017"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4,001-8,000 gallons per 1,000 gallon</w:t>
            </w:r>
          </w:p>
        </w:tc>
        <w:tc>
          <w:tcPr>
            <w:tcW w:w="1468"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$3.00</w:t>
            </w:r>
          </w:p>
        </w:tc>
        <w:tc>
          <w:tcPr>
            <w:tcW w:w="1488" w:type="dxa"/>
            <w:tcBorders>
              <w:top w:val="single" w:sz="8" w:space="0" w:color="auto"/>
              <w:left w:val="single" w:sz="8" w:space="0" w:color="auto"/>
              <w:bottom w:val="single" w:sz="8" w:space="0" w:color="auto"/>
              <w:right w:val="single" w:sz="8" w:space="0" w:color="auto"/>
            </w:tcBorders>
            <w:vAlign w:val="center"/>
          </w:tcPr>
          <w:p w:rsidR="001F160A" w:rsidRDefault="001F160A">
            <w:pPr>
              <w:jc w:val="center"/>
            </w:pPr>
            <w:r>
              <w:rPr>
                <w:sz w:val="28"/>
                <w:szCs w:val="28"/>
              </w:rPr>
              <w:t>$3.70</w:t>
            </w:r>
          </w:p>
        </w:tc>
      </w:tr>
      <w:tr w:rsidR="001F160A">
        <w:tblPrEx>
          <w:tblCellMar>
            <w:top w:w="0" w:type="dxa"/>
            <w:bottom w:w="0" w:type="dxa"/>
          </w:tblCellMar>
        </w:tblPrEx>
        <w:trPr>
          <w:trHeight w:val="370"/>
        </w:trPr>
        <w:tc>
          <w:tcPr>
            <w:tcW w:w="5017"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Over 8,001 gallons per 1,000 gallons</w:t>
            </w:r>
          </w:p>
        </w:tc>
        <w:tc>
          <w:tcPr>
            <w:tcW w:w="1468" w:type="dxa"/>
            <w:tcBorders>
              <w:top w:val="single" w:sz="8" w:space="0" w:color="auto"/>
              <w:left w:val="single" w:sz="8" w:space="0" w:color="auto"/>
              <w:bottom w:val="single" w:sz="8" w:space="0" w:color="auto"/>
              <w:right w:val="nil"/>
            </w:tcBorders>
            <w:vAlign w:val="center"/>
          </w:tcPr>
          <w:p w:rsidR="001F160A" w:rsidRDefault="001F160A">
            <w:pPr>
              <w:jc w:val="center"/>
            </w:pPr>
            <w:r>
              <w:rPr>
                <w:sz w:val="28"/>
                <w:szCs w:val="28"/>
              </w:rPr>
              <w:t>$4.00</w:t>
            </w:r>
          </w:p>
        </w:tc>
        <w:tc>
          <w:tcPr>
            <w:tcW w:w="1488" w:type="dxa"/>
            <w:tcBorders>
              <w:top w:val="single" w:sz="8" w:space="0" w:color="auto"/>
              <w:left w:val="single" w:sz="8" w:space="0" w:color="auto"/>
              <w:bottom w:val="single" w:sz="8" w:space="0" w:color="auto"/>
              <w:right w:val="single" w:sz="8" w:space="0" w:color="auto"/>
            </w:tcBorders>
            <w:vAlign w:val="center"/>
          </w:tcPr>
          <w:p w:rsidR="001F160A" w:rsidRDefault="001F160A">
            <w:pPr>
              <w:jc w:val="center"/>
            </w:pPr>
            <w:r>
              <w:rPr>
                <w:sz w:val="28"/>
                <w:szCs w:val="28"/>
              </w:rPr>
              <w:t>$4.70</w:t>
            </w:r>
          </w:p>
        </w:tc>
      </w:tr>
    </w:tbl>
    <w:p w:rsidR="001F160A" w:rsidRDefault="001F160A">
      <w:pPr>
        <w:overflowPunct/>
        <w:autoSpaceDE w:val="0"/>
        <w:autoSpaceDN w:val="0"/>
        <w:rPr>
          <w:sz w:val="28"/>
          <w:szCs w:val="28"/>
        </w:rPr>
      </w:pPr>
    </w:p>
    <w:p w:rsidR="001F160A" w:rsidRDefault="001F160A">
      <w:pPr>
        <w:rPr>
          <w:sz w:val="28"/>
          <w:szCs w:val="28"/>
        </w:rPr>
      </w:pPr>
    </w:p>
    <w:p w:rsidR="001F160A" w:rsidRDefault="001F160A">
      <w:pPr>
        <w:jc w:val="both"/>
        <w:rPr>
          <w:sz w:val="28"/>
          <w:szCs w:val="28"/>
        </w:rPr>
      </w:pPr>
    </w:p>
    <w:p w:rsidR="001F160A" w:rsidRDefault="001F160A">
      <w:pPr>
        <w:jc w:val="both"/>
        <w:rPr>
          <w:sz w:val="28"/>
          <w:szCs w:val="28"/>
        </w:rPr>
      </w:pPr>
      <w:r>
        <w:rPr>
          <w:sz w:val="28"/>
          <w:szCs w:val="28"/>
        </w:rPr>
        <w:t>Current rates have been in effect since 2008. The average customer, using 5,000 gallons per month, will see a monthly increase of about $8.50.</w:t>
      </w:r>
    </w:p>
    <w:p w:rsidR="001F160A" w:rsidRDefault="001F160A">
      <w:pPr>
        <w:jc w:val="both"/>
        <w:rPr>
          <w:sz w:val="28"/>
          <w:szCs w:val="28"/>
        </w:rPr>
      </w:pPr>
    </w:p>
    <w:p w:rsidR="001F160A" w:rsidRDefault="001F160A">
      <w:pPr>
        <w:jc w:val="both"/>
        <w:rPr>
          <w:sz w:val="28"/>
          <w:szCs w:val="28"/>
        </w:rPr>
      </w:pPr>
      <w:r>
        <w:rPr>
          <w:sz w:val="28"/>
          <w:szCs w:val="28"/>
        </w:rPr>
        <w:t>The change in the rates is requested to help fund Sea View Water operation costs, which have risen gradually, as well as previous capital expenditures. Keeping the base rate at nearly half of the revenues helps even out the seasonal fluctuations. The increase in usage charges is approximately proportional to the present rates. It has been our experience that the tiered usage charges encourage water conservation.</w:t>
      </w:r>
    </w:p>
    <w:p w:rsidR="001F160A" w:rsidRDefault="001F160A">
      <w:pPr>
        <w:jc w:val="both"/>
        <w:rPr>
          <w:sz w:val="28"/>
          <w:szCs w:val="28"/>
        </w:rPr>
      </w:pPr>
    </w:p>
    <w:p w:rsidR="001F160A" w:rsidRDefault="001F160A">
      <w:pPr>
        <w:jc w:val="both"/>
        <w:rPr>
          <w:sz w:val="28"/>
          <w:szCs w:val="28"/>
        </w:rPr>
      </w:pPr>
      <w:r>
        <w:rPr>
          <w:sz w:val="28"/>
          <w:szCs w:val="28"/>
        </w:rPr>
        <w:t xml:space="preserve">Sea View Water system began operating in 1969 and most of the infrastructure is over forty-five years old. As the system ages, more maintenance and repairs are required.  During the last five years we have replaced valves in the distribution </w:t>
      </w:r>
      <w:r>
        <w:rPr>
          <w:sz w:val="28"/>
          <w:szCs w:val="28"/>
        </w:rPr>
        <w:lastRenderedPageBreak/>
        <w:t xml:space="preserve">system, filter media, an electrical control panel in the #1 pump house, and a fire hydrant. We have found that some periodic maintenance, for example, cleaning the water storage reservoirs, needs to be done more frequently. Water meters and meter boxes are being replaced every year. The gradual rise in the prices of our supplies is also a factor contributing to the need for this rate increase.  </w:t>
      </w:r>
    </w:p>
    <w:p w:rsidR="001F160A" w:rsidRDefault="001F160A">
      <w:pPr>
        <w:jc w:val="both"/>
        <w:rPr>
          <w:sz w:val="28"/>
          <w:szCs w:val="28"/>
        </w:rPr>
      </w:pPr>
    </w:p>
    <w:p w:rsidR="001F160A" w:rsidRDefault="001F160A">
      <w:pPr>
        <w:jc w:val="both"/>
        <w:rPr>
          <w:sz w:val="28"/>
          <w:szCs w:val="28"/>
        </w:rPr>
      </w:pPr>
      <w:r>
        <w:rPr>
          <w:sz w:val="28"/>
          <w:szCs w:val="28"/>
        </w:rPr>
        <w:t>The practice of billing in arrears every two months will be continued. Meters will be read within a week before or after the end of February, April, June, August, October and December. Bills will be mailed within a week after the meters are read.</w:t>
      </w:r>
    </w:p>
    <w:p w:rsidR="001F160A" w:rsidRDefault="001F160A">
      <w:pPr>
        <w:jc w:val="both"/>
        <w:rPr>
          <w:sz w:val="28"/>
          <w:szCs w:val="28"/>
        </w:rPr>
      </w:pPr>
    </w:p>
    <w:p w:rsidR="001F160A" w:rsidRDefault="001F160A">
      <w:pPr>
        <w:jc w:val="both"/>
        <w:rPr>
          <w:sz w:val="28"/>
          <w:szCs w:val="28"/>
        </w:rPr>
      </w:pPr>
      <w:r>
        <w:rPr>
          <w:sz w:val="28"/>
          <w:szCs w:val="28"/>
        </w:rPr>
        <w:t xml:space="preserve">If you have any questions about the filing and how it will affect you, please call Sea View Water at (360) 632-1049 or E-mail:  </w:t>
      </w:r>
      <w:hyperlink r:id="rId7" w:history="1">
        <w:r>
          <w:rPr>
            <w:color w:val="0000FF"/>
            <w:sz w:val="28"/>
            <w:szCs w:val="28"/>
            <w:u w:val="single"/>
          </w:rPr>
          <w:t>seaviewwater@yahoo.com</w:t>
        </w:r>
      </w:hyperlink>
      <w:r>
        <w:rPr>
          <w:sz w:val="28"/>
          <w:szCs w:val="28"/>
        </w:rPr>
        <w:t xml:space="preserve">.  </w:t>
      </w:r>
    </w:p>
    <w:p w:rsidR="001F160A" w:rsidRDefault="001F160A">
      <w:pPr>
        <w:jc w:val="both"/>
        <w:rPr>
          <w:sz w:val="28"/>
          <w:szCs w:val="28"/>
        </w:rPr>
      </w:pPr>
    </w:p>
    <w:p w:rsidR="001F160A" w:rsidRDefault="001F160A">
      <w:pPr>
        <w:rPr>
          <w:sz w:val="28"/>
          <w:szCs w:val="28"/>
        </w:rPr>
      </w:pPr>
      <w:r>
        <w:rPr>
          <w:sz w:val="28"/>
          <w:szCs w:val="28"/>
        </w:rPr>
        <w:t xml:space="preserve">The commission has the authority to set final rates that may be lower or higher than the company’s request, depending on the outcome of its investigation. You can comment by using the “Submit a Comment” feature at the commission’s web site, at </w:t>
      </w:r>
      <w:hyperlink r:id="rId8" w:history="1">
        <w:r>
          <w:rPr>
            <w:color w:val="0000FF"/>
            <w:sz w:val="28"/>
            <w:szCs w:val="28"/>
            <w:u w:val="single"/>
          </w:rPr>
          <w:t>utc.wa.gov</w:t>
        </w:r>
      </w:hyperlink>
      <w:r>
        <w:rPr>
          <w:sz w:val="28"/>
          <w:szCs w:val="28"/>
        </w:rPr>
        <w:t xml:space="preserve">, or by using the contact information below. Commission staff will make a recommendation to the commissioners at an open meeting in Olympia, which is scheduled for 9:30 a.m. on June 26, 2014. You will have an opportunity to comment in person at this meeting. The UTC is committed to providing reasonable accommodation to participants with disabilities. If you need reasonable accommodation, please contact the commission at (360) 664-1132 or </w:t>
      </w:r>
      <w:hyperlink r:id="rId9" w:history="1">
        <w:r>
          <w:rPr>
            <w:color w:val="0000FF"/>
            <w:sz w:val="28"/>
            <w:szCs w:val="28"/>
            <w:u w:val="single"/>
          </w:rPr>
          <w:t>human_resources@utc.wa.gov</w:t>
        </w:r>
      </w:hyperlink>
      <w:r>
        <w:rPr>
          <w:sz w:val="28"/>
          <w:szCs w:val="28"/>
        </w:rPr>
        <w:t xml:space="preserve">. </w:t>
      </w:r>
    </w:p>
    <w:p w:rsidR="001F160A" w:rsidRDefault="001F160A">
      <w:pPr>
        <w:rPr>
          <w:sz w:val="28"/>
          <w:szCs w:val="28"/>
        </w:rPr>
      </w:pPr>
    </w:p>
    <w:p w:rsidR="001F160A" w:rsidRDefault="001F160A">
      <w:pPr>
        <w:rPr>
          <w:sz w:val="28"/>
          <w:szCs w:val="28"/>
        </w:rPr>
      </w:pPr>
      <w:r>
        <w:rPr>
          <w:sz w:val="28"/>
          <w:szCs w:val="28"/>
        </w:rPr>
        <w:t xml:space="preserve">If you are unable to attend the open meeting, the commission has a bridge line which enables you to participate by telephone. Call 360-664-1234 the day before the open meeting for instructions and to sign in. </w:t>
      </w:r>
    </w:p>
    <w:p w:rsidR="001F160A" w:rsidRDefault="001F160A">
      <w:pPr>
        <w:rPr>
          <w:sz w:val="28"/>
          <w:szCs w:val="28"/>
        </w:rPr>
      </w:pPr>
      <w:r>
        <w:rPr>
          <w:sz w:val="28"/>
          <w:szCs w:val="28"/>
        </w:rPr>
        <w:t>Washington Utilities and Transportation Commission</w:t>
      </w:r>
    </w:p>
    <w:p w:rsidR="001F160A" w:rsidRDefault="001F160A">
      <w:pPr>
        <w:rPr>
          <w:sz w:val="28"/>
          <w:szCs w:val="28"/>
        </w:rPr>
      </w:pPr>
      <w:r>
        <w:rPr>
          <w:sz w:val="28"/>
          <w:szCs w:val="28"/>
        </w:rPr>
        <w:t>1300 S. Evergreen Park Drive SW</w:t>
      </w:r>
    </w:p>
    <w:p w:rsidR="001F160A" w:rsidRDefault="001F160A">
      <w:pPr>
        <w:rPr>
          <w:sz w:val="28"/>
          <w:szCs w:val="28"/>
        </w:rPr>
      </w:pPr>
      <w:r>
        <w:rPr>
          <w:sz w:val="28"/>
          <w:szCs w:val="28"/>
        </w:rPr>
        <w:t xml:space="preserve">P.O. Box 47250, Olympia, WA  98504-7250  </w:t>
      </w:r>
    </w:p>
    <w:p w:rsidR="001F160A" w:rsidRDefault="001F160A">
      <w:pPr>
        <w:rPr>
          <w:color w:val="0000FF"/>
          <w:sz w:val="28"/>
          <w:szCs w:val="28"/>
          <w:u w:val="single"/>
          <w:lang w:val="it-IT"/>
        </w:rPr>
      </w:pPr>
      <w:r>
        <w:rPr>
          <w:sz w:val="28"/>
          <w:szCs w:val="28"/>
          <w:lang w:val="it-IT"/>
        </w:rPr>
        <w:t xml:space="preserve">E-mail:  </w:t>
      </w:r>
      <w:hyperlink r:id="rId10" w:history="1">
        <w:r>
          <w:rPr>
            <w:color w:val="0000FF"/>
            <w:sz w:val="28"/>
            <w:szCs w:val="28"/>
            <w:u w:val="single"/>
            <w:lang w:val="it-IT"/>
          </w:rPr>
          <w:t>comments@utc.wa.gov</w:t>
        </w:r>
      </w:hyperlink>
    </w:p>
    <w:p w:rsidR="001F160A" w:rsidRDefault="001F160A">
      <w:pPr>
        <w:rPr>
          <w:sz w:val="28"/>
          <w:szCs w:val="28"/>
        </w:rPr>
      </w:pPr>
      <w:r>
        <w:rPr>
          <w:sz w:val="28"/>
          <w:szCs w:val="28"/>
        </w:rPr>
        <w:t>Telephone:  1-888-333-WUTC (9882)</w:t>
      </w:r>
    </w:p>
    <w:p w:rsidR="001F160A" w:rsidRDefault="001F160A">
      <w:pPr>
        <w:rPr>
          <w:sz w:val="28"/>
          <w:szCs w:val="28"/>
        </w:rPr>
      </w:pPr>
    </w:p>
    <w:p w:rsidR="001F160A" w:rsidRDefault="001F160A">
      <w:pPr>
        <w:rPr>
          <w:sz w:val="28"/>
          <w:szCs w:val="28"/>
        </w:rPr>
      </w:pPr>
    </w:p>
    <w:p w:rsidR="001F160A" w:rsidRDefault="001F160A">
      <w:pPr>
        <w:jc w:val="both"/>
        <w:rPr>
          <w:sz w:val="28"/>
          <w:szCs w:val="28"/>
        </w:rPr>
      </w:pPr>
      <w:r>
        <w:rPr>
          <w:sz w:val="28"/>
          <w:szCs w:val="28"/>
        </w:rPr>
        <w:tab/>
        <w:t>Sincerely,</w:t>
      </w:r>
    </w:p>
    <w:p w:rsidR="001F160A" w:rsidRDefault="001F160A">
      <w:pPr>
        <w:jc w:val="both"/>
        <w:rPr>
          <w:sz w:val="28"/>
          <w:szCs w:val="28"/>
        </w:rPr>
      </w:pPr>
    </w:p>
    <w:p w:rsidR="001F160A" w:rsidRDefault="001F160A">
      <w:pPr>
        <w:jc w:val="both"/>
        <w:rPr>
          <w:sz w:val="28"/>
          <w:szCs w:val="28"/>
        </w:rPr>
      </w:pPr>
    </w:p>
    <w:p w:rsidR="001F160A" w:rsidRDefault="001F160A">
      <w:pPr>
        <w:jc w:val="both"/>
        <w:rPr>
          <w:sz w:val="28"/>
          <w:szCs w:val="28"/>
        </w:rPr>
      </w:pPr>
    </w:p>
    <w:p w:rsidR="001F160A" w:rsidRDefault="001F160A">
      <w:pPr>
        <w:jc w:val="both"/>
      </w:pPr>
      <w:r>
        <w:rPr>
          <w:sz w:val="28"/>
          <w:szCs w:val="28"/>
        </w:rPr>
        <w:tab/>
        <w:t>JOHN MORGAN</w:t>
      </w:r>
      <w:r>
        <w:rPr>
          <w:sz w:val="28"/>
          <w:szCs w:val="28"/>
        </w:rPr>
        <w:tab/>
      </w:r>
      <w:r>
        <w:rPr>
          <w:sz w:val="28"/>
          <w:szCs w:val="28"/>
        </w:rPr>
        <w:tab/>
      </w:r>
      <w:r>
        <w:rPr>
          <w:sz w:val="28"/>
          <w:szCs w:val="28"/>
        </w:rPr>
        <w:tab/>
        <w:t>JOEL MARQUARDT</w:t>
      </w:r>
    </w:p>
    <w:sectPr w:rsidR="001F160A" w:rsidSect="001F160A">
      <w:headerReference w:type="default" r:id="rId11"/>
      <w:footerReference w:type="default" r:id="rId12"/>
      <w:pgSz w:w="12240" w:h="15840"/>
      <w:pgMar w:top="720" w:right="1440" w:bottom="720" w:left="1440" w:header="128" w:footer="12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05" w:rsidRDefault="00951605" w:rsidP="001F160A">
      <w:r>
        <w:separator/>
      </w:r>
    </w:p>
  </w:endnote>
  <w:endnote w:type="continuationSeparator" w:id="0">
    <w:p w:rsidR="00951605" w:rsidRDefault="00951605" w:rsidP="001F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0A" w:rsidRDefault="001F160A">
    <w:pPr>
      <w:tabs>
        <w:tab w:val="center" w:pos="4680"/>
        <w:tab w:val="right" w:pos="9360"/>
      </w:tabs>
      <w:rPr>
        <w:rFonts w:eastAsia="Times New Roman"/>
        <w:kern w:val="0"/>
      </w:rPr>
    </w:pPr>
  </w:p>
  <w:p w:rsidR="001F160A" w:rsidRDefault="001F160A">
    <w:pPr>
      <w:tabs>
        <w:tab w:val="center" w:pos="4680"/>
        <w:tab w:val="right" w:pos="9360"/>
      </w:tabs>
      <w:rPr>
        <w:rFonts w:eastAsia="Times New Roman"/>
        <w:kern w:val="0"/>
      </w:rPr>
    </w:pPr>
  </w:p>
  <w:p w:rsidR="001F160A" w:rsidRDefault="001F160A">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05" w:rsidRDefault="00951605" w:rsidP="001F160A">
      <w:r>
        <w:separator/>
      </w:r>
    </w:p>
  </w:footnote>
  <w:footnote w:type="continuationSeparator" w:id="0">
    <w:p w:rsidR="00951605" w:rsidRDefault="00951605" w:rsidP="001F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0A" w:rsidRDefault="001F160A">
    <w:pPr>
      <w:tabs>
        <w:tab w:val="center" w:pos="4680"/>
        <w:tab w:val="right" w:pos="9360"/>
      </w:tabs>
      <w:rPr>
        <w:rFonts w:eastAsia="Times New Roman"/>
        <w:kern w:val="0"/>
      </w:rPr>
    </w:pPr>
  </w:p>
  <w:p w:rsidR="001F160A" w:rsidRDefault="001F160A">
    <w:pPr>
      <w:tabs>
        <w:tab w:val="center" w:pos="4680"/>
        <w:tab w:val="right" w:pos="9360"/>
      </w:tabs>
      <w:rPr>
        <w:rFonts w:eastAsia="Times New Roman"/>
        <w:kern w:val="0"/>
      </w:rPr>
    </w:pPr>
  </w:p>
  <w:p w:rsidR="001F160A" w:rsidRDefault="001F160A">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F160A"/>
    <w:rsid w:val="001F160A"/>
    <w:rsid w:val="00951605"/>
    <w:rsid w:val="00F3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eaviewwater@yahoo.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comments@utc.wa.gov" TargetMode="External"/><Relationship Id="rId4" Type="http://schemas.openxmlformats.org/officeDocument/2006/relationships/webSettings" Target="webSettings.xml"/><Relationship Id="rId9" Type="http://schemas.openxmlformats.org/officeDocument/2006/relationships/hyperlink" Target="mailto:human_resources@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9D5045AEB0B344A95DD5F898ED108F" ma:contentTypeVersion="175" ma:contentTypeDescription="" ma:contentTypeScope="" ma:versionID="a363d5a47aced913c427b271ce372a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2014-05-23T07:00:00+00:00</OpenedDate>
    <Date1 xmlns="dc463f71-b30c-4ab2-9473-d307f9d35888">2014-05-23T07:00:00+00:00</Date1>
    <IsDocumentOrder xmlns="dc463f71-b30c-4ab2-9473-d307f9d35888" xsi:nil="true"/>
    <IsHighlyConfidential xmlns="dc463f71-b30c-4ab2-9473-d307f9d35888">false</IsHighlyConfidential>
    <CaseCompanyNames xmlns="dc463f71-b30c-4ab2-9473-d307f9d35888">Sea View Water, L.L.C.</CaseCompanyNames>
    <DocketNumber xmlns="dc463f71-b30c-4ab2-9473-d307f9d35888">141134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F28A4B-A508-4E01-917C-A7CDC63D8095}"/>
</file>

<file path=customXml/itemProps2.xml><?xml version="1.0" encoding="utf-8"?>
<ds:datastoreItem xmlns:ds="http://schemas.openxmlformats.org/officeDocument/2006/customXml" ds:itemID="{A385A1C3-A9A6-4F48-914D-DE5762387F8C}"/>
</file>

<file path=customXml/itemProps3.xml><?xml version="1.0" encoding="utf-8"?>
<ds:datastoreItem xmlns:ds="http://schemas.openxmlformats.org/officeDocument/2006/customXml" ds:itemID="{2B4010DD-09A4-42C9-A1BE-75D1A9F50BDD}"/>
</file>

<file path=customXml/itemProps4.xml><?xml version="1.0" encoding="utf-8"?>
<ds:datastoreItem xmlns:ds="http://schemas.openxmlformats.org/officeDocument/2006/customXml" ds:itemID="{B10A66F5-0D8E-4F03-B3A7-5D16631A0BBB}"/>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Snyder</dc:creator>
  <cp:lastModifiedBy>Jennifer Snyder</cp:lastModifiedBy>
  <cp:revision>2</cp:revision>
  <dcterms:created xsi:type="dcterms:W3CDTF">2014-05-23T22:58:00Z</dcterms:created>
  <dcterms:modified xsi:type="dcterms:W3CDTF">2014-05-23T22:58:00Z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0x0101006E56B4D1795A2E4DB2F0B01679ED314A00209D5045AEB0B344A95DD5F898ED108F</vt:lpwstr>
  </property>
  <property fmtid="{D5CDD505-2E9C-101B-9397-08002B2CF9AE}" pid="3" name="_docset_NoMedatataSyncRequired">
    <vt:lpwstr>False</vt:lpwstr>
  </property>
</Properties>
</file>