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2B9" w:rsidRDefault="000902B9" w:rsidP="000902B9">
      <w:pPr>
        <w:rPr>
          <w:rFonts w:ascii="MS Reference Sans Serif" w:hAnsi="MS Reference Sans Serif" w:cs="Microsoft Sans Serif"/>
          <w:sz w:val="72"/>
          <w:szCs w:val="72"/>
        </w:rPr>
      </w:pPr>
      <w:r>
        <w:rPr>
          <w:rFonts w:ascii="MS Reference Sans Serif" w:hAnsi="MS Reference Sans Serif" w:cs="Microsoft Sans Serif"/>
          <w:noProof/>
          <w:sz w:val="72"/>
          <w:szCs w:val="72"/>
        </w:rPr>
        <w:drawing>
          <wp:anchor distT="0" distB="0" distL="114300" distR="114300" simplePos="0" relativeHeight="251659264" behindDoc="1" locked="0" layoutInCell="1" allowOverlap="1">
            <wp:simplePos x="0" y="0"/>
            <wp:positionH relativeFrom="column">
              <wp:posOffset>15240</wp:posOffset>
            </wp:positionH>
            <wp:positionV relativeFrom="paragraph">
              <wp:posOffset>471805</wp:posOffset>
            </wp:positionV>
            <wp:extent cx="2207260" cy="1047750"/>
            <wp:effectExtent l="19050" t="0" r="2540" b="0"/>
            <wp:wrapTight wrapText="bothSides">
              <wp:wrapPolygon edited="0">
                <wp:start x="-186" y="0"/>
                <wp:lineTo x="-186" y="21207"/>
                <wp:lineTo x="21625" y="21207"/>
                <wp:lineTo x="21625" y="0"/>
                <wp:lineTo x="-186" y="0"/>
              </wp:wrapPolygon>
            </wp:wrapTight>
            <wp:docPr id="4" name="Picture 0" descr="UTC Log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 Logo 2008.jpg"/>
                    <pic:cNvPicPr/>
                  </pic:nvPicPr>
                  <pic:blipFill>
                    <a:blip r:embed="rId9" cstate="print"/>
                    <a:stretch>
                      <a:fillRect/>
                    </a:stretch>
                  </pic:blipFill>
                  <pic:spPr>
                    <a:xfrm>
                      <a:off x="0" y="0"/>
                      <a:ext cx="2207260" cy="1047750"/>
                    </a:xfrm>
                    <a:prstGeom prst="rect">
                      <a:avLst/>
                    </a:prstGeom>
                  </pic:spPr>
                </pic:pic>
              </a:graphicData>
            </a:graphic>
          </wp:anchor>
        </w:drawing>
      </w:r>
      <w:r w:rsidR="00625663">
        <w:rPr>
          <w:rFonts w:ascii="MS Reference Sans Serif" w:hAnsi="MS Reference Sans Serif" w:cs="Microsoft Sans Serif"/>
          <w:sz w:val="72"/>
          <w:szCs w:val="72"/>
        </w:rPr>
        <w:t xml:space="preserve"> </w:t>
      </w:r>
    </w:p>
    <w:p w:rsidR="000902B9" w:rsidRPr="00DB2BDA" w:rsidRDefault="000902B9" w:rsidP="000902B9">
      <w:pPr>
        <w:rPr>
          <w:rFonts w:ascii="MS Reference Sans Serif" w:hAnsi="MS Reference Sans Serif" w:cs="Microsoft Sans Serif"/>
        </w:rPr>
      </w:pPr>
    </w:p>
    <w:p w:rsidR="000902B9" w:rsidRPr="00DB2BDA" w:rsidRDefault="000902B9" w:rsidP="000902B9">
      <w:pPr>
        <w:rPr>
          <w:rFonts w:ascii="MS Reference Sans Serif" w:hAnsi="MS Reference Sans Serif" w:cs="Microsoft Sans Serif"/>
        </w:rPr>
      </w:pPr>
    </w:p>
    <w:p w:rsidR="000902B9" w:rsidRDefault="000902B9" w:rsidP="000902B9">
      <w:pPr>
        <w:rPr>
          <w:rFonts w:ascii="MS Reference Sans Serif" w:hAnsi="MS Reference Sans Serif" w:cs="Microsoft Sans Serif"/>
          <w:sz w:val="72"/>
          <w:szCs w:val="72"/>
        </w:rPr>
      </w:pPr>
    </w:p>
    <w:p w:rsidR="000902B9" w:rsidRDefault="000902B9" w:rsidP="000902B9">
      <w:pPr>
        <w:rPr>
          <w:rFonts w:ascii="MS Reference Sans Serif" w:hAnsi="MS Reference Sans Serif" w:cs="Microsoft Sans Serif"/>
          <w:sz w:val="72"/>
          <w:szCs w:val="72"/>
        </w:rPr>
      </w:pPr>
    </w:p>
    <w:p w:rsidR="000902B9" w:rsidRDefault="000902B9" w:rsidP="000902B9">
      <w:pPr>
        <w:rPr>
          <w:rFonts w:ascii="MS Reference Sans Serif" w:hAnsi="MS Reference Sans Serif" w:cs="Microsoft Sans Serif"/>
          <w:sz w:val="72"/>
          <w:szCs w:val="72"/>
        </w:rPr>
      </w:pPr>
    </w:p>
    <w:p w:rsidR="000902B9" w:rsidRDefault="000902B9" w:rsidP="000902B9">
      <w:pPr>
        <w:rPr>
          <w:rFonts w:ascii="MS Reference Sans Serif" w:hAnsi="MS Reference Sans Serif" w:cs="Microsoft Sans Serif"/>
          <w:sz w:val="72"/>
          <w:szCs w:val="72"/>
        </w:rPr>
      </w:pPr>
      <w:r w:rsidRPr="00DB2BDA">
        <w:rPr>
          <w:rFonts w:ascii="MS Reference Sans Serif" w:hAnsi="MS Reference Sans Serif" w:cs="Microsoft Sans Serif"/>
          <w:sz w:val="72"/>
          <w:szCs w:val="72"/>
        </w:rPr>
        <w:t>Investigation Report</w:t>
      </w:r>
    </w:p>
    <w:p w:rsidR="000902B9" w:rsidRPr="00DD5E8C" w:rsidRDefault="00B51901" w:rsidP="000902B9">
      <w:pPr>
        <w:rPr>
          <w:rFonts w:ascii="MS Reference Sans Serif" w:hAnsi="MS Reference Sans Serif" w:cs="Microsoft Sans Serif"/>
          <w:sz w:val="48"/>
          <w:szCs w:val="48"/>
        </w:rPr>
      </w:pPr>
      <w:r>
        <w:rPr>
          <w:rFonts w:ascii="MS Reference Sans Serif" w:hAnsi="MS Reference Sans Serif" w:cs="Microsoft Sans Serif"/>
          <w:sz w:val="48"/>
          <w:szCs w:val="48"/>
        </w:rPr>
        <w:t>Washington Water Supply</w:t>
      </w:r>
      <w:r w:rsidR="00EB6F76">
        <w:rPr>
          <w:rFonts w:ascii="MS Reference Sans Serif" w:hAnsi="MS Reference Sans Serif" w:cs="Microsoft Sans Serif"/>
          <w:sz w:val="48"/>
          <w:szCs w:val="48"/>
        </w:rPr>
        <w:t>, Inc.</w:t>
      </w:r>
    </w:p>
    <w:p w:rsidR="000902B9" w:rsidRPr="001C0A44" w:rsidRDefault="000902B9" w:rsidP="000902B9">
      <w:pPr>
        <w:rPr>
          <w:rFonts w:ascii="MS Reference Sans Serif" w:hAnsi="MS Reference Sans Serif" w:cs="Microsoft Sans Serif"/>
        </w:rPr>
      </w:pPr>
    </w:p>
    <w:p w:rsidR="00E42B80" w:rsidRDefault="000902B9" w:rsidP="000902B9">
      <w:pPr>
        <w:rPr>
          <w:rFonts w:ascii="MS Reference Sans Serif" w:hAnsi="MS Reference Sans Serif" w:cs="Microsoft Sans Serif"/>
          <w:sz w:val="32"/>
          <w:szCs w:val="32"/>
        </w:rPr>
      </w:pPr>
      <w:r>
        <w:rPr>
          <w:rFonts w:ascii="MS Reference Sans Serif" w:hAnsi="MS Reference Sans Serif" w:cs="Microsoft Sans Serif"/>
          <w:sz w:val="32"/>
          <w:szCs w:val="32"/>
        </w:rPr>
        <w:t>UW-</w:t>
      </w:r>
      <w:r w:rsidR="00072CEF">
        <w:rPr>
          <w:rFonts w:ascii="MS Reference Sans Serif" w:hAnsi="MS Reference Sans Serif" w:cs="Microsoft Sans Serif"/>
          <w:sz w:val="32"/>
          <w:szCs w:val="32"/>
        </w:rPr>
        <w:t>140598</w:t>
      </w: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p>
    <w:p w:rsidR="000902B9" w:rsidRPr="001C0A44" w:rsidRDefault="000902B9" w:rsidP="000902B9">
      <w:pPr>
        <w:rPr>
          <w:rFonts w:ascii="MS Reference Sans Serif" w:hAnsi="MS Reference Sans Serif" w:cs="Microsoft Sans Serif"/>
        </w:rPr>
      </w:pP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r w:rsidRPr="00DB2BDA">
        <w:rPr>
          <w:rFonts w:ascii="MS Reference Sans Serif" w:hAnsi="MS Reference Sans Serif" w:cs="Microsoft Sans Serif"/>
          <w:sz w:val="32"/>
          <w:szCs w:val="32"/>
        </w:rPr>
        <w:cr/>
      </w: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p>
    <w:p w:rsidR="000902B9" w:rsidRDefault="000902B9" w:rsidP="000902B9">
      <w:pPr>
        <w:rPr>
          <w:rFonts w:ascii="MS Reference Sans Serif" w:hAnsi="MS Reference Sans Serif" w:cs="Microsoft Sans Serif"/>
          <w:sz w:val="32"/>
          <w:szCs w:val="32"/>
        </w:rPr>
      </w:pPr>
    </w:p>
    <w:p w:rsidR="005F6CF1" w:rsidRDefault="006C77F5" w:rsidP="005F6CF1">
      <w:pPr>
        <w:spacing w:after="240"/>
        <w:rPr>
          <w:rFonts w:ascii="MS Reference Sans Serif" w:hAnsi="MS Reference Sans Serif" w:cs="Microsoft Sans Serif"/>
          <w:sz w:val="30"/>
          <w:szCs w:val="30"/>
        </w:rPr>
        <w:sectPr w:rsidR="005F6CF1" w:rsidSect="008F32E7">
          <w:footerReference w:type="default" r:id="rId10"/>
          <w:headerReference w:type="first" r:id="rId11"/>
          <w:pgSz w:w="12240" w:h="15840"/>
          <w:pgMar w:top="1440" w:right="1440" w:bottom="1440" w:left="1440" w:header="720" w:footer="720" w:gutter="0"/>
          <w:cols w:space="720"/>
          <w:titlePg/>
          <w:docGrid w:linePitch="360"/>
        </w:sectPr>
      </w:pPr>
      <w:r>
        <w:rPr>
          <w:rFonts w:ascii="MS Reference Sans Serif" w:hAnsi="MS Reference Sans Serif" w:cs="Microsoft Sans Serif"/>
          <w:sz w:val="30"/>
          <w:szCs w:val="30"/>
        </w:rPr>
        <w:t>Darren Tinnerstet</w:t>
      </w:r>
      <w:r w:rsidR="00EB6F76">
        <w:rPr>
          <w:rFonts w:ascii="MS Reference Sans Serif" w:hAnsi="MS Reference Sans Serif" w:cs="Microsoft Sans Serif"/>
          <w:sz w:val="30"/>
          <w:szCs w:val="30"/>
        </w:rPr>
        <w:tab/>
      </w:r>
      <w:r w:rsidR="000902B9">
        <w:rPr>
          <w:rFonts w:ascii="MS Reference Sans Serif" w:hAnsi="MS Reference Sans Serif" w:cs="Microsoft Sans Serif"/>
          <w:sz w:val="30"/>
          <w:szCs w:val="30"/>
        </w:rPr>
        <w:br/>
      </w:r>
      <w:r w:rsidR="005F6CF1">
        <w:rPr>
          <w:rFonts w:ascii="MS Reference Sans Serif" w:hAnsi="MS Reference Sans Serif" w:cs="Microsoft Sans Serif"/>
          <w:sz w:val="30"/>
          <w:szCs w:val="30"/>
        </w:rPr>
        <w:t>Compliance Investigations</w:t>
      </w:r>
      <w:r w:rsidR="005F6CF1">
        <w:rPr>
          <w:rFonts w:ascii="MS Reference Sans Serif" w:hAnsi="MS Reference Sans Serif" w:cs="Microsoft Sans Serif"/>
          <w:sz w:val="30"/>
          <w:szCs w:val="30"/>
        </w:rPr>
        <w:cr/>
      </w:r>
      <w:r>
        <w:rPr>
          <w:rFonts w:ascii="MS Reference Sans Serif" w:hAnsi="MS Reference Sans Serif" w:cs="Microsoft Sans Serif"/>
          <w:sz w:val="30"/>
          <w:szCs w:val="30"/>
        </w:rPr>
        <w:t>April 2014</w:t>
      </w:r>
      <w:r w:rsidR="000902B9" w:rsidRPr="001C0A44">
        <w:rPr>
          <w:rFonts w:ascii="MS Reference Sans Serif" w:hAnsi="MS Reference Sans Serif" w:cs="Microsoft Sans Serif"/>
          <w:sz w:val="30"/>
          <w:szCs w:val="30"/>
        </w:rPr>
        <w:cr/>
      </w:r>
    </w:p>
    <w:p w:rsidR="005F6CF1" w:rsidRPr="005F6CF1" w:rsidRDefault="005F6CF1" w:rsidP="005F6CF1">
      <w:pPr>
        <w:jc w:val="center"/>
        <w:rPr>
          <w:rFonts w:ascii="MS Reference Sans Serif" w:hAnsi="MS Reference Sans Serif" w:cs="Microsoft Sans Serif"/>
          <w:sz w:val="30"/>
          <w:szCs w:val="30"/>
        </w:rPr>
      </w:pPr>
      <w:r w:rsidRPr="005F6CF1">
        <w:rPr>
          <w:b/>
          <w:sz w:val="24"/>
        </w:rPr>
        <w:lastRenderedPageBreak/>
        <w:t>TABLE OF CONTENTS</w:t>
      </w:r>
    </w:p>
    <w:p w:rsidR="005F6CF1" w:rsidRPr="00594B55" w:rsidRDefault="005F6CF1" w:rsidP="005F6CF1">
      <w:pPr>
        <w:tabs>
          <w:tab w:val="right" w:leader="dot" w:pos="7920"/>
        </w:tabs>
        <w:spacing w:after="240"/>
        <w:rPr>
          <w:sz w:val="24"/>
        </w:rPr>
      </w:pPr>
    </w:p>
    <w:p w:rsidR="005F6CF1" w:rsidRPr="005F6CF1" w:rsidRDefault="005F6CF1" w:rsidP="005F6CF1">
      <w:pPr>
        <w:tabs>
          <w:tab w:val="right" w:leader="dot" w:pos="7920"/>
        </w:tabs>
        <w:spacing w:after="240"/>
        <w:rPr>
          <w:sz w:val="24"/>
        </w:rPr>
      </w:pPr>
      <w:r w:rsidRPr="00116463">
        <w:rPr>
          <w:sz w:val="24"/>
        </w:rPr>
        <w:t>Purpose, Scope, and Authority</w:t>
      </w:r>
      <w:r w:rsidRPr="00116463">
        <w:rPr>
          <w:sz w:val="24"/>
        </w:rPr>
        <w:tab/>
      </w:r>
      <w:r>
        <w:rPr>
          <w:sz w:val="24"/>
        </w:rPr>
        <w:t>2</w:t>
      </w:r>
    </w:p>
    <w:p w:rsidR="005F6CF1" w:rsidRPr="005F6CF1" w:rsidRDefault="005F6CF1" w:rsidP="005F6CF1">
      <w:pPr>
        <w:tabs>
          <w:tab w:val="right" w:leader="dot" w:pos="7920"/>
        </w:tabs>
        <w:spacing w:after="240"/>
        <w:rPr>
          <w:sz w:val="24"/>
        </w:rPr>
      </w:pPr>
      <w:r w:rsidRPr="00116463">
        <w:rPr>
          <w:sz w:val="24"/>
        </w:rPr>
        <w:t>Executive Summary</w:t>
      </w:r>
      <w:r w:rsidRPr="00116463">
        <w:rPr>
          <w:sz w:val="24"/>
        </w:rPr>
        <w:tab/>
      </w:r>
      <w:r>
        <w:rPr>
          <w:sz w:val="24"/>
        </w:rPr>
        <w:t>3</w:t>
      </w:r>
    </w:p>
    <w:p w:rsidR="005F6CF1" w:rsidRDefault="005F6CF1" w:rsidP="005F6CF1">
      <w:pPr>
        <w:tabs>
          <w:tab w:val="right" w:leader="dot" w:pos="7920"/>
        </w:tabs>
        <w:spacing w:after="240"/>
        <w:rPr>
          <w:sz w:val="24"/>
        </w:rPr>
      </w:pPr>
      <w:r w:rsidRPr="00116463">
        <w:rPr>
          <w:sz w:val="24"/>
        </w:rPr>
        <w:t>Background</w:t>
      </w:r>
      <w:r w:rsidRPr="00116463">
        <w:rPr>
          <w:sz w:val="24"/>
        </w:rPr>
        <w:tab/>
      </w:r>
      <w:r>
        <w:rPr>
          <w:sz w:val="24"/>
        </w:rPr>
        <w:t>4</w:t>
      </w:r>
    </w:p>
    <w:p w:rsidR="005F6CF1" w:rsidRDefault="005F6CF1" w:rsidP="005F6CF1">
      <w:pPr>
        <w:tabs>
          <w:tab w:val="right" w:leader="dot" w:pos="7920"/>
        </w:tabs>
        <w:spacing w:after="240"/>
        <w:rPr>
          <w:sz w:val="24"/>
        </w:rPr>
      </w:pPr>
      <w:r>
        <w:rPr>
          <w:sz w:val="24"/>
        </w:rPr>
        <w:t>Investigation</w:t>
      </w:r>
      <w:r w:rsidRPr="00116463">
        <w:rPr>
          <w:sz w:val="24"/>
        </w:rPr>
        <w:tab/>
      </w:r>
      <w:r>
        <w:rPr>
          <w:sz w:val="24"/>
        </w:rPr>
        <w:t>6</w:t>
      </w:r>
    </w:p>
    <w:p w:rsidR="005F6CF1" w:rsidRDefault="005F6CF1" w:rsidP="005F6CF1">
      <w:pPr>
        <w:tabs>
          <w:tab w:val="right" w:leader="dot" w:pos="7920"/>
        </w:tabs>
        <w:spacing w:after="240"/>
        <w:rPr>
          <w:sz w:val="24"/>
        </w:rPr>
      </w:pPr>
      <w:r>
        <w:rPr>
          <w:sz w:val="24"/>
        </w:rPr>
        <w:t>Summary of Recommendations</w:t>
      </w:r>
      <w:r w:rsidRPr="00116463">
        <w:rPr>
          <w:sz w:val="24"/>
        </w:rPr>
        <w:tab/>
      </w:r>
      <w:r>
        <w:rPr>
          <w:sz w:val="24"/>
        </w:rPr>
        <w:t>8</w:t>
      </w:r>
    </w:p>
    <w:p w:rsidR="005F6CF1" w:rsidRPr="00116463" w:rsidRDefault="005F6CF1" w:rsidP="005F6CF1">
      <w:pPr>
        <w:tabs>
          <w:tab w:val="right" w:leader="dot" w:pos="7920"/>
        </w:tabs>
        <w:spacing w:after="240"/>
        <w:rPr>
          <w:sz w:val="24"/>
        </w:rPr>
      </w:pPr>
      <w:r>
        <w:rPr>
          <w:sz w:val="24"/>
        </w:rPr>
        <w:t>Attachments</w:t>
      </w:r>
      <w:r>
        <w:rPr>
          <w:sz w:val="24"/>
          <w:lang w:val="fr-FR"/>
        </w:rPr>
        <w:tab/>
        <w:t>10</w:t>
      </w:r>
    </w:p>
    <w:p w:rsidR="005F6CF1" w:rsidRDefault="005F6CF1">
      <w:pPr>
        <w:widowControl/>
        <w:autoSpaceDE/>
        <w:autoSpaceDN/>
        <w:adjustRightInd/>
        <w:spacing w:after="200" w:line="276" w:lineRule="auto"/>
        <w:rPr>
          <w:b/>
          <w:bCs/>
          <w:sz w:val="24"/>
        </w:rPr>
      </w:pPr>
    </w:p>
    <w:p w:rsidR="005F6CF1" w:rsidRDefault="005F6CF1">
      <w:pPr>
        <w:widowControl/>
        <w:autoSpaceDE/>
        <w:autoSpaceDN/>
        <w:adjustRightInd/>
        <w:spacing w:after="200" w:line="276" w:lineRule="auto"/>
        <w:rPr>
          <w:b/>
          <w:bCs/>
          <w:sz w:val="24"/>
        </w:rPr>
      </w:pPr>
      <w:r>
        <w:br w:type="page"/>
      </w:r>
    </w:p>
    <w:p w:rsidR="00F517B0" w:rsidRDefault="00F517B0" w:rsidP="00F517B0">
      <w:pPr>
        <w:pStyle w:val="Heading1"/>
      </w:pPr>
      <w:r>
        <w:lastRenderedPageBreak/>
        <w:t>PURPOSE, SCOPE, AND AUTHORITY</w:t>
      </w:r>
    </w:p>
    <w:p w:rsidR="00F517B0" w:rsidRDefault="00F517B0" w:rsidP="00F517B0">
      <w:pPr>
        <w:rPr>
          <w:sz w:val="24"/>
        </w:rPr>
      </w:pPr>
    </w:p>
    <w:p w:rsidR="00F517B0" w:rsidRDefault="00F517B0" w:rsidP="00F517B0">
      <w:pPr>
        <w:rPr>
          <w:sz w:val="24"/>
        </w:rPr>
      </w:pPr>
      <w:r>
        <w:rPr>
          <w:b/>
          <w:bCs/>
          <w:sz w:val="24"/>
        </w:rPr>
        <w:t>Purpose</w:t>
      </w:r>
    </w:p>
    <w:p w:rsidR="00243645" w:rsidRDefault="00F517B0" w:rsidP="00243645">
      <w:pPr>
        <w:rPr>
          <w:sz w:val="24"/>
        </w:rPr>
      </w:pPr>
      <w:r>
        <w:rPr>
          <w:sz w:val="24"/>
        </w:rPr>
        <w:t xml:space="preserve">The purpose of this investigation is to determine whether </w:t>
      </w:r>
      <w:r w:rsidR="00AF19C6">
        <w:rPr>
          <w:sz w:val="24"/>
        </w:rPr>
        <w:t>Washington Water Supply</w:t>
      </w:r>
      <w:r w:rsidR="00EB6F76">
        <w:rPr>
          <w:sz w:val="24"/>
        </w:rPr>
        <w:t xml:space="preserve">, Inc. </w:t>
      </w:r>
      <w:r w:rsidR="00AF19C6">
        <w:rPr>
          <w:sz w:val="24"/>
        </w:rPr>
        <w:t xml:space="preserve">(Washington </w:t>
      </w:r>
      <w:r w:rsidR="00EB6F76">
        <w:rPr>
          <w:sz w:val="24"/>
        </w:rPr>
        <w:t>Water)</w:t>
      </w:r>
      <w:r w:rsidR="0054287C">
        <w:rPr>
          <w:sz w:val="24"/>
        </w:rPr>
        <w:t xml:space="preserve"> </w:t>
      </w:r>
      <w:r w:rsidR="008F32E7">
        <w:rPr>
          <w:sz w:val="24"/>
        </w:rPr>
        <w:t>has violated c</w:t>
      </w:r>
      <w:r w:rsidR="00AF19C6">
        <w:rPr>
          <w:sz w:val="24"/>
        </w:rPr>
        <w:t>ommission rules by failing to file a</w:t>
      </w:r>
      <w:r w:rsidR="00B90F45">
        <w:rPr>
          <w:sz w:val="24"/>
        </w:rPr>
        <w:t>n application for transfer of property as required by WAC 480-143-120, and failure to file a</w:t>
      </w:r>
      <w:r w:rsidR="00AF19C6">
        <w:rPr>
          <w:sz w:val="24"/>
        </w:rPr>
        <w:t xml:space="preserve"> revision to its tariff within thirty days of its acquisition of </w:t>
      </w:r>
      <w:r w:rsidR="00BF2620">
        <w:rPr>
          <w:sz w:val="24"/>
        </w:rPr>
        <w:t xml:space="preserve">a </w:t>
      </w:r>
      <w:r w:rsidR="00AF19C6">
        <w:rPr>
          <w:sz w:val="24"/>
        </w:rPr>
        <w:t>new service area, as required by WAC 480-110-433.</w:t>
      </w:r>
    </w:p>
    <w:p w:rsidR="00F517B0" w:rsidRDefault="00F517B0" w:rsidP="00F517B0">
      <w:pPr>
        <w:rPr>
          <w:sz w:val="24"/>
        </w:rPr>
      </w:pPr>
    </w:p>
    <w:p w:rsidR="00F517B0" w:rsidRDefault="00F517B0" w:rsidP="00F517B0">
      <w:pPr>
        <w:rPr>
          <w:b/>
          <w:bCs/>
          <w:sz w:val="24"/>
        </w:rPr>
      </w:pPr>
      <w:r>
        <w:rPr>
          <w:b/>
          <w:bCs/>
          <w:sz w:val="24"/>
        </w:rPr>
        <w:t>Scope</w:t>
      </w:r>
    </w:p>
    <w:p w:rsidR="00F517B0" w:rsidRDefault="00F517B0" w:rsidP="00F517B0">
      <w:pPr>
        <w:rPr>
          <w:sz w:val="24"/>
        </w:rPr>
      </w:pPr>
      <w:r>
        <w:rPr>
          <w:sz w:val="24"/>
        </w:rPr>
        <w:t xml:space="preserve">The scope of this investigation </w:t>
      </w:r>
      <w:r w:rsidR="005715ED">
        <w:rPr>
          <w:sz w:val="24"/>
        </w:rPr>
        <w:t>in</w:t>
      </w:r>
      <w:r w:rsidR="008B14E1">
        <w:rPr>
          <w:sz w:val="24"/>
        </w:rPr>
        <w:t>c</w:t>
      </w:r>
      <w:r w:rsidR="005715ED">
        <w:rPr>
          <w:sz w:val="24"/>
        </w:rPr>
        <w:t>l</w:t>
      </w:r>
      <w:r w:rsidR="008B14E1">
        <w:rPr>
          <w:sz w:val="24"/>
        </w:rPr>
        <w:t>ude</w:t>
      </w:r>
      <w:r w:rsidR="00B230B2">
        <w:rPr>
          <w:sz w:val="24"/>
        </w:rPr>
        <w:t>s</w:t>
      </w:r>
      <w:r>
        <w:rPr>
          <w:sz w:val="24"/>
        </w:rPr>
        <w:t xml:space="preserve"> </w:t>
      </w:r>
      <w:r w:rsidR="00AF19C6">
        <w:rPr>
          <w:sz w:val="24"/>
        </w:rPr>
        <w:t>a summary of technical assistance provided by staff, and information obtained from the company and the Department of Health</w:t>
      </w:r>
      <w:r w:rsidR="00B90F45">
        <w:rPr>
          <w:sz w:val="24"/>
        </w:rPr>
        <w:t>’s Office of Drinking Water</w:t>
      </w:r>
      <w:r w:rsidR="00AF19C6">
        <w:rPr>
          <w:sz w:val="24"/>
        </w:rPr>
        <w:t>.</w:t>
      </w:r>
    </w:p>
    <w:p w:rsidR="005F6CF1" w:rsidRDefault="005F6CF1" w:rsidP="00F517B0">
      <w:pPr>
        <w:rPr>
          <w:sz w:val="24"/>
        </w:rPr>
      </w:pPr>
    </w:p>
    <w:p w:rsidR="005F6CF1" w:rsidRDefault="005F6CF1" w:rsidP="005F6CF1">
      <w:pPr>
        <w:spacing w:after="240"/>
        <w:rPr>
          <w:sz w:val="24"/>
        </w:rPr>
      </w:pPr>
      <w:r>
        <w:rPr>
          <w:b/>
          <w:sz w:val="24"/>
        </w:rPr>
        <w:t>Authority</w:t>
      </w:r>
      <w:r>
        <w:rPr>
          <w:b/>
          <w:sz w:val="24"/>
        </w:rPr>
        <w:br/>
      </w:r>
      <w:r>
        <w:rPr>
          <w:sz w:val="24"/>
        </w:rPr>
        <w:t>Staff undertakes this investigation pursuant to the authority granted by the Revised Code of Washington (RCW) 80.01.040, which directs the commission to regulate water companies in the public interest. In addition, RCW 80.04.070 grants the commission specific authority to conduct such an investigation.</w:t>
      </w:r>
    </w:p>
    <w:p w:rsidR="00F517B0" w:rsidRDefault="00F517B0" w:rsidP="00F517B0">
      <w:pPr>
        <w:rPr>
          <w:sz w:val="24"/>
        </w:rPr>
      </w:pPr>
    </w:p>
    <w:p w:rsidR="005A7F20" w:rsidRDefault="008B14E1">
      <w:pPr>
        <w:rPr>
          <w:b/>
          <w:sz w:val="24"/>
        </w:rPr>
      </w:pPr>
      <w:r w:rsidRPr="008B14E1">
        <w:rPr>
          <w:b/>
          <w:sz w:val="24"/>
        </w:rPr>
        <w:t>Staff</w:t>
      </w:r>
    </w:p>
    <w:p w:rsidR="008B14E1" w:rsidRDefault="006C77F5">
      <w:pPr>
        <w:rPr>
          <w:sz w:val="24"/>
        </w:rPr>
      </w:pPr>
      <w:r>
        <w:rPr>
          <w:sz w:val="24"/>
        </w:rPr>
        <w:t>Darren Tinnerstet</w:t>
      </w:r>
      <w:r w:rsidR="008B14E1">
        <w:rPr>
          <w:sz w:val="24"/>
        </w:rPr>
        <w:t>, Compliance Investigator</w:t>
      </w:r>
    </w:p>
    <w:p w:rsidR="008B14E1" w:rsidRDefault="008B14E1">
      <w:pPr>
        <w:rPr>
          <w:sz w:val="24"/>
        </w:rPr>
      </w:pPr>
      <w:r>
        <w:rPr>
          <w:sz w:val="24"/>
        </w:rPr>
        <w:t>(360) 664-</w:t>
      </w:r>
      <w:r w:rsidR="00EB6F76">
        <w:rPr>
          <w:sz w:val="24"/>
        </w:rPr>
        <w:t>1108</w:t>
      </w:r>
    </w:p>
    <w:p w:rsidR="008B14E1" w:rsidRDefault="006C77F5">
      <w:pPr>
        <w:rPr>
          <w:sz w:val="24"/>
        </w:rPr>
      </w:pPr>
      <w:r>
        <w:rPr>
          <w:sz w:val="24"/>
        </w:rPr>
        <w:t>dtinnerstet</w:t>
      </w:r>
      <w:r w:rsidR="008B14E1">
        <w:rPr>
          <w:sz w:val="24"/>
        </w:rPr>
        <w:t>@utc.wa.gov</w:t>
      </w:r>
    </w:p>
    <w:p w:rsidR="008B14E1" w:rsidRDefault="008B14E1">
      <w:pPr>
        <w:rPr>
          <w:sz w:val="24"/>
        </w:rPr>
      </w:pPr>
    </w:p>
    <w:p w:rsidR="001B38A2" w:rsidRDefault="008B14E1" w:rsidP="001B38A2">
      <w:pPr>
        <w:widowControl/>
        <w:autoSpaceDE/>
        <w:autoSpaceDN/>
        <w:adjustRightInd/>
        <w:spacing w:after="200" w:line="276" w:lineRule="auto"/>
        <w:rPr>
          <w:sz w:val="24"/>
        </w:rPr>
      </w:pPr>
      <w:r>
        <w:rPr>
          <w:sz w:val="24"/>
        </w:rPr>
        <w:br w:type="page"/>
      </w:r>
    </w:p>
    <w:p w:rsidR="001B38A2" w:rsidRPr="007667AF" w:rsidRDefault="007667AF" w:rsidP="007667AF">
      <w:pPr>
        <w:widowControl/>
        <w:autoSpaceDE/>
        <w:autoSpaceDN/>
        <w:adjustRightInd/>
        <w:spacing w:after="200" w:line="276" w:lineRule="auto"/>
        <w:jc w:val="center"/>
        <w:rPr>
          <w:b/>
          <w:sz w:val="24"/>
        </w:rPr>
      </w:pPr>
      <w:r>
        <w:rPr>
          <w:b/>
          <w:sz w:val="24"/>
        </w:rPr>
        <w:lastRenderedPageBreak/>
        <w:t>EXECUTIVE SUMMARY</w:t>
      </w:r>
    </w:p>
    <w:p w:rsidR="007667AF" w:rsidRDefault="007667AF" w:rsidP="007667AF">
      <w:pPr>
        <w:rPr>
          <w:sz w:val="24"/>
        </w:rPr>
      </w:pPr>
      <w:r>
        <w:rPr>
          <w:sz w:val="24"/>
        </w:rPr>
        <w:t xml:space="preserve">On July 5, 2013, Consumer Protection staff received a complaint from a Washington Water Supply customer served by the Silent Sky water system near Seabeck, WA.  The customer stated that she is billed by Washington Water Supply, Inc. Consumer Protection staff confirmed that the Silent Sky water system was not listed in the company’s tariff on file with the commission, and referred the matter to Compliance Investigations staff. </w:t>
      </w:r>
    </w:p>
    <w:p w:rsidR="00F62260" w:rsidRDefault="00F62260" w:rsidP="007667AF">
      <w:pPr>
        <w:rPr>
          <w:sz w:val="24"/>
        </w:rPr>
      </w:pPr>
    </w:p>
    <w:p w:rsidR="00F62260" w:rsidRDefault="00F62260" w:rsidP="007667AF">
      <w:pPr>
        <w:rPr>
          <w:sz w:val="24"/>
        </w:rPr>
      </w:pPr>
      <w:r>
        <w:rPr>
          <w:sz w:val="24"/>
        </w:rPr>
        <w:t xml:space="preserve">Compliance Investigation staff discovered that Washington Water Supply was also operating another water system, Bainbridge 1, </w:t>
      </w:r>
      <w:r w:rsidR="001F75CC">
        <w:rPr>
          <w:sz w:val="24"/>
        </w:rPr>
        <w:t>which</w:t>
      </w:r>
      <w:r>
        <w:rPr>
          <w:sz w:val="24"/>
        </w:rPr>
        <w:t xml:space="preserve"> was not listed in the company’s tariff.  Both water systems, Silent Sky and Bainbridge 1, were disclosed to staff during </w:t>
      </w:r>
      <w:r w:rsidR="009D6097">
        <w:rPr>
          <w:sz w:val="24"/>
        </w:rPr>
        <w:t>this</w:t>
      </w:r>
      <w:r>
        <w:rPr>
          <w:sz w:val="24"/>
        </w:rPr>
        <w:t xml:space="preserve"> investigation by the owner of Washington Water Supply</w:t>
      </w:r>
      <w:r w:rsidR="009D6097">
        <w:rPr>
          <w:sz w:val="24"/>
        </w:rPr>
        <w:t xml:space="preserve">. </w:t>
      </w:r>
    </w:p>
    <w:p w:rsidR="007667AF" w:rsidRDefault="007667AF" w:rsidP="007667AF">
      <w:pPr>
        <w:rPr>
          <w:sz w:val="24"/>
        </w:rPr>
      </w:pPr>
    </w:p>
    <w:p w:rsidR="007667AF" w:rsidRDefault="007667AF" w:rsidP="007667AF">
      <w:pPr>
        <w:rPr>
          <w:sz w:val="24"/>
        </w:rPr>
      </w:pPr>
      <w:r w:rsidRPr="00615446">
        <w:rPr>
          <w:sz w:val="24"/>
        </w:rPr>
        <w:t xml:space="preserve">The commission regulates water companies under </w:t>
      </w:r>
      <w:r w:rsidR="00BF2620">
        <w:rPr>
          <w:sz w:val="24"/>
        </w:rPr>
        <w:t xml:space="preserve">RCW </w:t>
      </w:r>
      <w:r w:rsidRPr="00615446">
        <w:rPr>
          <w:sz w:val="24"/>
        </w:rPr>
        <w:t xml:space="preserve">80.28. </w:t>
      </w:r>
      <w:r>
        <w:rPr>
          <w:sz w:val="24"/>
        </w:rPr>
        <w:t xml:space="preserve"> Water companies under the commission’s jurisdiction are subject to </w:t>
      </w:r>
      <w:r w:rsidR="00BF2620">
        <w:rPr>
          <w:sz w:val="24"/>
        </w:rPr>
        <w:t xml:space="preserve">RCW </w:t>
      </w:r>
      <w:r>
        <w:rPr>
          <w:sz w:val="24"/>
        </w:rPr>
        <w:t xml:space="preserve">80.12 and </w:t>
      </w:r>
      <w:r w:rsidR="00BF2620">
        <w:rPr>
          <w:sz w:val="24"/>
        </w:rPr>
        <w:t xml:space="preserve">WAC </w:t>
      </w:r>
      <w:r>
        <w:rPr>
          <w:sz w:val="24"/>
        </w:rPr>
        <w:t>480-143, co</w:t>
      </w:r>
      <w:r w:rsidR="00A13AF8">
        <w:rPr>
          <w:sz w:val="24"/>
        </w:rPr>
        <w:t>ncerning transfers of property</w:t>
      </w:r>
      <w:r w:rsidR="00BF2620">
        <w:rPr>
          <w:sz w:val="24"/>
        </w:rPr>
        <w:t>,</w:t>
      </w:r>
      <w:r w:rsidR="00A13AF8">
        <w:rPr>
          <w:sz w:val="24"/>
        </w:rPr>
        <w:t xml:space="preserve"> and WAC 480-110 concerning water company operations.</w:t>
      </w:r>
    </w:p>
    <w:p w:rsidR="007667AF" w:rsidRDefault="007667AF" w:rsidP="007667AF">
      <w:pPr>
        <w:rPr>
          <w:sz w:val="24"/>
        </w:rPr>
      </w:pPr>
    </w:p>
    <w:p w:rsidR="005F6CF1" w:rsidRDefault="007667AF" w:rsidP="007667AF">
      <w:pPr>
        <w:rPr>
          <w:sz w:val="24"/>
        </w:rPr>
      </w:pPr>
      <w:r>
        <w:rPr>
          <w:sz w:val="24"/>
        </w:rPr>
        <w:t>Staff found that the company</w:t>
      </w:r>
      <w:r w:rsidR="005F6CF1">
        <w:rPr>
          <w:sz w:val="24"/>
        </w:rPr>
        <w:t xml:space="preserve"> is in violation</w:t>
      </w:r>
      <w:r w:rsidR="00BF2620">
        <w:rPr>
          <w:sz w:val="24"/>
        </w:rPr>
        <w:t xml:space="preserve"> </w:t>
      </w:r>
      <w:r w:rsidR="005F6CF1">
        <w:rPr>
          <w:sz w:val="24"/>
        </w:rPr>
        <w:t>of rules and laws enforced by the commission</w:t>
      </w:r>
      <w:r w:rsidR="00BF2620">
        <w:rPr>
          <w:sz w:val="24"/>
        </w:rPr>
        <w:t>, as follows</w:t>
      </w:r>
      <w:r w:rsidR="005F6CF1">
        <w:rPr>
          <w:sz w:val="24"/>
        </w:rPr>
        <w:t>:</w:t>
      </w:r>
    </w:p>
    <w:p w:rsidR="005F6CF1" w:rsidRDefault="005F6CF1" w:rsidP="007667AF">
      <w:pPr>
        <w:rPr>
          <w:sz w:val="24"/>
        </w:rPr>
      </w:pPr>
    </w:p>
    <w:p w:rsidR="005F6CF1" w:rsidRDefault="005F6CF1" w:rsidP="005F6CF1">
      <w:pPr>
        <w:pStyle w:val="ListParagraph"/>
        <w:numPr>
          <w:ilvl w:val="0"/>
          <w:numId w:val="18"/>
        </w:numPr>
      </w:pPr>
      <w:r>
        <w:t>Failure to apply for, and receive commission approval prior to completing a transfer of property necessary or useful for the company to perform its public duties, as required by WAC 480-143-120.</w:t>
      </w:r>
    </w:p>
    <w:p w:rsidR="007667AF" w:rsidRPr="005F6CF1" w:rsidRDefault="005F6CF1" w:rsidP="007667AF">
      <w:pPr>
        <w:pStyle w:val="ListParagraph"/>
        <w:numPr>
          <w:ilvl w:val="0"/>
          <w:numId w:val="18"/>
        </w:numPr>
      </w:pPr>
      <w:r>
        <w:t xml:space="preserve">Failure to file revisions to its filed tariff within thirty days of its acquisition of </w:t>
      </w:r>
      <w:r w:rsidR="00BF2620">
        <w:t xml:space="preserve">a </w:t>
      </w:r>
      <w:r>
        <w:t>new service area, as required by</w:t>
      </w:r>
      <w:r w:rsidR="007667AF" w:rsidRPr="005F6CF1">
        <w:t xml:space="preserve"> WAC 480-110-433.  </w:t>
      </w:r>
    </w:p>
    <w:p w:rsidR="005F6CF1" w:rsidRPr="005F6CF1" w:rsidRDefault="005F6CF1" w:rsidP="007667AF">
      <w:pPr>
        <w:rPr>
          <w:b/>
          <w:sz w:val="24"/>
        </w:rPr>
      </w:pPr>
      <w:r w:rsidRPr="005F6CF1">
        <w:rPr>
          <w:b/>
          <w:sz w:val="24"/>
        </w:rPr>
        <w:t>Recommendation</w:t>
      </w:r>
    </w:p>
    <w:p w:rsidR="007667AF" w:rsidRPr="007667AF" w:rsidRDefault="005F6CF1" w:rsidP="007667AF">
      <w:pPr>
        <w:rPr>
          <w:sz w:val="24"/>
        </w:rPr>
      </w:pPr>
      <w:r>
        <w:rPr>
          <w:sz w:val="24"/>
        </w:rPr>
        <w:t>Staff</w:t>
      </w:r>
      <w:r w:rsidR="007667AF">
        <w:rPr>
          <w:sz w:val="24"/>
        </w:rPr>
        <w:t xml:space="preserve"> recommends </w:t>
      </w:r>
      <w:r w:rsidR="009E6639">
        <w:rPr>
          <w:sz w:val="24"/>
        </w:rPr>
        <w:t>the commission issue a penalty assessment</w:t>
      </w:r>
      <w:r w:rsidR="007667AF">
        <w:rPr>
          <w:sz w:val="24"/>
        </w:rPr>
        <w:t xml:space="preserve"> of $100 per day </w:t>
      </w:r>
      <w:r w:rsidR="00A13AF8">
        <w:rPr>
          <w:sz w:val="24"/>
        </w:rPr>
        <w:t xml:space="preserve">for 116 days </w:t>
      </w:r>
      <w:r w:rsidR="007667AF">
        <w:rPr>
          <w:sz w:val="24"/>
        </w:rPr>
        <w:t>in which the company was aware that it was required to file an application for transfer of property and a tariff revision, but failed to do so, for a total of $11,600.</w:t>
      </w:r>
    </w:p>
    <w:p w:rsidR="007667AF" w:rsidRDefault="007667AF">
      <w:pPr>
        <w:widowControl/>
        <w:autoSpaceDE/>
        <w:autoSpaceDN/>
        <w:adjustRightInd/>
        <w:spacing w:after="200" w:line="276" w:lineRule="auto"/>
        <w:rPr>
          <w:b/>
          <w:sz w:val="24"/>
        </w:rPr>
      </w:pPr>
      <w:r>
        <w:rPr>
          <w:b/>
          <w:sz w:val="24"/>
        </w:rPr>
        <w:br w:type="page"/>
      </w:r>
    </w:p>
    <w:p w:rsidR="008B14E1" w:rsidRDefault="008B14E1" w:rsidP="008B14E1">
      <w:pPr>
        <w:jc w:val="center"/>
        <w:rPr>
          <w:b/>
          <w:sz w:val="24"/>
        </w:rPr>
      </w:pPr>
      <w:r>
        <w:rPr>
          <w:b/>
          <w:sz w:val="24"/>
        </w:rPr>
        <w:lastRenderedPageBreak/>
        <w:t>BACKGROUND</w:t>
      </w:r>
    </w:p>
    <w:p w:rsidR="001F6030" w:rsidRDefault="001F6030" w:rsidP="008B14E1">
      <w:pPr>
        <w:jc w:val="center"/>
        <w:rPr>
          <w:b/>
          <w:sz w:val="24"/>
        </w:rPr>
      </w:pPr>
    </w:p>
    <w:p w:rsidR="008B14E1" w:rsidRPr="00F814A9" w:rsidRDefault="0070330E" w:rsidP="008B14E1">
      <w:pPr>
        <w:rPr>
          <w:b/>
          <w:sz w:val="24"/>
        </w:rPr>
      </w:pPr>
      <w:r w:rsidRPr="00F814A9">
        <w:rPr>
          <w:b/>
          <w:sz w:val="24"/>
        </w:rPr>
        <w:t>Company</w:t>
      </w:r>
      <w:r w:rsidR="005F6CF1">
        <w:rPr>
          <w:b/>
          <w:sz w:val="24"/>
        </w:rPr>
        <w:t xml:space="preserve"> Information</w:t>
      </w:r>
    </w:p>
    <w:p w:rsidR="00FE0D87" w:rsidRDefault="00151E84" w:rsidP="00FE0D87">
      <w:pPr>
        <w:rPr>
          <w:sz w:val="24"/>
        </w:rPr>
      </w:pPr>
      <w:r>
        <w:rPr>
          <w:sz w:val="24"/>
        </w:rPr>
        <w:t>Washington Water Supply</w:t>
      </w:r>
      <w:r w:rsidR="00EB6F76">
        <w:rPr>
          <w:sz w:val="24"/>
        </w:rPr>
        <w:t xml:space="preserve">, Inc. was incorporated on </w:t>
      </w:r>
      <w:r>
        <w:rPr>
          <w:sz w:val="24"/>
        </w:rPr>
        <w:t>Sep</w:t>
      </w:r>
      <w:r w:rsidR="00EB6F76">
        <w:rPr>
          <w:sz w:val="24"/>
        </w:rPr>
        <w:t xml:space="preserve">t. </w:t>
      </w:r>
      <w:r w:rsidR="0061581A">
        <w:rPr>
          <w:sz w:val="24"/>
        </w:rPr>
        <w:t>5</w:t>
      </w:r>
      <w:r w:rsidR="00EB6F76">
        <w:rPr>
          <w:sz w:val="24"/>
        </w:rPr>
        <w:t xml:space="preserve">, </w:t>
      </w:r>
      <w:r w:rsidR="0061581A">
        <w:rPr>
          <w:sz w:val="24"/>
        </w:rPr>
        <w:t>199</w:t>
      </w:r>
      <w:r w:rsidR="00EB6F76">
        <w:rPr>
          <w:sz w:val="24"/>
        </w:rPr>
        <w:t>1</w:t>
      </w:r>
      <w:r w:rsidR="00D84B15">
        <w:rPr>
          <w:sz w:val="24"/>
        </w:rPr>
        <w:t>,</w:t>
      </w:r>
      <w:r w:rsidR="0061581A">
        <w:rPr>
          <w:sz w:val="24"/>
        </w:rPr>
        <w:t xml:space="preserve"> as a </w:t>
      </w:r>
      <w:r w:rsidR="00EB6F76">
        <w:rPr>
          <w:sz w:val="24"/>
        </w:rPr>
        <w:t xml:space="preserve">profit corporation governed by </w:t>
      </w:r>
      <w:r w:rsidR="0061581A">
        <w:rPr>
          <w:sz w:val="24"/>
        </w:rPr>
        <w:t>John Poppe</w:t>
      </w:r>
      <w:r w:rsidR="00AA5068" w:rsidRPr="00F814A9">
        <w:rPr>
          <w:sz w:val="24"/>
        </w:rPr>
        <w:t>.</w:t>
      </w:r>
      <w:r w:rsidR="0061581A">
        <w:rPr>
          <w:rStyle w:val="FootnoteReference"/>
          <w:sz w:val="24"/>
        </w:rPr>
        <w:footnoteReference w:id="1"/>
      </w:r>
      <w:r w:rsidR="0061581A">
        <w:rPr>
          <w:sz w:val="24"/>
        </w:rPr>
        <w:t xml:space="preserve"> The company operates eleven </w:t>
      </w:r>
      <w:r w:rsidR="00FE0D87">
        <w:rPr>
          <w:sz w:val="24"/>
        </w:rPr>
        <w:t>water system</w:t>
      </w:r>
      <w:r w:rsidR="0061581A">
        <w:rPr>
          <w:sz w:val="24"/>
        </w:rPr>
        <w:t>s</w:t>
      </w:r>
      <w:r w:rsidR="00FE0D87">
        <w:rPr>
          <w:sz w:val="24"/>
        </w:rPr>
        <w:t xml:space="preserve"> </w:t>
      </w:r>
      <w:r w:rsidR="00670A7B">
        <w:rPr>
          <w:sz w:val="24"/>
        </w:rPr>
        <w:t xml:space="preserve">in </w:t>
      </w:r>
      <w:r w:rsidR="0026379C">
        <w:rPr>
          <w:sz w:val="24"/>
        </w:rPr>
        <w:t xml:space="preserve">King, Kitsap and Clallam counties, with a total of 140 </w:t>
      </w:r>
      <w:r w:rsidR="00FF1701">
        <w:rPr>
          <w:sz w:val="24"/>
        </w:rPr>
        <w:t xml:space="preserve">approved </w:t>
      </w:r>
      <w:r w:rsidR="0026379C">
        <w:rPr>
          <w:sz w:val="24"/>
        </w:rPr>
        <w:t xml:space="preserve">connections.  </w:t>
      </w:r>
      <w:r w:rsidR="00670A7B">
        <w:rPr>
          <w:sz w:val="24"/>
        </w:rPr>
        <w:t xml:space="preserve">The company </w:t>
      </w:r>
      <w:r w:rsidR="00FE0D87">
        <w:rPr>
          <w:sz w:val="24"/>
        </w:rPr>
        <w:t xml:space="preserve">has </w:t>
      </w:r>
      <w:r w:rsidR="00FE0D87" w:rsidRPr="00F814A9">
        <w:rPr>
          <w:sz w:val="24"/>
        </w:rPr>
        <w:t>been regulated by the commission</w:t>
      </w:r>
      <w:r w:rsidR="0026379C">
        <w:rPr>
          <w:sz w:val="24"/>
        </w:rPr>
        <w:t xml:space="preserve"> since 1993</w:t>
      </w:r>
      <w:r w:rsidR="00FE0D87" w:rsidRPr="00F814A9">
        <w:rPr>
          <w:sz w:val="24"/>
        </w:rPr>
        <w:t>.</w:t>
      </w:r>
      <w:r w:rsidR="00165B51">
        <w:rPr>
          <w:sz w:val="24"/>
        </w:rPr>
        <w:t xml:space="preserve"> </w:t>
      </w:r>
    </w:p>
    <w:p w:rsidR="003940B6" w:rsidRDefault="003940B6" w:rsidP="00FE0D87">
      <w:pPr>
        <w:rPr>
          <w:sz w:val="24"/>
        </w:rPr>
      </w:pPr>
    </w:p>
    <w:p w:rsidR="003940B6" w:rsidRPr="003940B6" w:rsidRDefault="003940B6" w:rsidP="003940B6">
      <w:pPr>
        <w:rPr>
          <w:sz w:val="24"/>
        </w:rPr>
      </w:pPr>
      <w:r w:rsidRPr="003940B6">
        <w:rPr>
          <w:sz w:val="24"/>
        </w:rPr>
        <w:t>Revenue for Washington Water Supply, Inc., as reflected in annual reports filed with the commission over the past three years is as follows:</w:t>
      </w:r>
    </w:p>
    <w:p w:rsidR="003940B6" w:rsidRPr="003940B6" w:rsidRDefault="003940B6" w:rsidP="003940B6">
      <w:pPr>
        <w:rPr>
          <w:sz w:val="24"/>
        </w:rPr>
      </w:pPr>
    </w:p>
    <w:tbl>
      <w:tblPr>
        <w:tblW w:w="0" w:type="auto"/>
        <w:tblInd w:w="1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2484"/>
        <w:gridCol w:w="2304"/>
      </w:tblGrid>
      <w:tr w:rsidR="003940B6" w:rsidRPr="003940B6" w:rsidTr="004F1635">
        <w:trPr>
          <w:trHeight w:val="332"/>
        </w:trPr>
        <w:tc>
          <w:tcPr>
            <w:tcW w:w="2124" w:type="dxa"/>
            <w:shd w:val="clear" w:color="auto" w:fill="BFBFBF" w:themeFill="background1" w:themeFillShade="BF"/>
          </w:tcPr>
          <w:p w:rsidR="003940B6" w:rsidRPr="008F32E7" w:rsidRDefault="003940B6" w:rsidP="003940B6">
            <w:pPr>
              <w:jc w:val="center"/>
              <w:rPr>
                <w:b/>
                <w:sz w:val="24"/>
              </w:rPr>
            </w:pPr>
            <w:r w:rsidRPr="008F32E7">
              <w:rPr>
                <w:b/>
                <w:sz w:val="24"/>
              </w:rPr>
              <w:t>Reporting Year</w:t>
            </w:r>
          </w:p>
        </w:tc>
        <w:tc>
          <w:tcPr>
            <w:tcW w:w="2484" w:type="dxa"/>
            <w:shd w:val="clear" w:color="auto" w:fill="BFBFBF" w:themeFill="background1" w:themeFillShade="BF"/>
          </w:tcPr>
          <w:p w:rsidR="003940B6" w:rsidRPr="008F32E7" w:rsidRDefault="003940B6" w:rsidP="003940B6">
            <w:pPr>
              <w:jc w:val="center"/>
              <w:rPr>
                <w:b/>
                <w:sz w:val="24"/>
              </w:rPr>
            </w:pPr>
            <w:r w:rsidRPr="008F32E7">
              <w:rPr>
                <w:b/>
                <w:sz w:val="24"/>
              </w:rPr>
              <w:t>Date Filed</w:t>
            </w:r>
          </w:p>
        </w:tc>
        <w:tc>
          <w:tcPr>
            <w:tcW w:w="2304" w:type="dxa"/>
            <w:shd w:val="clear" w:color="auto" w:fill="BFBFBF" w:themeFill="background1" w:themeFillShade="BF"/>
          </w:tcPr>
          <w:p w:rsidR="003940B6" w:rsidRPr="008F32E7" w:rsidRDefault="003940B6" w:rsidP="003940B6">
            <w:pPr>
              <w:jc w:val="center"/>
              <w:rPr>
                <w:b/>
                <w:sz w:val="24"/>
              </w:rPr>
            </w:pPr>
            <w:r w:rsidRPr="008F32E7">
              <w:rPr>
                <w:b/>
                <w:sz w:val="24"/>
              </w:rPr>
              <w:t>Revenue</w:t>
            </w:r>
          </w:p>
        </w:tc>
      </w:tr>
      <w:tr w:rsidR="003940B6" w:rsidRPr="003940B6" w:rsidTr="00D759C0">
        <w:tc>
          <w:tcPr>
            <w:tcW w:w="2124" w:type="dxa"/>
            <w:vAlign w:val="center"/>
          </w:tcPr>
          <w:p w:rsidR="003940B6" w:rsidRPr="003940B6" w:rsidRDefault="003940B6" w:rsidP="003940B6">
            <w:pPr>
              <w:jc w:val="center"/>
              <w:rPr>
                <w:sz w:val="24"/>
              </w:rPr>
            </w:pPr>
            <w:r w:rsidRPr="003940B6">
              <w:rPr>
                <w:sz w:val="24"/>
              </w:rPr>
              <w:t>2012</w:t>
            </w:r>
          </w:p>
        </w:tc>
        <w:tc>
          <w:tcPr>
            <w:tcW w:w="2484" w:type="dxa"/>
            <w:vAlign w:val="center"/>
          </w:tcPr>
          <w:p w:rsidR="003940B6" w:rsidRPr="003940B6" w:rsidRDefault="003940B6" w:rsidP="003940B6">
            <w:pPr>
              <w:jc w:val="center"/>
              <w:rPr>
                <w:sz w:val="24"/>
              </w:rPr>
            </w:pPr>
            <w:r w:rsidRPr="003940B6">
              <w:rPr>
                <w:sz w:val="24"/>
              </w:rPr>
              <w:t>May 3, 2013</w:t>
            </w:r>
          </w:p>
        </w:tc>
        <w:tc>
          <w:tcPr>
            <w:tcW w:w="2304" w:type="dxa"/>
            <w:vAlign w:val="center"/>
          </w:tcPr>
          <w:p w:rsidR="003940B6" w:rsidRPr="003940B6" w:rsidRDefault="003940B6" w:rsidP="003940B6">
            <w:pPr>
              <w:jc w:val="center"/>
              <w:rPr>
                <w:sz w:val="24"/>
              </w:rPr>
            </w:pPr>
            <w:r w:rsidRPr="003940B6">
              <w:rPr>
                <w:sz w:val="24"/>
              </w:rPr>
              <w:t>$</w:t>
            </w:r>
            <w:r>
              <w:rPr>
                <w:sz w:val="24"/>
              </w:rPr>
              <w:t>108,252</w:t>
            </w:r>
          </w:p>
        </w:tc>
      </w:tr>
      <w:tr w:rsidR="003940B6" w:rsidRPr="003940B6" w:rsidTr="00D759C0">
        <w:tc>
          <w:tcPr>
            <w:tcW w:w="2124" w:type="dxa"/>
            <w:vAlign w:val="center"/>
          </w:tcPr>
          <w:p w:rsidR="003940B6" w:rsidRPr="003940B6" w:rsidRDefault="003940B6" w:rsidP="003940B6">
            <w:pPr>
              <w:jc w:val="center"/>
              <w:rPr>
                <w:sz w:val="24"/>
              </w:rPr>
            </w:pPr>
            <w:r w:rsidRPr="003940B6">
              <w:rPr>
                <w:sz w:val="24"/>
              </w:rPr>
              <w:t>2011</w:t>
            </w:r>
          </w:p>
        </w:tc>
        <w:tc>
          <w:tcPr>
            <w:tcW w:w="2484" w:type="dxa"/>
            <w:vAlign w:val="center"/>
          </w:tcPr>
          <w:p w:rsidR="003940B6" w:rsidRPr="003940B6" w:rsidRDefault="003940B6" w:rsidP="003940B6">
            <w:pPr>
              <w:jc w:val="center"/>
              <w:rPr>
                <w:sz w:val="24"/>
              </w:rPr>
            </w:pPr>
            <w:r w:rsidRPr="003940B6">
              <w:rPr>
                <w:sz w:val="24"/>
              </w:rPr>
              <w:t>April 30, 2012</w:t>
            </w:r>
          </w:p>
        </w:tc>
        <w:tc>
          <w:tcPr>
            <w:tcW w:w="2304" w:type="dxa"/>
            <w:vAlign w:val="center"/>
          </w:tcPr>
          <w:p w:rsidR="003940B6" w:rsidRPr="003940B6" w:rsidRDefault="003940B6" w:rsidP="003940B6">
            <w:pPr>
              <w:jc w:val="center"/>
              <w:rPr>
                <w:sz w:val="24"/>
              </w:rPr>
            </w:pPr>
            <w:r w:rsidRPr="003940B6">
              <w:rPr>
                <w:sz w:val="24"/>
              </w:rPr>
              <w:t>$</w:t>
            </w:r>
            <w:r>
              <w:rPr>
                <w:sz w:val="24"/>
              </w:rPr>
              <w:t>125,198</w:t>
            </w:r>
          </w:p>
        </w:tc>
      </w:tr>
      <w:tr w:rsidR="003940B6" w:rsidRPr="003940B6" w:rsidTr="00D759C0">
        <w:tc>
          <w:tcPr>
            <w:tcW w:w="2124" w:type="dxa"/>
            <w:vAlign w:val="center"/>
          </w:tcPr>
          <w:p w:rsidR="003940B6" w:rsidRPr="003940B6" w:rsidRDefault="003940B6" w:rsidP="003940B6">
            <w:pPr>
              <w:jc w:val="center"/>
              <w:rPr>
                <w:sz w:val="24"/>
              </w:rPr>
            </w:pPr>
            <w:r w:rsidRPr="003940B6">
              <w:rPr>
                <w:sz w:val="24"/>
              </w:rPr>
              <w:t>2010</w:t>
            </w:r>
          </w:p>
        </w:tc>
        <w:tc>
          <w:tcPr>
            <w:tcW w:w="2484" w:type="dxa"/>
            <w:vAlign w:val="center"/>
          </w:tcPr>
          <w:p w:rsidR="003940B6" w:rsidRPr="003940B6" w:rsidRDefault="003940B6" w:rsidP="003940B6">
            <w:pPr>
              <w:jc w:val="center"/>
              <w:rPr>
                <w:sz w:val="24"/>
              </w:rPr>
            </w:pPr>
            <w:r w:rsidRPr="003940B6">
              <w:rPr>
                <w:sz w:val="24"/>
              </w:rPr>
              <w:t>April 28, 2011</w:t>
            </w:r>
          </w:p>
        </w:tc>
        <w:tc>
          <w:tcPr>
            <w:tcW w:w="2304" w:type="dxa"/>
            <w:vAlign w:val="center"/>
          </w:tcPr>
          <w:p w:rsidR="003940B6" w:rsidRPr="003940B6" w:rsidRDefault="003940B6" w:rsidP="003940B6">
            <w:pPr>
              <w:jc w:val="center"/>
              <w:rPr>
                <w:sz w:val="24"/>
              </w:rPr>
            </w:pPr>
            <w:r w:rsidRPr="003940B6">
              <w:rPr>
                <w:sz w:val="24"/>
              </w:rPr>
              <w:t>$</w:t>
            </w:r>
            <w:r>
              <w:rPr>
                <w:sz w:val="24"/>
              </w:rPr>
              <w:t>119,962</w:t>
            </w:r>
          </w:p>
        </w:tc>
      </w:tr>
    </w:tbl>
    <w:p w:rsidR="0026379C" w:rsidRDefault="0026379C">
      <w:pPr>
        <w:rPr>
          <w:b/>
          <w:sz w:val="24"/>
        </w:rPr>
      </w:pPr>
    </w:p>
    <w:p w:rsidR="0070330E" w:rsidRDefault="0070330E">
      <w:pPr>
        <w:rPr>
          <w:b/>
          <w:sz w:val="24"/>
        </w:rPr>
      </w:pPr>
      <w:r w:rsidRPr="0070330E">
        <w:rPr>
          <w:b/>
          <w:sz w:val="24"/>
        </w:rPr>
        <w:t>Investigation</w:t>
      </w:r>
    </w:p>
    <w:p w:rsidR="00DE5E90" w:rsidRDefault="00670A7B" w:rsidP="006E446B">
      <w:pPr>
        <w:rPr>
          <w:sz w:val="24"/>
        </w:rPr>
      </w:pPr>
      <w:r>
        <w:rPr>
          <w:sz w:val="24"/>
        </w:rPr>
        <w:t>O</w:t>
      </w:r>
      <w:r w:rsidR="006E446B">
        <w:rPr>
          <w:sz w:val="24"/>
        </w:rPr>
        <w:t xml:space="preserve">n </w:t>
      </w:r>
      <w:r w:rsidR="0026379C">
        <w:rPr>
          <w:sz w:val="24"/>
        </w:rPr>
        <w:t>July</w:t>
      </w:r>
      <w:r>
        <w:rPr>
          <w:sz w:val="24"/>
        </w:rPr>
        <w:t xml:space="preserve"> </w:t>
      </w:r>
      <w:r w:rsidR="0026379C">
        <w:rPr>
          <w:sz w:val="24"/>
        </w:rPr>
        <w:t>5</w:t>
      </w:r>
      <w:r>
        <w:rPr>
          <w:sz w:val="24"/>
        </w:rPr>
        <w:t>, 2013, Consumer Protection</w:t>
      </w:r>
      <w:r w:rsidR="006E446B">
        <w:rPr>
          <w:sz w:val="24"/>
        </w:rPr>
        <w:t xml:space="preserve"> staff r</w:t>
      </w:r>
      <w:r w:rsidR="0026379C">
        <w:rPr>
          <w:sz w:val="24"/>
        </w:rPr>
        <w:t xml:space="preserve">eceived a complaint </w:t>
      </w:r>
      <w:r w:rsidR="004A5BC3">
        <w:rPr>
          <w:sz w:val="24"/>
        </w:rPr>
        <w:t>from a</w:t>
      </w:r>
      <w:r w:rsidR="008A61F8">
        <w:rPr>
          <w:sz w:val="24"/>
        </w:rPr>
        <w:t xml:space="preserve"> </w:t>
      </w:r>
      <w:r w:rsidR="0026379C">
        <w:rPr>
          <w:sz w:val="24"/>
        </w:rPr>
        <w:t xml:space="preserve">Washington Water Supply </w:t>
      </w:r>
      <w:r w:rsidR="004A5BC3">
        <w:rPr>
          <w:sz w:val="24"/>
        </w:rPr>
        <w:t>customer</w:t>
      </w:r>
      <w:r w:rsidR="0026379C">
        <w:rPr>
          <w:sz w:val="24"/>
        </w:rPr>
        <w:t xml:space="preserve"> served by the Silent Sky water system near </w:t>
      </w:r>
      <w:proofErr w:type="spellStart"/>
      <w:r w:rsidR="0026379C">
        <w:rPr>
          <w:sz w:val="24"/>
        </w:rPr>
        <w:t>Seabeck</w:t>
      </w:r>
      <w:proofErr w:type="spellEnd"/>
      <w:r w:rsidR="0026379C">
        <w:rPr>
          <w:sz w:val="24"/>
        </w:rPr>
        <w:t xml:space="preserve">, WA.  </w:t>
      </w:r>
      <w:r w:rsidR="00703F48">
        <w:rPr>
          <w:sz w:val="24"/>
        </w:rPr>
        <w:t xml:space="preserve">The customer stated that she is billed by Washington Water Supply, Inc. </w:t>
      </w:r>
      <w:r w:rsidR="00DE5E90">
        <w:rPr>
          <w:sz w:val="24"/>
        </w:rPr>
        <w:t xml:space="preserve">Consumer Protection staff confirmed that </w:t>
      </w:r>
      <w:r w:rsidR="0026379C">
        <w:rPr>
          <w:sz w:val="24"/>
        </w:rPr>
        <w:t>the Silent Sky water system was not listed in the company’s</w:t>
      </w:r>
      <w:r w:rsidR="00DE5E90">
        <w:rPr>
          <w:sz w:val="24"/>
        </w:rPr>
        <w:t xml:space="preserve"> tariff on file with the commission, and referred the matter to </w:t>
      </w:r>
      <w:r w:rsidR="0026379C">
        <w:rPr>
          <w:sz w:val="24"/>
        </w:rPr>
        <w:t xml:space="preserve">Compliance Investigations </w:t>
      </w:r>
      <w:r w:rsidR="00DE5E90">
        <w:rPr>
          <w:sz w:val="24"/>
        </w:rPr>
        <w:t xml:space="preserve">staff. </w:t>
      </w:r>
    </w:p>
    <w:p w:rsidR="006A0FD2" w:rsidRDefault="006A0FD2" w:rsidP="006E446B">
      <w:pPr>
        <w:rPr>
          <w:sz w:val="24"/>
        </w:rPr>
      </w:pPr>
    </w:p>
    <w:p w:rsidR="006A0FD2" w:rsidRDefault="006A0FD2" w:rsidP="006E446B">
      <w:pPr>
        <w:rPr>
          <w:sz w:val="24"/>
        </w:rPr>
      </w:pPr>
      <w:r>
        <w:rPr>
          <w:sz w:val="24"/>
        </w:rPr>
        <w:t xml:space="preserve">On </w:t>
      </w:r>
      <w:r w:rsidR="0026379C">
        <w:rPr>
          <w:sz w:val="24"/>
        </w:rPr>
        <w:t>July</w:t>
      </w:r>
      <w:r>
        <w:rPr>
          <w:sz w:val="24"/>
        </w:rPr>
        <w:t xml:space="preserve"> 26, 2013, </w:t>
      </w:r>
      <w:r w:rsidR="0026379C">
        <w:rPr>
          <w:sz w:val="24"/>
        </w:rPr>
        <w:t>Compliance Investigations</w:t>
      </w:r>
      <w:r>
        <w:rPr>
          <w:sz w:val="24"/>
        </w:rPr>
        <w:t xml:space="preserve"> staff sent a letter </w:t>
      </w:r>
      <w:r w:rsidR="00D2132E">
        <w:rPr>
          <w:sz w:val="24"/>
        </w:rPr>
        <w:t xml:space="preserve">and a jurisdictional survey </w:t>
      </w:r>
      <w:r w:rsidR="0044728E">
        <w:rPr>
          <w:sz w:val="24"/>
        </w:rPr>
        <w:t xml:space="preserve">to </w:t>
      </w:r>
      <w:r w:rsidR="0026379C">
        <w:rPr>
          <w:sz w:val="24"/>
        </w:rPr>
        <w:t>John Poppe</w:t>
      </w:r>
      <w:r>
        <w:rPr>
          <w:sz w:val="24"/>
        </w:rPr>
        <w:t xml:space="preserve">, owner of </w:t>
      </w:r>
      <w:r w:rsidR="00B51901">
        <w:rPr>
          <w:sz w:val="24"/>
        </w:rPr>
        <w:t>Washington</w:t>
      </w:r>
      <w:r>
        <w:rPr>
          <w:sz w:val="24"/>
        </w:rPr>
        <w:t xml:space="preserve"> Water, to obtain information about the </w:t>
      </w:r>
      <w:r w:rsidR="0026379C">
        <w:rPr>
          <w:sz w:val="24"/>
        </w:rPr>
        <w:t>water system</w:t>
      </w:r>
      <w:r>
        <w:rPr>
          <w:sz w:val="24"/>
        </w:rPr>
        <w:t>.</w:t>
      </w:r>
      <w:r w:rsidR="00424FBB">
        <w:rPr>
          <w:rStyle w:val="FootnoteReference"/>
          <w:sz w:val="24"/>
        </w:rPr>
        <w:footnoteReference w:id="2"/>
      </w:r>
      <w:r>
        <w:rPr>
          <w:sz w:val="24"/>
        </w:rPr>
        <w:t xml:space="preserve">  </w:t>
      </w:r>
      <w:r w:rsidR="0026379C">
        <w:rPr>
          <w:sz w:val="24"/>
        </w:rPr>
        <w:t xml:space="preserve">The company was required to respond by Aug. 2, 2013. </w:t>
      </w:r>
    </w:p>
    <w:p w:rsidR="00DE5E90" w:rsidRDefault="00DE5E90" w:rsidP="006E446B">
      <w:pPr>
        <w:rPr>
          <w:sz w:val="24"/>
        </w:rPr>
      </w:pPr>
    </w:p>
    <w:p w:rsidR="000E32C5" w:rsidRDefault="006E446B" w:rsidP="006E446B">
      <w:pPr>
        <w:rPr>
          <w:sz w:val="24"/>
        </w:rPr>
      </w:pPr>
      <w:r>
        <w:rPr>
          <w:sz w:val="24"/>
        </w:rPr>
        <w:t xml:space="preserve">On </w:t>
      </w:r>
      <w:r w:rsidR="0026379C">
        <w:rPr>
          <w:sz w:val="24"/>
        </w:rPr>
        <w:t>Aug.</w:t>
      </w:r>
      <w:r w:rsidR="000E32C5">
        <w:rPr>
          <w:sz w:val="24"/>
        </w:rPr>
        <w:t xml:space="preserve"> </w:t>
      </w:r>
      <w:r w:rsidR="0026379C">
        <w:rPr>
          <w:sz w:val="24"/>
        </w:rPr>
        <w:t>9</w:t>
      </w:r>
      <w:r w:rsidR="000E32C5">
        <w:rPr>
          <w:sz w:val="24"/>
        </w:rPr>
        <w:t>,</w:t>
      </w:r>
      <w:r>
        <w:rPr>
          <w:sz w:val="24"/>
        </w:rPr>
        <w:t xml:space="preserve"> 20</w:t>
      </w:r>
      <w:r w:rsidR="000E32C5">
        <w:rPr>
          <w:sz w:val="24"/>
        </w:rPr>
        <w:t>13</w:t>
      </w:r>
      <w:r>
        <w:rPr>
          <w:sz w:val="24"/>
        </w:rPr>
        <w:t xml:space="preserve">, </w:t>
      </w:r>
      <w:r w:rsidR="0026379C">
        <w:rPr>
          <w:sz w:val="24"/>
        </w:rPr>
        <w:t>Compliance Investigations</w:t>
      </w:r>
      <w:r>
        <w:rPr>
          <w:sz w:val="24"/>
        </w:rPr>
        <w:t xml:space="preserve"> staff </w:t>
      </w:r>
      <w:r w:rsidR="0026379C">
        <w:rPr>
          <w:sz w:val="24"/>
        </w:rPr>
        <w:t xml:space="preserve">received a response from </w:t>
      </w:r>
      <w:r w:rsidR="0048516C">
        <w:rPr>
          <w:sz w:val="24"/>
        </w:rPr>
        <w:t xml:space="preserve">Mr. Poppe, </w:t>
      </w:r>
      <w:r w:rsidR="00D2132E">
        <w:rPr>
          <w:sz w:val="24"/>
        </w:rPr>
        <w:t>confirming</w:t>
      </w:r>
      <w:r w:rsidR="0048516C">
        <w:rPr>
          <w:sz w:val="24"/>
        </w:rPr>
        <w:t xml:space="preserve"> that Washington Water Supply, Inc. owns the Silent Sky water system, and charges</w:t>
      </w:r>
      <w:r w:rsidR="008F32E7">
        <w:rPr>
          <w:sz w:val="24"/>
        </w:rPr>
        <w:t xml:space="preserve"> its users a flat rate of $15</w:t>
      </w:r>
      <w:r w:rsidR="0048516C">
        <w:rPr>
          <w:sz w:val="24"/>
        </w:rPr>
        <w:t xml:space="preserve"> per month for water service.</w:t>
      </w:r>
      <w:r w:rsidR="00DE3622">
        <w:rPr>
          <w:rStyle w:val="FootnoteReference"/>
          <w:sz w:val="24"/>
        </w:rPr>
        <w:footnoteReference w:id="3"/>
      </w:r>
    </w:p>
    <w:p w:rsidR="000E32C5" w:rsidRDefault="000E32C5" w:rsidP="006E446B">
      <w:pPr>
        <w:rPr>
          <w:sz w:val="24"/>
        </w:rPr>
      </w:pPr>
    </w:p>
    <w:p w:rsidR="006E446B" w:rsidRDefault="000E32C5" w:rsidP="006E446B">
      <w:pPr>
        <w:rPr>
          <w:sz w:val="24"/>
        </w:rPr>
      </w:pPr>
      <w:r>
        <w:rPr>
          <w:sz w:val="24"/>
        </w:rPr>
        <w:t xml:space="preserve">On </w:t>
      </w:r>
      <w:r w:rsidR="0048516C">
        <w:rPr>
          <w:sz w:val="24"/>
        </w:rPr>
        <w:t>Aug.</w:t>
      </w:r>
      <w:r>
        <w:rPr>
          <w:sz w:val="24"/>
        </w:rPr>
        <w:t xml:space="preserve"> 1</w:t>
      </w:r>
      <w:r w:rsidR="0048516C">
        <w:rPr>
          <w:sz w:val="24"/>
        </w:rPr>
        <w:t>9</w:t>
      </w:r>
      <w:r>
        <w:rPr>
          <w:sz w:val="24"/>
        </w:rPr>
        <w:t xml:space="preserve">, 2013, </w:t>
      </w:r>
      <w:r w:rsidR="0048516C">
        <w:rPr>
          <w:sz w:val="24"/>
        </w:rPr>
        <w:t>Compliance Investigations</w:t>
      </w:r>
      <w:r>
        <w:rPr>
          <w:sz w:val="24"/>
        </w:rPr>
        <w:t xml:space="preserve"> </w:t>
      </w:r>
      <w:r w:rsidR="004A5BC3">
        <w:rPr>
          <w:sz w:val="24"/>
        </w:rPr>
        <w:t xml:space="preserve">staff </w:t>
      </w:r>
      <w:r w:rsidR="0048516C">
        <w:rPr>
          <w:sz w:val="24"/>
        </w:rPr>
        <w:t>sent a letter to Mr. Poppe, notifying him that WAC 480-110-433 requires a water company to file revisions to its filed tariff within thirty days of its ac</w:t>
      </w:r>
      <w:r w:rsidR="00D2132E">
        <w:rPr>
          <w:sz w:val="24"/>
        </w:rPr>
        <w:t xml:space="preserve">quisition of </w:t>
      </w:r>
      <w:r w:rsidR="00BF2620">
        <w:rPr>
          <w:sz w:val="24"/>
        </w:rPr>
        <w:t xml:space="preserve">a </w:t>
      </w:r>
      <w:r w:rsidR="00D2132E">
        <w:rPr>
          <w:sz w:val="24"/>
        </w:rPr>
        <w:t xml:space="preserve">new service area. </w:t>
      </w:r>
      <w:r w:rsidR="001A1519">
        <w:rPr>
          <w:sz w:val="24"/>
        </w:rPr>
        <w:t xml:space="preserve">The letter instructed Mr. Poppe to contact Regulatory Analyst Jim Ward for assistance with the tariff-filing process </w:t>
      </w:r>
      <w:r w:rsidR="00BF2620">
        <w:rPr>
          <w:sz w:val="24"/>
        </w:rPr>
        <w:t xml:space="preserve">no later than </w:t>
      </w:r>
      <w:r w:rsidR="001A1519">
        <w:rPr>
          <w:sz w:val="24"/>
        </w:rPr>
        <w:t>Aug. 26, 2013.</w:t>
      </w:r>
      <w:r w:rsidR="001A1519">
        <w:rPr>
          <w:rStyle w:val="FootnoteReference"/>
          <w:sz w:val="24"/>
        </w:rPr>
        <w:footnoteReference w:id="4"/>
      </w:r>
      <w:r w:rsidR="00D2132E">
        <w:rPr>
          <w:sz w:val="24"/>
        </w:rPr>
        <w:t xml:space="preserve"> </w:t>
      </w:r>
      <w:r w:rsidR="001A1519">
        <w:rPr>
          <w:sz w:val="24"/>
        </w:rPr>
        <w:t>The letter stated that failure to initiate the tariff filing process by that date would result in enforcement action, which may include monetary penalties.</w:t>
      </w:r>
    </w:p>
    <w:p w:rsidR="001A1519" w:rsidRDefault="001A1519" w:rsidP="006E446B">
      <w:pPr>
        <w:rPr>
          <w:sz w:val="24"/>
        </w:rPr>
      </w:pPr>
    </w:p>
    <w:p w:rsidR="00DE5E90" w:rsidRDefault="000E32C5" w:rsidP="000E32C5">
      <w:pPr>
        <w:rPr>
          <w:sz w:val="24"/>
        </w:rPr>
      </w:pPr>
      <w:r>
        <w:rPr>
          <w:sz w:val="24"/>
        </w:rPr>
        <w:t>O</w:t>
      </w:r>
      <w:r w:rsidR="004C0C13">
        <w:rPr>
          <w:sz w:val="24"/>
        </w:rPr>
        <w:t xml:space="preserve">n </w:t>
      </w:r>
      <w:r w:rsidR="001A1519">
        <w:rPr>
          <w:sz w:val="24"/>
        </w:rPr>
        <w:t>Sept.</w:t>
      </w:r>
      <w:r>
        <w:rPr>
          <w:sz w:val="24"/>
        </w:rPr>
        <w:t xml:space="preserve"> 5,</w:t>
      </w:r>
      <w:r w:rsidR="004C0C13">
        <w:rPr>
          <w:sz w:val="24"/>
        </w:rPr>
        <w:t xml:space="preserve"> 201</w:t>
      </w:r>
      <w:r>
        <w:rPr>
          <w:sz w:val="24"/>
        </w:rPr>
        <w:t xml:space="preserve">3, </w:t>
      </w:r>
      <w:r w:rsidR="001A1519">
        <w:rPr>
          <w:sz w:val="24"/>
        </w:rPr>
        <w:t>Mr. Ward received a letter from Mr. Poppe</w:t>
      </w:r>
      <w:r w:rsidR="00D2132E">
        <w:rPr>
          <w:sz w:val="24"/>
        </w:rPr>
        <w:t>, including a list of</w:t>
      </w:r>
      <w:r w:rsidR="001A1519">
        <w:rPr>
          <w:sz w:val="24"/>
        </w:rPr>
        <w:t xml:space="preserve"> the water systems currently owned and operated by Washington Water Supply.  The list included two systems </w:t>
      </w:r>
      <w:r w:rsidR="00BF2620">
        <w:rPr>
          <w:sz w:val="24"/>
        </w:rPr>
        <w:t xml:space="preserve">that </w:t>
      </w:r>
      <w:r w:rsidR="001A1519">
        <w:rPr>
          <w:sz w:val="24"/>
        </w:rPr>
        <w:t xml:space="preserve">are not in the company’s current tariff (Bainbridge 1 and Silent Sky), and omitted a </w:t>
      </w:r>
      <w:r w:rsidR="001A1519">
        <w:rPr>
          <w:sz w:val="24"/>
        </w:rPr>
        <w:lastRenderedPageBreak/>
        <w:t>system that is currently in the company’s tariff (Whidbey West)</w:t>
      </w:r>
      <w:r w:rsidR="00DE5E90">
        <w:rPr>
          <w:sz w:val="24"/>
        </w:rPr>
        <w:t>.</w:t>
      </w:r>
      <w:r w:rsidR="008A61F8">
        <w:rPr>
          <w:rStyle w:val="FootnoteReference"/>
          <w:sz w:val="24"/>
        </w:rPr>
        <w:footnoteReference w:id="5"/>
      </w:r>
      <w:r w:rsidR="00A06766">
        <w:rPr>
          <w:sz w:val="24"/>
        </w:rPr>
        <w:t xml:space="preserve"> Th</w:t>
      </w:r>
      <w:r w:rsidR="00847C5A">
        <w:rPr>
          <w:sz w:val="24"/>
        </w:rPr>
        <w:t>is</w:t>
      </w:r>
      <w:r w:rsidR="00A06766">
        <w:rPr>
          <w:sz w:val="24"/>
        </w:rPr>
        <w:t xml:space="preserve"> letter did not constitute a regulatory filing.</w:t>
      </w:r>
    </w:p>
    <w:p w:rsidR="00DE5E90" w:rsidRDefault="00DE5E90" w:rsidP="000E32C5">
      <w:pPr>
        <w:rPr>
          <w:sz w:val="24"/>
        </w:rPr>
      </w:pPr>
    </w:p>
    <w:p w:rsidR="00DE5E90" w:rsidRDefault="00DE5E90" w:rsidP="000E32C5">
      <w:pPr>
        <w:rPr>
          <w:sz w:val="24"/>
        </w:rPr>
      </w:pPr>
      <w:r>
        <w:rPr>
          <w:sz w:val="24"/>
        </w:rPr>
        <w:t xml:space="preserve">On </w:t>
      </w:r>
      <w:r w:rsidR="001A1519">
        <w:rPr>
          <w:sz w:val="24"/>
        </w:rPr>
        <w:t>Sept.</w:t>
      </w:r>
      <w:r>
        <w:rPr>
          <w:sz w:val="24"/>
        </w:rPr>
        <w:t xml:space="preserve"> </w:t>
      </w:r>
      <w:r w:rsidR="001A1519">
        <w:rPr>
          <w:sz w:val="24"/>
        </w:rPr>
        <w:t>6</w:t>
      </w:r>
      <w:r>
        <w:rPr>
          <w:sz w:val="24"/>
        </w:rPr>
        <w:t xml:space="preserve">, 2013, </w:t>
      </w:r>
      <w:r w:rsidR="001A1519">
        <w:rPr>
          <w:sz w:val="24"/>
        </w:rPr>
        <w:t xml:space="preserve">Mr. Ward sent Mr. Poppe an email </w:t>
      </w:r>
      <w:r w:rsidR="00AF735E">
        <w:rPr>
          <w:sz w:val="24"/>
        </w:rPr>
        <w:t>advising him that his company has failed to provide notice to the commission or its customers</w:t>
      </w:r>
      <w:r w:rsidR="00D2132E">
        <w:rPr>
          <w:sz w:val="24"/>
        </w:rPr>
        <w:t xml:space="preserve"> of the transfer of ownership. </w:t>
      </w:r>
      <w:r w:rsidR="00AF735E">
        <w:rPr>
          <w:sz w:val="24"/>
        </w:rPr>
        <w:t>Mr. Poppe responded, stating that Washington Water Supply, Inc. wants to comply with commission rules, an</w:t>
      </w:r>
      <w:r w:rsidR="00D2132E">
        <w:rPr>
          <w:sz w:val="24"/>
        </w:rPr>
        <w:t xml:space="preserve">d asking what his options </w:t>
      </w:r>
      <w:r w:rsidR="00BF2620">
        <w:rPr>
          <w:sz w:val="24"/>
        </w:rPr>
        <w:t>were</w:t>
      </w:r>
      <w:r w:rsidR="00D2132E">
        <w:rPr>
          <w:sz w:val="24"/>
        </w:rPr>
        <w:t>. Mr. Ward</w:t>
      </w:r>
      <w:r w:rsidR="00AF735E">
        <w:rPr>
          <w:sz w:val="24"/>
        </w:rPr>
        <w:t xml:space="preserve"> advis</w:t>
      </w:r>
      <w:r w:rsidR="00D2132E">
        <w:rPr>
          <w:sz w:val="24"/>
        </w:rPr>
        <w:t>ed</w:t>
      </w:r>
      <w:r w:rsidR="00AF735E">
        <w:rPr>
          <w:sz w:val="24"/>
        </w:rPr>
        <w:t xml:space="preserve"> that the company needs to</w:t>
      </w:r>
      <w:r w:rsidR="001A1519">
        <w:rPr>
          <w:sz w:val="24"/>
        </w:rPr>
        <w:t xml:space="preserve"> fil</w:t>
      </w:r>
      <w:r w:rsidR="00AF735E">
        <w:rPr>
          <w:sz w:val="24"/>
        </w:rPr>
        <w:t>e</w:t>
      </w:r>
      <w:r w:rsidR="001A1519">
        <w:rPr>
          <w:sz w:val="24"/>
        </w:rPr>
        <w:t xml:space="preserve"> a</w:t>
      </w:r>
      <w:r w:rsidR="00AF735E">
        <w:rPr>
          <w:sz w:val="24"/>
        </w:rPr>
        <w:t>n application for sale and transfer, submit customer notices for commission review, and update the company’s service area in its tariff.</w:t>
      </w:r>
      <w:r w:rsidR="001A1519">
        <w:rPr>
          <w:rStyle w:val="FootnoteReference"/>
          <w:sz w:val="24"/>
        </w:rPr>
        <w:footnoteReference w:id="6"/>
      </w:r>
      <w:r w:rsidR="00C1163F">
        <w:rPr>
          <w:sz w:val="24"/>
        </w:rPr>
        <w:t xml:space="preserve">  He provided Mr. Poppe with a sample </w:t>
      </w:r>
      <w:r w:rsidR="00A06766">
        <w:rPr>
          <w:sz w:val="24"/>
        </w:rPr>
        <w:t xml:space="preserve">application for </w:t>
      </w:r>
      <w:r w:rsidR="00C1163F">
        <w:rPr>
          <w:sz w:val="24"/>
        </w:rPr>
        <w:t xml:space="preserve">transfer </w:t>
      </w:r>
      <w:r w:rsidR="00A06766">
        <w:rPr>
          <w:sz w:val="24"/>
        </w:rPr>
        <w:t>of property</w:t>
      </w:r>
      <w:r w:rsidR="00C1163F">
        <w:rPr>
          <w:sz w:val="24"/>
        </w:rPr>
        <w:t>.</w:t>
      </w:r>
    </w:p>
    <w:p w:rsidR="00CC4444" w:rsidRDefault="00CC4444" w:rsidP="00CC4444">
      <w:pPr>
        <w:rPr>
          <w:sz w:val="24"/>
        </w:rPr>
      </w:pPr>
    </w:p>
    <w:p w:rsidR="00C1163F" w:rsidRDefault="00CC4444" w:rsidP="00CC4444">
      <w:pPr>
        <w:rPr>
          <w:sz w:val="24"/>
        </w:rPr>
      </w:pPr>
      <w:r>
        <w:rPr>
          <w:sz w:val="24"/>
        </w:rPr>
        <w:t xml:space="preserve">On Dec. 17, 2013, </w:t>
      </w:r>
      <w:r w:rsidR="00BF2620">
        <w:rPr>
          <w:sz w:val="24"/>
        </w:rPr>
        <w:t xml:space="preserve">staff </w:t>
      </w:r>
      <w:r>
        <w:rPr>
          <w:sz w:val="24"/>
        </w:rPr>
        <w:t>emailed John Poppe requesting information related to the company’s acquisition of Silent Sky and Bainbridge 1.</w:t>
      </w:r>
      <w:r w:rsidR="00C1163F">
        <w:rPr>
          <w:sz w:val="24"/>
        </w:rPr>
        <w:t xml:space="preserve"> </w:t>
      </w:r>
      <w:r w:rsidR="00BF2620">
        <w:rPr>
          <w:sz w:val="24"/>
        </w:rPr>
        <w:t xml:space="preserve">Staff </w:t>
      </w:r>
      <w:r w:rsidR="00C1163F">
        <w:rPr>
          <w:sz w:val="24"/>
        </w:rPr>
        <w:t xml:space="preserve">did not receive a response. </w:t>
      </w:r>
    </w:p>
    <w:p w:rsidR="00C1163F" w:rsidRDefault="00C1163F" w:rsidP="00CC4444">
      <w:pPr>
        <w:rPr>
          <w:sz w:val="24"/>
        </w:rPr>
      </w:pPr>
    </w:p>
    <w:p w:rsidR="00C1163F" w:rsidRDefault="00C1163F" w:rsidP="00CC4444">
      <w:pPr>
        <w:rPr>
          <w:sz w:val="24"/>
        </w:rPr>
      </w:pPr>
      <w:r>
        <w:rPr>
          <w:sz w:val="24"/>
        </w:rPr>
        <w:t xml:space="preserve">On Dec. 20, 2013, Mr. Poppe called Jim Ward and requested that he re-send him the sample transfer application. Mr. Poppe stated that his company is currently “downsizing,” and that he plans to sell more systems.  He indicated that he preferred to wait until that process is complete before filing </w:t>
      </w:r>
      <w:r w:rsidR="00847C5A">
        <w:rPr>
          <w:sz w:val="24"/>
        </w:rPr>
        <w:t>changes</w:t>
      </w:r>
      <w:r>
        <w:rPr>
          <w:sz w:val="24"/>
        </w:rPr>
        <w:t xml:space="preserve"> to his tariff.</w:t>
      </w:r>
    </w:p>
    <w:p w:rsidR="00C1163F" w:rsidRDefault="00C1163F" w:rsidP="00C1163F">
      <w:pPr>
        <w:rPr>
          <w:sz w:val="24"/>
        </w:rPr>
      </w:pPr>
    </w:p>
    <w:p w:rsidR="00C1163F" w:rsidRDefault="008F32E7" w:rsidP="00C1163F">
      <w:pPr>
        <w:rPr>
          <w:sz w:val="24"/>
        </w:rPr>
      </w:pPr>
      <w:r>
        <w:rPr>
          <w:sz w:val="24"/>
        </w:rPr>
        <w:t>As of Dec. 31</w:t>
      </w:r>
      <w:r w:rsidR="00C1163F">
        <w:rPr>
          <w:sz w:val="24"/>
        </w:rPr>
        <w:t xml:space="preserve">, 2013, Washington Water Supply </w:t>
      </w:r>
      <w:r w:rsidR="006C77F5">
        <w:rPr>
          <w:sz w:val="24"/>
        </w:rPr>
        <w:t>had</w:t>
      </w:r>
      <w:r w:rsidR="00C1163F">
        <w:rPr>
          <w:sz w:val="24"/>
        </w:rPr>
        <w:t xml:space="preserve"> not filed an application for sale and transfer, submitted customer notices, or filed a tariff revision to update its service area.  </w:t>
      </w:r>
    </w:p>
    <w:p w:rsidR="00DE5E90" w:rsidRDefault="00DE5E90" w:rsidP="00CC4444">
      <w:pPr>
        <w:rPr>
          <w:sz w:val="24"/>
        </w:rPr>
      </w:pPr>
      <w:r>
        <w:rPr>
          <w:sz w:val="24"/>
        </w:rPr>
        <w:br w:type="page"/>
      </w:r>
    </w:p>
    <w:p w:rsidR="006A510E" w:rsidRDefault="006A510E" w:rsidP="00064083">
      <w:pPr>
        <w:jc w:val="center"/>
        <w:rPr>
          <w:b/>
          <w:sz w:val="24"/>
        </w:rPr>
      </w:pPr>
      <w:r>
        <w:rPr>
          <w:b/>
          <w:sz w:val="24"/>
        </w:rPr>
        <w:lastRenderedPageBreak/>
        <w:t>INVESTIGATION</w:t>
      </w:r>
    </w:p>
    <w:p w:rsidR="006A510E" w:rsidRDefault="006A510E" w:rsidP="006A510E">
      <w:pPr>
        <w:pStyle w:val="NoSpacing"/>
        <w:jc w:val="center"/>
      </w:pPr>
    </w:p>
    <w:p w:rsidR="004C0C13" w:rsidRDefault="004A5BC3" w:rsidP="004C0C13">
      <w:pPr>
        <w:pStyle w:val="NoSpacing"/>
      </w:pPr>
      <w:r>
        <w:t xml:space="preserve">According to Department of Health records, </w:t>
      </w:r>
      <w:r w:rsidR="002A0163">
        <w:t xml:space="preserve">Silent Sky </w:t>
      </w:r>
      <w:r w:rsidR="00EF2061">
        <w:t>is</w:t>
      </w:r>
      <w:r w:rsidR="00064083">
        <w:t xml:space="preserve"> classified as</w:t>
      </w:r>
      <w:r w:rsidR="002A0163">
        <w:t xml:space="preserve"> a Group B</w:t>
      </w:r>
      <w:r w:rsidR="00EF2061">
        <w:t xml:space="preserve"> Water System</w:t>
      </w:r>
      <w:r w:rsidR="00064083">
        <w:t>, with an iden</w:t>
      </w:r>
      <w:r>
        <w:t xml:space="preserve">tification number of </w:t>
      </w:r>
      <w:r w:rsidR="002A0163">
        <w:t>17721</w:t>
      </w:r>
      <w:r>
        <w:t xml:space="preserve"> </w:t>
      </w:r>
      <w:r w:rsidR="002A0163">
        <w:t>D</w:t>
      </w:r>
      <w:r>
        <w:t>.  The water system</w:t>
      </w:r>
      <w:r w:rsidR="002A0163">
        <w:t xml:space="preserve"> serves six customers in </w:t>
      </w:r>
      <w:proofErr w:type="spellStart"/>
      <w:r w:rsidR="002A0163">
        <w:t>Seabeck</w:t>
      </w:r>
      <w:proofErr w:type="spellEnd"/>
      <w:r w:rsidR="002A0163">
        <w:t xml:space="preserve">, WA in Kitsap County. </w:t>
      </w:r>
      <w:r>
        <w:t xml:space="preserve"> </w:t>
      </w:r>
      <w:r w:rsidR="002A0163">
        <w:t>Bainbridge 1 is also classified as a Group B Water System, with an identification number of 95625 F.  This system serves eight customers in Kitsap County.  Both systems are owned and operated by Washington Water Supply, Inc</w:t>
      </w:r>
      <w:r>
        <w:t>.</w:t>
      </w:r>
      <w:r w:rsidR="00326AAA">
        <w:rPr>
          <w:rStyle w:val="FootnoteReference"/>
        </w:rPr>
        <w:footnoteReference w:id="7"/>
      </w:r>
      <w:r>
        <w:t xml:space="preserve">  </w:t>
      </w:r>
    </w:p>
    <w:p w:rsidR="00847C5A" w:rsidRDefault="00847C5A" w:rsidP="00847C5A">
      <w:pPr>
        <w:rPr>
          <w:sz w:val="24"/>
        </w:rPr>
      </w:pPr>
    </w:p>
    <w:p w:rsidR="00847C5A" w:rsidRPr="00847C5A" w:rsidRDefault="00847C5A" w:rsidP="00847C5A">
      <w:pPr>
        <w:rPr>
          <w:sz w:val="24"/>
        </w:rPr>
      </w:pPr>
      <w:r>
        <w:rPr>
          <w:sz w:val="24"/>
        </w:rPr>
        <w:t>The Department of Health’s Office of Drinking of Water does not maintain records of changes of ownership of Group B water systems, and does not have any record of either Silent Sky or Bainbridge 1 changing ownership.</w:t>
      </w:r>
    </w:p>
    <w:p w:rsidR="002A0163" w:rsidRDefault="002A0163" w:rsidP="004C0C13">
      <w:pPr>
        <w:pStyle w:val="NoSpacing"/>
      </w:pPr>
    </w:p>
    <w:p w:rsidR="00A330FB" w:rsidRDefault="002A0163" w:rsidP="004C0C13">
      <w:pPr>
        <w:pStyle w:val="NoSpacing"/>
      </w:pPr>
      <w:r>
        <w:t xml:space="preserve">Whidbey West Water System is classified as a Group </w:t>
      </w:r>
      <w:proofErr w:type="gramStart"/>
      <w:r>
        <w:t>A</w:t>
      </w:r>
      <w:proofErr w:type="gramEnd"/>
      <w:r>
        <w:t xml:space="preserve"> Water System, with an identification number of 36314.  Th</w:t>
      </w:r>
      <w:r w:rsidR="00042390">
        <w:t>e system serv</w:t>
      </w:r>
      <w:r>
        <w:t xml:space="preserve">es 176 customers on Whidbey Island, in Island County.  </w:t>
      </w:r>
      <w:r w:rsidR="009350C3">
        <w:t>The company acquired the system in 1994.  The company’s application for transfer of property was approved by the commission on Oct. 26, 1994</w:t>
      </w:r>
      <w:r w:rsidR="00BF2620">
        <w:t>,</w:t>
      </w:r>
      <w:r w:rsidR="009350C3">
        <w:t xml:space="preserve"> in Docket # 930400. </w:t>
      </w:r>
    </w:p>
    <w:p w:rsidR="00A330FB" w:rsidRDefault="00A330FB" w:rsidP="004C0C13">
      <w:pPr>
        <w:pStyle w:val="NoSpacing"/>
      </w:pPr>
    </w:p>
    <w:p w:rsidR="002A0163" w:rsidRDefault="002A0163" w:rsidP="004C0C13">
      <w:pPr>
        <w:pStyle w:val="NoSpacing"/>
      </w:pPr>
      <w:r>
        <w:t xml:space="preserve">According to </w:t>
      </w:r>
      <w:r w:rsidR="00B51901">
        <w:t xml:space="preserve">Department of Health Records, Washington Water Supply, Inc. sold the system to Whidbey West Water Association </w:t>
      </w:r>
      <w:r w:rsidR="00657555">
        <w:t>(WWWA), a non-profit corporation, on Sept. 1</w:t>
      </w:r>
      <w:r w:rsidR="00B51901">
        <w:t>, 2012.</w:t>
      </w:r>
      <w:r w:rsidR="00657555">
        <w:rPr>
          <w:rStyle w:val="FootnoteReference"/>
        </w:rPr>
        <w:footnoteReference w:id="8"/>
      </w:r>
      <w:r>
        <w:t xml:space="preserve">  </w:t>
      </w:r>
    </w:p>
    <w:p w:rsidR="00A30C47" w:rsidRDefault="00A30C47" w:rsidP="00A56E44">
      <w:pPr>
        <w:rPr>
          <w:sz w:val="24"/>
        </w:rPr>
      </w:pPr>
    </w:p>
    <w:p w:rsidR="00770F24" w:rsidRPr="00770F24" w:rsidRDefault="00770F24" w:rsidP="007724D4">
      <w:pPr>
        <w:rPr>
          <w:b/>
          <w:sz w:val="24"/>
        </w:rPr>
      </w:pPr>
      <w:r w:rsidRPr="00770F24">
        <w:rPr>
          <w:b/>
          <w:sz w:val="24"/>
        </w:rPr>
        <w:t>Discussion</w:t>
      </w:r>
    </w:p>
    <w:p w:rsidR="009463A4" w:rsidRDefault="00615446" w:rsidP="002A0163">
      <w:pPr>
        <w:rPr>
          <w:sz w:val="24"/>
        </w:rPr>
      </w:pPr>
      <w:r w:rsidRPr="00615446">
        <w:rPr>
          <w:sz w:val="24"/>
        </w:rPr>
        <w:t xml:space="preserve">The commission regulates water companies under </w:t>
      </w:r>
      <w:r w:rsidR="00BF2620">
        <w:rPr>
          <w:sz w:val="24"/>
        </w:rPr>
        <w:t>RCW</w:t>
      </w:r>
      <w:r w:rsidR="00BF2620" w:rsidRPr="00615446">
        <w:rPr>
          <w:sz w:val="24"/>
        </w:rPr>
        <w:t xml:space="preserve"> </w:t>
      </w:r>
      <w:r w:rsidRPr="00615446">
        <w:rPr>
          <w:sz w:val="24"/>
        </w:rPr>
        <w:t xml:space="preserve">80.28. </w:t>
      </w:r>
      <w:r w:rsidR="00D115FB">
        <w:rPr>
          <w:sz w:val="24"/>
        </w:rPr>
        <w:t xml:space="preserve"> </w:t>
      </w:r>
      <w:r w:rsidR="00173821">
        <w:rPr>
          <w:sz w:val="24"/>
        </w:rPr>
        <w:t xml:space="preserve">Water </w:t>
      </w:r>
      <w:r w:rsidR="00D06008">
        <w:rPr>
          <w:sz w:val="24"/>
        </w:rPr>
        <w:t xml:space="preserve">companies </w:t>
      </w:r>
      <w:r w:rsidR="00173821">
        <w:rPr>
          <w:sz w:val="24"/>
        </w:rPr>
        <w:t xml:space="preserve">under the commission’s jurisdiction </w:t>
      </w:r>
      <w:r w:rsidR="00D06008">
        <w:rPr>
          <w:sz w:val="24"/>
        </w:rPr>
        <w:t xml:space="preserve">are subject to </w:t>
      </w:r>
      <w:r w:rsidR="00BF2620">
        <w:rPr>
          <w:sz w:val="24"/>
        </w:rPr>
        <w:t xml:space="preserve">RCW </w:t>
      </w:r>
      <w:r w:rsidR="00D06008">
        <w:rPr>
          <w:sz w:val="24"/>
        </w:rPr>
        <w:t xml:space="preserve">80.12 and </w:t>
      </w:r>
      <w:r w:rsidR="00BF2620">
        <w:rPr>
          <w:sz w:val="24"/>
        </w:rPr>
        <w:t xml:space="preserve">WAC </w:t>
      </w:r>
      <w:r w:rsidR="00D06008">
        <w:rPr>
          <w:sz w:val="24"/>
        </w:rPr>
        <w:t>480-14</w:t>
      </w:r>
      <w:r w:rsidR="00173821">
        <w:rPr>
          <w:sz w:val="24"/>
        </w:rPr>
        <w:t xml:space="preserve">3, </w:t>
      </w:r>
      <w:r w:rsidR="00D06008">
        <w:rPr>
          <w:sz w:val="24"/>
        </w:rPr>
        <w:t xml:space="preserve">concerning transfers of property. </w:t>
      </w:r>
    </w:p>
    <w:p w:rsidR="00D06008" w:rsidRDefault="00D06008" w:rsidP="002A0163">
      <w:pPr>
        <w:rPr>
          <w:sz w:val="24"/>
        </w:rPr>
      </w:pPr>
    </w:p>
    <w:p w:rsidR="00FF6877" w:rsidRDefault="009463A4" w:rsidP="00D06008">
      <w:pPr>
        <w:rPr>
          <w:sz w:val="24"/>
        </w:rPr>
      </w:pPr>
      <w:r>
        <w:rPr>
          <w:sz w:val="24"/>
        </w:rPr>
        <w:t>WAC 480-143-120 states, “</w:t>
      </w:r>
      <w:proofErr w:type="gramStart"/>
      <w:r>
        <w:rPr>
          <w:sz w:val="24"/>
        </w:rPr>
        <w:t>a</w:t>
      </w:r>
      <w:proofErr w:type="gramEnd"/>
      <w:r>
        <w:rPr>
          <w:sz w:val="24"/>
        </w:rPr>
        <w:t xml:space="preserve"> public service company may not complete a </w:t>
      </w:r>
      <w:r w:rsidR="00D06008">
        <w:rPr>
          <w:sz w:val="24"/>
        </w:rPr>
        <w:t>transfer of property necessary o</w:t>
      </w:r>
      <w:r>
        <w:rPr>
          <w:sz w:val="24"/>
        </w:rPr>
        <w:t>r useful to perform its public duties unless the company first applies for, a</w:t>
      </w:r>
      <w:r w:rsidR="00D06008">
        <w:rPr>
          <w:sz w:val="24"/>
        </w:rPr>
        <w:t>n</w:t>
      </w:r>
      <w:r>
        <w:rPr>
          <w:sz w:val="24"/>
        </w:rPr>
        <w:t>d</w:t>
      </w:r>
      <w:r w:rsidR="00657555">
        <w:rPr>
          <w:sz w:val="24"/>
        </w:rPr>
        <w:t xml:space="preserve"> obtains, commission approval. </w:t>
      </w:r>
      <w:r>
        <w:rPr>
          <w:sz w:val="24"/>
        </w:rPr>
        <w:t>T</w:t>
      </w:r>
      <w:r w:rsidR="00D06008">
        <w:rPr>
          <w:sz w:val="24"/>
        </w:rPr>
        <w:t>r</w:t>
      </w:r>
      <w:r>
        <w:rPr>
          <w:sz w:val="24"/>
        </w:rPr>
        <w:t xml:space="preserve">ansfers include sale, lease, </w:t>
      </w:r>
      <w:proofErr w:type="gramStart"/>
      <w:r>
        <w:rPr>
          <w:sz w:val="24"/>
        </w:rPr>
        <w:t>assignment</w:t>
      </w:r>
      <w:proofErr w:type="gramEnd"/>
      <w:r>
        <w:rPr>
          <w:sz w:val="24"/>
        </w:rPr>
        <w:t xml:space="preserve"> of all or part of a public service company’s property, and merger or consolidation of a public service company’s property with another pu</w:t>
      </w:r>
      <w:r w:rsidR="00D06008">
        <w:rPr>
          <w:sz w:val="24"/>
        </w:rPr>
        <w:t>b</w:t>
      </w:r>
      <w:r>
        <w:rPr>
          <w:sz w:val="24"/>
        </w:rPr>
        <w:t>lic service company.”</w:t>
      </w:r>
      <w:r w:rsidR="000C3D48">
        <w:rPr>
          <w:sz w:val="24"/>
        </w:rPr>
        <w:t xml:space="preserve"> </w:t>
      </w:r>
    </w:p>
    <w:p w:rsidR="00D06008" w:rsidRDefault="00D06008" w:rsidP="00D06008">
      <w:pPr>
        <w:rPr>
          <w:sz w:val="24"/>
        </w:rPr>
      </w:pPr>
    </w:p>
    <w:p w:rsidR="00D06008" w:rsidRDefault="00D06008" w:rsidP="002D7076">
      <w:pPr>
        <w:rPr>
          <w:sz w:val="24"/>
        </w:rPr>
      </w:pPr>
      <w:r>
        <w:rPr>
          <w:sz w:val="24"/>
        </w:rPr>
        <w:t>WAC 480-110-433 describes the requirements for adopted and initial tariffs.  It states, “A water co</w:t>
      </w:r>
      <w:r w:rsidR="00B51901">
        <w:rPr>
          <w:sz w:val="24"/>
        </w:rPr>
        <w:t>m</w:t>
      </w:r>
      <w:r>
        <w:rPr>
          <w:sz w:val="24"/>
        </w:rPr>
        <w:t>pany must file revisions to its filed tariff within thirty days of its acquisition of new service area, whether by acquisition of another regulated water company or by acquiring one or more previously unregulated water systems.</w:t>
      </w:r>
      <w:r w:rsidR="00173821">
        <w:rPr>
          <w:sz w:val="24"/>
        </w:rPr>
        <w:t>”</w:t>
      </w:r>
      <w:r>
        <w:rPr>
          <w:sz w:val="24"/>
        </w:rPr>
        <w:t xml:space="preserve"> In this case, </w:t>
      </w:r>
      <w:r w:rsidR="002D7076">
        <w:rPr>
          <w:sz w:val="24"/>
        </w:rPr>
        <w:t xml:space="preserve">the company acquired two water systems, which were </w:t>
      </w:r>
      <w:r w:rsidR="00B51901">
        <w:rPr>
          <w:sz w:val="24"/>
        </w:rPr>
        <w:t>previously</w:t>
      </w:r>
      <w:r w:rsidR="002D7076">
        <w:rPr>
          <w:sz w:val="24"/>
        </w:rPr>
        <w:t xml:space="preserve"> </w:t>
      </w:r>
      <w:r w:rsidR="00BF2620">
        <w:rPr>
          <w:sz w:val="24"/>
        </w:rPr>
        <w:t>unregulated</w:t>
      </w:r>
      <w:r w:rsidR="002D7076">
        <w:rPr>
          <w:sz w:val="24"/>
        </w:rPr>
        <w:t xml:space="preserve">.  Therefore, </w:t>
      </w:r>
      <w:r>
        <w:rPr>
          <w:sz w:val="24"/>
        </w:rPr>
        <w:t>WAC 480-110-433(2) applies:</w:t>
      </w:r>
    </w:p>
    <w:p w:rsidR="002D7076" w:rsidRDefault="002D7076" w:rsidP="002D7076">
      <w:pPr>
        <w:rPr>
          <w:sz w:val="24"/>
        </w:rPr>
      </w:pPr>
    </w:p>
    <w:p w:rsidR="00D06008" w:rsidRDefault="00D06008" w:rsidP="002D7076">
      <w:pPr>
        <w:pStyle w:val="ListParagraph"/>
        <w:numPr>
          <w:ilvl w:val="0"/>
          <w:numId w:val="13"/>
        </w:numPr>
        <w:spacing w:line="240" w:lineRule="auto"/>
      </w:pPr>
      <w:r>
        <w:t xml:space="preserve">When a regulated water company acquires a </w:t>
      </w:r>
      <w:proofErr w:type="spellStart"/>
      <w:r>
        <w:t>nonregulated</w:t>
      </w:r>
      <w:proofErr w:type="spellEnd"/>
      <w:r>
        <w:t xml:space="preserve"> water company or water system, the acquiring water company must file a separate tariff page indicating the name of the newly acquired company or system with the rates and charges that were in existence before the acquisition.</w:t>
      </w:r>
    </w:p>
    <w:p w:rsidR="00D06008" w:rsidRDefault="00D06008" w:rsidP="002D7076">
      <w:pPr>
        <w:pStyle w:val="ListParagraph"/>
        <w:numPr>
          <w:ilvl w:val="0"/>
          <w:numId w:val="13"/>
        </w:numPr>
        <w:spacing w:line="240" w:lineRule="auto"/>
      </w:pPr>
      <w:r>
        <w:t xml:space="preserve">If the acquired </w:t>
      </w:r>
      <w:proofErr w:type="spellStart"/>
      <w:r>
        <w:t>nonregulated</w:t>
      </w:r>
      <w:proofErr w:type="spellEnd"/>
      <w:r>
        <w:t xml:space="preserve"> company or water system was previously subject to commission jurisdiction, the acquiring water company must file a separate tariff page indicating the name of the newly acquired company or system with the rates and </w:t>
      </w:r>
      <w:r>
        <w:lastRenderedPageBreak/>
        <w:t>charges in effect for the acquired company at the time the acquired company was removed from regulation.</w:t>
      </w:r>
    </w:p>
    <w:p w:rsidR="00657555" w:rsidRDefault="00D06008" w:rsidP="00657555">
      <w:pPr>
        <w:pStyle w:val="ListParagraph"/>
        <w:numPr>
          <w:ilvl w:val="0"/>
          <w:numId w:val="13"/>
        </w:numPr>
        <w:spacing w:line="240" w:lineRule="auto"/>
      </w:pPr>
      <w:r>
        <w:t xml:space="preserve">No other rates </w:t>
      </w:r>
      <w:r w:rsidR="009A7059">
        <w:t>and charges may apply</w:t>
      </w:r>
      <w:r w:rsidR="002D7076">
        <w:t xml:space="preserve"> to the customers on the newly acquired system except those specifically shown on the new tariff page unless the company obtains the commission’s approval to charge a different rate.</w:t>
      </w:r>
    </w:p>
    <w:p w:rsidR="00F312BF" w:rsidRDefault="00F312BF">
      <w:pPr>
        <w:rPr>
          <w:sz w:val="24"/>
        </w:rPr>
      </w:pPr>
    </w:p>
    <w:p w:rsidR="00CA17AE" w:rsidRDefault="00CD4EDF">
      <w:pPr>
        <w:rPr>
          <w:b/>
          <w:sz w:val="24"/>
        </w:rPr>
      </w:pPr>
      <w:r>
        <w:rPr>
          <w:b/>
          <w:sz w:val="24"/>
        </w:rPr>
        <w:t>Findings</w:t>
      </w:r>
    </w:p>
    <w:p w:rsidR="00750976" w:rsidRDefault="00750976" w:rsidP="00750976">
      <w:pPr>
        <w:rPr>
          <w:sz w:val="24"/>
        </w:rPr>
      </w:pPr>
      <w:r w:rsidRPr="003D71E8">
        <w:rPr>
          <w:sz w:val="24"/>
        </w:rPr>
        <w:t xml:space="preserve">As of Dec. 31, 2013, the company has failed to file </w:t>
      </w:r>
      <w:r w:rsidR="00847C5A" w:rsidRPr="003D71E8">
        <w:rPr>
          <w:sz w:val="24"/>
        </w:rPr>
        <w:t xml:space="preserve">either </w:t>
      </w:r>
      <w:r w:rsidRPr="003D71E8">
        <w:rPr>
          <w:sz w:val="24"/>
        </w:rPr>
        <w:t>an application for a transfer of property, or revisions to its tariff.</w:t>
      </w:r>
      <w:r>
        <w:rPr>
          <w:sz w:val="24"/>
        </w:rPr>
        <w:t xml:space="preserve">  </w:t>
      </w:r>
    </w:p>
    <w:p w:rsidR="00750976" w:rsidRDefault="00750976" w:rsidP="004F7535">
      <w:pPr>
        <w:rPr>
          <w:sz w:val="24"/>
        </w:rPr>
      </w:pPr>
    </w:p>
    <w:p w:rsidR="00FF6877" w:rsidRDefault="00D16BF1" w:rsidP="004F7535">
      <w:pPr>
        <w:rPr>
          <w:sz w:val="24"/>
        </w:rPr>
      </w:pPr>
      <w:r>
        <w:rPr>
          <w:sz w:val="24"/>
        </w:rPr>
        <w:t xml:space="preserve">Staff finds that the company violated </w:t>
      </w:r>
      <w:r w:rsidR="00FF6877">
        <w:rPr>
          <w:sz w:val="24"/>
        </w:rPr>
        <w:t>WAC 480-143-120 by failing to file an application for transfer of property prior to its sale of the Whidbey West Water system in Sept. 2012. As of Dec. 31, 2013, the company has been in violation of WAC 480-143-120 for 456 days.</w:t>
      </w:r>
    </w:p>
    <w:p w:rsidR="00FF6877" w:rsidRDefault="00FF6877" w:rsidP="004F7535">
      <w:pPr>
        <w:rPr>
          <w:sz w:val="24"/>
        </w:rPr>
      </w:pPr>
    </w:p>
    <w:p w:rsidR="00F05E96" w:rsidRDefault="00FF6877" w:rsidP="00F05E96">
      <w:pPr>
        <w:widowControl/>
        <w:rPr>
          <w:b/>
          <w:sz w:val="24"/>
        </w:rPr>
      </w:pPr>
      <w:r>
        <w:rPr>
          <w:sz w:val="24"/>
        </w:rPr>
        <w:t xml:space="preserve">Staff also finds that the company violated </w:t>
      </w:r>
      <w:r w:rsidR="00D16BF1">
        <w:rPr>
          <w:sz w:val="24"/>
        </w:rPr>
        <w:t>WAC 480-110-433 by failing</w:t>
      </w:r>
      <w:r w:rsidR="006C77F5">
        <w:rPr>
          <w:sz w:val="24"/>
        </w:rPr>
        <w:t xml:space="preserve"> to</w:t>
      </w:r>
      <w:r w:rsidR="00D16BF1">
        <w:rPr>
          <w:sz w:val="24"/>
        </w:rPr>
        <w:t xml:space="preserve"> </w:t>
      </w:r>
      <w:r w:rsidR="003D71E8">
        <w:rPr>
          <w:sz w:val="24"/>
        </w:rPr>
        <w:t>revise</w:t>
      </w:r>
      <w:r w:rsidR="00D16BF1">
        <w:rPr>
          <w:sz w:val="24"/>
        </w:rPr>
        <w:t xml:space="preserve"> its tariff within thirty days of its</w:t>
      </w:r>
      <w:r>
        <w:rPr>
          <w:sz w:val="24"/>
        </w:rPr>
        <w:t xml:space="preserve"> sale of the Whidbey West Water system, and its acquisition of Silent Sky and Bainbridge 1. </w:t>
      </w:r>
      <w:r w:rsidR="00F05E96">
        <w:rPr>
          <w:sz w:val="24"/>
        </w:rPr>
        <w:t>Staff’s compliance letter of Aug. 19, 2013</w:t>
      </w:r>
      <w:r w:rsidR="003D71E8">
        <w:rPr>
          <w:sz w:val="24"/>
        </w:rPr>
        <w:t>,</w:t>
      </w:r>
      <w:r w:rsidR="00F05E96">
        <w:rPr>
          <w:sz w:val="24"/>
        </w:rPr>
        <w:t xml:space="preserve"> provided an enforcement deadline of Aug. 26, 2013. The company complied with staff’s instructions to contact Regulatory Analyst Jim Ward by that date. Mr. Ward provided Mr. Poppe with instructions for filing a tariff revision and applying for a transfer of property. On Sept. 5, 2013, the commission received a letter from Mr. Poppe containing a list of systems currently owned by Washington Water Supply, Inc.  This letter did not constitute a filing.</w:t>
      </w:r>
      <w:r w:rsidR="00A06766">
        <w:rPr>
          <w:sz w:val="24"/>
        </w:rPr>
        <w:t xml:space="preserve"> On Sept. 6, 2013, Regulatory Services staff corresponded with the company, providing detailed </w:t>
      </w:r>
      <w:r w:rsidR="00847C5A">
        <w:rPr>
          <w:sz w:val="24"/>
        </w:rPr>
        <w:t>information about the required filings.</w:t>
      </w:r>
    </w:p>
    <w:p w:rsidR="00F05E96" w:rsidRDefault="00F05E96" w:rsidP="004F7535">
      <w:pPr>
        <w:rPr>
          <w:sz w:val="24"/>
        </w:rPr>
      </w:pPr>
    </w:p>
    <w:p w:rsidR="00CA17AE" w:rsidRDefault="00847C5A" w:rsidP="004F7535">
      <w:pPr>
        <w:rPr>
          <w:sz w:val="24"/>
        </w:rPr>
      </w:pPr>
      <w:r>
        <w:rPr>
          <w:sz w:val="24"/>
        </w:rPr>
        <w:t>As of Dec. 31, 2013, t</w:t>
      </w:r>
      <w:r w:rsidR="006C77F5">
        <w:rPr>
          <w:sz w:val="24"/>
        </w:rPr>
        <w:t>he company continued</w:t>
      </w:r>
      <w:r w:rsidR="00750976">
        <w:rPr>
          <w:sz w:val="24"/>
        </w:rPr>
        <w:t xml:space="preserve"> to own and operate two water systems that do not appear in its tariff. </w:t>
      </w:r>
      <w:r w:rsidR="003D71E8">
        <w:rPr>
          <w:sz w:val="24"/>
        </w:rPr>
        <w:t xml:space="preserve">Using </w:t>
      </w:r>
      <w:r w:rsidR="00A06766">
        <w:rPr>
          <w:sz w:val="24"/>
        </w:rPr>
        <w:t xml:space="preserve">an enforcement </w:t>
      </w:r>
      <w:r w:rsidR="00FF6877">
        <w:rPr>
          <w:sz w:val="24"/>
        </w:rPr>
        <w:t xml:space="preserve">deadline of </w:t>
      </w:r>
      <w:r w:rsidR="00F05E96">
        <w:rPr>
          <w:sz w:val="24"/>
        </w:rPr>
        <w:t>Sept</w:t>
      </w:r>
      <w:r w:rsidR="0014237C">
        <w:rPr>
          <w:sz w:val="24"/>
        </w:rPr>
        <w:t xml:space="preserve">. </w:t>
      </w:r>
      <w:r w:rsidR="00A06766">
        <w:rPr>
          <w:sz w:val="24"/>
        </w:rPr>
        <w:t>6</w:t>
      </w:r>
      <w:r w:rsidR="0014237C">
        <w:rPr>
          <w:sz w:val="24"/>
        </w:rPr>
        <w:t>, 2013</w:t>
      </w:r>
      <w:r w:rsidR="00750976">
        <w:rPr>
          <w:sz w:val="24"/>
        </w:rPr>
        <w:t xml:space="preserve">, the company has been in violation of WAC 480-110-433 for </w:t>
      </w:r>
      <w:r w:rsidR="00A06766">
        <w:rPr>
          <w:sz w:val="24"/>
        </w:rPr>
        <w:t>116</w:t>
      </w:r>
      <w:r w:rsidR="00750976">
        <w:rPr>
          <w:sz w:val="24"/>
        </w:rPr>
        <w:t xml:space="preserve"> days</w:t>
      </w:r>
      <w:r w:rsidR="003D71E8">
        <w:rPr>
          <w:sz w:val="24"/>
        </w:rPr>
        <w:t xml:space="preserve"> as of Dec. 31, 2013</w:t>
      </w:r>
      <w:r w:rsidR="0014237C">
        <w:rPr>
          <w:sz w:val="24"/>
        </w:rPr>
        <w:t>.</w:t>
      </w:r>
    </w:p>
    <w:p w:rsidR="00D16BF1" w:rsidRDefault="00D16BF1" w:rsidP="004F7535">
      <w:pPr>
        <w:rPr>
          <w:sz w:val="24"/>
        </w:rPr>
      </w:pPr>
    </w:p>
    <w:tbl>
      <w:tblPr>
        <w:tblStyle w:val="TableGrid"/>
        <w:tblW w:w="9648" w:type="dxa"/>
        <w:tblLook w:val="04A0" w:firstRow="1" w:lastRow="0" w:firstColumn="1" w:lastColumn="0" w:noHBand="0" w:noVBand="1"/>
      </w:tblPr>
      <w:tblGrid>
        <w:gridCol w:w="1724"/>
        <w:gridCol w:w="1350"/>
        <w:gridCol w:w="1526"/>
        <w:gridCol w:w="1437"/>
        <w:gridCol w:w="1549"/>
        <w:gridCol w:w="2062"/>
      </w:tblGrid>
      <w:tr w:rsidR="00FF6877" w:rsidRPr="006C77F5" w:rsidTr="004F1635">
        <w:tc>
          <w:tcPr>
            <w:tcW w:w="1728" w:type="dxa"/>
            <w:shd w:val="clear" w:color="auto" w:fill="BFBFBF" w:themeFill="background1" w:themeFillShade="BF"/>
          </w:tcPr>
          <w:p w:rsidR="00FF6877" w:rsidRPr="006C77F5" w:rsidRDefault="00FF6877" w:rsidP="0019788D">
            <w:pPr>
              <w:jc w:val="center"/>
              <w:rPr>
                <w:rFonts w:ascii="Times New Roman" w:hAnsi="Times New Roman"/>
                <w:b/>
                <w:sz w:val="24"/>
              </w:rPr>
            </w:pPr>
            <w:r w:rsidRPr="006C77F5">
              <w:rPr>
                <w:rFonts w:ascii="Times New Roman" w:hAnsi="Times New Roman"/>
                <w:b/>
                <w:sz w:val="24"/>
              </w:rPr>
              <w:t>System</w:t>
            </w:r>
          </w:p>
        </w:tc>
        <w:tc>
          <w:tcPr>
            <w:tcW w:w="1350" w:type="dxa"/>
            <w:shd w:val="clear" w:color="auto" w:fill="BFBFBF" w:themeFill="background1" w:themeFillShade="BF"/>
          </w:tcPr>
          <w:p w:rsidR="00FF6877" w:rsidRPr="006C77F5" w:rsidRDefault="00FF6877" w:rsidP="0019788D">
            <w:pPr>
              <w:jc w:val="center"/>
              <w:rPr>
                <w:rFonts w:ascii="Times New Roman" w:hAnsi="Times New Roman"/>
                <w:b/>
                <w:sz w:val="24"/>
              </w:rPr>
            </w:pPr>
            <w:r w:rsidRPr="006C77F5">
              <w:rPr>
                <w:rFonts w:ascii="Times New Roman" w:hAnsi="Times New Roman"/>
                <w:b/>
                <w:sz w:val="24"/>
              </w:rPr>
              <w:t>Ownership change</w:t>
            </w:r>
          </w:p>
        </w:tc>
        <w:tc>
          <w:tcPr>
            <w:tcW w:w="1530" w:type="dxa"/>
            <w:shd w:val="clear" w:color="auto" w:fill="BFBFBF" w:themeFill="background1" w:themeFillShade="BF"/>
          </w:tcPr>
          <w:p w:rsidR="00FF6877" w:rsidRPr="006C77F5" w:rsidRDefault="00FF6877" w:rsidP="0019788D">
            <w:pPr>
              <w:jc w:val="center"/>
              <w:rPr>
                <w:rFonts w:ascii="Times New Roman" w:hAnsi="Times New Roman"/>
                <w:b/>
                <w:sz w:val="24"/>
              </w:rPr>
            </w:pPr>
            <w:r w:rsidRPr="006C77F5">
              <w:rPr>
                <w:rFonts w:ascii="Times New Roman" w:hAnsi="Times New Roman"/>
                <w:b/>
                <w:sz w:val="24"/>
              </w:rPr>
              <w:t>Date</w:t>
            </w:r>
          </w:p>
        </w:tc>
        <w:tc>
          <w:tcPr>
            <w:tcW w:w="1440" w:type="dxa"/>
            <w:shd w:val="clear" w:color="auto" w:fill="BFBFBF" w:themeFill="background1" w:themeFillShade="BF"/>
          </w:tcPr>
          <w:p w:rsidR="00FF6877" w:rsidRPr="006C77F5" w:rsidRDefault="00FF6877" w:rsidP="0019788D">
            <w:pPr>
              <w:jc w:val="center"/>
              <w:rPr>
                <w:rFonts w:ascii="Times New Roman" w:hAnsi="Times New Roman"/>
                <w:b/>
                <w:sz w:val="24"/>
              </w:rPr>
            </w:pPr>
            <w:r w:rsidRPr="006C77F5">
              <w:rPr>
                <w:rFonts w:ascii="Times New Roman" w:hAnsi="Times New Roman"/>
                <w:b/>
                <w:sz w:val="24"/>
              </w:rPr>
              <w:t>Filing due date</w:t>
            </w:r>
          </w:p>
        </w:tc>
        <w:tc>
          <w:tcPr>
            <w:tcW w:w="1530" w:type="dxa"/>
            <w:shd w:val="clear" w:color="auto" w:fill="BFBFBF" w:themeFill="background1" w:themeFillShade="BF"/>
          </w:tcPr>
          <w:p w:rsidR="00FF6877" w:rsidRPr="006C77F5" w:rsidRDefault="00FF6877" w:rsidP="0019788D">
            <w:pPr>
              <w:jc w:val="center"/>
              <w:rPr>
                <w:rFonts w:ascii="Times New Roman" w:hAnsi="Times New Roman"/>
                <w:b/>
                <w:sz w:val="24"/>
              </w:rPr>
            </w:pPr>
            <w:r w:rsidRPr="006C77F5">
              <w:rPr>
                <w:rFonts w:ascii="Times New Roman" w:hAnsi="Times New Roman"/>
                <w:b/>
                <w:sz w:val="24"/>
              </w:rPr>
              <w:t>Enforcement Deadline</w:t>
            </w:r>
          </w:p>
        </w:tc>
        <w:tc>
          <w:tcPr>
            <w:tcW w:w="2070" w:type="dxa"/>
            <w:shd w:val="clear" w:color="auto" w:fill="BFBFBF" w:themeFill="background1" w:themeFillShade="BF"/>
          </w:tcPr>
          <w:p w:rsidR="00FF6877" w:rsidRPr="006C77F5" w:rsidRDefault="0019788D" w:rsidP="0019788D">
            <w:pPr>
              <w:jc w:val="center"/>
              <w:rPr>
                <w:rFonts w:ascii="Times New Roman" w:hAnsi="Times New Roman"/>
                <w:b/>
                <w:sz w:val="24"/>
              </w:rPr>
            </w:pPr>
            <w:r w:rsidRPr="006C77F5">
              <w:rPr>
                <w:rFonts w:ascii="Times New Roman" w:hAnsi="Times New Roman"/>
                <w:b/>
                <w:sz w:val="24"/>
              </w:rPr>
              <w:t>V</w:t>
            </w:r>
            <w:r w:rsidR="00750976" w:rsidRPr="006C77F5">
              <w:rPr>
                <w:rFonts w:ascii="Times New Roman" w:hAnsi="Times New Roman"/>
                <w:b/>
                <w:sz w:val="24"/>
              </w:rPr>
              <w:t>iolations</w:t>
            </w:r>
            <w:r w:rsidRPr="006C77F5">
              <w:rPr>
                <w:rFonts w:ascii="Times New Roman" w:hAnsi="Times New Roman"/>
                <w:b/>
                <w:sz w:val="24"/>
              </w:rPr>
              <w:t xml:space="preserve"> of WAC 480-110-433</w:t>
            </w:r>
            <w:r w:rsidR="00FF6877" w:rsidRPr="006C77F5">
              <w:rPr>
                <w:rFonts w:ascii="Times New Roman" w:hAnsi="Times New Roman"/>
                <w:b/>
                <w:sz w:val="24"/>
              </w:rPr>
              <w:t xml:space="preserve"> through Dec. 31, 2013</w:t>
            </w:r>
          </w:p>
        </w:tc>
      </w:tr>
      <w:tr w:rsidR="00FF6877" w:rsidTr="00F05E96">
        <w:tc>
          <w:tcPr>
            <w:tcW w:w="1728" w:type="dxa"/>
          </w:tcPr>
          <w:p w:rsidR="00FF6877" w:rsidRPr="00D16BF1" w:rsidRDefault="00FF6877" w:rsidP="0019788D">
            <w:pPr>
              <w:jc w:val="center"/>
              <w:rPr>
                <w:rFonts w:ascii="Times New Roman" w:hAnsi="Times New Roman"/>
                <w:sz w:val="24"/>
              </w:rPr>
            </w:pPr>
            <w:r w:rsidRPr="00D16BF1">
              <w:rPr>
                <w:rFonts w:ascii="Times New Roman" w:hAnsi="Times New Roman"/>
                <w:sz w:val="24"/>
              </w:rPr>
              <w:t>Silent Sky</w:t>
            </w:r>
          </w:p>
        </w:tc>
        <w:tc>
          <w:tcPr>
            <w:tcW w:w="1350" w:type="dxa"/>
          </w:tcPr>
          <w:p w:rsidR="00FF6877" w:rsidRPr="00D16BF1" w:rsidRDefault="00FF6877" w:rsidP="0019788D">
            <w:pPr>
              <w:jc w:val="center"/>
              <w:rPr>
                <w:rFonts w:ascii="Times New Roman" w:hAnsi="Times New Roman"/>
                <w:sz w:val="24"/>
              </w:rPr>
            </w:pPr>
            <w:r w:rsidRPr="00D16BF1">
              <w:rPr>
                <w:rFonts w:ascii="Times New Roman" w:hAnsi="Times New Roman"/>
                <w:sz w:val="24"/>
              </w:rPr>
              <w:t>Acquisition</w:t>
            </w:r>
          </w:p>
        </w:tc>
        <w:tc>
          <w:tcPr>
            <w:tcW w:w="1530" w:type="dxa"/>
          </w:tcPr>
          <w:p w:rsidR="00FF6877" w:rsidRPr="00D16BF1" w:rsidRDefault="00FF6877" w:rsidP="0019788D">
            <w:pPr>
              <w:jc w:val="center"/>
              <w:rPr>
                <w:rFonts w:ascii="Times New Roman" w:hAnsi="Times New Roman"/>
                <w:sz w:val="24"/>
              </w:rPr>
            </w:pPr>
            <w:r>
              <w:rPr>
                <w:rFonts w:ascii="Times New Roman" w:hAnsi="Times New Roman"/>
                <w:sz w:val="24"/>
              </w:rPr>
              <w:t>Unknown</w:t>
            </w:r>
          </w:p>
        </w:tc>
        <w:tc>
          <w:tcPr>
            <w:tcW w:w="1440" w:type="dxa"/>
          </w:tcPr>
          <w:p w:rsidR="00FF6877" w:rsidRPr="00D16BF1" w:rsidRDefault="00FF6877" w:rsidP="0019788D">
            <w:pPr>
              <w:jc w:val="center"/>
              <w:rPr>
                <w:rFonts w:ascii="Times New Roman" w:hAnsi="Times New Roman"/>
                <w:sz w:val="24"/>
              </w:rPr>
            </w:pPr>
            <w:r>
              <w:rPr>
                <w:rFonts w:ascii="Times New Roman" w:hAnsi="Times New Roman"/>
                <w:sz w:val="24"/>
              </w:rPr>
              <w:t>Unknown</w:t>
            </w:r>
          </w:p>
        </w:tc>
        <w:tc>
          <w:tcPr>
            <w:tcW w:w="1530" w:type="dxa"/>
          </w:tcPr>
          <w:p w:rsidR="00FF6877" w:rsidRDefault="00F05E96" w:rsidP="00F05E96">
            <w:pPr>
              <w:jc w:val="center"/>
              <w:rPr>
                <w:sz w:val="24"/>
              </w:rPr>
            </w:pPr>
            <w:r>
              <w:rPr>
                <w:rFonts w:ascii="Times New Roman" w:hAnsi="Times New Roman"/>
                <w:sz w:val="24"/>
              </w:rPr>
              <w:t>Sept</w:t>
            </w:r>
            <w:r w:rsidR="00FF6877">
              <w:rPr>
                <w:rFonts w:ascii="Times New Roman" w:hAnsi="Times New Roman"/>
                <w:sz w:val="24"/>
              </w:rPr>
              <w:t xml:space="preserve">. </w:t>
            </w:r>
            <w:r w:rsidR="00A06766">
              <w:rPr>
                <w:rFonts w:ascii="Times New Roman" w:hAnsi="Times New Roman"/>
                <w:sz w:val="24"/>
              </w:rPr>
              <w:t>6</w:t>
            </w:r>
            <w:r w:rsidR="00FF6877">
              <w:rPr>
                <w:rFonts w:ascii="Times New Roman" w:hAnsi="Times New Roman"/>
                <w:sz w:val="24"/>
              </w:rPr>
              <w:t>, 2013</w:t>
            </w:r>
          </w:p>
        </w:tc>
        <w:tc>
          <w:tcPr>
            <w:tcW w:w="2070" w:type="dxa"/>
          </w:tcPr>
          <w:p w:rsidR="00FF6877" w:rsidRPr="00D16BF1" w:rsidRDefault="00A06766" w:rsidP="0019788D">
            <w:pPr>
              <w:jc w:val="center"/>
              <w:rPr>
                <w:rFonts w:ascii="Times New Roman" w:hAnsi="Times New Roman"/>
                <w:sz w:val="24"/>
              </w:rPr>
            </w:pPr>
            <w:r>
              <w:rPr>
                <w:rFonts w:ascii="Times New Roman" w:hAnsi="Times New Roman"/>
                <w:sz w:val="24"/>
              </w:rPr>
              <w:t>116</w:t>
            </w:r>
          </w:p>
        </w:tc>
      </w:tr>
      <w:tr w:rsidR="00FF6877" w:rsidTr="00F05E96">
        <w:tc>
          <w:tcPr>
            <w:tcW w:w="1728" w:type="dxa"/>
          </w:tcPr>
          <w:p w:rsidR="00FF6877" w:rsidRPr="00D16BF1" w:rsidRDefault="00FF6877" w:rsidP="0019788D">
            <w:pPr>
              <w:jc w:val="center"/>
              <w:rPr>
                <w:rFonts w:ascii="Times New Roman" w:hAnsi="Times New Roman"/>
                <w:sz w:val="24"/>
              </w:rPr>
            </w:pPr>
            <w:r w:rsidRPr="00D16BF1">
              <w:rPr>
                <w:rFonts w:ascii="Times New Roman" w:hAnsi="Times New Roman"/>
                <w:sz w:val="24"/>
              </w:rPr>
              <w:t>Bainbridge 1</w:t>
            </w:r>
          </w:p>
        </w:tc>
        <w:tc>
          <w:tcPr>
            <w:tcW w:w="1350" w:type="dxa"/>
          </w:tcPr>
          <w:p w:rsidR="00FF6877" w:rsidRPr="00D16BF1" w:rsidRDefault="00FF6877" w:rsidP="0019788D">
            <w:pPr>
              <w:jc w:val="center"/>
              <w:rPr>
                <w:rFonts w:ascii="Times New Roman" w:hAnsi="Times New Roman"/>
                <w:sz w:val="24"/>
              </w:rPr>
            </w:pPr>
            <w:r w:rsidRPr="00D16BF1">
              <w:rPr>
                <w:rFonts w:ascii="Times New Roman" w:hAnsi="Times New Roman"/>
                <w:sz w:val="24"/>
              </w:rPr>
              <w:t>Acquisition</w:t>
            </w:r>
          </w:p>
        </w:tc>
        <w:tc>
          <w:tcPr>
            <w:tcW w:w="1530" w:type="dxa"/>
          </w:tcPr>
          <w:p w:rsidR="00FF6877" w:rsidRPr="00D16BF1" w:rsidRDefault="00FF6877" w:rsidP="0019788D">
            <w:pPr>
              <w:jc w:val="center"/>
              <w:rPr>
                <w:rFonts w:ascii="Times New Roman" w:hAnsi="Times New Roman"/>
                <w:sz w:val="24"/>
              </w:rPr>
            </w:pPr>
            <w:r>
              <w:rPr>
                <w:rFonts w:ascii="Times New Roman" w:hAnsi="Times New Roman"/>
                <w:sz w:val="24"/>
              </w:rPr>
              <w:t>Unknown</w:t>
            </w:r>
          </w:p>
        </w:tc>
        <w:tc>
          <w:tcPr>
            <w:tcW w:w="1440" w:type="dxa"/>
          </w:tcPr>
          <w:p w:rsidR="00FF6877" w:rsidRPr="00D16BF1" w:rsidRDefault="00FF6877" w:rsidP="0019788D">
            <w:pPr>
              <w:jc w:val="center"/>
              <w:rPr>
                <w:rFonts w:ascii="Times New Roman" w:hAnsi="Times New Roman"/>
                <w:sz w:val="24"/>
              </w:rPr>
            </w:pPr>
            <w:r>
              <w:rPr>
                <w:rFonts w:ascii="Times New Roman" w:hAnsi="Times New Roman"/>
                <w:sz w:val="24"/>
              </w:rPr>
              <w:t>Unknown</w:t>
            </w:r>
          </w:p>
        </w:tc>
        <w:tc>
          <w:tcPr>
            <w:tcW w:w="1530" w:type="dxa"/>
          </w:tcPr>
          <w:p w:rsidR="00FF6877" w:rsidRDefault="00A06766" w:rsidP="0019788D">
            <w:pPr>
              <w:jc w:val="center"/>
              <w:rPr>
                <w:sz w:val="24"/>
              </w:rPr>
            </w:pPr>
            <w:r>
              <w:rPr>
                <w:rFonts w:ascii="Times New Roman" w:hAnsi="Times New Roman"/>
                <w:sz w:val="24"/>
              </w:rPr>
              <w:t>Sept. 6</w:t>
            </w:r>
            <w:r w:rsidR="00F05E96">
              <w:rPr>
                <w:rFonts w:ascii="Times New Roman" w:hAnsi="Times New Roman"/>
                <w:sz w:val="24"/>
              </w:rPr>
              <w:t>, 2013</w:t>
            </w:r>
          </w:p>
        </w:tc>
        <w:tc>
          <w:tcPr>
            <w:tcW w:w="2070" w:type="dxa"/>
          </w:tcPr>
          <w:p w:rsidR="00FF6877" w:rsidRPr="00D16BF1" w:rsidRDefault="00A06766" w:rsidP="0019788D">
            <w:pPr>
              <w:jc w:val="center"/>
              <w:rPr>
                <w:rFonts w:ascii="Times New Roman" w:hAnsi="Times New Roman"/>
                <w:sz w:val="24"/>
              </w:rPr>
            </w:pPr>
            <w:r>
              <w:rPr>
                <w:rFonts w:ascii="Times New Roman" w:hAnsi="Times New Roman"/>
                <w:sz w:val="24"/>
              </w:rPr>
              <w:t>116</w:t>
            </w:r>
          </w:p>
        </w:tc>
      </w:tr>
      <w:tr w:rsidR="00FF6877" w:rsidTr="00F05E96">
        <w:tc>
          <w:tcPr>
            <w:tcW w:w="1728" w:type="dxa"/>
          </w:tcPr>
          <w:p w:rsidR="00FF6877" w:rsidRPr="00D16BF1" w:rsidRDefault="00FF6877" w:rsidP="0019788D">
            <w:pPr>
              <w:jc w:val="center"/>
              <w:rPr>
                <w:rFonts w:ascii="Times New Roman" w:hAnsi="Times New Roman"/>
                <w:sz w:val="24"/>
              </w:rPr>
            </w:pPr>
            <w:r w:rsidRPr="00D16BF1">
              <w:rPr>
                <w:rFonts w:ascii="Times New Roman" w:hAnsi="Times New Roman"/>
                <w:sz w:val="24"/>
              </w:rPr>
              <w:t>Whidbey West</w:t>
            </w:r>
          </w:p>
        </w:tc>
        <w:tc>
          <w:tcPr>
            <w:tcW w:w="1350" w:type="dxa"/>
          </w:tcPr>
          <w:p w:rsidR="00FF6877" w:rsidRPr="00D16BF1" w:rsidRDefault="00FF6877" w:rsidP="0019788D">
            <w:pPr>
              <w:jc w:val="center"/>
              <w:rPr>
                <w:rFonts w:ascii="Times New Roman" w:hAnsi="Times New Roman"/>
                <w:sz w:val="24"/>
              </w:rPr>
            </w:pPr>
            <w:r w:rsidRPr="00D16BF1">
              <w:rPr>
                <w:rFonts w:ascii="Times New Roman" w:hAnsi="Times New Roman"/>
                <w:sz w:val="24"/>
              </w:rPr>
              <w:t>Sale</w:t>
            </w:r>
          </w:p>
        </w:tc>
        <w:tc>
          <w:tcPr>
            <w:tcW w:w="1530" w:type="dxa"/>
          </w:tcPr>
          <w:p w:rsidR="00FF6877" w:rsidRPr="00D16BF1" w:rsidRDefault="00FF6877" w:rsidP="0019788D">
            <w:pPr>
              <w:jc w:val="center"/>
              <w:rPr>
                <w:rFonts w:ascii="Times New Roman" w:hAnsi="Times New Roman"/>
                <w:sz w:val="24"/>
              </w:rPr>
            </w:pPr>
            <w:r>
              <w:rPr>
                <w:rFonts w:ascii="Times New Roman" w:hAnsi="Times New Roman"/>
                <w:sz w:val="24"/>
              </w:rPr>
              <w:t>Sept. 1, 2012</w:t>
            </w:r>
          </w:p>
        </w:tc>
        <w:tc>
          <w:tcPr>
            <w:tcW w:w="1440" w:type="dxa"/>
          </w:tcPr>
          <w:p w:rsidR="00FF6877" w:rsidRPr="00D16BF1" w:rsidRDefault="00FF6877" w:rsidP="0019788D">
            <w:pPr>
              <w:jc w:val="center"/>
              <w:rPr>
                <w:rFonts w:ascii="Times New Roman" w:hAnsi="Times New Roman"/>
                <w:sz w:val="24"/>
              </w:rPr>
            </w:pPr>
            <w:r>
              <w:rPr>
                <w:rFonts w:ascii="Times New Roman" w:hAnsi="Times New Roman"/>
                <w:sz w:val="24"/>
              </w:rPr>
              <w:t>Oct. 1, 2012</w:t>
            </w:r>
          </w:p>
        </w:tc>
        <w:tc>
          <w:tcPr>
            <w:tcW w:w="1530" w:type="dxa"/>
          </w:tcPr>
          <w:p w:rsidR="00FF6877" w:rsidRDefault="00A06766" w:rsidP="0019788D">
            <w:pPr>
              <w:jc w:val="center"/>
              <w:rPr>
                <w:sz w:val="24"/>
              </w:rPr>
            </w:pPr>
            <w:r>
              <w:rPr>
                <w:rFonts w:ascii="Times New Roman" w:hAnsi="Times New Roman"/>
                <w:sz w:val="24"/>
              </w:rPr>
              <w:t>Sept. 6</w:t>
            </w:r>
            <w:r w:rsidR="00F05E96">
              <w:rPr>
                <w:rFonts w:ascii="Times New Roman" w:hAnsi="Times New Roman"/>
                <w:sz w:val="24"/>
              </w:rPr>
              <w:t>, 2013</w:t>
            </w:r>
          </w:p>
        </w:tc>
        <w:tc>
          <w:tcPr>
            <w:tcW w:w="2070" w:type="dxa"/>
          </w:tcPr>
          <w:p w:rsidR="00FF6877" w:rsidRPr="00D16BF1" w:rsidRDefault="00A06766" w:rsidP="0019788D">
            <w:pPr>
              <w:jc w:val="center"/>
              <w:rPr>
                <w:rFonts w:ascii="Times New Roman" w:hAnsi="Times New Roman"/>
                <w:sz w:val="24"/>
              </w:rPr>
            </w:pPr>
            <w:r>
              <w:rPr>
                <w:rFonts w:ascii="Times New Roman" w:hAnsi="Times New Roman"/>
                <w:sz w:val="24"/>
              </w:rPr>
              <w:t>116</w:t>
            </w:r>
          </w:p>
        </w:tc>
      </w:tr>
    </w:tbl>
    <w:p w:rsidR="005D297D" w:rsidRDefault="005D297D" w:rsidP="009E4357">
      <w:pPr>
        <w:widowControl/>
        <w:rPr>
          <w:sz w:val="24"/>
        </w:rPr>
      </w:pPr>
    </w:p>
    <w:p w:rsidR="00F05E96" w:rsidRDefault="00F05E96" w:rsidP="009E4357">
      <w:pPr>
        <w:widowControl/>
        <w:rPr>
          <w:b/>
          <w:sz w:val="24"/>
        </w:rPr>
      </w:pPr>
    </w:p>
    <w:p w:rsidR="005A74B5" w:rsidRDefault="005A74B5">
      <w:pPr>
        <w:widowControl/>
        <w:autoSpaceDE/>
        <w:autoSpaceDN/>
        <w:adjustRightInd/>
        <w:spacing w:after="200" w:line="276" w:lineRule="auto"/>
        <w:rPr>
          <w:b/>
          <w:sz w:val="24"/>
        </w:rPr>
      </w:pPr>
      <w:r>
        <w:rPr>
          <w:b/>
          <w:sz w:val="24"/>
        </w:rPr>
        <w:br w:type="page"/>
      </w:r>
    </w:p>
    <w:p w:rsidR="005D297D" w:rsidRPr="005A74B5" w:rsidRDefault="00703F48" w:rsidP="005A74B5">
      <w:pPr>
        <w:widowControl/>
        <w:jc w:val="center"/>
        <w:rPr>
          <w:b/>
          <w:caps/>
          <w:sz w:val="24"/>
        </w:rPr>
      </w:pPr>
      <w:r>
        <w:rPr>
          <w:b/>
          <w:caps/>
          <w:sz w:val="24"/>
        </w:rPr>
        <w:lastRenderedPageBreak/>
        <w:t xml:space="preserve">summary of </w:t>
      </w:r>
      <w:r w:rsidR="005D297D" w:rsidRPr="005A74B5">
        <w:rPr>
          <w:b/>
          <w:caps/>
          <w:sz w:val="24"/>
        </w:rPr>
        <w:t>Recommendation</w:t>
      </w:r>
      <w:r>
        <w:rPr>
          <w:b/>
          <w:caps/>
          <w:sz w:val="24"/>
        </w:rPr>
        <w:t>s</w:t>
      </w:r>
    </w:p>
    <w:p w:rsidR="005A74B5" w:rsidRDefault="005A74B5" w:rsidP="0096580F">
      <w:pPr>
        <w:rPr>
          <w:sz w:val="24"/>
        </w:rPr>
      </w:pPr>
    </w:p>
    <w:p w:rsidR="0096580F" w:rsidRPr="00226AD6" w:rsidRDefault="0096580F" w:rsidP="0096580F">
      <w:pPr>
        <w:rPr>
          <w:sz w:val="24"/>
        </w:rPr>
      </w:pPr>
      <w:r w:rsidRPr="001373A5">
        <w:rPr>
          <w:sz w:val="24"/>
        </w:rPr>
        <w:t xml:space="preserve">Revised Code of Washington (RCW) 80.04.405 authorizes the commission to assess penalties of $100 for violations of </w:t>
      </w:r>
      <w:r>
        <w:rPr>
          <w:sz w:val="24"/>
        </w:rPr>
        <w:t>commission rules</w:t>
      </w:r>
      <w:r w:rsidRPr="001373A5">
        <w:rPr>
          <w:sz w:val="24"/>
        </w:rPr>
        <w:t xml:space="preserve">. </w:t>
      </w:r>
      <w:r w:rsidRPr="00226AD6">
        <w:rPr>
          <w:sz w:val="24"/>
        </w:rPr>
        <w:t>The commission also has the authority to assess penalties of up to $1,000 per violation, per day following a formal complaint and hearing.</w:t>
      </w:r>
      <w:r>
        <w:rPr>
          <w:rStyle w:val="FootnoteReference"/>
          <w:sz w:val="24"/>
        </w:rPr>
        <w:footnoteReference w:id="9"/>
      </w:r>
    </w:p>
    <w:p w:rsidR="0096580F" w:rsidRDefault="0096580F" w:rsidP="0096580F">
      <w:pPr>
        <w:rPr>
          <w:sz w:val="24"/>
        </w:rPr>
      </w:pPr>
      <w:r w:rsidRPr="001373A5">
        <w:rPr>
          <w:sz w:val="24"/>
        </w:rPr>
        <w:t xml:space="preserve">Each violation is a separate and distinct offense and, in the case of a continuing violation, every day’s continuance is a separate and distinct violation. </w:t>
      </w:r>
    </w:p>
    <w:p w:rsidR="0096580F" w:rsidRDefault="0096580F" w:rsidP="0096580F">
      <w:pPr>
        <w:rPr>
          <w:sz w:val="24"/>
        </w:rPr>
      </w:pPr>
    </w:p>
    <w:p w:rsidR="00CD1D98" w:rsidRDefault="00CD1D98" w:rsidP="0096580F">
      <w:pPr>
        <w:rPr>
          <w:sz w:val="24"/>
        </w:rPr>
      </w:pPr>
      <w:r w:rsidRPr="00226AD6">
        <w:rPr>
          <w:sz w:val="24"/>
        </w:rPr>
        <w:t>Staff typically recommends a “per violation” penalty against a regulated company where the violations result in serious customer harm; for repeat violations of a rule after a company receives technical assistance from staff; or for intentional violations of commission laws or rules.</w:t>
      </w:r>
      <w:r w:rsidR="008664EA">
        <w:rPr>
          <w:sz w:val="24"/>
        </w:rPr>
        <w:t xml:space="preserve"> In this investi</w:t>
      </w:r>
      <w:r w:rsidR="00A06766">
        <w:rPr>
          <w:sz w:val="24"/>
        </w:rPr>
        <w:t xml:space="preserve">gation, staff has documented </w:t>
      </w:r>
      <w:r w:rsidR="00A91AE7">
        <w:rPr>
          <w:sz w:val="24"/>
        </w:rPr>
        <w:t>804 viola</w:t>
      </w:r>
      <w:r w:rsidR="00E338C4">
        <w:rPr>
          <w:sz w:val="24"/>
        </w:rPr>
        <w:t>tions</w:t>
      </w:r>
      <w:r w:rsidR="00A91AE7">
        <w:rPr>
          <w:sz w:val="24"/>
        </w:rPr>
        <w:t xml:space="preserve">: </w:t>
      </w:r>
      <w:r w:rsidR="00A06766">
        <w:rPr>
          <w:sz w:val="24"/>
        </w:rPr>
        <w:t>348</w:t>
      </w:r>
      <w:r w:rsidR="008664EA">
        <w:rPr>
          <w:sz w:val="24"/>
        </w:rPr>
        <w:t xml:space="preserve"> violations of WAC 480-110-433 and 456 violations of WAC 480-143-120, </w:t>
      </w:r>
      <w:r w:rsidR="00A91AE7">
        <w:rPr>
          <w:sz w:val="24"/>
        </w:rPr>
        <w:t>for</w:t>
      </w:r>
      <w:r w:rsidR="008664EA">
        <w:rPr>
          <w:sz w:val="24"/>
        </w:rPr>
        <w:t xml:space="preserve"> a potential penalty of $80</w:t>
      </w:r>
      <w:r w:rsidR="00A06766">
        <w:rPr>
          <w:sz w:val="24"/>
        </w:rPr>
        <w:t>4</w:t>
      </w:r>
      <w:r w:rsidR="00A91AE7">
        <w:rPr>
          <w:sz w:val="24"/>
        </w:rPr>
        <w:t>,0</w:t>
      </w:r>
      <w:r w:rsidR="008664EA">
        <w:rPr>
          <w:sz w:val="24"/>
        </w:rPr>
        <w:t>00.</w:t>
      </w:r>
    </w:p>
    <w:p w:rsidR="00CD1D98" w:rsidRDefault="00CD1D98" w:rsidP="0096580F">
      <w:pPr>
        <w:rPr>
          <w:sz w:val="24"/>
        </w:rPr>
      </w:pPr>
    </w:p>
    <w:p w:rsidR="00AE15CF" w:rsidRDefault="00CD1D98" w:rsidP="0096580F">
      <w:pPr>
        <w:rPr>
          <w:sz w:val="24"/>
        </w:rPr>
      </w:pPr>
      <w:r>
        <w:rPr>
          <w:sz w:val="24"/>
        </w:rPr>
        <w:t xml:space="preserve">In this case, staff recommends </w:t>
      </w:r>
      <w:r w:rsidR="009E6639">
        <w:rPr>
          <w:sz w:val="24"/>
        </w:rPr>
        <w:t xml:space="preserve">the commission issue a penalty assessment </w:t>
      </w:r>
      <w:bookmarkStart w:id="0" w:name="_GoBack"/>
      <w:bookmarkEnd w:id="0"/>
      <w:r>
        <w:rPr>
          <w:sz w:val="24"/>
        </w:rPr>
        <w:t xml:space="preserve">of </w:t>
      </w:r>
      <w:r w:rsidR="00750976">
        <w:rPr>
          <w:sz w:val="24"/>
        </w:rPr>
        <w:t xml:space="preserve">$100 per </w:t>
      </w:r>
      <w:r w:rsidR="0019788D">
        <w:rPr>
          <w:sz w:val="24"/>
        </w:rPr>
        <w:t>day</w:t>
      </w:r>
      <w:r w:rsidR="00A91AE7">
        <w:rPr>
          <w:sz w:val="24"/>
        </w:rPr>
        <w:t>, for each</w:t>
      </w:r>
      <w:r w:rsidR="0019788D">
        <w:rPr>
          <w:sz w:val="24"/>
        </w:rPr>
        <w:t xml:space="preserve"> </w:t>
      </w:r>
      <w:r w:rsidR="00A91AE7">
        <w:rPr>
          <w:sz w:val="24"/>
        </w:rPr>
        <w:t>day</w:t>
      </w:r>
      <w:r w:rsidR="0019788D">
        <w:rPr>
          <w:sz w:val="24"/>
        </w:rPr>
        <w:t xml:space="preserve"> the company was aware that it </w:t>
      </w:r>
      <w:r w:rsidR="00F05E96">
        <w:rPr>
          <w:sz w:val="24"/>
        </w:rPr>
        <w:t>was required to file an application for transfer of property and a tariff revision</w:t>
      </w:r>
      <w:r w:rsidR="0019788D">
        <w:rPr>
          <w:sz w:val="24"/>
        </w:rPr>
        <w:t xml:space="preserve">, but failed to </w:t>
      </w:r>
      <w:r w:rsidR="00F05E96">
        <w:rPr>
          <w:sz w:val="24"/>
        </w:rPr>
        <w:t xml:space="preserve">do so, </w:t>
      </w:r>
      <w:r w:rsidR="0019788D">
        <w:rPr>
          <w:sz w:val="24"/>
        </w:rPr>
        <w:t>for a total of $1</w:t>
      </w:r>
      <w:r w:rsidR="00F05E96">
        <w:rPr>
          <w:sz w:val="24"/>
        </w:rPr>
        <w:t>1</w:t>
      </w:r>
      <w:r w:rsidR="0019788D">
        <w:rPr>
          <w:sz w:val="24"/>
        </w:rPr>
        <w:t>,</w:t>
      </w:r>
      <w:r w:rsidR="00A06766">
        <w:rPr>
          <w:sz w:val="24"/>
        </w:rPr>
        <w:t>6</w:t>
      </w:r>
      <w:r w:rsidR="0019788D">
        <w:rPr>
          <w:sz w:val="24"/>
        </w:rPr>
        <w:t>00.</w:t>
      </w:r>
      <w:r w:rsidR="008A3292">
        <w:rPr>
          <w:sz w:val="24"/>
        </w:rPr>
        <w:t xml:space="preserve"> </w:t>
      </w:r>
    </w:p>
    <w:p w:rsidR="00AE15CF" w:rsidRDefault="00AE15CF" w:rsidP="0096580F">
      <w:pPr>
        <w:rPr>
          <w:sz w:val="24"/>
        </w:rPr>
      </w:pPr>
    </w:p>
    <w:p w:rsidR="00AE15CF" w:rsidRDefault="00AE15CF" w:rsidP="0096580F">
      <w:pPr>
        <w:rPr>
          <w:sz w:val="24"/>
        </w:rPr>
      </w:pPr>
      <w:r>
        <w:rPr>
          <w:sz w:val="24"/>
        </w:rPr>
        <w:t xml:space="preserve">When considering an enforcement action, the </w:t>
      </w:r>
      <w:r w:rsidR="00E338C4">
        <w:rPr>
          <w:sz w:val="24"/>
        </w:rPr>
        <w:t>c</w:t>
      </w:r>
      <w:r>
        <w:rPr>
          <w:sz w:val="24"/>
        </w:rPr>
        <w:t xml:space="preserve">ommission considers the following ten factors.  </w:t>
      </w:r>
      <w:r w:rsidR="008A3292">
        <w:rPr>
          <w:sz w:val="24"/>
        </w:rPr>
        <w:t>Staff believes the</w:t>
      </w:r>
      <w:r>
        <w:rPr>
          <w:sz w:val="24"/>
        </w:rPr>
        <w:t xml:space="preserve"> recommended </w:t>
      </w:r>
      <w:r w:rsidR="00E338C4">
        <w:rPr>
          <w:sz w:val="24"/>
        </w:rPr>
        <w:t>penalties are supported by the c</w:t>
      </w:r>
      <w:r>
        <w:rPr>
          <w:sz w:val="24"/>
        </w:rPr>
        <w:t>ommission’s enforcement policy</w:t>
      </w:r>
      <w:r w:rsidR="00DC7956">
        <w:rPr>
          <w:sz w:val="24"/>
        </w:rPr>
        <w:t>,</w:t>
      </w:r>
      <w:r>
        <w:rPr>
          <w:sz w:val="24"/>
        </w:rPr>
        <w:t xml:space="preserve"> as follows:</w:t>
      </w:r>
    </w:p>
    <w:p w:rsidR="00A65C01" w:rsidRDefault="00A65C01" w:rsidP="0096580F">
      <w:pPr>
        <w:rPr>
          <w:sz w:val="24"/>
        </w:rPr>
      </w:pPr>
    </w:p>
    <w:p w:rsidR="00AE15CF" w:rsidRDefault="00AE15CF" w:rsidP="008A3292">
      <w:pPr>
        <w:pStyle w:val="ListParagraph"/>
        <w:numPr>
          <w:ilvl w:val="0"/>
          <w:numId w:val="17"/>
        </w:numPr>
        <w:rPr>
          <w:b/>
        </w:rPr>
      </w:pPr>
      <w:r>
        <w:rPr>
          <w:b/>
        </w:rPr>
        <w:t>How serious or harmful the violation is to the public.</w:t>
      </w:r>
    </w:p>
    <w:p w:rsidR="00E338C4" w:rsidRDefault="006C77F5" w:rsidP="00E338C4">
      <w:pPr>
        <w:pStyle w:val="ListParagraph"/>
      </w:pPr>
      <w:r>
        <w:t>B</w:t>
      </w:r>
      <w:r w:rsidR="00AE15CF">
        <w:t xml:space="preserve">y failing to fulfill its regulatory duties, the company has denied its customers the benefits of regulatory </w:t>
      </w:r>
      <w:r w:rsidR="00E338C4">
        <w:t>scrutiny</w:t>
      </w:r>
      <w:r w:rsidR="00AE15CF">
        <w:t xml:space="preserve"> </w:t>
      </w:r>
      <w:r w:rsidR="00DC7956">
        <w:t>over</w:t>
      </w:r>
      <w:r w:rsidR="00AE15CF">
        <w:t xml:space="preserve"> </w:t>
      </w:r>
      <w:r w:rsidR="00E338C4">
        <w:t>its transfers of property, and assurances that the company’</w:t>
      </w:r>
      <w:r>
        <w:t xml:space="preserve">s rates are fair and reasonable. </w:t>
      </w:r>
      <w:r w:rsidR="00A15FEF">
        <w:t>Additionally, by failing to become regulated the company has also prevented</w:t>
      </w:r>
      <w:r>
        <w:t xml:space="preserve"> customers from accessing the Utilities and Transportation Commission and utilizing th</w:t>
      </w:r>
      <w:r w:rsidR="00A15FEF">
        <w:t xml:space="preserve">eir consumer complaint services. </w:t>
      </w:r>
    </w:p>
    <w:p w:rsidR="00E338C4" w:rsidRDefault="00E338C4" w:rsidP="00E338C4">
      <w:pPr>
        <w:pStyle w:val="ListParagraph"/>
      </w:pPr>
    </w:p>
    <w:p w:rsidR="00E338C4" w:rsidRPr="00E338C4" w:rsidRDefault="00E338C4" w:rsidP="00E338C4">
      <w:pPr>
        <w:pStyle w:val="ListParagraph"/>
        <w:numPr>
          <w:ilvl w:val="0"/>
          <w:numId w:val="17"/>
        </w:numPr>
        <w:rPr>
          <w:b/>
        </w:rPr>
      </w:pPr>
      <w:r w:rsidRPr="00E338C4">
        <w:rPr>
          <w:b/>
        </w:rPr>
        <w:t>Whether the violation is intentional.</w:t>
      </w:r>
    </w:p>
    <w:p w:rsidR="00E338C4" w:rsidRDefault="00E338C4" w:rsidP="00E338C4">
      <w:pPr>
        <w:pStyle w:val="ListParagraph"/>
      </w:pPr>
      <w:r>
        <w:t xml:space="preserve">Staff believes that the company knowingly violated commission rules, and intentionally </w:t>
      </w:r>
      <w:r w:rsidR="00DC7956">
        <w:t>neglected</w:t>
      </w:r>
      <w:r w:rsidR="00A15FEF">
        <w:t xml:space="preserve"> and continues to fail</w:t>
      </w:r>
      <w:r w:rsidR="00DC7956">
        <w:t xml:space="preserve"> to correct t</w:t>
      </w:r>
      <w:r w:rsidR="00A15FEF">
        <w:t>he violations.</w:t>
      </w:r>
    </w:p>
    <w:p w:rsidR="00A15FEF" w:rsidRDefault="00A15FEF" w:rsidP="00E338C4">
      <w:pPr>
        <w:pStyle w:val="ListParagraph"/>
      </w:pPr>
    </w:p>
    <w:p w:rsidR="00E338C4" w:rsidRPr="00E338C4" w:rsidRDefault="00E338C4" w:rsidP="00E338C4">
      <w:pPr>
        <w:pStyle w:val="ListParagraph"/>
        <w:numPr>
          <w:ilvl w:val="0"/>
          <w:numId w:val="17"/>
        </w:numPr>
        <w:rPr>
          <w:b/>
        </w:rPr>
      </w:pPr>
      <w:r w:rsidRPr="00E338C4">
        <w:rPr>
          <w:b/>
        </w:rPr>
        <w:t>Whether the company self-reported the violation.</w:t>
      </w:r>
    </w:p>
    <w:p w:rsidR="00E338C4" w:rsidRDefault="00E338C4" w:rsidP="00E338C4">
      <w:pPr>
        <w:pStyle w:val="ListParagraph"/>
      </w:pPr>
      <w:r>
        <w:t>The company did</w:t>
      </w:r>
      <w:r w:rsidR="008F32E7">
        <w:t xml:space="preserve"> not self-report the violation.</w:t>
      </w:r>
      <w:r>
        <w:t xml:space="preserve"> In fact, the company allowed nearly a year to elapse without notifying the commission of its sale of the Whidbey West water system. Staff believes that the company would have continued to violate commission rules indefinitely had the commission not notified the company of the violations.</w:t>
      </w:r>
    </w:p>
    <w:p w:rsidR="00E338C4" w:rsidRPr="00AE15CF" w:rsidRDefault="00E338C4" w:rsidP="00AE15CF">
      <w:pPr>
        <w:pStyle w:val="ListParagraph"/>
      </w:pPr>
    </w:p>
    <w:p w:rsidR="008A3292" w:rsidRPr="00F05E96" w:rsidRDefault="008A3292" w:rsidP="008A3292">
      <w:pPr>
        <w:pStyle w:val="ListParagraph"/>
        <w:numPr>
          <w:ilvl w:val="0"/>
          <w:numId w:val="17"/>
        </w:numPr>
        <w:rPr>
          <w:b/>
        </w:rPr>
      </w:pPr>
      <w:r w:rsidRPr="00F05E96">
        <w:rPr>
          <w:b/>
        </w:rPr>
        <w:t>Whether the company was cooperative and responsive</w:t>
      </w:r>
      <w:r w:rsidR="00A65C01" w:rsidRPr="00F05E96">
        <w:rPr>
          <w:b/>
        </w:rPr>
        <w:t>.</w:t>
      </w:r>
    </w:p>
    <w:p w:rsidR="00973AED" w:rsidRDefault="00A65C01" w:rsidP="00973AED">
      <w:pPr>
        <w:pStyle w:val="ListParagraph"/>
      </w:pPr>
      <w:r>
        <w:t>The company was initially responsive to staff’s request for information</w:t>
      </w:r>
      <w:r w:rsidR="00A91AE7">
        <w:t xml:space="preserve">, and </w:t>
      </w:r>
      <w:r w:rsidR="0019788D">
        <w:t xml:space="preserve">continued to correspond with </w:t>
      </w:r>
      <w:r w:rsidR="00377757">
        <w:t xml:space="preserve">Regulatory </w:t>
      </w:r>
      <w:r w:rsidR="005A74B5">
        <w:t xml:space="preserve">Services </w:t>
      </w:r>
      <w:r w:rsidR="0019788D">
        <w:t xml:space="preserve">staff throughout the course of the investigation. </w:t>
      </w:r>
      <w:r w:rsidR="00A91AE7">
        <w:t>The</w:t>
      </w:r>
      <w:r w:rsidR="00973AED">
        <w:t xml:space="preserve"> </w:t>
      </w:r>
      <w:r w:rsidR="00973AED">
        <w:lastRenderedPageBreak/>
        <w:t>company did not</w:t>
      </w:r>
      <w:r w:rsidR="00A91AE7">
        <w:t>, however,</w:t>
      </w:r>
      <w:r w:rsidR="00973AED">
        <w:t xml:space="preserve"> follow staff’s recommendations, and was not responsive to </w:t>
      </w:r>
      <w:r w:rsidR="00D60C21">
        <w:t xml:space="preserve">questions from </w:t>
      </w:r>
      <w:r w:rsidR="00377757">
        <w:t>Compliance Investigations staff.</w:t>
      </w:r>
      <w:r w:rsidR="00973AED">
        <w:t xml:space="preserve"> </w:t>
      </w:r>
    </w:p>
    <w:p w:rsidR="00973AED" w:rsidRDefault="00973AED" w:rsidP="00973AED">
      <w:pPr>
        <w:pStyle w:val="ListParagraph"/>
      </w:pPr>
    </w:p>
    <w:p w:rsidR="00A65C01" w:rsidRPr="00377757" w:rsidRDefault="008A3292" w:rsidP="00973AED">
      <w:pPr>
        <w:pStyle w:val="ListParagraph"/>
        <w:numPr>
          <w:ilvl w:val="0"/>
          <w:numId w:val="17"/>
        </w:numPr>
        <w:rPr>
          <w:b/>
        </w:rPr>
      </w:pPr>
      <w:r w:rsidRPr="00377757">
        <w:rPr>
          <w:b/>
        </w:rPr>
        <w:t>Whether the company promptly corrected the violations and remedied the impacts</w:t>
      </w:r>
      <w:r w:rsidR="00A65C01" w:rsidRPr="00377757">
        <w:rPr>
          <w:b/>
        </w:rPr>
        <w:t>.</w:t>
      </w:r>
    </w:p>
    <w:p w:rsidR="005A74B5" w:rsidRDefault="0019788D" w:rsidP="005A74B5">
      <w:pPr>
        <w:pStyle w:val="ListParagraph"/>
      </w:pPr>
      <w:r>
        <w:t>T</w:t>
      </w:r>
      <w:r w:rsidR="00A65C01">
        <w:t>he company acknowledged that the system list in its ta</w:t>
      </w:r>
      <w:r>
        <w:t xml:space="preserve">riff </w:t>
      </w:r>
      <w:r w:rsidR="00973AED">
        <w:t xml:space="preserve">was incorrect </w:t>
      </w:r>
      <w:r w:rsidR="008664EA">
        <w:t>when it responded to staff’s compliance letter</w:t>
      </w:r>
      <w:r w:rsidR="005A74B5">
        <w:t xml:space="preserve"> on Sept. 5, 2013</w:t>
      </w:r>
      <w:r>
        <w:t>.  However, despite receiving detailed instructions from staff</w:t>
      </w:r>
      <w:r w:rsidR="00A65C01">
        <w:t xml:space="preserve">, </w:t>
      </w:r>
      <w:r>
        <w:t>the company</w:t>
      </w:r>
      <w:r w:rsidR="00A65C01">
        <w:t xml:space="preserve"> did not take action to remedy the situation.  The company ignored staff’s technical assistance, and has continued to </w:t>
      </w:r>
      <w:r w:rsidR="00847C5A">
        <w:t xml:space="preserve">knowingly </w:t>
      </w:r>
      <w:r w:rsidR="00A65C01">
        <w:t xml:space="preserve">violate commission rules for </w:t>
      </w:r>
      <w:r w:rsidR="008664EA">
        <w:t>nearly</w:t>
      </w:r>
      <w:r w:rsidR="00F05E96">
        <w:t xml:space="preserve"> </w:t>
      </w:r>
      <w:r w:rsidR="00503BC8">
        <w:t>seven</w:t>
      </w:r>
      <w:r w:rsidR="00A65C01">
        <w:t xml:space="preserve"> months.</w:t>
      </w:r>
      <w:r w:rsidR="00973AED">
        <w:t xml:space="preserve"> </w:t>
      </w:r>
    </w:p>
    <w:p w:rsidR="005A74B5" w:rsidRDefault="005A74B5" w:rsidP="005A74B5">
      <w:pPr>
        <w:pStyle w:val="ListParagraph"/>
      </w:pPr>
    </w:p>
    <w:p w:rsidR="005A74B5" w:rsidRPr="007A24C9" w:rsidRDefault="007A24C9" w:rsidP="005A74B5">
      <w:pPr>
        <w:pStyle w:val="ListParagraph"/>
        <w:numPr>
          <w:ilvl w:val="0"/>
          <w:numId w:val="17"/>
        </w:numPr>
        <w:rPr>
          <w:b/>
        </w:rPr>
      </w:pPr>
      <w:r>
        <w:rPr>
          <w:b/>
        </w:rPr>
        <w:t>The number of violations and customers affected.</w:t>
      </w:r>
    </w:p>
    <w:p w:rsidR="00E338C4" w:rsidRPr="00E338C4" w:rsidRDefault="00E338C4" w:rsidP="007A24C9">
      <w:pPr>
        <w:pStyle w:val="ListParagraph"/>
      </w:pPr>
      <w:r w:rsidRPr="007A24C9">
        <w:t>Staff has identified 804 violations of commission rules.</w:t>
      </w:r>
      <w:r w:rsidR="007A24C9">
        <w:t xml:space="preserve"> The number of customers affected by these violations is 14. This is high number of violations for such a small customer base. </w:t>
      </w:r>
    </w:p>
    <w:p w:rsidR="00377757" w:rsidRDefault="00377757" w:rsidP="00973AED">
      <w:pPr>
        <w:pStyle w:val="ListParagraph"/>
      </w:pPr>
    </w:p>
    <w:p w:rsidR="008A3292" w:rsidRPr="00F05E96" w:rsidRDefault="008A3292" w:rsidP="008A3292">
      <w:pPr>
        <w:pStyle w:val="ListParagraph"/>
        <w:numPr>
          <w:ilvl w:val="0"/>
          <w:numId w:val="17"/>
        </w:numPr>
        <w:rPr>
          <w:b/>
        </w:rPr>
      </w:pPr>
      <w:r w:rsidRPr="00F05E96">
        <w:rPr>
          <w:b/>
        </w:rPr>
        <w:t>The likelihood of recurrence</w:t>
      </w:r>
      <w:r w:rsidR="00A65C01" w:rsidRPr="00F05E96">
        <w:rPr>
          <w:b/>
        </w:rPr>
        <w:t>.</w:t>
      </w:r>
    </w:p>
    <w:p w:rsidR="00A65C01" w:rsidRDefault="00A65C01" w:rsidP="00A65C01">
      <w:pPr>
        <w:pStyle w:val="ListParagraph"/>
      </w:pPr>
      <w:r>
        <w:t xml:space="preserve">Staff believes that the company is likely to continue to </w:t>
      </w:r>
      <w:r w:rsidR="00CC7058">
        <w:t xml:space="preserve">violate commission rules </w:t>
      </w:r>
      <w:r w:rsidR="008664EA">
        <w:t>governing transfers of property and tariff revisions</w:t>
      </w:r>
      <w:r w:rsidR="00973AED">
        <w:t xml:space="preserve">. </w:t>
      </w:r>
      <w:r w:rsidR="008664EA">
        <w:t xml:space="preserve">The company has told </w:t>
      </w:r>
      <w:r w:rsidR="00377757">
        <w:t xml:space="preserve">Regulatory Services </w:t>
      </w:r>
      <w:r w:rsidR="008664EA">
        <w:t>staff that it is in the process of “downsizing,” and intends to wait until that process is complete to ful</w:t>
      </w:r>
      <w:r w:rsidR="00A15FEF">
        <w:t xml:space="preserve">fill its regulatory obligations. </w:t>
      </w:r>
      <w:r w:rsidR="001C4A4E">
        <w:t>The regulatory requirements of WAC 480-110-433 clearly state that a water company must file a tariff revision within 30 days of an acquisition, and there is no language which allows this requirement to be optional or at the company’s convenience. Additionally, the</w:t>
      </w:r>
      <w:r w:rsidR="00B90F45">
        <w:t xml:space="preserve"> company’s service area sheet in its tariff has not been updated since 2000. </w:t>
      </w:r>
      <w:r w:rsidR="008664EA">
        <w:t>Staff believes that</w:t>
      </w:r>
      <w:r w:rsidR="00973AED">
        <w:t>, absent enforcement action,</w:t>
      </w:r>
      <w:r w:rsidR="008664EA">
        <w:t xml:space="preserve"> the company could continue to postpone </w:t>
      </w:r>
      <w:r w:rsidR="00973AED">
        <w:t>making the required filings indefinitely.</w:t>
      </w:r>
      <w:r w:rsidR="008664EA">
        <w:t xml:space="preserve"> </w:t>
      </w:r>
    </w:p>
    <w:p w:rsidR="00377757" w:rsidRDefault="00377757" w:rsidP="00A65C01">
      <w:pPr>
        <w:pStyle w:val="ListParagraph"/>
      </w:pPr>
    </w:p>
    <w:p w:rsidR="008A3292" w:rsidRPr="00973AED" w:rsidRDefault="008A3292" w:rsidP="008A3292">
      <w:pPr>
        <w:pStyle w:val="ListParagraph"/>
        <w:numPr>
          <w:ilvl w:val="0"/>
          <w:numId w:val="17"/>
        </w:numPr>
        <w:rPr>
          <w:b/>
        </w:rPr>
      </w:pPr>
      <w:r w:rsidRPr="00973AED">
        <w:rPr>
          <w:b/>
        </w:rPr>
        <w:t>The company’s past performance regarding compliance, violations, and penalties</w:t>
      </w:r>
      <w:r w:rsidR="00973AED" w:rsidRPr="00973AED">
        <w:rPr>
          <w:b/>
        </w:rPr>
        <w:t>.</w:t>
      </w:r>
    </w:p>
    <w:p w:rsidR="009350C3" w:rsidRDefault="009350C3" w:rsidP="009350C3">
      <w:pPr>
        <w:pStyle w:val="ListParagraph"/>
      </w:pPr>
      <w:r>
        <w:t xml:space="preserve">The company was previously investigated for failure to respond to consumer complaints. The </w:t>
      </w:r>
      <w:r w:rsidR="00B90F45">
        <w:t>commission sent the company</w:t>
      </w:r>
      <w:r>
        <w:t xml:space="preserve"> compliance letters for violations of WAC 480-110-385 in 2005 and 2007. </w:t>
      </w:r>
      <w:r w:rsidR="00B90F45">
        <w:t>On July 20, 2013, t</w:t>
      </w:r>
      <w:r>
        <w:t>he company was assessed a penalty of $50 for filing a late 2012 annual rep</w:t>
      </w:r>
      <w:r w:rsidR="00973AED">
        <w:t xml:space="preserve">ort. </w:t>
      </w:r>
      <w:r>
        <w:t xml:space="preserve">The company has </w:t>
      </w:r>
      <w:r w:rsidR="00A15FEF">
        <w:t>not</w:t>
      </w:r>
      <w:r>
        <w:t xml:space="preserve"> been assessed any other penalties. </w:t>
      </w:r>
    </w:p>
    <w:p w:rsidR="00377757" w:rsidRDefault="00377757" w:rsidP="009350C3">
      <w:pPr>
        <w:pStyle w:val="ListParagraph"/>
      </w:pPr>
    </w:p>
    <w:p w:rsidR="008A3292" w:rsidRDefault="008A3292" w:rsidP="008A3292">
      <w:pPr>
        <w:pStyle w:val="ListParagraph"/>
        <w:numPr>
          <w:ilvl w:val="0"/>
          <w:numId w:val="17"/>
        </w:numPr>
        <w:rPr>
          <w:b/>
        </w:rPr>
      </w:pPr>
      <w:r w:rsidRPr="00973AED">
        <w:rPr>
          <w:b/>
        </w:rPr>
        <w:t>The size of the company</w:t>
      </w:r>
      <w:r w:rsidR="00973AED">
        <w:rPr>
          <w:b/>
        </w:rPr>
        <w:t>.</w:t>
      </w:r>
    </w:p>
    <w:p w:rsidR="00870DD7" w:rsidRDefault="00377757" w:rsidP="005A74B5">
      <w:pPr>
        <w:pStyle w:val="ListParagraph"/>
      </w:pPr>
      <w:r>
        <w:t xml:space="preserve">Staff recognizes that the recommended penalty amount is significant, given the size of the company.  </w:t>
      </w:r>
      <w:r w:rsidR="00BA3052">
        <w:t>The</w:t>
      </w:r>
      <w:r w:rsidR="00D60C21">
        <w:t xml:space="preserve"> potential penalty</w:t>
      </w:r>
      <w:r w:rsidR="00BA3052">
        <w:t>, however,</w:t>
      </w:r>
      <w:r w:rsidR="00D60C21">
        <w:t xml:space="preserve"> is much higher than what staff has recommended in this case.</w:t>
      </w:r>
      <w:r>
        <w:t xml:space="preserve"> </w:t>
      </w:r>
      <w:r w:rsidR="00D60C21">
        <w:t>S</w:t>
      </w:r>
      <w:r>
        <w:t xml:space="preserve">taff has recommended a mitigated penalty, based solely on the number of days that the company has operated in violation of commission rules since it admitted to the violations. Staff believes that its recommendation is appropriate, given that the company continues to operate in violation of commission rules. </w:t>
      </w:r>
      <w:r w:rsidR="00870DD7">
        <w:br w:type="page"/>
      </w:r>
    </w:p>
    <w:p w:rsidR="00AB3031" w:rsidRDefault="006D07F6" w:rsidP="000902B9">
      <w:pPr>
        <w:jc w:val="center"/>
        <w:rPr>
          <w:b/>
          <w:sz w:val="24"/>
        </w:rPr>
      </w:pPr>
      <w:r>
        <w:rPr>
          <w:b/>
          <w:sz w:val="24"/>
        </w:rPr>
        <w:lastRenderedPageBreak/>
        <w:t>Attachment</w:t>
      </w:r>
      <w:r w:rsidR="000902B9">
        <w:rPr>
          <w:b/>
          <w:sz w:val="24"/>
        </w:rPr>
        <w:t xml:space="preserve"> A</w:t>
      </w:r>
    </w:p>
    <w:p w:rsidR="00A13AF8" w:rsidRDefault="00A13AF8" w:rsidP="007667AF">
      <w:pPr>
        <w:widowControl/>
        <w:autoSpaceDE/>
        <w:autoSpaceDN/>
        <w:adjustRightInd/>
        <w:spacing w:after="200" w:line="276" w:lineRule="auto"/>
        <w:jc w:val="center"/>
        <w:rPr>
          <w:b/>
          <w:sz w:val="24"/>
        </w:rPr>
      </w:pPr>
    </w:p>
    <w:p w:rsidR="006E446B" w:rsidRDefault="00A13AF8" w:rsidP="00A13AF8">
      <w:pPr>
        <w:widowControl/>
        <w:autoSpaceDE/>
        <w:autoSpaceDN/>
        <w:adjustRightInd/>
        <w:spacing w:after="200" w:line="276" w:lineRule="auto"/>
        <w:jc w:val="center"/>
        <w:rPr>
          <w:b/>
          <w:sz w:val="24"/>
        </w:rPr>
      </w:pPr>
      <w:r>
        <w:rPr>
          <w:b/>
          <w:sz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05pt;height:594.45pt" o:ole="">
            <v:imagedata r:id="rId12" o:title=""/>
          </v:shape>
          <o:OLEObject Type="Embed" ProgID="AcroExch.Document.11" ShapeID="_x0000_i1025" DrawAspect="Content" ObjectID="_1458997629" r:id="rId13"/>
        </w:object>
      </w:r>
    </w:p>
    <w:p w:rsidR="00A13AF8" w:rsidRDefault="00A13AF8" w:rsidP="00A13AF8">
      <w:pPr>
        <w:widowControl/>
        <w:autoSpaceDE/>
        <w:autoSpaceDN/>
        <w:adjustRightInd/>
        <w:spacing w:after="200" w:line="276" w:lineRule="auto"/>
        <w:jc w:val="center"/>
        <w:rPr>
          <w:b/>
          <w:sz w:val="24"/>
        </w:rPr>
      </w:pPr>
      <w:r>
        <w:rPr>
          <w:b/>
          <w:sz w:val="24"/>
        </w:rPr>
        <w:lastRenderedPageBreak/>
        <w:t>Attachment B</w:t>
      </w:r>
      <w:r w:rsidRPr="00A13AF8">
        <w:rPr>
          <w:b/>
          <w:sz w:val="24"/>
        </w:rPr>
        <w:t xml:space="preserve"> </w:t>
      </w:r>
      <w:r>
        <w:rPr>
          <w:b/>
          <w:noProof/>
          <w:sz w:val="24"/>
        </w:rPr>
        <w:drawing>
          <wp:inline distT="0" distB="0" distL="0" distR="0">
            <wp:extent cx="5943600" cy="72993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299303"/>
                    </a:xfrm>
                    <a:prstGeom prst="rect">
                      <a:avLst/>
                    </a:prstGeom>
                    <a:noFill/>
                    <a:ln>
                      <a:noFill/>
                    </a:ln>
                  </pic:spPr>
                </pic:pic>
              </a:graphicData>
            </a:graphic>
          </wp:inline>
        </w:drawing>
      </w:r>
    </w:p>
    <w:p w:rsidR="00A13AF8" w:rsidRPr="007667AF" w:rsidRDefault="00A13AF8" w:rsidP="00A13AF8">
      <w:pPr>
        <w:widowControl/>
        <w:autoSpaceDE/>
        <w:autoSpaceDN/>
        <w:adjustRightInd/>
        <w:spacing w:after="200" w:line="276" w:lineRule="auto"/>
        <w:jc w:val="center"/>
        <w:rPr>
          <w:sz w:val="24"/>
        </w:rPr>
      </w:pPr>
      <w:r>
        <w:rPr>
          <w:b/>
          <w:sz w:val="24"/>
        </w:rPr>
        <w:br w:type="page"/>
      </w:r>
      <w:r>
        <w:rPr>
          <w:b/>
          <w:sz w:val="24"/>
        </w:rPr>
        <w:lastRenderedPageBreak/>
        <w:t>Attachment C</w:t>
      </w:r>
      <w:r>
        <w:rPr>
          <w:b/>
          <w:noProof/>
          <w:sz w:val="24"/>
        </w:rPr>
        <w:drawing>
          <wp:inline distT="0" distB="0" distL="0" distR="0">
            <wp:extent cx="5685927" cy="74580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1556" cy="7465458"/>
                    </a:xfrm>
                    <a:prstGeom prst="rect">
                      <a:avLst/>
                    </a:prstGeom>
                    <a:noFill/>
                    <a:ln>
                      <a:noFill/>
                    </a:ln>
                  </pic:spPr>
                </pic:pic>
              </a:graphicData>
            </a:graphic>
          </wp:inline>
        </w:drawing>
      </w:r>
      <w:r>
        <w:rPr>
          <w:b/>
          <w:noProof/>
          <w:sz w:val="24"/>
        </w:rPr>
        <w:lastRenderedPageBreak/>
        <w:drawing>
          <wp:inline distT="0" distB="0" distL="0" distR="0">
            <wp:extent cx="5943600" cy="796295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962952"/>
                    </a:xfrm>
                    <a:prstGeom prst="rect">
                      <a:avLst/>
                    </a:prstGeom>
                    <a:noFill/>
                    <a:ln>
                      <a:noFill/>
                    </a:ln>
                  </pic:spPr>
                </pic:pic>
              </a:graphicData>
            </a:graphic>
          </wp:inline>
        </w:drawing>
      </w:r>
      <w:r w:rsidRPr="00A13AF8">
        <w:rPr>
          <w:b/>
          <w:sz w:val="24"/>
        </w:rPr>
        <w:t xml:space="preserve"> </w:t>
      </w:r>
      <w:r>
        <w:rPr>
          <w:b/>
          <w:noProof/>
          <w:sz w:val="24"/>
        </w:rPr>
        <w:lastRenderedPageBreak/>
        <w:drawing>
          <wp:inline distT="0" distB="0" distL="0" distR="0">
            <wp:extent cx="5943600" cy="70575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057505"/>
                    </a:xfrm>
                    <a:prstGeom prst="rect">
                      <a:avLst/>
                    </a:prstGeom>
                    <a:noFill/>
                    <a:ln>
                      <a:noFill/>
                    </a:ln>
                  </pic:spPr>
                </pic:pic>
              </a:graphicData>
            </a:graphic>
          </wp:inline>
        </w:drawing>
      </w:r>
    </w:p>
    <w:p w:rsidR="00A13AF8" w:rsidRDefault="00A13AF8">
      <w:pPr>
        <w:widowControl/>
        <w:autoSpaceDE/>
        <w:autoSpaceDN/>
        <w:adjustRightInd/>
        <w:spacing w:after="200" w:line="276" w:lineRule="auto"/>
        <w:rPr>
          <w:b/>
          <w:sz w:val="24"/>
        </w:rPr>
      </w:pPr>
      <w:r>
        <w:rPr>
          <w:b/>
          <w:sz w:val="24"/>
        </w:rPr>
        <w:br w:type="page"/>
      </w:r>
    </w:p>
    <w:p w:rsidR="006E446B" w:rsidRDefault="00424FBB" w:rsidP="006E446B">
      <w:pPr>
        <w:jc w:val="center"/>
        <w:rPr>
          <w:b/>
          <w:sz w:val="24"/>
        </w:rPr>
      </w:pPr>
      <w:r>
        <w:rPr>
          <w:b/>
          <w:sz w:val="24"/>
        </w:rPr>
        <w:lastRenderedPageBreak/>
        <w:t>A</w:t>
      </w:r>
      <w:r w:rsidR="006D07F6">
        <w:rPr>
          <w:b/>
          <w:sz w:val="24"/>
        </w:rPr>
        <w:t>ttachment</w:t>
      </w:r>
      <w:r w:rsidR="00A13AF8">
        <w:rPr>
          <w:b/>
          <w:sz w:val="24"/>
        </w:rPr>
        <w:t xml:space="preserve"> D</w:t>
      </w:r>
    </w:p>
    <w:p w:rsidR="00A13AF8" w:rsidRDefault="00BC78BC" w:rsidP="007667AF">
      <w:pPr>
        <w:jc w:val="center"/>
        <w:rPr>
          <w:b/>
          <w:sz w:val="24"/>
        </w:rPr>
      </w:pPr>
      <w:r>
        <w:rPr>
          <w:b/>
          <w:noProof/>
          <w:sz w:val="24"/>
        </w:rPr>
        <w:drawing>
          <wp:inline distT="0" distB="0" distL="0" distR="0">
            <wp:extent cx="5819775" cy="7743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7743825"/>
                    </a:xfrm>
                    <a:prstGeom prst="rect">
                      <a:avLst/>
                    </a:prstGeom>
                    <a:noFill/>
                    <a:ln>
                      <a:noFill/>
                    </a:ln>
                  </pic:spPr>
                </pic:pic>
              </a:graphicData>
            </a:graphic>
          </wp:inline>
        </w:drawing>
      </w:r>
    </w:p>
    <w:p w:rsidR="00A13AF8" w:rsidRDefault="00A13AF8">
      <w:pPr>
        <w:widowControl/>
        <w:autoSpaceDE/>
        <w:autoSpaceDN/>
        <w:adjustRightInd/>
        <w:spacing w:after="200" w:line="276" w:lineRule="auto"/>
        <w:rPr>
          <w:b/>
          <w:sz w:val="24"/>
        </w:rPr>
      </w:pPr>
      <w:r>
        <w:rPr>
          <w:b/>
          <w:sz w:val="24"/>
        </w:rPr>
        <w:br w:type="page"/>
      </w:r>
    </w:p>
    <w:p w:rsidR="00424FBB" w:rsidRDefault="006E446B" w:rsidP="007667AF">
      <w:pPr>
        <w:jc w:val="center"/>
        <w:rPr>
          <w:b/>
          <w:sz w:val="24"/>
        </w:rPr>
      </w:pPr>
      <w:r>
        <w:rPr>
          <w:b/>
          <w:sz w:val="24"/>
        </w:rPr>
        <w:lastRenderedPageBreak/>
        <w:t>A</w:t>
      </w:r>
      <w:r w:rsidR="006D07F6">
        <w:rPr>
          <w:b/>
          <w:sz w:val="24"/>
        </w:rPr>
        <w:t>ttachment</w:t>
      </w:r>
      <w:r>
        <w:rPr>
          <w:b/>
          <w:sz w:val="24"/>
        </w:rPr>
        <w:t xml:space="preserve"> </w:t>
      </w:r>
      <w:r w:rsidR="00424FBB">
        <w:rPr>
          <w:b/>
          <w:sz w:val="24"/>
        </w:rPr>
        <w:t>E</w:t>
      </w:r>
      <w:r w:rsidR="00C451F9" w:rsidRPr="00C451F9">
        <w:rPr>
          <w:b/>
          <w:sz w:val="24"/>
        </w:rPr>
        <w:t xml:space="preserve"> </w:t>
      </w:r>
      <w:r w:rsidR="00E20A3C">
        <w:rPr>
          <w:b/>
          <w:sz w:val="24"/>
        </w:rPr>
        <w:object w:dxaOrig="9180" w:dyaOrig="11881">
          <v:shape id="_x0000_i1026" type="#_x0000_t75" style="width:459.05pt;height:594.45pt" o:ole="">
            <v:imagedata r:id="rId19" o:title=""/>
          </v:shape>
          <o:OLEObject Type="Embed" ProgID="AcroExch.Document.11" ShapeID="_x0000_i1026" DrawAspect="Content" ObjectID="_1458997630" r:id="rId20"/>
        </w:object>
      </w:r>
      <w:r w:rsidR="00C451F9" w:rsidRPr="00C451F9">
        <w:rPr>
          <w:b/>
          <w:sz w:val="24"/>
        </w:rPr>
        <w:t xml:space="preserve"> </w:t>
      </w:r>
      <w:r w:rsidR="00C72952">
        <w:rPr>
          <w:b/>
          <w:sz w:val="24"/>
        </w:rPr>
        <w:t xml:space="preserve"> </w:t>
      </w:r>
    </w:p>
    <w:p w:rsidR="00E20A3C" w:rsidRDefault="00E20A3C">
      <w:pPr>
        <w:widowControl/>
        <w:autoSpaceDE/>
        <w:autoSpaceDN/>
        <w:adjustRightInd/>
        <w:spacing w:after="200" w:line="276" w:lineRule="auto"/>
        <w:rPr>
          <w:b/>
          <w:sz w:val="24"/>
        </w:rPr>
      </w:pPr>
      <w:r>
        <w:rPr>
          <w:b/>
          <w:sz w:val="24"/>
        </w:rPr>
        <w:br w:type="page"/>
      </w:r>
    </w:p>
    <w:p w:rsidR="00770F24" w:rsidRDefault="00C451F9" w:rsidP="006E446B">
      <w:pPr>
        <w:widowControl/>
        <w:autoSpaceDE/>
        <w:autoSpaceDN/>
        <w:adjustRightInd/>
        <w:spacing w:after="200" w:line="276" w:lineRule="auto"/>
        <w:jc w:val="center"/>
        <w:rPr>
          <w:b/>
          <w:sz w:val="24"/>
        </w:rPr>
      </w:pPr>
      <w:r>
        <w:rPr>
          <w:b/>
          <w:sz w:val="24"/>
        </w:rPr>
        <w:lastRenderedPageBreak/>
        <w:t>Attachment F</w:t>
      </w:r>
      <w:r w:rsidRPr="00C451F9">
        <w:rPr>
          <w:b/>
          <w:sz w:val="24"/>
        </w:rPr>
        <w:t xml:space="preserve">  </w:t>
      </w:r>
      <w:r w:rsidR="00E20A3C">
        <w:rPr>
          <w:b/>
          <w:noProof/>
          <w:sz w:val="24"/>
        </w:rPr>
        <w:drawing>
          <wp:inline distT="0" distB="0" distL="0" distR="0">
            <wp:extent cx="5943600" cy="7161491"/>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161491"/>
                    </a:xfrm>
                    <a:prstGeom prst="rect">
                      <a:avLst/>
                    </a:prstGeom>
                    <a:noFill/>
                    <a:ln>
                      <a:noFill/>
                    </a:ln>
                  </pic:spPr>
                </pic:pic>
              </a:graphicData>
            </a:graphic>
          </wp:inline>
        </w:drawing>
      </w:r>
      <w:r w:rsidR="00E20A3C" w:rsidRPr="00E20A3C">
        <w:rPr>
          <w:b/>
          <w:sz w:val="24"/>
        </w:rPr>
        <w:t xml:space="preserve"> </w:t>
      </w:r>
      <w:r w:rsidR="00E20A3C">
        <w:rPr>
          <w:b/>
          <w:noProof/>
          <w:sz w:val="24"/>
        </w:rPr>
        <w:lastRenderedPageBreak/>
        <w:drawing>
          <wp:inline distT="0" distB="0" distL="0" distR="0">
            <wp:extent cx="5943600" cy="712798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127987"/>
                    </a:xfrm>
                    <a:prstGeom prst="rect">
                      <a:avLst/>
                    </a:prstGeom>
                    <a:noFill/>
                    <a:ln>
                      <a:noFill/>
                    </a:ln>
                  </pic:spPr>
                </pic:pic>
              </a:graphicData>
            </a:graphic>
          </wp:inline>
        </w:drawing>
      </w:r>
      <w:r w:rsidR="00E20A3C" w:rsidRPr="00E20A3C">
        <w:rPr>
          <w:b/>
          <w:sz w:val="24"/>
        </w:rPr>
        <w:t xml:space="preserve"> </w:t>
      </w:r>
      <w:r w:rsidR="00E20A3C">
        <w:rPr>
          <w:b/>
          <w:noProof/>
          <w:sz w:val="24"/>
        </w:rPr>
        <w:lastRenderedPageBreak/>
        <w:drawing>
          <wp:inline distT="0" distB="0" distL="0" distR="0">
            <wp:extent cx="5943600" cy="7334178"/>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334178"/>
                    </a:xfrm>
                    <a:prstGeom prst="rect">
                      <a:avLst/>
                    </a:prstGeom>
                    <a:noFill/>
                    <a:ln>
                      <a:noFill/>
                    </a:ln>
                  </pic:spPr>
                </pic:pic>
              </a:graphicData>
            </a:graphic>
          </wp:inline>
        </w:drawing>
      </w:r>
    </w:p>
    <w:p w:rsidR="00E20A3C" w:rsidRDefault="00E20A3C">
      <w:pPr>
        <w:widowControl/>
        <w:autoSpaceDE/>
        <w:autoSpaceDN/>
        <w:adjustRightInd/>
        <w:spacing w:after="200" w:line="276" w:lineRule="auto"/>
        <w:rPr>
          <w:b/>
          <w:sz w:val="24"/>
        </w:rPr>
      </w:pPr>
      <w:r>
        <w:rPr>
          <w:b/>
          <w:sz w:val="24"/>
        </w:rPr>
        <w:br w:type="page"/>
      </w:r>
    </w:p>
    <w:p w:rsidR="00326AAA" w:rsidRDefault="00770F24" w:rsidP="006E446B">
      <w:pPr>
        <w:widowControl/>
        <w:autoSpaceDE/>
        <w:autoSpaceDN/>
        <w:adjustRightInd/>
        <w:spacing w:after="200" w:line="276" w:lineRule="auto"/>
        <w:jc w:val="center"/>
        <w:rPr>
          <w:b/>
          <w:sz w:val="24"/>
        </w:rPr>
      </w:pPr>
      <w:r>
        <w:rPr>
          <w:b/>
          <w:sz w:val="24"/>
        </w:rPr>
        <w:lastRenderedPageBreak/>
        <w:t>Attachment G</w:t>
      </w:r>
      <w:r w:rsidR="007B2CBE" w:rsidRPr="007B2CBE">
        <w:rPr>
          <w:b/>
          <w:sz w:val="24"/>
        </w:rPr>
        <w:t xml:space="preserve"> </w:t>
      </w:r>
    </w:p>
    <w:p w:rsidR="00326AAA" w:rsidRDefault="00326AAA" w:rsidP="006E446B">
      <w:pPr>
        <w:widowControl/>
        <w:autoSpaceDE/>
        <w:autoSpaceDN/>
        <w:adjustRightInd/>
        <w:spacing w:after="200" w:line="276" w:lineRule="auto"/>
        <w:jc w:val="center"/>
        <w:rPr>
          <w:b/>
          <w:sz w:val="24"/>
        </w:rPr>
      </w:pPr>
      <w:r>
        <w:rPr>
          <w:b/>
          <w:noProof/>
          <w:sz w:val="24"/>
        </w:rPr>
        <w:drawing>
          <wp:inline distT="0" distB="0" distL="0" distR="0">
            <wp:extent cx="5940793" cy="77343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737955"/>
                    </a:xfrm>
                    <a:prstGeom prst="rect">
                      <a:avLst/>
                    </a:prstGeom>
                    <a:noFill/>
                    <a:ln>
                      <a:noFill/>
                    </a:ln>
                  </pic:spPr>
                </pic:pic>
              </a:graphicData>
            </a:graphic>
          </wp:inline>
        </w:drawing>
      </w:r>
    </w:p>
    <w:p w:rsidR="00326AAA" w:rsidRDefault="00326AAA" w:rsidP="006E446B">
      <w:pPr>
        <w:widowControl/>
        <w:autoSpaceDE/>
        <w:autoSpaceDN/>
        <w:adjustRightInd/>
        <w:spacing w:after="200" w:line="276" w:lineRule="auto"/>
        <w:jc w:val="center"/>
        <w:rPr>
          <w:b/>
          <w:sz w:val="24"/>
        </w:rPr>
      </w:pPr>
      <w:r>
        <w:rPr>
          <w:b/>
          <w:noProof/>
          <w:sz w:val="24"/>
        </w:rPr>
        <w:lastRenderedPageBreak/>
        <w:drawing>
          <wp:inline distT="0" distB="0" distL="0" distR="0">
            <wp:extent cx="5943114" cy="78676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868294"/>
                    </a:xfrm>
                    <a:prstGeom prst="rect">
                      <a:avLst/>
                    </a:prstGeom>
                    <a:noFill/>
                    <a:ln>
                      <a:noFill/>
                    </a:ln>
                  </pic:spPr>
                </pic:pic>
              </a:graphicData>
            </a:graphic>
          </wp:inline>
        </w:drawing>
      </w:r>
    </w:p>
    <w:p w:rsidR="00326AAA" w:rsidRDefault="00326AAA" w:rsidP="006E446B">
      <w:pPr>
        <w:widowControl/>
        <w:autoSpaceDE/>
        <w:autoSpaceDN/>
        <w:adjustRightInd/>
        <w:spacing w:after="200" w:line="276" w:lineRule="auto"/>
        <w:jc w:val="center"/>
        <w:rPr>
          <w:b/>
          <w:sz w:val="24"/>
        </w:rPr>
      </w:pPr>
    </w:p>
    <w:p w:rsidR="00326AAA" w:rsidRDefault="00326AAA" w:rsidP="006E446B">
      <w:pPr>
        <w:widowControl/>
        <w:autoSpaceDE/>
        <w:autoSpaceDN/>
        <w:adjustRightInd/>
        <w:spacing w:after="200" w:line="276" w:lineRule="auto"/>
        <w:jc w:val="center"/>
        <w:rPr>
          <w:b/>
          <w:sz w:val="24"/>
        </w:rPr>
      </w:pPr>
      <w:r>
        <w:rPr>
          <w:b/>
          <w:noProof/>
          <w:sz w:val="24"/>
        </w:rPr>
        <w:lastRenderedPageBreak/>
        <w:drawing>
          <wp:inline distT="0" distB="0" distL="0" distR="0">
            <wp:extent cx="5943600" cy="8162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162925"/>
                    </a:xfrm>
                    <a:prstGeom prst="rect">
                      <a:avLst/>
                    </a:prstGeom>
                    <a:noFill/>
                    <a:ln>
                      <a:noFill/>
                    </a:ln>
                  </pic:spPr>
                </pic:pic>
              </a:graphicData>
            </a:graphic>
          </wp:inline>
        </w:drawing>
      </w:r>
    </w:p>
    <w:p w:rsidR="00326AAA" w:rsidRDefault="00326AAA" w:rsidP="006E446B">
      <w:pPr>
        <w:widowControl/>
        <w:autoSpaceDE/>
        <w:autoSpaceDN/>
        <w:adjustRightInd/>
        <w:spacing w:after="200" w:line="276" w:lineRule="auto"/>
        <w:jc w:val="center"/>
        <w:rPr>
          <w:b/>
          <w:sz w:val="24"/>
        </w:rPr>
      </w:pPr>
      <w:r>
        <w:rPr>
          <w:b/>
          <w:noProof/>
          <w:sz w:val="24"/>
        </w:rPr>
        <w:lastRenderedPageBreak/>
        <w:drawing>
          <wp:inline distT="0" distB="0" distL="0" distR="0">
            <wp:extent cx="5941752" cy="75533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752" cy="7553325"/>
                    </a:xfrm>
                    <a:prstGeom prst="rect">
                      <a:avLst/>
                    </a:prstGeom>
                    <a:noFill/>
                    <a:ln>
                      <a:noFill/>
                    </a:ln>
                  </pic:spPr>
                </pic:pic>
              </a:graphicData>
            </a:graphic>
          </wp:inline>
        </w:drawing>
      </w:r>
    </w:p>
    <w:p w:rsidR="00326AAA" w:rsidRDefault="00326AAA" w:rsidP="006E446B">
      <w:pPr>
        <w:widowControl/>
        <w:autoSpaceDE/>
        <w:autoSpaceDN/>
        <w:adjustRightInd/>
        <w:spacing w:after="200" w:line="276" w:lineRule="auto"/>
        <w:jc w:val="center"/>
        <w:rPr>
          <w:b/>
          <w:sz w:val="24"/>
        </w:rPr>
      </w:pPr>
    </w:p>
    <w:p w:rsidR="00326AAA" w:rsidRDefault="00326AAA" w:rsidP="006E446B">
      <w:pPr>
        <w:widowControl/>
        <w:autoSpaceDE/>
        <w:autoSpaceDN/>
        <w:adjustRightInd/>
        <w:spacing w:after="200" w:line="276" w:lineRule="auto"/>
        <w:jc w:val="center"/>
        <w:rPr>
          <w:b/>
          <w:sz w:val="24"/>
        </w:rPr>
      </w:pPr>
    </w:p>
    <w:p w:rsidR="00326AAA" w:rsidRDefault="00326AAA" w:rsidP="006E446B">
      <w:pPr>
        <w:widowControl/>
        <w:autoSpaceDE/>
        <w:autoSpaceDN/>
        <w:adjustRightInd/>
        <w:spacing w:after="200" w:line="276" w:lineRule="auto"/>
        <w:jc w:val="center"/>
        <w:rPr>
          <w:b/>
          <w:sz w:val="24"/>
        </w:rPr>
      </w:pPr>
      <w:r>
        <w:rPr>
          <w:b/>
          <w:noProof/>
          <w:sz w:val="24"/>
        </w:rPr>
        <w:lastRenderedPageBreak/>
        <w:drawing>
          <wp:inline distT="0" distB="0" distL="0" distR="0">
            <wp:extent cx="5939557" cy="823912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8244733"/>
                    </a:xfrm>
                    <a:prstGeom prst="rect">
                      <a:avLst/>
                    </a:prstGeom>
                    <a:noFill/>
                    <a:ln>
                      <a:noFill/>
                    </a:ln>
                  </pic:spPr>
                </pic:pic>
              </a:graphicData>
            </a:graphic>
          </wp:inline>
        </w:drawing>
      </w:r>
    </w:p>
    <w:p w:rsidR="00F47F7B" w:rsidRDefault="00326AAA" w:rsidP="00F47F7B">
      <w:pPr>
        <w:widowControl/>
        <w:autoSpaceDE/>
        <w:autoSpaceDN/>
        <w:adjustRightInd/>
        <w:spacing w:after="200" w:line="276" w:lineRule="auto"/>
        <w:jc w:val="center"/>
        <w:rPr>
          <w:b/>
          <w:sz w:val="24"/>
        </w:rPr>
      </w:pPr>
      <w:r>
        <w:rPr>
          <w:b/>
          <w:noProof/>
          <w:sz w:val="24"/>
        </w:rPr>
        <w:lastRenderedPageBreak/>
        <w:drawing>
          <wp:inline distT="0" distB="0" distL="0" distR="0" wp14:anchorId="3B042570" wp14:editId="291D0A3D">
            <wp:extent cx="5943600" cy="7991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991475"/>
                    </a:xfrm>
                    <a:prstGeom prst="rect">
                      <a:avLst/>
                    </a:prstGeom>
                    <a:noFill/>
                    <a:ln>
                      <a:noFill/>
                    </a:ln>
                  </pic:spPr>
                </pic:pic>
              </a:graphicData>
            </a:graphic>
          </wp:inline>
        </w:drawing>
      </w:r>
    </w:p>
    <w:p w:rsidR="00F47F7B" w:rsidRPr="00F47F7B" w:rsidRDefault="00F47F7B" w:rsidP="00F47F7B">
      <w:pPr>
        <w:widowControl/>
        <w:autoSpaceDE/>
        <w:autoSpaceDN/>
        <w:adjustRightInd/>
        <w:spacing w:after="200" w:line="276" w:lineRule="auto"/>
        <w:jc w:val="center"/>
        <w:rPr>
          <w:b/>
          <w:noProof/>
          <w:sz w:val="24"/>
        </w:rPr>
      </w:pPr>
      <w:r>
        <w:rPr>
          <w:b/>
          <w:noProof/>
          <w:sz w:val="24"/>
        </w:rPr>
        <w:lastRenderedPageBreak/>
        <w:drawing>
          <wp:anchor distT="0" distB="0" distL="114300" distR="114300" simplePos="0" relativeHeight="251660288" behindDoc="0" locked="0" layoutInCell="1" allowOverlap="1" wp14:anchorId="6F1AC021" wp14:editId="7049A6CD">
            <wp:simplePos x="0" y="0"/>
            <wp:positionH relativeFrom="column">
              <wp:posOffset>-47625</wp:posOffset>
            </wp:positionH>
            <wp:positionV relativeFrom="paragraph">
              <wp:posOffset>285750</wp:posOffset>
            </wp:positionV>
            <wp:extent cx="5943600" cy="77533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7533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rPr>
        <w:t>Attachment H</w:t>
      </w:r>
    </w:p>
    <w:p w:rsidR="00B93518" w:rsidRDefault="00E20A3C" w:rsidP="006E446B">
      <w:pPr>
        <w:widowControl/>
        <w:autoSpaceDE/>
        <w:autoSpaceDN/>
        <w:adjustRightInd/>
        <w:spacing w:after="200" w:line="276" w:lineRule="auto"/>
        <w:jc w:val="center"/>
        <w:rPr>
          <w:b/>
          <w:sz w:val="24"/>
        </w:rPr>
      </w:pPr>
      <w:r>
        <w:rPr>
          <w:b/>
          <w:noProof/>
          <w:sz w:val="24"/>
        </w:rPr>
        <w:lastRenderedPageBreak/>
        <w:drawing>
          <wp:inline distT="0" distB="0" distL="0" distR="0">
            <wp:extent cx="5943600" cy="7439289"/>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439289"/>
                    </a:xfrm>
                    <a:prstGeom prst="rect">
                      <a:avLst/>
                    </a:prstGeom>
                    <a:noFill/>
                    <a:ln>
                      <a:noFill/>
                    </a:ln>
                  </pic:spPr>
                </pic:pic>
              </a:graphicData>
            </a:graphic>
          </wp:inline>
        </w:drawing>
      </w:r>
      <w:r w:rsidRPr="00E20A3C">
        <w:rPr>
          <w:b/>
          <w:sz w:val="24"/>
        </w:rPr>
        <w:t xml:space="preserve"> </w:t>
      </w:r>
      <w:r>
        <w:rPr>
          <w:b/>
          <w:noProof/>
          <w:sz w:val="24"/>
        </w:rPr>
        <w:lastRenderedPageBreak/>
        <w:drawing>
          <wp:inline distT="0" distB="0" distL="0" distR="0">
            <wp:extent cx="5943600" cy="7575623"/>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7575623"/>
                    </a:xfrm>
                    <a:prstGeom prst="rect">
                      <a:avLst/>
                    </a:prstGeom>
                    <a:noFill/>
                    <a:ln>
                      <a:noFill/>
                    </a:ln>
                  </pic:spPr>
                </pic:pic>
              </a:graphicData>
            </a:graphic>
          </wp:inline>
        </w:drawing>
      </w:r>
      <w:r w:rsidRPr="00E20A3C">
        <w:rPr>
          <w:b/>
          <w:sz w:val="24"/>
        </w:rPr>
        <w:t xml:space="preserve"> </w:t>
      </w:r>
      <w:r>
        <w:rPr>
          <w:b/>
          <w:noProof/>
          <w:sz w:val="24"/>
        </w:rPr>
        <w:lastRenderedPageBreak/>
        <w:drawing>
          <wp:inline distT="0" distB="0" distL="0" distR="0">
            <wp:extent cx="5943600" cy="751446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514463"/>
                    </a:xfrm>
                    <a:prstGeom prst="rect">
                      <a:avLst/>
                    </a:prstGeom>
                    <a:noFill/>
                    <a:ln>
                      <a:noFill/>
                    </a:ln>
                  </pic:spPr>
                </pic:pic>
              </a:graphicData>
            </a:graphic>
          </wp:inline>
        </w:drawing>
      </w:r>
      <w:r w:rsidRPr="00E20A3C">
        <w:rPr>
          <w:b/>
          <w:sz w:val="24"/>
        </w:rPr>
        <w:t xml:space="preserve"> </w:t>
      </w:r>
      <w:r>
        <w:rPr>
          <w:b/>
          <w:noProof/>
          <w:sz w:val="24"/>
        </w:rPr>
        <w:lastRenderedPageBreak/>
        <w:drawing>
          <wp:inline distT="0" distB="0" distL="0" distR="0">
            <wp:extent cx="5943600" cy="7653823"/>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653823"/>
                    </a:xfrm>
                    <a:prstGeom prst="rect">
                      <a:avLst/>
                    </a:prstGeom>
                    <a:noFill/>
                    <a:ln>
                      <a:noFill/>
                    </a:ln>
                  </pic:spPr>
                </pic:pic>
              </a:graphicData>
            </a:graphic>
          </wp:inline>
        </w:drawing>
      </w:r>
      <w:r w:rsidRPr="00E20A3C">
        <w:rPr>
          <w:b/>
          <w:sz w:val="24"/>
        </w:rPr>
        <w:t xml:space="preserve"> </w:t>
      </w:r>
      <w:r>
        <w:rPr>
          <w:b/>
          <w:noProof/>
          <w:sz w:val="24"/>
        </w:rPr>
        <w:lastRenderedPageBreak/>
        <w:drawing>
          <wp:inline distT="0" distB="0" distL="0" distR="0">
            <wp:extent cx="5943600" cy="7896386"/>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896386"/>
                    </a:xfrm>
                    <a:prstGeom prst="rect">
                      <a:avLst/>
                    </a:prstGeom>
                    <a:noFill/>
                    <a:ln>
                      <a:noFill/>
                    </a:ln>
                  </pic:spPr>
                </pic:pic>
              </a:graphicData>
            </a:graphic>
          </wp:inline>
        </w:drawing>
      </w:r>
      <w:r w:rsidR="007B2CBE" w:rsidRPr="007B2CBE">
        <w:rPr>
          <w:b/>
          <w:sz w:val="24"/>
        </w:rPr>
        <w:t xml:space="preserve">       </w:t>
      </w:r>
    </w:p>
    <w:sectPr w:rsidR="00B93518" w:rsidSect="005F6CF1">
      <w:footerReference w:type="default" r:id="rId3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2DF" w:rsidRDefault="003C22DF" w:rsidP="00AA5068">
      <w:r>
        <w:separator/>
      </w:r>
    </w:p>
  </w:endnote>
  <w:endnote w:type="continuationSeparator" w:id="0">
    <w:p w:rsidR="003C22DF" w:rsidRDefault="003C22DF" w:rsidP="00AA5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9025"/>
      <w:docPartObj>
        <w:docPartGallery w:val="Page Numbers (Bottom of Page)"/>
        <w:docPartUnique/>
      </w:docPartObj>
    </w:sdtPr>
    <w:sdtEndPr/>
    <w:sdtContent>
      <w:p w:rsidR="008F32E7" w:rsidRDefault="008F32E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8F32E7" w:rsidRPr="00116463" w:rsidRDefault="008F32E7">
    <w:pPr>
      <w:pStyle w:val="Footer"/>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5605745"/>
      <w:docPartObj>
        <w:docPartGallery w:val="Page Numbers (Bottom of Page)"/>
        <w:docPartUnique/>
      </w:docPartObj>
    </w:sdtPr>
    <w:sdtEndPr>
      <w:rPr>
        <w:noProof/>
      </w:rPr>
    </w:sdtEndPr>
    <w:sdtContent>
      <w:p w:rsidR="008F32E7" w:rsidRDefault="008F32E7">
        <w:pPr>
          <w:pStyle w:val="Footer"/>
          <w:jc w:val="right"/>
        </w:pPr>
        <w:r>
          <w:t xml:space="preserve">Page </w:t>
        </w:r>
        <w:r>
          <w:fldChar w:fldCharType="begin"/>
        </w:r>
        <w:r>
          <w:instrText xml:space="preserve"> PAGE   \* MERGEFORMAT </w:instrText>
        </w:r>
        <w:r>
          <w:fldChar w:fldCharType="separate"/>
        </w:r>
        <w:r w:rsidR="009E6639">
          <w:rPr>
            <w:noProof/>
          </w:rPr>
          <w:t>29</w:t>
        </w:r>
        <w:r>
          <w:rPr>
            <w:noProof/>
          </w:rPr>
          <w:fldChar w:fldCharType="end"/>
        </w:r>
      </w:p>
    </w:sdtContent>
  </w:sdt>
  <w:p w:rsidR="008F32E7" w:rsidRDefault="008F32E7" w:rsidP="005F6CF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2DF" w:rsidRDefault="003C22DF" w:rsidP="00AA5068">
      <w:r>
        <w:separator/>
      </w:r>
    </w:p>
  </w:footnote>
  <w:footnote w:type="continuationSeparator" w:id="0">
    <w:p w:rsidR="003C22DF" w:rsidRDefault="003C22DF" w:rsidP="00AA5068">
      <w:r>
        <w:continuationSeparator/>
      </w:r>
    </w:p>
  </w:footnote>
  <w:footnote w:id="1">
    <w:p w:rsidR="008F32E7" w:rsidRDefault="008F32E7" w:rsidP="0061581A">
      <w:pPr>
        <w:pStyle w:val="FootnoteText"/>
      </w:pPr>
      <w:r>
        <w:rPr>
          <w:rStyle w:val="FootnoteReference"/>
        </w:rPr>
        <w:footnoteRef/>
      </w:r>
      <w:r>
        <w:t xml:space="preserve"> See Attachment A, Washington Secretary of State Corporation Record for Washington Water Supply, Inc.</w:t>
      </w:r>
    </w:p>
  </w:footnote>
  <w:footnote w:id="2">
    <w:p w:rsidR="008F32E7" w:rsidRDefault="008F32E7">
      <w:pPr>
        <w:pStyle w:val="FootnoteText"/>
      </w:pPr>
      <w:r>
        <w:rPr>
          <w:rStyle w:val="FootnoteReference"/>
        </w:rPr>
        <w:footnoteRef/>
      </w:r>
      <w:r>
        <w:t xml:space="preserve"> See Attachment B, July 26, 2013 letter to John Poppe from Sharon Wallace</w:t>
      </w:r>
    </w:p>
  </w:footnote>
  <w:footnote w:id="3">
    <w:p w:rsidR="008F32E7" w:rsidRDefault="008F32E7">
      <w:pPr>
        <w:pStyle w:val="FootnoteText"/>
      </w:pPr>
      <w:r>
        <w:rPr>
          <w:rStyle w:val="FootnoteReference"/>
        </w:rPr>
        <w:footnoteRef/>
      </w:r>
      <w:r>
        <w:t xml:space="preserve"> See Attachment C, Aug. 2, 2013 letter from John Poppe to Sharon Wallace</w:t>
      </w:r>
    </w:p>
  </w:footnote>
  <w:footnote w:id="4">
    <w:p w:rsidR="008F32E7" w:rsidRDefault="008F32E7">
      <w:pPr>
        <w:pStyle w:val="FootnoteText"/>
      </w:pPr>
      <w:r>
        <w:rPr>
          <w:rStyle w:val="FootnoteReference"/>
        </w:rPr>
        <w:footnoteRef/>
      </w:r>
      <w:r>
        <w:t xml:space="preserve"> See Attachment D, Aug. 19, 2013 compliance letter to John Poppe from Sharon Wallace</w:t>
      </w:r>
    </w:p>
  </w:footnote>
  <w:footnote w:id="5">
    <w:p w:rsidR="008F32E7" w:rsidRDefault="008F32E7">
      <w:pPr>
        <w:pStyle w:val="FootnoteText"/>
      </w:pPr>
      <w:r>
        <w:rPr>
          <w:rStyle w:val="FootnoteReference"/>
        </w:rPr>
        <w:footnoteRef/>
      </w:r>
      <w:r>
        <w:t xml:space="preserve"> See Attachment E, Sept. 5, 2013 letter from John Poppe to Jim Ward</w:t>
      </w:r>
    </w:p>
  </w:footnote>
  <w:footnote w:id="6">
    <w:p w:rsidR="008F32E7" w:rsidRDefault="008F32E7">
      <w:pPr>
        <w:pStyle w:val="FootnoteText"/>
      </w:pPr>
      <w:r>
        <w:rPr>
          <w:rStyle w:val="FootnoteReference"/>
        </w:rPr>
        <w:footnoteRef/>
      </w:r>
      <w:r>
        <w:t xml:space="preserve"> See Attachment F, Sept. 6, 2013 email correspondence between John Poppe and Jim Ward</w:t>
      </w:r>
    </w:p>
  </w:footnote>
  <w:footnote w:id="7">
    <w:p w:rsidR="00326AAA" w:rsidRDefault="00326AAA">
      <w:pPr>
        <w:pStyle w:val="FootnoteText"/>
      </w:pPr>
      <w:r>
        <w:rPr>
          <w:rStyle w:val="FootnoteReference"/>
        </w:rPr>
        <w:footnoteRef/>
      </w:r>
      <w:r>
        <w:t xml:space="preserve"> See Attachment G, Washington State Department of He</w:t>
      </w:r>
      <w:r w:rsidR="004515ED">
        <w:t xml:space="preserve">alth, Office of Drinking </w:t>
      </w:r>
      <w:r w:rsidR="009D6097">
        <w:t xml:space="preserve">Water </w:t>
      </w:r>
      <w:r>
        <w:t>records</w:t>
      </w:r>
    </w:p>
  </w:footnote>
  <w:footnote w:id="8">
    <w:p w:rsidR="008F32E7" w:rsidRDefault="008F32E7">
      <w:pPr>
        <w:pStyle w:val="FootnoteText"/>
      </w:pPr>
      <w:r>
        <w:rPr>
          <w:rStyle w:val="FootnoteReference"/>
        </w:rPr>
        <w:footnoteRef/>
      </w:r>
      <w:r w:rsidR="00326AAA">
        <w:t xml:space="preserve"> See Attachment H</w:t>
      </w:r>
      <w:r>
        <w:t>, quit claim deed and bill of sale for Whidbey West Water system, dated Sept. 1, 2012</w:t>
      </w:r>
    </w:p>
  </w:footnote>
  <w:footnote w:id="9">
    <w:p w:rsidR="008F32E7" w:rsidRDefault="008F32E7" w:rsidP="0096580F">
      <w:pPr>
        <w:pStyle w:val="FootnoteText"/>
      </w:pPr>
      <w:r>
        <w:rPr>
          <w:rStyle w:val="FootnoteReference"/>
        </w:rPr>
        <w:footnoteRef/>
      </w:r>
      <w:r>
        <w:t xml:space="preserve"> </w:t>
      </w:r>
      <w:r w:rsidRPr="00BD4381">
        <w:t>RCW 8</w:t>
      </w:r>
      <w:r>
        <w:t>0</w:t>
      </w:r>
      <w:r w:rsidRPr="00BD4381">
        <w:t>.04.380 allows the commission to assess a penalty of up to $1,000 for each violation after hearing.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2E7" w:rsidRDefault="008F32E7">
    <w:pPr>
      <w:pStyle w:val="Header"/>
      <w:jc w:val="right"/>
    </w:pPr>
  </w:p>
  <w:p w:rsidR="008F32E7" w:rsidRDefault="008F32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B60CF"/>
    <w:multiLevelType w:val="hybridMultilevel"/>
    <w:tmpl w:val="8800D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7A58A6"/>
    <w:multiLevelType w:val="hybridMultilevel"/>
    <w:tmpl w:val="50CC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B7EA9"/>
    <w:multiLevelType w:val="hybridMultilevel"/>
    <w:tmpl w:val="DC90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1C39AE"/>
    <w:multiLevelType w:val="hybridMultilevel"/>
    <w:tmpl w:val="213C8348"/>
    <w:lvl w:ilvl="0" w:tplc="85C446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AC209AE"/>
    <w:multiLevelType w:val="hybridMultilevel"/>
    <w:tmpl w:val="204ED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96427C"/>
    <w:multiLevelType w:val="hybridMultilevel"/>
    <w:tmpl w:val="F618A2C6"/>
    <w:lvl w:ilvl="0" w:tplc="F550C5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8C06DD"/>
    <w:multiLevelType w:val="hybridMultilevel"/>
    <w:tmpl w:val="17AEF3CE"/>
    <w:lvl w:ilvl="0" w:tplc="41F0E11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0DC79A1"/>
    <w:multiLevelType w:val="hybridMultilevel"/>
    <w:tmpl w:val="C0CCCC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2E47116"/>
    <w:multiLevelType w:val="hybridMultilevel"/>
    <w:tmpl w:val="CD9EDA2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D7D7C74"/>
    <w:multiLevelType w:val="hybridMultilevel"/>
    <w:tmpl w:val="D20A6074"/>
    <w:lvl w:ilvl="0" w:tplc="5F188F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92A21"/>
    <w:multiLevelType w:val="hybridMultilevel"/>
    <w:tmpl w:val="EB34B054"/>
    <w:lvl w:ilvl="0" w:tplc="950C91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5403C06"/>
    <w:multiLevelType w:val="hybridMultilevel"/>
    <w:tmpl w:val="9F5C1318"/>
    <w:lvl w:ilvl="0" w:tplc="1EA055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4DA4BF3"/>
    <w:multiLevelType w:val="hybridMultilevel"/>
    <w:tmpl w:val="FE7A1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3C7807"/>
    <w:multiLevelType w:val="hybridMultilevel"/>
    <w:tmpl w:val="D3D65C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96042D6"/>
    <w:multiLevelType w:val="hybridMultilevel"/>
    <w:tmpl w:val="7C4621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6AD659DD"/>
    <w:multiLevelType w:val="multilevel"/>
    <w:tmpl w:val="5FC0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7A7AB6"/>
    <w:multiLevelType w:val="hybridMultilevel"/>
    <w:tmpl w:val="6D7CB4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312952"/>
    <w:multiLevelType w:val="hybridMultilevel"/>
    <w:tmpl w:val="85C6A024"/>
    <w:lvl w:ilvl="0" w:tplc="6AACE5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5"/>
  </w:num>
  <w:num w:numId="3">
    <w:abstractNumId w:val="4"/>
  </w:num>
  <w:num w:numId="4">
    <w:abstractNumId w:val="0"/>
  </w:num>
  <w:num w:numId="5">
    <w:abstractNumId w:val="13"/>
  </w:num>
  <w:num w:numId="6">
    <w:abstractNumId w:val="7"/>
  </w:num>
  <w:num w:numId="7">
    <w:abstractNumId w:val="3"/>
  </w:num>
  <w:num w:numId="8">
    <w:abstractNumId w:val="9"/>
  </w:num>
  <w:num w:numId="9">
    <w:abstractNumId w:val="5"/>
  </w:num>
  <w:num w:numId="10">
    <w:abstractNumId w:val="6"/>
  </w:num>
  <w:num w:numId="11">
    <w:abstractNumId w:val="8"/>
  </w:num>
  <w:num w:numId="12">
    <w:abstractNumId w:val="17"/>
  </w:num>
  <w:num w:numId="13">
    <w:abstractNumId w:val="10"/>
  </w:num>
  <w:num w:numId="14">
    <w:abstractNumId w:val="12"/>
  </w:num>
  <w:num w:numId="15">
    <w:abstractNumId w:val="2"/>
  </w:num>
  <w:num w:numId="16">
    <w:abstractNumId w:val="1"/>
  </w:num>
  <w:num w:numId="17">
    <w:abstractNumId w:val="1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7B0"/>
    <w:rsid w:val="00001694"/>
    <w:rsid w:val="00001D43"/>
    <w:rsid w:val="000077BF"/>
    <w:rsid w:val="00010898"/>
    <w:rsid w:val="0001753E"/>
    <w:rsid w:val="00022E44"/>
    <w:rsid w:val="00031001"/>
    <w:rsid w:val="00035993"/>
    <w:rsid w:val="00042390"/>
    <w:rsid w:val="0005230A"/>
    <w:rsid w:val="0006168F"/>
    <w:rsid w:val="00061F70"/>
    <w:rsid w:val="00064083"/>
    <w:rsid w:val="00072CEF"/>
    <w:rsid w:val="00073362"/>
    <w:rsid w:val="00084652"/>
    <w:rsid w:val="000902B9"/>
    <w:rsid w:val="00091169"/>
    <w:rsid w:val="000B1AEA"/>
    <w:rsid w:val="000C3D48"/>
    <w:rsid w:val="000D0445"/>
    <w:rsid w:val="000E32C5"/>
    <w:rsid w:val="000F5838"/>
    <w:rsid w:val="00112DCB"/>
    <w:rsid w:val="001149A9"/>
    <w:rsid w:val="00115174"/>
    <w:rsid w:val="00125D4F"/>
    <w:rsid w:val="00132A52"/>
    <w:rsid w:val="0014237C"/>
    <w:rsid w:val="00143B12"/>
    <w:rsid w:val="00150291"/>
    <w:rsid w:val="00151E84"/>
    <w:rsid w:val="00163943"/>
    <w:rsid w:val="001648A0"/>
    <w:rsid w:val="00165B51"/>
    <w:rsid w:val="00173821"/>
    <w:rsid w:val="00191D09"/>
    <w:rsid w:val="00191D34"/>
    <w:rsid w:val="00193B0F"/>
    <w:rsid w:val="0019788D"/>
    <w:rsid w:val="001A1519"/>
    <w:rsid w:val="001A1877"/>
    <w:rsid w:val="001B22C9"/>
    <w:rsid w:val="001B38A2"/>
    <w:rsid w:val="001C296D"/>
    <w:rsid w:val="001C4A4E"/>
    <w:rsid w:val="001F05FD"/>
    <w:rsid w:val="001F18A6"/>
    <w:rsid w:val="001F6030"/>
    <w:rsid w:val="001F75CC"/>
    <w:rsid w:val="0020493A"/>
    <w:rsid w:val="00205125"/>
    <w:rsid w:val="00231EBF"/>
    <w:rsid w:val="00233DFF"/>
    <w:rsid w:val="00235BCC"/>
    <w:rsid w:val="00242289"/>
    <w:rsid w:val="00243645"/>
    <w:rsid w:val="00245C50"/>
    <w:rsid w:val="00246303"/>
    <w:rsid w:val="00251EB3"/>
    <w:rsid w:val="00257CE2"/>
    <w:rsid w:val="0026379C"/>
    <w:rsid w:val="00275FA7"/>
    <w:rsid w:val="002A0163"/>
    <w:rsid w:val="002A1A6C"/>
    <w:rsid w:val="002A479F"/>
    <w:rsid w:val="002B2068"/>
    <w:rsid w:val="002D3AAC"/>
    <w:rsid w:val="002D7076"/>
    <w:rsid w:val="002F365F"/>
    <w:rsid w:val="0030267A"/>
    <w:rsid w:val="00305413"/>
    <w:rsid w:val="003225E3"/>
    <w:rsid w:val="00326AAA"/>
    <w:rsid w:val="00343855"/>
    <w:rsid w:val="003453CC"/>
    <w:rsid w:val="00356CEB"/>
    <w:rsid w:val="00357342"/>
    <w:rsid w:val="00360A08"/>
    <w:rsid w:val="00374802"/>
    <w:rsid w:val="00377757"/>
    <w:rsid w:val="003836DC"/>
    <w:rsid w:val="00383E03"/>
    <w:rsid w:val="00384261"/>
    <w:rsid w:val="00384B42"/>
    <w:rsid w:val="0039290D"/>
    <w:rsid w:val="003940B6"/>
    <w:rsid w:val="003A123B"/>
    <w:rsid w:val="003A4402"/>
    <w:rsid w:val="003A59ED"/>
    <w:rsid w:val="003B2076"/>
    <w:rsid w:val="003B788C"/>
    <w:rsid w:val="003C22DF"/>
    <w:rsid w:val="003D297B"/>
    <w:rsid w:val="003D71E8"/>
    <w:rsid w:val="003E6E79"/>
    <w:rsid w:val="003F54EF"/>
    <w:rsid w:val="00412309"/>
    <w:rsid w:val="004124C8"/>
    <w:rsid w:val="004156E2"/>
    <w:rsid w:val="00424FBB"/>
    <w:rsid w:val="00426D57"/>
    <w:rsid w:val="00436820"/>
    <w:rsid w:val="0044728E"/>
    <w:rsid w:val="004515ED"/>
    <w:rsid w:val="0046362D"/>
    <w:rsid w:val="0047656B"/>
    <w:rsid w:val="0048516C"/>
    <w:rsid w:val="0049565F"/>
    <w:rsid w:val="00497DA9"/>
    <w:rsid w:val="004A5BC3"/>
    <w:rsid w:val="004B39D4"/>
    <w:rsid w:val="004C0C13"/>
    <w:rsid w:val="004C782F"/>
    <w:rsid w:val="004D7236"/>
    <w:rsid w:val="004F0229"/>
    <w:rsid w:val="004F1635"/>
    <w:rsid w:val="004F7535"/>
    <w:rsid w:val="00503BC8"/>
    <w:rsid w:val="00540285"/>
    <w:rsid w:val="0054233D"/>
    <w:rsid w:val="0054287C"/>
    <w:rsid w:val="00544735"/>
    <w:rsid w:val="0055491F"/>
    <w:rsid w:val="005715ED"/>
    <w:rsid w:val="0057617F"/>
    <w:rsid w:val="005A74B5"/>
    <w:rsid w:val="005A7F20"/>
    <w:rsid w:val="005C1E05"/>
    <w:rsid w:val="005C5489"/>
    <w:rsid w:val="005D297D"/>
    <w:rsid w:val="005D4B59"/>
    <w:rsid w:val="005E40D4"/>
    <w:rsid w:val="005E49B4"/>
    <w:rsid w:val="005E76F8"/>
    <w:rsid w:val="005F5BA4"/>
    <w:rsid w:val="005F6CF1"/>
    <w:rsid w:val="00615446"/>
    <w:rsid w:val="0061581A"/>
    <w:rsid w:val="006227B4"/>
    <w:rsid w:val="00625663"/>
    <w:rsid w:val="00640696"/>
    <w:rsid w:val="0064503C"/>
    <w:rsid w:val="00653D8A"/>
    <w:rsid w:val="00657555"/>
    <w:rsid w:val="0066273B"/>
    <w:rsid w:val="00663F83"/>
    <w:rsid w:val="00670A7B"/>
    <w:rsid w:val="00692EB1"/>
    <w:rsid w:val="00696811"/>
    <w:rsid w:val="006A0FD2"/>
    <w:rsid w:val="006A510E"/>
    <w:rsid w:val="006B5099"/>
    <w:rsid w:val="006C77F5"/>
    <w:rsid w:val="006D07F6"/>
    <w:rsid w:val="006E28EE"/>
    <w:rsid w:val="006E2D08"/>
    <w:rsid w:val="006E446B"/>
    <w:rsid w:val="00701571"/>
    <w:rsid w:val="00701822"/>
    <w:rsid w:val="00702E46"/>
    <w:rsid w:val="0070330E"/>
    <w:rsid w:val="00703F48"/>
    <w:rsid w:val="007166D3"/>
    <w:rsid w:val="0072076E"/>
    <w:rsid w:val="0072510C"/>
    <w:rsid w:val="0074372E"/>
    <w:rsid w:val="00750976"/>
    <w:rsid w:val="007650F6"/>
    <w:rsid w:val="007667AF"/>
    <w:rsid w:val="00770F24"/>
    <w:rsid w:val="00771D97"/>
    <w:rsid w:val="007724D4"/>
    <w:rsid w:val="0077427C"/>
    <w:rsid w:val="0078108A"/>
    <w:rsid w:val="00783BDF"/>
    <w:rsid w:val="007927E1"/>
    <w:rsid w:val="007A24C9"/>
    <w:rsid w:val="007B2CBE"/>
    <w:rsid w:val="007B3465"/>
    <w:rsid w:val="007B587A"/>
    <w:rsid w:val="007C165D"/>
    <w:rsid w:val="007C6D05"/>
    <w:rsid w:val="007E2E8C"/>
    <w:rsid w:val="00805A29"/>
    <w:rsid w:val="008274AC"/>
    <w:rsid w:val="00832D38"/>
    <w:rsid w:val="00834AA0"/>
    <w:rsid w:val="0084512A"/>
    <w:rsid w:val="00845A3D"/>
    <w:rsid w:val="00847C5A"/>
    <w:rsid w:val="0085416D"/>
    <w:rsid w:val="008619B2"/>
    <w:rsid w:val="00864696"/>
    <w:rsid w:val="008664EA"/>
    <w:rsid w:val="00867970"/>
    <w:rsid w:val="00870413"/>
    <w:rsid w:val="00870DD7"/>
    <w:rsid w:val="008772E3"/>
    <w:rsid w:val="00885EE9"/>
    <w:rsid w:val="008A3292"/>
    <w:rsid w:val="008A61F8"/>
    <w:rsid w:val="008A682B"/>
    <w:rsid w:val="008B14E1"/>
    <w:rsid w:val="008B4C02"/>
    <w:rsid w:val="008C06D4"/>
    <w:rsid w:val="008D17BD"/>
    <w:rsid w:val="008E6E48"/>
    <w:rsid w:val="008F32E7"/>
    <w:rsid w:val="008F52D8"/>
    <w:rsid w:val="008F7887"/>
    <w:rsid w:val="00901CEF"/>
    <w:rsid w:val="009114B5"/>
    <w:rsid w:val="00931222"/>
    <w:rsid w:val="009350C3"/>
    <w:rsid w:val="00940D8A"/>
    <w:rsid w:val="009428D2"/>
    <w:rsid w:val="009463A4"/>
    <w:rsid w:val="009478C9"/>
    <w:rsid w:val="0096580F"/>
    <w:rsid w:val="00973AED"/>
    <w:rsid w:val="0098187A"/>
    <w:rsid w:val="0099368B"/>
    <w:rsid w:val="00997FCF"/>
    <w:rsid w:val="009A0C17"/>
    <w:rsid w:val="009A6633"/>
    <w:rsid w:val="009A7059"/>
    <w:rsid w:val="009B2CC6"/>
    <w:rsid w:val="009C1643"/>
    <w:rsid w:val="009C5AAE"/>
    <w:rsid w:val="009D51C2"/>
    <w:rsid w:val="009D6097"/>
    <w:rsid w:val="009E4357"/>
    <w:rsid w:val="009E61BB"/>
    <w:rsid w:val="009E6639"/>
    <w:rsid w:val="009E6899"/>
    <w:rsid w:val="009F14F4"/>
    <w:rsid w:val="00A055CD"/>
    <w:rsid w:val="00A06766"/>
    <w:rsid w:val="00A1377F"/>
    <w:rsid w:val="00A13AF8"/>
    <w:rsid w:val="00A15FEF"/>
    <w:rsid w:val="00A16A32"/>
    <w:rsid w:val="00A174F4"/>
    <w:rsid w:val="00A22D12"/>
    <w:rsid w:val="00A30C47"/>
    <w:rsid w:val="00A330FB"/>
    <w:rsid w:val="00A42E64"/>
    <w:rsid w:val="00A46F5B"/>
    <w:rsid w:val="00A56E44"/>
    <w:rsid w:val="00A60724"/>
    <w:rsid w:val="00A65C01"/>
    <w:rsid w:val="00A65D7A"/>
    <w:rsid w:val="00A82D9B"/>
    <w:rsid w:val="00A91AE7"/>
    <w:rsid w:val="00A94826"/>
    <w:rsid w:val="00AA5068"/>
    <w:rsid w:val="00AB3031"/>
    <w:rsid w:val="00AC2D27"/>
    <w:rsid w:val="00AC4051"/>
    <w:rsid w:val="00AE15CF"/>
    <w:rsid w:val="00AE1D9F"/>
    <w:rsid w:val="00AF19C6"/>
    <w:rsid w:val="00AF3212"/>
    <w:rsid w:val="00AF6219"/>
    <w:rsid w:val="00AF735E"/>
    <w:rsid w:val="00B04830"/>
    <w:rsid w:val="00B05D7E"/>
    <w:rsid w:val="00B125EA"/>
    <w:rsid w:val="00B21115"/>
    <w:rsid w:val="00B230B2"/>
    <w:rsid w:val="00B2753C"/>
    <w:rsid w:val="00B514E7"/>
    <w:rsid w:val="00B51901"/>
    <w:rsid w:val="00B63DE6"/>
    <w:rsid w:val="00B77CF6"/>
    <w:rsid w:val="00B86CF3"/>
    <w:rsid w:val="00B90F45"/>
    <w:rsid w:val="00B92BC2"/>
    <w:rsid w:val="00B93518"/>
    <w:rsid w:val="00B973E2"/>
    <w:rsid w:val="00BA24D3"/>
    <w:rsid w:val="00BA3052"/>
    <w:rsid w:val="00BB1546"/>
    <w:rsid w:val="00BC04C2"/>
    <w:rsid w:val="00BC6AFD"/>
    <w:rsid w:val="00BC78BC"/>
    <w:rsid w:val="00BD22AB"/>
    <w:rsid w:val="00BD4718"/>
    <w:rsid w:val="00BD4DF7"/>
    <w:rsid w:val="00BE08D4"/>
    <w:rsid w:val="00BE4E5C"/>
    <w:rsid w:val="00BE6377"/>
    <w:rsid w:val="00BF2620"/>
    <w:rsid w:val="00BF35E6"/>
    <w:rsid w:val="00BF57B1"/>
    <w:rsid w:val="00C0613C"/>
    <w:rsid w:val="00C1163F"/>
    <w:rsid w:val="00C17DA4"/>
    <w:rsid w:val="00C22A18"/>
    <w:rsid w:val="00C27C23"/>
    <w:rsid w:val="00C3305C"/>
    <w:rsid w:val="00C451F9"/>
    <w:rsid w:val="00C70D8D"/>
    <w:rsid w:val="00C72952"/>
    <w:rsid w:val="00C74E6E"/>
    <w:rsid w:val="00C82595"/>
    <w:rsid w:val="00C87305"/>
    <w:rsid w:val="00C961B3"/>
    <w:rsid w:val="00CA17AE"/>
    <w:rsid w:val="00CB0E1B"/>
    <w:rsid w:val="00CB6F5A"/>
    <w:rsid w:val="00CC4444"/>
    <w:rsid w:val="00CC7058"/>
    <w:rsid w:val="00CD1D98"/>
    <w:rsid w:val="00CD28FD"/>
    <w:rsid w:val="00CD4EDF"/>
    <w:rsid w:val="00CD79EA"/>
    <w:rsid w:val="00CE0D7A"/>
    <w:rsid w:val="00CE6133"/>
    <w:rsid w:val="00D037E2"/>
    <w:rsid w:val="00D03FD5"/>
    <w:rsid w:val="00D049E7"/>
    <w:rsid w:val="00D06008"/>
    <w:rsid w:val="00D115FB"/>
    <w:rsid w:val="00D16BF1"/>
    <w:rsid w:val="00D17993"/>
    <w:rsid w:val="00D2132E"/>
    <w:rsid w:val="00D32169"/>
    <w:rsid w:val="00D43D5A"/>
    <w:rsid w:val="00D60C21"/>
    <w:rsid w:val="00D70D47"/>
    <w:rsid w:val="00D759C0"/>
    <w:rsid w:val="00D81F97"/>
    <w:rsid w:val="00D84B15"/>
    <w:rsid w:val="00D95879"/>
    <w:rsid w:val="00D95E86"/>
    <w:rsid w:val="00DB3D54"/>
    <w:rsid w:val="00DB4547"/>
    <w:rsid w:val="00DC47A8"/>
    <w:rsid w:val="00DC7956"/>
    <w:rsid w:val="00DD14EB"/>
    <w:rsid w:val="00DD3B18"/>
    <w:rsid w:val="00DD544D"/>
    <w:rsid w:val="00DD5923"/>
    <w:rsid w:val="00DD5E8C"/>
    <w:rsid w:val="00DD5EF3"/>
    <w:rsid w:val="00DE3622"/>
    <w:rsid w:val="00DE5E90"/>
    <w:rsid w:val="00E15C78"/>
    <w:rsid w:val="00E20A3C"/>
    <w:rsid w:val="00E244E3"/>
    <w:rsid w:val="00E24B26"/>
    <w:rsid w:val="00E32606"/>
    <w:rsid w:val="00E338C4"/>
    <w:rsid w:val="00E42B80"/>
    <w:rsid w:val="00E47C40"/>
    <w:rsid w:val="00E7542D"/>
    <w:rsid w:val="00EB5945"/>
    <w:rsid w:val="00EB6F76"/>
    <w:rsid w:val="00EE4E1F"/>
    <w:rsid w:val="00EF2061"/>
    <w:rsid w:val="00F03380"/>
    <w:rsid w:val="00F05E96"/>
    <w:rsid w:val="00F1099A"/>
    <w:rsid w:val="00F211E8"/>
    <w:rsid w:val="00F21221"/>
    <w:rsid w:val="00F23B37"/>
    <w:rsid w:val="00F27A4C"/>
    <w:rsid w:val="00F312BF"/>
    <w:rsid w:val="00F361DF"/>
    <w:rsid w:val="00F47F7B"/>
    <w:rsid w:val="00F517B0"/>
    <w:rsid w:val="00F5502C"/>
    <w:rsid w:val="00F62260"/>
    <w:rsid w:val="00F64E78"/>
    <w:rsid w:val="00F72A19"/>
    <w:rsid w:val="00F814A9"/>
    <w:rsid w:val="00F96A8A"/>
    <w:rsid w:val="00FB173F"/>
    <w:rsid w:val="00FB444D"/>
    <w:rsid w:val="00FB5326"/>
    <w:rsid w:val="00FC3273"/>
    <w:rsid w:val="00FD0328"/>
    <w:rsid w:val="00FD4BA4"/>
    <w:rsid w:val="00FD6AA7"/>
    <w:rsid w:val="00FD7E25"/>
    <w:rsid w:val="00FE0D87"/>
    <w:rsid w:val="00FE29DF"/>
    <w:rsid w:val="00FF1701"/>
    <w:rsid w:val="00FF4889"/>
    <w:rsid w:val="00FF6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7B0"/>
    <w:pPr>
      <w:widowControl w:val="0"/>
      <w:autoSpaceDE w:val="0"/>
      <w:autoSpaceDN w:val="0"/>
      <w:adjustRightInd w:val="0"/>
      <w:spacing w:after="0" w:line="240" w:lineRule="auto"/>
    </w:pPr>
    <w:rPr>
      <w:rFonts w:eastAsia="Times New Roman" w:cs="Times New Roman"/>
      <w:sz w:val="20"/>
      <w:szCs w:val="24"/>
    </w:rPr>
  </w:style>
  <w:style w:type="paragraph" w:styleId="Heading1">
    <w:name w:val="heading 1"/>
    <w:basedOn w:val="Normal"/>
    <w:next w:val="Normal"/>
    <w:link w:val="Heading1Char"/>
    <w:qFormat/>
    <w:rsid w:val="00F517B0"/>
    <w:pPr>
      <w:keepNext/>
      <w:jc w:val="center"/>
      <w:outlineLvl w:val="0"/>
    </w:pPr>
    <w:rPr>
      <w:b/>
      <w:bCs/>
      <w:sz w:val="24"/>
    </w:rPr>
  </w:style>
  <w:style w:type="paragraph" w:styleId="Heading4">
    <w:name w:val="heading 4"/>
    <w:basedOn w:val="Normal"/>
    <w:next w:val="Normal"/>
    <w:link w:val="Heading4Char"/>
    <w:uiPriority w:val="9"/>
    <w:semiHidden/>
    <w:unhideWhenUsed/>
    <w:qFormat/>
    <w:rsid w:val="005F6CF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17B0"/>
    <w:rPr>
      <w:rFonts w:eastAsia="Times New Roman" w:cs="Times New Roman"/>
      <w:b/>
      <w:bCs/>
      <w:szCs w:val="24"/>
    </w:rPr>
  </w:style>
  <w:style w:type="character" w:styleId="Hyperlink">
    <w:name w:val="Hyperlink"/>
    <w:basedOn w:val="DefaultParagraphFont"/>
    <w:uiPriority w:val="99"/>
    <w:unhideWhenUsed/>
    <w:rsid w:val="008B14E1"/>
    <w:rPr>
      <w:color w:val="0000FF" w:themeColor="hyperlink"/>
      <w:u w:val="single"/>
    </w:rPr>
  </w:style>
  <w:style w:type="paragraph" w:styleId="FootnoteText">
    <w:name w:val="footnote text"/>
    <w:basedOn w:val="Normal"/>
    <w:link w:val="FootnoteTextChar"/>
    <w:uiPriority w:val="99"/>
    <w:unhideWhenUsed/>
    <w:rsid w:val="00AA5068"/>
    <w:rPr>
      <w:szCs w:val="20"/>
    </w:rPr>
  </w:style>
  <w:style w:type="character" w:customStyle="1" w:styleId="FootnoteTextChar">
    <w:name w:val="Footnote Text Char"/>
    <w:basedOn w:val="DefaultParagraphFont"/>
    <w:link w:val="FootnoteText"/>
    <w:uiPriority w:val="99"/>
    <w:rsid w:val="00AA5068"/>
    <w:rPr>
      <w:rFonts w:eastAsia="Times New Roman" w:cs="Times New Roman"/>
      <w:sz w:val="20"/>
      <w:szCs w:val="20"/>
    </w:rPr>
  </w:style>
  <w:style w:type="character" w:styleId="FootnoteReference">
    <w:name w:val="footnote reference"/>
    <w:basedOn w:val="DefaultParagraphFont"/>
    <w:uiPriority w:val="99"/>
    <w:unhideWhenUsed/>
    <w:rsid w:val="00AA5068"/>
    <w:rPr>
      <w:vertAlign w:val="superscript"/>
    </w:rPr>
  </w:style>
  <w:style w:type="paragraph" w:styleId="BalloonText">
    <w:name w:val="Balloon Text"/>
    <w:basedOn w:val="Normal"/>
    <w:link w:val="BalloonTextChar"/>
    <w:uiPriority w:val="99"/>
    <w:semiHidden/>
    <w:unhideWhenUsed/>
    <w:rsid w:val="000902B9"/>
    <w:rPr>
      <w:rFonts w:ascii="Tahoma" w:hAnsi="Tahoma" w:cs="Tahoma"/>
      <w:sz w:val="16"/>
      <w:szCs w:val="16"/>
    </w:rPr>
  </w:style>
  <w:style w:type="character" w:customStyle="1" w:styleId="BalloonTextChar">
    <w:name w:val="Balloon Text Char"/>
    <w:basedOn w:val="DefaultParagraphFont"/>
    <w:link w:val="BalloonText"/>
    <w:uiPriority w:val="99"/>
    <w:semiHidden/>
    <w:rsid w:val="000902B9"/>
    <w:rPr>
      <w:rFonts w:ascii="Tahoma" w:eastAsia="Times New Roman" w:hAnsi="Tahoma" w:cs="Tahoma"/>
      <w:sz w:val="16"/>
      <w:szCs w:val="16"/>
    </w:rPr>
  </w:style>
  <w:style w:type="paragraph" w:styleId="Header">
    <w:name w:val="header"/>
    <w:basedOn w:val="Normal"/>
    <w:link w:val="HeaderChar"/>
    <w:uiPriority w:val="99"/>
    <w:unhideWhenUsed/>
    <w:rsid w:val="003453CC"/>
    <w:pPr>
      <w:tabs>
        <w:tab w:val="center" w:pos="4680"/>
        <w:tab w:val="right" w:pos="9360"/>
      </w:tabs>
    </w:pPr>
  </w:style>
  <w:style w:type="character" w:customStyle="1" w:styleId="HeaderChar">
    <w:name w:val="Header Char"/>
    <w:basedOn w:val="DefaultParagraphFont"/>
    <w:link w:val="Header"/>
    <w:uiPriority w:val="99"/>
    <w:rsid w:val="003453CC"/>
    <w:rPr>
      <w:rFonts w:eastAsia="Times New Roman" w:cs="Times New Roman"/>
      <w:sz w:val="20"/>
      <w:szCs w:val="24"/>
    </w:rPr>
  </w:style>
  <w:style w:type="paragraph" w:styleId="Footer">
    <w:name w:val="footer"/>
    <w:basedOn w:val="Normal"/>
    <w:link w:val="FooterChar"/>
    <w:uiPriority w:val="99"/>
    <w:unhideWhenUsed/>
    <w:rsid w:val="003453CC"/>
    <w:pPr>
      <w:tabs>
        <w:tab w:val="center" w:pos="4680"/>
        <w:tab w:val="right" w:pos="9360"/>
      </w:tabs>
    </w:pPr>
  </w:style>
  <w:style w:type="character" w:customStyle="1" w:styleId="FooterChar">
    <w:name w:val="Footer Char"/>
    <w:basedOn w:val="DefaultParagraphFont"/>
    <w:link w:val="Footer"/>
    <w:uiPriority w:val="99"/>
    <w:rsid w:val="003453CC"/>
    <w:rPr>
      <w:rFonts w:eastAsia="Times New Roman" w:cs="Times New Roman"/>
      <w:sz w:val="20"/>
      <w:szCs w:val="24"/>
    </w:rPr>
  </w:style>
  <w:style w:type="paragraph" w:styleId="NoSpacing">
    <w:name w:val="No Spacing"/>
    <w:basedOn w:val="Normal"/>
    <w:uiPriority w:val="1"/>
    <w:qFormat/>
    <w:rsid w:val="004C0C13"/>
    <w:pPr>
      <w:widowControl/>
      <w:autoSpaceDE/>
      <w:autoSpaceDN/>
      <w:adjustRightInd/>
    </w:pPr>
    <w:rPr>
      <w:rFonts w:eastAsia="Calibri"/>
      <w:sz w:val="24"/>
      <w:szCs w:val="32"/>
      <w:lang w:bidi="en-US"/>
    </w:rPr>
  </w:style>
  <w:style w:type="table" w:styleId="TableGrid">
    <w:name w:val="Table Grid"/>
    <w:basedOn w:val="TableNormal"/>
    <w:uiPriority w:val="59"/>
    <w:rsid w:val="004C0C1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A56E44"/>
    <w:pPr>
      <w:widowControl/>
      <w:autoSpaceDE/>
      <w:autoSpaceDN/>
      <w:adjustRightInd/>
      <w:spacing w:after="200" w:line="276" w:lineRule="auto"/>
      <w:ind w:left="720"/>
      <w:contextualSpacing/>
    </w:pPr>
    <w:rPr>
      <w:rFonts w:eastAsiaTheme="minorHAnsi" w:cs="Calibri"/>
      <w:sz w:val="24"/>
      <w:szCs w:val="22"/>
    </w:rPr>
  </w:style>
  <w:style w:type="paragraph" w:styleId="NormalWeb">
    <w:name w:val="Normal (Web)"/>
    <w:basedOn w:val="Normal"/>
    <w:uiPriority w:val="99"/>
    <w:unhideWhenUsed/>
    <w:rsid w:val="001149A9"/>
    <w:pPr>
      <w:widowControl/>
      <w:autoSpaceDE/>
      <w:autoSpaceDN/>
      <w:adjustRightInd/>
      <w:spacing w:before="100" w:beforeAutospacing="1" w:after="100" w:afterAutospacing="1"/>
    </w:pPr>
    <w:rPr>
      <w:sz w:val="24"/>
    </w:rPr>
  </w:style>
  <w:style w:type="character" w:styleId="CommentReference">
    <w:name w:val="annotation reference"/>
    <w:basedOn w:val="DefaultParagraphFont"/>
    <w:uiPriority w:val="99"/>
    <w:semiHidden/>
    <w:unhideWhenUsed/>
    <w:rsid w:val="00D84B15"/>
    <w:rPr>
      <w:sz w:val="16"/>
      <w:szCs w:val="16"/>
    </w:rPr>
  </w:style>
  <w:style w:type="paragraph" w:styleId="CommentText">
    <w:name w:val="annotation text"/>
    <w:basedOn w:val="Normal"/>
    <w:link w:val="CommentTextChar"/>
    <w:uiPriority w:val="99"/>
    <w:semiHidden/>
    <w:unhideWhenUsed/>
    <w:rsid w:val="00D84B15"/>
    <w:rPr>
      <w:szCs w:val="20"/>
    </w:rPr>
  </w:style>
  <w:style w:type="character" w:customStyle="1" w:styleId="CommentTextChar">
    <w:name w:val="Comment Text Char"/>
    <w:basedOn w:val="DefaultParagraphFont"/>
    <w:link w:val="CommentText"/>
    <w:uiPriority w:val="99"/>
    <w:semiHidden/>
    <w:rsid w:val="00D84B15"/>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84B15"/>
    <w:rPr>
      <w:b/>
      <w:bCs/>
    </w:rPr>
  </w:style>
  <w:style w:type="character" w:customStyle="1" w:styleId="CommentSubjectChar">
    <w:name w:val="Comment Subject Char"/>
    <w:basedOn w:val="CommentTextChar"/>
    <w:link w:val="CommentSubject"/>
    <w:uiPriority w:val="99"/>
    <w:semiHidden/>
    <w:rsid w:val="00D84B15"/>
    <w:rPr>
      <w:rFonts w:eastAsia="Times New Roman" w:cs="Times New Roman"/>
      <w:b/>
      <w:bCs/>
      <w:sz w:val="20"/>
      <w:szCs w:val="20"/>
    </w:rPr>
  </w:style>
  <w:style w:type="character" w:customStyle="1" w:styleId="Heading4Char">
    <w:name w:val="Heading 4 Char"/>
    <w:basedOn w:val="DefaultParagraphFont"/>
    <w:link w:val="Heading4"/>
    <w:uiPriority w:val="9"/>
    <w:semiHidden/>
    <w:rsid w:val="005F6CF1"/>
    <w:rPr>
      <w:rFonts w:asciiTheme="majorHAnsi" w:eastAsiaTheme="majorEastAsia" w:hAnsiTheme="majorHAnsi" w:cstheme="majorBidi"/>
      <w:b/>
      <w:bCs/>
      <w:i/>
      <w:iCs/>
      <w:color w:val="4F81BD" w:themeColor="accent1"/>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7B0"/>
    <w:pPr>
      <w:widowControl w:val="0"/>
      <w:autoSpaceDE w:val="0"/>
      <w:autoSpaceDN w:val="0"/>
      <w:adjustRightInd w:val="0"/>
      <w:spacing w:after="0" w:line="240" w:lineRule="auto"/>
    </w:pPr>
    <w:rPr>
      <w:rFonts w:eastAsia="Times New Roman" w:cs="Times New Roman"/>
      <w:sz w:val="20"/>
      <w:szCs w:val="24"/>
    </w:rPr>
  </w:style>
  <w:style w:type="paragraph" w:styleId="Heading1">
    <w:name w:val="heading 1"/>
    <w:basedOn w:val="Normal"/>
    <w:next w:val="Normal"/>
    <w:link w:val="Heading1Char"/>
    <w:qFormat/>
    <w:rsid w:val="00F517B0"/>
    <w:pPr>
      <w:keepNext/>
      <w:jc w:val="center"/>
      <w:outlineLvl w:val="0"/>
    </w:pPr>
    <w:rPr>
      <w:b/>
      <w:bCs/>
      <w:sz w:val="24"/>
    </w:rPr>
  </w:style>
  <w:style w:type="paragraph" w:styleId="Heading4">
    <w:name w:val="heading 4"/>
    <w:basedOn w:val="Normal"/>
    <w:next w:val="Normal"/>
    <w:link w:val="Heading4Char"/>
    <w:uiPriority w:val="9"/>
    <w:semiHidden/>
    <w:unhideWhenUsed/>
    <w:qFormat/>
    <w:rsid w:val="005F6CF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17B0"/>
    <w:rPr>
      <w:rFonts w:eastAsia="Times New Roman" w:cs="Times New Roman"/>
      <w:b/>
      <w:bCs/>
      <w:szCs w:val="24"/>
    </w:rPr>
  </w:style>
  <w:style w:type="character" w:styleId="Hyperlink">
    <w:name w:val="Hyperlink"/>
    <w:basedOn w:val="DefaultParagraphFont"/>
    <w:uiPriority w:val="99"/>
    <w:unhideWhenUsed/>
    <w:rsid w:val="008B14E1"/>
    <w:rPr>
      <w:color w:val="0000FF" w:themeColor="hyperlink"/>
      <w:u w:val="single"/>
    </w:rPr>
  </w:style>
  <w:style w:type="paragraph" w:styleId="FootnoteText">
    <w:name w:val="footnote text"/>
    <w:basedOn w:val="Normal"/>
    <w:link w:val="FootnoteTextChar"/>
    <w:uiPriority w:val="99"/>
    <w:unhideWhenUsed/>
    <w:rsid w:val="00AA5068"/>
    <w:rPr>
      <w:szCs w:val="20"/>
    </w:rPr>
  </w:style>
  <w:style w:type="character" w:customStyle="1" w:styleId="FootnoteTextChar">
    <w:name w:val="Footnote Text Char"/>
    <w:basedOn w:val="DefaultParagraphFont"/>
    <w:link w:val="FootnoteText"/>
    <w:uiPriority w:val="99"/>
    <w:rsid w:val="00AA5068"/>
    <w:rPr>
      <w:rFonts w:eastAsia="Times New Roman" w:cs="Times New Roman"/>
      <w:sz w:val="20"/>
      <w:szCs w:val="20"/>
    </w:rPr>
  </w:style>
  <w:style w:type="character" w:styleId="FootnoteReference">
    <w:name w:val="footnote reference"/>
    <w:basedOn w:val="DefaultParagraphFont"/>
    <w:uiPriority w:val="99"/>
    <w:unhideWhenUsed/>
    <w:rsid w:val="00AA5068"/>
    <w:rPr>
      <w:vertAlign w:val="superscript"/>
    </w:rPr>
  </w:style>
  <w:style w:type="paragraph" w:styleId="BalloonText">
    <w:name w:val="Balloon Text"/>
    <w:basedOn w:val="Normal"/>
    <w:link w:val="BalloonTextChar"/>
    <w:uiPriority w:val="99"/>
    <w:semiHidden/>
    <w:unhideWhenUsed/>
    <w:rsid w:val="000902B9"/>
    <w:rPr>
      <w:rFonts w:ascii="Tahoma" w:hAnsi="Tahoma" w:cs="Tahoma"/>
      <w:sz w:val="16"/>
      <w:szCs w:val="16"/>
    </w:rPr>
  </w:style>
  <w:style w:type="character" w:customStyle="1" w:styleId="BalloonTextChar">
    <w:name w:val="Balloon Text Char"/>
    <w:basedOn w:val="DefaultParagraphFont"/>
    <w:link w:val="BalloonText"/>
    <w:uiPriority w:val="99"/>
    <w:semiHidden/>
    <w:rsid w:val="000902B9"/>
    <w:rPr>
      <w:rFonts w:ascii="Tahoma" w:eastAsia="Times New Roman" w:hAnsi="Tahoma" w:cs="Tahoma"/>
      <w:sz w:val="16"/>
      <w:szCs w:val="16"/>
    </w:rPr>
  </w:style>
  <w:style w:type="paragraph" w:styleId="Header">
    <w:name w:val="header"/>
    <w:basedOn w:val="Normal"/>
    <w:link w:val="HeaderChar"/>
    <w:uiPriority w:val="99"/>
    <w:unhideWhenUsed/>
    <w:rsid w:val="003453CC"/>
    <w:pPr>
      <w:tabs>
        <w:tab w:val="center" w:pos="4680"/>
        <w:tab w:val="right" w:pos="9360"/>
      </w:tabs>
    </w:pPr>
  </w:style>
  <w:style w:type="character" w:customStyle="1" w:styleId="HeaderChar">
    <w:name w:val="Header Char"/>
    <w:basedOn w:val="DefaultParagraphFont"/>
    <w:link w:val="Header"/>
    <w:uiPriority w:val="99"/>
    <w:rsid w:val="003453CC"/>
    <w:rPr>
      <w:rFonts w:eastAsia="Times New Roman" w:cs="Times New Roman"/>
      <w:sz w:val="20"/>
      <w:szCs w:val="24"/>
    </w:rPr>
  </w:style>
  <w:style w:type="paragraph" w:styleId="Footer">
    <w:name w:val="footer"/>
    <w:basedOn w:val="Normal"/>
    <w:link w:val="FooterChar"/>
    <w:uiPriority w:val="99"/>
    <w:unhideWhenUsed/>
    <w:rsid w:val="003453CC"/>
    <w:pPr>
      <w:tabs>
        <w:tab w:val="center" w:pos="4680"/>
        <w:tab w:val="right" w:pos="9360"/>
      </w:tabs>
    </w:pPr>
  </w:style>
  <w:style w:type="character" w:customStyle="1" w:styleId="FooterChar">
    <w:name w:val="Footer Char"/>
    <w:basedOn w:val="DefaultParagraphFont"/>
    <w:link w:val="Footer"/>
    <w:uiPriority w:val="99"/>
    <w:rsid w:val="003453CC"/>
    <w:rPr>
      <w:rFonts w:eastAsia="Times New Roman" w:cs="Times New Roman"/>
      <w:sz w:val="20"/>
      <w:szCs w:val="24"/>
    </w:rPr>
  </w:style>
  <w:style w:type="paragraph" w:styleId="NoSpacing">
    <w:name w:val="No Spacing"/>
    <w:basedOn w:val="Normal"/>
    <w:uiPriority w:val="1"/>
    <w:qFormat/>
    <w:rsid w:val="004C0C13"/>
    <w:pPr>
      <w:widowControl/>
      <w:autoSpaceDE/>
      <w:autoSpaceDN/>
      <w:adjustRightInd/>
    </w:pPr>
    <w:rPr>
      <w:rFonts w:eastAsia="Calibri"/>
      <w:sz w:val="24"/>
      <w:szCs w:val="32"/>
      <w:lang w:bidi="en-US"/>
    </w:rPr>
  </w:style>
  <w:style w:type="table" w:styleId="TableGrid">
    <w:name w:val="Table Grid"/>
    <w:basedOn w:val="TableNormal"/>
    <w:uiPriority w:val="59"/>
    <w:rsid w:val="004C0C1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A56E44"/>
    <w:pPr>
      <w:widowControl/>
      <w:autoSpaceDE/>
      <w:autoSpaceDN/>
      <w:adjustRightInd/>
      <w:spacing w:after="200" w:line="276" w:lineRule="auto"/>
      <w:ind w:left="720"/>
      <w:contextualSpacing/>
    </w:pPr>
    <w:rPr>
      <w:rFonts w:eastAsiaTheme="minorHAnsi" w:cs="Calibri"/>
      <w:sz w:val="24"/>
      <w:szCs w:val="22"/>
    </w:rPr>
  </w:style>
  <w:style w:type="paragraph" w:styleId="NormalWeb">
    <w:name w:val="Normal (Web)"/>
    <w:basedOn w:val="Normal"/>
    <w:uiPriority w:val="99"/>
    <w:unhideWhenUsed/>
    <w:rsid w:val="001149A9"/>
    <w:pPr>
      <w:widowControl/>
      <w:autoSpaceDE/>
      <w:autoSpaceDN/>
      <w:adjustRightInd/>
      <w:spacing w:before="100" w:beforeAutospacing="1" w:after="100" w:afterAutospacing="1"/>
    </w:pPr>
    <w:rPr>
      <w:sz w:val="24"/>
    </w:rPr>
  </w:style>
  <w:style w:type="character" w:styleId="CommentReference">
    <w:name w:val="annotation reference"/>
    <w:basedOn w:val="DefaultParagraphFont"/>
    <w:uiPriority w:val="99"/>
    <w:semiHidden/>
    <w:unhideWhenUsed/>
    <w:rsid w:val="00D84B15"/>
    <w:rPr>
      <w:sz w:val="16"/>
      <w:szCs w:val="16"/>
    </w:rPr>
  </w:style>
  <w:style w:type="paragraph" w:styleId="CommentText">
    <w:name w:val="annotation text"/>
    <w:basedOn w:val="Normal"/>
    <w:link w:val="CommentTextChar"/>
    <w:uiPriority w:val="99"/>
    <w:semiHidden/>
    <w:unhideWhenUsed/>
    <w:rsid w:val="00D84B15"/>
    <w:rPr>
      <w:szCs w:val="20"/>
    </w:rPr>
  </w:style>
  <w:style w:type="character" w:customStyle="1" w:styleId="CommentTextChar">
    <w:name w:val="Comment Text Char"/>
    <w:basedOn w:val="DefaultParagraphFont"/>
    <w:link w:val="CommentText"/>
    <w:uiPriority w:val="99"/>
    <w:semiHidden/>
    <w:rsid w:val="00D84B15"/>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84B15"/>
    <w:rPr>
      <w:b/>
      <w:bCs/>
    </w:rPr>
  </w:style>
  <w:style w:type="character" w:customStyle="1" w:styleId="CommentSubjectChar">
    <w:name w:val="Comment Subject Char"/>
    <w:basedOn w:val="CommentTextChar"/>
    <w:link w:val="CommentSubject"/>
    <w:uiPriority w:val="99"/>
    <w:semiHidden/>
    <w:rsid w:val="00D84B15"/>
    <w:rPr>
      <w:rFonts w:eastAsia="Times New Roman" w:cs="Times New Roman"/>
      <w:b/>
      <w:bCs/>
      <w:sz w:val="20"/>
      <w:szCs w:val="20"/>
    </w:rPr>
  </w:style>
  <w:style w:type="character" w:customStyle="1" w:styleId="Heading4Char">
    <w:name w:val="Heading 4 Char"/>
    <w:basedOn w:val="DefaultParagraphFont"/>
    <w:link w:val="Heading4"/>
    <w:uiPriority w:val="9"/>
    <w:semiHidden/>
    <w:rsid w:val="005F6CF1"/>
    <w:rPr>
      <w:rFonts w:asciiTheme="majorHAnsi" w:eastAsiaTheme="majorEastAsia" w:hAnsiTheme="majorHAnsi" w:cstheme="majorBidi"/>
      <w:b/>
      <w:bCs/>
      <w:i/>
      <w:iCs/>
      <w:color w:val="4F81BD" w:themeColor="accent1"/>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3978">
      <w:bodyDiv w:val="1"/>
      <w:marLeft w:val="0"/>
      <w:marRight w:val="0"/>
      <w:marTop w:val="15"/>
      <w:marBottom w:val="0"/>
      <w:divBdr>
        <w:top w:val="none" w:sz="0" w:space="0" w:color="auto"/>
        <w:left w:val="none" w:sz="0" w:space="0" w:color="auto"/>
        <w:bottom w:val="none" w:sz="0" w:space="0" w:color="auto"/>
        <w:right w:val="none" w:sz="0" w:space="0" w:color="auto"/>
      </w:divBdr>
      <w:divsChild>
        <w:div w:id="1285237370">
          <w:marLeft w:val="0"/>
          <w:marRight w:val="0"/>
          <w:marTop w:val="0"/>
          <w:marBottom w:val="0"/>
          <w:divBdr>
            <w:top w:val="none" w:sz="0" w:space="0" w:color="auto"/>
            <w:left w:val="none" w:sz="0" w:space="0" w:color="auto"/>
            <w:bottom w:val="none" w:sz="0" w:space="0" w:color="auto"/>
            <w:right w:val="none" w:sz="0" w:space="0" w:color="auto"/>
          </w:divBdr>
          <w:divsChild>
            <w:div w:id="1263298019">
              <w:marLeft w:val="0"/>
              <w:marRight w:val="0"/>
              <w:marTop w:val="0"/>
              <w:marBottom w:val="0"/>
              <w:divBdr>
                <w:top w:val="none" w:sz="0" w:space="0" w:color="auto"/>
                <w:left w:val="none" w:sz="0" w:space="0" w:color="auto"/>
                <w:bottom w:val="single" w:sz="18" w:space="0" w:color="11508F"/>
                <w:right w:val="none" w:sz="0" w:space="0" w:color="auto"/>
              </w:divBdr>
              <w:divsChild>
                <w:div w:id="18204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42197">
      <w:bodyDiv w:val="1"/>
      <w:marLeft w:val="0"/>
      <w:marRight w:val="0"/>
      <w:marTop w:val="0"/>
      <w:marBottom w:val="0"/>
      <w:divBdr>
        <w:top w:val="none" w:sz="0" w:space="0" w:color="auto"/>
        <w:left w:val="none" w:sz="0" w:space="0" w:color="auto"/>
        <w:bottom w:val="none" w:sz="0" w:space="0" w:color="auto"/>
        <w:right w:val="none" w:sz="0" w:space="0" w:color="auto"/>
      </w:divBdr>
      <w:divsChild>
        <w:div w:id="3554552">
          <w:marLeft w:val="0"/>
          <w:marRight w:val="0"/>
          <w:marTop w:val="0"/>
          <w:marBottom w:val="0"/>
          <w:divBdr>
            <w:top w:val="none" w:sz="0" w:space="0" w:color="auto"/>
            <w:left w:val="none" w:sz="0" w:space="0" w:color="auto"/>
            <w:bottom w:val="none" w:sz="0" w:space="0" w:color="auto"/>
            <w:right w:val="none" w:sz="0" w:space="0" w:color="auto"/>
          </w:divBdr>
          <w:divsChild>
            <w:div w:id="1121462428">
              <w:marLeft w:val="0"/>
              <w:marRight w:val="0"/>
              <w:marTop w:val="0"/>
              <w:marBottom w:val="0"/>
              <w:divBdr>
                <w:top w:val="none" w:sz="0" w:space="0" w:color="auto"/>
                <w:left w:val="none" w:sz="0" w:space="0" w:color="auto"/>
                <w:bottom w:val="none" w:sz="0" w:space="0" w:color="auto"/>
                <w:right w:val="none" w:sz="0" w:space="0" w:color="auto"/>
              </w:divBdr>
              <w:divsChild>
                <w:div w:id="1320769687">
                  <w:marLeft w:val="0"/>
                  <w:marRight w:val="0"/>
                  <w:marTop w:val="0"/>
                  <w:marBottom w:val="0"/>
                  <w:divBdr>
                    <w:top w:val="none" w:sz="0" w:space="0" w:color="auto"/>
                    <w:left w:val="none" w:sz="0" w:space="0" w:color="auto"/>
                    <w:bottom w:val="none" w:sz="0" w:space="0" w:color="auto"/>
                    <w:right w:val="none" w:sz="0" w:space="0" w:color="auto"/>
                  </w:divBdr>
                  <w:divsChild>
                    <w:div w:id="1996299104">
                      <w:marLeft w:val="0"/>
                      <w:marRight w:val="0"/>
                      <w:marTop w:val="0"/>
                      <w:marBottom w:val="0"/>
                      <w:divBdr>
                        <w:top w:val="none" w:sz="0" w:space="0" w:color="auto"/>
                        <w:left w:val="none" w:sz="0" w:space="0" w:color="auto"/>
                        <w:bottom w:val="none" w:sz="0" w:space="0" w:color="auto"/>
                        <w:right w:val="none" w:sz="0" w:space="0" w:color="auto"/>
                      </w:divBdr>
                      <w:divsChild>
                        <w:div w:id="1727559525">
                          <w:marLeft w:val="0"/>
                          <w:marRight w:val="0"/>
                          <w:marTop w:val="0"/>
                          <w:marBottom w:val="0"/>
                          <w:divBdr>
                            <w:top w:val="none" w:sz="0" w:space="0" w:color="auto"/>
                            <w:left w:val="none" w:sz="0" w:space="0" w:color="auto"/>
                            <w:bottom w:val="none" w:sz="0" w:space="0" w:color="auto"/>
                            <w:right w:val="none" w:sz="0" w:space="0" w:color="auto"/>
                          </w:divBdr>
                          <w:divsChild>
                            <w:div w:id="46532728">
                              <w:marLeft w:val="405"/>
                              <w:marRight w:val="405"/>
                              <w:marTop w:val="225"/>
                              <w:marBottom w:val="0"/>
                              <w:divBdr>
                                <w:top w:val="none" w:sz="0" w:space="0" w:color="auto"/>
                                <w:left w:val="none" w:sz="0" w:space="0" w:color="auto"/>
                                <w:bottom w:val="none" w:sz="0" w:space="0" w:color="auto"/>
                                <w:right w:val="none" w:sz="0" w:space="0" w:color="auto"/>
                              </w:divBdr>
                              <w:divsChild>
                                <w:div w:id="8654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806620">
      <w:bodyDiv w:val="1"/>
      <w:marLeft w:val="0"/>
      <w:marRight w:val="0"/>
      <w:marTop w:val="0"/>
      <w:marBottom w:val="0"/>
      <w:divBdr>
        <w:top w:val="none" w:sz="0" w:space="0" w:color="auto"/>
        <w:left w:val="none" w:sz="0" w:space="0" w:color="auto"/>
        <w:bottom w:val="none" w:sz="0" w:space="0" w:color="auto"/>
        <w:right w:val="none" w:sz="0" w:space="0" w:color="auto"/>
      </w:divBdr>
    </w:div>
    <w:div w:id="469246043">
      <w:bodyDiv w:val="1"/>
      <w:marLeft w:val="0"/>
      <w:marRight w:val="0"/>
      <w:marTop w:val="0"/>
      <w:marBottom w:val="0"/>
      <w:divBdr>
        <w:top w:val="none" w:sz="0" w:space="0" w:color="auto"/>
        <w:left w:val="none" w:sz="0" w:space="0" w:color="auto"/>
        <w:bottom w:val="none" w:sz="0" w:space="0" w:color="auto"/>
        <w:right w:val="none" w:sz="0" w:space="0" w:color="auto"/>
      </w:divBdr>
    </w:div>
    <w:div w:id="571895212">
      <w:bodyDiv w:val="1"/>
      <w:marLeft w:val="0"/>
      <w:marRight w:val="0"/>
      <w:marTop w:val="0"/>
      <w:marBottom w:val="0"/>
      <w:divBdr>
        <w:top w:val="none" w:sz="0" w:space="0" w:color="auto"/>
        <w:left w:val="none" w:sz="0" w:space="0" w:color="auto"/>
        <w:bottom w:val="none" w:sz="0" w:space="0" w:color="auto"/>
        <w:right w:val="none" w:sz="0" w:space="0" w:color="auto"/>
      </w:divBdr>
      <w:divsChild>
        <w:div w:id="918490114">
          <w:marLeft w:val="0"/>
          <w:marRight w:val="0"/>
          <w:marTop w:val="0"/>
          <w:marBottom w:val="0"/>
          <w:divBdr>
            <w:top w:val="none" w:sz="0" w:space="0" w:color="auto"/>
            <w:left w:val="none" w:sz="0" w:space="0" w:color="auto"/>
            <w:bottom w:val="none" w:sz="0" w:space="0" w:color="auto"/>
            <w:right w:val="none" w:sz="0" w:space="0" w:color="auto"/>
          </w:divBdr>
          <w:divsChild>
            <w:div w:id="1347757507">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 w:id="829948587">
      <w:bodyDiv w:val="1"/>
      <w:marLeft w:val="0"/>
      <w:marRight w:val="0"/>
      <w:marTop w:val="15"/>
      <w:marBottom w:val="0"/>
      <w:divBdr>
        <w:top w:val="none" w:sz="0" w:space="0" w:color="auto"/>
        <w:left w:val="none" w:sz="0" w:space="0" w:color="auto"/>
        <w:bottom w:val="none" w:sz="0" w:space="0" w:color="auto"/>
        <w:right w:val="none" w:sz="0" w:space="0" w:color="auto"/>
      </w:divBdr>
      <w:divsChild>
        <w:div w:id="9527104">
          <w:marLeft w:val="0"/>
          <w:marRight w:val="0"/>
          <w:marTop w:val="0"/>
          <w:marBottom w:val="0"/>
          <w:divBdr>
            <w:top w:val="none" w:sz="0" w:space="0" w:color="auto"/>
            <w:left w:val="none" w:sz="0" w:space="0" w:color="auto"/>
            <w:bottom w:val="none" w:sz="0" w:space="0" w:color="auto"/>
            <w:right w:val="none" w:sz="0" w:space="0" w:color="auto"/>
          </w:divBdr>
          <w:divsChild>
            <w:div w:id="944649647">
              <w:marLeft w:val="0"/>
              <w:marRight w:val="0"/>
              <w:marTop w:val="0"/>
              <w:marBottom w:val="0"/>
              <w:divBdr>
                <w:top w:val="none" w:sz="0" w:space="0" w:color="auto"/>
                <w:left w:val="none" w:sz="0" w:space="0" w:color="auto"/>
                <w:bottom w:val="single" w:sz="18" w:space="0" w:color="11508F"/>
                <w:right w:val="none" w:sz="0" w:space="0" w:color="auto"/>
              </w:divBdr>
              <w:divsChild>
                <w:div w:id="486290764">
                  <w:marLeft w:val="0"/>
                  <w:marRight w:val="0"/>
                  <w:marTop w:val="0"/>
                  <w:marBottom w:val="300"/>
                  <w:divBdr>
                    <w:top w:val="none" w:sz="0" w:space="0" w:color="auto"/>
                    <w:left w:val="none" w:sz="0" w:space="0" w:color="auto"/>
                    <w:bottom w:val="none" w:sz="0" w:space="0" w:color="auto"/>
                    <w:right w:val="none" w:sz="0" w:space="0" w:color="auto"/>
                  </w:divBdr>
                </w:div>
                <w:div w:id="307324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38081612">
      <w:bodyDiv w:val="1"/>
      <w:marLeft w:val="0"/>
      <w:marRight w:val="0"/>
      <w:marTop w:val="0"/>
      <w:marBottom w:val="0"/>
      <w:divBdr>
        <w:top w:val="none" w:sz="0" w:space="0" w:color="auto"/>
        <w:left w:val="none" w:sz="0" w:space="0" w:color="auto"/>
        <w:bottom w:val="none" w:sz="0" w:space="0" w:color="auto"/>
        <w:right w:val="none" w:sz="0" w:space="0" w:color="auto"/>
      </w:divBdr>
      <w:divsChild>
        <w:div w:id="561721051">
          <w:marLeft w:val="150"/>
          <w:marRight w:val="0"/>
          <w:marTop w:val="0"/>
          <w:marBottom w:val="0"/>
          <w:divBdr>
            <w:top w:val="none" w:sz="0" w:space="0" w:color="auto"/>
            <w:left w:val="none" w:sz="0" w:space="0" w:color="auto"/>
            <w:bottom w:val="none" w:sz="0" w:space="0" w:color="auto"/>
            <w:right w:val="none" w:sz="0" w:space="0" w:color="auto"/>
          </w:divBdr>
          <w:divsChild>
            <w:div w:id="1456827715">
              <w:marLeft w:val="0"/>
              <w:marRight w:val="0"/>
              <w:marTop w:val="0"/>
              <w:marBottom w:val="0"/>
              <w:divBdr>
                <w:top w:val="none" w:sz="0" w:space="0" w:color="auto"/>
                <w:left w:val="none" w:sz="0" w:space="0" w:color="auto"/>
                <w:bottom w:val="none" w:sz="0" w:space="0" w:color="auto"/>
                <w:right w:val="none" w:sz="0" w:space="0" w:color="auto"/>
              </w:divBdr>
            </w:div>
            <w:div w:id="1067073486">
              <w:marLeft w:val="0"/>
              <w:marRight w:val="0"/>
              <w:marTop w:val="0"/>
              <w:marBottom w:val="0"/>
              <w:divBdr>
                <w:top w:val="none" w:sz="0" w:space="0" w:color="auto"/>
                <w:left w:val="none" w:sz="0" w:space="0" w:color="auto"/>
                <w:bottom w:val="none" w:sz="0" w:space="0" w:color="auto"/>
                <w:right w:val="none" w:sz="0" w:space="0" w:color="auto"/>
              </w:divBdr>
            </w:div>
            <w:div w:id="1312784293">
              <w:marLeft w:val="0"/>
              <w:marRight w:val="0"/>
              <w:marTop w:val="0"/>
              <w:marBottom w:val="0"/>
              <w:divBdr>
                <w:top w:val="none" w:sz="0" w:space="0" w:color="auto"/>
                <w:left w:val="none" w:sz="0" w:space="0" w:color="auto"/>
                <w:bottom w:val="none" w:sz="0" w:space="0" w:color="auto"/>
                <w:right w:val="none" w:sz="0" w:space="0" w:color="auto"/>
              </w:divBdr>
            </w:div>
            <w:div w:id="213007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3555">
      <w:bodyDiv w:val="1"/>
      <w:marLeft w:val="0"/>
      <w:marRight w:val="0"/>
      <w:marTop w:val="0"/>
      <w:marBottom w:val="0"/>
      <w:divBdr>
        <w:top w:val="none" w:sz="0" w:space="0" w:color="auto"/>
        <w:left w:val="none" w:sz="0" w:space="0" w:color="auto"/>
        <w:bottom w:val="none" w:sz="0" w:space="0" w:color="auto"/>
        <w:right w:val="none" w:sz="0" w:space="0" w:color="auto"/>
      </w:divBdr>
      <w:divsChild>
        <w:div w:id="918564729">
          <w:marLeft w:val="0"/>
          <w:marRight w:val="0"/>
          <w:marTop w:val="0"/>
          <w:marBottom w:val="0"/>
          <w:divBdr>
            <w:top w:val="none" w:sz="0" w:space="0" w:color="auto"/>
            <w:left w:val="none" w:sz="0" w:space="0" w:color="auto"/>
            <w:bottom w:val="none" w:sz="0" w:space="0" w:color="auto"/>
            <w:right w:val="none" w:sz="0" w:space="0" w:color="auto"/>
          </w:divBdr>
          <w:divsChild>
            <w:div w:id="1144934727">
              <w:marLeft w:val="0"/>
              <w:marRight w:val="0"/>
              <w:marTop w:val="0"/>
              <w:marBottom w:val="0"/>
              <w:divBdr>
                <w:top w:val="none" w:sz="0" w:space="0" w:color="auto"/>
                <w:left w:val="none" w:sz="0" w:space="0" w:color="auto"/>
                <w:bottom w:val="none" w:sz="0" w:space="0" w:color="auto"/>
                <w:right w:val="none" w:sz="0" w:space="0" w:color="auto"/>
              </w:divBdr>
              <w:divsChild>
                <w:div w:id="1840851252">
                  <w:marLeft w:val="0"/>
                  <w:marRight w:val="0"/>
                  <w:marTop w:val="0"/>
                  <w:marBottom w:val="0"/>
                  <w:divBdr>
                    <w:top w:val="none" w:sz="0" w:space="0" w:color="auto"/>
                    <w:left w:val="none" w:sz="0" w:space="0" w:color="auto"/>
                    <w:bottom w:val="none" w:sz="0" w:space="0" w:color="auto"/>
                    <w:right w:val="none" w:sz="0" w:space="0" w:color="auto"/>
                  </w:divBdr>
                  <w:divsChild>
                    <w:div w:id="211112428">
                      <w:marLeft w:val="0"/>
                      <w:marRight w:val="0"/>
                      <w:marTop w:val="0"/>
                      <w:marBottom w:val="0"/>
                      <w:divBdr>
                        <w:top w:val="none" w:sz="0" w:space="0" w:color="auto"/>
                        <w:left w:val="none" w:sz="0" w:space="0" w:color="auto"/>
                        <w:bottom w:val="none" w:sz="0" w:space="0" w:color="auto"/>
                        <w:right w:val="none" w:sz="0" w:space="0" w:color="auto"/>
                      </w:divBdr>
                      <w:divsChild>
                        <w:div w:id="2085301735">
                          <w:marLeft w:val="0"/>
                          <w:marRight w:val="0"/>
                          <w:marTop w:val="0"/>
                          <w:marBottom w:val="0"/>
                          <w:divBdr>
                            <w:top w:val="none" w:sz="0" w:space="0" w:color="auto"/>
                            <w:left w:val="none" w:sz="0" w:space="0" w:color="auto"/>
                            <w:bottom w:val="none" w:sz="0" w:space="0" w:color="auto"/>
                            <w:right w:val="none" w:sz="0" w:space="0" w:color="auto"/>
                          </w:divBdr>
                          <w:divsChild>
                            <w:div w:id="1545944939">
                              <w:marLeft w:val="405"/>
                              <w:marRight w:val="405"/>
                              <w:marTop w:val="225"/>
                              <w:marBottom w:val="0"/>
                              <w:divBdr>
                                <w:top w:val="none" w:sz="0" w:space="0" w:color="auto"/>
                                <w:left w:val="none" w:sz="0" w:space="0" w:color="auto"/>
                                <w:bottom w:val="none" w:sz="0" w:space="0" w:color="auto"/>
                                <w:right w:val="none" w:sz="0" w:space="0" w:color="auto"/>
                              </w:divBdr>
                              <w:divsChild>
                                <w:div w:id="246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979926">
      <w:bodyDiv w:val="1"/>
      <w:marLeft w:val="0"/>
      <w:marRight w:val="0"/>
      <w:marTop w:val="0"/>
      <w:marBottom w:val="0"/>
      <w:divBdr>
        <w:top w:val="none" w:sz="0" w:space="0" w:color="auto"/>
        <w:left w:val="none" w:sz="0" w:space="0" w:color="auto"/>
        <w:bottom w:val="none" w:sz="0" w:space="0" w:color="auto"/>
        <w:right w:val="none" w:sz="0" w:space="0" w:color="auto"/>
      </w:divBdr>
    </w:div>
    <w:div w:id="1177422110">
      <w:bodyDiv w:val="1"/>
      <w:marLeft w:val="0"/>
      <w:marRight w:val="0"/>
      <w:marTop w:val="0"/>
      <w:marBottom w:val="0"/>
      <w:divBdr>
        <w:top w:val="none" w:sz="0" w:space="0" w:color="auto"/>
        <w:left w:val="none" w:sz="0" w:space="0" w:color="auto"/>
        <w:bottom w:val="none" w:sz="0" w:space="0" w:color="auto"/>
        <w:right w:val="none" w:sz="0" w:space="0" w:color="auto"/>
      </w:divBdr>
      <w:divsChild>
        <w:div w:id="20059393">
          <w:marLeft w:val="0"/>
          <w:marRight w:val="0"/>
          <w:marTop w:val="0"/>
          <w:marBottom w:val="0"/>
          <w:divBdr>
            <w:top w:val="none" w:sz="0" w:space="0" w:color="auto"/>
            <w:left w:val="none" w:sz="0" w:space="0" w:color="auto"/>
            <w:bottom w:val="none" w:sz="0" w:space="0" w:color="auto"/>
            <w:right w:val="none" w:sz="0" w:space="0" w:color="auto"/>
          </w:divBdr>
          <w:divsChild>
            <w:div w:id="2061053848">
              <w:marLeft w:val="0"/>
              <w:marRight w:val="0"/>
              <w:marTop w:val="0"/>
              <w:marBottom w:val="0"/>
              <w:divBdr>
                <w:top w:val="none" w:sz="0" w:space="0" w:color="auto"/>
                <w:left w:val="none" w:sz="0" w:space="0" w:color="auto"/>
                <w:bottom w:val="none" w:sz="0" w:space="0" w:color="auto"/>
                <w:right w:val="none" w:sz="0" w:space="0" w:color="auto"/>
              </w:divBdr>
              <w:divsChild>
                <w:div w:id="1270816559">
                  <w:marLeft w:val="0"/>
                  <w:marRight w:val="0"/>
                  <w:marTop w:val="0"/>
                  <w:marBottom w:val="0"/>
                  <w:divBdr>
                    <w:top w:val="none" w:sz="0" w:space="0" w:color="auto"/>
                    <w:left w:val="none" w:sz="0" w:space="0" w:color="auto"/>
                    <w:bottom w:val="none" w:sz="0" w:space="0" w:color="auto"/>
                    <w:right w:val="none" w:sz="0" w:space="0" w:color="auto"/>
                  </w:divBdr>
                  <w:divsChild>
                    <w:div w:id="1023819292">
                      <w:marLeft w:val="0"/>
                      <w:marRight w:val="0"/>
                      <w:marTop w:val="0"/>
                      <w:marBottom w:val="0"/>
                      <w:divBdr>
                        <w:top w:val="none" w:sz="0" w:space="0" w:color="auto"/>
                        <w:left w:val="none" w:sz="0" w:space="0" w:color="auto"/>
                        <w:bottom w:val="none" w:sz="0" w:space="0" w:color="auto"/>
                        <w:right w:val="none" w:sz="0" w:space="0" w:color="auto"/>
                      </w:divBdr>
                      <w:divsChild>
                        <w:div w:id="1568106788">
                          <w:marLeft w:val="0"/>
                          <w:marRight w:val="0"/>
                          <w:marTop w:val="0"/>
                          <w:marBottom w:val="0"/>
                          <w:divBdr>
                            <w:top w:val="none" w:sz="0" w:space="0" w:color="auto"/>
                            <w:left w:val="none" w:sz="0" w:space="0" w:color="auto"/>
                            <w:bottom w:val="none" w:sz="0" w:space="0" w:color="auto"/>
                            <w:right w:val="none" w:sz="0" w:space="0" w:color="auto"/>
                          </w:divBdr>
                          <w:divsChild>
                            <w:div w:id="1428888330">
                              <w:marLeft w:val="405"/>
                              <w:marRight w:val="405"/>
                              <w:marTop w:val="225"/>
                              <w:marBottom w:val="0"/>
                              <w:divBdr>
                                <w:top w:val="none" w:sz="0" w:space="0" w:color="auto"/>
                                <w:left w:val="none" w:sz="0" w:space="0" w:color="auto"/>
                                <w:bottom w:val="none" w:sz="0" w:space="0" w:color="auto"/>
                                <w:right w:val="none" w:sz="0" w:space="0" w:color="auto"/>
                              </w:divBdr>
                              <w:divsChild>
                                <w:div w:id="15346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089875">
      <w:bodyDiv w:val="1"/>
      <w:marLeft w:val="0"/>
      <w:marRight w:val="0"/>
      <w:marTop w:val="0"/>
      <w:marBottom w:val="0"/>
      <w:divBdr>
        <w:top w:val="none" w:sz="0" w:space="0" w:color="auto"/>
        <w:left w:val="none" w:sz="0" w:space="0" w:color="auto"/>
        <w:bottom w:val="none" w:sz="0" w:space="0" w:color="auto"/>
        <w:right w:val="none" w:sz="0" w:space="0" w:color="auto"/>
      </w:divBdr>
      <w:divsChild>
        <w:div w:id="1987779408">
          <w:marLeft w:val="0"/>
          <w:marRight w:val="0"/>
          <w:marTop w:val="0"/>
          <w:marBottom w:val="0"/>
          <w:divBdr>
            <w:top w:val="none" w:sz="0" w:space="0" w:color="auto"/>
            <w:left w:val="none" w:sz="0" w:space="0" w:color="auto"/>
            <w:bottom w:val="none" w:sz="0" w:space="0" w:color="auto"/>
            <w:right w:val="none" w:sz="0" w:space="0" w:color="auto"/>
          </w:divBdr>
          <w:divsChild>
            <w:div w:id="1127625508">
              <w:marLeft w:val="0"/>
              <w:marRight w:val="0"/>
              <w:marTop w:val="0"/>
              <w:marBottom w:val="0"/>
              <w:divBdr>
                <w:top w:val="none" w:sz="0" w:space="0" w:color="auto"/>
                <w:left w:val="none" w:sz="0" w:space="0" w:color="auto"/>
                <w:bottom w:val="none" w:sz="0" w:space="0" w:color="auto"/>
                <w:right w:val="none" w:sz="0" w:space="0" w:color="auto"/>
              </w:divBdr>
              <w:divsChild>
                <w:div w:id="1432696936">
                  <w:marLeft w:val="0"/>
                  <w:marRight w:val="0"/>
                  <w:marTop w:val="0"/>
                  <w:marBottom w:val="0"/>
                  <w:divBdr>
                    <w:top w:val="none" w:sz="0" w:space="0" w:color="auto"/>
                    <w:left w:val="none" w:sz="0" w:space="0" w:color="auto"/>
                    <w:bottom w:val="none" w:sz="0" w:space="0" w:color="auto"/>
                    <w:right w:val="none" w:sz="0" w:space="0" w:color="auto"/>
                  </w:divBdr>
                  <w:divsChild>
                    <w:div w:id="1687709946">
                      <w:marLeft w:val="0"/>
                      <w:marRight w:val="0"/>
                      <w:marTop w:val="0"/>
                      <w:marBottom w:val="0"/>
                      <w:divBdr>
                        <w:top w:val="none" w:sz="0" w:space="0" w:color="auto"/>
                        <w:left w:val="none" w:sz="0" w:space="0" w:color="auto"/>
                        <w:bottom w:val="none" w:sz="0" w:space="0" w:color="auto"/>
                        <w:right w:val="none" w:sz="0" w:space="0" w:color="auto"/>
                      </w:divBdr>
                      <w:divsChild>
                        <w:div w:id="915633103">
                          <w:marLeft w:val="0"/>
                          <w:marRight w:val="0"/>
                          <w:marTop w:val="0"/>
                          <w:marBottom w:val="0"/>
                          <w:divBdr>
                            <w:top w:val="none" w:sz="0" w:space="0" w:color="auto"/>
                            <w:left w:val="none" w:sz="0" w:space="0" w:color="auto"/>
                            <w:bottom w:val="none" w:sz="0" w:space="0" w:color="auto"/>
                            <w:right w:val="none" w:sz="0" w:space="0" w:color="auto"/>
                          </w:divBdr>
                          <w:divsChild>
                            <w:div w:id="860629813">
                              <w:marLeft w:val="405"/>
                              <w:marRight w:val="405"/>
                              <w:marTop w:val="225"/>
                              <w:marBottom w:val="0"/>
                              <w:divBdr>
                                <w:top w:val="none" w:sz="0" w:space="0" w:color="auto"/>
                                <w:left w:val="none" w:sz="0" w:space="0" w:color="auto"/>
                                <w:bottom w:val="none" w:sz="0" w:space="0" w:color="auto"/>
                                <w:right w:val="none" w:sz="0" w:space="0" w:color="auto"/>
                              </w:divBdr>
                              <w:divsChild>
                                <w:div w:id="18178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001250">
      <w:bodyDiv w:val="1"/>
      <w:marLeft w:val="0"/>
      <w:marRight w:val="0"/>
      <w:marTop w:val="15"/>
      <w:marBottom w:val="0"/>
      <w:divBdr>
        <w:top w:val="none" w:sz="0" w:space="0" w:color="auto"/>
        <w:left w:val="none" w:sz="0" w:space="0" w:color="auto"/>
        <w:bottom w:val="none" w:sz="0" w:space="0" w:color="auto"/>
        <w:right w:val="none" w:sz="0" w:space="0" w:color="auto"/>
      </w:divBdr>
      <w:divsChild>
        <w:div w:id="1143694642">
          <w:marLeft w:val="0"/>
          <w:marRight w:val="0"/>
          <w:marTop w:val="0"/>
          <w:marBottom w:val="0"/>
          <w:divBdr>
            <w:top w:val="none" w:sz="0" w:space="0" w:color="auto"/>
            <w:left w:val="none" w:sz="0" w:space="0" w:color="auto"/>
            <w:bottom w:val="none" w:sz="0" w:space="0" w:color="auto"/>
            <w:right w:val="none" w:sz="0" w:space="0" w:color="auto"/>
          </w:divBdr>
          <w:divsChild>
            <w:div w:id="1808620609">
              <w:marLeft w:val="0"/>
              <w:marRight w:val="0"/>
              <w:marTop w:val="0"/>
              <w:marBottom w:val="0"/>
              <w:divBdr>
                <w:top w:val="none" w:sz="0" w:space="0" w:color="auto"/>
                <w:left w:val="none" w:sz="0" w:space="0" w:color="auto"/>
                <w:bottom w:val="single" w:sz="18" w:space="0" w:color="11508F"/>
                <w:right w:val="none" w:sz="0" w:space="0" w:color="auto"/>
              </w:divBdr>
              <w:divsChild>
                <w:div w:id="648825227">
                  <w:marLeft w:val="0"/>
                  <w:marRight w:val="0"/>
                  <w:marTop w:val="0"/>
                  <w:marBottom w:val="0"/>
                  <w:divBdr>
                    <w:top w:val="none" w:sz="0" w:space="0" w:color="auto"/>
                    <w:left w:val="none" w:sz="0" w:space="0" w:color="auto"/>
                    <w:bottom w:val="none" w:sz="0" w:space="0" w:color="auto"/>
                    <w:right w:val="none" w:sz="0" w:space="0" w:color="auto"/>
                  </w:divBdr>
                </w:div>
                <w:div w:id="1756786114">
                  <w:marLeft w:val="-45"/>
                  <w:marRight w:val="0"/>
                  <w:marTop w:val="0"/>
                  <w:marBottom w:val="0"/>
                  <w:divBdr>
                    <w:top w:val="single" w:sz="6" w:space="0" w:color="333333"/>
                    <w:left w:val="none" w:sz="0" w:space="0" w:color="auto"/>
                    <w:bottom w:val="single" w:sz="6" w:space="0" w:color="E7C10B"/>
                    <w:right w:val="none" w:sz="0" w:space="0" w:color="auto"/>
                  </w:divBdr>
                </w:div>
                <w:div w:id="1432243804">
                  <w:marLeft w:val="0"/>
                  <w:marRight w:val="0"/>
                  <w:marTop w:val="0"/>
                  <w:marBottom w:val="300"/>
                  <w:divBdr>
                    <w:top w:val="none" w:sz="0" w:space="0" w:color="auto"/>
                    <w:left w:val="none" w:sz="0" w:space="0" w:color="auto"/>
                    <w:bottom w:val="none" w:sz="0" w:space="0" w:color="auto"/>
                    <w:right w:val="none" w:sz="0" w:space="0" w:color="auto"/>
                  </w:divBdr>
                </w:div>
                <w:div w:id="15246318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customXml" Target="../customXml/item2.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oleObject2.bin"/><Relationship Id="rId29" Type="http://schemas.openxmlformats.org/officeDocument/2006/relationships/image" Target="media/image17.emf"/><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7A7F72C347877B48BCA8E2980568BD2E" ma:contentTypeVersion="175" ma:contentTypeDescription="" ma:contentTypeScope="" ma:versionID="08d434933641081e3ad5ad797f2dac3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UW</Prefix>
    <DocumentSetType xmlns="dc463f71-b30c-4ab2-9473-d307f9d35888">Order - Other</DocumentSetType>
    <IsConfidential xmlns="dc463f71-b30c-4ab2-9473-d307f9d35888">false</IsConfidential>
    <AgendaOrder xmlns="dc463f71-b30c-4ab2-9473-d307f9d35888">false</AgendaOrder>
    <CaseType xmlns="dc463f71-b30c-4ab2-9473-d307f9d35888">Assessment (penalty)</CaseType>
    <IndustryCode xmlns="dc463f71-b30c-4ab2-9473-d307f9d35888">160</IndustryCode>
    <CaseStatus xmlns="dc463f71-b30c-4ab2-9473-d307f9d35888">Closed</CaseStatus>
    <OpenedDate xmlns="dc463f71-b30c-4ab2-9473-d307f9d35888">2014-04-10T07:00:00+00:00</OpenedDate>
    <Date1 xmlns="dc463f71-b30c-4ab2-9473-d307f9d35888">2014-04-17T07:00:00+00:00</Date1>
    <IsDocumentOrder xmlns="dc463f71-b30c-4ab2-9473-d307f9d35888">true</IsDocumentOrder>
    <IsHighlyConfidential xmlns="dc463f71-b30c-4ab2-9473-d307f9d35888">false</IsHighlyConfidential>
    <CaseCompanyNames xmlns="dc463f71-b30c-4ab2-9473-d307f9d35888">Washington Water Supply, Inc.</CaseCompanyNames>
    <DocketNumber xmlns="dc463f71-b30c-4ab2-9473-d307f9d35888">140598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DC3D9DE2-200C-40C1-AB8D-9B5DC889BA0D}"/>
</file>

<file path=customXml/itemProps2.xml><?xml version="1.0" encoding="utf-8"?>
<ds:datastoreItem xmlns:ds="http://schemas.openxmlformats.org/officeDocument/2006/customXml" ds:itemID="{0B066D5A-6805-4A68-A1CE-74880082FDF9}"/>
</file>

<file path=customXml/itemProps3.xml><?xml version="1.0" encoding="utf-8"?>
<ds:datastoreItem xmlns:ds="http://schemas.openxmlformats.org/officeDocument/2006/customXml" ds:itemID="{467E3578-C942-4A37-AB9F-B912D46FE2B0}"/>
</file>

<file path=customXml/itemProps4.xml><?xml version="1.0" encoding="utf-8"?>
<ds:datastoreItem xmlns:ds="http://schemas.openxmlformats.org/officeDocument/2006/customXml" ds:itemID="{54EC34F4-E89E-49B8-82C7-7EBA3848B22C}"/>
</file>

<file path=customXml/itemProps5.xml><?xml version="1.0" encoding="utf-8"?>
<ds:datastoreItem xmlns:ds="http://schemas.openxmlformats.org/officeDocument/2006/customXml" ds:itemID="{8ACA2E5B-E9CB-42F9-8BE8-754DCEB16ACE}"/>
</file>

<file path=docProps/app.xml><?xml version="1.0" encoding="utf-8"?>
<Properties xmlns="http://schemas.openxmlformats.org/officeDocument/2006/extended-properties" xmlns:vt="http://schemas.openxmlformats.org/officeDocument/2006/docPropsVTypes">
  <Template>Normal</Template>
  <TotalTime>0</TotalTime>
  <Pages>32</Pages>
  <Words>2557</Words>
  <Characters>14578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2014-03-21T16:12:00Z</dcterms:created>
  <dcterms:modified xsi:type="dcterms:W3CDTF">2014-04-14T23:21:00Z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0x0101006E56B4D1795A2E4DB2F0B01679ED314A007A7F72C347877B48BCA8E2980568BD2E</vt:lpwstr>
  </property>
  <property fmtid="{D5CDD505-2E9C-101B-9397-08002B2CF9AE}" pid="3" name="_docset_NoMedatataSyncRequired">
    <vt:lpwstr>False</vt:lpwstr>
  </property>
</Properties>
</file>