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ED" w:rsidRDefault="00C27AED" w:rsidP="00D95C60">
      <w:pPr>
        <w:jc w:val="center"/>
        <w:rPr>
          <w:b/>
        </w:rPr>
      </w:pPr>
    </w:p>
    <w:p w:rsidR="00C27AED" w:rsidRDefault="00C27AED" w:rsidP="00D95C60">
      <w:pPr>
        <w:jc w:val="center"/>
        <w:rPr>
          <w:b/>
        </w:rPr>
      </w:pPr>
    </w:p>
    <w:p w:rsidR="00C27AED" w:rsidRDefault="00C27AED" w:rsidP="00D95C60">
      <w:pPr>
        <w:jc w:val="center"/>
        <w:rPr>
          <w:b/>
        </w:rPr>
      </w:pPr>
    </w:p>
    <w:p w:rsidR="00245510" w:rsidRPr="00322FE1" w:rsidRDefault="00C27AED" w:rsidP="00D95C60">
      <w:pPr>
        <w:jc w:val="center"/>
        <w:rPr>
          <w:b/>
        </w:rPr>
      </w:pPr>
      <w:r>
        <w:rPr>
          <w:b/>
        </w:rPr>
        <w:t>2011</w:t>
      </w:r>
      <w:r w:rsidR="00D95C60" w:rsidRPr="00322FE1">
        <w:rPr>
          <w:b/>
        </w:rPr>
        <w:t xml:space="preserve"> ANNUAL REPORT OF SECURITIES TRANSACTIONS</w:t>
      </w:r>
    </w:p>
    <w:p w:rsidR="00D95C60" w:rsidRPr="00322FE1" w:rsidRDefault="00D95C60" w:rsidP="00D95C60">
      <w:pPr>
        <w:jc w:val="center"/>
        <w:rPr>
          <w:b/>
        </w:rPr>
      </w:pPr>
      <w:r w:rsidRPr="00322FE1">
        <w:rPr>
          <w:b/>
        </w:rPr>
        <w:t>TO THE</w:t>
      </w:r>
    </w:p>
    <w:p w:rsidR="00D95C60" w:rsidRPr="00322FE1" w:rsidRDefault="00D95C60" w:rsidP="00D95C60">
      <w:pPr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 w:rsidRPr="00322FE1">
            <w:rPr>
              <w:b/>
            </w:rPr>
            <w:t>WASHINGTON</w:t>
          </w:r>
        </w:smartTag>
      </w:smartTag>
      <w:r w:rsidRPr="00322FE1">
        <w:rPr>
          <w:b/>
        </w:rPr>
        <w:t xml:space="preserve"> UTILITIES </w:t>
      </w:r>
      <w:smartTag w:uri="urn:schemas-microsoft-com:office:smarttags" w:element="stockticker">
        <w:r w:rsidRPr="00322FE1">
          <w:rPr>
            <w:b/>
          </w:rPr>
          <w:t>AND</w:t>
        </w:r>
      </w:smartTag>
      <w:r w:rsidRPr="00322FE1">
        <w:rPr>
          <w:b/>
        </w:rPr>
        <w:t xml:space="preserve"> TRANSPORTATION COMMISSION</w:t>
      </w:r>
    </w:p>
    <w:p w:rsidR="00F30790" w:rsidRPr="00F30790" w:rsidRDefault="00F30790" w:rsidP="00D95C60"/>
    <w:p w:rsidR="00D95C60" w:rsidRPr="00F30790" w:rsidRDefault="00D95C60" w:rsidP="00D95C60">
      <w:r w:rsidRPr="00F30790">
        <w:t xml:space="preserve">This report sets forth the information required by </w:t>
      </w:r>
      <w:smartTag w:uri="urn:schemas-microsoft-com:office:smarttags" w:element="stockticker">
        <w:r w:rsidRPr="00F30790">
          <w:t>WAC</w:t>
        </w:r>
      </w:smartTag>
      <w:r w:rsidRPr="00F30790">
        <w:t xml:space="preserve"> 480-100-262 for the securities transactions of PacifiCorp (“</w:t>
      </w:r>
      <w:r w:rsidR="00EE2692">
        <w:t xml:space="preserve">the </w:t>
      </w:r>
      <w:r w:rsidRPr="00F30790">
        <w:t>Company”) during calendar year 2</w:t>
      </w:r>
      <w:r w:rsidR="00C27AED">
        <w:t>011</w:t>
      </w:r>
      <w:r w:rsidRPr="00F30790">
        <w:t>.</w:t>
      </w:r>
    </w:p>
    <w:p w:rsidR="00D95C60" w:rsidRPr="00F30790" w:rsidRDefault="00D95C60" w:rsidP="00D95C60"/>
    <w:p w:rsidR="00D95C60" w:rsidRDefault="00D95C60" w:rsidP="00D95C60">
      <w:pPr>
        <w:rPr>
          <w:b/>
          <w:u w:val="single"/>
        </w:rPr>
      </w:pPr>
      <w:r w:rsidRPr="00F30790">
        <w:rPr>
          <w:b/>
          <w:u w:val="single"/>
        </w:rPr>
        <w:t>Securities Transactions</w:t>
      </w:r>
    </w:p>
    <w:p w:rsidR="00C27AED" w:rsidRDefault="00C27AED" w:rsidP="00D95C60">
      <w:pPr>
        <w:rPr>
          <w:b/>
          <w:u w:val="single"/>
        </w:rPr>
      </w:pPr>
    </w:p>
    <w:p w:rsidR="00C27AED" w:rsidRPr="00F30790" w:rsidRDefault="00C27AED" w:rsidP="00C27AED">
      <w:pPr>
        <w:rPr>
          <w:b/>
          <w:u w:val="single"/>
        </w:rPr>
      </w:pPr>
      <w:r w:rsidRPr="00F30790">
        <w:rPr>
          <w:b/>
          <w:u w:val="single"/>
        </w:rPr>
        <w:t>Issuance</w:t>
      </w:r>
      <w:r>
        <w:rPr>
          <w:b/>
          <w:u w:val="single"/>
        </w:rPr>
        <w:t>s</w:t>
      </w:r>
      <w:r w:rsidRPr="00F30790">
        <w:rPr>
          <w:b/>
          <w:u w:val="single"/>
        </w:rPr>
        <w:t xml:space="preserve"> of Long-Term Debt</w:t>
      </w:r>
    </w:p>
    <w:p w:rsidR="00C27AED" w:rsidRPr="00F30790" w:rsidRDefault="00C27AED" w:rsidP="00C27AED">
      <w:pPr>
        <w:rPr>
          <w:u w:val="single"/>
        </w:rPr>
      </w:pPr>
    </w:p>
    <w:p w:rsidR="00C27AED" w:rsidRPr="00F30790" w:rsidRDefault="00C27AED" w:rsidP="00C27AED">
      <w:r>
        <w:t>On May 12, 2011, the Company issued $400</w:t>
      </w:r>
      <w:r w:rsidRPr="00F30790">
        <w:t>.0 million</w:t>
      </w:r>
      <w:r>
        <w:t xml:space="preserve"> </w:t>
      </w:r>
      <w:r w:rsidRPr="00F30790">
        <w:t>of</w:t>
      </w:r>
      <w:r>
        <w:t xml:space="preserve"> its 3.85</w:t>
      </w:r>
      <w:r w:rsidRPr="00F30790">
        <w:t>%</w:t>
      </w:r>
      <w:r>
        <w:t xml:space="preserve"> First Mortgage Bonds due June 15, 2021</w:t>
      </w:r>
      <w:r w:rsidRPr="00F30790">
        <w:t>.  Enclosed as Exhib</w:t>
      </w:r>
      <w:r>
        <w:t>it A, is the</w:t>
      </w:r>
      <w:r w:rsidR="00730626">
        <w:t xml:space="preserve"> Prospectus Supplement for this</w:t>
      </w:r>
      <w:r w:rsidRPr="00F30790">
        <w:t xml:space="preserve"> bond issuance.</w:t>
      </w:r>
      <w:r w:rsidR="00FC704F">
        <w:t xml:space="preserve"> Other key documents related to this offering were submitted May 24, 20</w:t>
      </w:r>
      <w:r w:rsidR="00611BE1">
        <w:t xml:space="preserve">11 to the WUTC under Docket No. </w:t>
      </w:r>
      <w:r w:rsidR="00FC704F">
        <w:t>UE-110839.</w:t>
      </w:r>
    </w:p>
    <w:p w:rsidR="00C27AED" w:rsidRPr="00F30790" w:rsidRDefault="00C27AED" w:rsidP="00C27AED"/>
    <w:p w:rsidR="00C27AED" w:rsidRPr="00F30790" w:rsidRDefault="00C27AED" w:rsidP="00C27AED">
      <w:pPr>
        <w:rPr>
          <w:u w:val="single"/>
        </w:rPr>
      </w:pPr>
      <w:r w:rsidRPr="00F30790">
        <w:rPr>
          <w:u w:val="single"/>
        </w:rPr>
        <w:t>Use of Proceeds</w:t>
      </w:r>
    </w:p>
    <w:p w:rsidR="00C27AED" w:rsidRPr="00F30790" w:rsidRDefault="00C27AED" w:rsidP="00C27AED">
      <w:r w:rsidRPr="00F30790">
        <w:t>The net proceeds were used</w:t>
      </w:r>
      <w:r>
        <w:t xml:space="preserve"> to repay short-term debt, fund capital expenditures and</w:t>
      </w:r>
      <w:r w:rsidRPr="00F30790">
        <w:t xml:space="preserve"> for general corporate purposes</w:t>
      </w:r>
      <w:r>
        <w:t>.</w:t>
      </w:r>
    </w:p>
    <w:p w:rsidR="00C27AED" w:rsidRPr="00F30790" w:rsidRDefault="00C27AED" w:rsidP="00C27AED"/>
    <w:p w:rsidR="00C27AED" w:rsidRPr="00F30790" w:rsidRDefault="00C27AED" w:rsidP="00C27AED">
      <w:pPr>
        <w:rPr>
          <w:u w:val="single"/>
        </w:rPr>
      </w:pPr>
      <w:r w:rsidRPr="00F30790">
        <w:rPr>
          <w:u w:val="single"/>
        </w:rPr>
        <w:t>Level of Expenses</w:t>
      </w:r>
    </w:p>
    <w:p w:rsidR="00C27AED" w:rsidRDefault="00C27AED" w:rsidP="00C27AED">
      <w:r w:rsidRPr="00F30790">
        <w:t>Fees and expenses paid</w:t>
      </w:r>
      <w:r>
        <w:t xml:space="preserve"> to date </w:t>
      </w:r>
      <w:r w:rsidRPr="00F30790">
        <w:t>in conne</w:t>
      </w:r>
      <w:r>
        <w:t>cti</w:t>
      </w:r>
      <w:r w:rsidR="009832D4">
        <w:t>on with the issuance of the 3.85</w:t>
      </w:r>
      <w:r w:rsidRPr="00F30790">
        <w:t>%</w:t>
      </w:r>
      <w:r w:rsidR="009832D4">
        <w:t xml:space="preserve"> </w:t>
      </w:r>
      <w:r w:rsidRPr="00F30790">
        <w:t xml:space="preserve">First Mortgage Bonds </w:t>
      </w:r>
      <w:r>
        <w:t>are</w:t>
      </w:r>
      <w:r w:rsidRPr="00F30790">
        <w:t xml:space="preserve"> as follows:</w:t>
      </w:r>
    </w:p>
    <w:p w:rsidR="00C27AED" w:rsidRPr="00F30790" w:rsidRDefault="00C27AED" w:rsidP="00C27AED"/>
    <w:p w:rsidR="00C27AED" w:rsidRDefault="00C27AED" w:rsidP="00D95C60">
      <w:pPr>
        <w:rPr>
          <w:b/>
          <w:u w:val="single"/>
        </w:rPr>
      </w:pPr>
    </w:p>
    <w:p w:rsidR="00C27AED" w:rsidRDefault="009859AB" w:rsidP="009859AB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2771775" cy="2724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C60" w:rsidRPr="00F30790" w:rsidRDefault="00D95C60" w:rsidP="00D95C60"/>
    <w:p w:rsidR="006D1010" w:rsidRDefault="006D1010" w:rsidP="00D95C60">
      <w:pPr>
        <w:rPr>
          <w:b/>
          <w:u w:val="single"/>
        </w:rPr>
      </w:pPr>
    </w:p>
    <w:p w:rsidR="00C27AED" w:rsidRDefault="00C27AED" w:rsidP="00D95C60">
      <w:pPr>
        <w:rPr>
          <w:b/>
          <w:u w:val="single"/>
        </w:rPr>
      </w:pPr>
    </w:p>
    <w:p w:rsidR="00C27AED" w:rsidRDefault="00C27AED" w:rsidP="00D95C60">
      <w:pPr>
        <w:rPr>
          <w:b/>
          <w:u w:val="single"/>
        </w:rPr>
      </w:pPr>
    </w:p>
    <w:p w:rsidR="00AB5DA1" w:rsidRDefault="00AB5DA1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132D15" w:rsidRPr="00F30790" w:rsidRDefault="00132D15" w:rsidP="00D95C60">
      <w:pPr>
        <w:rPr>
          <w:b/>
          <w:u w:val="single"/>
        </w:rPr>
      </w:pPr>
      <w:r w:rsidRPr="00F30790">
        <w:rPr>
          <w:b/>
          <w:u w:val="single"/>
        </w:rPr>
        <w:t>Issuance</w:t>
      </w:r>
      <w:r w:rsidR="004B2DD1">
        <w:rPr>
          <w:b/>
          <w:u w:val="single"/>
        </w:rPr>
        <w:t>s</w:t>
      </w:r>
      <w:r w:rsidRPr="00F30790">
        <w:rPr>
          <w:b/>
          <w:u w:val="single"/>
        </w:rPr>
        <w:t xml:space="preserve"> of Short-Term Debt</w:t>
      </w:r>
    </w:p>
    <w:p w:rsidR="00132D15" w:rsidRPr="00F30790" w:rsidRDefault="00132D15" w:rsidP="00D95C60"/>
    <w:p w:rsidR="009859AB" w:rsidRDefault="00FE7BFC" w:rsidP="00D95C60">
      <w:r w:rsidRPr="00F30790">
        <w:t xml:space="preserve">Below is a summary of </w:t>
      </w:r>
      <w:r w:rsidR="0099136A">
        <w:t xml:space="preserve">commercial paper </w:t>
      </w:r>
      <w:r w:rsidR="00CF0ABD" w:rsidRPr="00F30790">
        <w:t>activity</w:t>
      </w:r>
      <w:r w:rsidRPr="00F30790">
        <w:t xml:space="preserve"> </w:t>
      </w:r>
      <w:r w:rsidR="00CF0ABD" w:rsidRPr="00F30790">
        <w:t>for the 1</w:t>
      </w:r>
      <w:r w:rsidR="00C32D30">
        <w:t xml:space="preserve">2 months ended </w:t>
      </w:r>
    </w:p>
    <w:p w:rsidR="00CF0ABD" w:rsidRPr="00F30790" w:rsidRDefault="00C32D30" w:rsidP="00D95C60">
      <w:r>
        <w:t>December 31,</w:t>
      </w:r>
      <w:r w:rsidR="00102951">
        <w:t xml:space="preserve"> 2</w:t>
      </w:r>
      <w:r w:rsidR="00FF44FF">
        <w:t>011</w:t>
      </w:r>
      <w:r w:rsidR="00CF0ABD" w:rsidRPr="00F30790">
        <w:t>.  The proceeds were used for general corporate purposes and there were no direct fees or expenses paid in connection with the issuance of commercial paper</w:t>
      </w:r>
      <w:r w:rsidR="0099136A">
        <w:t xml:space="preserve">. There were no short-term borrowing draws </w:t>
      </w:r>
      <w:r w:rsidR="00D66C5D">
        <w:t>on bank lines of credit</w:t>
      </w:r>
      <w:r w:rsidR="00FF44FF">
        <w:t xml:space="preserve"> during 2011</w:t>
      </w:r>
      <w:r w:rsidR="00CF0ABD" w:rsidRPr="00F30790">
        <w:t>.</w:t>
      </w:r>
    </w:p>
    <w:p w:rsidR="00AA511F" w:rsidRPr="00F30790" w:rsidRDefault="00AA511F" w:rsidP="00D95C60"/>
    <w:p w:rsidR="00AA511F" w:rsidRPr="00D66C5D" w:rsidRDefault="009859AB" w:rsidP="009859AB">
      <w:pPr>
        <w:jc w:val="center"/>
      </w:pPr>
      <w:r>
        <w:rPr>
          <w:noProof/>
        </w:rPr>
        <w:drawing>
          <wp:inline distT="0" distB="0" distL="0" distR="0">
            <wp:extent cx="4695825" cy="34099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1F" w:rsidRDefault="00AA511F" w:rsidP="00D95C60"/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4B2DD1" w:rsidRDefault="00FF44FF" w:rsidP="009859AB">
      <w:pPr>
        <w:jc w:val="center"/>
        <w:rPr>
          <w:b/>
          <w:u w:val="single"/>
        </w:rPr>
      </w:pPr>
      <w:r>
        <w:rPr>
          <w:b/>
          <w:u w:val="single"/>
        </w:rPr>
        <w:t>S</w:t>
      </w:r>
      <w:r w:rsidR="00F30790" w:rsidRPr="00F30790">
        <w:rPr>
          <w:b/>
          <w:u w:val="single"/>
        </w:rPr>
        <w:t>ecurities R</w:t>
      </w:r>
      <w:r w:rsidR="003378C3">
        <w:rPr>
          <w:b/>
          <w:u w:val="single"/>
        </w:rPr>
        <w:t xml:space="preserve">etired </w:t>
      </w:r>
      <w:r w:rsidR="00F30790" w:rsidRPr="00F30790">
        <w:rPr>
          <w:b/>
          <w:u w:val="single"/>
        </w:rPr>
        <w:t xml:space="preserve">during </w:t>
      </w:r>
      <w:r w:rsidR="003378C3">
        <w:rPr>
          <w:b/>
          <w:u w:val="single"/>
        </w:rPr>
        <w:t>1</w:t>
      </w:r>
      <w:r w:rsidR="00D66C5D">
        <w:rPr>
          <w:b/>
          <w:u w:val="single"/>
        </w:rPr>
        <w:t>2 months ended De</w:t>
      </w:r>
      <w:r>
        <w:rPr>
          <w:b/>
          <w:u w:val="single"/>
        </w:rPr>
        <w:t>cember 31, 2011</w:t>
      </w:r>
    </w:p>
    <w:p w:rsidR="009E7158" w:rsidRDefault="009E7158" w:rsidP="00D95C60">
      <w:pPr>
        <w:rPr>
          <w:b/>
          <w:u w:val="single"/>
        </w:rPr>
      </w:pPr>
    </w:p>
    <w:p w:rsidR="004D63C0" w:rsidRDefault="009859AB" w:rsidP="009859AB">
      <w:pPr>
        <w:jc w:val="center"/>
      </w:pPr>
      <w:r>
        <w:rPr>
          <w:noProof/>
        </w:rPr>
        <w:drawing>
          <wp:inline distT="0" distB="0" distL="0" distR="0">
            <wp:extent cx="3457575" cy="30861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4E" w:rsidRDefault="00DA644E" w:rsidP="00D95C60"/>
    <w:p w:rsidR="00DA644E" w:rsidRDefault="00DA644E" w:rsidP="00D95C60">
      <w:pPr>
        <w:rPr>
          <w:b/>
          <w:u w:val="single"/>
        </w:rPr>
      </w:pPr>
    </w:p>
    <w:p w:rsidR="00FF44FF" w:rsidRDefault="00FF44FF" w:rsidP="00D95C60">
      <w:pPr>
        <w:rPr>
          <w:b/>
          <w:u w:val="single"/>
        </w:rPr>
      </w:pPr>
    </w:p>
    <w:p w:rsidR="009E7158" w:rsidRDefault="004B2DD1" w:rsidP="009859AB">
      <w:pPr>
        <w:jc w:val="center"/>
        <w:rPr>
          <w:b/>
          <w:u w:val="single"/>
        </w:rPr>
      </w:pPr>
      <w:r w:rsidRPr="00966A4E">
        <w:rPr>
          <w:b/>
          <w:u w:val="single"/>
        </w:rPr>
        <w:t>Securities Scheduled to Mature during 1</w:t>
      </w:r>
      <w:r w:rsidR="0099136A">
        <w:rPr>
          <w:b/>
          <w:u w:val="single"/>
        </w:rPr>
        <w:t>2 months ended</w:t>
      </w:r>
      <w:r w:rsidR="00FF44FF">
        <w:rPr>
          <w:b/>
          <w:u w:val="single"/>
        </w:rPr>
        <w:t xml:space="preserve"> December 31, 2012</w:t>
      </w:r>
    </w:p>
    <w:p w:rsidR="009E7158" w:rsidRDefault="009E7158" w:rsidP="00D95C60">
      <w:pPr>
        <w:rPr>
          <w:b/>
          <w:u w:val="single"/>
        </w:rPr>
      </w:pPr>
    </w:p>
    <w:p w:rsidR="000C4B05" w:rsidRDefault="009859AB" w:rsidP="009859AB">
      <w:pPr>
        <w:jc w:val="center"/>
      </w:pPr>
      <w:r>
        <w:rPr>
          <w:noProof/>
        </w:rPr>
        <w:drawing>
          <wp:inline distT="0" distB="0" distL="0" distR="0">
            <wp:extent cx="3457575" cy="26860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FF" w:rsidRDefault="00FF44FF" w:rsidP="00D95C60"/>
    <w:p w:rsidR="00FF44FF" w:rsidRDefault="00FF44FF" w:rsidP="00D95C60"/>
    <w:p w:rsidR="00FF44FF" w:rsidRDefault="00FF44FF" w:rsidP="00D95C60"/>
    <w:p w:rsidR="00FF44FF" w:rsidRDefault="00FF44FF" w:rsidP="00D95C60"/>
    <w:p w:rsidR="00FF44FF" w:rsidRDefault="00FF44FF" w:rsidP="00D95C60"/>
    <w:p w:rsidR="00FF44FF" w:rsidRDefault="00FF44FF" w:rsidP="00D95C60"/>
    <w:p w:rsidR="00FF44FF" w:rsidRDefault="00FF44FF" w:rsidP="00D95C60"/>
    <w:p w:rsidR="009859AB" w:rsidRDefault="0076172C" w:rsidP="009859AB">
      <w:pPr>
        <w:jc w:val="both"/>
      </w:pPr>
      <w:r>
        <w:t>In addition to the</w:t>
      </w:r>
      <w:r w:rsidR="001153A0">
        <w:t xml:space="preserve"> scheduled maturities during 2012, PacifiCorp </w:t>
      </w:r>
      <w:r w:rsidR="00184EE7">
        <w:t>redeemed</w:t>
      </w:r>
      <w:r w:rsidR="001153A0">
        <w:t xml:space="preserve"> on </w:t>
      </w:r>
    </w:p>
    <w:p w:rsidR="009859AB" w:rsidRDefault="001153A0" w:rsidP="009859AB">
      <w:pPr>
        <w:jc w:val="both"/>
      </w:pPr>
      <w:r>
        <w:t>March 30, 2012</w:t>
      </w:r>
      <w:r w:rsidR="00F02EC5">
        <w:t xml:space="preserve"> </w:t>
      </w:r>
      <w:r>
        <w:t xml:space="preserve">the following four series of Pollution Control Revenue Bond </w:t>
      </w:r>
    </w:p>
    <w:p w:rsidR="00583765" w:rsidRDefault="001153A0" w:rsidP="009859AB">
      <w:pPr>
        <w:jc w:val="both"/>
      </w:pPr>
      <w:r>
        <w:t>ob</w:t>
      </w:r>
      <w:r w:rsidR="00730626">
        <w:t>ligations</w:t>
      </w:r>
      <w:r w:rsidR="0076172C">
        <w:t>,</w:t>
      </w:r>
      <w:r w:rsidR="00611BE1">
        <w:t xml:space="preserve"> consistent with the intent disclosed in the</w:t>
      </w:r>
      <w:r w:rsidR="0076172C">
        <w:t xml:space="preserve"> submission to the </w:t>
      </w:r>
    </w:p>
    <w:p w:rsidR="001153A0" w:rsidRDefault="0076172C" w:rsidP="009859AB">
      <w:pPr>
        <w:jc w:val="both"/>
      </w:pPr>
      <w:r>
        <w:t>WUTC on February 28</w:t>
      </w:r>
      <w:r w:rsidR="00611BE1">
        <w:t>,</w:t>
      </w:r>
      <w:r w:rsidR="00E32064">
        <w:t xml:space="preserve"> </w:t>
      </w:r>
      <w:r w:rsidR="00611BE1">
        <w:t>2012</w:t>
      </w:r>
      <w:r>
        <w:t>.</w:t>
      </w:r>
      <w:r w:rsidR="00E32064">
        <w:t xml:space="preserve"> </w:t>
      </w:r>
    </w:p>
    <w:p w:rsidR="0076172C" w:rsidRDefault="0076172C" w:rsidP="00FF44FF"/>
    <w:p w:rsidR="001153A0" w:rsidRPr="00F30790" w:rsidRDefault="009859AB" w:rsidP="009859AB">
      <w:pPr>
        <w:jc w:val="center"/>
      </w:pPr>
      <w:r>
        <w:rPr>
          <w:noProof/>
        </w:rPr>
        <w:drawing>
          <wp:inline distT="0" distB="0" distL="0" distR="0">
            <wp:extent cx="3533775" cy="6572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FF" w:rsidRDefault="00FF44FF" w:rsidP="00D95C60"/>
    <w:p w:rsidR="00FF44FF" w:rsidRPr="00D66C5D" w:rsidRDefault="00FF44FF" w:rsidP="00D95C60">
      <w:pPr>
        <w:rPr>
          <w:b/>
          <w:u w:val="single"/>
        </w:rPr>
      </w:pPr>
    </w:p>
    <w:sectPr w:rsidR="00FF44FF" w:rsidRPr="00D66C5D" w:rsidSect="00393C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C4" w:rsidRDefault="002279C4">
      <w:r>
        <w:separator/>
      </w:r>
    </w:p>
  </w:endnote>
  <w:endnote w:type="continuationSeparator" w:id="0">
    <w:p w:rsidR="002279C4" w:rsidRDefault="00227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C8" w:rsidRDefault="003859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20860"/>
      <w:docPartObj>
        <w:docPartGallery w:val="Page Numbers (Bottom of Page)"/>
        <w:docPartUnique/>
      </w:docPartObj>
    </w:sdtPr>
    <w:sdtContent>
      <w:p w:rsidR="00D70BF0" w:rsidRDefault="00B05134">
        <w:pPr>
          <w:pStyle w:val="Footer"/>
          <w:jc w:val="center"/>
        </w:pPr>
        <w:fldSimple w:instr=" PAGE   \* MERGEFORMAT ">
          <w:r w:rsidR="003859C8">
            <w:rPr>
              <w:noProof/>
            </w:rPr>
            <w:t>1</w:t>
          </w:r>
        </w:fldSimple>
      </w:p>
    </w:sdtContent>
  </w:sdt>
  <w:p w:rsidR="00D70BF0" w:rsidRDefault="00D70B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C8" w:rsidRDefault="00385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C4" w:rsidRDefault="002279C4">
      <w:r>
        <w:separator/>
      </w:r>
    </w:p>
  </w:footnote>
  <w:footnote w:type="continuationSeparator" w:id="0">
    <w:p w:rsidR="002279C4" w:rsidRDefault="00227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C8" w:rsidRDefault="003859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C8" w:rsidRDefault="003859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C8" w:rsidRDefault="003859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45510"/>
    <w:rsid w:val="0005296D"/>
    <w:rsid w:val="000759EE"/>
    <w:rsid w:val="00084E9E"/>
    <w:rsid w:val="00091372"/>
    <w:rsid w:val="000C4B05"/>
    <w:rsid w:val="00102951"/>
    <w:rsid w:val="001153A0"/>
    <w:rsid w:val="00132D15"/>
    <w:rsid w:val="00151A54"/>
    <w:rsid w:val="00184EE7"/>
    <w:rsid w:val="001A4B2F"/>
    <w:rsid w:val="001A7606"/>
    <w:rsid w:val="002279C4"/>
    <w:rsid w:val="00245510"/>
    <w:rsid w:val="002714A0"/>
    <w:rsid w:val="002A7277"/>
    <w:rsid w:val="002B304B"/>
    <w:rsid w:val="002F1DC2"/>
    <w:rsid w:val="00322FE1"/>
    <w:rsid w:val="00330571"/>
    <w:rsid w:val="003378C3"/>
    <w:rsid w:val="00354067"/>
    <w:rsid w:val="003663A2"/>
    <w:rsid w:val="003859C8"/>
    <w:rsid w:val="00393C05"/>
    <w:rsid w:val="00415C0B"/>
    <w:rsid w:val="004A42D0"/>
    <w:rsid w:val="004B2DD1"/>
    <w:rsid w:val="004D63C0"/>
    <w:rsid w:val="004F27ED"/>
    <w:rsid w:val="00557997"/>
    <w:rsid w:val="00574264"/>
    <w:rsid w:val="00583765"/>
    <w:rsid w:val="005A26C2"/>
    <w:rsid w:val="005B2994"/>
    <w:rsid w:val="005C2378"/>
    <w:rsid w:val="00611BE1"/>
    <w:rsid w:val="00652C16"/>
    <w:rsid w:val="00654DA8"/>
    <w:rsid w:val="006A03BD"/>
    <w:rsid w:val="006D1010"/>
    <w:rsid w:val="00730626"/>
    <w:rsid w:val="0076172C"/>
    <w:rsid w:val="00775731"/>
    <w:rsid w:val="008716DC"/>
    <w:rsid w:val="0088038C"/>
    <w:rsid w:val="00885D57"/>
    <w:rsid w:val="00906E23"/>
    <w:rsid w:val="00920657"/>
    <w:rsid w:val="00966A4E"/>
    <w:rsid w:val="00973948"/>
    <w:rsid w:val="009832D4"/>
    <w:rsid w:val="009859AB"/>
    <w:rsid w:val="0099136A"/>
    <w:rsid w:val="00992849"/>
    <w:rsid w:val="009E7158"/>
    <w:rsid w:val="00A05E04"/>
    <w:rsid w:val="00A40002"/>
    <w:rsid w:val="00AA511F"/>
    <w:rsid w:val="00AA7C42"/>
    <w:rsid w:val="00AB0457"/>
    <w:rsid w:val="00AB5DA1"/>
    <w:rsid w:val="00B05134"/>
    <w:rsid w:val="00B455A4"/>
    <w:rsid w:val="00B92484"/>
    <w:rsid w:val="00BA5C69"/>
    <w:rsid w:val="00BC59DF"/>
    <w:rsid w:val="00C27AED"/>
    <w:rsid w:val="00C32D30"/>
    <w:rsid w:val="00C53E4A"/>
    <w:rsid w:val="00C84A96"/>
    <w:rsid w:val="00C90E59"/>
    <w:rsid w:val="00CA2700"/>
    <w:rsid w:val="00CC40AD"/>
    <w:rsid w:val="00CD3538"/>
    <w:rsid w:val="00CE10E4"/>
    <w:rsid w:val="00CF0ABD"/>
    <w:rsid w:val="00D31D7E"/>
    <w:rsid w:val="00D34F1C"/>
    <w:rsid w:val="00D66C5D"/>
    <w:rsid w:val="00D70BF0"/>
    <w:rsid w:val="00D95C60"/>
    <w:rsid w:val="00D97462"/>
    <w:rsid w:val="00DA644E"/>
    <w:rsid w:val="00DB4B4D"/>
    <w:rsid w:val="00DE371C"/>
    <w:rsid w:val="00DF767F"/>
    <w:rsid w:val="00E0693D"/>
    <w:rsid w:val="00E20CD9"/>
    <w:rsid w:val="00E32064"/>
    <w:rsid w:val="00E372FB"/>
    <w:rsid w:val="00E859FB"/>
    <w:rsid w:val="00E9560E"/>
    <w:rsid w:val="00EC1A26"/>
    <w:rsid w:val="00EE2692"/>
    <w:rsid w:val="00F02EC5"/>
    <w:rsid w:val="00F2349A"/>
    <w:rsid w:val="00F30410"/>
    <w:rsid w:val="00F30790"/>
    <w:rsid w:val="00F45E88"/>
    <w:rsid w:val="00FC704F"/>
    <w:rsid w:val="00FE7BFC"/>
    <w:rsid w:val="00FF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2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2F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2F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B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2012-05-18T07:00:00+00:00</OpenedDate>
    <Date1 xmlns="dc463f71-b30c-4ab2-9473-d307f9d35888">2012-05-18T07:00:00+00:00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120732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3C2DF9C699684ABAAC03B13684D0DA" ma:contentTypeVersion="139" ma:contentTypeDescription="" ma:contentTypeScope="" ma:versionID="9ecc77ed1845f79dae5945f6019c8f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69376ED-A8C0-4DEE-BCFC-F968C6D2CD9A}"/>
</file>

<file path=customXml/itemProps2.xml><?xml version="1.0" encoding="utf-8"?>
<ds:datastoreItem xmlns:ds="http://schemas.openxmlformats.org/officeDocument/2006/customXml" ds:itemID="{7692DED9-7F6C-4B5A-AB5B-9FBCC6C953FF}"/>
</file>

<file path=customXml/itemProps3.xml><?xml version="1.0" encoding="utf-8"?>
<ds:datastoreItem xmlns:ds="http://schemas.openxmlformats.org/officeDocument/2006/customXml" ds:itemID="{F5EEFFCF-D69B-4A94-B401-65EF0D414D83}"/>
</file>

<file path=customXml/itemProps4.xml><?xml version="1.0" encoding="utf-8"?>
<ds:datastoreItem xmlns:ds="http://schemas.openxmlformats.org/officeDocument/2006/customXml" ds:itemID="{6CEF5254-748A-48EB-B7DB-04D126C4FC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2012-05-18T21:11:00Z</dcterms:created>
  <dcterms:modified xsi:type="dcterms:W3CDTF">2012-05-18T21:11:00Z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0x0101006E56B4D1795A2E4DB2F0B01679ED314A007A3C2DF9C699684ABAAC03B13684D0DA</vt:lpwstr>
  </property>
  <property fmtid="{D5CDD505-2E9C-101B-9397-08002B2CF9AE}" pid="4" name="_docset_NoMedatataSyncRequired">
    <vt:lpwstr>False</vt:lpwstr>
  </property>
</Properties>
</file>