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FFD9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3649FFDA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3649FFDB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3649FFF0" w14:textId="77777777" w:rsidTr="006F687D">
        <w:tc>
          <w:tcPr>
            <w:tcW w:w="4068" w:type="dxa"/>
          </w:tcPr>
          <w:p w14:paraId="3649FFD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3649FFDD" w14:textId="77777777" w:rsidR="00EF6E08" w:rsidRDefault="00EF6E08" w:rsidP="00EF6E08"/>
          <w:p w14:paraId="3649FFDE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EA2048">
              <w:t>ComTech 21, LLC</w:t>
            </w:r>
            <w:bookmarkEnd w:id="1"/>
            <w:r>
              <w:fldChar w:fldCharType="end"/>
            </w:r>
            <w:fldSimple w:instr=" REF company1_name \* UPPER \* MERGEFORMAT ">
              <w:r w:rsidR="00512455">
                <w:t>COMTECH 21, LLC</w:t>
              </w:r>
            </w:fldSimple>
            <w:r w:rsidR="00EF6E08">
              <w:t>,</w:t>
            </w:r>
          </w:p>
          <w:p w14:paraId="3649FFDF" w14:textId="77777777" w:rsidR="00EF6E08" w:rsidRDefault="00EF6E08" w:rsidP="00EF6E08"/>
          <w:p w14:paraId="3649FFE0" w14:textId="77777777" w:rsidR="00EF6E08" w:rsidRDefault="00EF6E08" w:rsidP="00EF6E08">
            <w:r>
              <w:t xml:space="preserve">                 Petitioner,</w:t>
            </w:r>
          </w:p>
          <w:p w14:paraId="3649FFE1" w14:textId="77777777" w:rsidR="00EF6E08" w:rsidRDefault="00EF6E08" w:rsidP="00EF6E08"/>
          <w:p w14:paraId="3649FFE2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EA2048">
              <w:rPr>
                <w:color w:val="000000"/>
              </w:rPr>
              <w:t>2011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12455">
              <w:rPr>
                <w:color w:val="000000"/>
              </w:rPr>
              <w:t>2011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EA2048">
              <w:rPr>
                <w:color w:val="000000"/>
              </w:rPr>
              <w:t>2012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512455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3649FFE3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3649FFE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649FFE5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3649FFE6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EA2048">
              <w:rPr>
                <w:bCs/>
                <w:u w:val="none"/>
              </w:rPr>
              <w:t>UT-120335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512455">
              <w:rPr>
                <w:bCs/>
                <w:u w:val="none"/>
              </w:rPr>
              <w:t>UT-120335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3649FFE7" w14:textId="77777777" w:rsidR="00EF6E08" w:rsidRDefault="00EF6E08" w:rsidP="00EF6E08"/>
          <w:p w14:paraId="3649FFEA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EA2048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512455">
                <w:t>01</w:t>
              </w:r>
            </w:fldSimple>
          </w:p>
          <w:p w14:paraId="3649FFEB" w14:textId="77777777" w:rsidR="00EF6E08" w:rsidRDefault="00EF6E08" w:rsidP="00EF6E08"/>
          <w:p w14:paraId="3649FFEC" w14:textId="77777777" w:rsidR="00EF6E08" w:rsidRDefault="00EF6E08" w:rsidP="00EF6E08"/>
          <w:p w14:paraId="3649FFED" w14:textId="77777777" w:rsidR="00EF6E08" w:rsidRDefault="00EF6E08" w:rsidP="00EF6E08"/>
          <w:p w14:paraId="6B80D83F" w14:textId="77777777" w:rsidR="005155EC" w:rsidRDefault="005155EC" w:rsidP="00EF6E08"/>
          <w:p w14:paraId="48F4E38B" w14:textId="77777777" w:rsidR="005155EC" w:rsidRDefault="005155EC" w:rsidP="00EF6E08"/>
          <w:p w14:paraId="3649FFEE" w14:textId="77777777" w:rsidR="00EF6E08" w:rsidRDefault="00EF6E08" w:rsidP="00EF6E08">
            <w:r>
              <w:t xml:space="preserve">ORDER GRANTING </w:t>
            </w:r>
            <w:r w:rsidR="005444D2">
              <w:t xml:space="preserve"> </w:t>
            </w:r>
            <w:r>
              <w:t>EXEMPTION FROM RULE; GRANTING COMPANY ADDITIONAL TIME TO FILE ANNUAL REPORT</w:t>
            </w:r>
          </w:p>
          <w:p w14:paraId="3649FFEF" w14:textId="77777777" w:rsidR="00EF6E08" w:rsidRPr="00EF6E08" w:rsidRDefault="00EF6E08" w:rsidP="00EF6E08"/>
        </w:tc>
      </w:tr>
    </w:tbl>
    <w:p w14:paraId="3649FFF1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3649FFF2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3649FFF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649FFF4" w14:textId="3DFC2A31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EA2048">
        <w:t>March 12, 2012</w:t>
      </w:r>
      <w:bookmarkEnd w:id="6"/>
      <w:r w:rsidR="00DC6722">
        <w:fldChar w:fldCharType="end"/>
      </w:r>
      <w:fldSimple w:instr=" ref filing_date \* MERGEFORMAT">
        <w:r w:rsidR="00512455">
          <w:t>March 12, 2012</w:t>
        </w:r>
      </w:fldSimple>
      <w:r w:rsidRPr="008809CC">
        <w:t xml:space="preserve">, </w:t>
      </w:r>
      <w:r w:rsidR="00107D55">
        <w:fldChar w:fldCharType="begin"/>
      </w:r>
      <w:r w:rsidR="00107D55">
        <w:instrText xml:space="preserve"> REF company1_name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21, LLC</w:t>
      </w:r>
      <w:r w:rsidR="00107D55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EA2048">
        <w:t>ComTech 21</w:t>
      </w:r>
      <w:bookmarkEnd w:id="7"/>
      <w:r w:rsidR="00DC6722">
        <w:fldChar w:fldCharType="end"/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74184A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512455">
          <w:rPr>
            <w:color w:val="000000"/>
          </w:rPr>
          <w:t>2011</w:t>
        </w:r>
      </w:fldSimple>
      <w:r>
        <w:t xml:space="preserve"> as required by </w:t>
      </w:r>
      <w:hyperlink r:id="rId11" w:history="1">
        <w:r w:rsidRPr="000D08C8">
          <w:rPr>
            <w:rStyle w:val="Hyperlink"/>
            <w:color w:val="auto"/>
          </w:rPr>
          <w:t>WAC 480-120-382</w:t>
        </w:r>
      </w:hyperlink>
      <w:r w:rsidRPr="000D08C8">
        <w:t>.</w:t>
      </w:r>
      <w:r w:rsidRPr="008809CC">
        <w:t xml:space="preserve">  According to</w:t>
      </w:r>
      <w:r w:rsidR="001A65E9">
        <w:t xml:space="preserve"> </w:t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Pr="008809CC">
        <w:t xml:space="preserve">, </w:t>
      </w:r>
      <w:r w:rsidR="00EA2048">
        <w:rPr>
          <w:bCs/>
        </w:rPr>
        <w:t>financial</w:t>
      </w:r>
      <w:r w:rsidR="00DC242C">
        <w:rPr>
          <w:bCs/>
        </w:rPr>
        <w:t xml:space="preserve"> statements</w:t>
      </w:r>
      <w:r w:rsidR="00EA2048">
        <w:rPr>
          <w:bCs/>
        </w:rPr>
        <w:t xml:space="preserve"> will not</w:t>
      </w:r>
      <w:r w:rsidR="00D002CF">
        <w:rPr>
          <w:bCs/>
        </w:rPr>
        <w:t xml:space="preserve"> be</w:t>
      </w:r>
      <w:r w:rsidR="00EA2048">
        <w:rPr>
          <w:bCs/>
        </w:rPr>
        <w:t xml:space="preserve"> completed by their accountants by the due date</w:t>
      </w:r>
      <w:r w:rsidRPr="008809CC">
        <w:t xml:space="preserve">.  </w:t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EA2048">
        <w:t>July 1, 2012</w:t>
      </w:r>
      <w:bookmarkEnd w:id="8"/>
      <w:r w:rsidR="00DC6722">
        <w:fldChar w:fldCharType="end"/>
      </w:r>
      <w:fldSimple w:instr=" REF R_Extention_date \* MERGEFORMAT">
        <w:r w:rsidR="00512455">
          <w:t>July 1, 2012</w:t>
        </w:r>
      </w:fldSimple>
      <w:r w:rsidRPr="008809CC">
        <w:t>.</w:t>
      </w:r>
    </w:p>
    <w:p w14:paraId="3649FFF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3649FFF6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5F7074">
        <w:t>s</w:t>
      </w:r>
      <w:r w:rsidRPr="008809CC">
        <w:t xml:space="preserve"> granting</w:t>
      </w:r>
      <w:r w:rsidR="001A65E9">
        <w:t xml:space="preserve"> </w:t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Pr="008809CC">
        <w:t>’s request for exemption</w:t>
      </w:r>
      <w:r w:rsidR="009B7286">
        <w:t>.</w:t>
      </w:r>
      <w:r w:rsidRPr="008809CC">
        <w:t xml:space="preserve">  </w:t>
      </w:r>
    </w:p>
    <w:p w14:paraId="3649FFF7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left="-720" w:right="-360" w:firstLine="720"/>
      </w:pPr>
    </w:p>
    <w:p w14:paraId="3649FFF8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3649FFF9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649FFFA" w14:textId="77777777" w:rsidR="00EF6E08" w:rsidRPr="005F7074" w:rsidRDefault="00EF6E08" w:rsidP="0014618D">
      <w:pPr>
        <w:pStyle w:val="Findings"/>
        <w:spacing w:line="320" w:lineRule="exact"/>
        <w:ind w:left="700" w:right="-360" w:hanging="1420"/>
        <w:rPr>
          <w:color w:val="000099"/>
        </w:rPr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0D08C8">
          <w:rPr>
            <w:rStyle w:val="Hyperlink"/>
            <w:iCs/>
            <w:color w:val="auto"/>
          </w:rPr>
          <w:t>RCW 80.01.040</w:t>
        </w:r>
      </w:hyperlink>
      <w:r w:rsidRPr="000D08C8">
        <w:rPr>
          <w:iCs/>
        </w:rPr>
        <w:t xml:space="preserve">, </w:t>
      </w:r>
      <w:hyperlink r:id="rId13" w:history="1">
        <w:r w:rsidRPr="000D08C8">
          <w:rPr>
            <w:rStyle w:val="Hyperlink"/>
            <w:iCs/>
            <w:color w:val="auto"/>
          </w:rPr>
          <w:t>RCW 80.04</w:t>
        </w:r>
      </w:hyperlink>
      <w:r w:rsidRPr="000D08C8">
        <w:rPr>
          <w:iCs/>
        </w:rPr>
        <w:t xml:space="preserve"> and </w:t>
      </w:r>
      <w:hyperlink r:id="rId14" w:history="1">
        <w:r w:rsidRPr="000D08C8">
          <w:rPr>
            <w:rStyle w:val="Hyperlink"/>
            <w:iCs/>
            <w:color w:val="auto"/>
          </w:rPr>
          <w:t>RCW 80.36</w:t>
        </w:r>
      </w:hyperlink>
      <w:r w:rsidRPr="000D08C8">
        <w:rPr>
          <w:iCs/>
        </w:rPr>
        <w:t>.</w:t>
      </w:r>
    </w:p>
    <w:p w14:paraId="3649FFFB" w14:textId="77777777" w:rsidR="00EF6E08" w:rsidRPr="008809CC" w:rsidRDefault="00EF6E08" w:rsidP="0014618D">
      <w:pPr>
        <w:spacing w:line="320" w:lineRule="exact"/>
        <w:ind w:right="-360"/>
      </w:pPr>
    </w:p>
    <w:p w14:paraId="3649FFF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3649FFF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649FFFE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0D08C8">
          <w:rPr>
            <w:rStyle w:val="Hyperlink"/>
            <w:color w:val="auto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364A0000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0D08C8">
        <w:t xml:space="preserve">WAC </w:t>
      </w:r>
      <w:hyperlink r:id="rId16" w:history="1">
        <w:r w:rsidRPr="000D08C8">
          <w:rPr>
            <w:rStyle w:val="Hyperlink"/>
            <w:color w:val="auto"/>
          </w:rPr>
          <w:t>480-120-015</w:t>
        </w:r>
      </w:hyperlink>
      <w:r w:rsidR="00036001" w:rsidRPr="000D08C8">
        <w:t>,</w:t>
      </w:r>
      <w:r w:rsidRPr="000D08C8">
        <w:t xml:space="preserve"> the Commission may grant an exemption from any rule in WAC </w:t>
      </w:r>
      <w:hyperlink r:id="rId17" w:history="1">
        <w:r w:rsidRPr="000D08C8">
          <w:rPr>
            <w:rStyle w:val="Hyperlink"/>
            <w:color w:val="auto"/>
          </w:rPr>
          <w:t>480-120</w:t>
        </w:r>
      </w:hyperlink>
      <w:r w:rsidRPr="000D08C8">
        <w:t xml:space="preserve">, if consistent with the public interest, the purposes underlying regulation and applicable statutes.  </w:t>
      </w:r>
      <w:r w:rsidR="00036001" w:rsidRPr="00C3083F">
        <w:rPr>
          <w:i/>
        </w:rPr>
        <w:t>See also</w:t>
      </w:r>
      <w:r w:rsidR="00036001" w:rsidRPr="000D08C8">
        <w:t xml:space="preserve"> </w:t>
      </w:r>
      <w:hyperlink r:id="rId18" w:history="1">
        <w:r w:rsidR="00036001" w:rsidRPr="000D08C8">
          <w:rPr>
            <w:rStyle w:val="Hyperlink"/>
            <w:color w:val="auto"/>
          </w:rPr>
          <w:t>WAC 480-07-110</w:t>
        </w:r>
      </w:hyperlink>
      <w:r w:rsidR="00036001" w:rsidRPr="005F7074">
        <w:rPr>
          <w:i/>
          <w:color w:val="0000CC"/>
        </w:rPr>
        <w:t>.</w:t>
      </w:r>
    </w:p>
    <w:p w14:paraId="364A0001" w14:textId="77777777" w:rsidR="00036001" w:rsidRDefault="00036001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64A0002" w14:textId="75CA32AB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A2048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EA2048">
        <w:t>April 12, 2012</w:t>
      </w:r>
      <w:bookmarkEnd w:id="9"/>
      <w:r w:rsidR="003E5223">
        <w:fldChar w:fldCharType="end"/>
      </w:r>
      <w:r w:rsidR="00B206AB">
        <w:t xml:space="preserve"> </w:t>
      </w:r>
      <w:r w:rsidR="005155EC">
        <w:t xml:space="preserve">   </w:t>
      </w:r>
      <w:r w:rsidR="00512455">
        <w:fldChar w:fldCharType="begin"/>
      </w:r>
      <w:r w:rsidR="00512455">
        <w:instrText xml:space="preserve"> REF om_date \* MERGEFORMAT</w:instrText>
      </w:r>
      <w:r w:rsidR="00512455">
        <w:fldChar w:fldCharType="separate"/>
      </w:r>
      <w:r w:rsidR="00512455">
        <w:t>April 12, 2012</w:t>
      </w:r>
      <w:r w:rsidR="00512455">
        <w:fldChar w:fldCharType="end"/>
      </w:r>
      <w:r w:rsidR="00036C2B">
        <w:t>.</w:t>
      </w:r>
    </w:p>
    <w:p w14:paraId="364A0003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64A000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EA2048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512455">
        <w:fldChar w:fldCharType="begin"/>
      </w:r>
      <w:r w:rsidR="00512455">
        <w:instrText xml:space="preserve"> REF </w:instrText>
      </w:r>
      <w:r w:rsidR="00512455">
        <w:instrText>docket_no \* MERGEFORMAT</w:instrText>
      </w:r>
      <w:r w:rsidR="00512455">
        <w:fldChar w:fldCharType="separate"/>
      </w:r>
      <w:r w:rsidR="00512455">
        <w:rPr>
          <w:bCs/>
        </w:rPr>
        <w:t>UT-120335</w:t>
      </w:r>
      <w:r w:rsidR="00512455">
        <w:rPr>
          <w:bCs/>
        </w:rPr>
        <w:fldChar w:fldCharType="end"/>
      </w:r>
      <w:r w:rsidR="00E05AC7">
        <w:rPr>
          <w:bCs/>
        </w:rPr>
        <w:t xml:space="preserve"> filed</w:t>
      </w:r>
      <w:r w:rsidR="007C4FDE">
        <w:t xml:space="preserve"> by </w:t>
      </w:r>
      <w:r w:rsidR="00107D55">
        <w:fldChar w:fldCharType="begin"/>
      </w:r>
      <w:r w:rsidR="00107D55">
        <w:instrText xml:space="preserve"> REF acronym1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</w:t>
      </w:r>
      <w:r w:rsidR="00107D55">
        <w:fldChar w:fldCharType="end"/>
      </w:r>
      <w:r w:rsidRPr="008809CC">
        <w:t xml:space="preserve"> on</w:t>
      </w:r>
      <w:r w:rsidR="00403EC4">
        <w:t xml:space="preserve"> </w:t>
      </w:r>
      <w:r w:rsidR="00512455">
        <w:fldChar w:fldCharType="begin"/>
      </w:r>
      <w:r w:rsidR="00512455">
        <w:instrText xml:space="preserve"> REF filing_date \* MERGEFORMAT</w:instrText>
      </w:r>
      <w:r w:rsidR="00512455">
        <w:fldChar w:fldCharType="separate"/>
      </w:r>
      <w:r w:rsidR="00512455">
        <w:t>March 12, 2012</w:t>
      </w:r>
      <w:r w:rsidR="00512455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64A0005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364A0006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364A0007" w14:textId="77777777" w:rsidR="00EF6E08" w:rsidRPr="008809CC" w:rsidRDefault="00EF6E08" w:rsidP="0014618D">
      <w:pPr>
        <w:spacing w:line="320" w:lineRule="exact"/>
        <w:ind w:right="-360"/>
      </w:pPr>
    </w:p>
    <w:p w14:paraId="364A0008" w14:textId="77777777" w:rsidR="00EF6E08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01FB1CCD" w14:textId="77777777" w:rsidR="00107D55" w:rsidRDefault="00107D55" w:rsidP="0014618D">
      <w:pPr>
        <w:spacing w:line="320" w:lineRule="exact"/>
        <w:ind w:left="-720" w:right="-360" w:firstLine="720"/>
        <w:rPr>
          <w:b/>
        </w:rPr>
      </w:pPr>
    </w:p>
    <w:p w14:paraId="024FB697" w14:textId="0F5F4349" w:rsidR="00107D55" w:rsidRDefault="00107D55" w:rsidP="00107D55">
      <w:pPr>
        <w:pStyle w:val="Findings"/>
        <w:spacing w:line="320" w:lineRule="exact"/>
        <w:ind w:left="700" w:right="-360" w:hanging="1420"/>
      </w:pPr>
      <w:r>
        <w:t xml:space="preserve"> (1)</w:t>
      </w:r>
      <w:r>
        <w:tab/>
      </w:r>
      <w:r w:rsidR="007C4FDE">
        <w:t xml:space="preserve">The request by </w:t>
      </w:r>
      <w:r>
        <w:fldChar w:fldCharType="begin"/>
      </w:r>
      <w:r>
        <w:instrText xml:space="preserve"> REF company1_name \* MERGEFORMAT</w:instrText>
      </w:r>
      <w:r>
        <w:fldChar w:fldCharType="separate"/>
      </w:r>
      <w:proofErr w:type="spellStart"/>
      <w:r w:rsidR="00512455">
        <w:t>ComTech</w:t>
      </w:r>
      <w:proofErr w:type="spellEnd"/>
      <w:r w:rsidR="00512455">
        <w:t xml:space="preserve"> 21, LLC</w:t>
      </w:r>
      <w:r>
        <w:fldChar w:fldCharType="end"/>
      </w:r>
      <w:r w:rsidR="0074184A">
        <w:t>,</w:t>
      </w:r>
      <w:r w:rsidR="005444D2" w:rsidRPr="00107D55">
        <w:rPr>
          <w:bCs/>
        </w:rPr>
        <w:t xml:space="preserve"> for an exemption from </w:t>
      </w:r>
      <w:hyperlink r:id="rId19" w:history="1">
        <w:r w:rsidR="005444D2" w:rsidRPr="00107D55">
          <w:rPr>
            <w:rStyle w:val="Hyperlink"/>
            <w:bCs/>
            <w:color w:val="auto"/>
          </w:rPr>
          <w:t>WAC 480-120-382</w:t>
        </w:r>
      </w:hyperlink>
      <w:r w:rsidR="00DD2630" w:rsidRPr="00107D55">
        <w:rPr>
          <w:color w:val="0000CC"/>
        </w:rPr>
        <w:t xml:space="preserve"> </w:t>
      </w:r>
      <w:r w:rsidR="00DD2630">
        <w:t xml:space="preserve">and for an extension </w:t>
      </w:r>
      <w:r w:rsidR="00EF6E08" w:rsidRPr="008809CC">
        <w:t>until</w:t>
      </w:r>
      <w:r w:rsidR="00403EC4">
        <w:t xml:space="preserve"> </w:t>
      </w:r>
      <w:r w:rsidR="00512455">
        <w:fldChar w:fldCharType="begin"/>
      </w:r>
      <w:r w:rsidR="00512455">
        <w:instrText xml:space="preserve"> REF R_Extention_date \* MERGEFORMAT</w:instrText>
      </w:r>
      <w:r w:rsidR="00512455">
        <w:fldChar w:fldCharType="separate"/>
      </w:r>
      <w:r w:rsidR="00512455">
        <w:t>July 1, 2012</w:t>
      </w:r>
      <w:r w:rsidR="00512455">
        <w:fldChar w:fldCharType="end"/>
      </w:r>
      <w:r w:rsidR="00EF6E08" w:rsidRPr="008809CC">
        <w:t xml:space="preserve">, to file its </w:t>
      </w:r>
      <w:r w:rsidRPr="00107D55">
        <w:fldChar w:fldCharType="begin"/>
      </w:r>
      <w:r>
        <w:instrText xml:space="preserve"> REF year1 \* MERGEFORMAT</w:instrText>
      </w:r>
      <w:r w:rsidRPr="00107D55">
        <w:fldChar w:fldCharType="separate"/>
      </w:r>
      <w:r w:rsidR="00512455">
        <w:rPr>
          <w:color w:val="000000"/>
        </w:rPr>
        <w:t>2011</w:t>
      </w:r>
      <w:r w:rsidRPr="00107D55">
        <w:rPr>
          <w:color w:val="000000"/>
        </w:rPr>
        <w:fldChar w:fldCharType="end"/>
      </w:r>
      <w:r w:rsidR="00EF6E08" w:rsidRPr="008809CC">
        <w:t xml:space="preserve"> annual report is granted.</w:t>
      </w:r>
    </w:p>
    <w:p w14:paraId="2669DA70" w14:textId="77777777" w:rsidR="00107D55" w:rsidRDefault="00107D55" w:rsidP="00107D55">
      <w:pPr>
        <w:pStyle w:val="Findings"/>
        <w:numPr>
          <w:ilvl w:val="0"/>
          <w:numId w:val="0"/>
        </w:numPr>
        <w:spacing w:line="320" w:lineRule="exact"/>
        <w:ind w:left="700" w:right="-360"/>
      </w:pPr>
    </w:p>
    <w:p w14:paraId="5CC2A444" w14:textId="54A508A2" w:rsidR="00107D55" w:rsidRDefault="00EF6E08" w:rsidP="00107D55">
      <w:pPr>
        <w:pStyle w:val="Findings"/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107D55">
        <w:fldChar w:fldCharType="begin"/>
      </w:r>
      <w:r w:rsidR="00107D55">
        <w:instrText xml:space="preserve"> REF company1_name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21, LLC</w:t>
      </w:r>
      <w:r w:rsidR="00107D55">
        <w:fldChar w:fldCharType="end"/>
      </w:r>
      <w:r w:rsidR="0074184A">
        <w:t>,</w:t>
      </w:r>
      <w:r w:rsidRPr="008809CC">
        <w:t xml:space="preserve"> to </w:t>
      </w:r>
      <w:r w:rsidRPr="00107D55">
        <w:rPr>
          <w:bCs/>
        </w:rPr>
        <w:t>file</w:t>
      </w:r>
      <w:r w:rsidRPr="008809CC">
        <w:t xml:space="preserve"> its annual report by </w:t>
      </w:r>
      <w:r w:rsidR="00512455">
        <w:fldChar w:fldCharType="begin"/>
      </w:r>
      <w:r w:rsidR="00512455">
        <w:instrText xml:space="preserve"> REF R_Extention_date \* MERGEFORMAT</w:instrText>
      </w:r>
      <w:r w:rsidR="00512455">
        <w:fldChar w:fldCharType="separate"/>
      </w:r>
      <w:r w:rsidR="00512455">
        <w:t>July 1, 2012</w:t>
      </w:r>
      <w:r w:rsidR="00512455">
        <w:fldChar w:fldCharType="end"/>
      </w:r>
      <w:r w:rsidRPr="008809CC">
        <w:t xml:space="preserve">, may result in the Commission invoking </w:t>
      </w:r>
      <w:hyperlink r:id="rId20" w:history="1">
        <w:r w:rsidRPr="00107D55">
          <w:rPr>
            <w:rStyle w:val="Hyperlink"/>
            <w:color w:val="auto"/>
          </w:rPr>
          <w:t>RCW 80.04</w:t>
        </w:r>
        <w:r w:rsidR="00C04E2E" w:rsidRPr="00107D55">
          <w:rPr>
            <w:rStyle w:val="Hyperlink"/>
            <w:color w:val="auto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298F95F" w14:textId="77777777" w:rsidR="00107D55" w:rsidRDefault="00107D55" w:rsidP="00107D55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364A000E" w14:textId="5A4902C5" w:rsidR="00EF6E08" w:rsidRPr="008809CC" w:rsidRDefault="00EF6E08" w:rsidP="00107D55">
      <w:pPr>
        <w:pStyle w:val="Findings"/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107D55">
        <w:fldChar w:fldCharType="begin"/>
      </w:r>
      <w:r w:rsidR="00107D55">
        <w:instrText xml:space="preserve"> REF company1_name \* MERGEFORMAT</w:instrText>
      </w:r>
      <w:r w:rsidR="00107D55">
        <w:fldChar w:fldCharType="separate"/>
      </w:r>
      <w:proofErr w:type="spellStart"/>
      <w:r w:rsidR="00512455">
        <w:t>ComTech</w:t>
      </w:r>
      <w:proofErr w:type="spellEnd"/>
      <w:r w:rsidR="00512455">
        <w:t xml:space="preserve"> 21, LLC</w:t>
      </w:r>
      <w:r w:rsidR="00107D55">
        <w:fldChar w:fldCharType="end"/>
      </w:r>
      <w:r w:rsidR="0074184A">
        <w:t>,</w:t>
      </w:r>
      <w:r w:rsidRPr="008809CC">
        <w:t xml:space="preserve"> to effectuate the provisions of this Order.</w:t>
      </w:r>
    </w:p>
    <w:p w14:paraId="364A000F" w14:textId="77777777" w:rsidR="00EF6E08" w:rsidRPr="008809CC" w:rsidRDefault="00EF6E08" w:rsidP="0014618D">
      <w:pPr>
        <w:spacing w:line="320" w:lineRule="exact"/>
        <w:ind w:right="-360"/>
      </w:pPr>
    </w:p>
    <w:p w14:paraId="364A0010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364A0011" w14:textId="77777777" w:rsidR="00EF6E08" w:rsidRPr="008809CC" w:rsidRDefault="00EF6E08" w:rsidP="0014618D">
      <w:pPr>
        <w:spacing w:line="320" w:lineRule="exact"/>
        <w:ind w:right="-360"/>
      </w:pPr>
    </w:p>
    <w:p w14:paraId="364A0012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EA2048">
        <w:rPr>
          <w:bCs/>
        </w:rPr>
        <w:t>April 12, 2012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512455">
          <w:rPr>
            <w:bCs/>
          </w:rPr>
          <w:t>April 12, 2012</w:t>
        </w:r>
      </w:fldSimple>
      <w:r w:rsidR="00403EC4">
        <w:t>.</w:t>
      </w:r>
      <w:proofErr w:type="gramEnd"/>
    </w:p>
    <w:p w14:paraId="364A0013" w14:textId="77777777" w:rsidR="00EF6E08" w:rsidRPr="008809CC" w:rsidRDefault="00EF6E08" w:rsidP="0014618D">
      <w:pPr>
        <w:spacing w:line="320" w:lineRule="exact"/>
        <w:ind w:right="-360"/>
      </w:pPr>
    </w:p>
    <w:p w14:paraId="364A0014" w14:textId="77777777" w:rsidR="00EF6E08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6906CEE4" w14:textId="77777777" w:rsidR="005155EC" w:rsidRDefault="005155EC" w:rsidP="0014618D">
      <w:pPr>
        <w:spacing w:line="320" w:lineRule="exact"/>
        <w:ind w:right="-360" w:firstLine="720"/>
      </w:pPr>
    </w:p>
    <w:p w14:paraId="453BFBEF" w14:textId="77777777" w:rsidR="005155EC" w:rsidRPr="008809CC" w:rsidRDefault="005155EC" w:rsidP="0014618D">
      <w:pPr>
        <w:spacing w:line="320" w:lineRule="exact"/>
        <w:ind w:right="-360" w:firstLine="720"/>
      </w:pPr>
    </w:p>
    <w:p w14:paraId="364A0015" w14:textId="77777777" w:rsidR="00C364E8" w:rsidRDefault="00C364E8" w:rsidP="0014618D">
      <w:pPr>
        <w:spacing w:line="320" w:lineRule="exact"/>
        <w:ind w:left="2160" w:right="-360" w:firstLine="720"/>
      </w:pPr>
    </w:p>
    <w:p w14:paraId="364A0038" w14:textId="4C4EB32C" w:rsidR="00AB1438" w:rsidRDefault="006B1566" w:rsidP="000D08C8">
      <w:pPr>
        <w:spacing w:line="320" w:lineRule="exact"/>
        <w:ind w:left="2160" w:right="-360" w:firstLine="720"/>
      </w:pPr>
      <w:r>
        <w:t>DAVID W. DANNER, Executive Director</w:t>
      </w:r>
      <w:r w:rsidR="00566EA0">
        <w:t xml:space="preserve"> and Secretary</w:t>
      </w:r>
    </w:p>
    <w:sectPr w:rsidR="00AB1438" w:rsidSect="00A654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003D" w14:textId="77777777" w:rsidR="00E05AC7" w:rsidRDefault="00E05AC7">
      <w:r>
        <w:separator/>
      </w:r>
    </w:p>
  </w:endnote>
  <w:endnote w:type="continuationSeparator" w:id="0">
    <w:p w14:paraId="364A003E" w14:textId="77777777" w:rsidR="00E05AC7" w:rsidRDefault="00E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44" w14:textId="77777777" w:rsidR="00E05AC7" w:rsidRDefault="00E05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45" w14:textId="77777777" w:rsidR="00E05AC7" w:rsidRDefault="00E05A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47" w14:textId="77777777" w:rsidR="00E05AC7" w:rsidRDefault="00E05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A003B" w14:textId="77777777" w:rsidR="00E05AC7" w:rsidRDefault="00E05AC7">
      <w:r>
        <w:separator/>
      </w:r>
    </w:p>
  </w:footnote>
  <w:footnote w:type="continuationSeparator" w:id="0">
    <w:p w14:paraId="364A003C" w14:textId="77777777" w:rsidR="00E05AC7" w:rsidRDefault="00E0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3F" w14:textId="77777777" w:rsidR="00E05AC7" w:rsidRDefault="00E05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40" w14:textId="77777777" w:rsidR="00E05AC7" w:rsidRPr="00381546" w:rsidRDefault="00E05AC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512455" w:rsidRPr="00512455">
      <w:rPr>
        <w:b/>
        <w:sz w:val="20"/>
      </w:rPr>
      <w:t>UT-120335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12455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364A0041" w14:textId="77777777" w:rsidR="00E05AC7" w:rsidRPr="00381546" w:rsidRDefault="00E05AC7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512455" w:rsidRPr="00512455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364A0042" w14:textId="77777777" w:rsidR="00E05AC7" w:rsidRPr="008809CC" w:rsidRDefault="00E05AC7">
    <w:pPr>
      <w:pStyle w:val="Header"/>
      <w:tabs>
        <w:tab w:val="left" w:pos="7100"/>
      </w:tabs>
      <w:rPr>
        <w:rStyle w:val="PageNumber"/>
        <w:sz w:val="20"/>
      </w:rPr>
    </w:pPr>
  </w:p>
  <w:p w14:paraId="364A0043" w14:textId="77777777" w:rsidR="00E05AC7" w:rsidRPr="008809CC" w:rsidRDefault="00E05AC7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A0046" w14:textId="77777777" w:rsidR="00E05AC7" w:rsidRDefault="00E05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A266BB14"/>
    <w:lvl w:ilvl="0" w:tplc="9FB6A5D8">
      <w:start w:val="1"/>
      <w:numFmt w:val="decimal"/>
      <w:pStyle w:val="Findings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8"/>
    <w:rsid w:val="00027989"/>
    <w:rsid w:val="00036001"/>
    <w:rsid w:val="00036C2B"/>
    <w:rsid w:val="00083FF1"/>
    <w:rsid w:val="000A1AA6"/>
    <w:rsid w:val="000D0581"/>
    <w:rsid w:val="000D08C8"/>
    <w:rsid w:val="000F5727"/>
    <w:rsid w:val="00100A09"/>
    <w:rsid w:val="00107D55"/>
    <w:rsid w:val="0014618D"/>
    <w:rsid w:val="001A331C"/>
    <w:rsid w:val="001A5591"/>
    <w:rsid w:val="001A65E9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725D2"/>
    <w:rsid w:val="004B5C31"/>
    <w:rsid w:val="004F4CC7"/>
    <w:rsid w:val="004F59FB"/>
    <w:rsid w:val="004F6DEF"/>
    <w:rsid w:val="00512455"/>
    <w:rsid w:val="005155EC"/>
    <w:rsid w:val="00524986"/>
    <w:rsid w:val="005444D2"/>
    <w:rsid w:val="005571A0"/>
    <w:rsid w:val="00566EA0"/>
    <w:rsid w:val="00577041"/>
    <w:rsid w:val="005F6132"/>
    <w:rsid w:val="005F7074"/>
    <w:rsid w:val="006139C1"/>
    <w:rsid w:val="006418A0"/>
    <w:rsid w:val="006B1566"/>
    <w:rsid w:val="006F0F06"/>
    <w:rsid w:val="006F687D"/>
    <w:rsid w:val="0074184A"/>
    <w:rsid w:val="0076206F"/>
    <w:rsid w:val="007764D2"/>
    <w:rsid w:val="007C19F1"/>
    <w:rsid w:val="007C4FDE"/>
    <w:rsid w:val="008249DE"/>
    <w:rsid w:val="00831837"/>
    <w:rsid w:val="0083218F"/>
    <w:rsid w:val="00834021"/>
    <w:rsid w:val="00842810"/>
    <w:rsid w:val="0085209D"/>
    <w:rsid w:val="0085519A"/>
    <w:rsid w:val="00864310"/>
    <w:rsid w:val="008B64DA"/>
    <w:rsid w:val="008F3005"/>
    <w:rsid w:val="00915345"/>
    <w:rsid w:val="00916216"/>
    <w:rsid w:val="009809AF"/>
    <w:rsid w:val="009A633D"/>
    <w:rsid w:val="009B7286"/>
    <w:rsid w:val="00A1575F"/>
    <w:rsid w:val="00A23825"/>
    <w:rsid w:val="00A654EE"/>
    <w:rsid w:val="00AB1438"/>
    <w:rsid w:val="00B14752"/>
    <w:rsid w:val="00B206AB"/>
    <w:rsid w:val="00B24559"/>
    <w:rsid w:val="00B41E9D"/>
    <w:rsid w:val="00B5003C"/>
    <w:rsid w:val="00B568CD"/>
    <w:rsid w:val="00B61BED"/>
    <w:rsid w:val="00C04E2E"/>
    <w:rsid w:val="00C3083F"/>
    <w:rsid w:val="00C364E8"/>
    <w:rsid w:val="00C6739B"/>
    <w:rsid w:val="00C77970"/>
    <w:rsid w:val="00C8134C"/>
    <w:rsid w:val="00CC3CA6"/>
    <w:rsid w:val="00D002CF"/>
    <w:rsid w:val="00D056B2"/>
    <w:rsid w:val="00D437ED"/>
    <w:rsid w:val="00D70EBC"/>
    <w:rsid w:val="00DA1DF2"/>
    <w:rsid w:val="00DA74D7"/>
    <w:rsid w:val="00DC0F8C"/>
    <w:rsid w:val="00DC242C"/>
    <w:rsid w:val="00DC55EF"/>
    <w:rsid w:val="00DC6722"/>
    <w:rsid w:val="00DD2630"/>
    <w:rsid w:val="00E05AC7"/>
    <w:rsid w:val="00E24B8A"/>
    <w:rsid w:val="00E5778F"/>
    <w:rsid w:val="00E83485"/>
    <w:rsid w:val="00EA2048"/>
    <w:rsid w:val="00EC6384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649F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  <w:tabs>
        <w:tab w:val="clear" w:pos="720"/>
        <w:tab w:val="num" w:pos="0"/>
      </w:tabs>
      <w:ind w:left="0"/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0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  <w:tabs>
        <w:tab w:val="clear" w:pos="720"/>
        <w:tab w:val="num" w:pos="0"/>
      </w:tabs>
      <w:ind w:left="0"/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10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yperlink" Target="http://apps.leg.wa.gov/RCW/default.aspx?cite=80.04.405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tc.wa.gov/regulatedIndustries/utilities/telcom/Pages/default.aspx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2012-03-12T07:00:00+00:00</OpenedDate>
    <Date1 xmlns="dc463f71-b30c-4ab2-9473-d307f9d35888">2012-04-12T07:00:00+00:00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COMTECH 21, LLC.</CaseCompanyNames>
    <DocketNumber xmlns="dc463f71-b30c-4ab2-9473-d307f9d35888">120335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F05DEB05FCDF42965CB98EB1BF664D" ma:contentTypeVersion="139" ma:contentTypeDescription="" ma:contentTypeScope="" ma:versionID="bff3fb53a3d078003b2556173b7e6c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02AE4-81AF-4D0D-87F0-CFB74A8893D1}"/>
</file>

<file path=customXml/itemProps2.xml><?xml version="1.0" encoding="utf-8"?>
<ds:datastoreItem xmlns:ds="http://schemas.openxmlformats.org/officeDocument/2006/customXml" ds:itemID="{5FB72F55-0499-467A-A47A-D6FE6E921995}"/>
</file>

<file path=customXml/itemProps3.xml><?xml version="1.0" encoding="utf-8"?>
<ds:datastoreItem xmlns:ds="http://schemas.openxmlformats.org/officeDocument/2006/customXml" ds:itemID="{3739149E-B73E-4C80-8970-9D6E47228BB8}"/>
</file>

<file path=customXml/itemProps4.xml><?xml version="1.0" encoding="utf-8"?>
<ds:datastoreItem xmlns:ds="http://schemas.openxmlformats.org/officeDocument/2006/customXml" ds:itemID="{6C2A4D75-FFE1-42E9-96AC-72AF695DE39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Companies).dot</Template>
  <TotalTime>1</TotalTime>
  <Pages>2</Pages>
  <Words>514</Words>
  <Characters>4873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WUTC</Company>
  <LinksUpToDate>false</LinksUpToDate>
  <CharactersWithSpaces>5377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creator>Hahn, Roger (UTC)</dc:creator>
  <cp:lastModifiedBy> Cathy Kern</cp:lastModifiedBy>
  <cp:revision>3</cp:revision>
  <cp:lastPrinted>2012-04-11T23:21:00Z</cp:lastPrinted>
  <dcterms:created xsi:type="dcterms:W3CDTF">2012-04-11T23:21:00Z</dcterms:created>
  <dcterms:modified xsi:type="dcterms:W3CDTF">2012-04-11T23:22:00Z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0x0101006E56B4D1795A2E4DB2F0B01679ED314A00A2F05DEB05FCDF42965CB98EB1BF664D</vt:lpwstr>
  </property>
  <property fmtid="{D5CDD505-2E9C-101B-9397-08002B2CF9AE}" pid="3" name="_docset_NoMedatataSyncRequired">
    <vt:lpwstr>False</vt:lpwstr>
  </property>
</Properties>
</file>