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69C" w:rsidRDefault="00A4169C" w:rsidP="00641370">
      <w:pPr>
        <w:jc w:val="center"/>
        <w:rPr>
          <w:rFonts w:asciiTheme="majorHAnsi" w:hAnsiTheme="majorHAnsi"/>
          <w:b/>
          <w:sz w:val="24"/>
          <w:szCs w:val="24"/>
        </w:rPr>
      </w:pPr>
      <w:r>
        <w:rPr>
          <w:rFonts w:asciiTheme="majorHAnsi" w:hAnsiTheme="majorHAnsi"/>
          <w:b/>
          <w:sz w:val="24"/>
          <w:szCs w:val="24"/>
        </w:rPr>
        <w:t>EXHIBIT A</w:t>
      </w:r>
    </w:p>
    <w:p w:rsidR="009C232F" w:rsidRDefault="00BD1093" w:rsidP="00641370">
      <w:pPr>
        <w:jc w:val="center"/>
        <w:rPr>
          <w:rFonts w:asciiTheme="majorHAnsi" w:hAnsiTheme="majorHAnsi"/>
          <w:b/>
          <w:sz w:val="24"/>
          <w:szCs w:val="24"/>
        </w:rPr>
      </w:pPr>
      <w:r w:rsidRPr="009335A6">
        <w:rPr>
          <w:rFonts w:asciiTheme="majorHAnsi" w:hAnsiTheme="majorHAnsi"/>
          <w:b/>
          <w:sz w:val="24"/>
          <w:szCs w:val="24"/>
        </w:rPr>
        <w:t xml:space="preserve">Washington UTC Rules </w:t>
      </w:r>
      <w:r w:rsidR="00CB36EA" w:rsidRPr="009335A6">
        <w:rPr>
          <w:rFonts w:asciiTheme="majorHAnsi" w:hAnsiTheme="majorHAnsi"/>
          <w:b/>
          <w:sz w:val="24"/>
          <w:szCs w:val="24"/>
        </w:rPr>
        <w:t>Governing RFPs</w:t>
      </w:r>
    </w:p>
    <w:p w:rsidR="00ED5894" w:rsidRDefault="00ED5894" w:rsidP="00641370">
      <w:pPr>
        <w:jc w:val="center"/>
        <w:rPr>
          <w:rFonts w:asciiTheme="majorHAnsi" w:hAnsiTheme="majorHAnsi"/>
          <w:b/>
          <w:sz w:val="24"/>
          <w:szCs w:val="24"/>
        </w:rPr>
      </w:pPr>
      <w:r>
        <w:rPr>
          <w:rFonts w:asciiTheme="majorHAnsi" w:hAnsiTheme="majorHAnsi"/>
          <w:b/>
          <w:sz w:val="24"/>
          <w:szCs w:val="24"/>
        </w:rPr>
        <w:t>Market RFP</w:t>
      </w:r>
    </w:p>
    <w:p w:rsidR="003A758E" w:rsidRPr="009335A6" w:rsidRDefault="003A758E" w:rsidP="009C232F">
      <w:pPr>
        <w:spacing w:after="0"/>
        <w:jc w:val="center"/>
        <w:rPr>
          <w:rFonts w:asciiTheme="majorHAnsi" w:hAnsiTheme="majorHAnsi"/>
          <w:b/>
          <w:sz w:val="24"/>
          <w:szCs w:val="24"/>
        </w:rPr>
      </w:pPr>
    </w:p>
    <w:tbl>
      <w:tblPr>
        <w:tblStyle w:val="TableGrid"/>
        <w:tblW w:w="0" w:type="auto"/>
        <w:tblLook w:val="04A0"/>
      </w:tblPr>
      <w:tblGrid>
        <w:gridCol w:w="1340"/>
        <w:gridCol w:w="8740"/>
        <w:gridCol w:w="3370"/>
      </w:tblGrid>
      <w:tr w:rsidR="00DD3679" w:rsidRPr="009335A6" w:rsidTr="004D3920">
        <w:trPr>
          <w:tblHeader/>
        </w:trPr>
        <w:tc>
          <w:tcPr>
            <w:tcW w:w="1340" w:type="dxa"/>
          </w:tcPr>
          <w:p w:rsidR="00DD3679" w:rsidRPr="009335A6" w:rsidRDefault="00DD3679" w:rsidP="00D47A30">
            <w:pPr>
              <w:jc w:val="center"/>
              <w:rPr>
                <w:rFonts w:asciiTheme="majorHAnsi" w:hAnsiTheme="majorHAnsi"/>
                <w:b/>
              </w:rPr>
            </w:pPr>
            <w:r w:rsidRPr="009335A6">
              <w:rPr>
                <w:rFonts w:asciiTheme="majorHAnsi" w:hAnsiTheme="majorHAnsi"/>
                <w:b/>
              </w:rPr>
              <w:t>WAC Rule</w:t>
            </w:r>
          </w:p>
        </w:tc>
        <w:tc>
          <w:tcPr>
            <w:tcW w:w="8740" w:type="dxa"/>
          </w:tcPr>
          <w:p w:rsidR="00DD3679" w:rsidRPr="009335A6" w:rsidRDefault="00DD3679" w:rsidP="00D47A30">
            <w:pPr>
              <w:jc w:val="center"/>
              <w:rPr>
                <w:rFonts w:asciiTheme="majorHAnsi" w:hAnsiTheme="majorHAnsi"/>
                <w:b/>
              </w:rPr>
            </w:pPr>
            <w:r w:rsidRPr="009335A6">
              <w:rPr>
                <w:rFonts w:asciiTheme="majorHAnsi" w:hAnsiTheme="majorHAnsi"/>
                <w:b/>
              </w:rPr>
              <w:t>Requirement</w:t>
            </w:r>
          </w:p>
        </w:tc>
        <w:tc>
          <w:tcPr>
            <w:tcW w:w="3370" w:type="dxa"/>
          </w:tcPr>
          <w:p w:rsidR="00DD3679" w:rsidRPr="009335A6" w:rsidRDefault="00DD3679" w:rsidP="00D47A30">
            <w:pPr>
              <w:jc w:val="center"/>
              <w:rPr>
                <w:rFonts w:asciiTheme="majorHAnsi" w:hAnsiTheme="majorHAnsi"/>
                <w:b/>
              </w:rPr>
            </w:pPr>
            <w:r>
              <w:rPr>
                <w:rFonts w:asciiTheme="majorHAnsi" w:hAnsiTheme="majorHAnsi"/>
                <w:b/>
              </w:rPr>
              <w:t>Location in Market RFP</w:t>
            </w:r>
          </w:p>
        </w:tc>
      </w:tr>
      <w:tr w:rsidR="00DD3679" w:rsidRPr="009335A6" w:rsidTr="004D3920">
        <w:tc>
          <w:tcPr>
            <w:tcW w:w="10080" w:type="dxa"/>
            <w:gridSpan w:val="2"/>
          </w:tcPr>
          <w:p w:rsidR="00DD3679" w:rsidRPr="009335A6" w:rsidRDefault="00DD3679">
            <w:pPr>
              <w:rPr>
                <w:rFonts w:asciiTheme="majorHAnsi" w:hAnsiTheme="majorHAnsi"/>
                <w:b/>
              </w:rPr>
            </w:pPr>
            <w:r w:rsidRPr="009335A6">
              <w:rPr>
                <w:rFonts w:asciiTheme="majorHAnsi" w:hAnsiTheme="majorHAnsi"/>
                <w:b/>
              </w:rPr>
              <w:t>480-107-025 – Contents of the Solicitation</w:t>
            </w:r>
          </w:p>
        </w:tc>
        <w:tc>
          <w:tcPr>
            <w:tcW w:w="3370" w:type="dxa"/>
          </w:tcPr>
          <w:p w:rsidR="00DD3679" w:rsidRPr="009335A6" w:rsidRDefault="00DD3679">
            <w:pPr>
              <w:rPr>
                <w:rFonts w:asciiTheme="majorHAnsi" w:hAnsiTheme="majorHAnsi"/>
              </w:rPr>
            </w:pPr>
          </w:p>
        </w:tc>
      </w:tr>
      <w:tr w:rsidR="00DD3679" w:rsidRPr="009335A6" w:rsidTr="004D3920">
        <w:tc>
          <w:tcPr>
            <w:tcW w:w="1340" w:type="dxa"/>
          </w:tcPr>
          <w:p w:rsidR="00DD3679" w:rsidRPr="009335A6" w:rsidRDefault="00DD3679">
            <w:pPr>
              <w:rPr>
                <w:rFonts w:asciiTheme="majorHAnsi" w:hAnsiTheme="majorHAnsi"/>
              </w:rPr>
            </w:pPr>
          </w:p>
        </w:tc>
        <w:tc>
          <w:tcPr>
            <w:tcW w:w="8740" w:type="dxa"/>
          </w:tcPr>
          <w:p w:rsidR="00DD3679" w:rsidRPr="009335A6" w:rsidRDefault="00DD3679" w:rsidP="00921BD7">
            <w:pPr>
              <w:rPr>
                <w:rFonts w:asciiTheme="majorHAnsi" w:hAnsiTheme="majorHAnsi"/>
              </w:rPr>
            </w:pPr>
            <w:bookmarkStart w:id="0" w:name="480-107-025"/>
            <w:r w:rsidRPr="009335A6">
              <w:rPr>
                <w:rFonts w:asciiTheme="majorHAnsi" w:hAnsiTheme="majorHAnsi" w:cs="Arial"/>
              </w:rPr>
              <w:t xml:space="preserve">(1) The RFP must identify the resource block, consisting of the overall amount and duration of power the utility is soliciting, the initial estimate of avoided cost schedule as calculated in WAC </w:t>
            </w:r>
            <w:bookmarkEnd w:id="0"/>
            <w:r w:rsidR="0003364E" w:rsidRPr="009335A6">
              <w:rPr>
                <w:rFonts w:asciiTheme="majorHAnsi" w:hAnsiTheme="majorHAnsi" w:cs="Arial"/>
              </w:rPr>
              <w:fldChar w:fldCharType="begin"/>
            </w:r>
            <w:r w:rsidRPr="009335A6">
              <w:rPr>
                <w:rFonts w:asciiTheme="majorHAnsi" w:hAnsiTheme="majorHAnsi" w:cs="Arial"/>
              </w:rPr>
              <w:instrText xml:space="preserve"> HYPERLINK "http://apps.leg.wa.gov/WAC/default.aspx?cite=480-107-055" </w:instrText>
            </w:r>
            <w:r w:rsidR="0003364E" w:rsidRPr="009335A6">
              <w:rPr>
                <w:rFonts w:asciiTheme="majorHAnsi" w:hAnsiTheme="majorHAnsi" w:cs="Arial"/>
              </w:rPr>
              <w:fldChar w:fldCharType="separate"/>
            </w:r>
            <w:r w:rsidRPr="009335A6">
              <w:rPr>
                <w:rStyle w:val="Hyperlink"/>
                <w:rFonts w:asciiTheme="majorHAnsi" w:hAnsiTheme="majorHAnsi" w:cs="Arial"/>
              </w:rPr>
              <w:t>480-107-055</w:t>
            </w:r>
            <w:r w:rsidR="0003364E" w:rsidRPr="009335A6">
              <w:rPr>
                <w:rFonts w:asciiTheme="majorHAnsi" w:hAnsiTheme="majorHAnsi" w:cs="Arial"/>
              </w:rPr>
              <w:fldChar w:fldCharType="end"/>
            </w:r>
            <w:r w:rsidRPr="009335A6">
              <w:rPr>
                <w:rFonts w:asciiTheme="majorHAnsi" w:hAnsiTheme="majorHAnsi" w:cs="Arial"/>
              </w:rPr>
              <w:t xml:space="preserve"> </w:t>
            </w:r>
            <w:r w:rsidRPr="008618E4">
              <w:rPr>
                <w:rFonts w:asciiTheme="majorHAnsi" w:hAnsiTheme="majorHAnsi" w:cs="Arial"/>
              </w:rPr>
              <w:t>Avoided cost schedule</w:t>
            </w:r>
            <w:r w:rsidRPr="009335A6">
              <w:rPr>
                <w:rFonts w:asciiTheme="majorHAnsi" w:hAnsiTheme="majorHAnsi" w:cs="Arial"/>
              </w:rPr>
              <w:t>, and any additional information necessary for potential bidders to make a complete bid.</w:t>
            </w:r>
            <w:r w:rsidRPr="009335A6">
              <w:rPr>
                <w:rFonts w:asciiTheme="majorHAnsi" w:hAnsiTheme="majorHAnsi" w:cs="Arial"/>
              </w:rPr>
              <w:br/>
            </w:r>
          </w:p>
        </w:tc>
        <w:tc>
          <w:tcPr>
            <w:tcW w:w="3370" w:type="dxa"/>
          </w:tcPr>
          <w:p w:rsidR="00DD3679" w:rsidRPr="009335A6" w:rsidRDefault="00DD3679" w:rsidP="008618E4">
            <w:pPr>
              <w:rPr>
                <w:rFonts w:asciiTheme="majorHAnsi" w:hAnsiTheme="majorHAnsi"/>
              </w:rPr>
            </w:pPr>
            <w:r>
              <w:rPr>
                <w:rFonts w:asciiTheme="majorHAnsi" w:hAnsiTheme="majorHAnsi"/>
              </w:rPr>
              <w:t xml:space="preserve">Part I, Section </w:t>
            </w:r>
            <w:r w:rsidR="00E30B94">
              <w:rPr>
                <w:rFonts w:asciiTheme="majorHAnsi" w:hAnsiTheme="majorHAnsi"/>
              </w:rPr>
              <w:t>2,</w:t>
            </w:r>
            <w:r w:rsidR="00725CCE">
              <w:rPr>
                <w:rFonts w:asciiTheme="majorHAnsi" w:hAnsiTheme="majorHAnsi"/>
              </w:rPr>
              <w:t xml:space="preserve"> </w:t>
            </w:r>
            <w:r w:rsidR="00E30B94">
              <w:rPr>
                <w:rFonts w:asciiTheme="majorHAnsi" w:hAnsiTheme="majorHAnsi"/>
              </w:rPr>
              <w:t xml:space="preserve">Section 4 and </w:t>
            </w:r>
            <w:r w:rsidR="008618E4">
              <w:rPr>
                <w:rFonts w:asciiTheme="majorHAnsi" w:hAnsiTheme="majorHAnsi"/>
              </w:rPr>
              <w:t>Appendix 1</w:t>
            </w:r>
            <w:r>
              <w:rPr>
                <w:rFonts w:asciiTheme="majorHAnsi" w:hAnsiTheme="majorHAnsi"/>
              </w:rPr>
              <w:t xml:space="preserve">  </w:t>
            </w:r>
          </w:p>
        </w:tc>
      </w:tr>
      <w:tr w:rsidR="00DD3679" w:rsidRPr="009335A6" w:rsidTr="004D3920">
        <w:tc>
          <w:tcPr>
            <w:tcW w:w="1340" w:type="dxa"/>
          </w:tcPr>
          <w:p w:rsidR="00DD3679" w:rsidRPr="009335A6" w:rsidRDefault="00DD3679">
            <w:pPr>
              <w:rPr>
                <w:rFonts w:asciiTheme="majorHAnsi" w:hAnsiTheme="majorHAnsi"/>
              </w:rPr>
            </w:pPr>
          </w:p>
        </w:tc>
        <w:tc>
          <w:tcPr>
            <w:tcW w:w="8740" w:type="dxa"/>
          </w:tcPr>
          <w:p w:rsidR="00DD3679" w:rsidRPr="009335A6" w:rsidRDefault="00DD3679" w:rsidP="00921BD7">
            <w:pPr>
              <w:rPr>
                <w:rFonts w:asciiTheme="majorHAnsi" w:hAnsiTheme="majorHAnsi"/>
              </w:rPr>
            </w:pPr>
            <w:r w:rsidRPr="009335A6">
              <w:rPr>
                <w:rFonts w:asciiTheme="majorHAnsi" w:hAnsiTheme="majorHAnsi" w:cs="Arial"/>
              </w:rPr>
              <w:t>(2) The RFP must document that the size of the resource block is consistent with the range of estimated new resource needs identified in the utility's integrated resource plan.</w:t>
            </w:r>
            <w:r w:rsidRPr="009335A6">
              <w:rPr>
                <w:rFonts w:asciiTheme="majorHAnsi" w:hAnsiTheme="majorHAnsi" w:cs="Arial"/>
              </w:rPr>
              <w:br/>
            </w:r>
            <w:r w:rsidRPr="009335A6">
              <w:rPr>
                <w:rFonts w:asciiTheme="majorHAnsi" w:hAnsiTheme="majorHAnsi" w:cs="Arial"/>
              </w:rPr>
              <w:br/>
            </w:r>
          </w:p>
        </w:tc>
        <w:tc>
          <w:tcPr>
            <w:tcW w:w="3370" w:type="dxa"/>
          </w:tcPr>
          <w:p w:rsidR="00DD3679" w:rsidRPr="009335A6" w:rsidRDefault="00DD3679">
            <w:pPr>
              <w:rPr>
                <w:rFonts w:asciiTheme="majorHAnsi" w:hAnsiTheme="majorHAnsi"/>
              </w:rPr>
            </w:pPr>
            <w:r>
              <w:rPr>
                <w:rFonts w:asciiTheme="majorHAnsi" w:hAnsiTheme="majorHAnsi"/>
              </w:rPr>
              <w:t>Part I, Section 3.</w:t>
            </w:r>
          </w:p>
        </w:tc>
      </w:tr>
      <w:tr w:rsidR="00DD3679" w:rsidRPr="009335A6" w:rsidTr="004D3920">
        <w:tc>
          <w:tcPr>
            <w:tcW w:w="1340" w:type="dxa"/>
          </w:tcPr>
          <w:p w:rsidR="00DD3679" w:rsidRPr="009335A6" w:rsidRDefault="00DD3679">
            <w:pPr>
              <w:rPr>
                <w:rFonts w:asciiTheme="majorHAnsi" w:hAnsiTheme="majorHAnsi"/>
              </w:rPr>
            </w:pPr>
          </w:p>
        </w:tc>
        <w:tc>
          <w:tcPr>
            <w:tcW w:w="8740" w:type="dxa"/>
          </w:tcPr>
          <w:p w:rsidR="00DD3679" w:rsidRPr="009335A6" w:rsidRDefault="00DD3679" w:rsidP="00921BD7">
            <w:pPr>
              <w:rPr>
                <w:rFonts w:asciiTheme="majorHAnsi" w:hAnsiTheme="majorHAnsi"/>
              </w:rPr>
            </w:pPr>
            <w:r w:rsidRPr="009335A6">
              <w:rPr>
                <w:rFonts w:asciiTheme="majorHAnsi" w:hAnsiTheme="majorHAnsi" w:cs="Arial"/>
              </w:rPr>
              <w:t xml:space="preserve">(3) The RFP must explain general evaluation and ranking procedures the utility will use in accordance with WAC </w:t>
            </w:r>
            <w:hyperlink r:id="rId7" w:history="1">
              <w:r w:rsidRPr="009335A6">
                <w:rPr>
                  <w:rStyle w:val="Hyperlink"/>
                  <w:rFonts w:asciiTheme="majorHAnsi" w:hAnsiTheme="majorHAnsi" w:cs="Arial"/>
                </w:rPr>
                <w:t>480-107-035</w:t>
              </w:r>
            </w:hyperlink>
            <w:r w:rsidRPr="009335A6">
              <w:rPr>
                <w:rFonts w:asciiTheme="majorHAnsi" w:hAnsiTheme="majorHAnsi" w:cs="Arial"/>
              </w:rPr>
              <w:t xml:space="preserve"> Project ranking procedure. The RFP must also specify any minimum criteria that bidders must satisfy to be eligible for consideration in the ranking procedure.</w:t>
            </w:r>
            <w:r w:rsidRPr="009335A6">
              <w:rPr>
                <w:rFonts w:asciiTheme="majorHAnsi" w:hAnsiTheme="majorHAnsi" w:cs="Arial"/>
              </w:rPr>
              <w:br/>
            </w:r>
          </w:p>
        </w:tc>
        <w:tc>
          <w:tcPr>
            <w:tcW w:w="3370" w:type="dxa"/>
          </w:tcPr>
          <w:p w:rsidR="00DD3679" w:rsidRPr="009335A6" w:rsidRDefault="00DD3679">
            <w:pPr>
              <w:rPr>
                <w:rFonts w:asciiTheme="majorHAnsi" w:hAnsiTheme="majorHAnsi"/>
              </w:rPr>
            </w:pPr>
            <w:r>
              <w:rPr>
                <w:rFonts w:asciiTheme="majorHAnsi" w:hAnsiTheme="majorHAnsi"/>
              </w:rPr>
              <w:t>Part I, Section 5.</w:t>
            </w:r>
          </w:p>
        </w:tc>
      </w:tr>
      <w:tr w:rsidR="00DD3679" w:rsidRPr="009335A6" w:rsidTr="004D3920">
        <w:tc>
          <w:tcPr>
            <w:tcW w:w="1340" w:type="dxa"/>
          </w:tcPr>
          <w:p w:rsidR="00DD3679" w:rsidRPr="009335A6" w:rsidRDefault="00DD3679">
            <w:pPr>
              <w:rPr>
                <w:rFonts w:asciiTheme="majorHAnsi" w:hAnsiTheme="majorHAnsi"/>
              </w:rPr>
            </w:pPr>
          </w:p>
        </w:tc>
        <w:tc>
          <w:tcPr>
            <w:tcW w:w="8740" w:type="dxa"/>
          </w:tcPr>
          <w:p w:rsidR="00DD3679" w:rsidRPr="009335A6" w:rsidRDefault="00DD3679" w:rsidP="00921BD7">
            <w:pPr>
              <w:rPr>
                <w:rFonts w:asciiTheme="majorHAnsi" w:hAnsiTheme="majorHAnsi"/>
              </w:rPr>
            </w:pPr>
            <w:r w:rsidRPr="009335A6">
              <w:rPr>
                <w:rFonts w:asciiTheme="majorHAnsi" w:hAnsiTheme="majorHAnsi" w:cs="Arial"/>
              </w:rPr>
              <w:t>(4) The RFP must specify the timing of process including the solicitation period, the ranking period, and the expected selection period.</w:t>
            </w:r>
            <w:r w:rsidRPr="009335A6">
              <w:rPr>
                <w:rFonts w:asciiTheme="majorHAnsi" w:hAnsiTheme="majorHAnsi" w:cs="Arial"/>
              </w:rPr>
              <w:br/>
            </w:r>
          </w:p>
        </w:tc>
        <w:tc>
          <w:tcPr>
            <w:tcW w:w="3370" w:type="dxa"/>
          </w:tcPr>
          <w:p w:rsidR="00DD3679" w:rsidRPr="009335A6" w:rsidRDefault="00DD3679">
            <w:pPr>
              <w:rPr>
                <w:rFonts w:asciiTheme="majorHAnsi" w:hAnsiTheme="majorHAnsi"/>
              </w:rPr>
            </w:pPr>
            <w:r>
              <w:rPr>
                <w:rFonts w:asciiTheme="majorHAnsi" w:hAnsiTheme="majorHAnsi"/>
              </w:rPr>
              <w:t>Part I, Sections 4-5.</w:t>
            </w:r>
          </w:p>
        </w:tc>
      </w:tr>
      <w:tr w:rsidR="00DD3679" w:rsidRPr="009335A6" w:rsidTr="004D3920">
        <w:tc>
          <w:tcPr>
            <w:tcW w:w="1340" w:type="dxa"/>
          </w:tcPr>
          <w:p w:rsidR="00DD3679" w:rsidRPr="009335A6" w:rsidRDefault="00DD3679">
            <w:pPr>
              <w:rPr>
                <w:rFonts w:asciiTheme="majorHAnsi" w:hAnsiTheme="majorHAnsi"/>
              </w:rPr>
            </w:pPr>
          </w:p>
        </w:tc>
        <w:tc>
          <w:tcPr>
            <w:tcW w:w="8740" w:type="dxa"/>
          </w:tcPr>
          <w:p w:rsidR="00DD3679" w:rsidRPr="009335A6" w:rsidRDefault="00DD3679" w:rsidP="00921BD7">
            <w:pPr>
              <w:rPr>
                <w:rFonts w:asciiTheme="majorHAnsi" w:hAnsiTheme="majorHAnsi"/>
              </w:rPr>
            </w:pPr>
            <w:r w:rsidRPr="009335A6">
              <w:rPr>
                <w:rFonts w:asciiTheme="majorHAnsi" w:hAnsiTheme="majorHAnsi" w:cs="Arial"/>
              </w:rPr>
              <w:t>(5) The RFP must identify all security requirements and the rationale for them.</w:t>
            </w:r>
            <w:r w:rsidRPr="009335A6">
              <w:rPr>
                <w:rFonts w:asciiTheme="majorHAnsi" w:hAnsiTheme="majorHAnsi" w:cs="Arial"/>
              </w:rPr>
              <w:br/>
            </w:r>
          </w:p>
        </w:tc>
        <w:tc>
          <w:tcPr>
            <w:tcW w:w="3370" w:type="dxa"/>
          </w:tcPr>
          <w:p w:rsidR="00DD3679" w:rsidRPr="009335A6" w:rsidRDefault="00E30B94">
            <w:pPr>
              <w:rPr>
                <w:rFonts w:asciiTheme="majorHAnsi" w:hAnsiTheme="majorHAnsi"/>
              </w:rPr>
            </w:pPr>
            <w:r>
              <w:rPr>
                <w:rFonts w:asciiTheme="majorHAnsi" w:hAnsiTheme="majorHAnsi"/>
              </w:rPr>
              <w:t>Part II</w:t>
            </w:r>
            <w:r w:rsidR="00725CCE">
              <w:rPr>
                <w:rFonts w:asciiTheme="majorHAnsi" w:hAnsiTheme="majorHAnsi"/>
              </w:rPr>
              <w:t>,</w:t>
            </w:r>
            <w:r>
              <w:rPr>
                <w:rFonts w:asciiTheme="majorHAnsi" w:hAnsiTheme="majorHAnsi"/>
              </w:rPr>
              <w:t xml:space="preserve"> Section 2.</w:t>
            </w:r>
          </w:p>
        </w:tc>
      </w:tr>
      <w:tr w:rsidR="00DD3679" w:rsidRPr="009335A6" w:rsidTr="004D3920">
        <w:tc>
          <w:tcPr>
            <w:tcW w:w="10080" w:type="dxa"/>
            <w:gridSpan w:val="2"/>
          </w:tcPr>
          <w:p w:rsidR="00DD3679" w:rsidRPr="009335A6" w:rsidRDefault="00DD3679">
            <w:pPr>
              <w:rPr>
                <w:rFonts w:asciiTheme="majorHAnsi" w:hAnsiTheme="majorHAnsi"/>
                <w:b/>
              </w:rPr>
            </w:pPr>
            <w:r w:rsidRPr="009335A6">
              <w:rPr>
                <w:rFonts w:asciiTheme="majorHAnsi" w:hAnsiTheme="majorHAnsi"/>
                <w:b/>
              </w:rPr>
              <w:t>480-107-035 – Ranking Procedures</w:t>
            </w:r>
          </w:p>
        </w:tc>
        <w:tc>
          <w:tcPr>
            <w:tcW w:w="3370" w:type="dxa"/>
          </w:tcPr>
          <w:p w:rsidR="00DD3679" w:rsidRPr="009335A6" w:rsidRDefault="00DD3679">
            <w:pPr>
              <w:rPr>
                <w:rFonts w:asciiTheme="majorHAnsi" w:hAnsiTheme="majorHAnsi"/>
              </w:rPr>
            </w:pPr>
          </w:p>
        </w:tc>
      </w:tr>
      <w:tr w:rsidR="00DD3679" w:rsidRPr="009335A6" w:rsidTr="004D3920">
        <w:tc>
          <w:tcPr>
            <w:tcW w:w="1340" w:type="dxa"/>
          </w:tcPr>
          <w:p w:rsidR="00DD3679" w:rsidRPr="009335A6" w:rsidRDefault="00DD3679">
            <w:pPr>
              <w:rPr>
                <w:rFonts w:asciiTheme="majorHAnsi" w:hAnsiTheme="majorHAnsi"/>
              </w:rPr>
            </w:pPr>
          </w:p>
        </w:tc>
        <w:tc>
          <w:tcPr>
            <w:tcW w:w="8740" w:type="dxa"/>
          </w:tcPr>
          <w:p w:rsidR="00DD3679" w:rsidRPr="009335A6" w:rsidRDefault="00DD3679" w:rsidP="00725CCE">
            <w:pPr>
              <w:rPr>
                <w:rFonts w:asciiTheme="majorHAnsi" w:hAnsiTheme="majorHAnsi"/>
              </w:rPr>
            </w:pPr>
            <w:r w:rsidRPr="009335A6">
              <w:rPr>
                <w:rFonts w:asciiTheme="majorHAnsi" w:hAnsiTheme="majorHAnsi" w:cs="Arial"/>
              </w:rPr>
              <w:t>(2) At a minimum, the ranking criteria must recognize resource cost, market-volatility risks, demand-side resource uncertainties, resource dispatchability, resource effect on system operation, credit and financial risks to the utility, the risks imposed on ratepayers, public policies regarding resource preference adopted by Washington state or the federal government and environmental effects including those associated with resources that emit carbon dioxide. The ranking criteria must recognize differences in relative amounts of risk inherent among different technologies, fuel sources, financing arrangements, and contract provisions. The ranking process must complement power acquisition goals identified in the utility's integrated resource plan.</w:t>
            </w:r>
          </w:p>
        </w:tc>
        <w:tc>
          <w:tcPr>
            <w:tcW w:w="3370" w:type="dxa"/>
          </w:tcPr>
          <w:p w:rsidR="00DD3679" w:rsidRPr="009335A6" w:rsidRDefault="00785806">
            <w:pPr>
              <w:rPr>
                <w:rFonts w:asciiTheme="majorHAnsi" w:hAnsiTheme="majorHAnsi"/>
              </w:rPr>
            </w:pPr>
            <w:r>
              <w:rPr>
                <w:rFonts w:asciiTheme="majorHAnsi" w:hAnsiTheme="majorHAnsi"/>
              </w:rPr>
              <w:t>Part I, Section 5.</w:t>
            </w:r>
          </w:p>
        </w:tc>
      </w:tr>
    </w:tbl>
    <w:p w:rsidR="00D47A30" w:rsidRDefault="00D47A30"/>
    <w:sectPr w:rsidR="00D47A30" w:rsidSect="00E76ACD">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F3D" w:rsidRDefault="00E10F3D" w:rsidP="00641370">
      <w:pPr>
        <w:spacing w:after="0" w:line="240" w:lineRule="auto"/>
      </w:pPr>
      <w:r>
        <w:separator/>
      </w:r>
    </w:p>
  </w:endnote>
  <w:endnote w:type="continuationSeparator" w:id="0">
    <w:p w:rsidR="00E10F3D" w:rsidRDefault="00E10F3D" w:rsidP="006413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5B" w:rsidRDefault="006339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32F" w:rsidRDefault="009C232F">
    <w:pPr>
      <w:pStyle w:val="Footer"/>
      <w:jc w:val="right"/>
    </w:pPr>
    <w:r>
      <w:t>Last Updated – 8-1</w:t>
    </w:r>
    <w:r w:rsidR="00C5656B">
      <w:t>2</w:t>
    </w:r>
    <w:r>
      <w:t xml:space="preserve">-11 -- Page </w:t>
    </w:r>
    <w:sdt>
      <w:sdtPr>
        <w:id w:val="253805719"/>
        <w:docPartObj>
          <w:docPartGallery w:val="Page Numbers (Bottom of Page)"/>
          <w:docPartUnique/>
        </w:docPartObj>
      </w:sdtPr>
      <w:sdtContent>
        <w:fldSimple w:instr=" PAGE   \* MERGEFORMAT ">
          <w:r w:rsidR="0063395B">
            <w:rPr>
              <w:noProof/>
            </w:rPr>
            <w:t>1</w:t>
          </w:r>
        </w:fldSimple>
      </w:sdtContent>
    </w:sdt>
  </w:p>
  <w:p w:rsidR="009C232F" w:rsidRDefault="009C23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5B" w:rsidRDefault="006339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F3D" w:rsidRDefault="00E10F3D" w:rsidP="00641370">
      <w:pPr>
        <w:spacing w:after="0" w:line="240" w:lineRule="auto"/>
      </w:pPr>
      <w:r>
        <w:separator/>
      </w:r>
    </w:p>
  </w:footnote>
  <w:footnote w:type="continuationSeparator" w:id="0">
    <w:p w:rsidR="00E10F3D" w:rsidRDefault="00E10F3D" w:rsidP="006413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5B" w:rsidRDefault="006339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5B" w:rsidRDefault="006339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5B" w:rsidRDefault="006339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017DC"/>
    <w:multiLevelType w:val="hybridMultilevel"/>
    <w:tmpl w:val="229E7948"/>
    <w:lvl w:ilvl="0" w:tplc="5D760D80">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nsid w:val="32E359F1"/>
    <w:multiLevelType w:val="hybridMultilevel"/>
    <w:tmpl w:val="5E16F146"/>
    <w:lvl w:ilvl="0" w:tplc="1BBAFA64">
      <w:start w:val="1"/>
      <w:numFmt w:val="decimal"/>
      <w:lvlText w:val="(%1)"/>
      <w:lvlJc w:val="left"/>
      <w:pPr>
        <w:ind w:left="720" w:hanging="360"/>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E01C45"/>
    <w:multiLevelType w:val="hybridMultilevel"/>
    <w:tmpl w:val="B9F22DD4"/>
    <w:lvl w:ilvl="0" w:tplc="0D0E3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FB3556"/>
    <w:multiLevelType w:val="multilevel"/>
    <w:tmpl w:val="E03035EC"/>
    <w:lvl w:ilvl="0">
      <w:start w:val="480"/>
      <w:numFmt w:val="decimal"/>
      <w:lvlText w:val="%1"/>
      <w:lvlJc w:val="left"/>
      <w:pPr>
        <w:ind w:left="1095" w:hanging="1095"/>
      </w:pPr>
      <w:rPr>
        <w:rFonts w:cs="Arial" w:hint="default"/>
      </w:rPr>
    </w:lvl>
    <w:lvl w:ilvl="1">
      <w:start w:val="107"/>
      <w:numFmt w:val="decimal"/>
      <w:lvlText w:val="%1-%2"/>
      <w:lvlJc w:val="left"/>
      <w:pPr>
        <w:ind w:left="1095" w:hanging="1095"/>
      </w:pPr>
      <w:rPr>
        <w:rFonts w:cs="Arial" w:hint="default"/>
      </w:rPr>
    </w:lvl>
    <w:lvl w:ilvl="2">
      <w:start w:val="1"/>
      <w:numFmt w:val="decimalZero"/>
      <w:lvlText w:val="%1-%2-%3"/>
      <w:lvlJc w:val="left"/>
      <w:pPr>
        <w:ind w:left="1095" w:hanging="1095"/>
      </w:pPr>
      <w:rPr>
        <w:rFonts w:cs="Arial" w:hint="default"/>
      </w:rPr>
    </w:lvl>
    <w:lvl w:ilvl="3">
      <w:start w:val="1"/>
      <w:numFmt w:val="decimal"/>
      <w:lvlText w:val="%1-%2-%3.%4"/>
      <w:lvlJc w:val="left"/>
      <w:pPr>
        <w:ind w:left="1095" w:hanging="1095"/>
      </w:pPr>
      <w:rPr>
        <w:rFonts w:cs="Arial" w:hint="default"/>
      </w:rPr>
    </w:lvl>
    <w:lvl w:ilvl="4">
      <w:start w:val="1"/>
      <w:numFmt w:val="decimal"/>
      <w:lvlText w:val="%1-%2-%3.%4.%5"/>
      <w:lvlJc w:val="left"/>
      <w:pPr>
        <w:ind w:left="1095" w:hanging="1095"/>
      </w:pPr>
      <w:rPr>
        <w:rFonts w:cs="Arial" w:hint="default"/>
      </w:rPr>
    </w:lvl>
    <w:lvl w:ilvl="5">
      <w:start w:val="1"/>
      <w:numFmt w:val="decimal"/>
      <w:lvlText w:val="%1-%2-%3.%4.%5.%6"/>
      <w:lvlJc w:val="left"/>
      <w:pPr>
        <w:ind w:left="1095" w:hanging="1095"/>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4">
    <w:nsid w:val="68816887"/>
    <w:multiLevelType w:val="hybridMultilevel"/>
    <w:tmpl w:val="11DA3658"/>
    <w:lvl w:ilvl="0" w:tplc="54F0E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6A4505"/>
    <w:multiLevelType w:val="hybridMultilevel"/>
    <w:tmpl w:val="3B6860B6"/>
    <w:lvl w:ilvl="0" w:tplc="7AB6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2B40F4"/>
    <w:multiLevelType w:val="hybridMultilevel"/>
    <w:tmpl w:val="14821FC8"/>
    <w:lvl w:ilvl="0" w:tplc="E9702EF0">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
    <w:nsid w:val="7D6E260B"/>
    <w:multiLevelType w:val="hybridMultilevel"/>
    <w:tmpl w:val="6966F5C4"/>
    <w:lvl w:ilvl="0" w:tplc="F7287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5"/>
  </w:num>
  <w:num w:numId="5">
    <w:abstractNumId w:val="4"/>
  </w:num>
  <w:num w:numId="6">
    <w:abstractNumId w:val="0"/>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D47A30"/>
    <w:rsid w:val="00010F47"/>
    <w:rsid w:val="0003364E"/>
    <w:rsid w:val="00115FCC"/>
    <w:rsid w:val="001C3A6D"/>
    <w:rsid w:val="00216344"/>
    <w:rsid w:val="002F00B9"/>
    <w:rsid w:val="002F547F"/>
    <w:rsid w:val="00310EF1"/>
    <w:rsid w:val="0034445E"/>
    <w:rsid w:val="003A044E"/>
    <w:rsid w:val="003A758E"/>
    <w:rsid w:val="003C6E4C"/>
    <w:rsid w:val="003E31F9"/>
    <w:rsid w:val="00470D54"/>
    <w:rsid w:val="004A7DBE"/>
    <w:rsid w:val="004D3920"/>
    <w:rsid w:val="004E6D42"/>
    <w:rsid w:val="00534AFE"/>
    <w:rsid w:val="005A016B"/>
    <w:rsid w:val="005D1AE6"/>
    <w:rsid w:val="005D7A0F"/>
    <w:rsid w:val="005F417E"/>
    <w:rsid w:val="00603D91"/>
    <w:rsid w:val="0063395B"/>
    <w:rsid w:val="00641370"/>
    <w:rsid w:val="00655F6F"/>
    <w:rsid w:val="00725CCE"/>
    <w:rsid w:val="007417FD"/>
    <w:rsid w:val="00785806"/>
    <w:rsid w:val="00791E85"/>
    <w:rsid w:val="007951F0"/>
    <w:rsid w:val="007A3D44"/>
    <w:rsid w:val="00806F33"/>
    <w:rsid w:val="00811559"/>
    <w:rsid w:val="008500DC"/>
    <w:rsid w:val="008516B4"/>
    <w:rsid w:val="00856262"/>
    <w:rsid w:val="008618E4"/>
    <w:rsid w:val="0086729F"/>
    <w:rsid w:val="00883E49"/>
    <w:rsid w:val="008B6DA6"/>
    <w:rsid w:val="008E34A4"/>
    <w:rsid w:val="00921BD7"/>
    <w:rsid w:val="009335A6"/>
    <w:rsid w:val="009614AB"/>
    <w:rsid w:val="009A1C6E"/>
    <w:rsid w:val="009C0315"/>
    <w:rsid w:val="009C1B11"/>
    <w:rsid w:val="009C1CA8"/>
    <w:rsid w:val="009C232F"/>
    <w:rsid w:val="009E36C4"/>
    <w:rsid w:val="00A4169C"/>
    <w:rsid w:val="00A718D5"/>
    <w:rsid w:val="00B01A9E"/>
    <w:rsid w:val="00BD1093"/>
    <w:rsid w:val="00C5656B"/>
    <w:rsid w:val="00C7583C"/>
    <w:rsid w:val="00C942FF"/>
    <w:rsid w:val="00CB179C"/>
    <w:rsid w:val="00CB36EA"/>
    <w:rsid w:val="00D47A30"/>
    <w:rsid w:val="00D47C1D"/>
    <w:rsid w:val="00DA05BF"/>
    <w:rsid w:val="00DB2690"/>
    <w:rsid w:val="00DC1C4A"/>
    <w:rsid w:val="00DD2FD3"/>
    <w:rsid w:val="00DD3679"/>
    <w:rsid w:val="00E10F3D"/>
    <w:rsid w:val="00E30B94"/>
    <w:rsid w:val="00E37863"/>
    <w:rsid w:val="00E47BBD"/>
    <w:rsid w:val="00E76ACD"/>
    <w:rsid w:val="00E91441"/>
    <w:rsid w:val="00EA197A"/>
    <w:rsid w:val="00ED5894"/>
    <w:rsid w:val="00F05C7F"/>
    <w:rsid w:val="00F44787"/>
    <w:rsid w:val="00F60554"/>
    <w:rsid w:val="00F61417"/>
    <w:rsid w:val="00F97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58E"/>
  </w:style>
  <w:style w:type="paragraph" w:styleId="Heading3">
    <w:name w:val="heading 3"/>
    <w:basedOn w:val="Normal"/>
    <w:link w:val="Heading3Char"/>
    <w:uiPriority w:val="9"/>
    <w:qFormat/>
    <w:rsid w:val="005F417E"/>
    <w:pPr>
      <w:spacing w:after="150" w:line="240" w:lineRule="auto"/>
      <w:outlineLvl w:val="2"/>
    </w:pPr>
    <w:rPr>
      <w:rFonts w:ascii="Arial Black" w:eastAsia="Times New Roman" w:hAnsi="Arial Black"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7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00B9"/>
    <w:pPr>
      <w:ind w:left="720"/>
      <w:contextualSpacing/>
    </w:pPr>
  </w:style>
  <w:style w:type="character" w:styleId="Hyperlink">
    <w:name w:val="Hyperlink"/>
    <w:basedOn w:val="DefaultParagraphFont"/>
    <w:uiPriority w:val="99"/>
    <w:semiHidden/>
    <w:unhideWhenUsed/>
    <w:rsid w:val="00310EF1"/>
    <w:rPr>
      <w:color w:val="2B674D"/>
      <w:u w:val="single"/>
    </w:rPr>
  </w:style>
  <w:style w:type="character" w:customStyle="1" w:styleId="Heading3Char">
    <w:name w:val="Heading 3 Char"/>
    <w:basedOn w:val="DefaultParagraphFont"/>
    <w:link w:val="Heading3"/>
    <w:uiPriority w:val="9"/>
    <w:rsid w:val="005F417E"/>
    <w:rPr>
      <w:rFonts w:ascii="Arial Black" w:eastAsia="Times New Roman" w:hAnsi="Arial Black" w:cs="Times New Roman"/>
      <w:color w:val="000000"/>
      <w:sz w:val="24"/>
      <w:szCs w:val="24"/>
    </w:rPr>
  </w:style>
  <w:style w:type="paragraph" w:styleId="Header">
    <w:name w:val="header"/>
    <w:basedOn w:val="Normal"/>
    <w:link w:val="HeaderChar"/>
    <w:uiPriority w:val="99"/>
    <w:semiHidden/>
    <w:unhideWhenUsed/>
    <w:rsid w:val="006413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1370"/>
  </w:style>
  <w:style w:type="paragraph" w:styleId="Footer">
    <w:name w:val="footer"/>
    <w:basedOn w:val="Normal"/>
    <w:link w:val="FooterChar"/>
    <w:uiPriority w:val="99"/>
    <w:unhideWhenUsed/>
    <w:rsid w:val="00641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370"/>
  </w:style>
  <w:style w:type="paragraph" w:styleId="FootnoteText">
    <w:name w:val="footnote text"/>
    <w:basedOn w:val="Normal"/>
    <w:link w:val="FootnoteTextChar"/>
    <w:rsid w:val="009C232F"/>
    <w:pPr>
      <w:spacing w:after="0" w:line="240" w:lineRule="auto"/>
    </w:pPr>
    <w:rPr>
      <w:rFonts w:ascii="Palatino Linotype" w:eastAsia="Times New Roman" w:hAnsi="Palatino Linotype" w:cs="Times New Roman"/>
      <w:sz w:val="20"/>
      <w:szCs w:val="20"/>
    </w:rPr>
  </w:style>
  <w:style w:type="character" w:customStyle="1" w:styleId="FootnoteTextChar">
    <w:name w:val="Footnote Text Char"/>
    <w:basedOn w:val="DefaultParagraphFont"/>
    <w:link w:val="FootnoteText"/>
    <w:rsid w:val="009C232F"/>
    <w:rPr>
      <w:rFonts w:ascii="Palatino Linotype" w:eastAsia="Times New Roman" w:hAnsi="Palatino Linotype" w:cs="Times New Roman"/>
      <w:sz w:val="20"/>
      <w:szCs w:val="20"/>
    </w:rPr>
  </w:style>
  <w:style w:type="character" w:styleId="FootnoteReference">
    <w:name w:val="footnote reference"/>
    <w:rsid w:val="009C232F"/>
    <w:rPr>
      <w:vertAlign w:val="superscript"/>
    </w:rPr>
  </w:style>
</w:styles>
</file>

<file path=word/webSettings.xml><?xml version="1.0" encoding="utf-8"?>
<w:webSettings xmlns:r="http://schemas.openxmlformats.org/officeDocument/2006/relationships" xmlns:w="http://schemas.openxmlformats.org/wordprocessingml/2006/main">
  <w:divs>
    <w:div w:id="952324999">
      <w:bodyDiv w:val="1"/>
      <w:marLeft w:val="0"/>
      <w:marRight w:val="0"/>
      <w:marTop w:val="0"/>
      <w:marBottom w:val="0"/>
      <w:divBdr>
        <w:top w:val="none" w:sz="0" w:space="0" w:color="auto"/>
        <w:left w:val="none" w:sz="0" w:space="0" w:color="auto"/>
        <w:bottom w:val="none" w:sz="0" w:space="0" w:color="auto"/>
        <w:right w:val="none" w:sz="0" w:space="0" w:color="auto"/>
      </w:divBdr>
      <w:divsChild>
        <w:div w:id="1769354338">
          <w:marLeft w:val="0"/>
          <w:marRight w:val="0"/>
          <w:marTop w:val="0"/>
          <w:marBottom w:val="0"/>
          <w:divBdr>
            <w:top w:val="none" w:sz="0" w:space="0" w:color="auto"/>
            <w:left w:val="none" w:sz="0" w:space="0" w:color="auto"/>
            <w:bottom w:val="none" w:sz="0" w:space="0" w:color="auto"/>
            <w:right w:val="none" w:sz="0" w:space="0" w:color="auto"/>
          </w:divBdr>
          <w:divsChild>
            <w:div w:id="229776168">
              <w:marLeft w:val="2655"/>
              <w:marRight w:val="0"/>
              <w:marTop w:val="0"/>
              <w:marBottom w:val="0"/>
              <w:divBdr>
                <w:top w:val="none" w:sz="0" w:space="0" w:color="auto"/>
                <w:left w:val="none" w:sz="0" w:space="0" w:color="auto"/>
                <w:bottom w:val="none" w:sz="0" w:space="0" w:color="auto"/>
                <w:right w:val="none" w:sz="0" w:space="0" w:color="auto"/>
              </w:divBdr>
              <w:divsChild>
                <w:div w:id="20970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750811">
      <w:bodyDiv w:val="1"/>
      <w:marLeft w:val="0"/>
      <w:marRight w:val="0"/>
      <w:marTop w:val="0"/>
      <w:marBottom w:val="0"/>
      <w:divBdr>
        <w:top w:val="none" w:sz="0" w:space="0" w:color="auto"/>
        <w:left w:val="none" w:sz="0" w:space="0" w:color="auto"/>
        <w:bottom w:val="none" w:sz="0" w:space="0" w:color="auto"/>
        <w:right w:val="none" w:sz="0" w:space="0" w:color="auto"/>
      </w:divBdr>
      <w:divsChild>
        <w:div w:id="1596815677">
          <w:marLeft w:val="0"/>
          <w:marRight w:val="0"/>
          <w:marTop w:val="0"/>
          <w:marBottom w:val="0"/>
          <w:divBdr>
            <w:top w:val="none" w:sz="0" w:space="0" w:color="auto"/>
            <w:left w:val="none" w:sz="0" w:space="0" w:color="auto"/>
            <w:bottom w:val="none" w:sz="0" w:space="0" w:color="auto"/>
            <w:right w:val="none" w:sz="0" w:space="0" w:color="auto"/>
          </w:divBdr>
          <w:divsChild>
            <w:div w:id="267128669">
              <w:marLeft w:val="2655"/>
              <w:marRight w:val="0"/>
              <w:marTop w:val="0"/>
              <w:marBottom w:val="0"/>
              <w:divBdr>
                <w:top w:val="none" w:sz="0" w:space="0" w:color="auto"/>
                <w:left w:val="none" w:sz="0" w:space="0" w:color="auto"/>
                <w:bottom w:val="none" w:sz="0" w:space="0" w:color="auto"/>
                <w:right w:val="none" w:sz="0" w:space="0" w:color="auto"/>
              </w:divBdr>
              <w:divsChild>
                <w:div w:id="17187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88125">
      <w:bodyDiv w:val="1"/>
      <w:marLeft w:val="0"/>
      <w:marRight w:val="0"/>
      <w:marTop w:val="0"/>
      <w:marBottom w:val="0"/>
      <w:divBdr>
        <w:top w:val="none" w:sz="0" w:space="0" w:color="auto"/>
        <w:left w:val="none" w:sz="0" w:space="0" w:color="auto"/>
        <w:bottom w:val="none" w:sz="0" w:space="0" w:color="auto"/>
        <w:right w:val="none" w:sz="0" w:space="0" w:color="auto"/>
      </w:divBdr>
      <w:divsChild>
        <w:div w:id="2082100456">
          <w:marLeft w:val="0"/>
          <w:marRight w:val="0"/>
          <w:marTop w:val="0"/>
          <w:marBottom w:val="0"/>
          <w:divBdr>
            <w:top w:val="none" w:sz="0" w:space="0" w:color="auto"/>
            <w:left w:val="none" w:sz="0" w:space="0" w:color="auto"/>
            <w:bottom w:val="none" w:sz="0" w:space="0" w:color="auto"/>
            <w:right w:val="none" w:sz="0" w:space="0" w:color="auto"/>
          </w:divBdr>
          <w:divsChild>
            <w:div w:id="1615945664">
              <w:marLeft w:val="2655"/>
              <w:marRight w:val="0"/>
              <w:marTop w:val="0"/>
              <w:marBottom w:val="0"/>
              <w:divBdr>
                <w:top w:val="none" w:sz="0" w:space="0" w:color="auto"/>
                <w:left w:val="none" w:sz="0" w:space="0" w:color="auto"/>
                <w:bottom w:val="none" w:sz="0" w:space="0" w:color="auto"/>
                <w:right w:val="none" w:sz="0" w:space="0" w:color="auto"/>
              </w:divBdr>
              <w:divsChild>
                <w:div w:id="2340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apps.leg.wa.gov/WAC/default.aspx?cite=480-107-035"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Request for Proposal</CaseType>
    <IndustryCode xmlns="dc463f71-b30c-4ab2-9473-d307f9d35888">140</IndustryCode>
    <CaseStatus xmlns="dc463f71-b30c-4ab2-9473-d307f9d35888">Closed</CaseStatus>
    <OpenedDate xmlns="dc463f71-b30c-4ab2-9473-d307f9d35888">2011-10-14T07:00:00+00:00</OpenedDate>
    <Date1 xmlns="dc463f71-b30c-4ab2-9473-d307f9d35888">2011-10-14T07:00:00+00:00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111804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8E482AA619E2D478F4F122B8E6FC62B" ma:contentTypeVersion="143" ma:contentTypeDescription="" ma:contentTypeScope="" ma:versionID="c607c190acffb48fff72ecadab4a12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307B586-54E1-48AB-8A84-33C69AD3041A}"/>
</file>

<file path=customXml/itemProps2.xml><?xml version="1.0" encoding="utf-8"?>
<ds:datastoreItem xmlns:ds="http://schemas.openxmlformats.org/officeDocument/2006/customXml" ds:itemID="{1101881D-423D-4D66-9C3D-1CADE45BA88C}"/>
</file>

<file path=customXml/itemProps3.xml><?xml version="1.0" encoding="utf-8"?>
<ds:datastoreItem xmlns:ds="http://schemas.openxmlformats.org/officeDocument/2006/customXml" ds:itemID="{3A3CE6F9-1E8D-4D0A-8170-048FB107C900}"/>
</file>

<file path=customXml/itemProps4.xml><?xml version="1.0" encoding="utf-8"?>
<ds:datastoreItem xmlns:ds="http://schemas.openxmlformats.org/officeDocument/2006/customXml" ds:itemID="{CFA321A0-A7A5-44AD-82E6-769CB95B4E4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2011-10-14T21:14:00Z</dcterms:created>
  <dcterms:modified xsi:type="dcterms:W3CDTF">2011-10-14T21:14:00Z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0x0101006E56B4D1795A2E4DB2F0B01679ED314A0048E482AA619E2D478F4F122B8E6FC62B</vt:lpwstr>
  </property>
  <property fmtid="{D5CDD505-2E9C-101B-9397-08002B2CF9AE}" pid="4" name="_docset_NoMedatataSyncRequired">
    <vt:lpwstr>False</vt:lpwstr>
  </property>
</Properties>
</file>