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  <w:smartTag w:uri="urn:schemas-microsoft-com:office:smarttags" w:element="stockticker">
        <w:r>
          <w:t>RATE</w:t>
        </w:r>
      </w:smartTag>
      <w:r>
        <w:t xml:space="preserve"> INCREASE NOTICE</w:t>
      </w:r>
      <w:r w:rsidR="00A013E0">
        <w:t xml:space="preserve"> FOR </w:t>
      </w:r>
      <w:r w:rsidR="006C2078">
        <w:t>RESIDENTIAL GARBAGE</w:t>
      </w:r>
      <w:r w:rsidR="005027B6">
        <w:t xml:space="preserve"> </w:t>
      </w:r>
      <w:smartTag w:uri="urn:schemas-microsoft-com:office:smarttags" w:element="stockticker">
        <w:r w:rsidR="005027B6">
          <w:t>AND</w:t>
        </w:r>
      </w:smartTag>
      <w:r w:rsidR="006C2078">
        <w:t xml:space="preserve"> RECYCLING</w:t>
      </w:r>
    </w:p>
    <w:p w:rsidR="00FA7D46" w:rsidRDefault="00FA7D46">
      <w:pPr>
        <w:pStyle w:val="Title"/>
        <w:jc w:val="left"/>
        <w:rPr>
          <w:b w:val="0"/>
          <w:bCs w:val="0"/>
        </w:rPr>
      </w:pP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Dear Customer: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 </w:t>
      </w:r>
      <w:r w:rsidR="00FB74AC">
        <w:rPr>
          <w:b w:val="0"/>
          <w:bCs w:val="0"/>
          <w:sz w:val="22"/>
          <w:szCs w:val="22"/>
        </w:rPr>
        <w:t xml:space="preserve">       </w:t>
      </w:r>
      <w:r>
        <w:rPr>
          <w:b w:val="0"/>
          <w:bCs w:val="0"/>
          <w:sz w:val="22"/>
          <w:szCs w:val="22"/>
        </w:rPr>
        <w:t xml:space="preserve">            </w:t>
      </w:r>
      <w:smartTag w:uri="urn:schemas-microsoft-com:office:smarttags" w:element="date">
        <w:smartTagPr>
          <w:attr w:name="Year" w:val="2011"/>
          <w:attr w:name="Day" w:val="29"/>
          <w:attr w:name="Month" w:val="4"/>
        </w:smartTagPr>
        <w:r w:rsidR="00FB74AC">
          <w:rPr>
            <w:b w:val="0"/>
            <w:bCs w:val="0"/>
            <w:sz w:val="22"/>
            <w:szCs w:val="22"/>
          </w:rPr>
          <w:t xml:space="preserve">April </w:t>
        </w:r>
        <w:r w:rsidR="00210E0C">
          <w:rPr>
            <w:b w:val="0"/>
            <w:bCs w:val="0"/>
            <w:sz w:val="22"/>
            <w:szCs w:val="22"/>
          </w:rPr>
          <w:t>29</w:t>
        </w:r>
        <w:r>
          <w:rPr>
            <w:b w:val="0"/>
            <w:bCs w:val="0"/>
            <w:sz w:val="22"/>
            <w:szCs w:val="22"/>
          </w:rPr>
          <w:t>, 201</w:t>
        </w:r>
        <w:r w:rsidR="00FB74AC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 xml:space="preserve"> </w:t>
      </w: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</w:p>
    <w:p w:rsidR="00FA7D46" w:rsidRDefault="00FB74AC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Olympic Disposal</w:t>
      </w:r>
      <w:r w:rsidR="00FA7D46">
        <w:rPr>
          <w:b w:val="0"/>
          <w:bCs w:val="0"/>
          <w:sz w:val="22"/>
          <w:szCs w:val="22"/>
        </w:rPr>
        <w:t xml:space="preserve"> has filed a request with the Washington Utilities and Transportation Commission (</w:t>
      </w:r>
      <w:r w:rsidR="00A840F5">
        <w:rPr>
          <w:b w:val="0"/>
          <w:bCs w:val="0"/>
          <w:sz w:val="22"/>
          <w:szCs w:val="22"/>
        </w:rPr>
        <w:t>W</w:t>
      </w:r>
      <w:r w:rsidR="006A1EAB">
        <w:rPr>
          <w:b w:val="0"/>
          <w:bCs w:val="0"/>
          <w:sz w:val="22"/>
          <w:szCs w:val="22"/>
        </w:rPr>
        <w:t>UTC</w:t>
      </w:r>
      <w:r w:rsidR="005D2268">
        <w:rPr>
          <w:b w:val="0"/>
          <w:bCs w:val="0"/>
          <w:sz w:val="22"/>
          <w:szCs w:val="22"/>
        </w:rPr>
        <w:t>)</w:t>
      </w:r>
      <w:r w:rsidR="00FA7D46">
        <w:rPr>
          <w:b w:val="0"/>
          <w:bCs w:val="0"/>
          <w:sz w:val="22"/>
          <w:szCs w:val="22"/>
        </w:rPr>
        <w:t xml:space="preserve"> </w:t>
      </w:r>
      <w:r w:rsidR="00A840F5">
        <w:rPr>
          <w:b w:val="0"/>
          <w:bCs w:val="0"/>
          <w:sz w:val="22"/>
          <w:szCs w:val="22"/>
        </w:rPr>
        <w:t>i</w:t>
      </w:r>
      <w:r>
        <w:rPr>
          <w:b w:val="0"/>
          <w:bCs w:val="0"/>
          <w:sz w:val="22"/>
          <w:szCs w:val="22"/>
        </w:rPr>
        <w:t xml:space="preserve">n an effort to recover increased operating </w:t>
      </w:r>
      <w:r w:rsidR="00A840F5">
        <w:rPr>
          <w:b w:val="0"/>
          <w:bCs w:val="0"/>
          <w:sz w:val="22"/>
          <w:szCs w:val="22"/>
        </w:rPr>
        <w:t xml:space="preserve">costs of labor, employee benefits, fuel, parts and equipment.  </w:t>
      </w:r>
      <w:r w:rsidR="00FA7D46">
        <w:rPr>
          <w:b w:val="0"/>
          <w:bCs w:val="0"/>
          <w:sz w:val="22"/>
          <w:szCs w:val="22"/>
        </w:rPr>
        <w:t xml:space="preserve">The last general rate increase was approved by the </w:t>
      </w:r>
      <w:r w:rsidR="006A1EAB">
        <w:rPr>
          <w:b w:val="0"/>
          <w:bCs w:val="0"/>
          <w:sz w:val="22"/>
          <w:szCs w:val="22"/>
        </w:rPr>
        <w:t xml:space="preserve">WUTC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6A1EAB">
          <w:rPr>
            <w:b w:val="0"/>
            <w:bCs w:val="0"/>
            <w:sz w:val="22"/>
            <w:szCs w:val="22"/>
          </w:rPr>
          <w:t>January 1, 200</w:t>
        </w:r>
        <w:r w:rsidR="00A840F5">
          <w:rPr>
            <w:b w:val="0"/>
            <w:bCs w:val="0"/>
            <w:sz w:val="22"/>
            <w:szCs w:val="22"/>
          </w:rPr>
          <w:t>9</w:t>
        </w:r>
      </w:smartTag>
      <w:r w:rsidR="006A1EAB">
        <w:rPr>
          <w:b w:val="0"/>
          <w:bCs w:val="0"/>
          <w:sz w:val="22"/>
          <w:szCs w:val="22"/>
        </w:rPr>
        <w:t>.</w:t>
      </w:r>
      <w:r w:rsidR="00FA7D46">
        <w:rPr>
          <w:b w:val="0"/>
          <w:bCs w:val="0"/>
          <w:sz w:val="22"/>
          <w:szCs w:val="22"/>
        </w:rPr>
        <w:t xml:space="preserve">  Since that time, the Company has experienced increase</w:t>
      </w:r>
      <w:r w:rsidR="004A1103">
        <w:rPr>
          <w:b w:val="0"/>
          <w:bCs w:val="0"/>
          <w:sz w:val="22"/>
          <w:szCs w:val="22"/>
        </w:rPr>
        <w:t>s in</w:t>
      </w:r>
      <w:r w:rsidR="00FA7D46">
        <w:rPr>
          <w:b w:val="0"/>
          <w:bCs w:val="0"/>
          <w:sz w:val="22"/>
          <w:szCs w:val="22"/>
        </w:rPr>
        <w:t xml:space="preserve"> operating costs in the areas of labor, employee benefits, fuel, parts and equipment amongst other categories which it now seeks to update in rates. 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approved, the proposed rates will become effective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DB5A5E">
          <w:rPr>
            <w:b w:val="0"/>
            <w:bCs w:val="0"/>
            <w:sz w:val="22"/>
            <w:szCs w:val="22"/>
          </w:rPr>
          <w:t>June</w:t>
        </w:r>
        <w:r>
          <w:rPr>
            <w:b w:val="0"/>
            <w:bCs w:val="0"/>
            <w:sz w:val="22"/>
            <w:szCs w:val="22"/>
          </w:rPr>
          <w:t xml:space="preserve"> 1, 201</w:t>
        </w:r>
        <w:r w:rsidR="005027B6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>.  The rate per</w:t>
      </w:r>
      <w:r w:rsidR="0017614D">
        <w:rPr>
          <w:b w:val="0"/>
          <w:bCs w:val="0"/>
          <w:sz w:val="22"/>
          <w:szCs w:val="22"/>
        </w:rPr>
        <w:t xml:space="preserve"> month</w:t>
      </w:r>
      <w:r>
        <w:rPr>
          <w:b w:val="0"/>
          <w:bCs w:val="0"/>
          <w:sz w:val="22"/>
          <w:szCs w:val="22"/>
        </w:rPr>
        <w:t xml:space="preserve"> will increase as follows:                      </w:t>
      </w:r>
    </w:p>
    <w:tbl>
      <w:tblPr>
        <w:tblW w:w="0" w:type="auto"/>
        <w:tblInd w:w="1440" w:type="dxa"/>
        <w:tblLook w:val="0000"/>
      </w:tblPr>
      <w:tblGrid>
        <w:gridCol w:w="2849"/>
        <w:gridCol w:w="1776"/>
        <w:gridCol w:w="222"/>
        <w:gridCol w:w="981"/>
        <w:gridCol w:w="222"/>
        <w:gridCol w:w="1261"/>
      </w:tblGrid>
      <w:tr w:rsidR="00FA7D4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</w:p>
        </w:tc>
      </w:tr>
      <w:tr w:rsidR="00FA7D4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Pr="005979DA" w:rsidRDefault="005979DA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979DA">
                  <w:rPr>
                    <w:b/>
                    <w:sz w:val="18"/>
                    <w:szCs w:val="18"/>
                  </w:rPr>
                  <w:t>Clallam</w:t>
                </w:r>
              </w:smartTag>
              <w:r w:rsidRPr="005979DA">
                <w:rPr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5979DA">
                  <w:rPr>
                    <w:b/>
                    <w:sz w:val="18"/>
                    <w:szCs w:val="18"/>
                  </w:rPr>
                  <w:t>County</w:t>
                </w:r>
              </w:smartTag>
            </w:smartTag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Rate</w:t>
            </w:r>
          </w:p>
        </w:tc>
      </w:tr>
      <w:tr w:rsidR="00FA7D4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62AF" w:rsidRPr="00B462AF" w:rsidRDefault="00B462AF">
            <w:pPr>
              <w:rPr>
                <w:b/>
                <w:sz w:val="18"/>
                <w:szCs w:val="18"/>
              </w:rPr>
            </w:pPr>
            <w:r w:rsidRPr="00B462AF">
              <w:rPr>
                <w:b/>
                <w:sz w:val="18"/>
                <w:szCs w:val="18"/>
              </w:rPr>
              <w:t xml:space="preserve"> Residential: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r w:rsidR="006C2078">
              <w:rPr>
                <w:sz w:val="18"/>
                <w:szCs w:val="18"/>
              </w:rPr>
              <w:t>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6C2078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r w:rsidR="006C2078">
              <w:rPr>
                <w:sz w:val="18"/>
                <w:szCs w:val="18"/>
              </w:rPr>
              <w:t>Month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gal weekly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0E0C" w:rsidRDefault="00A840F5" w:rsidP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210E0C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0F5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0E0C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15.44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 gal weekly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0E0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210E0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19.62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gal every-other-wk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40F5">
              <w:rPr>
                <w:sz w:val="18"/>
                <w:szCs w:val="18"/>
              </w:rPr>
              <w:t>1</w:t>
            </w:r>
            <w:r w:rsidR="00210E0C">
              <w:rPr>
                <w:sz w:val="18"/>
                <w:szCs w:val="18"/>
              </w:rPr>
              <w:t>.</w:t>
            </w:r>
            <w:r w:rsidR="005979DA">
              <w:rPr>
                <w:sz w:val="18"/>
                <w:szCs w:val="18"/>
              </w:rPr>
              <w:t>1</w:t>
            </w:r>
            <w:r w:rsidR="00210E0C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11.51</w:t>
            </w:r>
          </w:p>
        </w:tc>
      </w:tr>
      <w:tr w:rsidR="00D83B2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gal once p/month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  <w:r w:rsidR="00210E0C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6.97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027B6">
              <w:rPr>
                <w:sz w:val="18"/>
                <w:szCs w:val="18"/>
              </w:rPr>
              <w:t>5-gal weekly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10E0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210E0C">
              <w:rPr>
                <w:sz w:val="18"/>
                <w:szCs w:val="18"/>
              </w:rPr>
              <w:t>1</w:t>
            </w:r>
            <w:r w:rsidR="00D83B2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21.81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10E0C">
              <w:rPr>
                <w:sz w:val="18"/>
                <w:szCs w:val="18"/>
              </w:rPr>
              <w:t>0</w:t>
            </w:r>
            <w:r w:rsidR="005027B6">
              <w:rPr>
                <w:sz w:val="18"/>
                <w:szCs w:val="18"/>
              </w:rPr>
              <w:t>-gal weekly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10E0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210E0C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28.31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027B6">
              <w:rPr>
                <w:sz w:val="18"/>
                <w:szCs w:val="18"/>
              </w:rPr>
              <w:t>5-gal every-other-wk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210E0C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10E0C">
              <w:rPr>
                <w:sz w:val="18"/>
                <w:szCs w:val="18"/>
              </w:rPr>
              <w:t>0</w:t>
            </w:r>
            <w:r w:rsidR="005027B6">
              <w:rPr>
                <w:sz w:val="18"/>
                <w:szCs w:val="18"/>
              </w:rPr>
              <w:t>-gal every-other-wk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0E0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210E0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027B6">
              <w:rPr>
                <w:sz w:val="18"/>
                <w:szCs w:val="18"/>
              </w:rPr>
              <w:t>5-gal once p/month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210E0C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8.03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10E0C">
              <w:rPr>
                <w:sz w:val="18"/>
                <w:szCs w:val="18"/>
              </w:rPr>
              <w:t>0</w:t>
            </w:r>
            <w:r w:rsidR="005027B6">
              <w:rPr>
                <w:sz w:val="18"/>
                <w:szCs w:val="18"/>
              </w:rPr>
              <w:t>-gal once p/month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210E0C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11.56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Occasional extra 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210E0C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6.43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Pr="00B462AF" w:rsidRDefault="005027B6" w:rsidP="00A013E0">
            <w:pPr>
              <w:rPr>
                <w:b/>
                <w:sz w:val="18"/>
                <w:szCs w:val="18"/>
              </w:rPr>
            </w:pPr>
            <w:r w:rsidRPr="00B462AF">
              <w:rPr>
                <w:b/>
                <w:sz w:val="18"/>
                <w:szCs w:val="18"/>
              </w:rPr>
              <w:t>Recycling: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96-gal every-other-wk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210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</w:t>
            </w:r>
          </w:p>
        </w:tc>
      </w:tr>
      <w:tr w:rsidR="005027B6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pStyle w:val="swiss"/>
            </w:pPr>
            <w:r>
              <w:t>Other services not listed will increase an average  of</w:t>
            </w:r>
            <w:r w:rsidR="003A6624">
              <w:t xml:space="preserve"> </w:t>
            </w:r>
            <w:r>
              <w:t xml:space="preserve"> </w:t>
            </w:r>
            <w:r w:rsidR="00210E0C">
              <w:t>3.018</w:t>
            </w:r>
            <w:r>
              <w:t xml:space="preserve">%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have any questions regarding this increase, please contact </w:t>
      </w:r>
      <w:r w:rsidR="00D83B24">
        <w:rPr>
          <w:b w:val="0"/>
          <w:bCs w:val="0"/>
          <w:sz w:val="22"/>
          <w:szCs w:val="22"/>
        </w:rPr>
        <w:t>Olympic Disposal betwee</w:t>
      </w:r>
      <w:r>
        <w:rPr>
          <w:b w:val="0"/>
          <w:bCs w:val="0"/>
          <w:sz w:val="22"/>
          <w:szCs w:val="22"/>
        </w:rPr>
        <w:t xml:space="preserve">n </w:t>
      </w:r>
      <w:smartTag w:uri="urn:schemas-microsoft-com:office:smarttags" w:element="time">
        <w:smartTagPr>
          <w:attr w:name="Minute" w:val="0"/>
          <w:attr w:name="Hour" w:val="8"/>
        </w:smartTagPr>
        <w:r>
          <w:rPr>
            <w:b w:val="0"/>
            <w:bCs w:val="0"/>
            <w:sz w:val="22"/>
            <w:szCs w:val="22"/>
          </w:rPr>
          <w:t>8:00 a.m.</w:t>
        </w:r>
      </w:smartTag>
      <w:r>
        <w:rPr>
          <w:b w:val="0"/>
          <w:bCs w:val="0"/>
          <w:sz w:val="22"/>
          <w:szCs w:val="22"/>
        </w:rPr>
        <w:t xml:space="preserve"> and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b w:val="0"/>
            <w:bCs w:val="0"/>
            <w:sz w:val="22"/>
            <w:szCs w:val="22"/>
          </w:rPr>
          <w:t>4 p.m.</w:t>
        </w:r>
      </w:smartTag>
      <w:r>
        <w:rPr>
          <w:b w:val="0"/>
          <w:bCs w:val="0"/>
          <w:sz w:val="22"/>
          <w:szCs w:val="22"/>
        </w:rPr>
        <w:t xml:space="preserve"> Monday through Friday.  </w:t>
      </w:r>
    </w:p>
    <w:p w:rsidR="00FA7D46" w:rsidRDefault="00FA7D46">
      <w:pPr>
        <w:jc w:val="both"/>
        <w:rPr>
          <w:b/>
          <w:bCs/>
          <w:sz w:val="22"/>
          <w:szCs w:val="22"/>
        </w:rPr>
      </w:pPr>
    </w:p>
    <w:p w:rsidR="00FA7D46" w:rsidRDefault="00FA7D4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the authority to set final rates that may be either lower or higher from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ompany’s request, depending on the results of its investigation.  Commission staff will make a recommendation to 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ommissioners at an open meeting in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Olympia</w:t>
          </w:r>
        </w:smartTag>
      </w:smartTag>
      <w:r>
        <w:rPr>
          <w:bCs/>
          <w:sz w:val="22"/>
          <w:szCs w:val="22"/>
        </w:rPr>
        <w:t xml:space="preserve">, which is scheduled for </w:t>
      </w:r>
      <w:smartTag w:uri="urn:schemas-microsoft-com:office:smarttags" w:element="time">
        <w:smartTagPr>
          <w:attr w:name="Minute" w:val="30"/>
          <w:attr w:name="Hour" w:val="9"/>
        </w:smartTagPr>
        <w:r>
          <w:rPr>
            <w:bCs/>
            <w:sz w:val="22"/>
            <w:szCs w:val="22"/>
          </w:rPr>
          <w:t>9:30 a.m.</w:t>
        </w:r>
      </w:smartTag>
      <w:r>
        <w:rPr>
          <w:bCs/>
          <w:sz w:val="22"/>
          <w:szCs w:val="22"/>
        </w:rPr>
        <w:t xml:space="preserve"> on </w:t>
      </w:r>
      <w:r w:rsidR="00D83B24">
        <w:rPr>
          <w:bCs/>
          <w:sz w:val="22"/>
          <w:szCs w:val="22"/>
        </w:rPr>
        <w:t>May</w:t>
      </w:r>
      <w:r w:rsidR="006C1FD7">
        <w:rPr>
          <w:bCs/>
          <w:sz w:val="22"/>
          <w:szCs w:val="22"/>
        </w:rPr>
        <w:t xml:space="preserve"> 2</w:t>
      </w:r>
      <w:r w:rsidR="00D83B24">
        <w:rPr>
          <w:bCs/>
          <w:sz w:val="22"/>
          <w:szCs w:val="22"/>
        </w:rPr>
        <w:t>6</w:t>
      </w:r>
      <w:r w:rsidR="006C1FD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201</w:t>
      </w:r>
      <w:r w:rsidR="005979DA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 You will have an opportunity to comment in person at this meeting.  If you are unable to attend the open meeting, the </w:t>
      </w:r>
      <w:r w:rsidR="006C1FD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a bridge line which enables you to participate or listen by telephone.  Call 360-664-1234 for instructions the day before the open meeting.  You can also comment by using the “Public Comment” feature at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ommission’s Web site at utc.wa.gov or by using the contact information below.  </w:t>
      </w:r>
    </w:p>
    <w:p w:rsidR="00FA7D46" w:rsidRDefault="00FA7D46">
      <w:pPr>
        <w:jc w:val="both"/>
        <w:rPr>
          <w:sz w:val="22"/>
          <w:szCs w:val="22"/>
        </w:rPr>
      </w:pP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 Evergreen Park Dr SW</w:t>
          </w:r>
        </w:smartTag>
      </w:smartTag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Post Office Box 47250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</w:t>
          </w:r>
        </w:smartTag>
        <w:r>
          <w:rPr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  <w:r>
        <w:rPr>
          <w:sz w:val="22"/>
          <w:szCs w:val="22"/>
        </w:rPr>
        <w:t xml:space="preserve">  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r>
        <w:rPr>
          <w:sz w:val="22"/>
          <w:szCs w:val="22"/>
          <w:u w:val="single"/>
        </w:rPr>
        <w:t>comments@utc.wa.gov</w:t>
      </w:r>
    </w:p>
    <w:p w:rsidR="00FA7D46" w:rsidRDefault="00FA7D46">
      <w:pPr>
        <w:ind w:firstLine="720"/>
        <w:jc w:val="both"/>
      </w:pPr>
      <w:r>
        <w:t>Telephone:  1-888-333-</w:t>
      </w:r>
      <w:r w:rsidRPr="005D2268">
        <w:rPr>
          <w:u w:val="single"/>
        </w:rPr>
        <w:t>WUTC</w:t>
      </w:r>
      <w:r w:rsidR="005D2268" w:rsidRPr="005D2268">
        <w:rPr>
          <w:u w:val="single"/>
        </w:rPr>
        <w:t xml:space="preserve"> (9882)</w:t>
      </w:r>
    </w:p>
    <w:p w:rsidR="00FA7D46" w:rsidRDefault="00FA7D46">
      <w:pPr>
        <w:ind w:firstLine="720"/>
        <w:jc w:val="both"/>
        <w:rPr>
          <w:b/>
          <w:bCs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Sincerely,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Management</w:t>
      </w:r>
    </w:p>
    <w:p w:rsidR="00FA7D46" w:rsidRDefault="00D83B24">
      <w:pPr>
        <w:jc w:val="both"/>
      </w:pPr>
      <w:r>
        <w:t>Olympic Disposal</w:t>
      </w:r>
    </w:p>
    <w:p w:rsidR="00FA7D46" w:rsidRDefault="00FA7D46">
      <w:pPr>
        <w:jc w:val="both"/>
      </w:pPr>
    </w:p>
    <w:sectPr w:rsidR="00FA7D46" w:rsidSect="00751156">
      <w:headerReference w:type="default" r:id="rId6"/>
      <w:pgSz w:w="12240" w:h="15840" w:code="1"/>
      <w:pgMar w:top="0" w:right="1440" w:bottom="144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04488">
      <w:r>
        <w:separator/>
      </w:r>
    </w:p>
  </w:endnote>
  <w:endnote w:type="continuationSeparator" w:id="0">
    <w:p w:rsidR="00000000" w:rsidRDefault="00604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04488">
      <w:r>
        <w:separator/>
      </w:r>
    </w:p>
  </w:footnote>
  <w:footnote w:type="continuationSeparator" w:id="0">
    <w:p w:rsidR="00000000" w:rsidRDefault="00604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6" w:rsidRDefault="00D93BE6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r>
      <w:rPr>
        <w:rFonts w:ascii="Garamond" w:hAnsi="Garamond" w:cs="Tahoma"/>
        <w:b/>
        <w:sz w:val="28"/>
        <w:szCs w:val="28"/>
      </w:rPr>
      <w:t>Murrey’s Disposal Co., Inc.</w:t>
    </w:r>
  </w:p>
  <w:p w:rsidR="00D93BE6" w:rsidRDefault="00D93BE6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proofErr w:type="gramStart"/>
    <w:r>
      <w:rPr>
        <w:rFonts w:ascii="Garamond" w:hAnsi="Garamond" w:cs="Tahoma"/>
        <w:b/>
        <w:sz w:val="28"/>
        <w:szCs w:val="28"/>
      </w:rPr>
      <w:t>d/b/a</w:t>
    </w:r>
    <w:proofErr w:type="gramEnd"/>
    <w:r>
      <w:rPr>
        <w:rFonts w:ascii="Garamond" w:hAnsi="Garamond" w:cs="Tahoma"/>
        <w:b/>
        <w:sz w:val="28"/>
        <w:szCs w:val="28"/>
      </w:rPr>
      <w:t xml:space="preserve"> Olympic Disposal</w:t>
    </w:r>
  </w:p>
  <w:p w:rsidR="00D93BE6" w:rsidRDefault="00D93BE6">
    <w:pPr>
      <w:jc w:val="center"/>
      <w:rPr>
        <w:rFonts w:ascii="Garamond" w:hAnsi="Garamond" w:cs="Tahoma"/>
      </w:rPr>
    </w:pPr>
    <w:smartTag w:uri="urn:schemas-microsoft-com:office:smarttags" w:element="Street">
      <w:smartTag w:uri="urn:schemas-microsoft-com:office:smarttags" w:element="address">
        <w:r>
          <w:rPr>
            <w:rFonts w:ascii="Garamond" w:hAnsi="Garamond" w:cs="Tahoma"/>
          </w:rPr>
          <w:t>2058 W Edgewood Dr</w:t>
        </w:r>
      </w:smartTag>
    </w:smartTag>
  </w:p>
  <w:p w:rsidR="00D93BE6" w:rsidRDefault="00D93BE6">
    <w:pPr>
      <w:jc w:val="center"/>
      <w:rPr>
        <w:rFonts w:ascii="Garamond" w:hAnsi="Garamond" w:cs="Tahoma"/>
      </w:rPr>
    </w:pPr>
    <w:smartTag w:uri="urn:schemas-microsoft-com:office:smarttags" w:element="place">
      <w:smartTag w:uri="urn:schemas-microsoft-com:office:smarttags" w:element="City">
        <w:r>
          <w:rPr>
            <w:rFonts w:ascii="Garamond" w:hAnsi="Garamond" w:cs="Tahoma"/>
          </w:rPr>
          <w:t>Port Angeles</w:t>
        </w:r>
      </w:smartTag>
      <w:r>
        <w:rPr>
          <w:rFonts w:ascii="Garamond" w:hAnsi="Garamond" w:cs="Tahoma"/>
        </w:rPr>
        <w:t xml:space="preserve">, </w:t>
      </w:r>
      <w:smartTag w:uri="urn:schemas-microsoft-com:office:smarttags" w:element="State">
        <w:r>
          <w:rPr>
            <w:rFonts w:ascii="Garamond" w:hAnsi="Garamond" w:cs="Tahoma"/>
          </w:rPr>
          <w:t>WA</w:t>
        </w:r>
      </w:smartTag>
      <w:r>
        <w:rPr>
          <w:rFonts w:ascii="Garamond" w:hAnsi="Garamond" w:cs="Tahoma"/>
        </w:rPr>
        <w:t xml:space="preserve">  </w:t>
      </w:r>
      <w:smartTag w:uri="urn:schemas-microsoft-com:office:smarttags" w:element="PostalCode">
        <w:r>
          <w:rPr>
            <w:rFonts w:ascii="Garamond" w:hAnsi="Garamond" w:cs="Tahoma"/>
          </w:rPr>
          <w:t>98363</w:t>
        </w:r>
      </w:smartTag>
    </w:smartTag>
  </w:p>
  <w:p w:rsidR="00D93BE6" w:rsidRDefault="00D93BE6">
    <w:pPr>
      <w:jc w:val="center"/>
      <w:rPr>
        <w:rFonts w:ascii="Garamond" w:hAnsi="Garamond"/>
      </w:rPr>
    </w:pPr>
    <w:r>
      <w:rPr>
        <w:rFonts w:ascii="Garamond" w:hAnsi="Garamond"/>
      </w:rPr>
      <w:t>Phone: (360) 385-6612, (800) 422-7854, Fax (360) 385-5392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4F2"/>
    <w:rsid w:val="000E3F6B"/>
    <w:rsid w:val="00117C8D"/>
    <w:rsid w:val="0017614D"/>
    <w:rsid w:val="001A6668"/>
    <w:rsid w:val="00210E0C"/>
    <w:rsid w:val="002C28E4"/>
    <w:rsid w:val="00313BA7"/>
    <w:rsid w:val="00355D89"/>
    <w:rsid w:val="003A6624"/>
    <w:rsid w:val="003F1C01"/>
    <w:rsid w:val="004A1103"/>
    <w:rsid w:val="005027B6"/>
    <w:rsid w:val="005062FB"/>
    <w:rsid w:val="0053182D"/>
    <w:rsid w:val="00544389"/>
    <w:rsid w:val="00577150"/>
    <w:rsid w:val="0058100C"/>
    <w:rsid w:val="005979DA"/>
    <w:rsid w:val="005D2268"/>
    <w:rsid w:val="005F1C60"/>
    <w:rsid w:val="00604488"/>
    <w:rsid w:val="006348A9"/>
    <w:rsid w:val="006A1EAB"/>
    <w:rsid w:val="006C1FD7"/>
    <w:rsid w:val="006C2078"/>
    <w:rsid w:val="006F5ED1"/>
    <w:rsid w:val="00751156"/>
    <w:rsid w:val="007A174C"/>
    <w:rsid w:val="007E5007"/>
    <w:rsid w:val="007E53C7"/>
    <w:rsid w:val="008F4FD5"/>
    <w:rsid w:val="009E3B00"/>
    <w:rsid w:val="00A013E0"/>
    <w:rsid w:val="00A03130"/>
    <w:rsid w:val="00A840F5"/>
    <w:rsid w:val="00B0109A"/>
    <w:rsid w:val="00B462AF"/>
    <w:rsid w:val="00BE7A40"/>
    <w:rsid w:val="00C14C9C"/>
    <w:rsid w:val="00D624F2"/>
    <w:rsid w:val="00D83B24"/>
    <w:rsid w:val="00D93BE6"/>
    <w:rsid w:val="00DB5A5E"/>
    <w:rsid w:val="00E2727E"/>
    <w:rsid w:val="00E4261B"/>
    <w:rsid w:val="00E9482C"/>
    <w:rsid w:val="00EF5959"/>
    <w:rsid w:val="00F02784"/>
    <w:rsid w:val="00FA7D46"/>
    <w:rsid w:val="00FB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90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wiss">
    <w:name w:val="swiss"/>
    <w:basedOn w:val="Normal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B0DE34BF7A64B9A66FE073374FFA2" ma:contentTypeVersion="143" ma:contentTypeDescription="" ma:contentTypeScope="" ma:versionID="307409329018ebc52178e07dd681d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2011-04-14T07:00:00+00:00</OpenedDate>
    <Date1 xmlns="dc463f71-b30c-4ab2-9473-d307f9d35888">2011-04-14T07:00:00+00:00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6B33C7-DD60-4214-A65B-C1A5B0DF7178}"/>
</file>

<file path=customXml/itemProps2.xml><?xml version="1.0" encoding="utf-8"?>
<ds:datastoreItem xmlns:ds="http://schemas.openxmlformats.org/officeDocument/2006/customXml" ds:itemID="{15D4708B-78F1-4F08-9CCA-1137E2ADFFC9}"/>
</file>

<file path=customXml/itemProps3.xml><?xml version="1.0" encoding="utf-8"?>
<ds:datastoreItem xmlns:ds="http://schemas.openxmlformats.org/officeDocument/2006/customXml" ds:itemID="{5883F825-C5F2-4A21-AC63-DDA7B3DBBA7D}"/>
</file>

<file path=customXml/itemProps4.xml><?xml version="1.0" encoding="utf-8"?>
<ds:datastoreItem xmlns:ds="http://schemas.openxmlformats.org/officeDocument/2006/customXml" ds:itemID="{D24B94A8-1CC1-4161-83E5-76C12F24C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NOTICE</vt:lpstr>
    </vt:vector>
  </TitlesOfParts>
  <Company>Waste Connections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NOTICE</dc:title>
  <dc:subject/>
  <dc:creator>IrmgardW</dc:creator>
  <cp:keywords/>
  <dc:description/>
  <cp:lastModifiedBy>Catherine Taliaferro</cp:lastModifiedBy>
  <cp:revision>2</cp:revision>
  <cp:lastPrinted>2011-04-07T23:25:00Z</cp:lastPrinted>
  <dcterms:created xsi:type="dcterms:W3CDTF">2011-04-15T16:44:00Z</dcterms:created>
  <dcterms:modified xsi:type="dcterms:W3CDTF">2011-04-15T16:44:00Z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0x0101006E56B4D1795A2E4DB2F0B01679ED314A00F7FB0DE34BF7A64B9A66FE073374FFA2</vt:lpwstr>
  </property>
  <property fmtid="{D5CDD505-2E9C-101B-9397-08002B2CF9AE}" pid="3" name="_docset_NoMedatataSyncRequired">
    <vt:lpwstr>False</vt:lpwstr>
  </property>
</Properties>
</file>